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F6C372" w14:textId="77777777" w:rsidR="00222278" w:rsidRDefault="00222278" w:rsidP="00222278">
      <w:pPr>
        <w:spacing w:before="60"/>
        <w:jc w:val="center"/>
        <w:rPr>
          <w:sz w:val="28"/>
          <w:szCs w:val="24"/>
          <w:lang w:eastAsia="hr-HR"/>
        </w:rPr>
      </w:pPr>
      <w:r w:rsidRPr="008039A3">
        <w:rPr>
          <w:noProof/>
          <w:sz w:val="24"/>
          <w:szCs w:val="24"/>
          <w:lang w:eastAsia="hr-HR"/>
        </w:rPr>
        <w:drawing>
          <wp:inline distT="0" distB="0" distL="0" distR="0" wp14:anchorId="504E6E09" wp14:editId="6BE02DAD">
            <wp:extent cx="502942" cy="684000"/>
            <wp:effectExtent l="0" t="0" r="0" b="1905"/>
            <wp:docPr id="1041272214" name="Picture 1" descr="Slika na kojoj se prikazuje simbol, emblem, crveno, logotip&#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272214" name="Picture 1" descr="Slika na kojoj se prikazuje simbol, emblem, crveno, logotip&#10;&#10;Sadržaj generiran umjetnom inteligencijom može biti netoča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p>
    <w:p w14:paraId="4DB49E04" w14:textId="77777777" w:rsidR="00222278" w:rsidRDefault="00222278" w:rsidP="00222278">
      <w:pPr>
        <w:spacing w:before="60"/>
        <w:jc w:val="center"/>
        <w:rPr>
          <w:sz w:val="28"/>
          <w:szCs w:val="24"/>
          <w:lang w:eastAsia="hr-HR"/>
        </w:rPr>
      </w:pPr>
      <w:r w:rsidRPr="008039A3">
        <w:rPr>
          <w:sz w:val="28"/>
          <w:szCs w:val="24"/>
          <w:lang w:eastAsia="hr-HR"/>
        </w:rPr>
        <w:t>VLADA REPUBLIKE HRVATSKE</w:t>
      </w:r>
    </w:p>
    <w:p w14:paraId="251EE2BC" w14:textId="77777777" w:rsidR="00222278" w:rsidRPr="008039A3" w:rsidRDefault="00222278" w:rsidP="00222278">
      <w:pPr>
        <w:spacing w:before="60" w:after="1680"/>
        <w:jc w:val="center"/>
        <w:rPr>
          <w:sz w:val="28"/>
          <w:szCs w:val="24"/>
          <w:lang w:eastAsia="hr-HR"/>
        </w:rPr>
      </w:pPr>
    </w:p>
    <w:p w14:paraId="2CED13A0" w14:textId="77777777" w:rsidR="00222278" w:rsidRPr="008039A3" w:rsidRDefault="00222278" w:rsidP="00222278">
      <w:pPr>
        <w:rPr>
          <w:sz w:val="24"/>
          <w:szCs w:val="24"/>
          <w:lang w:eastAsia="hr-HR"/>
        </w:rPr>
      </w:pPr>
    </w:p>
    <w:p w14:paraId="1E16A5FD" w14:textId="775AC4D5" w:rsidR="00222278" w:rsidRPr="008039A3" w:rsidRDefault="00222278" w:rsidP="00222278">
      <w:pPr>
        <w:spacing w:after="2400"/>
        <w:jc w:val="right"/>
        <w:rPr>
          <w:sz w:val="24"/>
          <w:szCs w:val="24"/>
          <w:lang w:eastAsia="hr-HR"/>
        </w:rPr>
      </w:pPr>
      <w:r w:rsidRPr="008039A3">
        <w:rPr>
          <w:sz w:val="24"/>
          <w:szCs w:val="24"/>
          <w:lang w:eastAsia="hr-HR"/>
        </w:rPr>
        <w:t xml:space="preserve">Zagreb, </w:t>
      </w:r>
      <w:r w:rsidR="00476285">
        <w:rPr>
          <w:sz w:val="24"/>
          <w:szCs w:val="24"/>
          <w:lang w:eastAsia="hr-HR"/>
        </w:rPr>
        <w:t>9. travnja</w:t>
      </w:r>
      <w:r w:rsidRPr="008039A3">
        <w:rPr>
          <w:sz w:val="24"/>
          <w:szCs w:val="24"/>
          <w:lang w:eastAsia="hr-HR"/>
        </w:rPr>
        <w:t xml:space="preserve"> 202</w:t>
      </w:r>
      <w:r w:rsidR="00F25A32">
        <w:rPr>
          <w:sz w:val="24"/>
          <w:szCs w:val="24"/>
          <w:lang w:eastAsia="hr-HR"/>
        </w:rPr>
        <w:t>6</w:t>
      </w:r>
      <w:r w:rsidRPr="008039A3">
        <w:rPr>
          <w:sz w:val="24"/>
          <w:szCs w:val="24"/>
          <w:lang w:eastAsia="hr-HR"/>
        </w:rPr>
        <w:t>.</w:t>
      </w:r>
    </w:p>
    <w:p w14:paraId="65EA8B9D" w14:textId="77777777" w:rsidR="00222278" w:rsidRPr="008039A3" w:rsidRDefault="00222278" w:rsidP="00222278">
      <w:pPr>
        <w:spacing w:line="360" w:lineRule="auto"/>
        <w:rPr>
          <w:sz w:val="24"/>
          <w:szCs w:val="24"/>
          <w:lang w:eastAsia="hr-HR"/>
        </w:rPr>
      </w:pPr>
      <w:r w:rsidRPr="008039A3">
        <w:rPr>
          <w:sz w:val="24"/>
          <w:szCs w:val="24"/>
          <w:lang w:eastAsia="hr-HR"/>
        </w:rPr>
        <w:t>__________________________________________________________________________</w:t>
      </w:r>
    </w:p>
    <w:tbl>
      <w:tblPr>
        <w:tblStyle w:val="TableGrid1"/>
        <w:tblW w:w="0" w:type="auto"/>
        <w:tblInd w:w="0" w:type="dxa"/>
        <w:tblLook w:val="04A0" w:firstRow="1" w:lastRow="0" w:firstColumn="1" w:lastColumn="0" w:noHBand="0" w:noVBand="1"/>
      </w:tblPr>
      <w:tblGrid>
        <w:gridCol w:w="1951"/>
        <w:gridCol w:w="7229"/>
      </w:tblGrid>
      <w:tr w:rsidR="00222278" w:rsidRPr="008039A3" w14:paraId="04BD41E0" w14:textId="77777777" w:rsidTr="00A17374">
        <w:tc>
          <w:tcPr>
            <w:tcW w:w="1951" w:type="dxa"/>
          </w:tcPr>
          <w:p w14:paraId="40CD21A6" w14:textId="77777777" w:rsidR="00222278" w:rsidRPr="008039A3" w:rsidRDefault="00222278" w:rsidP="00A17374">
            <w:pPr>
              <w:spacing w:line="360" w:lineRule="auto"/>
              <w:jc w:val="right"/>
              <w:rPr>
                <w:sz w:val="24"/>
                <w:szCs w:val="24"/>
              </w:rPr>
            </w:pPr>
            <w:r w:rsidRPr="008039A3">
              <w:rPr>
                <w:b/>
                <w:smallCaps/>
                <w:sz w:val="24"/>
                <w:szCs w:val="24"/>
              </w:rPr>
              <w:t>Predlagatelj</w:t>
            </w:r>
            <w:r w:rsidRPr="008039A3">
              <w:rPr>
                <w:b/>
                <w:sz w:val="24"/>
                <w:szCs w:val="24"/>
              </w:rPr>
              <w:t>:</w:t>
            </w:r>
          </w:p>
        </w:tc>
        <w:tc>
          <w:tcPr>
            <w:tcW w:w="7229" w:type="dxa"/>
          </w:tcPr>
          <w:p w14:paraId="1890C409" w14:textId="77777777" w:rsidR="00222278" w:rsidRPr="008039A3" w:rsidRDefault="00222278" w:rsidP="00A17374">
            <w:pPr>
              <w:spacing w:line="360" w:lineRule="auto"/>
              <w:jc w:val="both"/>
              <w:rPr>
                <w:sz w:val="24"/>
                <w:szCs w:val="24"/>
              </w:rPr>
            </w:pPr>
            <w:r w:rsidRPr="008039A3">
              <w:rPr>
                <w:sz w:val="24"/>
                <w:szCs w:val="24"/>
              </w:rPr>
              <w:t xml:space="preserve">Ministarstvo </w:t>
            </w:r>
            <w:r>
              <w:rPr>
                <w:sz w:val="24"/>
                <w:szCs w:val="24"/>
              </w:rPr>
              <w:t>regionalnoga razvoja i fondova Europske unije</w:t>
            </w:r>
            <w:r w:rsidRPr="008039A3">
              <w:rPr>
                <w:sz w:val="24"/>
                <w:szCs w:val="24"/>
              </w:rPr>
              <w:t xml:space="preserve"> </w:t>
            </w:r>
          </w:p>
        </w:tc>
      </w:tr>
    </w:tbl>
    <w:p w14:paraId="6B94CF1E" w14:textId="77777777" w:rsidR="00222278" w:rsidRPr="008039A3" w:rsidRDefault="00222278" w:rsidP="00222278">
      <w:pPr>
        <w:spacing w:line="360" w:lineRule="auto"/>
        <w:rPr>
          <w:sz w:val="24"/>
          <w:szCs w:val="24"/>
          <w:lang w:eastAsia="hr-HR"/>
        </w:rPr>
      </w:pPr>
      <w:r w:rsidRPr="008039A3">
        <w:rPr>
          <w:sz w:val="24"/>
          <w:szCs w:val="24"/>
          <w:lang w:eastAsia="hr-HR"/>
        </w:rPr>
        <w:t>_______________________________________________________________________</w:t>
      </w:r>
      <w:r>
        <w:rPr>
          <w:sz w:val="24"/>
          <w:szCs w:val="24"/>
          <w:lang w:eastAsia="hr-HR"/>
        </w:rPr>
        <w:t>___</w:t>
      </w:r>
    </w:p>
    <w:tbl>
      <w:tblPr>
        <w:tblStyle w:val="TableGrid1"/>
        <w:tblW w:w="0" w:type="auto"/>
        <w:tblInd w:w="0" w:type="dxa"/>
        <w:tblLook w:val="04A0" w:firstRow="1" w:lastRow="0" w:firstColumn="1" w:lastColumn="0" w:noHBand="0" w:noVBand="1"/>
      </w:tblPr>
      <w:tblGrid>
        <w:gridCol w:w="1951"/>
        <w:gridCol w:w="6980"/>
      </w:tblGrid>
      <w:tr w:rsidR="00222278" w:rsidRPr="008039A3" w14:paraId="66AFA22A" w14:textId="77777777" w:rsidTr="00BE17F4">
        <w:tc>
          <w:tcPr>
            <w:tcW w:w="1951" w:type="dxa"/>
          </w:tcPr>
          <w:p w14:paraId="46DA9A33" w14:textId="77777777" w:rsidR="00222278" w:rsidRPr="008039A3" w:rsidRDefault="00222278" w:rsidP="00A17374">
            <w:pPr>
              <w:spacing w:line="360" w:lineRule="auto"/>
              <w:jc w:val="right"/>
              <w:rPr>
                <w:sz w:val="24"/>
                <w:szCs w:val="24"/>
              </w:rPr>
            </w:pPr>
            <w:r w:rsidRPr="008039A3">
              <w:rPr>
                <w:b/>
                <w:smallCaps/>
                <w:sz w:val="24"/>
                <w:szCs w:val="24"/>
              </w:rPr>
              <w:t>Predmet</w:t>
            </w:r>
            <w:r w:rsidRPr="008039A3">
              <w:rPr>
                <w:b/>
                <w:sz w:val="24"/>
                <w:szCs w:val="24"/>
              </w:rPr>
              <w:t>:</w:t>
            </w:r>
          </w:p>
        </w:tc>
        <w:tc>
          <w:tcPr>
            <w:tcW w:w="6980" w:type="dxa"/>
          </w:tcPr>
          <w:p w14:paraId="4B5A6A5F" w14:textId="139BF7EF" w:rsidR="00222278" w:rsidRPr="008039A3" w:rsidRDefault="00222278" w:rsidP="00A17374">
            <w:pPr>
              <w:spacing w:line="360" w:lineRule="auto"/>
              <w:jc w:val="both"/>
              <w:rPr>
                <w:sz w:val="24"/>
                <w:szCs w:val="24"/>
              </w:rPr>
            </w:pPr>
            <w:r>
              <w:rPr>
                <w:sz w:val="24"/>
                <w:szCs w:val="24"/>
              </w:rPr>
              <w:t xml:space="preserve">Prijedlog </w:t>
            </w:r>
            <w:r w:rsidR="00ED21F5">
              <w:rPr>
                <w:sz w:val="24"/>
                <w:szCs w:val="24"/>
              </w:rPr>
              <w:t>g</w:t>
            </w:r>
            <w:r>
              <w:rPr>
                <w:sz w:val="24"/>
                <w:szCs w:val="24"/>
              </w:rPr>
              <w:t>odišnjeg izvješća o napretku u provedbi Nacionalne razvojne strategije Republike Hrvatske do 2030. godine</w:t>
            </w:r>
            <w:r w:rsidR="00D86A8D">
              <w:rPr>
                <w:sz w:val="24"/>
                <w:szCs w:val="24"/>
              </w:rPr>
              <w:t>,</w:t>
            </w:r>
            <w:r>
              <w:rPr>
                <w:sz w:val="24"/>
                <w:szCs w:val="24"/>
              </w:rPr>
              <w:t xml:space="preserve"> za 202</w:t>
            </w:r>
            <w:r w:rsidR="001C4F1B">
              <w:rPr>
                <w:sz w:val="24"/>
                <w:szCs w:val="24"/>
              </w:rPr>
              <w:t>4</w:t>
            </w:r>
            <w:r>
              <w:rPr>
                <w:sz w:val="24"/>
                <w:szCs w:val="24"/>
              </w:rPr>
              <w:t>. godinu</w:t>
            </w:r>
            <w:r w:rsidRPr="008039A3">
              <w:rPr>
                <w:sz w:val="24"/>
                <w:szCs w:val="24"/>
              </w:rPr>
              <w:t xml:space="preserve"> </w:t>
            </w:r>
          </w:p>
        </w:tc>
      </w:tr>
    </w:tbl>
    <w:p w14:paraId="00F459F5" w14:textId="469914CE" w:rsidR="00222278" w:rsidRDefault="00222278" w:rsidP="00222278">
      <w:pPr>
        <w:tabs>
          <w:tab w:val="right" w:pos="1701"/>
          <w:tab w:val="left" w:pos="1843"/>
        </w:tabs>
        <w:spacing w:line="360" w:lineRule="auto"/>
        <w:rPr>
          <w:b/>
          <w:smallCaps/>
          <w:sz w:val="24"/>
          <w:szCs w:val="24"/>
          <w:lang w:eastAsia="hr-HR"/>
        </w:rPr>
      </w:pPr>
      <w:r w:rsidRPr="008039A3">
        <w:rPr>
          <w:sz w:val="24"/>
          <w:szCs w:val="24"/>
          <w:lang w:eastAsia="hr-HR"/>
        </w:rPr>
        <w:t>__________________________________________________________________________</w:t>
      </w:r>
    </w:p>
    <w:p w14:paraId="392BACD3" w14:textId="77777777" w:rsidR="00222278" w:rsidRDefault="00222278" w:rsidP="00222278">
      <w:pPr>
        <w:tabs>
          <w:tab w:val="right" w:pos="1701"/>
          <w:tab w:val="left" w:pos="1843"/>
        </w:tabs>
        <w:spacing w:line="360" w:lineRule="auto"/>
        <w:rPr>
          <w:b/>
          <w:smallCaps/>
          <w:sz w:val="24"/>
          <w:szCs w:val="24"/>
          <w:lang w:eastAsia="hr-HR"/>
        </w:rPr>
      </w:pPr>
    </w:p>
    <w:p w14:paraId="5B91E38F" w14:textId="77777777" w:rsidR="00222278" w:rsidRDefault="00222278" w:rsidP="00222278">
      <w:pPr>
        <w:tabs>
          <w:tab w:val="right" w:pos="1701"/>
          <w:tab w:val="left" w:pos="1843"/>
        </w:tabs>
        <w:spacing w:line="360" w:lineRule="auto"/>
        <w:rPr>
          <w:b/>
          <w:smallCaps/>
          <w:sz w:val="24"/>
          <w:szCs w:val="24"/>
          <w:lang w:eastAsia="hr-HR"/>
        </w:rPr>
      </w:pPr>
    </w:p>
    <w:p w14:paraId="06D3C024" w14:textId="77777777" w:rsidR="00222278" w:rsidRDefault="00222278" w:rsidP="00222278">
      <w:pPr>
        <w:tabs>
          <w:tab w:val="right" w:pos="1701"/>
          <w:tab w:val="left" w:pos="1843"/>
        </w:tabs>
        <w:spacing w:line="360" w:lineRule="auto"/>
        <w:rPr>
          <w:b/>
          <w:smallCaps/>
          <w:sz w:val="24"/>
          <w:szCs w:val="24"/>
          <w:lang w:eastAsia="hr-HR"/>
        </w:rPr>
      </w:pPr>
    </w:p>
    <w:p w14:paraId="1199ED83" w14:textId="5738D467" w:rsidR="00222278" w:rsidRDefault="00222278" w:rsidP="00222278">
      <w:pPr>
        <w:rPr>
          <w:b/>
          <w:smallCaps/>
          <w:sz w:val="24"/>
          <w:szCs w:val="24"/>
          <w:lang w:eastAsia="hr-HR"/>
        </w:rPr>
      </w:pPr>
      <w:r>
        <w:rPr>
          <w:b/>
          <w:smallCaps/>
          <w:sz w:val="24"/>
          <w:szCs w:val="24"/>
          <w:lang w:eastAsia="hr-HR"/>
        </w:rPr>
        <w:br w:type="page"/>
      </w:r>
    </w:p>
    <w:p w14:paraId="0A857C42" w14:textId="77777777" w:rsidR="00222278" w:rsidRPr="00145379" w:rsidRDefault="00222278" w:rsidP="00222278">
      <w:pPr>
        <w:pStyle w:val="ListParagraph"/>
        <w:widowControl/>
        <w:autoSpaceDE/>
        <w:autoSpaceDN/>
        <w:spacing w:after="160" w:line="276" w:lineRule="auto"/>
        <w:ind w:left="0" w:firstLine="0"/>
        <w:contextualSpacing/>
        <w:jc w:val="center"/>
        <w:rPr>
          <w:b/>
          <w:bCs/>
          <w:color w:val="000000" w:themeColor="text1"/>
          <w:sz w:val="24"/>
          <w:szCs w:val="24"/>
        </w:rPr>
      </w:pPr>
      <w:r>
        <w:rPr>
          <w:b/>
          <w:bCs/>
          <w:color w:val="000000" w:themeColor="text1"/>
          <w:sz w:val="24"/>
          <w:szCs w:val="24"/>
        </w:rPr>
        <w:lastRenderedPageBreak/>
        <w:t>VLADA REPUBLIKE HRVATSKE</w:t>
      </w:r>
    </w:p>
    <w:p w14:paraId="3DFCA254" w14:textId="77777777" w:rsidR="00222278" w:rsidRPr="00145379" w:rsidRDefault="00222278" w:rsidP="00222278">
      <w:pPr>
        <w:pStyle w:val="ListParagraph"/>
        <w:widowControl/>
        <w:tabs>
          <w:tab w:val="left" w:pos="6856"/>
        </w:tabs>
        <w:autoSpaceDE/>
        <w:autoSpaceDN/>
        <w:spacing w:after="160" w:line="276" w:lineRule="auto"/>
        <w:ind w:left="720" w:firstLine="0"/>
        <w:contextualSpacing/>
        <w:rPr>
          <w:color w:val="000000" w:themeColor="text1"/>
          <w:sz w:val="24"/>
          <w:szCs w:val="24"/>
        </w:rPr>
      </w:pPr>
      <w:r w:rsidRPr="00145379">
        <w:rPr>
          <w:noProof/>
          <w:color w:val="000000" w:themeColor="text1"/>
          <w:sz w:val="24"/>
          <w:szCs w:val="24"/>
          <w:lang w:eastAsia="hr-HR"/>
        </w:rPr>
        <mc:AlternateContent>
          <mc:Choice Requires="wps">
            <w:drawing>
              <wp:anchor distT="0" distB="0" distL="114300" distR="114300" simplePos="0" relativeHeight="251658240" behindDoc="0" locked="0" layoutInCell="1" allowOverlap="1" wp14:anchorId="124540F5" wp14:editId="05D9BB44">
                <wp:simplePos x="0" y="0"/>
                <wp:positionH relativeFrom="column">
                  <wp:posOffset>87325</wp:posOffset>
                </wp:positionH>
                <wp:positionV relativeFrom="paragraph">
                  <wp:posOffset>60960</wp:posOffset>
                </wp:positionV>
                <wp:extent cx="5822830" cy="0"/>
                <wp:effectExtent l="0" t="0" r="0" b="0"/>
                <wp:wrapNone/>
                <wp:docPr id="8" name="Straight Connector 8"/>
                <wp:cNvGraphicFramePr/>
                <a:graphic xmlns:a="http://schemas.openxmlformats.org/drawingml/2006/main">
                  <a:graphicData uri="http://schemas.microsoft.com/office/word/2010/wordprocessingShape">
                    <wps:wsp>
                      <wps:cNvCnPr/>
                      <wps:spPr>
                        <a:xfrm flipV="1">
                          <a:off x="0" y="0"/>
                          <a:ext cx="5822830"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7F33D4" id="Straight Connector 8"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pt,4.8pt" to="465.4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" strokecolor="black [3213]" strokeweight="1.25pt"/>
            </w:pict>
          </mc:Fallback>
        </mc:AlternateContent>
      </w:r>
      <w:r w:rsidRPr="00145379">
        <w:rPr>
          <w:color w:val="000000" w:themeColor="text1"/>
          <w:sz w:val="24"/>
          <w:szCs w:val="24"/>
        </w:rPr>
        <w:tab/>
      </w:r>
    </w:p>
    <w:p w14:paraId="1FEC4CC1" w14:textId="77777777" w:rsidR="00222278" w:rsidRPr="00145379" w:rsidRDefault="00222278" w:rsidP="00222278">
      <w:pPr>
        <w:pStyle w:val="ListParagraph"/>
        <w:widowControl/>
        <w:tabs>
          <w:tab w:val="left" w:pos="6856"/>
        </w:tabs>
        <w:autoSpaceDE/>
        <w:autoSpaceDN/>
        <w:spacing w:after="160" w:line="276" w:lineRule="auto"/>
        <w:ind w:left="720" w:firstLine="0"/>
        <w:contextualSpacing/>
        <w:rPr>
          <w:color w:val="000000" w:themeColor="text1"/>
          <w:sz w:val="24"/>
          <w:szCs w:val="24"/>
        </w:rPr>
      </w:pPr>
      <w:r w:rsidRPr="195CE6EB">
        <w:rPr>
          <w:color w:val="000000" w:themeColor="text1"/>
          <w:sz w:val="24"/>
          <w:szCs w:val="24"/>
        </w:rPr>
        <w:t xml:space="preserve"> </w:t>
      </w:r>
    </w:p>
    <w:p w14:paraId="47495298" w14:textId="77777777" w:rsidR="00222278" w:rsidRPr="00145379" w:rsidRDefault="00222278" w:rsidP="00222278">
      <w:pPr>
        <w:pStyle w:val="ListParagraph"/>
        <w:widowControl/>
        <w:tabs>
          <w:tab w:val="left" w:pos="6856"/>
        </w:tabs>
        <w:autoSpaceDE/>
        <w:autoSpaceDN/>
        <w:spacing w:after="160" w:line="276" w:lineRule="auto"/>
        <w:ind w:left="720" w:firstLine="0"/>
        <w:contextualSpacing/>
        <w:jc w:val="center"/>
        <w:rPr>
          <w:b/>
          <w:bCs/>
          <w:color w:val="000000" w:themeColor="text1"/>
          <w:sz w:val="24"/>
          <w:szCs w:val="24"/>
        </w:rPr>
      </w:pPr>
      <w:r>
        <w:rPr>
          <w:b/>
          <w:bCs/>
          <w:color w:val="000000" w:themeColor="text1"/>
          <w:sz w:val="24"/>
          <w:szCs w:val="24"/>
        </w:rPr>
        <w:tab/>
        <w:t>PRIJEDLOG</w:t>
      </w:r>
    </w:p>
    <w:p w14:paraId="62F259D3" w14:textId="77777777" w:rsidR="00222278" w:rsidRPr="00145379" w:rsidRDefault="00222278" w:rsidP="00222278">
      <w:pPr>
        <w:pStyle w:val="BodyText"/>
        <w:spacing w:line="276" w:lineRule="auto"/>
        <w:rPr>
          <w:color w:val="000000" w:themeColor="text1"/>
        </w:rPr>
      </w:pPr>
    </w:p>
    <w:p w14:paraId="066CCDDF" w14:textId="77777777" w:rsidR="00222278" w:rsidRPr="00145379" w:rsidRDefault="00222278" w:rsidP="00222278">
      <w:pPr>
        <w:pStyle w:val="BodyText"/>
        <w:spacing w:line="276" w:lineRule="auto"/>
        <w:rPr>
          <w:color w:val="000000" w:themeColor="text1"/>
        </w:rPr>
      </w:pPr>
    </w:p>
    <w:p w14:paraId="17228BCD" w14:textId="77777777" w:rsidR="00222278" w:rsidRPr="00145379" w:rsidRDefault="00222278" w:rsidP="00222278">
      <w:pPr>
        <w:pStyle w:val="BodyText"/>
        <w:spacing w:line="276" w:lineRule="auto"/>
        <w:rPr>
          <w:color w:val="000000" w:themeColor="text1"/>
        </w:rPr>
      </w:pPr>
    </w:p>
    <w:p w14:paraId="2359FC42" w14:textId="77777777" w:rsidR="00222278" w:rsidRPr="00145379" w:rsidRDefault="00222278" w:rsidP="00222278">
      <w:pPr>
        <w:pStyle w:val="BodyText"/>
        <w:spacing w:line="276" w:lineRule="auto"/>
        <w:rPr>
          <w:color w:val="000000" w:themeColor="text1"/>
        </w:rPr>
      </w:pPr>
    </w:p>
    <w:p w14:paraId="4E2F4013" w14:textId="77777777" w:rsidR="00222278" w:rsidRPr="00145379" w:rsidRDefault="00222278" w:rsidP="00222278">
      <w:pPr>
        <w:pStyle w:val="BodyText"/>
        <w:spacing w:line="276" w:lineRule="auto"/>
        <w:rPr>
          <w:color w:val="000000" w:themeColor="text1"/>
        </w:rPr>
      </w:pPr>
    </w:p>
    <w:p w14:paraId="05B9F96A" w14:textId="77777777" w:rsidR="00222278" w:rsidRPr="00145379" w:rsidRDefault="00222278" w:rsidP="00222278">
      <w:pPr>
        <w:pStyle w:val="BodyText"/>
        <w:spacing w:line="276" w:lineRule="auto"/>
        <w:rPr>
          <w:color w:val="000000" w:themeColor="text1"/>
        </w:rPr>
      </w:pPr>
    </w:p>
    <w:p w14:paraId="4AA2092F" w14:textId="77777777" w:rsidR="00222278" w:rsidRPr="00145379" w:rsidRDefault="00222278" w:rsidP="00222278">
      <w:pPr>
        <w:pStyle w:val="BodyText"/>
        <w:spacing w:line="276" w:lineRule="auto"/>
        <w:rPr>
          <w:color w:val="000000" w:themeColor="text1"/>
        </w:rPr>
      </w:pPr>
    </w:p>
    <w:p w14:paraId="45473A53" w14:textId="77777777" w:rsidR="00222278" w:rsidRPr="00145379" w:rsidRDefault="00222278" w:rsidP="00222278">
      <w:pPr>
        <w:pStyle w:val="BodyText"/>
        <w:spacing w:line="276" w:lineRule="auto"/>
        <w:rPr>
          <w:color w:val="000000" w:themeColor="text1"/>
        </w:rPr>
      </w:pPr>
    </w:p>
    <w:p w14:paraId="58954B5B" w14:textId="77777777" w:rsidR="00222278" w:rsidRPr="00145379" w:rsidRDefault="00222278" w:rsidP="00222278">
      <w:pPr>
        <w:pStyle w:val="BodyText"/>
        <w:spacing w:before="3" w:line="276" w:lineRule="auto"/>
        <w:rPr>
          <w:color w:val="000000" w:themeColor="text1"/>
        </w:rPr>
      </w:pPr>
    </w:p>
    <w:p w14:paraId="7278CDA7" w14:textId="77777777" w:rsidR="00222278" w:rsidRPr="00145379" w:rsidRDefault="00222278" w:rsidP="00222278">
      <w:pPr>
        <w:pStyle w:val="BodyText"/>
        <w:spacing w:line="276" w:lineRule="auto"/>
        <w:rPr>
          <w:color w:val="000000" w:themeColor="text1"/>
        </w:rPr>
      </w:pPr>
    </w:p>
    <w:p w14:paraId="1F767994" w14:textId="77777777" w:rsidR="00222278" w:rsidRPr="00145379" w:rsidRDefault="00222278" w:rsidP="00222278">
      <w:pPr>
        <w:pStyle w:val="BodyText"/>
        <w:spacing w:line="276" w:lineRule="auto"/>
        <w:rPr>
          <w:color w:val="000000" w:themeColor="text1"/>
        </w:rPr>
      </w:pPr>
    </w:p>
    <w:p w14:paraId="1F22EAA0" w14:textId="77777777" w:rsidR="00222278" w:rsidRPr="00145379" w:rsidRDefault="00222278" w:rsidP="00222278">
      <w:pPr>
        <w:pStyle w:val="BodyText"/>
        <w:spacing w:line="276" w:lineRule="auto"/>
        <w:rPr>
          <w:color w:val="000000" w:themeColor="text1"/>
        </w:rPr>
      </w:pPr>
    </w:p>
    <w:p w14:paraId="198FB705" w14:textId="77777777" w:rsidR="00222278" w:rsidRPr="00145379" w:rsidRDefault="00222278" w:rsidP="00222278">
      <w:pPr>
        <w:pStyle w:val="BodyText"/>
        <w:spacing w:line="276" w:lineRule="auto"/>
        <w:rPr>
          <w:color w:val="000000" w:themeColor="text1"/>
        </w:rPr>
      </w:pPr>
    </w:p>
    <w:p w14:paraId="396D0BD1" w14:textId="77777777" w:rsidR="00222278" w:rsidRPr="00145379" w:rsidRDefault="00222278" w:rsidP="00222278">
      <w:pPr>
        <w:pStyle w:val="BodyText"/>
        <w:spacing w:line="276" w:lineRule="auto"/>
        <w:rPr>
          <w:color w:val="000000" w:themeColor="text1"/>
        </w:rPr>
      </w:pPr>
    </w:p>
    <w:p w14:paraId="276B11F7" w14:textId="77777777" w:rsidR="00222278" w:rsidRPr="00145379" w:rsidRDefault="00222278" w:rsidP="00222278">
      <w:pPr>
        <w:pStyle w:val="BodyText"/>
        <w:spacing w:line="276" w:lineRule="auto"/>
        <w:rPr>
          <w:color w:val="000000" w:themeColor="text1"/>
        </w:rPr>
      </w:pPr>
    </w:p>
    <w:p w14:paraId="519CFDAE" w14:textId="77777777" w:rsidR="00222278" w:rsidRPr="00145379" w:rsidRDefault="00222278" w:rsidP="00222278">
      <w:pPr>
        <w:pStyle w:val="BodyText"/>
        <w:spacing w:line="276" w:lineRule="auto"/>
        <w:rPr>
          <w:color w:val="000000" w:themeColor="text1"/>
        </w:rPr>
      </w:pPr>
    </w:p>
    <w:p w14:paraId="0EBCEAF5" w14:textId="77777777" w:rsidR="00222278" w:rsidRPr="00145379" w:rsidRDefault="00222278" w:rsidP="00222278">
      <w:pPr>
        <w:pStyle w:val="BodyText"/>
        <w:spacing w:before="4" w:line="276" w:lineRule="auto"/>
        <w:rPr>
          <w:color w:val="000000" w:themeColor="text1"/>
        </w:rPr>
      </w:pPr>
    </w:p>
    <w:p w14:paraId="160AA84C" w14:textId="77777777" w:rsidR="00157083" w:rsidRDefault="00222278" w:rsidP="00222278">
      <w:pPr>
        <w:spacing w:before="85" w:line="276" w:lineRule="auto"/>
        <w:ind w:left="993" w:right="311" w:firstLine="141"/>
        <w:jc w:val="center"/>
        <w:rPr>
          <w:b/>
          <w:color w:val="000000" w:themeColor="text1"/>
          <w:spacing w:val="-10"/>
          <w:sz w:val="24"/>
          <w:szCs w:val="24"/>
        </w:rPr>
      </w:pPr>
      <w:r w:rsidRPr="00145379">
        <w:rPr>
          <w:b/>
          <w:color w:val="000000" w:themeColor="text1"/>
          <w:spacing w:val="-10"/>
          <w:sz w:val="24"/>
          <w:szCs w:val="24"/>
        </w:rPr>
        <w:t>GODIŠNJE IZVJEŠĆE O NAPRETKU U PROVEDBI NACIONALNE</w:t>
      </w:r>
      <w:r w:rsidRPr="00145379">
        <w:rPr>
          <w:b/>
          <w:color w:val="000000" w:themeColor="text1"/>
          <w:spacing w:val="-21"/>
          <w:sz w:val="24"/>
          <w:szCs w:val="24"/>
        </w:rPr>
        <w:t xml:space="preserve"> </w:t>
      </w:r>
      <w:r w:rsidRPr="00145379">
        <w:rPr>
          <w:b/>
          <w:color w:val="000000" w:themeColor="text1"/>
          <w:spacing w:val="-10"/>
          <w:sz w:val="24"/>
          <w:szCs w:val="24"/>
        </w:rPr>
        <w:t>RAZVOJNE</w:t>
      </w:r>
      <w:r w:rsidRPr="00145379">
        <w:rPr>
          <w:b/>
          <w:color w:val="000000" w:themeColor="text1"/>
          <w:spacing w:val="-21"/>
          <w:sz w:val="24"/>
          <w:szCs w:val="24"/>
        </w:rPr>
        <w:t xml:space="preserve"> </w:t>
      </w:r>
      <w:r w:rsidRPr="00145379">
        <w:rPr>
          <w:b/>
          <w:color w:val="000000" w:themeColor="text1"/>
          <w:spacing w:val="-10"/>
          <w:sz w:val="24"/>
          <w:szCs w:val="24"/>
        </w:rPr>
        <w:t>STRATEGIJE REPUBLIKE HRVATSKE DO 2030. GODINE</w:t>
      </w:r>
      <w:r w:rsidR="00157083">
        <w:rPr>
          <w:b/>
          <w:color w:val="000000" w:themeColor="text1"/>
          <w:spacing w:val="-10"/>
          <w:sz w:val="24"/>
          <w:szCs w:val="24"/>
        </w:rPr>
        <w:t>,</w:t>
      </w:r>
    </w:p>
    <w:p w14:paraId="008E7E51" w14:textId="2E2A3536" w:rsidR="00222278" w:rsidRPr="00145379" w:rsidRDefault="00222278" w:rsidP="00222278">
      <w:pPr>
        <w:spacing w:before="85" w:line="276" w:lineRule="auto"/>
        <w:ind w:left="993" w:right="311" w:firstLine="141"/>
        <w:jc w:val="center"/>
        <w:rPr>
          <w:b/>
          <w:color w:val="000000" w:themeColor="text1"/>
          <w:sz w:val="24"/>
          <w:szCs w:val="24"/>
        </w:rPr>
      </w:pPr>
      <w:r w:rsidRPr="00145379">
        <w:rPr>
          <w:b/>
          <w:color w:val="000000" w:themeColor="text1"/>
          <w:spacing w:val="-10"/>
          <w:sz w:val="24"/>
          <w:szCs w:val="24"/>
        </w:rPr>
        <w:t>ZA 202</w:t>
      </w:r>
      <w:r>
        <w:rPr>
          <w:b/>
          <w:color w:val="000000" w:themeColor="text1"/>
          <w:spacing w:val="-10"/>
          <w:sz w:val="24"/>
          <w:szCs w:val="24"/>
        </w:rPr>
        <w:t>4</w:t>
      </w:r>
      <w:r w:rsidRPr="00145379">
        <w:rPr>
          <w:b/>
          <w:color w:val="000000" w:themeColor="text1"/>
          <w:spacing w:val="-10"/>
          <w:sz w:val="24"/>
          <w:szCs w:val="24"/>
        </w:rPr>
        <w:t xml:space="preserve">. </w:t>
      </w:r>
      <w:r w:rsidRPr="4045C1FA">
        <w:rPr>
          <w:b/>
          <w:bCs/>
          <w:color w:val="000000" w:themeColor="text1"/>
          <w:spacing w:val="-10"/>
          <w:sz w:val="24"/>
          <w:szCs w:val="24"/>
        </w:rPr>
        <w:t>GODIN</w:t>
      </w:r>
      <w:r w:rsidRPr="4045C1FA">
        <w:rPr>
          <w:b/>
          <w:bCs/>
          <w:color w:val="000000" w:themeColor="text1"/>
          <w:sz w:val="24"/>
          <w:szCs w:val="24"/>
        </w:rPr>
        <w:t>U</w:t>
      </w:r>
    </w:p>
    <w:p w14:paraId="75909D93" w14:textId="77777777" w:rsidR="00222278" w:rsidRPr="00145379" w:rsidRDefault="00222278" w:rsidP="00222278">
      <w:pPr>
        <w:spacing w:line="276" w:lineRule="auto"/>
        <w:rPr>
          <w:color w:val="000000" w:themeColor="text1"/>
          <w:sz w:val="24"/>
          <w:szCs w:val="24"/>
        </w:rPr>
      </w:pPr>
    </w:p>
    <w:p w14:paraId="47F9FA6D" w14:textId="77777777" w:rsidR="00222278" w:rsidRPr="00145379" w:rsidRDefault="00222278" w:rsidP="00222278">
      <w:pPr>
        <w:spacing w:line="276" w:lineRule="auto"/>
        <w:rPr>
          <w:color w:val="000000" w:themeColor="text1"/>
          <w:sz w:val="24"/>
          <w:szCs w:val="24"/>
        </w:rPr>
      </w:pPr>
    </w:p>
    <w:p w14:paraId="5C090DB9" w14:textId="77777777" w:rsidR="00222278" w:rsidRPr="00145379" w:rsidRDefault="00222278" w:rsidP="00222278">
      <w:pPr>
        <w:spacing w:line="276" w:lineRule="auto"/>
        <w:rPr>
          <w:color w:val="000000" w:themeColor="text1"/>
          <w:sz w:val="24"/>
          <w:szCs w:val="24"/>
        </w:rPr>
      </w:pPr>
    </w:p>
    <w:p w14:paraId="084C83A8" w14:textId="77777777" w:rsidR="00222278" w:rsidRDefault="00222278" w:rsidP="00222278">
      <w:pPr>
        <w:pStyle w:val="Default"/>
        <w:spacing w:line="276" w:lineRule="auto"/>
      </w:pPr>
    </w:p>
    <w:p w14:paraId="7A636658" w14:textId="77777777" w:rsidR="00222278" w:rsidRPr="00145379" w:rsidRDefault="00222278" w:rsidP="00222278">
      <w:pPr>
        <w:pStyle w:val="Default"/>
        <w:spacing w:line="276" w:lineRule="auto"/>
      </w:pPr>
    </w:p>
    <w:p w14:paraId="525A4583" w14:textId="77777777" w:rsidR="00222278" w:rsidRDefault="00222278" w:rsidP="00222278">
      <w:pPr>
        <w:pStyle w:val="Default"/>
        <w:spacing w:line="276" w:lineRule="auto"/>
      </w:pPr>
    </w:p>
    <w:p w14:paraId="6C29A30E" w14:textId="77777777" w:rsidR="00222278" w:rsidRDefault="00222278" w:rsidP="00222278">
      <w:pPr>
        <w:pStyle w:val="Default"/>
        <w:spacing w:line="276" w:lineRule="auto"/>
      </w:pPr>
    </w:p>
    <w:p w14:paraId="14614294" w14:textId="77777777" w:rsidR="00222278" w:rsidRDefault="00222278" w:rsidP="00222278">
      <w:pPr>
        <w:pStyle w:val="Default"/>
        <w:spacing w:line="276" w:lineRule="auto"/>
      </w:pPr>
    </w:p>
    <w:p w14:paraId="7243F038" w14:textId="77777777" w:rsidR="00222278" w:rsidRDefault="00222278" w:rsidP="00222278">
      <w:pPr>
        <w:pStyle w:val="Default"/>
        <w:spacing w:line="276" w:lineRule="auto"/>
      </w:pPr>
    </w:p>
    <w:p w14:paraId="336386FC" w14:textId="77777777" w:rsidR="00222278" w:rsidRDefault="00222278" w:rsidP="00222278">
      <w:pPr>
        <w:pStyle w:val="Default"/>
        <w:spacing w:line="276" w:lineRule="auto"/>
      </w:pPr>
    </w:p>
    <w:p w14:paraId="0C3E47F1" w14:textId="77777777" w:rsidR="00222278" w:rsidRDefault="00222278" w:rsidP="00222278">
      <w:pPr>
        <w:pStyle w:val="Default"/>
        <w:spacing w:line="276" w:lineRule="auto"/>
      </w:pPr>
    </w:p>
    <w:p w14:paraId="4C5AAC96" w14:textId="77777777" w:rsidR="00222278" w:rsidRPr="00145379" w:rsidRDefault="00222278" w:rsidP="00222278">
      <w:pPr>
        <w:pStyle w:val="Default"/>
        <w:spacing w:line="276" w:lineRule="auto"/>
      </w:pPr>
    </w:p>
    <w:p w14:paraId="4D9BCDA2" w14:textId="77777777" w:rsidR="00222278" w:rsidRPr="00145379" w:rsidRDefault="00222278" w:rsidP="00222278">
      <w:pPr>
        <w:pStyle w:val="Default"/>
        <w:spacing w:line="276" w:lineRule="auto"/>
      </w:pPr>
    </w:p>
    <w:p w14:paraId="6D2CA334" w14:textId="77777777" w:rsidR="003367EA" w:rsidRPr="00145379" w:rsidRDefault="00222278" w:rsidP="003367EA">
      <w:pPr>
        <w:pStyle w:val="Default"/>
        <w:spacing w:line="276" w:lineRule="auto"/>
      </w:pPr>
      <w:r w:rsidRPr="00145379">
        <w:rPr>
          <w:noProof/>
          <w:color w:val="000000" w:themeColor="text1"/>
          <w:lang w:eastAsia="hr-HR"/>
        </w:rPr>
        <mc:AlternateContent>
          <mc:Choice Requires="wps">
            <w:drawing>
              <wp:anchor distT="0" distB="0" distL="114300" distR="114300" simplePos="0" relativeHeight="251658241" behindDoc="0" locked="0" layoutInCell="1" allowOverlap="1" wp14:anchorId="0CF1E564" wp14:editId="36F9DDF5">
                <wp:simplePos x="0" y="0"/>
                <wp:positionH relativeFrom="column">
                  <wp:posOffset>34925</wp:posOffset>
                </wp:positionH>
                <wp:positionV relativeFrom="paragraph">
                  <wp:posOffset>78740</wp:posOffset>
                </wp:positionV>
                <wp:extent cx="5822315" cy="0"/>
                <wp:effectExtent l="0" t="0" r="0" b="0"/>
                <wp:wrapNone/>
                <wp:docPr id="1062909667" name="Straight Connector 1062909667"/>
                <wp:cNvGraphicFramePr/>
                <a:graphic xmlns:a="http://schemas.openxmlformats.org/drawingml/2006/main">
                  <a:graphicData uri="http://schemas.microsoft.com/office/word/2010/wordprocessingShape">
                    <wps:wsp>
                      <wps:cNvCnPr/>
                      <wps:spPr>
                        <a:xfrm flipV="1">
                          <a:off x="0" y="0"/>
                          <a:ext cx="5822315" cy="0"/>
                        </a:xfrm>
                        <a:prstGeom prst="line">
                          <a:avLst/>
                        </a:prstGeom>
                        <a:noFill/>
                        <a:ln w="158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9F38D45" id="Straight Connector 1062909667"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5pt,6.2pt" to="461.2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" strokecolor="windowText" strokeweight="1.25pt"/>
            </w:pict>
          </mc:Fallback>
        </mc:AlternateContent>
      </w:r>
    </w:p>
    <w:p w14:paraId="63D7C44D" w14:textId="148D7B06" w:rsidR="00FB178A" w:rsidRPr="00FB178A" w:rsidRDefault="003367EA" w:rsidP="00FB178A">
      <w:pPr>
        <w:pStyle w:val="TOCHeading"/>
        <w:spacing w:before="0" w:line="276" w:lineRule="auto"/>
        <w:jc w:val="center"/>
        <w:rPr>
          <w:rFonts w:ascii="Times New Roman" w:hAnsi="Times New Roman" w:cs="Times New Roman"/>
          <w:b/>
          <w:color w:val="000000" w:themeColor="text1"/>
          <w:sz w:val="24"/>
          <w:szCs w:val="24"/>
        </w:rPr>
      </w:pPr>
      <w:r w:rsidRPr="00157083">
        <w:rPr>
          <w:rFonts w:ascii="Times New Roman" w:hAnsi="Times New Roman" w:cs="Times New Roman"/>
          <w:b/>
          <w:color w:val="000000" w:themeColor="text1"/>
          <w:sz w:val="24"/>
          <w:szCs w:val="24"/>
        </w:rPr>
        <w:t xml:space="preserve">Zagreb, </w:t>
      </w:r>
      <w:r w:rsidR="00623BDB" w:rsidRPr="00157083">
        <w:rPr>
          <w:rFonts w:ascii="Times New Roman" w:hAnsi="Times New Roman" w:cs="Times New Roman"/>
          <w:b/>
          <w:color w:val="000000" w:themeColor="text1"/>
          <w:sz w:val="24"/>
          <w:szCs w:val="24"/>
        </w:rPr>
        <w:t>travanj</w:t>
      </w:r>
      <w:r w:rsidR="00E878D6" w:rsidRPr="00157083">
        <w:rPr>
          <w:rFonts w:ascii="Times New Roman" w:hAnsi="Times New Roman" w:cs="Times New Roman"/>
          <w:b/>
          <w:color w:val="000000" w:themeColor="text1"/>
          <w:sz w:val="24"/>
          <w:szCs w:val="24"/>
        </w:rPr>
        <w:t xml:space="preserve"> </w:t>
      </w:r>
      <w:r w:rsidRPr="00157083">
        <w:rPr>
          <w:rFonts w:ascii="Times New Roman" w:hAnsi="Times New Roman" w:cs="Times New Roman"/>
          <w:b/>
          <w:color w:val="000000" w:themeColor="text1"/>
          <w:sz w:val="24"/>
          <w:szCs w:val="24"/>
        </w:rPr>
        <w:t>202</w:t>
      </w:r>
      <w:r w:rsidR="00E01901" w:rsidRPr="00157083">
        <w:rPr>
          <w:rFonts w:ascii="Times New Roman" w:hAnsi="Times New Roman" w:cs="Times New Roman"/>
          <w:b/>
          <w:color w:val="000000" w:themeColor="text1"/>
          <w:sz w:val="24"/>
          <w:szCs w:val="24"/>
        </w:rPr>
        <w:t>6</w:t>
      </w:r>
      <w:r w:rsidRPr="00157083">
        <w:rPr>
          <w:rFonts w:ascii="Times New Roman" w:hAnsi="Times New Roman" w:cs="Times New Roman"/>
          <w:b/>
          <w:color w:val="000000" w:themeColor="text1"/>
          <w:sz w:val="24"/>
          <w:szCs w:val="24"/>
        </w:rPr>
        <w:t>.</w:t>
      </w:r>
      <w:bookmarkStart w:id="0" w:name="_GoBack"/>
      <w:bookmarkEnd w:id="0"/>
    </w:p>
    <w:p w14:paraId="6792AB24" w14:textId="77777777" w:rsidR="00FB178A" w:rsidRDefault="00FB178A" w:rsidP="00FB178A"/>
    <w:p w14:paraId="00BC76DF" w14:textId="77777777" w:rsidR="00FB178A" w:rsidRPr="00222278" w:rsidRDefault="00FB178A" w:rsidP="00FB178A"/>
    <w:sdt>
      <w:sdtPr>
        <w:rPr>
          <w:rFonts w:eastAsia="Times New Roman"/>
          <w:color w:val="auto"/>
        </w:rPr>
        <w:id w:val="1789510036"/>
        <w:docPartObj>
          <w:docPartGallery w:val="Table of Contents"/>
          <w:docPartUnique/>
        </w:docPartObj>
      </w:sdtPr>
      <w:sdtContent>
        <w:p w14:paraId="592906FA" w14:textId="77777777" w:rsidR="00FB178A" w:rsidRPr="00145379" w:rsidRDefault="00FB178A" w:rsidP="00FB178A">
          <w:pPr>
            <w:pStyle w:val="Default"/>
            <w:spacing w:line="276" w:lineRule="auto"/>
            <w:rPr>
              <w:b/>
              <w:bCs/>
              <w:color w:val="auto"/>
            </w:rPr>
          </w:pPr>
          <w:r w:rsidRPr="7B8BC2C2">
            <w:rPr>
              <w:b/>
              <w:bCs/>
              <w:color w:val="auto"/>
            </w:rPr>
            <w:t>SADRŽAJ</w:t>
          </w:r>
        </w:p>
        <w:p w14:paraId="15FD86FB" w14:textId="77777777" w:rsidR="00FB178A" w:rsidRDefault="00FB178A" w:rsidP="00FB178A">
          <w:pPr>
            <w:pStyle w:val="TOC1"/>
            <w:tabs>
              <w:tab w:val="right" w:leader="dot" w:pos="9348"/>
            </w:tabs>
            <w:rPr>
              <w:rFonts w:asciiTheme="minorHAnsi" w:eastAsiaTheme="minorEastAsia" w:hAnsiTheme="minorHAnsi" w:cstheme="minorBidi"/>
              <w:b w:val="0"/>
              <w:bCs w:val="0"/>
              <w:noProof/>
              <w:kern w:val="2"/>
              <w:lang w:eastAsia="hr-HR"/>
              <w14:ligatures w14:val="standardContextual"/>
            </w:rPr>
          </w:pPr>
          <w:r>
            <w:fldChar w:fldCharType="begin"/>
          </w:r>
          <w:r>
            <w:instrText>TOC \o "1-3" \z \u \h</w:instrText>
          </w:r>
          <w:r>
            <w:fldChar w:fldCharType="separate"/>
          </w:r>
          <w:hyperlink w:anchor="_Toc223002921" w:history="1">
            <w:r w:rsidRPr="00801BA7">
              <w:rPr>
                <w:rStyle w:val="Hyperlink"/>
                <w:noProof/>
              </w:rPr>
              <w:t>Uvod</w:t>
            </w:r>
            <w:r>
              <w:rPr>
                <w:noProof/>
                <w:webHidden/>
              </w:rPr>
              <w:tab/>
              <w:t>……………………………………………………………………………………………..</w:t>
            </w:r>
            <w:r>
              <w:rPr>
                <w:noProof/>
                <w:webHidden/>
              </w:rPr>
              <w:fldChar w:fldCharType="begin"/>
            </w:r>
            <w:r>
              <w:rPr>
                <w:noProof/>
                <w:webHidden/>
              </w:rPr>
              <w:instrText xml:space="preserve"> PAGEREF _Toc223002921 \h </w:instrText>
            </w:r>
            <w:r>
              <w:rPr>
                <w:noProof/>
                <w:webHidden/>
              </w:rPr>
            </w:r>
            <w:r>
              <w:rPr>
                <w:noProof/>
                <w:webHidden/>
              </w:rPr>
              <w:fldChar w:fldCharType="separate"/>
            </w:r>
            <w:r>
              <w:rPr>
                <w:noProof/>
                <w:webHidden/>
              </w:rPr>
              <w:t>6</w:t>
            </w:r>
            <w:r>
              <w:rPr>
                <w:noProof/>
                <w:webHidden/>
              </w:rPr>
              <w:fldChar w:fldCharType="end"/>
            </w:r>
          </w:hyperlink>
        </w:p>
        <w:p w14:paraId="3A30082D" w14:textId="77777777" w:rsidR="00FB178A" w:rsidRDefault="00FB178A" w:rsidP="00FB178A">
          <w:pPr>
            <w:pStyle w:val="TOC1"/>
            <w:tabs>
              <w:tab w:val="right" w:leader="dot" w:pos="9348"/>
            </w:tabs>
            <w:rPr>
              <w:rFonts w:asciiTheme="minorHAnsi" w:eastAsiaTheme="minorEastAsia" w:hAnsiTheme="minorHAnsi" w:cstheme="minorBidi"/>
              <w:b w:val="0"/>
              <w:bCs w:val="0"/>
              <w:noProof/>
              <w:kern w:val="2"/>
              <w:lang w:eastAsia="hr-HR"/>
              <w14:ligatures w14:val="standardContextual"/>
            </w:rPr>
          </w:pPr>
          <w:hyperlink w:anchor="_Toc223002922" w:history="1">
            <w:r w:rsidRPr="00801BA7">
              <w:rPr>
                <w:rStyle w:val="Hyperlink"/>
                <w:noProof/>
              </w:rPr>
              <w:t>Izvješće o provedbi strateških ciljeva Nacionalne razvojne strategije</w:t>
            </w:r>
            <w:r>
              <w:rPr>
                <w:noProof/>
                <w:webHidden/>
              </w:rPr>
              <w:tab/>
            </w:r>
            <w:r>
              <w:rPr>
                <w:noProof/>
                <w:webHidden/>
              </w:rPr>
              <w:fldChar w:fldCharType="begin"/>
            </w:r>
            <w:r>
              <w:rPr>
                <w:noProof/>
                <w:webHidden/>
              </w:rPr>
              <w:instrText xml:space="preserve"> PAGEREF _Toc223002922 \h </w:instrText>
            </w:r>
            <w:r>
              <w:rPr>
                <w:noProof/>
                <w:webHidden/>
              </w:rPr>
            </w:r>
            <w:r>
              <w:rPr>
                <w:noProof/>
                <w:webHidden/>
              </w:rPr>
              <w:fldChar w:fldCharType="separate"/>
            </w:r>
            <w:r>
              <w:rPr>
                <w:noProof/>
                <w:webHidden/>
              </w:rPr>
              <w:t>8</w:t>
            </w:r>
            <w:r>
              <w:rPr>
                <w:noProof/>
                <w:webHidden/>
              </w:rPr>
              <w:fldChar w:fldCharType="end"/>
            </w:r>
          </w:hyperlink>
        </w:p>
        <w:p w14:paraId="5FB67AA4" w14:textId="77777777" w:rsidR="00FB178A" w:rsidRDefault="00FB178A" w:rsidP="00FB178A">
          <w:pPr>
            <w:pStyle w:val="TOC2"/>
            <w:tabs>
              <w:tab w:val="left" w:pos="851"/>
              <w:tab w:val="right" w:leader="dot" w:pos="9348"/>
            </w:tabs>
            <w:ind w:left="567"/>
            <w:rPr>
              <w:rFonts w:asciiTheme="minorHAnsi" w:eastAsiaTheme="minorEastAsia" w:hAnsiTheme="minorHAnsi" w:cstheme="minorBidi"/>
              <w:noProof/>
              <w:kern w:val="2"/>
              <w:lang w:eastAsia="hr-HR"/>
              <w14:ligatures w14:val="standardContextual"/>
            </w:rPr>
          </w:pPr>
          <w:hyperlink w:anchor="_Toc223002923" w:history="1">
            <w:r w:rsidRPr="00801BA7">
              <w:rPr>
                <w:rStyle w:val="Hyperlink"/>
                <w:noProof/>
              </w:rPr>
              <w:t>1.</w:t>
            </w:r>
            <w:r>
              <w:rPr>
                <w:rFonts w:asciiTheme="minorHAnsi" w:eastAsiaTheme="minorEastAsia" w:hAnsiTheme="minorHAnsi" w:cstheme="minorBidi"/>
                <w:noProof/>
                <w:kern w:val="2"/>
                <w:lang w:eastAsia="hr-HR"/>
                <w14:ligatures w14:val="standardContextual"/>
              </w:rPr>
              <w:tab/>
            </w:r>
            <w:r w:rsidRPr="00801BA7">
              <w:rPr>
                <w:rStyle w:val="Hyperlink"/>
                <w:noProof/>
              </w:rPr>
              <w:t>Konkurentno i inovativno gospodarstvo</w:t>
            </w:r>
            <w:r>
              <w:rPr>
                <w:noProof/>
                <w:webHidden/>
              </w:rPr>
              <w:tab/>
            </w:r>
            <w:r>
              <w:rPr>
                <w:noProof/>
                <w:webHidden/>
              </w:rPr>
              <w:fldChar w:fldCharType="begin"/>
            </w:r>
            <w:r>
              <w:rPr>
                <w:noProof/>
                <w:webHidden/>
              </w:rPr>
              <w:instrText xml:space="preserve"> PAGEREF _Toc223002923 \h </w:instrText>
            </w:r>
            <w:r>
              <w:rPr>
                <w:noProof/>
                <w:webHidden/>
              </w:rPr>
            </w:r>
            <w:r>
              <w:rPr>
                <w:noProof/>
                <w:webHidden/>
              </w:rPr>
              <w:fldChar w:fldCharType="separate"/>
            </w:r>
            <w:r>
              <w:rPr>
                <w:noProof/>
                <w:webHidden/>
              </w:rPr>
              <w:t>8</w:t>
            </w:r>
            <w:r>
              <w:rPr>
                <w:noProof/>
                <w:webHidden/>
              </w:rPr>
              <w:fldChar w:fldCharType="end"/>
            </w:r>
          </w:hyperlink>
        </w:p>
        <w:p w14:paraId="768BCCAD" w14:textId="77777777" w:rsidR="00FB178A" w:rsidRDefault="00FB178A" w:rsidP="00FB178A">
          <w:pPr>
            <w:pStyle w:val="TOC3"/>
            <w:tabs>
              <w:tab w:val="right" w:leader="dot" w:pos="9348"/>
            </w:tabs>
            <w:rPr>
              <w:rFonts w:asciiTheme="minorHAnsi" w:eastAsiaTheme="minorEastAsia" w:hAnsiTheme="minorHAnsi" w:cstheme="minorBidi"/>
              <w:noProof/>
              <w:kern w:val="2"/>
              <w:sz w:val="24"/>
              <w:szCs w:val="24"/>
              <w:lang w:eastAsia="hr-HR"/>
              <w14:ligatures w14:val="standardContextual"/>
            </w:rPr>
          </w:pPr>
          <w:hyperlink w:anchor="_Toc223002924" w:history="1">
            <w:r w:rsidRPr="00801BA7">
              <w:rPr>
                <w:rStyle w:val="Hyperlink"/>
                <w:noProof/>
              </w:rPr>
              <w:t>1.1. Ostvarene vrijednosti pokazatelja uspješnosti</w:t>
            </w:r>
            <w:r>
              <w:rPr>
                <w:noProof/>
                <w:webHidden/>
              </w:rPr>
              <w:tab/>
            </w:r>
            <w:r>
              <w:rPr>
                <w:noProof/>
                <w:webHidden/>
              </w:rPr>
              <w:fldChar w:fldCharType="begin"/>
            </w:r>
            <w:r>
              <w:rPr>
                <w:noProof/>
                <w:webHidden/>
              </w:rPr>
              <w:instrText xml:space="preserve"> PAGEREF _Toc223002924 \h </w:instrText>
            </w:r>
            <w:r>
              <w:rPr>
                <w:noProof/>
                <w:webHidden/>
              </w:rPr>
            </w:r>
            <w:r>
              <w:rPr>
                <w:noProof/>
                <w:webHidden/>
              </w:rPr>
              <w:fldChar w:fldCharType="separate"/>
            </w:r>
            <w:r>
              <w:rPr>
                <w:noProof/>
                <w:webHidden/>
              </w:rPr>
              <w:t>8</w:t>
            </w:r>
            <w:r>
              <w:rPr>
                <w:noProof/>
                <w:webHidden/>
              </w:rPr>
              <w:fldChar w:fldCharType="end"/>
            </w:r>
          </w:hyperlink>
        </w:p>
        <w:p w14:paraId="6C3806A6" w14:textId="77777777" w:rsidR="00FB178A" w:rsidRDefault="00FB178A" w:rsidP="00FB178A">
          <w:pPr>
            <w:pStyle w:val="TOC3"/>
            <w:tabs>
              <w:tab w:val="right" w:leader="dot" w:pos="9348"/>
            </w:tabs>
            <w:rPr>
              <w:rFonts w:asciiTheme="minorHAnsi" w:eastAsiaTheme="minorEastAsia" w:hAnsiTheme="minorHAnsi" w:cstheme="minorBidi"/>
              <w:noProof/>
              <w:kern w:val="2"/>
              <w:sz w:val="24"/>
              <w:szCs w:val="24"/>
              <w:lang w:eastAsia="hr-HR"/>
              <w14:ligatures w14:val="standardContextual"/>
            </w:rPr>
          </w:pPr>
          <w:hyperlink w:anchor="_Toc223002925" w:history="1">
            <w:r w:rsidRPr="00801BA7">
              <w:rPr>
                <w:rStyle w:val="Hyperlink"/>
                <w:noProof/>
              </w:rPr>
              <w:t>1.2. Opis napretka u provedbi strateškog cilja Konkurentno i inovativno gospodarstvo</w:t>
            </w:r>
            <w:r>
              <w:rPr>
                <w:noProof/>
                <w:webHidden/>
              </w:rPr>
              <w:tab/>
            </w:r>
            <w:r>
              <w:rPr>
                <w:noProof/>
                <w:webHidden/>
              </w:rPr>
              <w:fldChar w:fldCharType="begin"/>
            </w:r>
            <w:r>
              <w:rPr>
                <w:noProof/>
                <w:webHidden/>
              </w:rPr>
              <w:instrText xml:space="preserve"> PAGEREF _Toc223002925 \h </w:instrText>
            </w:r>
            <w:r>
              <w:rPr>
                <w:noProof/>
                <w:webHidden/>
              </w:rPr>
            </w:r>
            <w:r>
              <w:rPr>
                <w:noProof/>
                <w:webHidden/>
              </w:rPr>
              <w:fldChar w:fldCharType="separate"/>
            </w:r>
            <w:r>
              <w:rPr>
                <w:noProof/>
                <w:webHidden/>
              </w:rPr>
              <w:t>8</w:t>
            </w:r>
            <w:r>
              <w:rPr>
                <w:noProof/>
                <w:webHidden/>
              </w:rPr>
              <w:fldChar w:fldCharType="end"/>
            </w:r>
          </w:hyperlink>
        </w:p>
        <w:p w14:paraId="3C640D9C" w14:textId="77777777" w:rsidR="00FB178A" w:rsidRDefault="00FB178A" w:rsidP="00FB178A">
          <w:pPr>
            <w:pStyle w:val="TOC2"/>
            <w:tabs>
              <w:tab w:val="left" w:pos="709"/>
              <w:tab w:val="right" w:leader="dot" w:pos="9348"/>
            </w:tabs>
            <w:ind w:left="426"/>
            <w:rPr>
              <w:rFonts w:asciiTheme="minorHAnsi" w:eastAsiaTheme="minorEastAsia" w:hAnsiTheme="minorHAnsi" w:cstheme="minorBidi"/>
              <w:noProof/>
              <w:kern w:val="2"/>
              <w:lang w:eastAsia="hr-HR"/>
              <w14:ligatures w14:val="standardContextual"/>
            </w:rPr>
          </w:pPr>
          <w:hyperlink w:anchor="_Toc223002926" w:history="1">
            <w:r w:rsidRPr="00801BA7">
              <w:rPr>
                <w:rStyle w:val="Hyperlink"/>
                <w:noProof/>
              </w:rPr>
              <w:t xml:space="preserve">2. </w:t>
            </w:r>
            <w:r>
              <w:rPr>
                <w:rFonts w:asciiTheme="minorHAnsi" w:eastAsiaTheme="minorEastAsia" w:hAnsiTheme="minorHAnsi" w:cstheme="minorBidi"/>
                <w:noProof/>
                <w:kern w:val="2"/>
                <w:lang w:eastAsia="hr-HR"/>
                <w14:ligatures w14:val="standardContextual"/>
              </w:rPr>
              <w:tab/>
            </w:r>
            <w:r w:rsidRPr="00801BA7">
              <w:rPr>
                <w:rStyle w:val="Hyperlink"/>
                <w:noProof/>
              </w:rPr>
              <w:t>Obrazovani i zaposleni ljudi</w:t>
            </w:r>
            <w:r>
              <w:rPr>
                <w:noProof/>
                <w:webHidden/>
              </w:rPr>
              <w:tab/>
            </w:r>
            <w:r>
              <w:rPr>
                <w:noProof/>
                <w:webHidden/>
              </w:rPr>
              <w:fldChar w:fldCharType="begin"/>
            </w:r>
            <w:r>
              <w:rPr>
                <w:noProof/>
                <w:webHidden/>
              </w:rPr>
              <w:instrText xml:space="preserve"> PAGEREF _Toc223002926 \h </w:instrText>
            </w:r>
            <w:r>
              <w:rPr>
                <w:noProof/>
                <w:webHidden/>
              </w:rPr>
            </w:r>
            <w:r>
              <w:rPr>
                <w:noProof/>
                <w:webHidden/>
              </w:rPr>
              <w:fldChar w:fldCharType="separate"/>
            </w:r>
            <w:r>
              <w:rPr>
                <w:noProof/>
                <w:webHidden/>
              </w:rPr>
              <w:t>26</w:t>
            </w:r>
            <w:r>
              <w:rPr>
                <w:noProof/>
                <w:webHidden/>
              </w:rPr>
              <w:fldChar w:fldCharType="end"/>
            </w:r>
          </w:hyperlink>
        </w:p>
        <w:p w14:paraId="656AE486" w14:textId="77777777" w:rsidR="00FB178A" w:rsidRDefault="00FB178A" w:rsidP="00FB178A">
          <w:pPr>
            <w:pStyle w:val="TOC3"/>
            <w:tabs>
              <w:tab w:val="right" w:leader="dot" w:pos="9348"/>
            </w:tabs>
            <w:rPr>
              <w:rFonts w:asciiTheme="minorHAnsi" w:eastAsiaTheme="minorEastAsia" w:hAnsiTheme="minorHAnsi" w:cstheme="minorBidi"/>
              <w:noProof/>
              <w:kern w:val="2"/>
              <w:sz w:val="24"/>
              <w:szCs w:val="24"/>
              <w:lang w:eastAsia="hr-HR"/>
              <w14:ligatures w14:val="standardContextual"/>
            </w:rPr>
          </w:pPr>
          <w:hyperlink w:anchor="_Toc223002927" w:history="1">
            <w:r w:rsidRPr="00801BA7">
              <w:rPr>
                <w:rStyle w:val="Hyperlink"/>
                <w:noProof/>
              </w:rPr>
              <w:t>2.1. Ostvarene vrijednosti pokazatelja uspješnosti</w:t>
            </w:r>
            <w:r>
              <w:rPr>
                <w:noProof/>
                <w:webHidden/>
              </w:rPr>
              <w:tab/>
            </w:r>
            <w:r>
              <w:rPr>
                <w:noProof/>
                <w:webHidden/>
              </w:rPr>
              <w:fldChar w:fldCharType="begin"/>
            </w:r>
            <w:r>
              <w:rPr>
                <w:noProof/>
                <w:webHidden/>
              </w:rPr>
              <w:instrText xml:space="preserve"> PAGEREF _Toc223002927 \h </w:instrText>
            </w:r>
            <w:r>
              <w:rPr>
                <w:noProof/>
                <w:webHidden/>
              </w:rPr>
            </w:r>
            <w:r>
              <w:rPr>
                <w:noProof/>
                <w:webHidden/>
              </w:rPr>
              <w:fldChar w:fldCharType="separate"/>
            </w:r>
            <w:r>
              <w:rPr>
                <w:noProof/>
                <w:webHidden/>
              </w:rPr>
              <w:t>26</w:t>
            </w:r>
            <w:r>
              <w:rPr>
                <w:noProof/>
                <w:webHidden/>
              </w:rPr>
              <w:fldChar w:fldCharType="end"/>
            </w:r>
          </w:hyperlink>
        </w:p>
        <w:p w14:paraId="50CDD420" w14:textId="77777777" w:rsidR="00FB178A" w:rsidRDefault="00FB178A" w:rsidP="00FB178A">
          <w:pPr>
            <w:pStyle w:val="TOC3"/>
            <w:tabs>
              <w:tab w:val="right" w:leader="dot" w:pos="9348"/>
            </w:tabs>
            <w:rPr>
              <w:rFonts w:asciiTheme="minorHAnsi" w:eastAsiaTheme="minorEastAsia" w:hAnsiTheme="minorHAnsi" w:cstheme="minorBidi"/>
              <w:noProof/>
              <w:kern w:val="2"/>
              <w:sz w:val="24"/>
              <w:szCs w:val="24"/>
              <w:lang w:eastAsia="hr-HR"/>
              <w14:ligatures w14:val="standardContextual"/>
            </w:rPr>
          </w:pPr>
          <w:hyperlink w:anchor="_Toc223002928" w:history="1">
            <w:r w:rsidRPr="00801BA7">
              <w:rPr>
                <w:rStyle w:val="Hyperlink"/>
                <w:noProof/>
              </w:rPr>
              <w:t>2.2. Opis napretka u provedbi strateškog cilja Obrazovani i zaposleni ljudi</w:t>
            </w:r>
            <w:r>
              <w:rPr>
                <w:noProof/>
                <w:webHidden/>
              </w:rPr>
              <w:tab/>
            </w:r>
            <w:r>
              <w:rPr>
                <w:noProof/>
                <w:webHidden/>
              </w:rPr>
              <w:fldChar w:fldCharType="begin"/>
            </w:r>
            <w:r>
              <w:rPr>
                <w:noProof/>
                <w:webHidden/>
              </w:rPr>
              <w:instrText xml:space="preserve"> PAGEREF _Toc223002928 \h </w:instrText>
            </w:r>
            <w:r>
              <w:rPr>
                <w:noProof/>
                <w:webHidden/>
              </w:rPr>
            </w:r>
            <w:r>
              <w:rPr>
                <w:noProof/>
                <w:webHidden/>
              </w:rPr>
              <w:fldChar w:fldCharType="separate"/>
            </w:r>
            <w:r>
              <w:rPr>
                <w:noProof/>
                <w:webHidden/>
              </w:rPr>
              <w:t>27</w:t>
            </w:r>
            <w:r>
              <w:rPr>
                <w:noProof/>
                <w:webHidden/>
              </w:rPr>
              <w:fldChar w:fldCharType="end"/>
            </w:r>
          </w:hyperlink>
        </w:p>
        <w:p w14:paraId="034FBB9A" w14:textId="77777777" w:rsidR="00FB178A" w:rsidRDefault="00FB178A" w:rsidP="00FB178A">
          <w:pPr>
            <w:pStyle w:val="TOC2"/>
            <w:tabs>
              <w:tab w:val="right" w:leader="dot" w:pos="9348"/>
            </w:tabs>
            <w:ind w:left="426"/>
            <w:rPr>
              <w:rFonts w:asciiTheme="minorHAnsi" w:eastAsiaTheme="minorEastAsia" w:hAnsiTheme="minorHAnsi" w:cstheme="minorBidi"/>
              <w:noProof/>
              <w:kern w:val="2"/>
              <w:lang w:eastAsia="hr-HR"/>
              <w14:ligatures w14:val="standardContextual"/>
            </w:rPr>
          </w:pPr>
          <w:hyperlink w:anchor="_Toc223002929" w:history="1">
            <w:r w:rsidRPr="00801BA7">
              <w:rPr>
                <w:rStyle w:val="Hyperlink"/>
                <w:noProof/>
              </w:rPr>
              <w:t>3. Učinkovito i djelotvorno pravosuđe, javna uprava i upravljanje državnom imovinom</w:t>
            </w:r>
            <w:r>
              <w:rPr>
                <w:noProof/>
                <w:webHidden/>
              </w:rPr>
              <w:tab/>
            </w:r>
            <w:r>
              <w:rPr>
                <w:noProof/>
                <w:webHidden/>
              </w:rPr>
              <w:fldChar w:fldCharType="begin"/>
            </w:r>
            <w:r>
              <w:rPr>
                <w:noProof/>
                <w:webHidden/>
              </w:rPr>
              <w:instrText xml:space="preserve"> PAGEREF _Toc223002929 \h </w:instrText>
            </w:r>
            <w:r>
              <w:rPr>
                <w:noProof/>
                <w:webHidden/>
              </w:rPr>
            </w:r>
            <w:r>
              <w:rPr>
                <w:noProof/>
                <w:webHidden/>
              </w:rPr>
              <w:fldChar w:fldCharType="separate"/>
            </w:r>
            <w:r>
              <w:rPr>
                <w:noProof/>
                <w:webHidden/>
              </w:rPr>
              <w:t>36</w:t>
            </w:r>
            <w:r>
              <w:rPr>
                <w:noProof/>
                <w:webHidden/>
              </w:rPr>
              <w:fldChar w:fldCharType="end"/>
            </w:r>
          </w:hyperlink>
        </w:p>
        <w:p w14:paraId="24DCAC9C" w14:textId="77777777" w:rsidR="00FB178A" w:rsidRDefault="00FB178A" w:rsidP="00FB178A">
          <w:pPr>
            <w:pStyle w:val="TOC3"/>
            <w:tabs>
              <w:tab w:val="right" w:leader="dot" w:pos="9348"/>
            </w:tabs>
            <w:rPr>
              <w:rFonts w:asciiTheme="minorHAnsi" w:eastAsiaTheme="minorEastAsia" w:hAnsiTheme="minorHAnsi" w:cstheme="minorBidi"/>
              <w:noProof/>
              <w:kern w:val="2"/>
              <w:sz w:val="24"/>
              <w:szCs w:val="24"/>
              <w:lang w:eastAsia="hr-HR"/>
              <w14:ligatures w14:val="standardContextual"/>
            </w:rPr>
          </w:pPr>
          <w:hyperlink w:anchor="_Toc223002930" w:history="1">
            <w:r w:rsidRPr="00801BA7">
              <w:rPr>
                <w:rStyle w:val="Hyperlink"/>
                <w:noProof/>
              </w:rPr>
              <w:t>3.1. Ostvarene vrijednosti pokazatelja uspješnosti</w:t>
            </w:r>
            <w:r>
              <w:rPr>
                <w:noProof/>
                <w:webHidden/>
              </w:rPr>
              <w:tab/>
            </w:r>
            <w:r>
              <w:rPr>
                <w:noProof/>
                <w:webHidden/>
              </w:rPr>
              <w:fldChar w:fldCharType="begin"/>
            </w:r>
            <w:r>
              <w:rPr>
                <w:noProof/>
                <w:webHidden/>
              </w:rPr>
              <w:instrText xml:space="preserve"> PAGEREF _Toc223002930 \h </w:instrText>
            </w:r>
            <w:r>
              <w:rPr>
                <w:noProof/>
                <w:webHidden/>
              </w:rPr>
            </w:r>
            <w:r>
              <w:rPr>
                <w:noProof/>
                <w:webHidden/>
              </w:rPr>
              <w:fldChar w:fldCharType="separate"/>
            </w:r>
            <w:r>
              <w:rPr>
                <w:noProof/>
                <w:webHidden/>
              </w:rPr>
              <w:t>36</w:t>
            </w:r>
            <w:r>
              <w:rPr>
                <w:noProof/>
                <w:webHidden/>
              </w:rPr>
              <w:fldChar w:fldCharType="end"/>
            </w:r>
          </w:hyperlink>
        </w:p>
        <w:p w14:paraId="40D68FDA" w14:textId="77777777" w:rsidR="00FB178A" w:rsidRDefault="00FB178A" w:rsidP="00FB178A">
          <w:pPr>
            <w:pStyle w:val="TOC3"/>
            <w:tabs>
              <w:tab w:val="right" w:leader="dot" w:pos="9348"/>
            </w:tabs>
            <w:ind w:left="1134" w:hanging="433"/>
            <w:rPr>
              <w:rFonts w:asciiTheme="minorHAnsi" w:eastAsiaTheme="minorEastAsia" w:hAnsiTheme="minorHAnsi" w:cstheme="minorBidi"/>
              <w:noProof/>
              <w:kern w:val="2"/>
              <w:sz w:val="24"/>
              <w:szCs w:val="24"/>
              <w:lang w:eastAsia="hr-HR"/>
              <w14:ligatures w14:val="standardContextual"/>
            </w:rPr>
          </w:pPr>
          <w:hyperlink w:anchor="_Toc223002931" w:history="1">
            <w:r w:rsidRPr="00801BA7">
              <w:rPr>
                <w:rStyle w:val="Hyperlink"/>
                <w:noProof/>
              </w:rPr>
              <w:t>3.2. Opis napretka u provedbi strateškog cilja Učinkovito i djelotvorno pravosuđe, javna uprava i upravljanje državnom imovinom</w:t>
            </w:r>
            <w:r>
              <w:rPr>
                <w:noProof/>
                <w:webHidden/>
              </w:rPr>
              <w:tab/>
            </w:r>
            <w:r>
              <w:rPr>
                <w:noProof/>
                <w:webHidden/>
              </w:rPr>
              <w:fldChar w:fldCharType="begin"/>
            </w:r>
            <w:r>
              <w:rPr>
                <w:noProof/>
                <w:webHidden/>
              </w:rPr>
              <w:instrText xml:space="preserve"> PAGEREF _Toc223002931 \h </w:instrText>
            </w:r>
            <w:r>
              <w:rPr>
                <w:noProof/>
                <w:webHidden/>
              </w:rPr>
            </w:r>
            <w:r>
              <w:rPr>
                <w:noProof/>
                <w:webHidden/>
              </w:rPr>
              <w:fldChar w:fldCharType="separate"/>
            </w:r>
            <w:r>
              <w:rPr>
                <w:noProof/>
                <w:webHidden/>
              </w:rPr>
              <w:t>36</w:t>
            </w:r>
            <w:r>
              <w:rPr>
                <w:noProof/>
                <w:webHidden/>
              </w:rPr>
              <w:fldChar w:fldCharType="end"/>
            </w:r>
          </w:hyperlink>
        </w:p>
        <w:p w14:paraId="02596B00" w14:textId="77777777" w:rsidR="00FB178A" w:rsidRDefault="00FB178A" w:rsidP="00FB178A">
          <w:pPr>
            <w:pStyle w:val="TOC2"/>
            <w:tabs>
              <w:tab w:val="right" w:leader="dot" w:pos="9348"/>
            </w:tabs>
            <w:ind w:left="426"/>
            <w:rPr>
              <w:rFonts w:asciiTheme="minorHAnsi" w:eastAsiaTheme="minorEastAsia" w:hAnsiTheme="minorHAnsi" w:cstheme="minorBidi"/>
              <w:noProof/>
              <w:kern w:val="2"/>
              <w:lang w:eastAsia="hr-HR"/>
              <w14:ligatures w14:val="standardContextual"/>
            </w:rPr>
          </w:pPr>
          <w:hyperlink w:anchor="_Toc223002932" w:history="1">
            <w:r w:rsidRPr="00801BA7">
              <w:rPr>
                <w:rStyle w:val="Hyperlink"/>
                <w:noProof/>
              </w:rPr>
              <w:t>4. Globalna prepoznatljivost i jačanje međunarodnog položaja i uloge Hrvatske</w:t>
            </w:r>
            <w:r>
              <w:rPr>
                <w:noProof/>
                <w:webHidden/>
              </w:rPr>
              <w:tab/>
            </w:r>
            <w:r>
              <w:rPr>
                <w:noProof/>
                <w:webHidden/>
              </w:rPr>
              <w:fldChar w:fldCharType="begin"/>
            </w:r>
            <w:r>
              <w:rPr>
                <w:noProof/>
                <w:webHidden/>
              </w:rPr>
              <w:instrText xml:space="preserve"> PAGEREF _Toc223002932 \h </w:instrText>
            </w:r>
            <w:r>
              <w:rPr>
                <w:noProof/>
                <w:webHidden/>
              </w:rPr>
            </w:r>
            <w:r>
              <w:rPr>
                <w:noProof/>
                <w:webHidden/>
              </w:rPr>
              <w:fldChar w:fldCharType="separate"/>
            </w:r>
            <w:r>
              <w:rPr>
                <w:noProof/>
                <w:webHidden/>
              </w:rPr>
              <w:t>49</w:t>
            </w:r>
            <w:r>
              <w:rPr>
                <w:noProof/>
                <w:webHidden/>
              </w:rPr>
              <w:fldChar w:fldCharType="end"/>
            </w:r>
          </w:hyperlink>
        </w:p>
        <w:p w14:paraId="3B6A9972" w14:textId="77777777" w:rsidR="00FB178A" w:rsidRDefault="00FB178A" w:rsidP="00FB178A">
          <w:pPr>
            <w:pStyle w:val="TOC3"/>
            <w:tabs>
              <w:tab w:val="right" w:leader="dot" w:pos="9348"/>
            </w:tabs>
            <w:rPr>
              <w:rFonts w:asciiTheme="minorHAnsi" w:eastAsiaTheme="minorEastAsia" w:hAnsiTheme="minorHAnsi" w:cstheme="minorBidi"/>
              <w:noProof/>
              <w:kern w:val="2"/>
              <w:sz w:val="24"/>
              <w:szCs w:val="24"/>
              <w:lang w:eastAsia="hr-HR"/>
              <w14:ligatures w14:val="standardContextual"/>
            </w:rPr>
          </w:pPr>
          <w:hyperlink w:anchor="_Toc223002933" w:history="1">
            <w:r w:rsidRPr="00801BA7">
              <w:rPr>
                <w:rStyle w:val="Hyperlink"/>
                <w:noProof/>
              </w:rPr>
              <w:t>4.1. Ostvarene vrijednosti pokazatelja uspješnosti</w:t>
            </w:r>
            <w:r>
              <w:rPr>
                <w:noProof/>
                <w:webHidden/>
              </w:rPr>
              <w:tab/>
            </w:r>
            <w:r>
              <w:rPr>
                <w:noProof/>
                <w:webHidden/>
              </w:rPr>
              <w:fldChar w:fldCharType="begin"/>
            </w:r>
            <w:r>
              <w:rPr>
                <w:noProof/>
                <w:webHidden/>
              </w:rPr>
              <w:instrText xml:space="preserve"> PAGEREF _Toc223002933 \h </w:instrText>
            </w:r>
            <w:r>
              <w:rPr>
                <w:noProof/>
                <w:webHidden/>
              </w:rPr>
            </w:r>
            <w:r>
              <w:rPr>
                <w:noProof/>
                <w:webHidden/>
              </w:rPr>
              <w:fldChar w:fldCharType="separate"/>
            </w:r>
            <w:r>
              <w:rPr>
                <w:noProof/>
                <w:webHidden/>
              </w:rPr>
              <w:t>49</w:t>
            </w:r>
            <w:r>
              <w:rPr>
                <w:noProof/>
                <w:webHidden/>
              </w:rPr>
              <w:fldChar w:fldCharType="end"/>
            </w:r>
          </w:hyperlink>
        </w:p>
        <w:p w14:paraId="038D77F9" w14:textId="77777777" w:rsidR="00FB178A" w:rsidRDefault="00FB178A" w:rsidP="00FB178A">
          <w:pPr>
            <w:pStyle w:val="TOC3"/>
            <w:tabs>
              <w:tab w:val="right" w:leader="dot" w:pos="9348"/>
            </w:tabs>
            <w:ind w:left="1134" w:hanging="433"/>
            <w:rPr>
              <w:rFonts w:asciiTheme="minorHAnsi" w:eastAsiaTheme="minorEastAsia" w:hAnsiTheme="minorHAnsi" w:cstheme="minorBidi"/>
              <w:noProof/>
              <w:kern w:val="2"/>
              <w:sz w:val="24"/>
              <w:szCs w:val="24"/>
              <w:lang w:eastAsia="hr-HR"/>
              <w14:ligatures w14:val="standardContextual"/>
            </w:rPr>
          </w:pPr>
          <w:hyperlink w:anchor="_Toc223002934" w:history="1">
            <w:r w:rsidRPr="00801BA7">
              <w:rPr>
                <w:rStyle w:val="Hyperlink"/>
                <w:noProof/>
              </w:rPr>
              <w:t>4.2. Opis napretka u provedbi strateškog cilja Globalna prepoznatljivost i jačanje međunarodnog položaja i uloge Hrvatske</w:t>
            </w:r>
            <w:r>
              <w:rPr>
                <w:noProof/>
                <w:webHidden/>
              </w:rPr>
              <w:tab/>
            </w:r>
            <w:r>
              <w:rPr>
                <w:noProof/>
                <w:webHidden/>
              </w:rPr>
              <w:fldChar w:fldCharType="begin"/>
            </w:r>
            <w:r>
              <w:rPr>
                <w:noProof/>
                <w:webHidden/>
              </w:rPr>
              <w:instrText xml:space="preserve"> PAGEREF _Toc223002934 \h </w:instrText>
            </w:r>
            <w:r>
              <w:rPr>
                <w:noProof/>
                <w:webHidden/>
              </w:rPr>
            </w:r>
            <w:r>
              <w:rPr>
                <w:noProof/>
                <w:webHidden/>
              </w:rPr>
              <w:fldChar w:fldCharType="separate"/>
            </w:r>
            <w:r>
              <w:rPr>
                <w:noProof/>
                <w:webHidden/>
              </w:rPr>
              <w:t>49</w:t>
            </w:r>
            <w:r>
              <w:rPr>
                <w:noProof/>
                <w:webHidden/>
              </w:rPr>
              <w:fldChar w:fldCharType="end"/>
            </w:r>
          </w:hyperlink>
        </w:p>
        <w:p w14:paraId="65402F7F" w14:textId="77777777" w:rsidR="00FB178A" w:rsidRDefault="00FB178A" w:rsidP="00FB178A">
          <w:pPr>
            <w:pStyle w:val="TOC2"/>
            <w:tabs>
              <w:tab w:val="right" w:leader="dot" w:pos="9348"/>
            </w:tabs>
            <w:ind w:left="426"/>
            <w:rPr>
              <w:rFonts w:asciiTheme="minorHAnsi" w:eastAsiaTheme="minorEastAsia" w:hAnsiTheme="minorHAnsi" w:cstheme="minorBidi"/>
              <w:noProof/>
              <w:kern w:val="2"/>
              <w:lang w:eastAsia="hr-HR"/>
              <w14:ligatures w14:val="standardContextual"/>
            </w:rPr>
          </w:pPr>
          <w:hyperlink w:anchor="_Toc223002935" w:history="1">
            <w:r w:rsidRPr="00801BA7">
              <w:rPr>
                <w:rStyle w:val="Hyperlink"/>
                <w:noProof/>
              </w:rPr>
              <w:t>5. Zdrav, aktivan i kvalitetan život</w:t>
            </w:r>
            <w:r>
              <w:rPr>
                <w:noProof/>
                <w:webHidden/>
              </w:rPr>
              <w:tab/>
            </w:r>
            <w:r>
              <w:rPr>
                <w:noProof/>
                <w:webHidden/>
              </w:rPr>
              <w:fldChar w:fldCharType="begin"/>
            </w:r>
            <w:r>
              <w:rPr>
                <w:noProof/>
                <w:webHidden/>
              </w:rPr>
              <w:instrText xml:space="preserve"> PAGEREF _Toc223002935 \h </w:instrText>
            </w:r>
            <w:r>
              <w:rPr>
                <w:noProof/>
                <w:webHidden/>
              </w:rPr>
            </w:r>
            <w:r>
              <w:rPr>
                <w:noProof/>
                <w:webHidden/>
              </w:rPr>
              <w:fldChar w:fldCharType="separate"/>
            </w:r>
            <w:r>
              <w:rPr>
                <w:noProof/>
                <w:webHidden/>
              </w:rPr>
              <w:t>57</w:t>
            </w:r>
            <w:r>
              <w:rPr>
                <w:noProof/>
                <w:webHidden/>
              </w:rPr>
              <w:fldChar w:fldCharType="end"/>
            </w:r>
          </w:hyperlink>
        </w:p>
        <w:p w14:paraId="6A6B0323" w14:textId="77777777" w:rsidR="00FB178A" w:rsidRDefault="00FB178A" w:rsidP="00FB178A">
          <w:pPr>
            <w:pStyle w:val="TOC3"/>
            <w:tabs>
              <w:tab w:val="right" w:leader="dot" w:pos="9348"/>
            </w:tabs>
            <w:rPr>
              <w:rFonts w:asciiTheme="minorHAnsi" w:eastAsiaTheme="minorEastAsia" w:hAnsiTheme="minorHAnsi" w:cstheme="minorBidi"/>
              <w:noProof/>
              <w:kern w:val="2"/>
              <w:sz w:val="24"/>
              <w:szCs w:val="24"/>
              <w:lang w:eastAsia="hr-HR"/>
              <w14:ligatures w14:val="standardContextual"/>
            </w:rPr>
          </w:pPr>
          <w:hyperlink w:anchor="_Toc223002936" w:history="1">
            <w:r w:rsidRPr="00801BA7">
              <w:rPr>
                <w:rStyle w:val="Hyperlink"/>
                <w:noProof/>
              </w:rPr>
              <w:t>5.1. Ostvarene vrijednosti pokazatelja uspješnosti</w:t>
            </w:r>
            <w:r>
              <w:rPr>
                <w:noProof/>
                <w:webHidden/>
              </w:rPr>
              <w:tab/>
            </w:r>
            <w:r>
              <w:rPr>
                <w:noProof/>
                <w:webHidden/>
              </w:rPr>
              <w:fldChar w:fldCharType="begin"/>
            </w:r>
            <w:r>
              <w:rPr>
                <w:noProof/>
                <w:webHidden/>
              </w:rPr>
              <w:instrText xml:space="preserve"> PAGEREF _Toc223002936 \h </w:instrText>
            </w:r>
            <w:r>
              <w:rPr>
                <w:noProof/>
                <w:webHidden/>
              </w:rPr>
            </w:r>
            <w:r>
              <w:rPr>
                <w:noProof/>
                <w:webHidden/>
              </w:rPr>
              <w:fldChar w:fldCharType="separate"/>
            </w:r>
            <w:r>
              <w:rPr>
                <w:noProof/>
                <w:webHidden/>
              </w:rPr>
              <w:t>57</w:t>
            </w:r>
            <w:r>
              <w:rPr>
                <w:noProof/>
                <w:webHidden/>
              </w:rPr>
              <w:fldChar w:fldCharType="end"/>
            </w:r>
          </w:hyperlink>
        </w:p>
        <w:p w14:paraId="2664340D" w14:textId="77777777" w:rsidR="00FB178A" w:rsidRDefault="00FB178A" w:rsidP="00FB178A">
          <w:pPr>
            <w:pStyle w:val="TOC3"/>
            <w:tabs>
              <w:tab w:val="right" w:leader="dot" w:pos="9348"/>
            </w:tabs>
            <w:rPr>
              <w:rFonts w:asciiTheme="minorHAnsi" w:eastAsiaTheme="minorEastAsia" w:hAnsiTheme="minorHAnsi" w:cstheme="minorBidi"/>
              <w:noProof/>
              <w:kern w:val="2"/>
              <w:sz w:val="24"/>
              <w:szCs w:val="24"/>
              <w:lang w:eastAsia="hr-HR"/>
              <w14:ligatures w14:val="standardContextual"/>
            </w:rPr>
          </w:pPr>
          <w:hyperlink w:anchor="_Toc223002937" w:history="1">
            <w:r w:rsidRPr="00801BA7">
              <w:rPr>
                <w:rStyle w:val="Hyperlink"/>
                <w:noProof/>
              </w:rPr>
              <w:t>5.2. Opis napretka u provedbi strateškog cilja Zdrav, aktivan i kvalitetan život</w:t>
            </w:r>
            <w:r>
              <w:rPr>
                <w:noProof/>
                <w:webHidden/>
              </w:rPr>
              <w:tab/>
            </w:r>
            <w:r>
              <w:rPr>
                <w:noProof/>
                <w:webHidden/>
              </w:rPr>
              <w:fldChar w:fldCharType="begin"/>
            </w:r>
            <w:r>
              <w:rPr>
                <w:noProof/>
                <w:webHidden/>
              </w:rPr>
              <w:instrText xml:space="preserve"> PAGEREF _Toc223002937 \h </w:instrText>
            </w:r>
            <w:r>
              <w:rPr>
                <w:noProof/>
                <w:webHidden/>
              </w:rPr>
            </w:r>
            <w:r>
              <w:rPr>
                <w:noProof/>
                <w:webHidden/>
              </w:rPr>
              <w:fldChar w:fldCharType="separate"/>
            </w:r>
            <w:r>
              <w:rPr>
                <w:noProof/>
                <w:webHidden/>
              </w:rPr>
              <w:t>57</w:t>
            </w:r>
            <w:r>
              <w:rPr>
                <w:noProof/>
                <w:webHidden/>
              </w:rPr>
              <w:fldChar w:fldCharType="end"/>
            </w:r>
          </w:hyperlink>
        </w:p>
        <w:p w14:paraId="6D2DA47F" w14:textId="77777777" w:rsidR="00FB178A" w:rsidRDefault="00FB178A" w:rsidP="00FB178A">
          <w:pPr>
            <w:pStyle w:val="TOC2"/>
            <w:tabs>
              <w:tab w:val="right" w:leader="dot" w:pos="9348"/>
            </w:tabs>
            <w:ind w:left="426"/>
            <w:rPr>
              <w:rFonts w:asciiTheme="minorHAnsi" w:eastAsiaTheme="minorEastAsia" w:hAnsiTheme="minorHAnsi" w:cstheme="minorBidi"/>
              <w:noProof/>
              <w:kern w:val="2"/>
              <w:lang w:eastAsia="hr-HR"/>
              <w14:ligatures w14:val="standardContextual"/>
            </w:rPr>
          </w:pPr>
          <w:hyperlink w:anchor="_Toc223002938" w:history="1">
            <w:r w:rsidRPr="00801BA7">
              <w:rPr>
                <w:rStyle w:val="Hyperlink"/>
                <w:noProof/>
              </w:rPr>
              <w:t>6. Demografska revitalizacija i bolji položaj obitelji</w:t>
            </w:r>
            <w:r>
              <w:rPr>
                <w:noProof/>
                <w:webHidden/>
              </w:rPr>
              <w:tab/>
            </w:r>
            <w:r>
              <w:rPr>
                <w:noProof/>
                <w:webHidden/>
              </w:rPr>
              <w:fldChar w:fldCharType="begin"/>
            </w:r>
            <w:r>
              <w:rPr>
                <w:noProof/>
                <w:webHidden/>
              </w:rPr>
              <w:instrText xml:space="preserve"> PAGEREF _Toc223002938 \h </w:instrText>
            </w:r>
            <w:r>
              <w:rPr>
                <w:noProof/>
                <w:webHidden/>
              </w:rPr>
            </w:r>
            <w:r>
              <w:rPr>
                <w:noProof/>
                <w:webHidden/>
              </w:rPr>
              <w:fldChar w:fldCharType="separate"/>
            </w:r>
            <w:r>
              <w:rPr>
                <w:noProof/>
                <w:webHidden/>
              </w:rPr>
              <w:t>74</w:t>
            </w:r>
            <w:r>
              <w:rPr>
                <w:noProof/>
                <w:webHidden/>
              </w:rPr>
              <w:fldChar w:fldCharType="end"/>
            </w:r>
          </w:hyperlink>
        </w:p>
        <w:p w14:paraId="0B0C8ACF" w14:textId="77777777" w:rsidR="00FB178A" w:rsidRDefault="00FB178A" w:rsidP="00FB178A">
          <w:pPr>
            <w:pStyle w:val="TOC3"/>
            <w:tabs>
              <w:tab w:val="right" w:leader="dot" w:pos="9348"/>
            </w:tabs>
            <w:rPr>
              <w:rFonts w:asciiTheme="minorHAnsi" w:eastAsiaTheme="minorEastAsia" w:hAnsiTheme="minorHAnsi" w:cstheme="minorBidi"/>
              <w:noProof/>
              <w:kern w:val="2"/>
              <w:sz w:val="24"/>
              <w:szCs w:val="24"/>
              <w:lang w:eastAsia="hr-HR"/>
              <w14:ligatures w14:val="standardContextual"/>
            </w:rPr>
          </w:pPr>
          <w:hyperlink w:anchor="_Toc223002939" w:history="1">
            <w:r w:rsidRPr="00801BA7">
              <w:rPr>
                <w:rStyle w:val="Hyperlink"/>
                <w:noProof/>
              </w:rPr>
              <w:t>6.1. Ostvarene vrijednosti pokazatelja uspješnosti</w:t>
            </w:r>
            <w:r>
              <w:rPr>
                <w:noProof/>
                <w:webHidden/>
              </w:rPr>
              <w:tab/>
            </w:r>
            <w:r>
              <w:rPr>
                <w:noProof/>
                <w:webHidden/>
              </w:rPr>
              <w:fldChar w:fldCharType="begin"/>
            </w:r>
            <w:r>
              <w:rPr>
                <w:noProof/>
                <w:webHidden/>
              </w:rPr>
              <w:instrText xml:space="preserve"> PAGEREF _Toc223002939 \h </w:instrText>
            </w:r>
            <w:r>
              <w:rPr>
                <w:noProof/>
                <w:webHidden/>
              </w:rPr>
            </w:r>
            <w:r>
              <w:rPr>
                <w:noProof/>
                <w:webHidden/>
              </w:rPr>
              <w:fldChar w:fldCharType="separate"/>
            </w:r>
            <w:r>
              <w:rPr>
                <w:noProof/>
                <w:webHidden/>
              </w:rPr>
              <w:t>74</w:t>
            </w:r>
            <w:r>
              <w:rPr>
                <w:noProof/>
                <w:webHidden/>
              </w:rPr>
              <w:fldChar w:fldCharType="end"/>
            </w:r>
          </w:hyperlink>
        </w:p>
        <w:p w14:paraId="7B35E59C" w14:textId="77777777" w:rsidR="00FB178A" w:rsidRDefault="00FB178A" w:rsidP="00FB178A">
          <w:pPr>
            <w:pStyle w:val="TOC3"/>
            <w:tabs>
              <w:tab w:val="right" w:leader="dot" w:pos="9348"/>
            </w:tabs>
            <w:rPr>
              <w:rFonts w:asciiTheme="minorHAnsi" w:eastAsiaTheme="minorEastAsia" w:hAnsiTheme="minorHAnsi" w:cstheme="minorBidi"/>
              <w:noProof/>
              <w:kern w:val="2"/>
              <w:sz w:val="24"/>
              <w:szCs w:val="24"/>
              <w:lang w:eastAsia="hr-HR"/>
              <w14:ligatures w14:val="standardContextual"/>
            </w:rPr>
          </w:pPr>
          <w:hyperlink w:anchor="_Toc223002940" w:history="1">
            <w:r w:rsidRPr="00801BA7">
              <w:rPr>
                <w:rStyle w:val="Hyperlink"/>
                <w:noProof/>
              </w:rPr>
              <w:t>6.2. Opis napretka u provedbi strateškog cilja Demografska revitalizacija i bolji položaj obitelji</w:t>
            </w:r>
            <w:r>
              <w:rPr>
                <w:noProof/>
                <w:webHidden/>
              </w:rPr>
              <w:tab/>
            </w:r>
            <w:r>
              <w:rPr>
                <w:noProof/>
                <w:webHidden/>
              </w:rPr>
              <w:fldChar w:fldCharType="begin"/>
            </w:r>
            <w:r>
              <w:rPr>
                <w:noProof/>
                <w:webHidden/>
              </w:rPr>
              <w:instrText xml:space="preserve"> PAGEREF _Toc223002940 \h </w:instrText>
            </w:r>
            <w:r>
              <w:rPr>
                <w:noProof/>
                <w:webHidden/>
              </w:rPr>
            </w:r>
            <w:r>
              <w:rPr>
                <w:noProof/>
                <w:webHidden/>
              </w:rPr>
              <w:fldChar w:fldCharType="separate"/>
            </w:r>
            <w:r>
              <w:rPr>
                <w:noProof/>
                <w:webHidden/>
              </w:rPr>
              <w:t>74</w:t>
            </w:r>
            <w:r>
              <w:rPr>
                <w:noProof/>
                <w:webHidden/>
              </w:rPr>
              <w:fldChar w:fldCharType="end"/>
            </w:r>
          </w:hyperlink>
        </w:p>
        <w:p w14:paraId="5DB69DA3" w14:textId="77777777" w:rsidR="00FB178A" w:rsidRDefault="00FB178A" w:rsidP="00FB178A">
          <w:pPr>
            <w:pStyle w:val="TOC2"/>
            <w:tabs>
              <w:tab w:val="right" w:leader="dot" w:pos="9348"/>
            </w:tabs>
            <w:ind w:left="426"/>
            <w:rPr>
              <w:rFonts w:asciiTheme="minorHAnsi" w:eastAsiaTheme="minorEastAsia" w:hAnsiTheme="minorHAnsi" w:cstheme="minorBidi"/>
              <w:noProof/>
              <w:kern w:val="2"/>
              <w:lang w:eastAsia="hr-HR"/>
              <w14:ligatures w14:val="standardContextual"/>
            </w:rPr>
          </w:pPr>
          <w:hyperlink w:anchor="_Toc223002941" w:history="1">
            <w:r w:rsidRPr="00801BA7">
              <w:rPr>
                <w:rStyle w:val="Hyperlink"/>
                <w:noProof/>
              </w:rPr>
              <w:t>7. Sigurnost za stabilan razvoj</w:t>
            </w:r>
            <w:r>
              <w:rPr>
                <w:noProof/>
                <w:webHidden/>
              </w:rPr>
              <w:tab/>
            </w:r>
            <w:r>
              <w:rPr>
                <w:noProof/>
                <w:webHidden/>
              </w:rPr>
              <w:fldChar w:fldCharType="begin"/>
            </w:r>
            <w:r>
              <w:rPr>
                <w:noProof/>
                <w:webHidden/>
              </w:rPr>
              <w:instrText xml:space="preserve"> PAGEREF _Toc223002941 \h </w:instrText>
            </w:r>
            <w:r>
              <w:rPr>
                <w:noProof/>
                <w:webHidden/>
              </w:rPr>
            </w:r>
            <w:r>
              <w:rPr>
                <w:noProof/>
                <w:webHidden/>
              </w:rPr>
              <w:fldChar w:fldCharType="separate"/>
            </w:r>
            <w:r>
              <w:rPr>
                <w:noProof/>
                <w:webHidden/>
              </w:rPr>
              <w:t>79</w:t>
            </w:r>
            <w:r>
              <w:rPr>
                <w:noProof/>
                <w:webHidden/>
              </w:rPr>
              <w:fldChar w:fldCharType="end"/>
            </w:r>
          </w:hyperlink>
        </w:p>
        <w:p w14:paraId="41CA5BBE" w14:textId="77777777" w:rsidR="00FB178A" w:rsidRDefault="00FB178A" w:rsidP="00FB178A">
          <w:pPr>
            <w:pStyle w:val="TOC3"/>
            <w:tabs>
              <w:tab w:val="right" w:leader="dot" w:pos="9348"/>
            </w:tabs>
            <w:rPr>
              <w:rFonts w:asciiTheme="minorHAnsi" w:eastAsiaTheme="minorEastAsia" w:hAnsiTheme="minorHAnsi" w:cstheme="minorBidi"/>
              <w:noProof/>
              <w:kern w:val="2"/>
              <w:sz w:val="24"/>
              <w:szCs w:val="24"/>
              <w:lang w:eastAsia="hr-HR"/>
              <w14:ligatures w14:val="standardContextual"/>
            </w:rPr>
          </w:pPr>
          <w:hyperlink w:anchor="_Toc223002942" w:history="1">
            <w:r w:rsidRPr="00801BA7">
              <w:rPr>
                <w:rStyle w:val="Hyperlink"/>
                <w:noProof/>
              </w:rPr>
              <w:t>7.1. Ostvarene vrijednosti pokazatelja uspješnosti</w:t>
            </w:r>
            <w:r>
              <w:rPr>
                <w:noProof/>
                <w:webHidden/>
              </w:rPr>
              <w:tab/>
            </w:r>
            <w:r>
              <w:rPr>
                <w:noProof/>
                <w:webHidden/>
              </w:rPr>
              <w:fldChar w:fldCharType="begin"/>
            </w:r>
            <w:r>
              <w:rPr>
                <w:noProof/>
                <w:webHidden/>
              </w:rPr>
              <w:instrText xml:space="preserve"> PAGEREF _Toc223002942 \h </w:instrText>
            </w:r>
            <w:r>
              <w:rPr>
                <w:noProof/>
                <w:webHidden/>
              </w:rPr>
            </w:r>
            <w:r>
              <w:rPr>
                <w:noProof/>
                <w:webHidden/>
              </w:rPr>
              <w:fldChar w:fldCharType="separate"/>
            </w:r>
            <w:r>
              <w:rPr>
                <w:noProof/>
                <w:webHidden/>
              </w:rPr>
              <w:t>79</w:t>
            </w:r>
            <w:r>
              <w:rPr>
                <w:noProof/>
                <w:webHidden/>
              </w:rPr>
              <w:fldChar w:fldCharType="end"/>
            </w:r>
          </w:hyperlink>
        </w:p>
        <w:p w14:paraId="0B2E6696" w14:textId="77777777" w:rsidR="00FB178A" w:rsidRDefault="00FB178A" w:rsidP="00FB178A">
          <w:pPr>
            <w:pStyle w:val="TOC3"/>
            <w:tabs>
              <w:tab w:val="right" w:leader="dot" w:pos="9348"/>
            </w:tabs>
            <w:rPr>
              <w:rFonts w:asciiTheme="minorHAnsi" w:eastAsiaTheme="minorEastAsia" w:hAnsiTheme="minorHAnsi" w:cstheme="minorBidi"/>
              <w:noProof/>
              <w:kern w:val="2"/>
              <w:sz w:val="24"/>
              <w:szCs w:val="24"/>
              <w:lang w:eastAsia="hr-HR"/>
              <w14:ligatures w14:val="standardContextual"/>
            </w:rPr>
          </w:pPr>
          <w:hyperlink w:anchor="_Toc223002943" w:history="1">
            <w:r w:rsidRPr="00801BA7">
              <w:rPr>
                <w:rStyle w:val="Hyperlink"/>
                <w:noProof/>
              </w:rPr>
              <w:t>7.2. Opis napretka u provedbi strateškog cilja Sigurnost za stabilan razvoj</w:t>
            </w:r>
            <w:r>
              <w:rPr>
                <w:noProof/>
                <w:webHidden/>
              </w:rPr>
              <w:tab/>
            </w:r>
            <w:r>
              <w:rPr>
                <w:noProof/>
                <w:webHidden/>
              </w:rPr>
              <w:fldChar w:fldCharType="begin"/>
            </w:r>
            <w:r>
              <w:rPr>
                <w:noProof/>
                <w:webHidden/>
              </w:rPr>
              <w:instrText xml:space="preserve"> PAGEREF _Toc223002943 \h </w:instrText>
            </w:r>
            <w:r>
              <w:rPr>
                <w:noProof/>
                <w:webHidden/>
              </w:rPr>
            </w:r>
            <w:r>
              <w:rPr>
                <w:noProof/>
                <w:webHidden/>
              </w:rPr>
              <w:fldChar w:fldCharType="separate"/>
            </w:r>
            <w:r>
              <w:rPr>
                <w:noProof/>
                <w:webHidden/>
              </w:rPr>
              <w:t>79</w:t>
            </w:r>
            <w:r>
              <w:rPr>
                <w:noProof/>
                <w:webHidden/>
              </w:rPr>
              <w:fldChar w:fldCharType="end"/>
            </w:r>
          </w:hyperlink>
        </w:p>
        <w:p w14:paraId="0E2244D0" w14:textId="77777777" w:rsidR="00FB178A" w:rsidRDefault="00FB178A" w:rsidP="00FB178A">
          <w:pPr>
            <w:pStyle w:val="TOC2"/>
            <w:tabs>
              <w:tab w:val="right" w:leader="dot" w:pos="9348"/>
            </w:tabs>
            <w:ind w:left="426"/>
            <w:rPr>
              <w:rFonts w:asciiTheme="minorHAnsi" w:eastAsiaTheme="minorEastAsia" w:hAnsiTheme="minorHAnsi" w:cstheme="minorBidi"/>
              <w:noProof/>
              <w:kern w:val="2"/>
              <w:lang w:eastAsia="hr-HR"/>
              <w14:ligatures w14:val="standardContextual"/>
            </w:rPr>
          </w:pPr>
          <w:hyperlink w:anchor="_Toc223002944" w:history="1">
            <w:r w:rsidRPr="00801BA7">
              <w:rPr>
                <w:rStyle w:val="Hyperlink"/>
                <w:noProof/>
              </w:rPr>
              <w:t>8. Ekološka i energetska tranzicija za klimatsku neutralnost</w:t>
            </w:r>
            <w:r>
              <w:rPr>
                <w:noProof/>
                <w:webHidden/>
              </w:rPr>
              <w:tab/>
            </w:r>
            <w:r>
              <w:rPr>
                <w:noProof/>
                <w:webHidden/>
              </w:rPr>
              <w:fldChar w:fldCharType="begin"/>
            </w:r>
            <w:r>
              <w:rPr>
                <w:noProof/>
                <w:webHidden/>
              </w:rPr>
              <w:instrText xml:space="preserve"> PAGEREF _Toc223002944 \h </w:instrText>
            </w:r>
            <w:r>
              <w:rPr>
                <w:noProof/>
                <w:webHidden/>
              </w:rPr>
            </w:r>
            <w:r>
              <w:rPr>
                <w:noProof/>
                <w:webHidden/>
              </w:rPr>
              <w:fldChar w:fldCharType="separate"/>
            </w:r>
            <w:r>
              <w:rPr>
                <w:noProof/>
                <w:webHidden/>
              </w:rPr>
              <w:t>89</w:t>
            </w:r>
            <w:r>
              <w:rPr>
                <w:noProof/>
                <w:webHidden/>
              </w:rPr>
              <w:fldChar w:fldCharType="end"/>
            </w:r>
          </w:hyperlink>
        </w:p>
        <w:p w14:paraId="53B69B81" w14:textId="77777777" w:rsidR="00FB178A" w:rsidRDefault="00FB178A" w:rsidP="00FB178A">
          <w:pPr>
            <w:pStyle w:val="TOC3"/>
            <w:tabs>
              <w:tab w:val="right" w:leader="dot" w:pos="9348"/>
            </w:tabs>
            <w:ind w:left="1134" w:hanging="433"/>
            <w:rPr>
              <w:rFonts w:asciiTheme="minorHAnsi" w:eastAsiaTheme="minorEastAsia" w:hAnsiTheme="minorHAnsi" w:cstheme="minorBidi"/>
              <w:noProof/>
              <w:kern w:val="2"/>
              <w:sz w:val="24"/>
              <w:szCs w:val="24"/>
              <w:lang w:eastAsia="hr-HR"/>
              <w14:ligatures w14:val="standardContextual"/>
            </w:rPr>
          </w:pPr>
          <w:hyperlink w:anchor="_Toc223002945" w:history="1">
            <w:r w:rsidRPr="00801BA7">
              <w:rPr>
                <w:rStyle w:val="Hyperlink"/>
                <w:noProof/>
              </w:rPr>
              <w:t>8.1. Ostvarene vrijednosti pokazatelja uspješnosti strateškog cilja Ekološka i energetska tranzicija za klimatsku neutralnost</w:t>
            </w:r>
            <w:r>
              <w:rPr>
                <w:noProof/>
                <w:webHidden/>
              </w:rPr>
              <w:tab/>
            </w:r>
            <w:r>
              <w:rPr>
                <w:noProof/>
                <w:webHidden/>
              </w:rPr>
              <w:fldChar w:fldCharType="begin"/>
            </w:r>
            <w:r>
              <w:rPr>
                <w:noProof/>
                <w:webHidden/>
              </w:rPr>
              <w:instrText xml:space="preserve"> PAGEREF _Toc223002945 \h </w:instrText>
            </w:r>
            <w:r>
              <w:rPr>
                <w:noProof/>
                <w:webHidden/>
              </w:rPr>
            </w:r>
            <w:r>
              <w:rPr>
                <w:noProof/>
                <w:webHidden/>
              </w:rPr>
              <w:fldChar w:fldCharType="separate"/>
            </w:r>
            <w:r>
              <w:rPr>
                <w:noProof/>
                <w:webHidden/>
              </w:rPr>
              <w:t>89</w:t>
            </w:r>
            <w:r>
              <w:rPr>
                <w:noProof/>
                <w:webHidden/>
              </w:rPr>
              <w:fldChar w:fldCharType="end"/>
            </w:r>
          </w:hyperlink>
        </w:p>
        <w:p w14:paraId="1F7889B1" w14:textId="77777777" w:rsidR="00FB178A" w:rsidRDefault="00FB178A" w:rsidP="00FB178A">
          <w:pPr>
            <w:pStyle w:val="TOC3"/>
            <w:tabs>
              <w:tab w:val="right" w:leader="dot" w:pos="9348"/>
            </w:tabs>
            <w:rPr>
              <w:rFonts w:asciiTheme="minorHAnsi" w:eastAsiaTheme="minorEastAsia" w:hAnsiTheme="minorHAnsi" w:cstheme="minorBidi"/>
              <w:noProof/>
              <w:kern w:val="2"/>
              <w:sz w:val="24"/>
              <w:szCs w:val="24"/>
              <w:lang w:eastAsia="hr-HR"/>
              <w14:ligatures w14:val="standardContextual"/>
            </w:rPr>
          </w:pPr>
          <w:hyperlink w:anchor="_Toc223002946" w:history="1">
            <w:r w:rsidRPr="00801BA7">
              <w:rPr>
                <w:rStyle w:val="Hyperlink"/>
                <w:rFonts w:eastAsia="Calibri"/>
                <w:noProof/>
              </w:rPr>
              <w:t>8.2. Opis napretka u provedbi strateškog cilja Ekološka i energetska tranzicija za klimatsku neutralnost</w:t>
            </w:r>
            <w:r>
              <w:rPr>
                <w:noProof/>
                <w:webHidden/>
              </w:rPr>
              <w:tab/>
            </w:r>
            <w:r>
              <w:rPr>
                <w:noProof/>
                <w:webHidden/>
              </w:rPr>
              <w:fldChar w:fldCharType="begin"/>
            </w:r>
            <w:r>
              <w:rPr>
                <w:noProof/>
                <w:webHidden/>
              </w:rPr>
              <w:instrText xml:space="preserve"> PAGEREF _Toc223002946 \h </w:instrText>
            </w:r>
            <w:r>
              <w:rPr>
                <w:noProof/>
                <w:webHidden/>
              </w:rPr>
            </w:r>
            <w:r>
              <w:rPr>
                <w:noProof/>
                <w:webHidden/>
              </w:rPr>
              <w:fldChar w:fldCharType="separate"/>
            </w:r>
            <w:r>
              <w:rPr>
                <w:noProof/>
                <w:webHidden/>
              </w:rPr>
              <w:t>89</w:t>
            </w:r>
            <w:r>
              <w:rPr>
                <w:noProof/>
                <w:webHidden/>
              </w:rPr>
              <w:fldChar w:fldCharType="end"/>
            </w:r>
          </w:hyperlink>
        </w:p>
        <w:p w14:paraId="6E471F5E" w14:textId="77777777" w:rsidR="00FB178A" w:rsidRDefault="00FB178A" w:rsidP="00FB178A">
          <w:pPr>
            <w:pStyle w:val="TOC2"/>
            <w:tabs>
              <w:tab w:val="right" w:leader="dot" w:pos="9348"/>
            </w:tabs>
            <w:ind w:left="426"/>
            <w:rPr>
              <w:rFonts w:asciiTheme="minorHAnsi" w:eastAsiaTheme="minorEastAsia" w:hAnsiTheme="minorHAnsi" w:cstheme="minorBidi"/>
              <w:noProof/>
              <w:kern w:val="2"/>
              <w:lang w:eastAsia="hr-HR"/>
              <w14:ligatures w14:val="standardContextual"/>
            </w:rPr>
          </w:pPr>
          <w:hyperlink w:anchor="_Toc223002947" w:history="1">
            <w:r w:rsidRPr="00801BA7">
              <w:rPr>
                <w:rStyle w:val="Hyperlink"/>
                <w:noProof/>
              </w:rPr>
              <w:t>9. Samodostatnost u hrani i razvoj biogospodarstva</w:t>
            </w:r>
            <w:r>
              <w:rPr>
                <w:noProof/>
                <w:webHidden/>
              </w:rPr>
              <w:tab/>
            </w:r>
            <w:r>
              <w:rPr>
                <w:noProof/>
                <w:webHidden/>
              </w:rPr>
              <w:fldChar w:fldCharType="begin"/>
            </w:r>
            <w:r>
              <w:rPr>
                <w:noProof/>
                <w:webHidden/>
              </w:rPr>
              <w:instrText xml:space="preserve"> PAGEREF _Toc223002947 \h </w:instrText>
            </w:r>
            <w:r>
              <w:rPr>
                <w:noProof/>
                <w:webHidden/>
              </w:rPr>
            </w:r>
            <w:r>
              <w:rPr>
                <w:noProof/>
                <w:webHidden/>
              </w:rPr>
              <w:fldChar w:fldCharType="separate"/>
            </w:r>
            <w:r>
              <w:rPr>
                <w:noProof/>
                <w:webHidden/>
              </w:rPr>
              <w:t>98</w:t>
            </w:r>
            <w:r>
              <w:rPr>
                <w:noProof/>
                <w:webHidden/>
              </w:rPr>
              <w:fldChar w:fldCharType="end"/>
            </w:r>
          </w:hyperlink>
        </w:p>
        <w:p w14:paraId="398B51B5" w14:textId="77777777" w:rsidR="00FB178A" w:rsidRDefault="00FB178A" w:rsidP="00FB178A">
          <w:pPr>
            <w:pStyle w:val="TOC3"/>
            <w:tabs>
              <w:tab w:val="right" w:leader="dot" w:pos="9348"/>
            </w:tabs>
            <w:rPr>
              <w:rFonts w:asciiTheme="minorHAnsi" w:eastAsiaTheme="minorEastAsia" w:hAnsiTheme="minorHAnsi" w:cstheme="minorBidi"/>
              <w:noProof/>
              <w:kern w:val="2"/>
              <w:sz w:val="24"/>
              <w:szCs w:val="24"/>
              <w:lang w:eastAsia="hr-HR"/>
              <w14:ligatures w14:val="standardContextual"/>
            </w:rPr>
          </w:pPr>
          <w:hyperlink w:anchor="_Toc223002948" w:history="1">
            <w:r w:rsidRPr="00801BA7">
              <w:rPr>
                <w:rStyle w:val="Hyperlink"/>
                <w:noProof/>
              </w:rPr>
              <w:t>9.1. Ostvarene vrijednosti pokazatelja uspješnosti</w:t>
            </w:r>
            <w:r>
              <w:rPr>
                <w:noProof/>
                <w:webHidden/>
              </w:rPr>
              <w:tab/>
            </w:r>
            <w:r>
              <w:rPr>
                <w:noProof/>
                <w:webHidden/>
              </w:rPr>
              <w:fldChar w:fldCharType="begin"/>
            </w:r>
            <w:r>
              <w:rPr>
                <w:noProof/>
                <w:webHidden/>
              </w:rPr>
              <w:instrText xml:space="preserve"> PAGEREF _Toc223002948 \h </w:instrText>
            </w:r>
            <w:r>
              <w:rPr>
                <w:noProof/>
                <w:webHidden/>
              </w:rPr>
            </w:r>
            <w:r>
              <w:rPr>
                <w:noProof/>
                <w:webHidden/>
              </w:rPr>
              <w:fldChar w:fldCharType="separate"/>
            </w:r>
            <w:r>
              <w:rPr>
                <w:noProof/>
                <w:webHidden/>
              </w:rPr>
              <w:t>98</w:t>
            </w:r>
            <w:r>
              <w:rPr>
                <w:noProof/>
                <w:webHidden/>
              </w:rPr>
              <w:fldChar w:fldCharType="end"/>
            </w:r>
          </w:hyperlink>
        </w:p>
        <w:p w14:paraId="30CA70A2" w14:textId="77777777" w:rsidR="00FB178A" w:rsidRDefault="00FB178A" w:rsidP="00FB178A">
          <w:pPr>
            <w:pStyle w:val="TOC3"/>
            <w:tabs>
              <w:tab w:val="right" w:leader="dot" w:pos="9348"/>
            </w:tabs>
            <w:rPr>
              <w:rFonts w:asciiTheme="minorHAnsi" w:eastAsiaTheme="minorEastAsia" w:hAnsiTheme="minorHAnsi" w:cstheme="minorBidi"/>
              <w:noProof/>
              <w:kern w:val="2"/>
              <w:sz w:val="24"/>
              <w:szCs w:val="24"/>
              <w:lang w:eastAsia="hr-HR"/>
              <w14:ligatures w14:val="standardContextual"/>
            </w:rPr>
          </w:pPr>
          <w:hyperlink w:anchor="_Toc223002949" w:history="1">
            <w:r w:rsidRPr="00801BA7">
              <w:rPr>
                <w:rStyle w:val="Hyperlink"/>
                <w:noProof/>
              </w:rPr>
              <w:t>9.2. Opis napretka u provedbi strateškog cilja Samodostatnost u hrani i razvoj biogospodarstva</w:t>
            </w:r>
            <w:r>
              <w:rPr>
                <w:noProof/>
                <w:webHidden/>
              </w:rPr>
              <w:tab/>
            </w:r>
            <w:r>
              <w:rPr>
                <w:noProof/>
                <w:webHidden/>
              </w:rPr>
              <w:fldChar w:fldCharType="begin"/>
            </w:r>
            <w:r>
              <w:rPr>
                <w:noProof/>
                <w:webHidden/>
              </w:rPr>
              <w:instrText xml:space="preserve"> PAGEREF _Toc223002949 \h </w:instrText>
            </w:r>
            <w:r>
              <w:rPr>
                <w:noProof/>
                <w:webHidden/>
              </w:rPr>
            </w:r>
            <w:r>
              <w:rPr>
                <w:noProof/>
                <w:webHidden/>
              </w:rPr>
              <w:fldChar w:fldCharType="separate"/>
            </w:r>
            <w:r>
              <w:rPr>
                <w:noProof/>
                <w:webHidden/>
              </w:rPr>
              <w:t>98</w:t>
            </w:r>
            <w:r>
              <w:rPr>
                <w:noProof/>
                <w:webHidden/>
              </w:rPr>
              <w:fldChar w:fldCharType="end"/>
            </w:r>
          </w:hyperlink>
        </w:p>
        <w:p w14:paraId="614FD58F" w14:textId="77777777" w:rsidR="00FB178A" w:rsidRDefault="00FB178A" w:rsidP="00FB178A">
          <w:pPr>
            <w:pStyle w:val="TOC2"/>
            <w:tabs>
              <w:tab w:val="right" w:leader="dot" w:pos="9348"/>
            </w:tabs>
            <w:ind w:left="426"/>
            <w:rPr>
              <w:rFonts w:asciiTheme="minorHAnsi" w:eastAsiaTheme="minorEastAsia" w:hAnsiTheme="minorHAnsi" w:cstheme="minorBidi"/>
              <w:noProof/>
              <w:kern w:val="2"/>
              <w:lang w:eastAsia="hr-HR"/>
              <w14:ligatures w14:val="standardContextual"/>
            </w:rPr>
          </w:pPr>
          <w:hyperlink w:anchor="_Toc223002950" w:history="1">
            <w:r w:rsidRPr="00801BA7">
              <w:rPr>
                <w:rStyle w:val="Hyperlink"/>
                <w:noProof/>
              </w:rPr>
              <w:t>10. Održiva mobilnost</w:t>
            </w:r>
            <w:r>
              <w:rPr>
                <w:noProof/>
                <w:webHidden/>
              </w:rPr>
              <w:tab/>
            </w:r>
            <w:r>
              <w:rPr>
                <w:noProof/>
                <w:webHidden/>
              </w:rPr>
              <w:fldChar w:fldCharType="begin"/>
            </w:r>
            <w:r>
              <w:rPr>
                <w:noProof/>
                <w:webHidden/>
              </w:rPr>
              <w:instrText xml:space="preserve"> PAGEREF _Toc223002950 \h </w:instrText>
            </w:r>
            <w:r>
              <w:rPr>
                <w:noProof/>
                <w:webHidden/>
              </w:rPr>
            </w:r>
            <w:r>
              <w:rPr>
                <w:noProof/>
                <w:webHidden/>
              </w:rPr>
              <w:fldChar w:fldCharType="separate"/>
            </w:r>
            <w:r>
              <w:rPr>
                <w:noProof/>
                <w:webHidden/>
              </w:rPr>
              <w:t>103</w:t>
            </w:r>
            <w:r>
              <w:rPr>
                <w:noProof/>
                <w:webHidden/>
              </w:rPr>
              <w:fldChar w:fldCharType="end"/>
            </w:r>
          </w:hyperlink>
        </w:p>
        <w:p w14:paraId="4EC0BF91" w14:textId="77777777" w:rsidR="00FB178A" w:rsidRDefault="00FB178A" w:rsidP="00FB178A">
          <w:pPr>
            <w:pStyle w:val="TOC3"/>
            <w:tabs>
              <w:tab w:val="right" w:leader="dot" w:pos="9348"/>
            </w:tabs>
            <w:rPr>
              <w:rFonts w:asciiTheme="minorHAnsi" w:eastAsiaTheme="minorEastAsia" w:hAnsiTheme="minorHAnsi" w:cstheme="minorBidi"/>
              <w:noProof/>
              <w:kern w:val="2"/>
              <w:sz w:val="24"/>
              <w:szCs w:val="24"/>
              <w:lang w:eastAsia="hr-HR"/>
              <w14:ligatures w14:val="standardContextual"/>
            </w:rPr>
          </w:pPr>
          <w:hyperlink w:anchor="_Toc223002951" w:history="1">
            <w:r w:rsidRPr="00801BA7">
              <w:rPr>
                <w:rStyle w:val="Hyperlink"/>
                <w:noProof/>
              </w:rPr>
              <w:t>10.1.</w:t>
            </w:r>
            <w:r w:rsidRPr="00801BA7">
              <w:rPr>
                <w:rStyle w:val="Hyperlink"/>
                <w:rFonts w:ascii="Calibri" w:eastAsia="Calibri" w:hAnsi="Calibri" w:cs="Calibri"/>
                <w:noProof/>
              </w:rPr>
              <w:t xml:space="preserve"> </w:t>
            </w:r>
            <w:r w:rsidRPr="00801BA7">
              <w:rPr>
                <w:rStyle w:val="Hyperlink"/>
                <w:noProof/>
              </w:rPr>
              <w:t>Ostvarene vrijednosti pokazatelja uspješnosti</w:t>
            </w:r>
            <w:r>
              <w:rPr>
                <w:noProof/>
                <w:webHidden/>
              </w:rPr>
              <w:tab/>
            </w:r>
            <w:r>
              <w:rPr>
                <w:noProof/>
                <w:webHidden/>
              </w:rPr>
              <w:fldChar w:fldCharType="begin"/>
            </w:r>
            <w:r>
              <w:rPr>
                <w:noProof/>
                <w:webHidden/>
              </w:rPr>
              <w:instrText xml:space="preserve"> PAGEREF _Toc223002951 \h </w:instrText>
            </w:r>
            <w:r>
              <w:rPr>
                <w:noProof/>
                <w:webHidden/>
              </w:rPr>
            </w:r>
            <w:r>
              <w:rPr>
                <w:noProof/>
                <w:webHidden/>
              </w:rPr>
              <w:fldChar w:fldCharType="separate"/>
            </w:r>
            <w:r>
              <w:rPr>
                <w:noProof/>
                <w:webHidden/>
              </w:rPr>
              <w:t>103</w:t>
            </w:r>
            <w:r>
              <w:rPr>
                <w:noProof/>
                <w:webHidden/>
              </w:rPr>
              <w:fldChar w:fldCharType="end"/>
            </w:r>
          </w:hyperlink>
        </w:p>
        <w:p w14:paraId="5381F7BD" w14:textId="77777777" w:rsidR="00FB178A" w:rsidRDefault="00FB178A" w:rsidP="00FB178A">
          <w:pPr>
            <w:pStyle w:val="TOC3"/>
            <w:tabs>
              <w:tab w:val="right" w:leader="dot" w:pos="9348"/>
            </w:tabs>
            <w:rPr>
              <w:rFonts w:asciiTheme="minorHAnsi" w:eastAsiaTheme="minorEastAsia" w:hAnsiTheme="minorHAnsi" w:cstheme="minorBidi"/>
              <w:noProof/>
              <w:kern w:val="2"/>
              <w:sz w:val="24"/>
              <w:szCs w:val="24"/>
              <w:lang w:eastAsia="hr-HR"/>
              <w14:ligatures w14:val="standardContextual"/>
            </w:rPr>
          </w:pPr>
          <w:hyperlink w:anchor="_Toc223002952" w:history="1">
            <w:r w:rsidRPr="00801BA7">
              <w:rPr>
                <w:rStyle w:val="Hyperlink"/>
                <w:noProof/>
              </w:rPr>
              <w:t>10.2. Opis napretka u provedbi strateškog cilja „Održiva mobilnost“</w:t>
            </w:r>
            <w:r>
              <w:rPr>
                <w:noProof/>
                <w:webHidden/>
              </w:rPr>
              <w:tab/>
            </w:r>
            <w:r>
              <w:rPr>
                <w:noProof/>
                <w:webHidden/>
              </w:rPr>
              <w:fldChar w:fldCharType="begin"/>
            </w:r>
            <w:r>
              <w:rPr>
                <w:noProof/>
                <w:webHidden/>
              </w:rPr>
              <w:instrText xml:space="preserve"> PAGEREF _Toc223002952 \h </w:instrText>
            </w:r>
            <w:r>
              <w:rPr>
                <w:noProof/>
                <w:webHidden/>
              </w:rPr>
            </w:r>
            <w:r>
              <w:rPr>
                <w:noProof/>
                <w:webHidden/>
              </w:rPr>
              <w:fldChar w:fldCharType="separate"/>
            </w:r>
            <w:r>
              <w:rPr>
                <w:noProof/>
                <w:webHidden/>
              </w:rPr>
              <w:t>103</w:t>
            </w:r>
            <w:r>
              <w:rPr>
                <w:noProof/>
                <w:webHidden/>
              </w:rPr>
              <w:fldChar w:fldCharType="end"/>
            </w:r>
          </w:hyperlink>
        </w:p>
        <w:p w14:paraId="3C09F43D" w14:textId="77777777" w:rsidR="00FB178A" w:rsidRDefault="00FB178A" w:rsidP="00FB178A">
          <w:pPr>
            <w:pStyle w:val="TOC2"/>
            <w:tabs>
              <w:tab w:val="right" w:leader="dot" w:pos="9348"/>
            </w:tabs>
            <w:ind w:left="426"/>
            <w:rPr>
              <w:rFonts w:asciiTheme="minorHAnsi" w:eastAsiaTheme="minorEastAsia" w:hAnsiTheme="minorHAnsi" w:cstheme="minorBidi"/>
              <w:noProof/>
              <w:kern w:val="2"/>
              <w:lang w:eastAsia="hr-HR"/>
              <w14:ligatures w14:val="standardContextual"/>
            </w:rPr>
          </w:pPr>
          <w:hyperlink w:anchor="_Toc223002953" w:history="1">
            <w:r w:rsidRPr="00801BA7">
              <w:rPr>
                <w:rStyle w:val="Hyperlink"/>
                <w:noProof/>
              </w:rPr>
              <w:t>11. Digitalna tranzicija društva i gospodarstva</w:t>
            </w:r>
            <w:r>
              <w:rPr>
                <w:noProof/>
                <w:webHidden/>
              </w:rPr>
              <w:tab/>
            </w:r>
            <w:r>
              <w:rPr>
                <w:noProof/>
                <w:webHidden/>
              </w:rPr>
              <w:fldChar w:fldCharType="begin"/>
            </w:r>
            <w:r>
              <w:rPr>
                <w:noProof/>
                <w:webHidden/>
              </w:rPr>
              <w:instrText xml:space="preserve"> PAGEREF _Toc223002953 \h </w:instrText>
            </w:r>
            <w:r>
              <w:rPr>
                <w:noProof/>
                <w:webHidden/>
              </w:rPr>
            </w:r>
            <w:r>
              <w:rPr>
                <w:noProof/>
                <w:webHidden/>
              </w:rPr>
              <w:fldChar w:fldCharType="separate"/>
            </w:r>
            <w:r>
              <w:rPr>
                <w:noProof/>
                <w:webHidden/>
              </w:rPr>
              <w:t>106</w:t>
            </w:r>
            <w:r>
              <w:rPr>
                <w:noProof/>
                <w:webHidden/>
              </w:rPr>
              <w:fldChar w:fldCharType="end"/>
            </w:r>
          </w:hyperlink>
        </w:p>
        <w:p w14:paraId="64EB952F" w14:textId="77777777" w:rsidR="00FB178A" w:rsidRDefault="00FB178A" w:rsidP="00FB178A">
          <w:pPr>
            <w:pStyle w:val="TOC3"/>
            <w:tabs>
              <w:tab w:val="right" w:leader="dot" w:pos="9348"/>
            </w:tabs>
            <w:rPr>
              <w:rFonts w:asciiTheme="minorHAnsi" w:eastAsiaTheme="minorEastAsia" w:hAnsiTheme="minorHAnsi" w:cstheme="minorBidi"/>
              <w:noProof/>
              <w:kern w:val="2"/>
              <w:sz w:val="24"/>
              <w:szCs w:val="24"/>
              <w:lang w:eastAsia="hr-HR"/>
              <w14:ligatures w14:val="standardContextual"/>
            </w:rPr>
          </w:pPr>
          <w:hyperlink w:anchor="_Toc223002954" w:history="1">
            <w:r w:rsidRPr="00801BA7">
              <w:rPr>
                <w:rStyle w:val="Hyperlink"/>
                <w:noProof/>
              </w:rPr>
              <w:t>11.1. Ostvarene vrijednosti pokazatelja učinka</w:t>
            </w:r>
            <w:r>
              <w:rPr>
                <w:noProof/>
                <w:webHidden/>
              </w:rPr>
              <w:tab/>
            </w:r>
            <w:r>
              <w:rPr>
                <w:noProof/>
                <w:webHidden/>
              </w:rPr>
              <w:fldChar w:fldCharType="begin"/>
            </w:r>
            <w:r>
              <w:rPr>
                <w:noProof/>
                <w:webHidden/>
              </w:rPr>
              <w:instrText xml:space="preserve"> PAGEREF _Toc223002954 \h </w:instrText>
            </w:r>
            <w:r>
              <w:rPr>
                <w:noProof/>
                <w:webHidden/>
              </w:rPr>
            </w:r>
            <w:r>
              <w:rPr>
                <w:noProof/>
                <w:webHidden/>
              </w:rPr>
              <w:fldChar w:fldCharType="separate"/>
            </w:r>
            <w:r>
              <w:rPr>
                <w:noProof/>
                <w:webHidden/>
              </w:rPr>
              <w:t>106</w:t>
            </w:r>
            <w:r>
              <w:rPr>
                <w:noProof/>
                <w:webHidden/>
              </w:rPr>
              <w:fldChar w:fldCharType="end"/>
            </w:r>
          </w:hyperlink>
        </w:p>
        <w:p w14:paraId="3CC721C9" w14:textId="77777777" w:rsidR="00FB178A" w:rsidRDefault="00FB178A" w:rsidP="00FB178A">
          <w:pPr>
            <w:pStyle w:val="TOC3"/>
            <w:tabs>
              <w:tab w:val="right" w:leader="dot" w:pos="9348"/>
            </w:tabs>
            <w:rPr>
              <w:rFonts w:asciiTheme="minorHAnsi" w:eastAsiaTheme="minorEastAsia" w:hAnsiTheme="minorHAnsi" w:cstheme="minorBidi"/>
              <w:noProof/>
              <w:kern w:val="2"/>
              <w:sz w:val="24"/>
              <w:szCs w:val="24"/>
              <w:lang w:eastAsia="hr-HR"/>
              <w14:ligatures w14:val="standardContextual"/>
            </w:rPr>
          </w:pPr>
          <w:hyperlink w:anchor="_Toc223002955" w:history="1">
            <w:r w:rsidRPr="00801BA7">
              <w:rPr>
                <w:rStyle w:val="Hyperlink"/>
                <w:noProof/>
              </w:rPr>
              <w:t>11.2. Opis napretka u provedbi strateškog cilja Digitalna tranzicija društva i gospodarstva</w:t>
            </w:r>
            <w:r>
              <w:rPr>
                <w:noProof/>
                <w:webHidden/>
              </w:rPr>
              <w:tab/>
            </w:r>
            <w:r>
              <w:rPr>
                <w:noProof/>
                <w:webHidden/>
              </w:rPr>
              <w:fldChar w:fldCharType="begin"/>
            </w:r>
            <w:r>
              <w:rPr>
                <w:noProof/>
                <w:webHidden/>
              </w:rPr>
              <w:instrText xml:space="preserve"> PAGEREF _Toc223002955 \h </w:instrText>
            </w:r>
            <w:r>
              <w:rPr>
                <w:noProof/>
                <w:webHidden/>
              </w:rPr>
            </w:r>
            <w:r>
              <w:rPr>
                <w:noProof/>
                <w:webHidden/>
              </w:rPr>
              <w:fldChar w:fldCharType="separate"/>
            </w:r>
            <w:r>
              <w:rPr>
                <w:noProof/>
                <w:webHidden/>
              </w:rPr>
              <w:t>106</w:t>
            </w:r>
            <w:r>
              <w:rPr>
                <w:noProof/>
                <w:webHidden/>
              </w:rPr>
              <w:fldChar w:fldCharType="end"/>
            </w:r>
          </w:hyperlink>
        </w:p>
        <w:p w14:paraId="3E680392" w14:textId="77777777" w:rsidR="00FB178A" w:rsidRDefault="00FB178A" w:rsidP="00FB178A">
          <w:pPr>
            <w:pStyle w:val="TOC2"/>
            <w:tabs>
              <w:tab w:val="right" w:leader="dot" w:pos="9348"/>
            </w:tabs>
            <w:ind w:left="426"/>
            <w:rPr>
              <w:rFonts w:asciiTheme="minorHAnsi" w:eastAsiaTheme="minorEastAsia" w:hAnsiTheme="minorHAnsi" w:cstheme="minorBidi"/>
              <w:noProof/>
              <w:kern w:val="2"/>
              <w:lang w:eastAsia="hr-HR"/>
              <w14:ligatures w14:val="standardContextual"/>
            </w:rPr>
          </w:pPr>
          <w:hyperlink w:anchor="_Toc223002956" w:history="1">
            <w:r w:rsidRPr="00801BA7">
              <w:rPr>
                <w:rStyle w:val="Hyperlink"/>
                <w:noProof/>
              </w:rPr>
              <w:t>12. Razvoj potpomognutih područja i područja s razvojnim posebnostima</w:t>
            </w:r>
            <w:r>
              <w:rPr>
                <w:noProof/>
                <w:webHidden/>
              </w:rPr>
              <w:tab/>
            </w:r>
            <w:r>
              <w:rPr>
                <w:noProof/>
                <w:webHidden/>
              </w:rPr>
              <w:fldChar w:fldCharType="begin"/>
            </w:r>
            <w:r>
              <w:rPr>
                <w:noProof/>
                <w:webHidden/>
              </w:rPr>
              <w:instrText xml:space="preserve"> PAGEREF _Toc223002956 \h </w:instrText>
            </w:r>
            <w:r>
              <w:rPr>
                <w:noProof/>
                <w:webHidden/>
              </w:rPr>
            </w:r>
            <w:r>
              <w:rPr>
                <w:noProof/>
                <w:webHidden/>
              </w:rPr>
              <w:fldChar w:fldCharType="separate"/>
            </w:r>
            <w:r>
              <w:rPr>
                <w:noProof/>
                <w:webHidden/>
              </w:rPr>
              <w:t>114</w:t>
            </w:r>
            <w:r>
              <w:rPr>
                <w:noProof/>
                <w:webHidden/>
              </w:rPr>
              <w:fldChar w:fldCharType="end"/>
            </w:r>
          </w:hyperlink>
        </w:p>
        <w:p w14:paraId="375DD2EE" w14:textId="77777777" w:rsidR="00FB178A" w:rsidRDefault="00FB178A" w:rsidP="00FB178A">
          <w:pPr>
            <w:pStyle w:val="TOC3"/>
            <w:tabs>
              <w:tab w:val="right" w:leader="dot" w:pos="9348"/>
            </w:tabs>
            <w:rPr>
              <w:rFonts w:asciiTheme="minorHAnsi" w:eastAsiaTheme="minorEastAsia" w:hAnsiTheme="minorHAnsi" w:cstheme="minorBidi"/>
              <w:noProof/>
              <w:kern w:val="2"/>
              <w:sz w:val="24"/>
              <w:szCs w:val="24"/>
              <w:lang w:eastAsia="hr-HR"/>
              <w14:ligatures w14:val="standardContextual"/>
            </w:rPr>
          </w:pPr>
          <w:hyperlink w:anchor="_Toc223002957" w:history="1">
            <w:r w:rsidRPr="00801BA7">
              <w:rPr>
                <w:rStyle w:val="Hyperlink"/>
                <w:noProof/>
              </w:rPr>
              <w:t>12.1. Ostvarene vrijednosti pokazatelja uspješnosti</w:t>
            </w:r>
            <w:r>
              <w:rPr>
                <w:noProof/>
                <w:webHidden/>
              </w:rPr>
              <w:tab/>
            </w:r>
            <w:r>
              <w:rPr>
                <w:noProof/>
                <w:webHidden/>
              </w:rPr>
              <w:fldChar w:fldCharType="begin"/>
            </w:r>
            <w:r>
              <w:rPr>
                <w:noProof/>
                <w:webHidden/>
              </w:rPr>
              <w:instrText xml:space="preserve"> PAGEREF _Toc223002957 \h </w:instrText>
            </w:r>
            <w:r>
              <w:rPr>
                <w:noProof/>
                <w:webHidden/>
              </w:rPr>
            </w:r>
            <w:r>
              <w:rPr>
                <w:noProof/>
                <w:webHidden/>
              </w:rPr>
              <w:fldChar w:fldCharType="separate"/>
            </w:r>
            <w:r>
              <w:rPr>
                <w:noProof/>
                <w:webHidden/>
              </w:rPr>
              <w:t>114</w:t>
            </w:r>
            <w:r>
              <w:rPr>
                <w:noProof/>
                <w:webHidden/>
              </w:rPr>
              <w:fldChar w:fldCharType="end"/>
            </w:r>
          </w:hyperlink>
        </w:p>
        <w:p w14:paraId="2571B49A" w14:textId="77777777" w:rsidR="00FB178A" w:rsidRDefault="00FB178A" w:rsidP="00FB178A">
          <w:pPr>
            <w:pStyle w:val="TOC3"/>
            <w:tabs>
              <w:tab w:val="right" w:leader="dot" w:pos="9348"/>
            </w:tabs>
            <w:rPr>
              <w:rFonts w:asciiTheme="minorHAnsi" w:eastAsiaTheme="minorEastAsia" w:hAnsiTheme="minorHAnsi" w:cstheme="minorBidi"/>
              <w:noProof/>
              <w:kern w:val="2"/>
              <w:sz w:val="24"/>
              <w:szCs w:val="24"/>
              <w:lang w:eastAsia="hr-HR"/>
              <w14:ligatures w14:val="standardContextual"/>
            </w:rPr>
          </w:pPr>
          <w:hyperlink w:anchor="_Toc223002958" w:history="1">
            <w:r w:rsidRPr="00801BA7">
              <w:rPr>
                <w:rStyle w:val="Hyperlink"/>
                <w:noProof/>
              </w:rPr>
              <w:t>12.2. Opis napretka u provedbi strateškog cilja Razvoj potpomognutih područja i područja s razvojnim posebnostima</w:t>
            </w:r>
            <w:r>
              <w:rPr>
                <w:noProof/>
                <w:webHidden/>
              </w:rPr>
              <w:tab/>
            </w:r>
            <w:r>
              <w:rPr>
                <w:noProof/>
                <w:webHidden/>
              </w:rPr>
              <w:fldChar w:fldCharType="begin"/>
            </w:r>
            <w:r>
              <w:rPr>
                <w:noProof/>
                <w:webHidden/>
              </w:rPr>
              <w:instrText xml:space="preserve"> PAGEREF _Toc223002958 \h </w:instrText>
            </w:r>
            <w:r>
              <w:rPr>
                <w:noProof/>
                <w:webHidden/>
              </w:rPr>
            </w:r>
            <w:r>
              <w:rPr>
                <w:noProof/>
                <w:webHidden/>
              </w:rPr>
              <w:fldChar w:fldCharType="separate"/>
            </w:r>
            <w:r>
              <w:rPr>
                <w:noProof/>
                <w:webHidden/>
              </w:rPr>
              <w:t>114</w:t>
            </w:r>
            <w:r>
              <w:rPr>
                <w:noProof/>
                <w:webHidden/>
              </w:rPr>
              <w:fldChar w:fldCharType="end"/>
            </w:r>
          </w:hyperlink>
        </w:p>
        <w:p w14:paraId="162A3E02" w14:textId="77777777" w:rsidR="00FB178A" w:rsidRDefault="00FB178A" w:rsidP="00FB178A">
          <w:pPr>
            <w:pStyle w:val="TOC2"/>
            <w:tabs>
              <w:tab w:val="right" w:leader="dot" w:pos="9348"/>
            </w:tabs>
            <w:ind w:left="426"/>
            <w:rPr>
              <w:rFonts w:asciiTheme="minorHAnsi" w:eastAsiaTheme="minorEastAsia" w:hAnsiTheme="minorHAnsi" w:cstheme="minorBidi"/>
              <w:noProof/>
              <w:kern w:val="2"/>
              <w:lang w:eastAsia="hr-HR"/>
              <w14:ligatures w14:val="standardContextual"/>
            </w:rPr>
          </w:pPr>
          <w:hyperlink w:anchor="_Toc223002959" w:history="1">
            <w:r w:rsidRPr="00801BA7">
              <w:rPr>
                <w:rStyle w:val="Hyperlink"/>
                <w:noProof/>
              </w:rPr>
              <w:t>13. Jačanje regionalne konkurentnosti</w:t>
            </w:r>
            <w:r>
              <w:rPr>
                <w:noProof/>
                <w:webHidden/>
              </w:rPr>
              <w:tab/>
            </w:r>
            <w:r>
              <w:rPr>
                <w:noProof/>
                <w:webHidden/>
              </w:rPr>
              <w:fldChar w:fldCharType="begin"/>
            </w:r>
            <w:r>
              <w:rPr>
                <w:noProof/>
                <w:webHidden/>
              </w:rPr>
              <w:instrText xml:space="preserve"> PAGEREF _Toc223002959 \h </w:instrText>
            </w:r>
            <w:r>
              <w:rPr>
                <w:noProof/>
                <w:webHidden/>
              </w:rPr>
            </w:r>
            <w:r>
              <w:rPr>
                <w:noProof/>
                <w:webHidden/>
              </w:rPr>
              <w:fldChar w:fldCharType="separate"/>
            </w:r>
            <w:r>
              <w:rPr>
                <w:noProof/>
                <w:webHidden/>
              </w:rPr>
              <w:t>118</w:t>
            </w:r>
            <w:r>
              <w:rPr>
                <w:noProof/>
                <w:webHidden/>
              </w:rPr>
              <w:fldChar w:fldCharType="end"/>
            </w:r>
          </w:hyperlink>
        </w:p>
        <w:p w14:paraId="6D997FD5" w14:textId="77777777" w:rsidR="00FB178A" w:rsidRDefault="00FB178A" w:rsidP="00FB178A">
          <w:pPr>
            <w:pStyle w:val="TOC3"/>
            <w:tabs>
              <w:tab w:val="right" w:leader="dot" w:pos="9348"/>
            </w:tabs>
            <w:rPr>
              <w:rFonts w:asciiTheme="minorHAnsi" w:eastAsiaTheme="minorEastAsia" w:hAnsiTheme="minorHAnsi" w:cstheme="minorBidi"/>
              <w:noProof/>
              <w:kern w:val="2"/>
              <w:sz w:val="24"/>
              <w:szCs w:val="24"/>
              <w:lang w:eastAsia="hr-HR"/>
              <w14:ligatures w14:val="standardContextual"/>
            </w:rPr>
          </w:pPr>
          <w:hyperlink w:anchor="_Toc223002960" w:history="1">
            <w:r w:rsidRPr="00801BA7">
              <w:rPr>
                <w:rStyle w:val="Hyperlink"/>
                <w:noProof/>
              </w:rPr>
              <w:t>13.1. Ostvarene vrijednosti pokazatelja uspješnosti</w:t>
            </w:r>
            <w:r>
              <w:rPr>
                <w:noProof/>
                <w:webHidden/>
              </w:rPr>
              <w:tab/>
            </w:r>
            <w:r>
              <w:rPr>
                <w:noProof/>
                <w:webHidden/>
              </w:rPr>
              <w:fldChar w:fldCharType="begin"/>
            </w:r>
            <w:r>
              <w:rPr>
                <w:noProof/>
                <w:webHidden/>
              </w:rPr>
              <w:instrText xml:space="preserve"> PAGEREF _Toc223002960 \h </w:instrText>
            </w:r>
            <w:r>
              <w:rPr>
                <w:noProof/>
                <w:webHidden/>
              </w:rPr>
            </w:r>
            <w:r>
              <w:rPr>
                <w:noProof/>
                <w:webHidden/>
              </w:rPr>
              <w:fldChar w:fldCharType="separate"/>
            </w:r>
            <w:r>
              <w:rPr>
                <w:noProof/>
                <w:webHidden/>
              </w:rPr>
              <w:t>118</w:t>
            </w:r>
            <w:r>
              <w:rPr>
                <w:noProof/>
                <w:webHidden/>
              </w:rPr>
              <w:fldChar w:fldCharType="end"/>
            </w:r>
          </w:hyperlink>
        </w:p>
        <w:p w14:paraId="34C9F58E" w14:textId="77777777" w:rsidR="00FB178A" w:rsidRDefault="00FB178A" w:rsidP="00FB178A">
          <w:pPr>
            <w:pStyle w:val="TOC3"/>
            <w:tabs>
              <w:tab w:val="right" w:leader="dot" w:pos="9348"/>
            </w:tabs>
            <w:rPr>
              <w:rFonts w:asciiTheme="minorHAnsi" w:eastAsiaTheme="minorEastAsia" w:hAnsiTheme="minorHAnsi" w:cstheme="minorBidi"/>
              <w:noProof/>
              <w:kern w:val="2"/>
              <w:sz w:val="24"/>
              <w:szCs w:val="24"/>
              <w:lang w:eastAsia="hr-HR"/>
              <w14:ligatures w14:val="standardContextual"/>
            </w:rPr>
          </w:pPr>
          <w:hyperlink w:anchor="_Toc223002961" w:history="1">
            <w:r w:rsidRPr="00801BA7">
              <w:rPr>
                <w:rStyle w:val="Hyperlink"/>
                <w:noProof/>
              </w:rPr>
              <w:t>13.2. Opis napretka u provedbi strateškog cilja Jačanje regionalne konkurentnosti</w:t>
            </w:r>
            <w:r>
              <w:rPr>
                <w:noProof/>
                <w:webHidden/>
              </w:rPr>
              <w:tab/>
            </w:r>
            <w:r>
              <w:rPr>
                <w:noProof/>
                <w:webHidden/>
              </w:rPr>
              <w:fldChar w:fldCharType="begin"/>
            </w:r>
            <w:r>
              <w:rPr>
                <w:noProof/>
                <w:webHidden/>
              </w:rPr>
              <w:instrText xml:space="preserve"> PAGEREF _Toc223002961 \h </w:instrText>
            </w:r>
            <w:r>
              <w:rPr>
                <w:noProof/>
                <w:webHidden/>
              </w:rPr>
            </w:r>
            <w:r>
              <w:rPr>
                <w:noProof/>
                <w:webHidden/>
              </w:rPr>
              <w:fldChar w:fldCharType="separate"/>
            </w:r>
            <w:r>
              <w:rPr>
                <w:noProof/>
                <w:webHidden/>
              </w:rPr>
              <w:t>118</w:t>
            </w:r>
            <w:r>
              <w:rPr>
                <w:noProof/>
                <w:webHidden/>
              </w:rPr>
              <w:fldChar w:fldCharType="end"/>
            </w:r>
          </w:hyperlink>
        </w:p>
        <w:p w14:paraId="42DE2712" w14:textId="77777777" w:rsidR="00FB178A" w:rsidRDefault="00FB178A" w:rsidP="00FB178A">
          <w:pPr>
            <w:pStyle w:val="TOC1"/>
            <w:tabs>
              <w:tab w:val="right" w:leader="dot" w:pos="9348"/>
            </w:tabs>
            <w:rPr>
              <w:rFonts w:asciiTheme="minorHAnsi" w:eastAsiaTheme="minorEastAsia" w:hAnsiTheme="minorHAnsi" w:cstheme="minorBidi"/>
              <w:b w:val="0"/>
              <w:bCs w:val="0"/>
              <w:noProof/>
              <w:kern w:val="2"/>
              <w:lang w:eastAsia="hr-HR"/>
              <w14:ligatures w14:val="standardContextual"/>
            </w:rPr>
          </w:pPr>
          <w:hyperlink w:anchor="_Toc223002962" w:history="1">
            <w:r w:rsidRPr="00801BA7">
              <w:rPr>
                <w:rStyle w:val="Hyperlink"/>
                <w:rFonts w:eastAsiaTheme="majorEastAsia"/>
                <w:noProof/>
              </w:rPr>
              <w:t>Napredak u provedbi horizontalnih prioriteta Nacionalne razvojne strategije</w:t>
            </w:r>
            <w:r>
              <w:rPr>
                <w:noProof/>
                <w:webHidden/>
              </w:rPr>
              <w:tab/>
            </w:r>
            <w:r>
              <w:rPr>
                <w:noProof/>
                <w:webHidden/>
              </w:rPr>
              <w:fldChar w:fldCharType="begin"/>
            </w:r>
            <w:r>
              <w:rPr>
                <w:noProof/>
                <w:webHidden/>
              </w:rPr>
              <w:instrText xml:space="preserve"> PAGEREF _Toc223002962 \h </w:instrText>
            </w:r>
            <w:r>
              <w:rPr>
                <w:noProof/>
                <w:webHidden/>
              </w:rPr>
            </w:r>
            <w:r>
              <w:rPr>
                <w:noProof/>
                <w:webHidden/>
              </w:rPr>
              <w:fldChar w:fldCharType="separate"/>
            </w:r>
            <w:r>
              <w:rPr>
                <w:noProof/>
                <w:webHidden/>
              </w:rPr>
              <w:t>121</w:t>
            </w:r>
            <w:r>
              <w:rPr>
                <w:noProof/>
                <w:webHidden/>
              </w:rPr>
              <w:fldChar w:fldCharType="end"/>
            </w:r>
          </w:hyperlink>
        </w:p>
        <w:p w14:paraId="5F8DB940" w14:textId="77777777" w:rsidR="00FB178A" w:rsidRDefault="00FB178A" w:rsidP="00FB178A">
          <w:pPr>
            <w:pStyle w:val="TOC1"/>
            <w:tabs>
              <w:tab w:val="right" w:leader="dot" w:pos="9348"/>
            </w:tabs>
            <w:rPr>
              <w:rFonts w:asciiTheme="minorHAnsi" w:eastAsiaTheme="minorEastAsia" w:hAnsiTheme="minorHAnsi" w:cstheme="minorBidi"/>
              <w:b w:val="0"/>
              <w:bCs w:val="0"/>
              <w:noProof/>
              <w:kern w:val="2"/>
              <w:lang w:eastAsia="hr-HR"/>
              <w14:ligatures w14:val="standardContextual"/>
            </w:rPr>
          </w:pPr>
          <w:hyperlink w:anchor="_Toc223002963" w:history="1">
            <w:r w:rsidRPr="00801BA7">
              <w:rPr>
                <w:rStyle w:val="Hyperlink"/>
                <w:noProof/>
              </w:rPr>
              <w:t>Zaključak o napretku u provedbi Nacionalne razvojne strategije Republike Hrvatske do 2030. godine, tijekom 2024. godine</w:t>
            </w:r>
            <w:r>
              <w:rPr>
                <w:noProof/>
                <w:webHidden/>
              </w:rPr>
              <w:tab/>
            </w:r>
            <w:r>
              <w:rPr>
                <w:noProof/>
                <w:webHidden/>
              </w:rPr>
              <w:fldChar w:fldCharType="begin"/>
            </w:r>
            <w:r>
              <w:rPr>
                <w:noProof/>
                <w:webHidden/>
              </w:rPr>
              <w:instrText xml:space="preserve"> PAGEREF _Toc223002963 \h </w:instrText>
            </w:r>
            <w:r>
              <w:rPr>
                <w:noProof/>
                <w:webHidden/>
              </w:rPr>
            </w:r>
            <w:r>
              <w:rPr>
                <w:noProof/>
                <w:webHidden/>
              </w:rPr>
              <w:fldChar w:fldCharType="separate"/>
            </w:r>
            <w:r>
              <w:rPr>
                <w:noProof/>
                <w:webHidden/>
              </w:rPr>
              <w:t>125</w:t>
            </w:r>
            <w:r>
              <w:rPr>
                <w:noProof/>
                <w:webHidden/>
              </w:rPr>
              <w:fldChar w:fldCharType="end"/>
            </w:r>
          </w:hyperlink>
        </w:p>
        <w:p w14:paraId="5B08B2AD" w14:textId="77777777" w:rsidR="00FB178A" w:rsidRDefault="00FB178A" w:rsidP="00FB178A">
          <w:pPr>
            <w:pStyle w:val="TOC2"/>
            <w:tabs>
              <w:tab w:val="right" w:leader="dot" w:pos="9348"/>
            </w:tabs>
            <w:rPr>
              <w:rFonts w:asciiTheme="minorHAnsi" w:eastAsiaTheme="minorEastAsia" w:hAnsiTheme="minorHAnsi" w:cstheme="minorBidi"/>
              <w:noProof/>
              <w:kern w:val="2"/>
              <w:lang w:eastAsia="hr-HR"/>
              <w14:ligatures w14:val="standardContextual"/>
            </w:rPr>
          </w:pPr>
          <w:hyperlink w:anchor="_Toc223002964" w:history="1">
            <w:r w:rsidRPr="00801BA7">
              <w:rPr>
                <w:rStyle w:val="Hyperlink"/>
                <w:noProof/>
              </w:rPr>
              <w:t>Prilog 1. Zakonodavni okvir Izvješća i primjena načela transparentnosti</w:t>
            </w:r>
            <w:r>
              <w:rPr>
                <w:noProof/>
                <w:webHidden/>
              </w:rPr>
              <w:tab/>
            </w:r>
            <w:r>
              <w:rPr>
                <w:noProof/>
                <w:webHidden/>
              </w:rPr>
              <w:fldChar w:fldCharType="begin"/>
            </w:r>
            <w:r>
              <w:rPr>
                <w:noProof/>
                <w:webHidden/>
              </w:rPr>
              <w:instrText xml:space="preserve"> PAGEREF _Toc223002964 \h </w:instrText>
            </w:r>
            <w:r>
              <w:rPr>
                <w:noProof/>
                <w:webHidden/>
              </w:rPr>
            </w:r>
            <w:r>
              <w:rPr>
                <w:noProof/>
                <w:webHidden/>
              </w:rPr>
              <w:fldChar w:fldCharType="separate"/>
            </w:r>
            <w:r>
              <w:rPr>
                <w:noProof/>
                <w:webHidden/>
              </w:rPr>
              <w:t>128</w:t>
            </w:r>
            <w:r>
              <w:rPr>
                <w:noProof/>
                <w:webHidden/>
              </w:rPr>
              <w:fldChar w:fldCharType="end"/>
            </w:r>
          </w:hyperlink>
        </w:p>
        <w:p w14:paraId="77BB7C4C" w14:textId="77777777" w:rsidR="00FB178A" w:rsidRDefault="00FB178A" w:rsidP="00FB178A">
          <w:pPr>
            <w:pStyle w:val="TOC2"/>
            <w:tabs>
              <w:tab w:val="right" w:leader="dot" w:pos="9348"/>
            </w:tabs>
            <w:rPr>
              <w:rFonts w:asciiTheme="minorHAnsi" w:eastAsiaTheme="minorEastAsia" w:hAnsiTheme="minorHAnsi" w:cstheme="minorBidi"/>
              <w:noProof/>
              <w:kern w:val="2"/>
              <w:lang w:eastAsia="hr-HR"/>
              <w14:ligatures w14:val="standardContextual"/>
            </w:rPr>
          </w:pPr>
          <w:hyperlink w:anchor="_Toc223002965" w:history="1">
            <w:r w:rsidRPr="00801BA7">
              <w:rPr>
                <w:rStyle w:val="Hyperlink"/>
                <w:noProof/>
              </w:rPr>
              <w:t>Prilog 2. Pregled ostvarenih vrijednosti pokazatelja uspješnosti NRS-a 2030. tijekom 2024. godine</w:t>
            </w:r>
            <w:r>
              <w:rPr>
                <w:noProof/>
                <w:webHidden/>
              </w:rPr>
              <w:tab/>
            </w:r>
            <w:r>
              <w:rPr>
                <w:noProof/>
                <w:webHidden/>
              </w:rPr>
              <w:fldChar w:fldCharType="begin"/>
            </w:r>
            <w:r>
              <w:rPr>
                <w:noProof/>
                <w:webHidden/>
              </w:rPr>
              <w:instrText xml:space="preserve"> PAGEREF _Toc223002965 \h </w:instrText>
            </w:r>
            <w:r>
              <w:rPr>
                <w:noProof/>
                <w:webHidden/>
              </w:rPr>
            </w:r>
            <w:r>
              <w:rPr>
                <w:noProof/>
                <w:webHidden/>
              </w:rPr>
              <w:fldChar w:fldCharType="separate"/>
            </w:r>
            <w:r>
              <w:rPr>
                <w:noProof/>
                <w:webHidden/>
              </w:rPr>
              <w:t>129</w:t>
            </w:r>
            <w:r>
              <w:rPr>
                <w:noProof/>
                <w:webHidden/>
              </w:rPr>
              <w:fldChar w:fldCharType="end"/>
            </w:r>
          </w:hyperlink>
        </w:p>
        <w:p w14:paraId="6E9C6D90" w14:textId="77777777" w:rsidR="00FB178A" w:rsidRDefault="00FB178A" w:rsidP="00FB178A">
          <w:pPr>
            <w:pStyle w:val="TOC2"/>
            <w:tabs>
              <w:tab w:val="right" w:leader="dot" w:pos="9348"/>
            </w:tabs>
            <w:rPr>
              <w:rFonts w:asciiTheme="minorHAnsi" w:eastAsiaTheme="minorEastAsia" w:hAnsiTheme="minorHAnsi" w:cstheme="minorBidi"/>
              <w:noProof/>
              <w:kern w:val="2"/>
              <w:lang w:eastAsia="hr-HR"/>
              <w14:ligatures w14:val="standardContextual"/>
            </w:rPr>
          </w:pPr>
          <w:hyperlink w:anchor="_Toc223002966" w:history="1">
            <w:r w:rsidRPr="00801BA7">
              <w:rPr>
                <w:rStyle w:val="Hyperlink"/>
                <w:rFonts w:eastAsia="Calibri"/>
                <w:noProof/>
              </w:rPr>
              <w:t>Prilog 3. Popis važećih akata strateškog planiranja</w:t>
            </w:r>
            <w:r w:rsidRPr="00801BA7">
              <w:rPr>
                <w:rStyle w:val="Hyperlink"/>
                <w:noProof/>
              </w:rPr>
              <w:t xml:space="preserve"> </w:t>
            </w:r>
            <w:r w:rsidRPr="00801BA7">
              <w:rPr>
                <w:rStyle w:val="Hyperlink"/>
                <w:rFonts w:eastAsia="Calibri"/>
                <w:noProof/>
              </w:rPr>
              <w:t>koji izravno podupiru provedbu strateškog okvira NRS-a 2030.</w:t>
            </w:r>
            <w:r>
              <w:rPr>
                <w:noProof/>
                <w:webHidden/>
              </w:rPr>
              <w:tab/>
            </w:r>
            <w:r>
              <w:rPr>
                <w:noProof/>
                <w:webHidden/>
              </w:rPr>
              <w:fldChar w:fldCharType="begin"/>
            </w:r>
            <w:r>
              <w:rPr>
                <w:noProof/>
                <w:webHidden/>
              </w:rPr>
              <w:instrText xml:space="preserve"> PAGEREF _Toc223002966 \h </w:instrText>
            </w:r>
            <w:r>
              <w:rPr>
                <w:noProof/>
                <w:webHidden/>
              </w:rPr>
            </w:r>
            <w:r>
              <w:rPr>
                <w:noProof/>
                <w:webHidden/>
              </w:rPr>
              <w:fldChar w:fldCharType="separate"/>
            </w:r>
            <w:r>
              <w:rPr>
                <w:noProof/>
                <w:webHidden/>
              </w:rPr>
              <w:t>132</w:t>
            </w:r>
            <w:r>
              <w:rPr>
                <w:noProof/>
                <w:webHidden/>
              </w:rPr>
              <w:fldChar w:fldCharType="end"/>
            </w:r>
          </w:hyperlink>
        </w:p>
        <w:p w14:paraId="02241431" w14:textId="77777777" w:rsidR="00FB178A" w:rsidRDefault="00FB178A" w:rsidP="00FB178A">
          <w:pPr>
            <w:pStyle w:val="TOC2"/>
            <w:tabs>
              <w:tab w:val="right" w:leader="dot" w:pos="9348"/>
            </w:tabs>
            <w:rPr>
              <w:rFonts w:asciiTheme="minorHAnsi" w:eastAsiaTheme="minorEastAsia" w:hAnsiTheme="minorHAnsi" w:cstheme="minorBidi"/>
              <w:noProof/>
              <w:kern w:val="2"/>
              <w:lang w:eastAsia="hr-HR"/>
              <w14:ligatures w14:val="standardContextual"/>
            </w:rPr>
          </w:pPr>
          <w:hyperlink w:anchor="_Toc223002967" w:history="1">
            <w:r w:rsidRPr="00801BA7">
              <w:rPr>
                <w:rStyle w:val="Hyperlink"/>
                <w:rFonts w:eastAsia="Calibri"/>
                <w:noProof/>
              </w:rPr>
              <w:t>Prilog 4. Popis akata strateškog planiranja</w:t>
            </w:r>
            <w:r w:rsidRPr="00801BA7">
              <w:rPr>
                <w:rStyle w:val="Hyperlink"/>
                <w:noProof/>
              </w:rPr>
              <w:t xml:space="preserve"> </w:t>
            </w:r>
            <w:r w:rsidRPr="00801BA7">
              <w:rPr>
                <w:rStyle w:val="Hyperlink"/>
                <w:rFonts w:eastAsia="Calibri"/>
                <w:noProof/>
              </w:rPr>
              <w:t>u izradi koji izravno podupiru provedbu strateškog okvira NRS-a 2030.</w:t>
            </w:r>
            <w:r>
              <w:rPr>
                <w:noProof/>
                <w:webHidden/>
              </w:rPr>
              <w:tab/>
            </w:r>
            <w:r>
              <w:rPr>
                <w:noProof/>
                <w:webHidden/>
              </w:rPr>
              <w:fldChar w:fldCharType="begin"/>
            </w:r>
            <w:r>
              <w:rPr>
                <w:noProof/>
                <w:webHidden/>
              </w:rPr>
              <w:instrText xml:space="preserve"> PAGEREF _Toc223002967 \h </w:instrText>
            </w:r>
            <w:r>
              <w:rPr>
                <w:noProof/>
                <w:webHidden/>
              </w:rPr>
            </w:r>
            <w:r>
              <w:rPr>
                <w:noProof/>
                <w:webHidden/>
              </w:rPr>
              <w:fldChar w:fldCharType="separate"/>
            </w:r>
            <w:r>
              <w:rPr>
                <w:noProof/>
                <w:webHidden/>
              </w:rPr>
              <w:t>139</w:t>
            </w:r>
            <w:r>
              <w:rPr>
                <w:noProof/>
                <w:webHidden/>
              </w:rPr>
              <w:fldChar w:fldCharType="end"/>
            </w:r>
          </w:hyperlink>
        </w:p>
        <w:p w14:paraId="3D275E6A" w14:textId="77777777" w:rsidR="00FB178A" w:rsidRDefault="00FB178A" w:rsidP="00FB178A">
          <w:pPr>
            <w:pStyle w:val="TOC2"/>
            <w:tabs>
              <w:tab w:val="right" w:leader="dot" w:pos="9345"/>
            </w:tabs>
            <w:rPr>
              <w:rStyle w:val="Hyperlink"/>
              <w:noProof/>
              <w:kern w:val="2"/>
              <w:lang w:eastAsia="hr-HR"/>
              <w14:ligatures w14:val="standardContextual"/>
            </w:rPr>
          </w:pPr>
          <w:hyperlink w:anchor="_Toc223002968" w:history="1">
            <w:r w:rsidRPr="00801BA7">
              <w:rPr>
                <w:rStyle w:val="Hyperlink"/>
                <w:rFonts w:eastAsia="Calibri"/>
                <w:noProof/>
              </w:rPr>
              <w:t>Prilog 5 – Doprinos provedbi ciljeva održivog razvoja Programa UN-a za održiv razvoj 2030 (UN Agenda 2030)</w:t>
            </w:r>
            <w:r>
              <w:rPr>
                <w:noProof/>
                <w:webHidden/>
              </w:rPr>
              <w:tab/>
            </w:r>
            <w:r>
              <w:rPr>
                <w:noProof/>
                <w:webHidden/>
              </w:rPr>
              <w:fldChar w:fldCharType="begin"/>
            </w:r>
            <w:r>
              <w:rPr>
                <w:noProof/>
                <w:webHidden/>
              </w:rPr>
              <w:instrText xml:space="preserve"> PAGEREF _Toc223002968 \h </w:instrText>
            </w:r>
            <w:r>
              <w:rPr>
                <w:noProof/>
                <w:webHidden/>
              </w:rPr>
            </w:r>
            <w:r>
              <w:rPr>
                <w:noProof/>
                <w:webHidden/>
              </w:rPr>
              <w:fldChar w:fldCharType="separate"/>
            </w:r>
            <w:r>
              <w:rPr>
                <w:noProof/>
                <w:webHidden/>
              </w:rPr>
              <w:t>141</w:t>
            </w:r>
            <w:r>
              <w:rPr>
                <w:noProof/>
                <w:webHidden/>
              </w:rPr>
              <w:fldChar w:fldCharType="end"/>
            </w:r>
          </w:hyperlink>
          <w:r>
            <w:fldChar w:fldCharType="end"/>
          </w:r>
        </w:p>
      </w:sdtContent>
    </w:sdt>
    <w:p w14:paraId="2A5DCE58" w14:textId="77777777" w:rsidR="00FB178A" w:rsidRPr="00145379" w:rsidRDefault="00FB178A" w:rsidP="00FB178A">
      <w:pPr>
        <w:spacing w:line="276" w:lineRule="auto"/>
        <w:rPr>
          <w:sz w:val="24"/>
          <w:szCs w:val="24"/>
        </w:rPr>
      </w:pPr>
    </w:p>
    <w:p w14:paraId="6BC1DB89" w14:textId="77777777" w:rsidR="00FB178A" w:rsidRPr="00145379" w:rsidRDefault="00FB178A" w:rsidP="00FB178A">
      <w:pPr>
        <w:spacing w:line="276" w:lineRule="auto"/>
        <w:rPr>
          <w:sz w:val="24"/>
          <w:szCs w:val="24"/>
        </w:rPr>
      </w:pPr>
    </w:p>
    <w:tbl>
      <w:tblPr>
        <w:tblW w:w="9220"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left w:w="0" w:type="dxa"/>
          <w:right w:w="0" w:type="dxa"/>
        </w:tblCellMar>
        <w:tblLook w:val="04A0" w:firstRow="1" w:lastRow="0" w:firstColumn="1" w:lastColumn="0" w:noHBand="0" w:noVBand="1"/>
      </w:tblPr>
      <w:tblGrid>
        <w:gridCol w:w="2124"/>
        <w:gridCol w:w="7096"/>
      </w:tblGrid>
      <w:tr w:rsidR="00FB178A" w:rsidRPr="00145379" w14:paraId="0C0C85B6" w14:textId="77777777" w:rsidTr="009E18ED">
        <w:trPr>
          <w:trHeight w:val="315"/>
        </w:trPr>
        <w:tc>
          <w:tcPr>
            <w:tcW w:w="9220" w:type="dxa"/>
            <w:gridSpan w:val="2"/>
            <w:shd w:val="clear" w:color="auto" w:fill="B6DDE8" w:themeFill="accent5" w:themeFillTint="66"/>
            <w:tcMar>
              <w:top w:w="15" w:type="dxa"/>
              <w:left w:w="15" w:type="dxa"/>
              <w:bottom w:w="0" w:type="dxa"/>
              <w:right w:w="15" w:type="dxa"/>
            </w:tcMar>
            <w:vAlign w:val="center"/>
          </w:tcPr>
          <w:p w14:paraId="0710013F" w14:textId="77777777" w:rsidR="00FB178A" w:rsidRPr="00145379" w:rsidRDefault="00FB178A" w:rsidP="009E18ED">
            <w:pPr>
              <w:spacing w:line="276" w:lineRule="auto"/>
              <w:rPr>
                <w:color w:val="000000"/>
                <w:sz w:val="24"/>
                <w:szCs w:val="24"/>
              </w:rPr>
            </w:pPr>
            <w:r w:rsidRPr="00145379">
              <w:rPr>
                <w:sz w:val="24"/>
                <w:szCs w:val="24"/>
              </w:rPr>
              <w:br w:type="page"/>
            </w:r>
            <w:r w:rsidRPr="00145379">
              <w:rPr>
                <w:color w:val="000000"/>
                <w:sz w:val="24"/>
                <w:szCs w:val="24"/>
              </w:rPr>
              <w:t>Popis korištenih kratica</w:t>
            </w:r>
          </w:p>
        </w:tc>
      </w:tr>
      <w:tr w:rsidR="00FB178A" w:rsidRPr="00717044" w14:paraId="126D962E" w14:textId="77777777" w:rsidTr="009E18ED">
        <w:trPr>
          <w:trHeight w:val="300"/>
        </w:trPr>
        <w:tc>
          <w:tcPr>
            <w:tcW w:w="2124" w:type="dxa"/>
            <w:tcMar>
              <w:top w:w="15" w:type="dxa"/>
              <w:left w:w="15" w:type="dxa"/>
              <w:bottom w:w="0" w:type="dxa"/>
              <w:right w:w="15" w:type="dxa"/>
            </w:tcMar>
            <w:vAlign w:val="center"/>
            <w:hideMark/>
          </w:tcPr>
          <w:p w14:paraId="577256F4" w14:textId="77777777" w:rsidR="00FB178A" w:rsidRPr="00717044" w:rsidRDefault="00FB178A" w:rsidP="009E18ED">
            <w:pPr>
              <w:spacing w:line="276" w:lineRule="auto"/>
              <w:rPr>
                <w:color w:val="000000" w:themeColor="text1"/>
                <w:sz w:val="24"/>
                <w:szCs w:val="24"/>
              </w:rPr>
            </w:pPr>
            <w:r>
              <w:rPr>
                <w:color w:val="000000" w:themeColor="text1"/>
                <w:sz w:val="24"/>
                <w:szCs w:val="24"/>
              </w:rPr>
              <w:t>ANON</w:t>
            </w:r>
          </w:p>
        </w:tc>
        <w:tc>
          <w:tcPr>
            <w:tcW w:w="7096" w:type="dxa"/>
            <w:tcMar>
              <w:top w:w="15" w:type="dxa"/>
              <w:left w:w="15" w:type="dxa"/>
              <w:bottom w:w="0" w:type="dxa"/>
              <w:right w:w="15" w:type="dxa"/>
            </w:tcMar>
            <w:vAlign w:val="center"/>
            <w:hideMark/>
          </w:tcPr>
          <w:p w14:paraId="587EC58D" w14:textId="77777777" w:rsidR="00FB178A" w:rsidRPr="00717044" w:rsidRDefault="00FB178A" w:rsidP="009E18ED">
            <w:pPr>
              <w:rPr>
                <w:color w:val="000000" w:themeColor="text1"/>
                <w:sz w:val="24"/>
                <w:szCs w:val="24"/>
              </w:rPr>
            </w:pPr>
            <w:r>
              <w:rPr>
                <w:color w:val="000000"/>
                <w:kern w:val="2"/>
                <w:sz w:val="24"/>
                <w:szCs w:val="24"/>
                <w:lang w:eastAsia="hr-HR"/>
                <w14:ligatures w14:val="standardContextual"/>
              </w:rPr>
              <w:t>A</w:t>
            </w:r>
            <w:r w:rsidRPr="0004221B">
              <w:rPr>
                <w:color w:val="000000"/>
                <w:kern w:val="2"/>
                <w:sz w:val="24"/>
                <w:szCs w:val="24"/>
                <w:lang w:eastAsia="hr-HR"/>
                <w14:ligatures w14:val="standardContextual"/>
              </w:rPr>
              <w:t>utomatsk</w:t>
            </w:r>
            <w:r>
              <w:rPr>
                <w:color w:val="000000"/>
                <w:kern w:val="2"/>
                <w:sz w:val="24"/>
                <w:szCs w:val="24"/>
                <w:lang w:eastAsia="hr-HR"/>
                <w14:ligatures w14:val="standardContextual"/>
              </w:rPr>
              <w:t>a</w:t>
            </w:r>
            <w:r w:rsidRPr="0004221B">
              <w:rPr>
                <w:color w:val="000000"/>
                <w:kern w:val="2"/>
                <w:sz w:val="24"/>
                <w:szCs w:val="24"/>
                <w:lang w:eastAsia="hr-HR"/>
                <w14:ligatures w14:val="standardContextual"/>
              </w:rPr>
              <w:t xml:space="preserve"> </w:t>
            </w:r>
            <w:proofErr w:type="spellStart"/>
            <w:r w:rsidRPr="0004221B">
              <w:rPr>
                <w:color w:val="000000"/>
                <w:kern w:val="2"/>
                <w:sz w:val="24"/>
                <w:szCs w:val="24"/>
                <w:lang w:eastAsia="hr-HR"/>
                <w14:ligatures w14:val="standardContextual"/>
              </w:rPr>
              <w:t>anonimizacij</w:t>
            </w:r>
            <w:r>
              <w:rPr>
                <w:color w:val="000000"/>
                <w:kern w:val="2"/>
                <w:sz w:val="24"/>
                <w:szCs w:val="24"/>
                <w:lang w:eastAsia="hr-HR"/>
                <w14:ligatures w14:val="standardContextual"/>
              </w:rPr>
              <w:t>a</w:t>
            </w:r>
            <w:proofErr w:type="spellEnd"/>
            <w:r w:rsidRPr="0004221B">
              <w:rPr>
                <w:color w:val="000000"/>
                <w:kern w:val="2"/>
                <w:sz w:val="24"/>
                <w:szCs w:val="24"/>
                <w:lang w:eastAsia="hr-HR"/>
                <w14:ligatures w14:val="standardContextual"/>
              </w:rPr>
              <w:t xml:space="preserve"> i javn</w:t>
            </w:r>
            <w:r>
              <w:rPr>
                <w:color w:val="000000"/>
                <w:kern w:val="2"/>
                <w:sz w:val="24"/>
                <w:szCs w:val="24"/>
                <w:lang w:eastAsia="hr-HR"/>
                <w14:ligatures w14:val="standardContextual"/>
              </w:rPr>
              <w:t xml:space="preserve">a </w:t>
            </w:r>
            <w:r w:rsidRPr="0004221B">
              <w:rPr>
                <w:color w:val="000000"/>
                <w:kern w:val="2"/>
                <w:sz w:val="24"/>
                <w:szCs w:val="24"/>
                <w:lang w:eastAsia="hr-HR"/>
                <w14:ligatures w14:val="standardContextual"/>
              </w:rPr>
              <w:t>objav</w:t>
            </w:r>
            <w:r>
              <w:rPr>
                <w:color w:val="000000"/>
                <w:kern w:val="2"/>
                <w:sz w:val="24"/>
                <w:szCs w:val="24"/>
                <w:lang w:eastAsia="hr-HR"/>
                <w14:ligatures w14:val="standardContextual"/>
              </w:rPr>
              <w:t>a</w:t>
            </w:r>
            <w:r w:rsidRPr="0004221B">
              <w:rPr>
                <w:color w:val="000000"/>
                <w:kern w:val="2"/>
                <w:sz w:val="24"/>
                <w:szCs w:val="24"/>
                <w:lang w:eastAsia="hr-HR"/>
                <w14:ligatures w14:val="standardContextual"/>
              </w:rPr>
              <w:t xml:space="preserve"> sudskih odluka</w:t>
            </w:r>
          </w:p>
        </w:tc>
      </w:tr>
      <w:tr w:rsidR="00FB178A" w:rsidRPr="00145379" w14:paraId="362BC349" w14:textId="77777777" w:rsidTr="009E18ED">
        <w:trPr>
          <w:trHeight w:val="315"/>
        </w:trPr>
        <w:tc>
          <w:tcPr>
            <w:tcW w:w="2124" w:type="dxa"/>
            <w:tcMar>
              <w:top w:w="15" w:type="dxa"/>
              <w:left w:w="15" w:type="dxa"/>
              <w:bottom w:w="0" w:type="dxa"/>
              <w:right w:w="15" w:type="dxa"/>
            </w:tcMar>
            <w:vAlign w:val="center"/>
            <w:hideMark/>
          </w:tcPr>
          <w:p w14:paraId="11272207" w14:textId="77777777" w:rsidR="00FB178A" w:rsidRPr="00145379" w:rsidRDefault="00FB178A" w:rsidP="009E18ED">
            <w:pPr>
              <w:spacing w:line="276" w:lineRule="auto"/>
              <w:rPr>
                <w:color w:val="000000"/>
                <w:sz w:val="24"/>
                <w:szCs w:val="24"/>
              </w:rPr>
            </w:pPr>
            <w:r w:rsidRPr="00145379">
              <w:rPr>
                <w:color w:val="000000"/>
                <w:sz w:val="24"/>
                <w:szCs w:val="24"/>
              </w:rPr>
              <w:t>BDP</w:t>
            </w:r>
          </w:p>
        </w:tc>
        <w:tc>
          <w:tcPr>
            <w:tcW w:w="7096" w:type="dxa"/>
            <w:tcMar>
              <w:top w:w="15" w:type="dxa"/>
              <w:left w:w="15" w:type="dxa"/>
              <w:bottom w:w="0" w:type="dxa"/>
              <w:right w:w="15" w:type="dxa"/>
            </w:tcMar>
            <w:vAlign w:val="center"/>
            <w:hideMark/>
          </w:tcPr>
          <w:p w14:paraId="25512CAE" w14:textId="77777777" w:rsidR="00FB178A" w:rsidRPr="00145379" w:rsidRDefault="00FB178A" w:rsidP="009E18ED">
            <w:pPr>
              <w:spacing w:line="276" w:lineRule="auto"/>
              <w:rPr>
                <w:color w:val="000000"/>
                <w:sz w:val="24"/>
                <w:szCs w:val="24"/>
              </w:rPr>
            </w:pPr>
            <w:r w:rsidRPr="00145379">
              <w:rPr>
                <w:color w:val="000000"/>
                <w:sz w:val="24"/>
                <w:szCs w:val="24"/>
              </w:rPr>
              <w:t>Bruto domaći proizvod</w:t>
            </w:r>
          </w:p>
        </w:tc>
      </w:tr>
      <w:tr w:rsidR="00FB178A" w:rsidRPr="00145379" w14:paraId="66940AA8" w14:textId="77777777" w:rsidTr="009E18ED">
        <w:trPr>
          <w:trHeight w:val="315"/>
        </w:trPr>
        <w:tc>
          <w:tcPr>
            <w:tcW w:w="2124" w:type="dxa"/>
            <w:tcMar>
              <w:top w:w="15" w:type="dxa"/>
              <w:left w:w="15" w:type="dxa"/>
              <w:bottom w:w="0" w:type="dxa"/>
              <w:right w:w="15" w:type="dxa"/>
            </w:tcMar>
            <w:vAlign w:val="center"/>
          </w:tcPr>
          <w:p w14:paraId="47EFAA93" w14:textId="77777777" w:rsidR="00FB178A" w:rsidRDefault="00FB178A" w:rsidP="009E18ED">
            <w:pPr>
              <w:spacing w:line="276" w:lineRule="auto"/>
              <w:rPr>
                <w:color w:val="000000"/>
                <w:sz w:val="24"/>
                <w:szCs w:val="24"/>
              </w:rPr>
            </w:pPr>
            <w:r>
              <w:rPr>
                <w:color w:val="000000"/>
                <w:sz w:val="24"/>
                <w:szCs w:val="24"/>
              </w:rPr>
              <w:t>BMVI</w:t>
            </w:r>
          </w:p>
        </w:tc>
        <w:tc>
          <w:tcPr>
            <w:tcW w:w="7096" w:type="dxa"/>
            <w:tcMar>
              <w:top w:w="15" w:type="dxa"/>
              <w:left w:w="15" w:type="dxa"/>
              <w:bottom w:w="0" w:type="dxa"/>
              <w:right w:w="15" w:type="dxa"/>
            </w:tcMar>
            <w:vAlign w:val="center"/>
          </w:tcPr>
          <w:p w14:paraId="506FA830" w14:textId="77777777" w:rsidR="00FB178A" w:rsidRPr="004E03EE" w:rsidRDefault="00FB178A" w:rsidP="009E18ED">
            <w:pPr>
              <w:spacing w:line="276" w:lineRule="auto"/>
              <w:rPr>
                <w:rFonts w:eastAsiaTheme="minorHAnsi"/>
                <w:sz w:val="24"/>
                <w:szCs w:val="24"/>
              </w:rPr>
            </w:pPr>
            <w:r w:rsidRPr="006E56FB">
              <w:rPr>
                <w:sz w:val="24"/>
                <w:szCs w:val="24"/>
              </w:rPr>
              <w:t>Instrument</w:t>
            </w:r>
            <w:r w:rsidRPr="0098767A">
              <w:rPr>
                <w:sz w:val="24"/>
                <w:szCs w:val="24"/>
              </w:rPr>
              <w:t xml:space="preserve"> za financijsku potporu u području upravljanja granicama i </w:t>
            </w:r>
            <w:proofErr w:type="spellStart"/>
            <w:r w:rsidRPr="0098767A">
              <w:rPr>
                <w:sz w:val="24"/>
                <w:szCs w:val="24"/>
              </w:rPr>
              <w:t>vizne</w:t>
            </w:r>
            <w:proofErr w:type="spellEnd"/>
            <w:r w:rsidRPr="0098767A">
              <w:rPr>
                <w:sz w:val="24"/>
                <w:szCs w:val="24"/>
              </w:rPr>
              <w:t xml:space="preserve"> politike (</w:t>
            </w:r>
            <w:proofErr w:type="spellStart"/>
            <w:r w:rsidRPr="006E56FB">
              <w:rPr>
                <w:sz w:val="24"/>
                <w:szCs w:val="24"/>
              </w:rPr>
              <w:t>eng</w:t>
            </w:r>
            <w:proofErr w:type="spellEnd"/>
            <w:r w:rsidRPr="006E56FB">
              <w:rPr>
                <w:sz w:val="24"/>
                <w:szCs w:val="24"/>
              </w:rPr>
              <w:t xml:space="preserve">. </w:t>
            </w:r>
            <w:proofErr w:type="spellStart"/>
            <w:r w:rsidRPr="006E56FB">
              <w:rPr>
                <w:sz w:val="24"/>
                <w:szCs w:val="24"/>
              </w:rPr>
              <w:t>Border</w:t>
            </w:r>
            <w:proofErr w:type="spellEnd"/>
            <w:r w:rsidRPr="006E56FB">
              <w:rPr>
                <w:sz w:val="24"/>
                <w:szCs w:val="24"/>
              </w:rPr>
              <w:t xml:space="preserve"> Management </w:t>
            </w:r>
            <w:proofErr w:type="spellStart"/>
            <w:r w:rsidRPr="006E56FB">
              <w:rPr>
                <w:sz w:val="24"/>
                <w:szCs w:val="24"/>
              </w:rPr>
              <w:t>and</w:t>
            </w:r>
            <w:proofErr w:type="spellEnd"/>
            <w:r w:rsidRPr="006E56FB">
              <w:rPr>
                <w:sz w:val="24"/>
                <w:szCs w:val="24"/>
              </w:rPr>
              <w:t xml:space="preserve"> Visa Instrument</w:t>
            </w:r>
            <w:r w:rsidRPr="0098767A">
              <w:rPr>
                <w:sz w:val="24"/>
                <w:szCs w:val="24"/>
              </w:rPr>
              <w:t>)</w:t>
            </w:r>
          </w:p>
        </w:tc>
      </w:tr>
      <w:tr w:rsidR="00FB178A" w:rsidRPr="00145379" w14:paraId="425E0CAB" w14:textId="77777777" w:rsidTr="009E18ED">
        <w:trPr>
          <w:trHeight w:val="315"/>
        </w:trPr>
        <w:tc>
          <w:tcPr>
            <w:tcW w:w="2124" w:type="dxa"/>
            <w:tcMar>
              <w:top w:w="15" w:type="dxa"/>
              <w:left w:w="15" w:type="dxa"/>
              <w:bottom w:w="0" w:type="dxa"/>
              <w:right w:w="15" w:type="dxa"/>
            </w:tcMar>
            <w:vAlign w:val="center"/>
          </w:tcPr>
          <w:p w14:paraId="5869CB56" w14:textId="77777777" w:rsidR="00FB178A" w:rsidRDefault="00FB178A" w:rsidP="009E18ED">
            <w:pPr>
              <w:spacing w:line="276" w:lineRule="auto"/>
              <w:rPr>
                <w:color w:val="000000"/>
                <w:sz w:val="24"/>
                <w:szCs w:val="24"/>
              </w:rPr>
            </w:pPr>
            <w:r>
              <w:rPr>
                <w:color w:val="000000"/>
                <w:sz w:val="24"/>
                <w:szCs w:val="24"/>
              </w:rPr>
              <w:t>CISOO</w:t>
            </w:r>
          </w:p>
        </w:tc>
        <w:tc>
          <w:tcPr>
            <w:tcW w:w="7096" w:type="dxa"/>
            <w:tcMar>
              <w:top w:w="15" w:type="dxa"/>
              <w:left w:w="15" w:type="dxa"/>
              <w:bottom w:w="0" w:type="dxa"/>
              <w:right w:w="15" w:type="dxa"/>
            </w:tcMar>
            <w:vAlign w:val="center"/>
          </w:tcPr>
          <w:p w14:paraId="6DAA8931" w14:textId="77777777" w:rsidR="00FB178A" w:rsidRPr="004E03EE" w:rsidRDefault="00FB178A" w:rsidP="009E18ED">
            <w:pPr>
              <w:spacing w:line="276" w:lineRule="auto"/>
              <w:rPr>
                <w:rFonts w:eastAsiaTheme="minorHAnsi"/>
                <w:sz w:val="24"/>
                <w:szCs w:val="24"/>
              </w:rPr>
            </w:pPr>
            <w:r>
              <w:rPr>
                <w:sz w:val="24"/>
                <w:szCs w:val="24"/>
              </w:rPr>
              <w:t>C</w:t>
            </w:r>
            <w:r w:rsidRPr="0004221B">
              <w:rPr>
                <w:sz w:val="24"/>
                <w:szCs w:val="24"/>
              </w:rPr>
              <w:t xml:space="preserve">jelovita informatizacija sustava odgoja i obrazovanja </w:t>
            </w:r>
          </w:p>
        </w:tc>
      </w:tr>
      <w:tr w:rsidR="00FB178A" w:rsidRPr="00145379" w14:paraId="3BC9B24F" w14:textId="77777777" w:rsidTr="009E18ED">
        <w:trPr>
          <w:trHeight w:val="315"/>
        </w:trPr>
        <w:tc>
          <w:tcPr>
            <w:tcW w:w="2124" w:type="dxa"/>
            <w:tcMar>
              <w:top w:w="15" w:type="dxa"/>
              <w:left w:w="15" w:type="dxa"/>
              <w:bottom w:w="0" w:type="dxa"/>
              <w:right w:w="15" w:type="dxa"/>
            </w:tcMar>
            <w:vAlign w:val="center"/>
          </w:tcPr>
          <w:p w14:paraId="2D18DD4E" w14:textId="77777777" w:rsidR="00FB178A" w:rsidRDefault="00FB178A" w:rsidP="009E18ED">
            <w:pPr>
              <w:spacing w:line="276" w:lineRule="auto"/>
              <w:rPr>
                <w:color w:val="000000"/>
                <w:sz w:val="24"/>
                <w:szCs w:val="24"/>
              </w:rPr>
            </w:pPr>
            <w:r>
              <w:rPr>
                <w:color w:val="000000"/>
                <w:sz w:val="24"/>
                <w:szCs w:val="24"/>
              </w:rPr>
              <w:t>COCON</w:t>
            </w:r>
          </w:p>
        </w:tc>
        <w:tc>
          <w:tcPr>
            <w:tcW w:w="7096" w:type="dxa"/>
            <w:tcMar>
              <w:top w:w="15" w:type="dxa"/>
              <w:left w:w="15" w:type="dxa"/>
              <w:bottom w:w="0" w:type="dxa"/>
              <w:right w:w="15" w:type="dxa"/>
            </w:tcMar>
            <w:vAlign w:val="center"/>
          </w:tcPr>
          <w:p w14:paraId="2DEEC35E" w14:textId="77777777" w:rsidR="00FB178A" w:rsidRPr="00254C2F" w:rsidRDefault="00FB178A" w:rsidP="009E18ED">
            <w:pPr>
              <w:pStyle w:val="FootnoteText"/>
              <w:rPr>
                <w:rFonts w:ascii="Times New Roman" w:eastAsiaTheme="minorHAnsi" w:hAnsi="Times New Roman"/>
                <w:sz w:val="24"/>
                <w:szCs w:val="24"/>
              </w:rPr>
            </w:pPr>
            <w:r>
              <w:rPr>
                <w:rFonts w:ascii="Times New Roman" w:hAnsi="Times New Roman"/>
                <w:sz w:val="24"/>
                <w:szCs w:val="24"/>
                <w:shd w:val="clear" w:color="auto" w:fill="FFFFFF"/>
              </w:rPr>
              <w:t xml:space="preserve">Radna </w:t>
            </w:r>
            <w:r w:rsidRPr="00E01901">
              <w:rPr>
                <w:rStyle w:val="Emphasis"/>
                <w:rFonts w:ascii="Times New Roman" w:hAnsi="Times New Roman"/>
                <w:i w:val="0"/>
                <w:iCs w:val="0"/>
                <w:sz w:val="24"/>
                <w:szCs w:val="24"/>
                <w:shd w:val="clear" w:color="auto" w:fill="FFFFFF"/>
              </w:rPr>
              <w:t>skupina</w:t>
            </w:r>
            <w:r>
              <w:rPr>
                <w:rFonts w:ascii="Times New Roman" w:hAnsi="Times New Roman"/>
                <w:sz w:val="24"/>
                <w:szCs w:val="24"/>
                <w:shd w:val="clear" w:color="auto" w:fill="FFFFFF"/>
              </w:rPr>
              <w:t xml:space="preserve"> </w:t>
            </w:r>
            <w:r w:rsidRPr="00E01901">
              <w:rPr>
                <w:rFonts w:ascii="Times New Roman" w:hAnsi="Times New Roman"/>
                <w:sz w:val="24"/>
                <w:szCs w:val="24"/>
                <w:shd w:val="clear" w:color="auto" w:fill="FFFFFF"/>
              </w:rPr>
              <w:t>za konzularne poslove (</w:t>
            </w:r>
            <w:proofErr w:type="spellStart"/>
            <w:r w:rsidRPr="00E01901">
              <w:rPr>
                <w:rFonts w:ascii="Times New Roman" w:hAnsi="Times New Roman"/>
                <w:sz w:val="24"/>
                <w:szCs w:val="24"/>
                <w:shd w:val="clear" w:color="auto" w:fill="FFFFFF"/>
              </w:rPr>
              <w:t>eng</w:t>
            </w:r>
            <w:proofErr w:type="spellEnd"/>
            <w:r w:rsidRPr="00E01901">
              <w:rPr>
                <w:rFonts w:ascii="Times New Roman" w:hAnsi="Times New Roman"/>
                <w:sz w:val="24"/>
                <w:szCs w:val="24"/>
                <w:shd w:val="clear" w:color="auto" w:fill="FFFFFF"/>
              </w:rPr>
              <w:t xml:space="preserve">. </w:t>
            </w:r>
            <w:proofErr w:type="spellStart"/>
            <w:r w:rsidRPr="00E01901">
              <w:rPr>
                <w:rFonts w:ascii="Times New Roman" w:hAnsi="Times New Roman"/>
                <w:sz w:val="24"/>
                <w:szCs w:val="24"/>
                <w:shd w:val="clear" w:color="auto" w:fill="FFFFFF"/>
              </w:rPr>
              <w:t>Working</w:t>
            </w:r>
            <w:proofErr w:type="spellEnd"/>
            <w:r w:rsidRPr="00E01901">
              <w:rPr>
                <w:rFonts w:ascii="Times New Roman" w:hAnsi="Times New Roman"/>
                <w:sz w:val="24"/>
                <w:szCs w:val="24"/>
                <w:shd w:val="clear" w:color="auto" w:fill="FFFFFF"/>
              </w:rPr>
              <w:t xml:space="preserve"> Party on </w:t>
            </w:r>
            <w:proofErr w:type="spellStart"/>
            <w:r w:rsidRPr="00E01901">
              <w:rPr>
                <w:rFonts w:ascii="Times New Roman" w:hAnsi="Times New Roman"/>
                <w:sz w:val="24"/>
                <w:szCs w:val="24"/>
                <w:shd w:val="clear" w:color="auto" w:fill="FFFFFF"/>
              </w:rPr>
              <w:t>Consular</w:t>
            </w:r>
            <w:proofErr w:type="spellEnd"/>
            <w:r w:rsidRPr="00E01901">
              <w:rPr>
                <w:rFonts w:ascii="Times New Roman" w:hAnsi="Times New Roman"/>
                <w:sz w:val="24"/>
                <w:szCs w:val="24"/>
                <w:shd w:val="clear" w:color="auto" w:fill="FFFFFF"/>
              </w:rPr>
              <w:t xml:space="preserve"> </w:t>
            </w:r>
            <w:proofErr w:type="spellStart"/>
            <w:r w:rsidRPr="00E01901">
              <w:rPr>
                <w:rFonts w:ascii="Times New Roman" w:hAnsi="Times New Roman"/>
                <w:sz w:val="24"/>
                <w:szCs w:val="24"/>
                <w:shd w:val="clear" w:color="auto" w:fill="FFFFFF"/>
              </w:rPr>
              <w:t>Affairs</w:t>
            </w:r>
            <w:proofErr w:type="spellEnd"/>
            <w:r>
              <w:rPr>
                <w:rFonts w:ascii="Arial" w:hAnsi="Arial" w:cs="Arial"/>
                <w:color w:val="474747"/>
                <w:sz w:val="21"/>
                <w:szCs w:val="21"/>
                <w:shd w:val="clear" w:color="auto" w:fill="FFFFFF"/>
              </w:rPr>
              <w:t xml:space="preserve">) </w:t>
            </w:r>
          </w:p>
        </w:tc>
      </w:tr>
      <w:tr w:rsidR="00FB178A" w:rsidRPr="00145379" w14:paraId="74D44E93" w14:textId="77777777" w:rsidTr="009E18ED">
        <w:trPr>
          <w:trHeight w:val="315"/>
        </w:trPr>
        <w:tc>
          <w:tcPr>
            <w:tcW w:w="2124" w:type="dxa"/>
            <w:tcMar>
              <w:top w:w="15" w:type="dxa"/>
              <w:left w:w="15" w:type="dxa"/>
              <w:bottom w:w="0" w:type="dxa"/>
              <w:right w:w="15" w:type="dxa"/>
            </w:tcMar>
            <w:vAlign w:val="center"/>
          </w:tcPr>
          <w:p w14:paraId="43CA4D47" w14:textId="77777777" w:rsidR="00FB178A" w:rsidRPr="00145379" w:rsidRDefault="00FB178A" w:rsidP="009E18ED">
            <w:pPr>
              <w:spacing w:line="276" w:lineRule="auto"/>
              <w:rPr>
                <w:color w:val="000000"/>
                <w:sz w:val="24"/>
                <w:szCs w:val="24"/>
              </w:rPr>
            </w:pPr>
            <w:proofErr w:type="spellStart"/>
            <w:r>
              <w:rPr>
                <w:color w:val="000000"/>
                <w:sz w:val="24"/>
                <w:szCs w:val="24"/>
              </w:rPr>
              <w:t>CoE</w:t>
            </w:r>
            <w:proofErr w:type="spellEnd"/>
            <w:r>
              <w:rPr>
                <w:color w:val="000000"/>
                <w:sz w:val="24"/>
                <w:szCs w:val="24"/>
              </w:rPr>
              <w:t xml:space="preserve"> MARBLE</w:t>
            </w:r>
          </w:p>
        </w:tc>
        <w:tc>
          <w:tcPr>
            <w:tcW w:w="7096" w:type="dxa"/>
            <w:tcMar>
              <w:top w:w="15" w:type="dxa"/>
              <w:left w:w="15" w:type="dxa"/>
              <w:bottom w:w="0" w:type="dxa"/>
              <w:right w:w="15" w:type="dxa"/>
            </w:tcMar>
            <w:vAlign w:val="center"/>
          </w:tcPr>
          <w:p w14:paraId="430368B2" w14:textId="77777777" w:rsidR="00FB178A" w:rsidRPr="00E01901" w:rsidRDefault="00FB178A" w:rsidP="009E18ED">
            <w:pPr>
              <w:pStyle w:val="FootnoteText"/>
              <w:rPr>
                <w:sz w:val="24"/>
                <w:szCs w:val="24"/>
              </w:rPr>
            </w:pPr>
            <w:r w:rsidRPr="000E2F2F">
              <w:rPr>
                <w:rFonts w:ascii="Times New Roman" w:eastAsiaTheme="minorHAnsi" w:hAnsi="Times New Roman"/>
                <w:sz w:val="24"/>
                <w:szCs w:val="24"/>
              </w:rPr>
              <w:t>Centar izvrsnosti u pomorskoj robotici i tehnologijama za održivo plavo gospodarstvo“ (</w:t>
            </w:r>
            <w:proofErr w:type="spellStart"/>
            <w:r w:rsidRPr="000E2F2F">
              <w:rPr>
                <w:rFonts w:ascii="Times New Roman" w:eastAsiaTheme="minorHAnsi" w:hAnsi="Times New Roman"/>
                <w:sz w:val="24"/>
                <w:szCs w:val="24"/>
              </w:rPr>
              <w:t>eng</w:t>
            </w:r>
            <w:proofErr w:type="spellEnd"/>
            <w:r w:rsidRPr="000E2F2F">
              <w:rPr>
                <w:rFonts w:ascii="Times New Roman" w:eastAsiaTheme="minorHAnsi" w:hAnsi="Times New Roman"/>
                <w:sz w:val="24"/>
                <w:szCs w:val="24"/>
              </w:rPr>
              <w:t xml:space="preserve">. </w:t>
            </w:r>
            <w:r w:rsidRPr="00E01901">
              <w:rPr>
                <w:rFonts w:ascii="Times New Roman" w:hAnsi="Times New Roman"/>
                <w:sz w:val="24"/>
                <w:szCs w:val="24"/>
              </w:rPr>
              <w:t xml:space="preserve">Centre </w:t>
            </w:r>
            <w:proofErr w:type="spellStart"/>
            <w:r w:rsidRPr="00E01901">
              <w:rPr>
                <w:rFonts w:ascii="Times New Roman" w:hAnsi="Times New Roman"/>
                <w:sz w:val="24"/>
                <w:szCs w:val="24"/>
              </w:rPr>
              <w:t>of</w:t>
            </w:r>
            <w:proofErr w:type="spellEnd"/>
            <w:r w:rsidRPr="00E01901">
              <w:rPr>
                <w:rFonts w:ascii="Times New Roman" w:hAnsi="Times New Roman"/>
                <w:sz w:val="24"/>
                <w:szCs w:val="24"/>
              </w:rPr>
              <w:t xml:space="preserve"> </w:t>
            </w:r>
            <w:proofErr w:type="spellStart"/>
            <w:r w:rsidRPr="00E01901">
              <w:rPr>
                <w:rFonts w:ascii="Times New Roman" w:hAnsi="Times New Roman"/>
                <w:sz w:val="24"/>
                <w:szCs w:val="24"/>
              </w:rPr>
              <w:t>Excellence</w:t>
            </w:r>
            <w:proofErr w:type="spellEnd"/>
            <w:r w:rsidRPr="00E01901">
              <w:rPr>
                <w:rFonts w:ascii="Times New Roman" w:hAnsi="Times New Roman"/>
                <w:sz w:val="24"/>
                <w:szCs w:val="24"/>
              </w:rPr>
              <w:t xml:space="preserve"> </w:t>
            </w:r>
            <w:proofErr w:type="spellStart"/>
            <w:r w:rsidRPr="00E01901">
              <w:rPr>
                <w:rFonts w:ascii="Times New Roman" w:hAnsi="Times New Roman"/>
                <w:sz w:val="24"/>
                <w:szCs w:val="24"/>
              </w:rPr>
              <w:t>in</w:t>
            </w:r>
            <w:proofErr w:type="spellEnd"/>
            <w:r w:rsidRPr="00E01901">
              <w:rPr>
                <w:rFonts w:ascii="Times New Roman" w:hAnsi="Times New Roman"/>
                <w:sz w:val="24"/>
                <w:szCs w:val="24"/>
              </w:rPr>
              <w:t xml:space="preserve"> </w:t>
            </w:r>
            <w:proofErr w:type="spellStart"/>
            <w:r w:rsidRPr="00E01901">
              <w:rPr>
                <w:rFonts w:ascii="Times New Roman" w:hAnsi="Times New Roman"/>
                <w:sz w:val="24"/>
                <w:szCs w:val="24"/>
              </w:rPr>
              <w:t>Maritime</w:t>
            </w:r>
            <w:proofErr w:type="spellEnd"/>
            <w:r w:rsidRPr="00E01901">
              <w:rPr>
                <w:rFonts w:ascii="Times New Roman" w:hAnsi="Times New Roman"/>
                <w:sz w:val="24"/>
                <w:szCs w:val="24"/>
              </w:rPr>
              <w:t xml:space="preserve"> </w:t>
            </w:r>
            <w:proofErr w:type="spellStart"/>
            <w:r w:rsidRPr="00E01901">
              <w:rPr>
                <w:rFonts w:ascii="Times New Roman" w:hAnsi="Times New Roman"/>
                <w:sz w:val="24"/>
                <w:szCs w:val="24"/>
              </w:rPr>
              <w:t>Robotics</w:t>
            </w:r>
            <w:proofErr w:type="spellEnd"/>
            <w:r w:rsidRPr="00E01901">
              <w:rPr>
                <w:rFonts w:ascii="Times New Roman" w:hAnsi="Times New Roman"/>
                <w:sz w:val="24"/>
                <w:szCs w:val="24"/>
              </w:rPr>
              <w:t xml:space="preserve"> </w:t>
            </w:r>
            <w:proofErr w:type="spellStart"/>
            <w:r w:rsidRPr="00E01901">
              <w:rPr>
                <w:rFonts w:ascii="Times New Roman" w:hAnsi="Times New Roman"/>
                <w:sz w:val="24"/>
                <w:szCs w:val="24"/>
              </w:rPr>
              <w:t>and</w:t>
            </w:r>
            <w:proofErr w:type="spellEnd"/>
            <w:r w:rsidRPr="00E01901">
              <w:rPr>
                <w:rFonts w:ascii="Times New Roman" w:hAnsi="Times New Roman"/>
                <w:sz w:val="24"/>
                <w:szCs w:val="24"/>
              </w:rPr>
              <w:t xml:space="preserve"> Technologies for </w:t>
            </w:r>
            <w:proofErr w:type="spellStart"/>
            <w:r w:rsidRPr="00E01901">
              <w:rPr>
                <w:rFonts w:ascii="Times New Roman" w:hAnsi="Times New Roman"/>
                <w:sz w:val="24"/>
                <w:szCs w:val="24"/>
              </w:rPr>
              <w:t>Sustainable</w:t>
            </w:r>
            <w:proofErr w:type="spellEnd"/>
            <w:r w:rsidRPr="00E01901">
              <w:rPr>
                <w:rFonts w:ascii="Times New Roman" w:hAnsi="Times New Roman"/>
                <w:sz w:val="24"/>
                <w:szCs w:val="24"/>
              </w:rPr>
              <w:t xml:space="preserve"> Blue </w:t>
            </w:r>
            <w:proofErr w:type="spellStart"/>
            <w:r w:rsidRPr="00E01901">
              <w:rPr>
                <w:rFonts w:ascii="Times New Roman" w:hAnsi="Times New Roman"/>
                <w:sz w:val="24"/>
                <w:szCs w:val="24"/>
              </w:rPr>
              <w:t>Economy</w:t>
            </w:r>
            <w:proofErr w:type="spellEnd"/>
          </w:p>
        </w:tc>
      </w:tr>
      <w:tr w:rsidR="00FB178A" w:rsidRPr="00145379" w14:paraId="3F49BC32" w14:textId="77777777" w:rsidTr="009E18ED">
        <w:trPr>
          <w:trHeight w:val="315"/>
        </w:trPr>
        <w:tc>
          <w:tcPr>
            <w:tcW w:w="2124" w:type="dxa"/>
            <w:tcMar>
              <w:top w:w="15" w:type="dxa"/>
              <w:left w:w="15" w:type="dxa"/>
              <w:bottom w:w="0" w:type="dxa"/>
              <w:right w:w="15" w:type="dxa"/>
            </w:tcMar>
            <w:vAlign w:val="center"/>
          </w:tcPr>
          <w:p w14:paraId="0FD75C69" w14:textId="77777777" w:rsidR="00FB178A" w:rsidRDefault="00FB178A" w:rsidP="009E18ED">
            <w:pPr>
              <w:spacing w:line="276" w:lineRule="auto"/>
              <w:rPr>
                <w:color w:val="000000"/>
                <w:sz w:val="24"/>
                <w:szCs w:val="24"/>
              </w:rPr>
            </w:pPr>
            <w:r w:rsidRPr="002B019A">
              <w:rPr>
                <w:sz w:val="24"/>
                <w:szCs w:val="24"/>
              </w:rPr>
              <w:t>COREPER</w:t>
            </w:r>
          </w:p>
        </w:tc>
        <w:tc>
          <w:tcPr>
            <w:tcW w:w="7096" w:type="dxa"/>
            <w:tcMar>
              <w:top w:w="15" w:type="dxa"/>
              <w:left w:w="15" w:type="dxa"/>
              <w:bottom w:w="0" w:type="dxa"/>
              <w:right w:w="15" w:type="dxa"/>
            </w:tcMar>
            <w:vAlign w:val="center"/>
          </w:tcPr>
          <w:p w14:paraId="5400D720" w14:textId="77777777" w:rsidR="00FB178A" w:rsidRPr="004E03EE" w:rsidRDefault="00FB178A" w:rsidP="009E18ED">
            <w:pPr>
              <w:spacing w:line="276" w:lineRule="auto"/>
              <w:rPr>
                <w:rFonts w:eastAsiaTheme="minorHAnsi"/>
                <w:sz w:val="24"/>
                <w:szCs w:val="24"/>
              </w:rPr>
            </w:pPr>
            <w:r w:rsidRPr="00B4009D">
              <w:rPr>
                <w:rStyle w:val="Emphasis"/>
                <w:i w:val="0"/>
                <w:iCs w:val="0"/>
                <w:sz w:val="24"/>
                <w:szCs w:val="24"/>
                <w:shd w:val="clear" w:color="auto" w:fill="FFFFFF"/>
              </w:rPr>
              <w:t>Odbor stalnih predstavnika</w:t>
            </w:r>
            <w:r w:rsidRPr="00B4009D">
              <w:rPr>
                <w:sz w:val="24"/>
                <w:szCs w:val="24"/>
                <w:shd w:val="clear" w:color="auto" w:fill="FFFFFF"/>
              </w:rPr>
              <w:t xml:space="preserve"> (franc. </w:t>
            </w:r>
            <w:proofErr w:type="spellStart"/>
            <w:r w:rsidRPr="00B4009D">
              <w:rPr>
                <w:sz w:val="24"/>
                <w:szCs w:val="24"/>
                <w:shd w:val="clear" w:color="auto" w:fill="FFFFFF"/>
              </w:rPr>
              <w:t>Comité</w:t>
            </w:r>
            <w:proofErr w:type="spellEnd"/>
            <w:r w:rsidRPr="00B4009D">
              <w:rPr>
                <w:sz w:val="24"/>
                <w:szCs w:val="24"/>
                <w:shd w:val="clear" w:color="auto" w:fill="FFFFFF"/>
              </w:rPr>
              <w:t xml:space="preserve"> </w:t>
            </w:r>
            <w:proofErr w:type="spellStart"/>
            <w:r w:rsidRPr="00B4009D">
              <w:rPr>
                <w:sz w:val="24"/>
                <w:szCs w:val="24"/>
                <w:shd w:val="clear" w:color="auto" w:fill="FFFFFF"/>
              </w:rPr>
              <w:t>des</w:t>
            </w:r>
            <w:proofErr w:type="spellEnd"/>
            <w:r w:rsidRPr="00B4009D">
              <w:rPr>
                <w:sz w:val="24"/>
                <w:szCs w:val="24"/>
                <w:shd w:val="clear" w:color="auto" w:fill="FFFFFF"/>
              </w:rPr>
              <w:t xml:space="preserve"> </w:t>
            </w:r>
            <w:proofErr w:type="spellStart"/>
            <w:r w:rsidRPr="00B4009D">
              <w:rPr>
                <w:sz w:val="24"/>
                <w:szCs w:val="24"/>
                <w:shd w:val="clear" w:color="auto" w:fill="FFFFFF"/>
              </w:rPr>
              <w:t>représentants</w:t>
            </w:r>
            <w:proofErr w:type="spellEnd"/>
            <w:r w:rsidRPr="00B4009D">
              <w:rPr>
                <w:sz w:val="24"/>
                <w:szCs w:val="24"/>
                <w:shd w:val="clear" w:color="auto" w:fill="FFFFFF"/>
              </w:rPr>
              <w:t xml:space="preserve"> </w:t>
            </w:r>
            <w:proofErr w:type="spellStart"/>
            <w:r w:rsidRPr="00B4009D">
              <w:rPr>
                <w:sz w:val="24"/>
                <w:szCs w:val="24"/>
                <w:shd w:val="clear" w:color="auto" w:fill="FFFFFF"/>
              </w:rPr>
              <w:t>permanents</w:t>
            </w:r>
            <w:proofErr w:type="spellEnd"/>
            <w:r w:rsidRPr="00B4009D">
              <w:rPr>
                <w:sz w:val="24"/>
                <w:szCs w:val="24"/>
                <w:shd w:val="clear" w:color="auto" w:fill="FFFFFF"/>
              </w:rPr>
              <w:t>)</w:t>
            </w:r>
          </w:p>
        </w:tc>
      </w:tr>
      <w:tr w:rsidR="00FB178A" w:rsidRPr="00BB2036" w14:paraId="2B121A5E" w14:textId="77777777" w:rsidTr="009E18ED">
        <w:trPr>
          <w:trHeight w:val="315"/>
        </w:trPr>
        <w:tc>
          <w:tcPr>
            <w:tcW w:w="2124" w:type="dxa"/>
            <w:tcMar>
              <w:top w:w="15" w:type="dxa"/>
              <w:left w:w="15" w:type="dxa"/>
              <w:bottom w:w="0" w:type="dxa"/>
              <w:right w:w="15" w:type="dxa"/>
            </w:tcMar>
            <w:vAlign w:val="center"/>
          </w:tcPr>
          <w:p w14:paraId="0AC58E47" w14:textId="77777777" w:rsidR="00FB178A" w:rsidRPr="00BB2036" w:rsidRDefault="00FB178A" w:rsidP="009E18ED">
            <w:pPr>
              <w:spacing w:line="276" w:lineRule="auto"/>
              <w:rPr>
                <w:color w:val="000000" w:themeColor="text1"/>
                <w:sz w:val="24"/>
                <w:szCs w:val="24"/>
              </w:rPr>
            </w:pPr>
            <w:r w:rsidRPr="00BB2036">
              <w:rPr>
                <w:color w:val="000000" w:themeColor="text1"/>
                <w:sz w:val="24"/>
                <w:szCs w:val="24"/>
              </w:rPr>
              <w:t>CSTP</w:t>
            </w:r>
          </w:p>
        </w:tc>
        <w:tc>
          <w:tcPr>
            <w:tcW w:w="7096" w:type="dxa"/>
            <w:tcMar>
              <w:top w:w="15" w:type="dxa"/>
              <w:left w:w="15" w:type="dxa"/>
              <w:bottom w:w="0" w:type="dxa"/>
              <w:right w:w="15" w:type="dxa"/>
            </w:tcMar>
            <w:vAlign w:val="center"/>
          </w:tcPr>
          <w:p w14:paraId="57EFF18A" w14:textId="77777777" w:rsidR="00FB178A" w:rsidRPr="00BB2036" w:rsidRDefault="00FB178A" w:rsidP="009E18ED">
            <w:pPr>
              <w:spacing w:line="276" w:lineRule="auto"/>
              <w:rPr>
                <w:rStyle w:val="Emphasis"/>
                <w:i w:val="0"/>
                <w:iCs w:val="0"/>
                <w:color w:val="000000" w:themeColor="text1"/>
                <w:sz w:val="24"/>
                <w:szCs w:val="24"/>
                <w:shd w:val="clear" w:color="auto" w:fill="FFFFFF"/>
              </w:rPr>
            </w:pPr>
            <w:r w:rsidRPr="00BB2036">
              <w:rPr>
                <w:rFonts w:eastAsiaTheme="minorHAnsi"/>
                <w:color w:val="000000" w:themeColor="text1"/>
                <w:sz w:val="24"/>
                <w:szCs w:val="24"/>
              </w:rPr>
              <w:t>Odbor za znanstvenu i tehnološku politiku (</w:t>
            </w:r>
            <w:proofErr w:type="spellStart"/>
            <w:r w:rsidRPr="00BB2036">
              <w:rPr>
                <w:rFonts w:eastAsiaTheme="minorHAnsi"/>
                <w:color w:val="000000" w:themeColor="text1"/>
                <w:sz w:val="24"/>
                <w:szCs w:val="24"/>
              </w:rPr>
              <w:t>eng</w:t>
            </w:r>
            <w:proofErr w:type="spellEnd"/>
            <w:r w:rsidRPr="00BB2036">
              <w:rPr>
                <w:rFonts w:eastAsiaTheme="minorHAnsi"/>
                <w:color w:val="000000" w:themeColor="text1"/>
                <w:sz w:val="24"/>
                <w:szCs w:val="24"/>
              </w:rPr>
              <w:t xml:space="preserve">. </w:t>
            </w:r>
            <w:proofErr w:type="spellStart"/>
            <w:r w:rsidRPr="00BB2036">
              <w:rPr>
                <w:color w:val="000000" w:themeColor="text1"/>
                <w:sz w:val="24"/>
                <w:szCs w:val="24"/>
                <w:shd w:val="clear" w:color="auto" w:fill="FFFFFF"/>
              </w:rPr>
              <w:t>Committee</w:t>
            </w:r>
            <w:proofErr w:type="spellEnd"/>
            <w:r w:rsidRPr="00BB2036">
              <w:rPr>
                <w:color w:val="000000" w:themeColor="text1"/>
                <w:sz w:val="24"/>
                <w:szCs w:val="24"/>
                <w:shd w:val="clear" w:color="auto" w:fill="FFFFFF"/>
              </w:rPr>
              <w:t xml:space="preserve"> for </w:t>
            </w:r>
            <w:proofErr w:type="spellStart"/>
            <w:r w:rsidRPr="00BB2036">
              <w:rPr>
                <w:color w:val="000000" w:themeColor="text1"/>
                <w:sz w:val="24"/>
                <w:szCs w:val="24"/>
                <w:shd w:val="clear" w:color="auto" w:fill="FFFFFF"/>
              </w:rPr>
              <w:t>Scientific</w:t>
            </w:r>
            <w:proofErr w:type="spellEnd"/>
            <w:r w:rsidRPr="00BB2036">
              <w:rPr>
                <w:color w:val="000000" w:themeColor="text1"/>
                <w:sz w:val="24"/>
                <w:szCs w:val="24"/>
                <w:shd w:val="clear" w:color="auto" w:fill="FFFFFF"/>
              </w:rPr>
              <w:t xml:space="preserve"> </w:t>
            </w:r>
            <w:proofErr w:type="spellStart"/>
            <w:r w:rsidRPr="00BB2036">
              <w:rPr>
                <w:color w:val="000000" w:themeColor="text1"/>
                <w:sz w:val="24"/>
                <w:szCs w:val="24"/>
                <w:shd w:val="clear" w:color="auto" w:fill="FFFFFF"/>
              </w:rPr>
              <w:t>and</w:t>
            </w:r>
            <w:proofErr w:type="spellEnd"/>
            <w:r w:rsidRPr="00BB2036">
              <w:rPr>
                <w:color w:val="000000" w:themeColor="text1"/>
                <w:sz w:val="24"/>
                <w:szCs w:val="24"/>
                <w:shd w:val="clear" w:color="auto" w:fill="FFFFFF"/>
              </w:rPr>
              <w:t xml:space="preserve"> </w:t>
            </w:r>
            <w:proofErr w:type="spellStart"/>
            <w:r w:rsidRPr="00BB2036">
              <w:rPr>
                <w:color w:val="000000" w:themeColor="text1"/>
                <w:sz w:val="24"/>
                <w:szCs w:val="24"/>
                <w:shd w:val="clear" w:color="auto" w:fill="FFFFFF"/>
              </w:rPr>
              <w:t>Technological</w:t>
            </w:r>
            <w:proofErr w:type="spellEnd"/>
            <w:r w:rsidRPr="00BB2036">
              <w:rPr>
                <w:color w:val="000000" w:themeColor="text1"/>
                <w:sz w:val="24"/>
                <w:szCs w:val="24"/>
                <w:shd w:val="clear" w:color="auto" w:fill="FFFFFF"/>
              </w:rPr>
              <w:t xml:space="preserve"> </w:t>
            </w:r>
            <w:proofErr w:type="spellStart"/>
            <w:r w:rsidRPr="00BB2036">
              <w:rPr>
                <w:color w:val="000000" w:themeColor="text1"/>
                <w:sz w:val="24"/>
                <w:szCs w:val="24"/>
                <w:shd w:val="clear" w:color="auto" w:fill="FFFFFF"/>
              </w:rPr>
              <w:t>Policy</w:t>
            </w:r>
            <w:proofErr w:type="spellEnd"/>
            <w:r w:rsidRPr="00BB2036">
              <w:rPr>
                <w:rFonts w:eastAsiaTheme="minorHAnsi"/>
                <w:color w:val="000000" w:themeColor="text1"/>
                <w:sz w:val="24"/>
                <w:szCs w:val="24"/>
              </w:rPr>
              <w:t>)</w:t>
            </w:r>
          </w:p>
        </w:tc>
      </w:tr>
      <w:tr w:rsidR="00FB178A" w:rsidRPr="00145379" w14:paraId="309BBB24" w14:textId="77777777" w:rsidTr="009E18ED">
        <w:trPr>
          <w:trHeight w:val="315"/>
        </w:trPr>
        <w:tc>
          <w:tcPr>
            <w:tcW w:w="2124" w:type="dxa"/>
            <w:tcMar>
              <w:top w:w="15" w:type="dxa"/>
              <w:left w:w="15" w:type="dxa"/>
              <w:bottom w:w="0" w:type="dxa"/>
              <w:right w:w="15" w:type="dxa"/>
            </w:tcMar>
            <w:vAlign w:val="center"/>
            <w:hideMark/>
          </w:tcPr>
          <w:p w14:paraId="708A5CD1" w14:textId="77777777" w:rsidR="00FB178A" w:rsidRPr="00145379" w:rsidRDefault="00FB178A" w:rsidP="009E18ED">
            <w:pPr>
              <w:spacing w:line="276" w:lineRule="auto"/>
              <w:rPr>
                <w:color w:val="000000"/>
                <w:sz w:val="24"/>
                <w:szCs w:val="24"/>
              </w:rPr>
            </w:pPr>
            <w:r w:rsidRPr="00145379">
              <w:rPr>
                <w:color w:val="000000"/>
                <w:sz w:val="24"/>
                <w:szCs w:val="24"/>
              </w:rPr>
              <w:t>DESI</w:t>
            </w:r>
          </w:p>
        </w:tc>
        <w:tc>
          <w:tcPr>
            <w:tcW w:w="7096" w:type="dxa"/>
            <w:tcMar>
              <w:top w:w="15" w:type="dxa"/>
              <w:left w:w="15" w:type="dxa"/>
              <w:bottom w:w="0" w:type="dxa"/>
              <w:right w:w="15" w:type="dxa"/>
            </w:tcMar>
            <w:vAlign w:val="center"/>
            <w:hideMark/>
          </w:tcPr>
          <w:p w14:paraId="0717A182" w14:textId="77777777" w:rsidR="00FB178A" w:rsidRPr="00145379" w:rsidRDefault="00FB178A" w:rsidP="009E18ED">
            <w:pPr>
              <w:spacing w:line="276" w:lineRule="auto"/>
              <w:rPr>
                <w:color w:val="000000"/>
                <w:sz w:val="24"/>
                <w:szCs w:val="24"/>
              </w:rPr>
            </w:pPr>
            <w:r w:rsidRPr="00145379">
              <w:rPr>
                <w:color w:val="000000"/>
                <w:sz w:val="24"/>
                <w:szCs w:val="24"/>
              </w:rPr>
              <w:t>Indeks gospodarske i društvene digitalizacije</w:t>
            </w:r>
          </w:p>
        </w:tc>
      </w:tr>
      <w:tr w:rsidR="00FB178A" w:rsidRPr="00145379" w14:paraId="0420BFE4" w14:textId="77777777" w:rsidTr="009E18ED">
        <w:trPr>
          <w:trHeight w:val="315"/>
        </w:trPr>
        <w:tc>
          <w:tcPr>
            <w:tcW w:w="2124" w:type="dxa"/>
            <w:tcMar>
              <w:top w:w="15" w:type="dxa"/>
              <w:left w:w="15" w:type="dxa"/>
              <w:bottom w:w="0" w:type="dxa"/>
              <w:right w:w="15" w:type="dxa"/>
            </w:tcMar>
            <w:vAlign w:val="center"/>
            <w:hideMark/>
          </w:tcPr>
          <w:p w14:paraId="61670F6B" w14:textId="77777777" w:rsidR="00FB178A" w:rsidRPr="00145379" w:rsidRDefault="00FB178A" w:rsidP="009E18ED">
            <w:pPr>
              <w:spacing w:line="276" w:lineRule="auto"/>
              <w:rPr>
                <w:color w:val="000000"/>
                <w:sz w:val="24"/>
                <w:szCs w:val="24"/>
              </w:rPr>
            </w:pPr>
            <w:r w:rsidRPr="00145379">
              <w:rPr>
                <w:color w:val="000000"/>
                <w:sz w:val="24"/>
                <w:szCs w:val="24"/>
              </w:rPr>
              <w:t>DŠJU</w:t>
            </w:r>
          </w:p>
        </w:tc>
        <w:tc>
          <w:tcPr>
            <w:tcW w:w="7096" w:type="dxa"/>
            <w:tcMar>
              <w:top w:w="15" w:type="dxa"/>
              <w:left w:w="15" w:type="dxa"/>
              <w:bottom w:w="0" w:type="dxa"/>
              <w:right w:w="15" w:type="dxa"/>
            </w:tcMar>
            <w:vAlign w:val="center"/>
            <w:hideMark/>
          </w:tcPr>
          <w:p w14:paraId="49C776AE" w14:textId="77777777" w:rsidR="00FB178A" w:rsidRPr="00145379" w:rsidRDefault="00FB178A" w:rsidP="009E18ED">
            <w:pPr>
              <w:spacing w:line="276" w:lineRule="auto"/>
              <w:rPr>
                <w:color w:val="000000"/>
                <w:sz w:val="24"/>
                <w:szCs w:val="24"/>
              </w:rPr>
            </w:pPr>
            <w:r w:rsidRPr="00145379">
              <w:rPr>
                <w:color w:val="000000"/>
                <w:sz w:val="24"/>
                <w:szCs w:val="24"/>
              </w:rPr>
              <w:t>Državna škola za javnu upravu</w:t>
            </w:r>
          </w:p>
        </w:tc>
      </w:tr>
      <w:tr w:rsidR="00FB178A" w:rsidRPr="00145379" w14:paraId="15BFACA5" w14:textId="77777777" w:rsidTr="009E18ED">
        <w:trPr>
          <w:trHeight w:val="315"/>
        </w:trPr>
        <w:tc>
          <w:tcPr>
            <w:tcW w:w="2124" w:type="dxa"/>
            <w:tcMar>
              <w:top w:w="15" w:type="dxa"/>
              <w:left w:w="15" w:type="dxa"/>
              <w:bottom w:w="0" w:type="dxa"/>
              <w:right w:w="15" w:type="dxa"/>
            </w:tcMar>
            <w:vAlign w:val="center"/>
          </w:tcPr>
          <w:p w14:paraId="776E36A9" w14:textId="77777777" w:rsidR="00FB178A" w:rsidRPr="00145379" w:rsidRDefault="00FB178A" w:rsidP="009E18ED">
            <w:pPr>
              <w:spacing w:line="276" w:lineRule="auto"/>
              <w:rPr>
                <w:color w:val="000000"/>
                <w:sz w:val="24"/>
                <w:szCs w:val="24"/>
              </w:rPr>
            </w:pPr>
            <w:r>
              <w:rPr>
                <w:color w:val="000000"/>
                <w:sz w:val="24"/>
                <w:szCs w:val="24"/>
              </w:rPr>
              <w:t>ECINTV</w:t>
            </w:r>
          </w:p>
        </w:tc>
        <w:tc>
          <w:tcPr>
            <w:tcW w:w="7096" w:type="dxa"/>
            <w:tcMar>
              <w:top w:w="15" w:type="dxa"/>
              <w:left w:w="15" w:type="dxa"/>
              <w:bottom w:w="0" w:type="dxa"/>
              <w:right w:w="15" w:type="dxa"/>
            </w:tcMar>
            <w:vAlign w:val="center"/>
          </w:tcPr>
          <w:p w14:paraId="5A33F15F" w14:textId="77777777" w:rsidR="00FB178A" w:rsidRPr="00145379" w:rsidRDefault="00FB178A" w:rsidP="009E18ED">
            <w:pPr>
              <w:spacing w:line="276" w:lineRule="auto"/>
              <w:rPr>
                <w:color w:val="000000"/>
                <w:sz w:val="24"/>
                <w:szCs w:val="24"/>
              </w:rPr>
            </w:pPr>
            <w:r w:rsidRPr="008D3E62">
              <w:rPr>
                <w:color w:val="000000"/>
                <w:kern w:val="2"/>
                <w:sz w:val="24"/>
                <w:lang w:eastAsia="hr-HR"/>
                <w14:ligatures w14:val="standardContextual"/>
              </w:rPr>
              <w:t>Europsk</w:t>
            </w:r>
            <w:r>
              <w:rPr>
                <w:color w:val="000000"/>
                <w:kern w:val="2"/>
                <w:sz w:val="24"/>
                <w:lang w:eastAsia="hr-HR"/>
                <w14:ligatures w14:val="standardContextual"/>
              </w:rPr>
              <w:t xml:space="preserve">i </w:t>
            </w:r>
            <w:r w:rsidRPr="008D3E62">
              <w:rPr>
                <w:color w:val="000000"/>
                <w:kern w:val="2"/>
                <w:sz w:val="24"/>
                <w:lang w:eastAsia="hr-HR"/>
                <w14:ligatures w14:val="standardContextual"/>
              </w:rPr>
              <w:t>cent</w:t>
            </w:r>
            <w:r>
              <w:rPr>
                <w:color w:val="000000"/>
                <w:kern w:val="2"/>
                <w:sz w:val="24"/>
                <w:lang w:eastAsia="hr-HR"/>
                <w14:ligatures w14:val="standardContextual"/>
              </w:rPr>
              <w:t>a</w:t>
            </w:r>
            <w:r w:rsidRPr="008D3E62">
              <w:rPr>
                <w:color w:val="000000"/>
                <w:kern w:val="2"/>
                <w:sz w:val="24"/>
                <w:lang w:eastAsia="hr-HR"/>
                <w14:ligatures w14:val="standardContextual"/>
              </w:rPr>
              <w:t xml:space="preserve">r za inovacije, nove tehnologije i razvoj vještina </w:t>
            </w:r>
          </w:p>
        </w:tc>
      </w:tr>
      <w:tr w:rsidR="00FB178A" w:rsidRPr="00145379" w14:paraId="6EAE9593" w14:textId="77777777" w:rsidTr="009E18ED">
        <w:trPr>
          <w:trHeight w:val="315"/>
        </w:trPr>
        <w:tc>
          <w:tcPr>
            <w:tcW w:w="2124" w:type="dxa"/>
            <w:tcMar>
              <w:top w:w="15" w:type="dxa"/>
              <w:left w:w="15" w:type="dxa"/>
              <w:bottom w:w="0" w:type="dxa"/>
              <w:right w:w="15" w:type="dxa"/>
            </w:tcMar>
            <w:vAlign w:val="center"/>
          </w:tcPr>
          <w:p w14:paraId="754EF554" w14:textId="77777777" w:rsidR="00FB178A" w:rsidRPr="00145379" w:rsidRDefault="00FB178A" w:rsidP="009E18ED">
            <w:pPr>
              <w:spacing w:line="276" w:lineRule="auto"/>
              <w:rPr>
                <w:color w:val="000000"/>
                <w:sz w:val="24"/>
                <w:szCs w:val="24"/>
              </w:rPr>
            </w:pPr>
            <w:r w:rsidRPr="00145379">
              <w:rPr>
                <w:color w:val="000000"/>
                <w:sz w:val="24"/>
                <w:szCs w:val="24"/>
              </w:rPr>
              <w:t>EDIH</w:t>
            </w:r>
          </w:p>
        </w:tc>
        <w:tc>
          <w:tcPr>
            <w:tcW w:w="7096" w:type="dxa"/>
            <w:tcMar>
              <w:top w:w="15" w:type="dxa"/>
              <w:left w:w="15" w:type="dxa"/>
              <w:bottom w:w="0" w:type="dxa"/>
              <w:right w:w="15" w:type="dxa"/>
            </w:tcMar>
            <w:vAlign w:val="center"/>
          </w:tcPr>
          <w:p w14:paraId="71268AFA" w14:textId="77777777" w:rsidR="00FB178A" w:rsidRPr="00145379" w:rsidRDefault="00FB178A" w:rsidP="009E18ED">
            <w:pPr>
              <w:spacing w:line="276" w:lineRule="auto"/>
              <w:rPr>
                <w:color w:val="000000"/>
                <w:sz w:val="24"/>
                <w:szCs w:val="24"/>
              </w:rPr>
            </w:pPr>
            <w:r w:rsidRPr="00145379">
              <w:rPr>
                <w:rFonts w:eastAsia="Calibri"/>
                <w:kern w:val="2"/>
                <w:sz w:val="24"/>
                <w:szCs w:val="24"/>
              </w:rPr>
              <w:t>Europski digitalni inovacijski centar</w:t>
            </w:r>
          </w:p>
        </w:tc>
      </w:tr>
      <w:tr w:rsidR="00FB178A" w:rsidRPr="00145379" w14:paraId="25A7C927" w14:textId="77777777" w:rsidTr="009E18ED">
        <w:trPr>
          <w:trHeight w:val="315"/>
        </w:trPr>
        <w:tc>
          <w:tcPr>
            <w:tcW w:w="2124" w:type="dxa"/>
            <w:tcMar>
              <w:top w:w="15" w:type="dxa"/>
              <w:left w:w="15" w:type="dxa"/>
              <w:bottom w:w="0" w:type="dxa"/>
              <w:right w:w="15" w:type="dxa"/>
            </w:tcMar>
            <w:vAlign w:val="center"/>
            <w:hideMark/>
          </w:tcPr>
          <w:p w14:paraId="3AAD12E0" w14:textId="77777777" w:rsidR="00FB178A" w:rsidRPr="00145379" w:rsidRDefault="00FB178A" w:rsidP="009E18ED">
            <w:pPr>
              <w:spacing w:line="276" w:lineRule="auto"/>
              <w:rPr>
                <w:color w:val="000000"/>
                <w:sz w:val="24"/>
                <w:szCs w:val="24"/>
              </w:rPr>
            </w:pPr>
            <w:r>
              <w:rPr>
                <w:color w:val="000000"/>
                <w:sz w:val="24"/>
                <w:szCs w:val="24"/>
              </w:rPr>
              <w:t>EIB</w:t>
            </w:r>
          </w:p>
        </w:tc>
        <w:tc>
          <w:tcPr>
            <w:tcW w:w="7096" w:type="dxa"/>
            <w:tcMar>
              <w:top w:w="15" w:type="dxa"/>
              <w:left w:w="15" w:type="dxa"/>
              <w:bottom w:w="0" w:type="dxa"/>
              <w:right w:w="15" w:type="dxa"/>
            </w:tcMar>
            <w:vAlign w:val="center"/>
            <w:hideMark/>
          </w:tcPr>
          <w:p w14:paraId="1CB9F990" w14:textId="77777777" w:rsidR="00FB178A" w:rsidRPr="00145379" w:rsidRDefault="00FB178A" w:rsidP="009E18ED">
            <w:pPr>
              <w:spacing w:line="276" w:lineRule="auto"/>
              <w:rPr>
                <w:color w:val="000000"/>
                <w:sz w:val="24"/>
                <w:szCs w:val="24"/>
              </w:rPr>
            </w:pPr>
            <w:r w:rsidRPr="00E55495">
              <w:rPr>
                <w:color w:val="000000"/>
                <w:kern w:val="2"/>
                <w:sz w:val="24"/>
                <w:szCs w:val="24"/>
                <w:lang w:eastAsia="hr-HR"/>
                <w14:ligatures w14:val="standardContextual"/>
              </w:rPr>
              <w:t>Europsk</w:t>
            </w:r>
            <w:r>
              <w:rPr>
                <w:color w:val="000000"/>
                <w:kern w:val="2"/>
                <w:sz w:val="24"/>
                <w:szCs w:val="24"/>
                <w:lang w:eastAsia="hr-HR"/>
                <w14:ligatures w14:val="standardContextual"/>
              </w:rPr>
              <w:t>a</w:t>
            </w:r>
            <w:r w:rsidRPr="00E55495">
              <w:rPr>
                <w:color w:val="000000"/>
                <w:kern w:val="2"/>
                <w:sz w:val="24"/>
                <w:szCs w:val="24"/>
                <w:lang w:eastAsia="hr-HR"/>
                <w14:ligatures w14:val="standardContextual"/>
              </w:rPr>
              <w:t xml:space="preserve"> investicijsk</w:t>
            </w:r>
            <w:r>
              <w:rPr>
                <w:color w:val="000000"/>
                <w:kern w:val="2"/>
                <w:sz w:val="24"/>
                <w:szCs w:val="24"/>
                <w:lang w:eastAsia="hr-HR"/>
                <w14:ligatures w14:val="standardContextual"/>
              </w:rPr>
              <w:t>a</w:t>
            </w:r>
            <w:r w:rsidRPr="00E55495">
              <w:rPr>
                <w:color w:val="000000"/>
                <w:kern w:val="2"/>
                <w:sz w:val="24"/>
                <w:szCs w:val="24"/>
                <w:lang w:eastAsia="hr-HR"/>
                <w14:ligatures w14:val="standardContextual"/>
              </w:rPr>
              <w:t xml:space="preserve"> bank</w:t>
            </w:r>
            <w:r>
              <w:rPr>
                <w:color w:val="000000"/>
                <w:kern w:val="2"/>
                <w:sz w:val="24"/>
                <w:szCs w:val="24"/>
                <w:lang w:eastAsia="hr-HR"/>
                <w14:ligatures w14:val="standardContextual"/>
              </w:rPr>
              <w:t>a</w:t>
            </w:r>
          </w:p>
        </w:tc>
      </w:tr>
      <w:tr w:rsidR="00FB178A" w:rsidRPr="00145379" w14:paraId="509F6D00" w14:textId="77777777" w:rsidTr="009E18ED">
        <w:trPr>
          <w:trHeight w:val="315"/>
        </w:trPr>
        <w:tc>
          <w:tcPr>
            <w:tcW w:w="2124" w:type="dxa"/>
            <w:tcMar>
              <w:top w:w="15" w:type="dxa"/>
              <w:left w:w="15" w:type="dxa"/>
              <w:bottom w:w="0" w:type="dxa"/>
              <w:right w:w="15" w:type="dxa"/>
            </w:tcMar>
            <w:vAlign w:val="center"/>
          </w:tcPr>
          <w:p w14:paraId="30DCADB8" w14:textId="77777777" w:rsidR="00FB178A" w:rsidRPr="00145379" w:rsidRDefault="00FB178A" w:rsidP="009E18ED">
            <w:pPr>
              <w:spacing w:line="276" w:lineRule="auto"/>
              <w:rPr>
                <w:color w:val="000000"/>
                <w:sz w:val="24"/>
                <w:szCs w:val="24"/>
              </w:rPr>
            </w:pPr>
            <w:r w:rsidRPr="00145379">
              <w:rPr>
                <w:color w:val="000000"/>
                <w:sz w:val="24"/>
                <w:szCs w:val="24"/>
              </w:rPr>
              <w:t>EIS</w:t>
            </w:r>
          </w:p>
        </w:tc>
        <w:tc>
          <w:tcPr>
            <w:tcW w:w="7096" w:type="dxa"/>
            <w:tcMar>
              <w:top w:w="15" w:type="dxa"/>
              <w:left w:w="15" w:type="dxa"/>
              <w:bottom w:w="0" w:type="dxa"/>
              <w:right w:w="15" w:type="dxa"/>
            </w:tcMar>
            <w:vAlign w:val="center"/>
          </w:tcPr>
          <w:p w14:paraId="1D012970" w14:textId="77777777" w:rsidR="00FB178A" w:rsidRPr="00145379" w:rsidRDefault="00FB178A" w:rsidP="009E18ED">
            <w:pPr>
              <w:spacing w:line="276" w:lineRule="auto"/>
              <w:rPr>
                <w:color w:val="000000"/>
                <w:sz w:val="24"/>
                <w:szCs w:val="24"/>
              </w:rPr>
            </w:pPr>
            <w:r w:rsidRPr="00145379">
              <w:rPr>
                <w:rFonts w:eastAsia="Calibri"/>
                <w:kern w:val="2"/>
                <w:sz w:val="24"/>
                <w:szCs w:val="24"/>
              </w:rPr>
              <w:t>Europska ljestvica uspjeha u inoviranju (</w:t>
            </w:r>
            <w:proofErr w:type="spellStart"/>
            <w:r w:rsidRPr="00145379">
              <w:rPr>
                <w:rFonts w:eastAsia="Calibri"/>
                <w:kern w:val="2"/>
                <w:sz w:val="24"/>
                <w:szCs w:val="24"/>
              </w:rPr>
              <w:t>eng</w:t>
            </w:r>
            <w:proofErr w:type="spellEnd"/>
            <w:r w:rsidRPr="00145379">
              <w:rPr>
                <w:rFonts w:eastAsia="Calibri"/>
                <w:kern w:val="2"/>
                <w:sz w:val="24"/>
                <w:szCs w:val="24"/>
              </w:rPr>
              <w:t xml:space="preserve">. European </w:t>
            </w:r>
            <w:proofErr w:type="spellStart"/>
            <w:r w:rsidRPr="00145379">
              <w:rPr>
                <w:rFonts w:eastAsia="Calibri"/>
                <w:kern w:val="2"/>
                <w:sz w:val="24"/>
                <w:szCs w:val="24"/>
              </w:rPr>
              <w:t>Innovation</w:t>
            </w:r>
            <w:proofErr w:type="spellEnd"/>
            <w:r w:rsidRPr="00145379">
              <w:rPr>
                <w:rFonts w:eastAsia="Calibri"/>
                <w:kern w:val="2"/>
                <w:sz w:val="24"/>
                <w:szCs w:val="24"/>
              </w:rPr>
              <w:t xml:space="preserve"> </w:t>
            </w:r>
            <w:proofErr w:type="spellStart"/>
            <w:r w:rsidRPr="00145379">
              <w:rPr>
                <w:rFonts w:eastAsia="Calibri"/>
                <w:kern w:val="2"/>
                <w:sz w:val="24"/>
                <w:szCs w:val="24"/>
              </w:rPr>
              <w:t>Scoreboard</w:t>
            </w:r>
            <w:proofErr w:type="spellEnd"/>
            <w:r w:rsidRPr="00145379">
              <w:rPr>
                <w:rFonts w:eastAsia="Calibri"/>
                <w:kern w:val="2"/>
                <w:sz w:val="24"/>
                <w:szCs w:val="24"/>
              </w:rPr>
              <w:t xml:space="preserve"> )</w:t>
            </w:r>
          </w:p>
        </w:tc>
      </w:tr>
      <w:tr w:rsidR="00FB178A" w:rsidRPr="00145379" w14:paraId="03EA7176" w14:textId="77777777" w:rsidTr="009E18ED">
        <w:trPr>
          <w:trHeight w:val="315"/>
        </w:trPr>
        <w:tc>
          <w:tcPr>
            <w:tcW w:w="2124" w:type="dxa"/>
            <w:tcMar>
              <w:top w:w="15" w:type="dxa"/>
              <w:left w:w="15" w:type="dxa"/>
              <w:bottom w:w="0" w:type="dxa"/>
              <w:right w:w="15" w:type="dxa"/>
            </w:tcMar>
            <w:vAlign w:val="center"/>
          </w:tcPr>
          <w:p w14:paraId="0F258580" w14:textId="77777777" w:rsidR="00FB178A" w:rsidRPr="00145379" w:rsidRDefault="00FB178A" w:rsidP="009E18ED">
            <w:pPr>
              <w:spacing w:line="276" w:lineRule="auto"/>
              <w:rPr>
                <w:color w:val="000000"/>
                <w:sz w:val="24"/>
                <w:szCs w:val="24"/>
              </w:rPr>
            </w:pPr>
            <w:r>
              <w:rPr>
                <w:color w:val="000000"/>
                <w:sz w:val="24"/>
                <w:szCs w:val="24"/>
              </w:rPr>
              <w:t>EPO</w:t>
            </w:r>
          </w:p>
        </w:tc>
        <w:tc>
          <w:tcPr>
            <w:tcW w:w="7096" w:type="dxa"/>
            <w:tcMar>
              <w:top w:w="15" w:type="dxa"/>
              <w:left w:w="15" w:type="dxa"/>
              <w:bottom w:w="0" w:type="dxa"/>
              <w:right w:w="15" w:type="dxa"/>
            </w:tcMar>
            <w:vAlign w:val="center"/>
          </w:tcPr>
          <w:p w14:paraId="2D7F3394" w14:textId="77777777" w:rsidR="00FB178A" w:rsidRPr="00145379" w:rsidRDefault="00FB178A" w:rsidP="009E18ED">
            <w:pPr>
              <w:spacing w:line="276" w:lineRule="auto"/>
              <w:rPr>
                <w:color w:val="000000"/>
                <w:sz w:val="24"/>
                <w:szCs w:val="24"/>
              </w:rPr>
            </w:pPr>
            <w:r>
              <w:rPr>
                <w:color w:val="000000"/>
                <w:sz w:val="24"/>
                <w:szCs w:val="24"/>
              </w:rPr>
              <w:t>Europski patentni ured</w:t>
            </w:r>
          </w:p>
        </w:tc>
      </w:tr>
      <w:tr w:rsidR="00FB178A" w:rsidRPr="00145379" w14:paraId="73F63DC0" w14:textId="77777777" w:rsidTr="009E18ED">
        <w:trPr>
          <w:trHeight w:val="315"/>
        </w:trPr>
        <w:tc>
          <w:tcPr>
            <w:tcW w:w="2124" w:type="dxa"/>
            <w:tcMar>
              <w:top w:w="15" w:type="dxa"/>
              <w:left w:w="15" w:type="dxa"/>
              <w:bottom w:w="0" w:type="dxa"/>
              <w:right w:w="15" w:type="dxa"/>
            </w:tcMar>
            <w:vAlign w:val="center"/>
            <w:hideMark/>
          </w:tcPr>
          <w:p w14:paraId="540F744A" w14:textId="77777777" w:rsidR="00FB178A" w:rsidRPr="00145379" w:rsidRDefault="00FB178A" w:rsidP="009E18ED">
            <w:pPr>
              <w:spacing w:line="276" w:lineRule="auto"/>
              <w:rPr>
                <w:color w:val="000000"/>
                <w:sz w:val="24"/>
                <w:szCs w:val="24"/>
              </w:rPr>
            </w:pPr>
            <w:r w:rsidRPr="00145379">
              <w:rPr>
                <w:color w:val="000000"/>
                <w:sz w:val="24"/>
                <w:szCs w:val="24"/>
              </w:rPr>
              <w:t>ESF</w:t>
            </w:r>
            <w:r>
              <w:rPr>
                <w:color w:val="000000"/>
                <w:sz w:val="24"/>
                <w:szCs w:val="24"/>
              </w:rPr>
              <w:t>+</w:t>
            </w:r>
          </w:p>
        </w:tc>
        <w:tc>
          <w:tcPr>
            <w:tcW w:w="7096" w:type="dxa"/>
            <w:tcMar>
              <w:top w:w="15" w:type="dxa"/>
              <w:left w:w="15" w:type="dxa"/>
              <w:bottom w:w="0" w:type="dxa"/>
              <w:right w:w="15" w:type="dxa"/>
            </w:tcMar>
            <w:vAlign w:val="center"/>
            <w:hideMark/>
          </w:tcPr>
          <w:p w14:paraId="6FED0C1A" w14:textId="77777777" w:rsidR="00FB178A" w:rsidRPr="00145379" w:rsidRDefault="00FB178A" w:rsidP="009E18ED">
            <w:pPr>
              <w:spacing w:line="276" w:lineRule="auto"/>
              <w:rPr>
                <w:color w:val="000000"/>
                <w:sz w:val="24"/>
                <w:szCs w:val="24"/>
              </w:rPr>
            </w:pPr>
            <w:r w:rsidRPr="00145379">
              <w:rPr>
                <w:color w:val="000000"/>
                <w:sz w:val="24"/>
                <w:szCs w:val="24"/>
              </w:rPr>
              <w:t>Europski socijalni fond 20</w:t>
            </w:r>
            <w:r>
              <w:rPr>
                <w:color w:val="000000"/>
                <w:sz w:val="24"/>
                <w:szCs w:val="24"/>
              </w:rPr>
              <w:t>21</w:t>
            </w:r>
            <w:r w:rsidRPr="00145379">
              <w:rPr>
                <w:color w:val="000000"/>
                <w:sz w:val="24"/>
                <w:szCs w:val="24"/>
              </w:rPr>
              <w:t>.-202</w:t>
            </w:r>
            <w:r>
              <w:rPr>
                <w:color w:val="000000"/>
                <w:sz w:val="24"/>
                <w:szCs w:val="24"/>
              </w:rPr>
              <w:t>7</w:t>
            </w:r>
            <w:r w:rsidRPr="00145379">
              <w:rPr>
                <w:color w:val="000000"/>
                <w:sz w:val="24"/>
                <w:szCs w:val="24"/>
              </w:rPr>
              <w:t>.</w:t>
            </w:r>
          </w:p>
        </w:tc>
      </w:tr>
      <w:tr w:rsidR="00FB178A" w:rsidRPr="00145379" w14:paraId="23E13310" w14:textId="77777777" w:rsidTr="009E18ED">
        <w:trPr>
          <w:trHeight w:val="315"/>
        </w:trPr>
        <w:tc>
          <w:tcPr>
            <w:tcW w:w="2124" w:type="dxa"/>
            <w:tcMar>
              <w:top w:w="15" w:type="dxa"/>
              <w:left w:w="15" w:type="dxa"/>
              <w:bottom w:w="0" w:type="dxa"/>
              <w:right w:w="15" w:type="dxa"/>
            </w:tcMar>
            <w:vAlign w:val="center"/>
          </w:tcPr>
          <w:p w14:paraId="48ABD5C7" w14:textId="77777777" w:rsidR="00FB178A" w:rsidRPr="00145379" w:rsidRDefault="00FB178A" w:rsidP="009E18ED">
            <w:pPr>
              <w:spacing w:line="276" w:lineRule="auto"/>
              <w:rPr>
                <w:color w:val="000000"/>
                <w:sz w:val="24"/>
                <w:szCs w:val="24"/>
              </w:rPr>
            </w:pPr>
            <w:r>
              <w:rPr>
                <w:color w:val="000000"/>
                <w:sz w:val="24"/>
                <w:szCs w:val="24"/>
              </w:rPr>
              <w:t>ETC</w:t>
            </w:r>
          </w:p>
        </w:tc>
        <w:tc>
          <w:tcPr>
            <w:tcW w:w="7096" w:type="dxa"/>
            <w:tcMar>
              <w:top w:w="15" w:type="dxa"/>
              <w:left w:w="15" w:type="dxa"/>
              <w:bottom w:w="0" w:type="dxa"/>
              <w:right w:w="15" w:type="dxa"/>
            </w:tcMar>
            <w:vAlign w:val="center"/>
          </w:tcPr>
          <w:p w14:paraId="033503D8" w14:textId="77777777" w:rsidR="00FB178A" w:rsidRPr="00145379" w:rsidRDefault="00FB178A" w:rsidP="009E18ED">
            <w:pPr>
              <w:spacing w:line="276" w:lineRule="auto"/>
              <w:rPr>
                <w:color w:val="000000"/>
                <w:sz w:val="24"/>
                <w:szCs w:val="24"/>
              </w:rPr>
            </w:pPr>
            <w:r>
              <w:rPr>
                <w:color w:val="000000"/>
                <w:sz w:val="24"/>
                <w:szCs w:val="24"/>
              </w:rPr>
              <w:t>Europska putnička komisija</w:t>
            </w:r>
          </w:p>
        </w:tc>
      </w:tr>
      <w:tr w:rsidR="00FB178A" w:rsidRPr="00145379" w14:paraId="49B6DBFF" w14:textId="77777777" w:rsidTr="009E18ED">
        <w:trPr>
          <w:trHeight w:val="315"/>
        </w:trPr>
        <w:tc>
          <w:tcPr>
            <w:tcW w:w="2124" w:type="dxa"/>
            <w:tcMar>
              <w:top w:w="15" w:type="dxa"/>
              <w:left w:w="15" w:type="dxa"/>
              <w:bottom w:w="0" w:type="dxa"/>
              <w:right w:w="15" w:type="dxa"/>
            </w:tcMar>
            <w:vAlign w:val="center"/>
          </w:tcPr>
          <w:p w14:paraId="1170AC22" w14:textId="77777777" w:rsidR="00FB178A" w:rsidRPr="008D1CC9" w:rsidRDefault="00FB178A" w:rsidP="009E18ED">
            <w:pPr>
              <w:spacing w:line="276" w:lineRule="auto"/>
              <w:rPr>
                <w:color w:val="000000"/>
                <w:kern w:val="2"/>
                <w:sz w:val="24"/>
                <w:lang w:eastAsia="hr-HR"/>
                <w14:ligatures w14:val="standardContextual"/>
              </w:rPr>
            </w:pPr>
            <w:r>
              <w:rPr>
                <w:color w:val="000000"/>
                <w:kern w:val="2"/>
                <w:sz w:val="24"/>
                <w:lang w:eastAsia="hr-HR"/>
                <w14:ligatures w14:val="standardContextual"/>
              </w:rPr>
              <w:t>ESS</w:t>
            </w:r>
          </w:p>
        </w:tc>
        <w:tc>
          <w:tcPr>
            <w:tcW w:w="7096" w:type="dxa"/>
            <w:tcMar>
              <w:top w:w="15" w:type="dxa"/>
              <w:left w:w="15" w:type="dxa"/>
              <w:bottom w:w="0" w:type="dxa"/>
              <w:right w:w="15" w:type="dxa"/>
            </w:tcMar>
            <w:vAlign w:val="center"/>
          </w:tcPr>
          <w:p w14:paraId="2A884B20" w14:textId="77777777" w:rsidR="00FB178A" w:rsidRPr="008D1CC9" w:rsidRDefault="00FB178A" w:rsidP="009E18ED">
            <w:pPr>
              <w:spacing w:line="276" w:lineRule="auto"/>
              <w:rPr>
                <w:color w:val="000000"/>
                <w:kern w:val="2"/>
                <w:sz w:val="24"/>
                <w:lang w:eastAsia="hr-HR"/>
                <w14:ligatures w14:val="standardContextual"/>
              </w:rPr>
            </w:pPr>
            <w:r w:rsidRPr="00055FBA">
              <w:rPr>
                <w:sz w:val="24"/>
                <w:szCs w:val="24"/>
              </w:rPr>
              <w:t xml:space="preserve">Europski statistički sustav </w:t>
            </w:r>
          </w:p>
        </w:tc>
      </w:tr>
      <w:tr w:rsidR="00FB178A" w:rsidRPr="00145379" w14:paraId="16A24304" w14:textId="77777777" w:rsidTr="009E18ED">
        <w:trPr>
          <w:trHeight w:val="315"/>
        </w:trPr>
        <w:tc>
          <w:tcPr>
            <w:tcW w:w="2124" w:type="dxa"/>
            <w:tcMar>
              <w:top w:w="15" w:type="dxa"/>
              <w:left w:w="15" w:type="dxa"/>
              <w:bottom w:w="0" w:type="dxa"/>
              <w:right w:w="15" w:type="dxa"/>
            </w:tcMar>
            <w:vAlign w:val="center"/>
          </w:tcPr>
          <w:p w14:paraId="0722A985" w14:textId="77777777" w:rsidR="00FB178A" w:rsidRPr="00145379" w:rsidRDefault="00FB178A" w:rsidP="009E18ED">
            <w:pPr>
              <w:spacing w:line="276" w:lineRule="auto"/>
              <w:rPr>
                <w:color w:val="000000"/>
                <w:sz w:val="24"/>
                <w:szCs w:val="24"/>
              </w:rPr>
            </w:pPr>
            <w:r w:rsidRPr="008D1CC9">
              <w:rPr>
                <w:color w:val="000000"/>
                <w:kern w:val="2"/>
                <w:sz w:val="24"/>
                <w:lang w:eastAsia="hr-HR"/>
                <w14:ligatures w14:val="standardContextual"/>
              </w:rPr>
              <w:t>FINA</w:t>
            </w:r>
          </w:p>
        </w:tc>
        <w:tc>
          <w:tcPr>
            <w:tcW w:w="7096" w:type="dxa"/>
            <w:tcMar>
              <w:top w:w="15" w:type="dxa"/>
              <w:left w:w="15" w:type="dxa"/>
              <w:bottom w:w="0" w:type="dxa"/>
              <w:right w:w="15" w:type="dxa"/>
            </w:tcMar>
            <w:vAlign w:val="center"/>
          </w:tcPr>
          <w:p w14:paraId="57CE0BA9" w14:textId="77777777" w:rsidR="00FB178A" w:rsidRPr="00145379" w:rsidRDefault="00FB178A" w:rsidP="009E18ED">
            <w:pPr>
              <w:spacing w:line="276" w:lineRule="auto"/>
              <w:rPr>
                <w:rFonts w:eastAsia="Calibri"/>
                <w:kern w:val="2"/>
                <w:sz w:val="24"/>
                <w:szCs w:val="24"/>
              </w:rPr>
            </w:pPr>
            <w:r w:rsidRPr="008D1CC9">
              <w:rPr>
                <w:color w:val="000000"/>
                <w:kern w:val="2"/>
                <w:sz w:val="24"/>
                <w:lang w:eastAsia="hr-HR"/>
                <w14:ligatures w14:val="standardContextual"/>
              </w:rPr>
              <w:t>F</w:t>
            </w:r>
            <w:r>
              <w:rPr>
                <w:color w:val="000000"/>
                <w:kern w:val="2"/>
                <w:sz w:val="24"/>
                <w:lang w:eastAsia="hr-HR"/>
                <w14:ligatures w14:val="standardContextual"/>
              </w:rPr>
              <w:t>inancijska agencija</w:t>
            </w:r>
          </w:p>
        </w:tc>
      </w:tr>
      <w:tr w:rsidR="00FB178A" w:rsidRPr="00145379" w14:paraId="29FA366A" w14:textId="77777777" w:rsidTr="009E18ED">
        <w:trPr>
          <w:trHeight w:val="315"/>
        </w:trPr>
        <w:tc>
          <w:tcPr>
            <w:tcW w:w="2124" w:type="dxa"/>
            <w:tcMar>
              <w:top w:w="15" w:type="dxa"/>
              <w:left w:w="15" w:type="dxa"/>
              <w:bottom w:w="0" w:type="dxa"/>
              <w:right w:w="15" w:type="dxa"/>
            </w:tcMar>
            <w:vAlign w:val="center"/>
            <w:hideMark/>
          </w:tcPr>
          <w:p w14:paraId="69F1A427" w14:textId="77777777" w:rsidR="00FB178A" w:rsidRPr="00145379" w:rsidRDefault="00FB178A" w:rsidP="009E18ED">
            <w:pPr>
              <w:spacing w:line="276" w:lineRule="auto"/>
              <w:rPr>
                <w:color w:val="000000"/>
                <w:sz w:val="24"/>
                <w:szCs w:val="24"/>
              </w:rPr>
            </w:pPr>
            <w:r w:rsidRPr="00145379">
              <w:rPr>
                <w:color w:val="000000"/>
                <w:sz w:val="24"/>
                <w:szCs w:val="24"/>
              </w:rPr>
              <w:t>FRONTEX</w:t>
            </w:r>
          </w:p>
        </w:tc>
        <w:tc>
          <w:tcPr>
            <w:tcW w:w="7096" w:type="dxa"/>
            <w:tcMar>
              <w:top w:w="15" w:type="dxa"/>
              <w:left w:w="15" w:type="dxa"/>
              <w:bottom w:w="0" w:type="dxa"/>
              <w:right w:w="15" w:type="dxa"/>
            </w:tcMar>
            <w:vAlign w:val="center"/>
            <w:hideMark/>
          </w:tcPr>
          <w:p w14:paraId="763352BE" w14:textId="77777777" w:rsidR="00FB178A" w:rsidRPr="00145379" w:rsidRDefault="00FB178A" w:rsidP="009E18ED">
            <w:pPr>
              <w:spacing w:line="276" w:lineRule="auto"/>
              <w:rPr>
                <w:color w:val="000000"/>
                <w:sz w:val="24"/>
                <w:szCs w:val="24"/>
              </w:rPr>
            </w:pPr>
            <w:r w:rsidRPr="00145379">
              <w:rPr>
                <w:color w:val="000000"/>
                <w:sz w:val="24"/>
                <w:szCs w:val="24"/>
              </w:rPr>
              <w:t>Agencija za europsku graničnu i obalnu stražu</w:t>
            </w:r>
          </w:p>
        </w:tc>
      </w:tr>
      <w:tr w:rsidR="00FB178A" w:rsidRPr="00145379" w14:paraId="196A4936" w14:textId="77777777" w:rsidTr="009E18ED">
        <w:trPr>
          <w:trHeight w:val="315"/>
        </w:trPr>
        <w:tc>
          <w:tcPr>
            <w:tcW w:w="2124" w:type="dxa"/>
            <w:tcMar>
              <w:top w:w="15" w:type="dxa"/>
              <w:left w:w="15" w:type="dxa"/>
              <w:bottom w:w="0" w:type="dxa"/>
              <w:right w:w="15" w:type="dxa"/>
            </w:tcMar>
            <w:vAlign w:val="center"/>
          </w:tcPr>
          <w:p w14:paraId="7F064FDA" w14:textId="77777777" w:rsidR="00FB178A" w:rsidRPr="00145379" w:rsidRDefault="00FB178A" w:rsidP="009E18ED">
            <w:pPr>
              <w:spacing w:line="276" w:lineRule="auto"/>
              <w:rPr>
                <w:color w:val="000000"/>
                <w:sz w:val="24"/>
                <w:szCs w:val="24"/>
              </w:rPr>
            </w:pPr>
            <w:r>
              <w:rPr>
                <w:color w:val="000000"/>
                <w:sz w:val="24"/>
                <w:szCs w:val="24"/>
              </w:rPr>
              <w:t>FTTP</w:t>
            </w:r>
          </w:p>
        </w:tc>
        <w:tc>
          <w:tcPr>
            <w:tcW w:w="7096" w:type="dxa"/>
            <w:tcMar>
              <w:top w:w="15" w:type="dxa"/>
              <w:left w:w="15" w:type="dxa"/>
              <w:bottom w:w="0" w:type="dxa"/>
              <w:right w:w="15" w:type="dxa"/>
            </w:tcMar>
            <w:vAlign w:val="center"/>
          </w:tcPr>
          <w:p w14:paraId="30326C1C" w14:textId="77777777" w:rsidR="00FB178A" w:rsidRPr="00145379" w:rsidRDefault="00FB178A" w:rsidP="009E18ED">
            <w:pPr>
              <w:spacing w:line="276" w:lineRule="auto"/>
              <w:rPr>
                <w:rFonts w:eastAsia="Calibri"/>
                <w:kern w:val="2"/>
                <w:sz w:val="24"/>
                <w:szCs w:val="24"/>
              </w:rPr>
            </w:pPr>
            <w:r>
              <w:rPr>
                <w:sz w:val="24"/>
                <w:szCs w:val="24"/>
              </w:rPr>
              <w:t>M</w:t>
            </w:r>
            <w:r w:rsidRPr="00315738">
              <w:rPr>
                <w:sz w:val="24"/>
                <w:szCs w:val="24"/>
              </w:rPr>
              <w:t>rež</w:t>
            </w:r>
            <w:r>
              <w:rPr>
                <w:sz w:val="24"/>
                <w:szCs w:val="24"/>
              </w:rPr>
              <w:t>a</w:t>
            </w:r>
            <w:r w:rsidRPr="00315738">
              <w:rPr>
                <w:sz w:val="24"/>
                <w:szCs w:val="24"/>
              </w:rPr>
              <w:t xml:space="preserve"> optičkih priključaka do </w:t>
            </w:r>
            <w:r>
              <w:rPr>
                <w:sz w:val="24"/>
                <w:szCs w:val="24"/>
              </w:rPr>
              <w:t>prostorija</w:t>
            </w:r>
            <w:r w:rsidRPr="00315738">
              <w:rPr>
                <w:sz w:val="24"/>
                <w:szCs w:val="24"/>
              </w:rPr>
              <w:t xml:space="preserve"> (</w:t>
            </w:r>
            <w:proofErr w:type="spellStart"/>
            <w:r>
              <w:rPr>
                <w:sz w:val="24"/>
                <w:szCs w:val="24"/>
              </w:rPr>
              <w:t>eng</w:t>
            </w:r>
            <w:proofErr w:type="spellEnd"/>
            <w:r>
              <w:rPr>
                <w:sz w:val="24"/>
                <w:szCs w:val="24"/>
              </w:rPr>
              <w:t xml:space="preserve">. </w:t>
            </w:r>
            <w:proofErr w:type="spellStart"/>
            <w:r>
              <w:rPr>
                <w:sz w:val="24"/>
                <w:szCs w:val="24"/>
              </w:rPr>
              <w:t>Fibre</w:t>
            </w:r>
            <w:proofErr w:type="spellEnd"/>
            <w:r>
              <w:rPr>
                <w:sz w:val="24"/>
                <w:szCs w:val="24"/>
              </w:rPr>
              <w:t xml:space="preserve"> to </w:t>
            </w:r>
            <w:proofErr w:type="spellStart"/>
            <w:r>
              <w:rPr>
                <w:sz w:val="24"/>
                <w:szCs w:val="24"/>
              </w:rPr>
              <w:t>premises</w:t>
            </w:r>
            <w:proofErr w:type="spellEnd"/>
            <w:r>
              <w:rPr>
                <w:sz w:val="24"/>
                <w:szCs w:val="24"/>
              </w:rPr>
              <w:t>)</w:t>
            </w:r>
          </w:p>
        </w:tc>
      </w:tr>
      <w:tr w:rsidR="00FB178A" w:rsidRPr="00145379" w14:paraId="10C0FEE8" w14:textId="77777777" w:rsidTr="009E18ED">
        <w:trPr>
          <w:trHeight w:val="315"/>
        </w:trPr>
        <w:tc>
          <w:tcPr>
            <w:tcW w:w="2124" w:type="dxa"/>
            <w:tcMar>
              <w:top w:w="15" w:type="dxa"/>
              <w:left w:w="15" w:type="dxa"/>
              <w:bottom w:w="0" w:type="dxa"/>
              <w:right w:w="15" w:type="dxa"/>
            </w:tcMar>
            <w:vAlign w:val="center"/>
          </w:tcPr>
          <w:p w14:paraId="1D876AB2" w14:textId="77777777" w:rsidR="00FB178A" w:rsidRPr="00145379" w:rsidRDefault="00FB178A" w:rsidP="009E18ED">
            <w:pPr>
              <w:spacing w:line="276" w:lineRule="auto"/>
              <w:rPr>
                <w:color w:val="000000"/>
                <w:sz w:val="24"/>
                <w:szCs w:val="24"/>
              </w:rPr>
            </w:pPr>
            <w:r w:rsidRPr="00145379">
              <w:rPr>
                <w:color w:val="000000"/>
                <w:sz w:val="24"/>
                <w:szCs w:val="24"/>
              </w:rPr>
              <w:t>GCI</w:t>
            </w:r>
          </w:p>
        </w:tc>
        <w:tc>
          <w:tcPr>
            <w:tcW w:w="7096" w:type="dxa"/>
            <w:tcMar>
              <w:top w:w="15" w:type="dxa"/>
              <w:left w:w="15" w:type="dxa"/>
              <w:bottom w:w="0" w:type="dxa"/>
              <w:right w:w="15" w:type="dxa"/>
            </w:tcMar>
            <w:vAlign w:val="center"/>
          </w:tcPr>
          <w:p w14:paraId="6F14EC7A" w14:textId="77777777" w:rsidR="00FB178A" w:rsidRPr="00145379" w:rsidRDefault="00FB178A" w:rsidP="009E18ED">
            <w:pPr>
              <w:spacing w:line="276" w:lineRule="auto"/>
              <w:rPr>
                <w:color w:val="000000"/>
                <w:sz w:val="24"/>
                <w:szCs w:val="24"/>
              </w:rPr>
            </w:pPr>
            <w:r w:rsidRPr="00145379">
              <w:rPr>
                <w:color w:val="000000"/>
                <w:sz w:val="24"/>
                <w:szCs w:val="24"/>
              </w:rPr>
              <w:t>Indeks globalne konkurentnosti (</w:t>
            </w:r>
            <w:proofErr w:type="spellStart"/>
            <w:r w:rsidRPr="00145379">
              <w:rPr>
                <w:color w:val="000000"/>
                <w:sz w:val="24"/>
                <w:szCs w:val="24"/>
              </w:rPr>
              <w:t>eng</w:t>
            </w:r>
            <w:proofErr w:type="spellEnd"/>
            <w:r w:rsidRPr="00145379">
              <w:rPr>
                <w:color w:val="000000"/>
                <w:sz w:val="24"/>
                <w:szCs w:val="24"/>
              </w:rPr>
              <w:t xml:space="preserve">. Global </w:t>
            </w:r>
            <w:proofErr w:type="spellStart"/>
            <w:r w:rsidRPr="00145379">
              <w:rPr>
                <w:color w:val="000000"/>
                <w:sz w:val="24"/>
                <w:szCs w:val="24"/>
              </w:rPr>
              <w:t>Competitiveness</w:t>
            </w:r>
            <w:proofErr w:type="spellEnd"/>
            <w:r w:rsidRPr="00145379">
              <w:rPr>
                <w:color w:val="000000"/>
                <w:sz w:val="24"/>
                <w:szCs w:val="24"/>
              </w:rPr>
              <w:t xml:space="preserve"> Indeks)</w:t>
            </w:r>
          </w:p>
        </w:tc>
      </w:tr>
      <w:tr w:rsidR="00FB178A" w:rsidRPr="00145379" w14:paraId="00918304" w14:textId="77777777" w:rsidTr="009E18ED">
        <w:trPr>
          <w:trHeight w:val="315"/>
        </w:trPr>
        <w:tc>
          <w:tcPr>
            <w:tcW w:w="2124" w:type="dxa"/>
            <w:tcMar>
              <w:top w:w="15" w:type="dxa"/>
              <w:left w:w="15" w:type="dxa"/>
              <w:bottom w:w="0" w:type="dxa"/>
              <w:right w:w="15" w:type="dxa"/>
            </w:tcMar>
            <w:vAlign w:val="center"/>
            <w:hideMark/>
          </w:tcPr>
          <w:p w14:paraId="56FFC40D" w14:textId="77777777" w:rsidR="00FB178A" w:rsidRPr="00145379" w:rsidRDefault="00FB178A" w:rsidP="009E18ED">
            <w:pPr>
              <w:spacing w:line="276" w:lineRule="auto"/>
              <w:rPr>
                <w:color w:val="000000"/>
                <w:sz w:val="24"/>
                <w:szCs w:val="24"/>
              </w:rPr>
            </w:pPr>
            <w:r w:rsidRPr="00145379">
              <w:rPr>
                <w:color w:val="000000"/>
                <w:sz w:val="24"/>
                <w:szCs w:val="24"/>
              </w:rPr>
              <w:t>GERD</w:t>
            </w:r>
          </w:p>
        </w:tc>
        <w:tc>
          <w:tcPr>
            <w:tcW w:w="7096" w:type="dxa"/>
            <w:tcMar>
              <w:top w:w="15" w:type="dxa"/>
              <w:left w:w="15" w:type="dxa"/>
              <w:bottom w:w="0" w:type="dxa"/>
              <w:right w:w="15" w:type="dxa"/>
            </w:tcMar>
            <w:vAlign w:val="center"/>
            <w:hideMark/>
          </w:tcPr>
          <w:p w14:paraId="2D110249" w14:textId="77777777" w:rsidR="00FB178A" w:rsidRPr="00145379" w:rsidRDefault="00FB178A" w:rsidP="009E18ED">
            <w:pPr>
              <w:spacing w:line="276" w:lineRule="auto"/>
              <w:rPr>
                <w:color w:val="000000"/>
                <w:sz w:val="24"/>
                <w:szCs w:val="24"/>
              </w:rPr>
            </w:pPr>
            <w:r w:rsidRPr="00145379">
              <w:rPr>
                <w:color w:val="000000"/>
                <w:sz w:val="24"/>
                <w:szCs w:val="24"/>
              </w:rPr>
              <w:t>Bruto domaći izdaci za istraživanje i razvoj</w:t>
            </w:r>
            <w:r>
              <w:rPr>
                <w:color w:val="000000"/>
                <w:sz w:val="24"/>
                <w:szCs w:val="24"/>
              </w:rPr>
              <w:t xml:space="preserve"> (</w:t>
            </w:r>
            <w:proofErr w:type="spellStart"/>
            <w:r>
              <w:rPr>
                <w:color w:val="000000"/>
                <w:sz w:val="24"/>
                <w:szCs w:val="24"/>
              </w:rPr>
              <w:t>eng</w:t>
            </w:r>
            <w:proofErr w:type="spellEnd"/>
            <w:r>
              <w:rPr>
                <w:color w:val="000000"/>
                <w:sz w:val="24"/>
                <w:szCs w:val="24"/>
              </w:rPr>
              <w:t xml:space="preserve">. </w:t>
            </w:r>
            <w:proofErr w:type="spellStart"/>
            <w:r>
              <w:rPr>
                <w:color w:val="000000"/>
                <w:sz w:val="24"/>
                <w:szCs w:val="24"/>
              </w:rPr>
              <w:t>Gross</w:t>
            </w:r>
            <w:proofErr w:type="spellEnd"/>
            <w:r>
              <w:rPr>
                <w:color w:val="000000"/>
                <w:sz w:val="24"/>
                <w:szCs w:val="24"/>
              </w:rPr>
              <w:t xml:space="preserve"> </w:t>
            </w:r>
            <w:proofErr w:type="spellStart"/>
            <w:r>
              <w:rPr>
                <w:color w:val="000000"/>
                <w:sz w:val="24"/>
                <w:szCs w:val="24"/>
              </w:rPr>
              <w:t>Expenditure</w:t>
            </w:r>
            <w:proofErr w:type="spellEnd"/>
            <w:r>
              <w:rPr>
                <w:color w:val="000000"/>
                <w:sz w:val="24"/>
                <w:szCs w:val="24"/>
              </w:rPr>
              <w:t xml:space="preserve"> for Research </w:t>
            </w:r>
            <w:proofErr w:type="spellStart"/>
            <w:r>
              <w:rPr>
                <w:color w:val="000000"/>
                <w:sz w:val="24"/>
                <w:szCs w:val="24"/>
              </w:rPr>
              <w:t>and</w:t>
            </w:r>
            <w:proofErr w:type="spellEnd"/>
            <w:r>
              <w:rPr>
                <w:color w:val="000000"/>
                <w:sz w:val="24"/>
                <w:szCs w:val="24"/>
              </w:rPr>
              <w:t xml:space="preserve"> Development)</w:t>
            </w:r>
          </w:p>
        </w:tc>
      </w:tr>
      <w:tr w:rsidR="00FB178A" w:rsidRPr="00145379" w14:paraId="34E31936" w14:textId="77777777" w:rsidTr="009E18ED">
        <w:trPr>
          <w:trHeight w:val="429"/>
        </w:trPr>
        <w:tc>
          <w:tcPr>
            <w:tcW w:w="2124" w:type="dxa"/>
            <w:tcMar>
              <w:top w:w="15" w:type="dxa"/>
              <w:left w:w="15" w:type="dxa"/>
              <w:bottom w:w="0" w:type="dxa"/>
              <w:right w:w="15" w:type="dxa"/>
            </w:tcMar>
            <w:vAlign w:val="center"/>
          </w:tcPr>
          <w:p w14:paraId="695BD16B" w14:textId="77777777" w:rsidR="00FB178A" w:rsidRPr="00145379" w:rsidRDefault="00FB178A" w:rsidP="009E18ED">
            <w:pPr>
              <w:spacing w:line="276" w:lineRule="auto"/>
              <w:rPr>
                <w:color w:val="000000"/>
                <w:sz w:val="24"/>
                <w:szCs w:val="24"/>
              </w:rPr>
            </w:pPr>
            <w:r>
              <w:rPr>
                <w:color w:val="000000"/>
                <w:sz w:val="24"/>
                <w:szCs w:val="24"/>
              </w:rPr>
              <w:t>GII</w:t>
            </w:r>
          </w:p>
        </w:tc>
        <w:tc>
          <w:tcPr>
            <w:tcW w:w="7096" w:type="dxa"/>
            <w:tcMar>
              <w:top w:w="15" w:type="dxa"/>
              <w:left w:w="15" w:type="dxa"/>
              <w:bottom w:w="0" w:type="dxa"/>
              <w:right w:w="15" w:type="dxa"/>
            </w:tcMar>
            <w:vAlign w:val="center"/>
          </w:tcPr>
          <w:p w14:paraId="027DF315" w14:textId="77777777" w:rsidR="00FB178A" w:rsidRPr="00145379" w:rsidRDefault="00FB178A" w:rsidP="009E18ED">
            <w:pPr>
              <w:spacing w:line="276" w:lineRule="auto"/>
              <w:rPr>
                <w:color w:val="000000"/>
                <w:sz w:val="24"/>
                <w:szCs w:val="24"/>
              </w:rPr>
            </w:pPr>
            <w:r>
              <w:rPr>
                <w:color w:val="000000"/>
                <w:sz w:val="24"/>
                <w:szCs w:val="24"/>
              </w:rPr>
              <w:t>Globalni inovacijski indeks</w:t>
            </w:r>
          </w:p>
        </w:tc>
      </w:tr>
      <w:tr w:rsidR="00FB178A" w:rsidRPr="00145379" w14:paraId="5DF899C5" w14:textId="77777777" w:rsidTr="009E18ED">
        <w:trPr>
          <w:trHeight w:val="783"/>
        </w:trPr>
        <w:tc>
          <w:tcPr>
            <w:tcW w:w="2124" w:type="dxa"/>
            <w:tcMar>
              <w:top w:w="15" w:type="dxa"/>
              <w:left w:w="15" w:type="dxa"/>
              <w:bottom w:w="0" w:type="dxa"/>
              <w:right w:w="15" w:type="dxa"/>
            </w:tcMar>
            <w:vAlign w:val="center"/>
            <w:hideMark/>
          </w:tcPr>
          <w:p w14:paraId="074B0962" w14:textId="77777777" w:rsidR="00FB178A" w:rsidRPr="00145379" w:rsidRDefault="00FB178A" w:rsidP="009E18ED">
            <w:pPr>
              <w:spacing w:line="276" w:lineRule="auto"/>
              <w:rPr>
                <w:color w:val="000000"/>
                <w:sz w:val="24"/>
                <w:szCs w:val="24"/>
              </w:rPr>
            </w:pPr>
            <w:r w:rsidRPr="00145379">
              <w:rPr>
                <w:color w:val="000000"/>
                <w:sz w:val="24"/>
                <w:szCs w:val="24"/>
              </w:rPr>
              <w:t>GJR</w:t>
            </w:r>
          </w:p>
        </w:tc>
        <w:tc>
          <w:tcPr>
            <w:tcW w:w="7096" w:type="dxa"/>
            <w:tcMar>
              <w:top w:w="15" w:type="dxa"/>
              <w:left w:w="15" w:type="dxa"/>
              <w:bottom w:w="0" w:type="dxa"/>
              <w:right w:w="15" w:type="dxa"/>
            </w:tcMar>
            <w:vAlign w:val="center"/>
            <w:hideMark/>
          </w:tcPr>
          <w:p w14:paraId="64B3BA22" w14:textId="77777777" w:rsidR="00FB178A" w:rsidRPr="00145379" w:rsidRDefault="00FB178A" w:rsidP="009E18ED">
            <w:pPr>
              <w:spacing w:line="276" w:lineRule="auto"/>
              <w:rPr>
                <w:color w:val="000000"/>
                <w:sz w:val="24"/>
                <w:szCs w:val="24"/>
              </w:rPr>
            </w:pPr>
            <w:r w:rsidRPr="00145379">
              <w:rPr>
                <w:color w:val="000000"/>
                <w:sz w:val="24"/>
                <w:szCs w:val="24"/>
              </w:rPr>
              <w:t>Godišnja jedinica rada (jedna godišnja jedinica rada odgovara jednoj osobi koja radi puno radno vrijeme na poljoprivrednom gospodarstvu i iznosi 1.800 sati)</w:t>
            </w:r>
          </w:p>
        </w:tc>
      </w:tr>
      <w:tr w:rsidR="00FB178A" w:rsidRPr="00145379" w14:paraId="498B52F4" w14:textId="77777777" w:rsidTr="009E18ED">
        <w:trPr>
          <w:trHeight w:val="498"/>
        </w:trPr>
        <w:tc>
          <w:tcPr>
            <w:tcW w:w="2124" w:type="dxa"/>
            <w:tcMar>
              <w:top w:w="15" w:type="dxa"/>
              <w:left w:w="15" w:type="dxa"/>
              <w:bottom w:w="0" w:type="dxa"/>
              <w:right w:w="15" w:type="dxa"/>
            </w:tcMar>
            <w:vAlign w:val="center"/>
            <w:hideMark/>
          </w:tcPr>
          <w:p w14:paraId="252FF83B" w14:textId="77777777" w:rsidR="00FB178A" w:rsidRPr="00145379" w:rsidRDefault="00FB178A" w:rsidP="009E18ED">
            <w:pPr>
              <w:spacing w:line="276" w:lineRule="auto"/>
              <w:rPr>
                <w:color w:val="000000"/>
                <w:sz w:val="24"/>
                <w:szCs w:val="24"/>
              </w:rPr>
            </w:pPr>
            <w:r w:rsidRPr="00145379">
              <w:rPr>
                <w:color w:val="000000"/>
                <w:sz w:val="24"/>
                <w:szCs w:val="24"/>
              </w:rPr>
              <w:t>GRECO</w:t>
            </w:r>
          </w:p>
        </w:tc>
        <w:tc>
          <w:tcPr>
            <w:tcW w:w="7096" w:type="dxa"/>
            <w:tcMar>
              <w:top w:w="15" w:type="dxa"/>
              <w:left w:w="15" w:type="dxa"/>
              <w:bottom w:w="0" w:type="dxa"/>
              <w:right w:w="15" w:type="dxa"/>
            </w:tcMar>
            <w:vAlign w:val="center"/>
            <w:hideMark/>
          </w:tcPr>
          <w:p w14:paraId="3C52A4DC" w14:textId="77777777" w:rsidR="00FB178A" w:rsidRPr="00145379" w:rsidRDefault="00FB178A" w:rsidP="009E18ED">
            <w:pPr>
              <w:spacing w:line="276" w:lineRule="auto"/>
              <w:rPr>
                <w:color w:val="000000"/>
                <w:sz w:val="24"/>
                <w:szCs w:val="24"/>
              </w:rPr>
            </w:pPr>
            <w:r w:rsidRPr="00145379">
              <w:rPr>
                <w:color w:val="000000"/>
                <w:sz w:val="24"/>
                <w:szCs w:val="24"/>
              </w:rPr>
              <w:t>Skupina država protiv korupcije (</w:t>
            </w:r>
            <w:proofErr w:type="spellStart"/>
            <w:r w:rsidRPr="00145379">
              <w:rPr>
                <w:color w:val="000000"/>
                <w:sz w:val="24"/>
                <w:szCs w:val="24"/>
              </w:rPr>
              <w:t>eng</w:t>
            </w:r>
            <w:proofErr w:type="spellEnd"/>
            <w:r w:rsidRPr="00145379">
              <w:rPr>
                <w:color w:val="000000"/>
                <w:sz w:val="24"/>
                <w:szCs w:val="24"/>
              </w:rPr>
              <w:t xml:space="preserve">. Group </w:t>
            </w:r>
            <w:proofErr w:type="spellStart"/>
            <w:r w:rsidRPr="00145379">
              <w:rPr>
                <w:color w:val="000000"/>
                <w:sz w:val="24"/>
                <w:szCs w:val="24"/>
              </w:rPr>
              <w:t>of</w:t>
            </w:r>
            <w:proofErr w:type="spellEnd"/>
            <w:r w:rsidRPr="00145379">
              <w:rPr>
                <w:color w:val="000000"/>
                <w:sz w:val="24"/>
                <w:szCs w:val="24"/>
              </w:rPr>
              <w:t xml:space="preserve"> </w:t>
            </w:r>
            <w:proofErr w:type="spellStart"/>
            <w:r w:rsidRPr="00145379">
              <w:rPr>
                <w:color w:val="000000"/>
                <w:sz w:val="24"/>
                <w:szCs w:val="24"/>
              </w:rPr>
              <w:t>States</w:t>
            </w:r>
            <w:proofErr w:type="spellEnd"/>
            <w:r w:rsidRPr="00145379">
              <w:rPr>
                <w:color w:val="000000"/>
                <w:sz w:val="24"/>
                <w:szCs w:val="24"/>
              </w:rPr>
              <w:t xml:space="preserve"> </w:t>
            </w:r>
            <w:proofErr w:type="spellStart"/>
            <w:r w:rsidRPr="00145379">
              <w:rPr>
                <w:color w:val="000000"/>
                <w:sz w:val="24"/>
                <w:szCs w:val="24"/>
              </w:rPr>
              <w:t>against</w:t>
            </w:r>
            <w:proofErr w:type="spellEnd"/>
            <w:r w:rsidRPr="00145379">
              <w:rPr>
                <w:color w:val="000000"/>
                <w:sz w:val="24"/>
                <w:szCs w:val="24"/>
              </w:rPr>
              <w:t xml:space="preserve"> </w:t>
            </w:r>
            <w:proofErr w:type="spellStart"/>
            <w:r w:rsidRPr="00145379">
              <w:rPr>
                <w:color w:val="000000"/>
                <w:sz w:val="24"/>
                <w:szCs w:val="24"/>
              </w:rPr>
              <w:t>Corruption</w:t>
            </w:r>
            <w:proofErr w:type="spellEnd"/>
            <w:r w:rsidRPr="00145379">
              <w:rPr>
                <w:color w:val="000000"/>
                <w:sz w:val="24"/>
                <w:szCs w:val="24"/>
              </w:rPr>
              <w:t>)</w:t>
            </w:r>
          </w:p>
        </w:tc>
      </w:tr>
      <w:tr w:rsidR="00FB178A" w:rsidRPr="00145379" w14:paraId="754CED83" w14:textId="77777777" w:rsidTr="009E18ED">
        <w:trPr>
          <w:trHeight w:val="315"/>
        </w:trPr>
        <w:tc>
          <w:tcPr>
            <w:tcW w:w="2124" w:type="dxa"/>
            <w:tcMar>
              <w:top w:w="15" w:type="dxa"/>
              <w:left w:w="15" w:type="dxa"/>
              <w:bottom w:w="0" w:type="dxa"/>
              <w:right w:w="15" w:type="dxa"/>
            </w:tcMar>
            <w:vAlign w:val="center"/>
            <w:hideMark/>
          </w:tcPr>
          <w:p w14:paraId="00FA3BFA" w14:textId="77777777" w:rsidR="00FB178A" w:rsidRPr="00145379" w:rsidRDefault="00FB178A" w:rsidP="009E18ED">
            <w:pPr>
              <w:spacing w:line="276" w:lineRule="auto"/>
              <w:rPr>
                <w:color w:val="000000"/>
                <w:sz w:val="24"/>
                <w:szCs w:val="24"/>
              </w:rPr>
            </w:pPr>
            <w:r w:rsidRPr="00145379">
              <w:rPr>
                <w:color w:val="000000"/>
                <w:sz w:val="24"/>
                <w:szCs w:val="24"/>
              </w:rPr>
              <w:t>HAMAG-BICRO</w:t>
            </w:r>
          </w:p>
        </w:tc>
        <w:tc>
          <w:tcPr>
            <w:tcW w:w="7096" w:type="dxa"/>
            <w:tcMar>
              <w:top w:w="15" w:type="dxa"/>
              <w:left w:w="15" w:type="dxa"/>
              <w:bottom w:w="0" w:type="dxa"/>
              <w:right w:w="15" w:type="dxa"/>
            </w:tcMar>
            <w:vAlign w:val="center"/>
            <w:hideMark/>
          </w:tcPr>
          <w:p w14:paraId="1ADB976D" w14:textId="77777777" w:rsidR="00FB178A" w:rsidRPr="00145379" w:rsidRDefault="00FB178A" w:rsidP="009E18ED">
            <w:pPr>
              <w:spacing w:line="276" w:lineRule="auto"/>
              <w:rPr>
                <w:color w:val="000000"/>
                <w:sz w:val="24"/>
                <w:szCs w:val="24"/>
              </w:rPr>
            </w:pPr>
            <w:r w:rsidRPr="00145379">
              <w:rPr>
                <w:color w:val="000000"/>
                <w:sz w:val="24"/>
                <w:szCs w:val="24"/>
              </w:rPr>
              <w:t xml:space="preserve">Hrvatska agencija za malo gospodarstvo, inovacije i investicije </w:t>
            </w:r>
          </w:p>
        </w:tc>
      </w:tr>
      <w:tr w:rsidR="00FB178A" w:rsidRPr="00145379" w14:paraId="514EEFAC" w14:textId="77777777" w:rsidTr="009E18ED">
        <w:trPr>
          <w:trHeight w:val="315"/>
        </w:trPr>
        <w:tc>
          <w:tcPr>
            <w:tcW w:w="2124" w:type="dxa"/>
            <w:tcMar>
              <w:top w:w="15" w:type="dxa"/>
              <w:left w:w="15" w:type="dxa"/>
              <w:bottom w:w="0" w:type="dxa"/>
              <w:right w:w="15" w:type="dxa"/>
            </w:tcMar>
            <w:vAlign w:val="center"/>
            <w:hideMark/>
          </w:tcPr>
          <w:p w14:paraId="2340B9C8" w14:textId="77777777" w:rsidR="00FB178A" w:rsidRPr="00145379" w:rsidRDefault="00FB178A" w:rsidP="009E18ED">
            <w:pPr>
              <w:spacing w:line="276" w:lineRule="auto"/>
              <w:rPr>
                <w:color w:val="000000"/>
                <w:sz w:val="24"/>
                <w:szCs w:val="24"/>
              </w:rPr>
            </w:pPr>
            <w:r w:rsidRPr="00145379">
              <w:rPr>
                <w:color w:val="000000"/>
                <w:sz w:val="24"/>
                <w:szCs w:val="24"/>
              </w:rPr>
              <w:lastRenderedPageBreak/>
              <w:t>HBOR</w:t>
            </w:r>
          </w:p>
        </w:tc>
        <w:tc>
          <w:tcPr>
            <w:tcW w:w="7096" w:type="dxa"/>
            <w:tcMar>
              <w:top w:w="15" w:type="dxa"/>
              <w:left w:w="15" w:type="dxa"/>
              <w:bottom w:w="0" w:type="dxa"/>
              <w:right w:w="15" w:type="dxa"/>
            </w:tcMar>
            <w:vAlign w:val="center"/>
            <w:hideMark/>
          </w:tcPr>
          <w:p w14:paraId="05240135" w14:textId="77777777" w:rsidR="00FB178A" w:rsidRPr="00145379" w:rsidRDefault="00FB178A" w:rsidP="009E18ED">
            <w:pPr>
              <w:spacing w:line="276" w:lineRule="auto"/>
              <w:rPr>
                <w:color w:val="000000"/>
                <w:sz w:val="24"/>
                <w:szCs w:val="24"/>
              </w:rPr>
            </w:pPr>
            <w:r w:rsidRPr="00145379">
              <w:rPr>
                <w:color w:val="000000"/>
                <w:sz w:val="24"/>
                <w:szCs w:val="24"/>
              </w:rPr>
              <w:t>Hrvatska banka za obnovu i razvoj</w:t>
            </w:r>
          </w:p>
        </w:tc>
      </w:tr>
      <w:tr w:rsidR="00FB178A" w:rsidRPr="00145379" w14:paraId="3C5BDB63" w14:textId="77777777" w:rsidTr="009E18ED">
        <w:trPr>
          <w:trHeight w:val="315"/>
        </w:trPr>
        <w:tc>
          <w:tcPr>
            <w:tcW w:w="2124" w:type="dxa"/>
            <w:tcMar>
              <w:top w:w="15" w:type="dxa"/>
              <w:left w:w="15" w:type="dxa"/>
              <w:bottom w:w="0" w:type="dxa"/>
              <w:right w:w="15" w:type="dxa"/>
            </w:tcMar>
            <w:vAlign w:val="center"/>
          </w:tcPr>
          <w:p w14:paraId="5C4D73C6" w14:textId="77777777" w:rsidR="00FB178A" w:rsidRPr="00145379" w:rsidRDefault="00FB178A" w:rsidP="009E18ED">
            <w:pPr>
              <w:spacing w:line="276" w:lineRule="auto"/>
              <w:rPr>
                <w:color w:val="000000"/>
                <w:sz w:val="24"/>
                <w:szCs w:val="24"/>
              </w:rPr>
            </w:pPr>
            <w:r w:rsidRPr="00145379">
              <w:rPr>
                <w:color w:val="000000"/>
                <w:sz w:val="24"/>
                <w:szCs w:val="24"/>
              </w:rPr>
              <w:t>HKO</w:t>
            </w:r>
          </w:p>
        </w:tc>
        <w:tc>
          <w:tcPr>
            <w:tcW w:w="7096" w:type="dxa"/>
            <w:tcMar>
              <w:top w:w="15" w:type="dxa"/>
              <w:left w:w="15" w:type="dxa"/>
              <w:bottom w:w="0" w:type="dxa"/>
              <w:right w:w="15" w:type="dxa"/>
            </w:tcMar>
            <w:vAlign w:val="center"/>
          </w:tcPr>
          <w:p w14:paraId="225F480D" w14:textId="77777777" w:rsidR="00FB178A" w:rsidRPr="00145379" w:rsidRDefault="00FB178A" w:rsidP="009E18ED">
            <w:pPr>
              <w:spacing w:line="276" w:lineRule="auto"/>
              <w:rPr>
                <w:color w:val="000000"/>
                <w:sz w:val="24"/>
                <w:szCs w:val="24"/>
              </w:rPr>
            </w:pPr>
            <w:r w:rsidRPr="00145379">
              <w:rPr>
                <w:sz w:val="24"/>
                <w:szCs w:val="24"/>
              </w:rPr>
              <w:t>Hrvatski kvalifikacijski okvir</w:t>
            </w:r>
          </w:p>
        </w:tc>
      </w:tr>
      <w:tr w:rsidR="00FB178A" w:rsidRPr="00145379" w14:paraId="59903E48" w14:textId="77777777" w:rsidTr="009E18ED">
        <w:trPr>
          <w:trHeight w:val="315"/>
        </w:trPr>
        <w:tc>
          <w:tcPr>
            <w:tcW w:w="2124" w:type="dxa"/>
            <w:tcMar>
              <w:top w:w="15" w:type="dxa"/>
              <w:left w:w="15" w:type="dxa"/>
              <w:bottom w:w="0" w:type="dxa"/>
              <w:right w:w="15" w:type="dxa"/>
            </w:tcMar>
            <w:vAlign w:val="center"/>
            <w:hideMark/>
          </w:tcPr>
          <w:p w14:paraId="2AFC3570" w14:textId="77777777" w:rsidR="00FB178A" w:rsidRPr="00145379" w:rsidRDefault="00FB178A" w:rsidP="009E18ED">
            <w:pPr>
              <w:spacing w:line="276" w:lineRule="auto"/>
              <w:rPr>
                <w:color w:val="000000"/>
                <w:sz w:val="24"/>
                <w:szCs w:val="24"/>
              </w:rPr>
            </w:pPr>
            <w:r>
              <w:rPr>
                <w:color w:val="000000"/>
                <w:sz w:val="24"/>
                <w:szCs w:val="24"/>
              </w:rPr>
              <w:t>HRM</w:t>
            </w:r>
          </w:p>
        </w:tc>
        <w:tc>
          <w:tcPr>
            <w:tcW w:w="7096" w:type="dxa"/>
            <w:tcMar>
              <w:top w:w="15" w:type="dxa"/>
              <w:left w:w="15" w:type="dxa"/>
              <w:bottom w:w="0" w:type="dxa"/>
              <w:right w:w="15" w:type="dxa"/>
            </w:tcMar>
            <w:vAlign w:val="center"/>
            <w:hideMark/>
          </w:tcPr>
          <w:p w14:paraId="289AE6AD" w14:textId="77777777" w:rsidR="00FB178A" w:rsidRPr="00145379" w:rsidRDefault="00FB178A" w:rsidP="009E18ED">
            <w:pPr>
              <w:spacing w:line="276" w:lineRule="auto"/>
              <w:rPr>
                <w:color w:val="000000"/>
                <w:sz w:val="24"/>
                <w:szCs w:val="24"/>
              </w:rPr>
            </w:pPr>
            <w:r>
              <w:rPr>
                <w:color w:val="000000"/>
                <w:kern w:val="2"/>
                <w:sz w:val="24"/>
                <w:szCs w:val="24"/>
                <w:lang w:eastAsia="hr-HR"/>
                <w14:ligatures w14:val="standardContextual"/>
              </w:rPr>
              <w:t xml:space="preserve">Upravljanje ljudskim resursima </w:t>
            </w:r>
            <w:r w:rsidRPr="00AE0338">
              <w:rPr>
                <w:color w:val="000000"/>
                <w:kern w:val="2"/>
                <w:sz w:val="24"/>
                <w:szCs w:val="24"/>
                <w:lang w:eastAsia="hr-HR"/>
                <w14:ligatures w14:val="standardContextual"/>
              </w:rPr>
              <w:t>(</w:t>
            </w:r>
            <w:proofErr w:type="spellStart"/>
            <w:r>
              <w:rPr>
                <w:color w:val="000000"/>
                <w:kern w:val="2"/>
                <w:sz w:val="24"/>
                <w:szCs w:val="24"/>
                <w:lang w:eastAsia="hr-HR"/>
                <w14:ligatures w14:val="standardContextual"/>
              </w:rPr>
              <w:t>eng</w:t>
            </w:r>
            <w:proofErr w:type="spellEnd"/>
            <w:r>
              <w:rPr>
                <w:color w:val="000000"/>
                <w:kern w:val="2"/>
                <w:sz w:val="24"/>
                <w:szCs w:val="24"/>
                <w:lang w:eastAsia="hr-HR"/>
                <w14:ligatures w14:val="standardContextual"/>
              </w:rPr>
              <w:t xml:space="preserve">. </w:t>
            </w:r>
            <w:r w:rsidRPr="00AE0338">
              <w:rPr>
                <w:color w:val="000000"/>
                <w:kern w:val="2"/>
                <w:sz w:val="24"/>
                <w:szCs w:val="24"/>
                <w:lang w:eastAsia="hr-HR"/>
                <w14:ligatures w14:val="standardContextual"/>
              </w:rPr>
              <w:t>Human Resources Management</w:t>
            </w:r>
            <w:r>
              <w:rPr>
                <w:color w:val="000000"/>
                <w:kern w:val="2"/>
                <w:sz w:val="24"/>
                <w:szCs w:val="24"/>
                <w:lang w:eastAsia="hr-HR"/>
                <w14:ligatures w14:val="standardContextual"/>
              </w:rPr>
              <w:t>)</w:t>
            </w:r>
          </w:p>
        </w:tc>
      </w:tr>
      <w:tr w:rsidR="00FB178A" w:rsidRPr="00145379" w14:paraId="0B16B66A" w14:textId="77777777" w:rsidTr="009E18ED">
        <w:trPr>
          <w:trHeight w:val="315"/>
        </w:trPr>
        <w:tc>
          <w:tcPr>
            <w:tcW w:w="2124" w:type="dxa"/>
            <w:tcMar>
              <w:top w:w="15" w:type="dxa"/>
              <w:left w:w="15" w:type="dxa"/>
              <w:bottom w:w="0" w:type="dxa"/>
              <w:right w:w="15" w:type="dxa"/>
            </w:tcMar>
            <w:vAlign w:val="center"/>
            <w:hideMark/>
          </w:tcPr>
          <w:p w14:paraId="0DB23C48" w14:textId="77777777" w:rsidR="00FB178A" w:rsidRPr="00145379" w:rsidRDefault="00FB178A" w:rsidP="009E18ED">
            <w:pPr>
              <w:spacing w:line="276" w:lineRule="auto"/>
              <w:rPr>
                <w:color w:val="000000"/>
                <w:sz w:val="24"/>
                <w:szCs w:val="24"/>
              </w:rPr>
            </w:pPr>
            <w:r w:rsidRPr="00145379">
              <w:rPr>
                <w:color w:val="000000"/>
                <w:sz w:val="24"/>
                <w:szCs w:val="24"/>
              </w:rPr>
              <w:t>HZZ</w:t>
            </w:r>
          </w:p>
        </w:tc>
        <w:tc>
          <w:tcPr>
            <w:tcW w:w="7096" w:type="dxa"/>
            <w:tcMar>
              <w:top w:w="15" w:type="dxa"/>
              <w:left w:w="15" w:type="dxa"/>
              <w:bottom w:w="0" w:type="dxa"/>
              <w:right w:w="15" w:type="dxa"/>
            </w:tcMar>
            <w:vAlign w:val="center"/>
            <w:hideMark/>
          </w:tcPr>
          <w:p w14:paraId="09BF4DC2" w14:textId="77777777" w:rsidR="00FB178A" w:rsidRPr="00145379" w:rsidRDefault="00FB178A" w:rsidP="009E18ED">
            <w:pPr>
              <w:spacing w:line="276" w:lineRule="auto"/>
              <w:rPr>
                <w:color w:val="000000"/>
                <w:sz w:val="24"/>
                <w:szCs w:val="24"/>
              </w:rPr>
            </w:pPr>
            <w:r w:rsidRPr="00145379">
              <w:rPr>
                <w:color w:val="000000"/>
                <w:sz w:val="24"/>
                <w:szCs w:val="24"/>
              </w:rPr>
              <w:t>Hrvatski zavod za zapošljavanje</w:t>
            </w:r>
          </w:p>
        </w:tc>
      </w:tr>
      <w:tr w:rsidR="00FB178A" w:rsidRPr="00145379" w14:paraId="2DEDDF41" w14:textId="77777777" w:rsidTr="009E18ED">
        <w:trPr>
          <w:trHeight w:val="315"/>
        </w:trPr>
        <w:tc>
          <w:tcPr>
            <w:tcW w:w="2124" w:type="dxa"/>
            <w:tcMar>
              <w:top w:w="15" w:type="dxa"/>
              <w:left w:w="15" w:type="dxa"/>
              <w:bottom w:w="0" w:type="dxa"/>
              <w:right w:w="15" w:type="dxa"/>
            </w:tcMar>
            <w:vAlign w:val="center"/>
          </w:tcPr>
          <w:p w14:paraId="0160B70F" w14:textId="77777777" w:rsidR="00FB178A" w:rsidRDefault="00FB178A" w:rsidP="009E18ED">
            <w:pPr>
              <w:spacing w:line="276" w:lineRule="auto"/>
              <w:rPr>
                <w:color w:val="000000"/>
                <w:sz w:val="24"/>
                <w:szCs w:val="24"/>
              </w:rPr>
            </w:pPr>
            <w:r>
              <w:rPr>
                <w:color w:val="000000"/>
                <w:sz w:val="24"/>
                <w:szCs w:val="24"/>
              </w:rPr>
              <w:t>IAKS</w:t>
            </w:r>
          </w:p>
        </w:tc>
        <w:tc>
          <w:tcPr>
            <w:tcW w:w="7096" w:type="dxa"/>
            <w:tcMar>
              <w:top w:w="15" w:type="dxa"/>
              <w:left w:w="15" w:type="dxa"/>
              <w:bottom w:w="0" w:type="dxa"/>
              <w:right w:w="15" w:type="dxa"/>
            </w:tcMar>
            <w:vAlign w:val="center"/>
          </w:tcPr>
          <w:p w14:paraId="765B76EA" w14:textId="77777777" w:rsidR="00FB178A" w:rsidRDefault="00FB178A" w:rsidP="009E18ED">
            <w:pPr>
              <w:spacing w:line="276" w:lineRule="auto"/>
              <w:rPr>
                <w:color w:val="000000"/>
                <w:sz w:val="24"/>
                <w:szCs w:val="24"/>
              </w:rPr>
            </w:pPr>
            <w:r>
              <w:rPr>
                <w:color w:val="000000"/>
                <w:sz w:val="24"/>
                <w:szCs w:val="24"/>
              </w:rPr>
              <w:t>Integrirani administrativni kontrolni sustav</w:t>
            </w:r>
          </w:p>
        </w:tc>
      </w:tr>
      <w:tr w:rsidR="00FB178A" w:rsidRPr="00145379" w14:paraId="68140FA0" w14:textId="77777777" w:rsidTr="009E18ED">
        <w:trPr>
          <w:trHeight w:val="315"/>
        </w:trPr>
        <w:tc>
          <w:tcPr>
            <w:tcW w:w="2124" w:type="dxa"/>
            <w:tcMar>
              <w:top w:w="15" w:type="dxa"/>
              <w:left w:w="15" w:type="dxa"/>
              <w:bottom w:w="0" w:type="dxa"/>
              <w:right w:w="15" w:type="dxa"/>
            </w:tcMar>
            <w:vAlign w:val="center"/>
          </w:tcPr>
          <w:p w14:paraId="199A8361" w14:textId="77777777" w:rsidR="00FB178A" w:rsidRPr="00145379" w:rsidRDefault="00FB178A" w:rsidP="009E18ED">
            <w:pPr>
              <w:spacing w:line="276" w:lineRule="auto"/>
              <w:rPr>
                <w:color w:val="000000"/>
                <w:sz w:val="24"/>
                <w:szCs w:val="24"/>
              </w:rPr>
            </w:pPr>
            <w:r>
              <w:rPr>
                <w:color w:val="000000"/>
                <w:sz w:val="24"/>
                <w:szCs w:val="24"/>
              </w:rPr>
              <w:t>IKT</w:t>
            </w:r>
          </w:p>
        </w:tc>
        <w:tc>
          <w:tcPr>
            <w:tcW w:w="7096" w:type="dxa"/>
            <w:tcMar>
              <w:top w:w="15" w:type="dxa"/>
              <w:left w:w="15" w:type="dxa"/>
              <w:bottom w:w="0" w:type="dxa"/>
              <w:right w:w="15" w:type="dxa"/>
            </w:tcMar>
            <w:vAlign w:val="center"/>
          </w:tcPr>
          <w:p w14:paraId="57AECDA5" w14:textId="77777777" w:rsidR="00FB178A" w:rsidRPr="00145379" w:rsidRDefault="00FB178A" w:rsidP="009E18ED">
            <w:pPr>
              <w:spacing w:line="276" w:lineRule="auto"/>
              <w:rPr>
                <w:color w:val="000000"/>
                <w:sz w:val="24"/>
                <w:szCs w:val="24"/>
              </w:rPr>
            </w:pPr>
            <w:r>
              <w:rPr>
                <w:color w:val="000000"/>
                <w:sz w:val="24"/>
                <w:szCs w:val="24"/>
              </w:rPr>
              <w:t>Informacijska i komunikacijska tehnologija</w:t>
            </w:r>
          </w:p>
        </w:tc>
      </w:tr>
      <w:tr w:rsidR="00FB178A" w:rsidRPr="00145379" w14:paraId="6EB9A336" w14:textId="77777777" w:rsidTr="009E18ED">
        <w:trPr>
          <w:trHeight w:val="315"/>
        </w:trPr>
        <w:tc>
          <w:tcPr>
            <w:tcW w:w="2124" w:type="dxa"/>
            <w:tcMar>
              <w:top w:w="15" w:type="dxa"/>
              <w:left w:w="15" w:type="dxa"/>
              <w:bottom w:w="0" w:type="dxa"/>
              <w:right w:w="15" w:type="dxa"/>
            </w:tcMar>
            <w:vAlign w:val="center"/>
            <w:hideMark/>
          </w:tcPr>
          <w:p w14:paraId="64A86169" w14:textId="77777777" w:rsidR="00FB178A" w:rsidRPr="00145379" w:rsidRDefault="00FB178A" w:rsidP="009E18ED">
            <w:pPr>
              <w:spacing w:line="276" w:lineRule="auto"/>
              <w:rPr>
                <w:color w:val="000000"/>
                <w:sz w:val="24"/>
                <w:szCs w:val="24"/>
              </w:rPr>
            </w:pPr>
            <w:r w:rsidRPr="00145379">
              <w:rPr>
                <w:color w:val="000000"/>
                <w:sz w:val="24"/>
                <w:szCs w:val="24"/>
              </w:rPr>
              <w:t>ITP</w:t>
            </w:r>
          </w:p>
        </w:tc>
        <w:tc>
          <w:tcPr>
            <w:tcW w:w="7096" w:type="dxa"/>
            <w:tcMar>
              <w:top w:w="15" w:type="dxa"/>
              <w:left w:w="15" w:type="dxa"/>
              <w:bottom w:w="0" w:type="dxa"/>
              <w:right w:w="15" w:type="dxa"/>
            </w:tcMar>
            <w:vAlign w:val="center"/>
            <w:hideMark/>
          </w:tcPr>
          <w:p w14:paraId="2AADF5C0" w14:textId="77777777" w:rsidR="00FB178A" w:rsidRPr="00145379" w:rsidRDefault="00FB178A" w:rsidP="009E18ED">
            <w:pPr>
              <w:spacing w:line="276" w:lineRule="auto"/>
              <w:rPr>
                <w:color w:val="000000"/>
                <w:sz w:val="24"/>
                <w:szCs w:val="24"/>
              </w:rPr>
            </w:pPr>
            <w:r w:rsidRPr="00145379">
              <w:rPr>
                <w:color w:val="000000"/>
                <w:sz w:val="24"/>
                <w:szCs w:val="24"/>
              </w:rPr>
              <w:t>Integrirani teritorijalni program 2021.-2027.</w:t>
            </w:r>
          </w:p>
        </w:tc>
      </w:tr>
      <w:tr w:rsidR="00FB178A" w:rsidRPr="00145379" w14:paraId="692A2D84" w14:textId="77777777" w:rsidTr="009E18ED">
        <w:trPr>
          <w:trHeight w:val="315"/>
        </w:trPr>
        <w:tc>
          <w:tcPr>
            <w:tcW w:w="2124" w:type="dxa"/>
            <w:tcMar>
              <w:top w:w="15" w:type="dxa"/>
              <w:left w:w="15" w:type="dxa"/>
              <w:bottom w:w="0" w:type="dxa"/>
              <w:right w:w="15" w:type="dxa"/>
            </w:tcMar>
            <w:vAlign w:val="center"/>
          </w:tcPr>
          <w:p w14:paraId="62B72E00" w14:textId="77777777" w:rsidR="00FB178A" w:rsidRPr="00145379" w:rsidRDefault="00FB178A" w:rsidP="009E18ED">
            <w:pPr>
              <w:spacing w:line="276" w:lineRule="auto"/>
              <w:rPr>
                <w:color w:val="000000"/>
                <w:sz w:val="24"/>
                <w:szCs w:val="24"/>
              </w:rPr>
            </w:pPr>
            <w:r w:rsidRPr="00145379">
              <w:rPr>
                <w:color w:val="000000"/>
                <w:sz w:val="24"/>
                <w:szCs w:val="24"/>
              </w:rPr>
              <w:t>ITU</w:t>
            </w:r>
          </w:p>
        </w:tc>
        <w:tc>
          <w:tcPr>
            <w:tcW w:w="7096" w:type="dxa"/>
            <w:tcMar>
              <w:top w:w="15" w:type="dxa"/>
              <w:left w:w="15" w:type="dxa"/>
              <w:bottom w:w="0" w:type="dxa"/>
              <w:right w:w="15" w:type="dxa"/>
            </w:tcMar>
            <w:vAlign w:val="center"/>
          </w:tcPr>
          <w:p w14:paraId="286C98AF" w14:textId="77777777" w:rsidR="00FB178A" w:rsidRPr="00145379" w:rsidRDefault="00FB178A" w:rsidP="009E18ED">
            <w:pPr>
              <w:spacing w:line="276" w:lineRule="auto"/>
              <w:rPr>
                <w:color w:val="000000"/>
                <w:sz w:val="24"/>
                <w:szCs w:val="24"/>
              </w:rPr>
            </w:pPr>
            <w:r w:rsidRPr="00145379">
              <w:rPr>
                <w:sz w:val="24"/>
                <w:szCs w:val="24"/>
              </w:rPr>
              <w:t>Integriran</w:t>
            </w:r>
            <w:r>
              <w:rPr>
                <w:sz w:val="24"/>
                <w:szCs w:val="24"/>
              </w:rPr>
              <w:t>a</w:t>
            </w:r>
            <w:r w:rsidRPr="00145379">
              <w:rPr>
                <w:sz w:val="24"/>
                <w:szCs w:val="24"/>
              </w:rPr>
              <w:t xml:space="preserve"> teritorijaln</w:t>
            </w:r>
            <w:r>
              <w:rPr>
                <w:sz w:val="24"/>
                <w:szCs w:val="24"/>
              </w:rPr>
              <w:t>a</w:t>
            </w:r>
            <w:r w:rsidRPr="00145379">
              <w:rPr>
                <w:sz w:val="24"/>
                <w:szCs w:val="24"/>
              </w:rPr>
              <w:t xml:space="preserve"> ulaganja</w:t>
            </w:r>
          </w:p>
        </w:tc>
      </w:tr>
      <w:tr w:rsidR="00FB178A" w:rsidRPr="00145379" w14:paraId="6B5883C4" w14:textId="77777777" w:rsidTr="009E18ED">
        <w:trPr>
          <w:trHeight w:val="315"/>
        </w:trPr>
        <w:tc>
          <w:tcPr>
            <w:tcW w:w="2124" w:type="dxa"/>
            <w:tcMar>
              <w:top w:w="15" w:type="dxa"/>
              <w:left w:w="15" w:type="dxa"/>
              <w:bottom w:w="0" w:type="dxa"/>
              <w:right w:w="15" w:type="dxa"/>
            </w:tcMar>
            <w:vAlign w:val="center"/>
          </w:tcPr>
          <w:p w14:paraId="122106C9" w14:textId="77777777" w:rsidR="00FB178A" w:rsidRDefault="00FB178A" w:rsidP="009E18ED">
            <w:pPr>
              <w:spacing w:line="276" w:lineRule="auto"/>
              <w:rPr>
                <w:color w:val="000000"/>
                <w:sz w:val="24"/>
                <w:szCs w:val="24"/>
              </w:rPr>
            </w:pPr>
            <w:r>
              <w:rPr>
                <w:color w:val="000000"/>
                <w:sz w:val="24"/>
                <w:szCs w:val="24"/>
              </w:rPr>
              <w:t>JIT</w:t>
            </w:r>
          </w:p>
        </w:tc>
        <w:tc>
          <w:tcPr>
            <w:tcW w:w="7096" w:type="dxa"/>
            <w:tcMar>
              <w:top w:w="15" w:type="dxa"/>
              <w:left w:w="15" w:type="dxa"/>
              <w:bottom w:w="0" w:type="dxa"/>
              <w:right w:w="15" w:type="dxa"/>
            </w:tcMar>
            <w:vAlign w:val="center"/>
          </w:tcPr>
          <w:p w14:paraId="180DFABB" w14:textId="77777777" w:rsidR="00FB178A" w:rsidRDefault="00FB178A" w:rsidP="009E18ED">
            <w:pPr>
              <w:spacing w:line="276" w:lineRule="auto"/>
              <w:rPr>
                <w:color w:val="000000"/>
                <w:sz w:val="24"/>
                <w:szCs w:val="24"/>
              </w:rPr>
            </w:pPr>
            <w:r w:rsidRPr="004C0CC4">
              <w:rPr>
                <w:color w:val="000000"/>
                <w:kern w:val="2"/>
                <w:sz w:val="24"/>
                <w:szCs w:val="24"/>
                <w:lang w:eastAsia="hr-HR"/>
                <w14:ligatures w14:val="standardContextual"/>
              </w:rPr>
              <w:t>Jedinstven</w:t>
            </w:r>
            <w:r>
              <w:rPr>
                <w:color w:val="000000"/>
                <w:kern w:val="2"/>
                <w:sz w:val="24"/>
                <w:szCs w:val="24"/>
                <w:lang w:eastAsia="hr-HR"/>
                <w14:ligatures w14:val="standardContextual"/>
              </w:rPr>
              <w:t xml:space="preserve">a </w:t>
            </w:r>
            <w:r w:rsidRPr="004C0CC4">
              <w:rPr>
                <w:color w:val="000000"/>
                <w:kern w:val="2"/>
                <w:sz w:val="24"/>
                <w:szCs w:val="24"/>
                <w:lang w:eastAsia="hr-HR"/>
                <w14:ligatures w14:val="standardContextual"/>
              </w:rPr>
              <w:t>informacijsk</w:t>
            </w:r>
            <w:r>
              <w:rPr>
                <w:color w:val="000000"/>
                <w:kern w:val="2"/>
                <w:sz w:val="24"/>
                <w:szCs w:val="24"/>
                <w:lang w:eastAsia="hr-HR"/>
                <w14:ligatures w14:val="standardContextual"/>
              </w:rPr>
              <w:t>a</w:t>
            </w:r>
            <w:r w:rsidRPr="004C0CC4">
              <w:rPr>
                <w:color w:val="000000"/>
                <w:kern w:val="2"/>
                <w:sz w:val="24"/>
                <w:szCs w:val="24"/>
                <w:lang w:eastAsia="hr-HR"/>
                <w14:ligatures w14:val="standardContextual"/>
              </w:rPr>
              <w:t xml:space="preserve"> točk</w:t>
            </w:r>
            <w:r>
              <w:rPr>
                <w:color w:val="000000"/>
                <w:kern w:val="2"/>
                <w:sz w:val="24"/>
                <w:szCs w:val="24"/>
                <w:lang w:eastAsia="hr-HR"/>
                <w14:ligatures w14:val="standardContextual"/>
              </w:rPr>
              <w:t xml:space="preserve">a </w:t>
            </w:r>
          </w:p>
        </w:tc>
      </w:tr>
      <w:tr w:rsidR="00FB178A" w:rsidRPr="00145379" w14:paraId="1EF507F9" w14:textId="77777777" w:rsidTr="009E18ED">
        <w:trPr>
          <w:trHeight w:val="315"/>
        </w:trPr>
        <w:tc>
          <w:tcPr>
            <w:tcW w:w="2124" w:type="dxa"/>
            <w:tcMar>
              <w:top w:w="15" w:type="dxa"/>
              <w:left w:w="15" w:type="dxa"/>
              <w:bottom w:w="0" w:type="dxa"/>
              <w:right w:w="15" w:type="dxa"/>
            </w:tcMar>
            <w:vAlign w:val="center"/>
          </w:tcPr>
          <w:p w14:paraId="3DC3DA02" w14:textId="77777777" w:rsidR="00FB178A" w:rsidRPr="00145379" w:rsidRDefault="00FB178A" w:rsidP="009E18ED">
            <w:pPr>
              <w:spacing w:line="276" w:lineRule="auto"/>
              <w:rPr>
                <w:color w:val="000000"/>
                <w:sz w:val="24"/>
                <w:szCs w:val="24"/>
              </w:rPr>
            </w:pPr>
            <w:r>
              <w:rPr>
                <w:color w:val="000000"/>
                <w:sz w:val="24"/>
                <w:szCs w:val="24"/>
              </w:rPr>
              <w:t>JLS</w:t>
            </w:r>
          </w:p>
        </w:tc>
        <w:tc>
          <w:tcPr>
            <w:tcW w:w="7096" w:type="dxa"/>
            <w:tcMar>
              <w:top w:w="15" w:type="dxa"/>
              <w:left w:w="15" w:type="dxa"/>
              <w:bottom w:w="0" w:type="dxa"/>
              <w:right w:w="15" w:type="dxa"/>
            </w:tcMar>
            <w:vAlign w:val="center"/>
          </w:tcPr>
          <w:p w14:paraId="1D8F5678" w14:textId="77777777" w:rsidR="00FB178A" w:rsidRDefault="00FB178A" w:rsidP="009E18ED">
            <w:pPr>
              <w:spacing w:line="276" w:lineRule="auto"/>
              <w:rPr>
                <w:color w:val="000000"/>
                <w:sz w:val="24"/>
                <w:szCs w:val="24"/>
              </w:rPr>
            </w:pPr>
            <w:r>
              <w:rPr>
                <w:color w:val="000000"/>
                <w:sz w:val="24"/>
                <w:szCs w:val="24"/>
              </w:rPr>
              <w:t>Jedinice lokalne samouprave</w:t>
            </w:r>
          </w:p>
        </w:tc>
      </w:tr>
      <w:tr w:rsidR="00FB178A" w:rsidRPr="00145379" w14:paraId="280665BF" w14:textId="77777777" w:rsidTr="009E18ED">
        <w:trPr>
          <w:trHeight w:val="315"/>
        </w:trPr>
        <w:tc>
          <w:tcPr>
            <w:tcW w:w="2124" w:type="dxa"/>
            <w:tcMar>
              <w:top w:w="15" w:type="dxa"/>
              <w:left w:w="15" w:type="dxa"/>
              <w:bottom w:w="0" w:type="dxa"/>
              <w:right w:w="15" w:type="dxa"/>
            </w:tcMar>
            <w:vAlign w:val="center"/>
          </w:tcPr>
          <w:p w14:paraId="393F8EC9" w14:textId="77777777" w:rsidR="00FB178A" w:rsidRPr="00145379" w:rsidRDefault="00FB178A" w:rsidP="009E18ED">
            <w:pPr>
              <w:spacing w:line="276" w:lineRule="auto"/>
              <w:rPr>
                <w:color w:val="000000"/>
                <w:sz w:val="24"/>
                <w:szCs w:val="24"/>
              </w:rPr>
            </w:pPr>
            <w:r>
              <w:rPr>
                <w:color w:val="000000"/>
                <w:sz w:val="24"/>
                <w:szCs w:val="24"/>
              </w:rPr>
              <w:t>JMO</w:t>
            </w:r>
          </w:p>
        </w:tc>
        <w:tc>
          <w:tcPr>
            <w:tcW w:w="7096" w:type="dxa"/>
            <w:tcMar>
              <w:top w:w="15" w:type="dxa"/>
              <w:left w:w="15" w:type="dxa"/>
              <w:bottom w:w="0" w:type="dxa"/>
              <w:right w:w="15" w:type="dxa"/>
            </w:tcMar>
            <w:vAlign w:val="center"/>
          </w:tcPr>
          <w:p w14:paraId="565578C1" w14:textId="77777777" w:rsidR="00FB178A" w:rsidRDefault="00FB178A" w:rsidP="009E18ED">
            <w:pPr>
              <w:spacing w:line="276" w:lineRule="auto"/>
              <w:rPr>
                <w:color w:val="000000"/>
                <w:sz w:val="24"/>
                <w:szCs w:val="24"/>
              </w:rPr>
            </w:pPr>
            <w:r>
              <w:rPr>
                <w:color w:val="000000"/>
                <w:sz w:val="24"/>
                <w:szCs w:val="24"/>
              </w:rPr>
              <w:t>Jedinstveni model obrazovanja</w:t>
            </w:r>
          </w:p>
        </w:tc>
      </w:tr>
      <w:tr w:rsidR="00FB178A" w:rsidRPr="00145379" w14:paraId="4ED04674" w14:textId="77777777" w:rsidTr="009E18ED">
        <w:trPr>
          <w:trHeight w:val="315"/>
        </w:trPr>
        <w:tc>
          <w:tcPr>
            <w:tcW w:w="2124" w:type="dxa"/>
            <w:tcMar>
              <w:top w:w="15" w:type="dxa"/>
              <w:left w:w="15" w:type="dxa"/>
              <w:bottom w:w="0" w:type="dxa"/>
              <w:right w:w="15" w:type="dxa"/>
            </w:tcMar>
            <w:vAlign w:val="center"/>
            <w:hideMark/>
          </w:tcPr>
          <w:p w14:paraId="187A1DDE" w14:textId="77777777" w:rsidR="00FB178A" w:rsidRPr="00145379" w:rsidRDefault="00FB178A" w:rsidP="009E18ED">
            <w:pPr>
              <w:spacing w:line="276" w:lineRule="auto"/>
              <w:rPr>
                <w:color w:val="000000"/>
                <w:sz w:val="24"/>
                <w:szCs w:val="24"/>
              </w:rPr>
            </w:pPr>
            <w:r w:rsidRPr="00145379">
              <w:rPr>
                <w:color w:val="000000"/>
                <w:sz w:val="24"/>
                <w:szCs w:val="24"/>
              </w:rPr>
              <w:t>JLP(R)S</w:t>
            </w:r>
          </w:p>
        </w:tc>
        <w:tc>
          <w:tcPr>
            <w:tcW w:w="7096" w:type="dxa"/>
            <w:tcMar>
              <w:top w:w="15" w:type="dxa"/>
              <w:left w:w="15" w:type="dxa"/>
              <w:bottom w:w="0" w:type="dxa"/>
              <w:right w:w="15" w:type="dxa"/>
            </w:tcMar>
            <w:vAlign w:val="center"/>
            <w:hideMark/>
          </w:tcPr>
          <w:p w14:paraId="1FD87A15" w14:textId="77777777" w:rsidR="00FB178A" w:rsidRPr="00145379" w:rsidRDefault="00FB178A" w:rsidP="009E18ED">
            <w:pPr>
              <w:spacing w:line="276" w:lineRule="auto"/>
              <w:rPr>
                <w:color w:val="000000"/>
                <w:sz w:val="24"/>
                <w:szCs w:val="24"/>
              </w:rPr>
            </w:pPr>
            <w:r>
              <w:rPr>
                <w:color w:val="000000"/>
                <w:sz w:val="24"/>
                <w:szCs w:val="24"/>
              </w:rPr>
              <w:t>J</w:t>
            </w:r>
            <w:r w:rsidRPr="00145379">
              <w:rPr>
                <w:color w:val="000000"/>
                <w:sz w:val="24"/>
                <w:szCs w:val="24"/>
              </w:rPr>
              <w:t>edinice lokalne i područne (regionalne) samouprave</w:t>
            </w:r>
          </w:p>
        </w:tc>
      </w:tr>
      <w:tr w:rsidR="00FB178A" w:rsidRPr="00145379" w14:paraId="00FA8524" w14:textId="77777777" w:rsidTr="009E18ED">
        <w:trPr>
          <w:trHeight w:val="315"/>
        </w:trPr>
        <w:tc>
          <w:tcPr>
            <w:tcW w:w="2124" w:type="dxa"/>
            <w:tcMar>
              <w:top w:w="15" w:type="dxa"/>
              <w:left w:w="15" w:type="dxa"/>
              <w:bottom w:w="0" w:type="dxa"/>
              <w:right w:w="15" w:type="dxa"/>
            </w:tcMar>
            <w:vAlign w:val="center"/>
          </w:tcPr>
          <w:p w14:paraId="272BAD47" w14:textId="77777777" w:rsidR="00FB178A" w:rsidRPr="00145379" w:rsidRDefault="00FB178A" w:rsidP="009E18ED">
            <w:pPr>
              <w:spacing w:line="276" w:lineRule="auto"/>
              <w:rPr>
                <w:color w:val="000000"/>
                <w:sz w:val="24"/>
                <w:szCs w:val="24"/>
              </w:rPr>
            </w:pPr>
            <w:r>
              <w:rPr>
                <w:color w:val="000000"/>
                <w:sz w:val="24"/>
                <w:szCs w:val="24"/>
              </w:rPr>
              <w:t>LULUCF</w:t>
            </w:r>
          </w:p>
        </w:tc>
        <w:tc>
          <w:tcPr>
            <w:tcW w:w="7096" w:type="dxa"/>
            <w:tcMar>
              <w:top w:w="15" w:type="dxa"/>
              <w:left w:w="15" w:type="dxa"/>
              <w:bottom w:w="0" w:type="dxa"/>
              <w:right w:w="15" w:type="dxa"/>
            </w:tcMar>
            <w:vAlign w:val="center"/>
          </w:tcPr>
          <w:p w14:paraId="51A34E2A" w14:textId="77777777" w:rsidR="00FB178A" w:rsidRPr="00145379" w:rsidRDefault="00FB178A" w:rsidP="009E18ED">
            <w:pPr>
              <w:spacing w:line="276" w:lineRule="auto"/>
              <w:rPr>
                <w:color w:val="000000"/>
                <w:sz w:val="24"/>
                <w:szCs w:val="24"/>
              </w:rPr>
            </w:pPr>
            <w:r>
              <w:rPr>
                <w:color w:val="000000"/>
                <w:sz w:val="24"/>
                <w:szCs w:val="24"/>
                <w:lang w:eastAsia="hr-HR"/>
              </w:rPr>
              <w:t>Ko</w:t>
            </w:r>
            <w:r w:rsidRPr="007E3795">
              <w:rPr>
                <w:color w:val="000000"/>
                <w:sz w:val="24"/>
                <w:szCs w:val="24"/>
                <w:lang w:eastAsia="hr-HR"/>
              </w:rPr>
              <w:t>rištenj</w:t>
            </w:r>
            <w:r>
              <w:rPr>
                <w:color w:val="000000"/>
                <w:sz w:val="24"/>
                <w:szCs w:val="24"/>
                <w:lang w:eastAsia="hr-HR"/>
              </w:rPr>
              <w:t>e</w:t>
            </w:r>
            <w:r w:rsidRPr="007E3795">
              <w:rPr>
                <w:color w:val="000000"/>
                <w:sz w:val="24"/>
                <w:szCs w:val="24"/>
                <w:lang w:eastAsia="hr-HR"/>
              </w:rPr>
              <w:t xml:space="preserve"> zemljišta, prenamjen</w:t>
            </w:r>
            <w:r>
              <w:rPr>
                <w:color w:val="000000"/>
                <w:sz w:val="24"/>
                <w:szCs w:val="24"/>
                <w:lang w:eastAsia="hr-HR"/>
              </w:rPr>
              <w:t>a</w:t>
            </w:r>
            <w:r w:rsidRPr="007E3795">
              <w:rPr>
                <w:color w:val="000000"/>
                <w:sz w:val="24"/>
                <w:szCs w:val="24"/>
                <w:lang w:eastAsia="hr-HR"/>
              </w:rPr>
              <w:t xml:space="preserve"> zemljišta i šumarstva </w:t>
            </w:r>
            <w:r>
              <w:rPr>
                <w:color w:val="000000"/>
                <w:sz w:val="24"/>
                <w:szCs w:val="24"/>
                <w:lang w:eastAsia="hr-HR"/>
              </w:rPr>
              <w:t>(</w:t>
            </w:r>
            <w:proofErr w:type="spellStart"/>
            <w:r>
              <w:rPr>
                <w:color w:val="000000"/>
                <w:sz w:val="24"/>
                <w:szCs w:val="24"/>
                <w:lang w:eastAsia="hr-HR"/>
              </w:rPr>
              <w:t>eng</w:t>
            </w:r>
            <w:proofErr w:type="spellEnd"/>
            <w:r>
              <w:rPr>
                <w:color w:val="000000"/>
                <w:sz w:val="24"/>
                <w:szCs w:val="24"/>
                <w:lang w:eastAsia="hr-HR"/>
              </w:rPr>
              <w:t xml:space="preserve">. </w:t>
            </w:r>
            <w:proofErr w:type="spellStart"/>
            <w:r>
              <w:rPr>
                <w:color w:val="000000"/>
                <w:sz w:val="24"/>
                <w:szCs w:val="24"/>
                <w:lang w:eastAsia="hr-HR"/>
              </w:rPr>
              <w:t>Land</w:t>
            </w:r>
            <w:proofErr w:type="spellEnd"/>
            <w:r>
              <w:rPr>
                <w:color w:val="000000"/>
                <w:sz w:val="24"/>
                <w:szCs w:val="24"/>
                <w:lang w:eastAsia="hr-HR"/>
              </w:rPr>
              <w:t xml:space="preserve"> Use, </w:t>
            </w:r>
            <w:proofErr w:type="spellStart"/>
            <w:r>
              <w:rPr>
                <w:color w:val="000000"/>
                <w:sz w:val="24"/>
                <w:szCs w:val="24"/>
                <w:lang w:eastAsia="hr-HR"/>
              </w:rPr>
              <w:t>Land</w:t>
            </w:r>
            <w:proofErr w:type="spellEnd"/>
            <w:r>
              <w:rPr>
                <w:color w:val="000000"/>
                <w:sz w:val="24"/>
                <w:szCs w:val="24"/>
                <w:lang w:eastAsia="hr-HR"/>
              </w:rPr>
              <w:t xml:space="preserve">-Use </w:t>
            </w:r>
            <w:proofErr w:type="spellStart"/>
            <w:r>
              <w:rPr>
                <w:color w:val="000000"/>
                <w:sz w:val="24"/>
                <w:szCs w:val="24"/>
                <w:lang w:eastAsia="hr-HR"/>
              </w:rPr>
              <w:t>Change</w:t>
            </w:r>
            <w:proofErr w:type="spellEnd"/>
            <w:r>
              <w:rPr>
                <w:color w:val="000000"/>
                <w:sz w:val="24"/>
                <w:szCs w:val="24"/>
                <w:lang w:eastAsia="hr-HR"/>
              </w:rPr>
              <w:t xml:space="preserve"> </w:t>
            </w:r>
            <w:proofErr w:type="spellStart"/>
            <w:r>
              <w:rPr>
                <w:color w:val="000000"/>
                <w:sz w:val="24"/>
                <w:szCs w:val="24"/>
                <w:lang w:eastAsia="hr-HR"/>
              </w:rPr>
              <w:t>and</w:t>
            </w:r>
            <w:proofErr w:type="spellEnd"/>
            <w:r>
              <w:rPr>
                <w:color w:val="000000"/>
                <w:sz w:val="24"/>
                <w:szCs w:val="24"/>
                <w:lang w:eastAsia="hr-HR"/>
              </w:rPr>
              <w:t xml:space="preserve"> </w:t>
            </w:r>
            <w:proofErr w:type="spellStart"/>
            <w:r>
              <w:rPr>
                <w:color w:val="000000"/>
                <w:sz w:val="24"/>
                <w:szCs w:val="24"/>
                <w:lang w:eastAsia="hr-HR"/>
              </w:rPr>
              <w:t>Forestry</w:t>
            </w:r>
            <w:proofErr w:type="spellEnd"/>
            <w:r>
              <w:rPr>
                <w:color w:val="000000"/>
                <w:sz w:val="24"/>
                <w:szCs w:val="24"/>
                <w:lang w:eastAsia="hr-HR"/>
              </w:rPr>
              <w:t>)</w:t>
            </w:r>
          </w:p>
        </w:tc>
      </w:tr>
      <w:tr w:rsidR="00FB178A" w:rsidRPr="00145379" w14:paraId="66CA31C2" w14:textId="77777777" w:rsidTr="009E18ED">
        <w:trPr>
          <w:trHeight w:val="315"/>
        </w:trPr>
        <w:tc>
          <w:tcPr>
            <w:tcW w:w="2124" w:type="dxa"/>
            <w:tcMar>
              <w:top w:w="15" w:type="dxa"/>
              <w:left w:w="15" w:type="dxa"/>
              <w:bottom w:w="0" w:type="dxa"/>
              <w:right w:w="15" w:type="dxa"/>
            </w:tcMar>
            <w:vAlign w:val="center"/>
            <w:hideMark/>
          </w:tcPr>
          <w:p w14:paraId="25D26E6D" w14:textId="77777777" w:rsidR="00FB178A" w:rsidRPr="00145379" w:rsidRDefault="00FB178A" w:rsidP="009E18ED">
            <w:pPr>
              <w:spacing w:line="276" w:lineRule="auto"/>
              <w:rPr>
                <w:color w:val="000000"/>
                <w:sz w:val="24"/>
                <w:szCs w:val="24"/>
              </w:rPr>
            </w:pPr>
            <w:r w:rsidRPr="00145379">
              <w:rPr>
                <w:color w:val="000000"/>
                <w:sz w:val="24"/>
                <w:szCs w:val="24"/>
              </w:rPr>
              <w:t>MSP</w:t>
            </w:r>
          </w:p>
        </w:tc>
        <w:tc>
          <w:tcPr>
            <w:tcW w:w="7096" w:type="dxa"/>
            <w:tcMar>
              <w:top w:w="15" w:type="dxa"/>
              <w:left w:w="15" w:type="dxa"/>
              <w:bottom w:w="0" w:type="dxa"/>
              <w:right w:w="15" w:type="dxa"/>
            </w:tcMar>
            <w:vAlign w:val="center"/>
            <w:hideMark/>
          </w:tcPr>
          <w:p w14:paraId="14E315DB" w14:textId="77777777" w:rsidR="00FB178A" w:rsidRPr="00145379" w:rsidRDefault="00FB178A" w:rsidP="009E18ED">
            <w:pPr>
              <w:spacing w:line="276" w:lineRule="auto"/>
              <w:rPr>
                <w:color w:val="000000"/>
                <w:sz w:val="24"/>
                <w:szCs w:val="24"/>
              </w:rPr>
            </w:pPr>
            <w:r w:rsidRPr="00145379">
              <w:rPr>
                <w:color w:val="000000"/>
                <w:sz w:val="24"/>
                <w:szCs w:val="24"/>
              </w:rPr>
              <w:t>Mikro, mala i srednja poduzeća</w:t>
            </w:r>
          </w:p>
        </w:tc>
      </w:tr>
      <w:tr w:rsidR="00FB178A" w:rsidRPr="00145379" w14:paraId="4F6A7998" w14:textId="77777777" w:rsidTr="009E18ED">
        <w:trPr>
          <w:trHeight w:val="306"/>
        </w:trPr>
        <w:tc>
          <w:tcPr>
            <w:tcW w:w="2124" w:type="dxa"/>
            <w:tcMar>
              <w:top w:w="15" w:type="dxa"/>
              <w:left w:w="15" w:type="dxa"/>
              <w:bottom w:w="0" w:type="dxa"/>
              <w:right w:w="15" w:type="dxa"/>
            </w:tcMar>
            <w:vAlign w:val="center"/>
            <w:hideMark/>
          </w:tcPr>
          <w:p w14:paraId="75E3D4B3" w14:textId="77777777" w:rsidR="00FB178A" w:rsidRPr="00145379" w:rsidRDefault="00FB178A" w:rsidP="009E18ED">
            <w:pPr>
              <w:spacing w:line="276" w:lineRule="auto"/>
              <w:rPr>
                <w:color w:val="000000"/>
                <w:sz w:val="24"/>
                <w:szCs w:val="24"/>
              </w:rPr>
            </w:pPr>
            <w:r w:rsidRPr="00145379">
              <w:rPr>
                <w:color w:val="000000"/>
                <w:sz w:val="24"/>
                <w:szCs w:val="24"/>
              </w:rPr>
              <w:t>NATO</w:t>
            </w:r>
          </w:p>
        </w:tc>
        <w:tc>
          <w:tcPr>
            <w:tcW w:w="7096" w:type="dxa"/>
            <w:tcMar>
              <w:top w:w="15" w:type="dxa"/>
              <w:left w:w="15" w:type="dxa"/>
              <w:bottom w:w="0" w:type="dxa"/>
              <w:right w:w="15" w:type="dxa"/>
            </w:tcMar>
            <w:vAlign w:val="center"/>
            <w:hideMark/>
          </w:tcPr>
          <w:p w14:paraId="4063CADE" w14:textId="77777777" w:rsidR="00FB178A" w:rsidRPr="00145379" w:rsidRDefault="00FB178A" w:rsidP="009E18ED">
            <w:pPr>
              <w:spacing w:line="276" w:lineRule="auto"/>
              <w:rPr>
                <w:color w:val="000000"/>
                <w:sz w:val="24"/>
                <w:szCs w:val="24"/>
              </w:rPr>
            </w:pPr>
            <w:r w:rsidRPr="00145379">
              <w:rPr>
                <w:color w:val="000000"/>
                <w:sz w:val="24"/>
                <w:szCs w:val="24"/>
              </w:rPr>
              <w:t>Sjeverno-atlantski vojni savez (</w:t>
            </w:r>
            <w:proofErr w:type="spellStart"/>
            <w:r w:rsidRPr="00145379">
              <w:rPr>
                <w:color w:val="000000"/>
                <w:sz w:val="24"/>
                <w:szCs w:val="24"/>
              </w:rPr>
              <w:t>eng</w:t>
            </w:r>
            <w:proofErr w:type="spellEnd"/>
            <w:r w:rsidRPr="00145379">
              <w:rPr>
                <w:color w:val="000000"/>
                <w:sz w:val="24"/>
                <w:szCs w:val="24"/>
              </w:rPr>
              <w:t xml:space="preserve">. North-Atlantic </w:t>
            </w:r>
            <w:proofErr w:type="spellStart"/>
            <w:r w:rsidRPr="00145379">
              <w:rPr>
                <w:color w:val="000000"/>
                <w:sz w:val="24"/>
                <w:szCs w:val="24"/>
              </w:rPr>
              <w:t>Treaty</w:t>
            </w:r>
            <w:proofErr w:type="spellEnd"/>
            <w:r w:rsidRPr="00145379">
              <w:rPr>
                <w:color w:val="000000"/>
                <w:sz w:val="24"/>
                <w:szCs w:val="24"/>
              </w:rPr>
              <w:t xml:space="preserve"> </w:t>
            </w:r>
            <w:proofErr w:type="spellStart"/>
            <w:r w:rsidRPr="00145379">
              <w:rPr>
                <w:color w:val="000000"/>
                <w:sz w:val="24"/>
                <w:szCs w:val="24"/>
              </w:rPr>
              <w:t>Organisation</w:t>
            </w:r>
            <w:proofErr w:type="spellEnd"/>
            <w:r w:rsidRPr="00145379">
              <w:rPr>
                <w:color w:val="000000"/>
                <w:sz w:val="24"/>
                <w:szCs w:val="24"/>
              </w:rPr>
              <w:t>)</w:t>
            </w:r>
          </w:p>
        </w:tc>
      </w:tr>
      <w:tr w:rsidR="00FB178A" w:rsidRPr="00145379" w14:paraId="2B3D9363" w14:textId="77777777" w:rsidTr="009E18ED">
        <w:trPr>
          <w:trHeight w:val="565"/>
        </w:trPr>
        <w:tc>
          <w:tcPr>
            <w:tcW w:w="2124" w:type="dxa"/>
            <w:tcMar>
              <w:top w:w="15" w:type="dxa"/>
              <w:left w:w="15" w:type="dxa"/>
              <w:bottom w:w="0" w:type="dxa"/>
              <w:right w:w="15" w:type="dxa"/>
            </w:tcMar>
            <w:vAlign w:val="center"/>
            <w:hideMark/>
          </w:tcPr>
          <w:p w14:paraId="42C798FB" w14:textId="77777777" w:rsidR="00FB178A" w:rsidRPr="00145379" w:rsidRDefault="00FB178A" w:rsidP="009E18ED">
            <w:pPr>
              <w:spacing w:line="276" w:lineRule="auto"/>
              <w:rPr>
                <w:color w:val="000000"/>
                <w:sz w:val="24"/>
                <w:szCs w:val="24"/>
              </w:rPr>
            </w:pPr>
            <w:r w:rsidRPr="00145379">
              <w:rPr>
                <w:color w:val="000000"/>
                <w:sz w:val="24"/>
                <w:szCs w:val="24"/>
              </w:rPr>
              <w:t>NECP</w:t>
            </w:r>
          </w:p>
        </w:tc>
        <w:tc>
          <w:tcPr>
            <w:tcW w:w="7096" w:type="dxa"/>
            <w:tcMar>
              <w:top w:w="15" w:type="dxa"/>
              <w:left w:w="15" w:type="dxa"/>
              <w:bottom w:w="0" w:type="dxa"/>
              <w:right w:w="15" w:type="dxa"/>
            </w:tcMar>
            <w:vAlign w:val="center"/>
            <w:hideMark/>
          </w:tcPr>
          <w:p w14:paraId="7E44AA13" w14:textId="77777777" w:rsidR="00FB178A" w:rsidRPr="00145379" w:rsidRDefault="00FB178A" w:rsidP="009E18ED">
            <w:pPr>
              <w:spacing w:line="276" w:lineRule="auto"/>
              <w:rPr>
                <w:color w:val="000000"/>
                <w:sz w:val="24"/>
                <w:szCs w:val="24"/>
              </w:rPr>
            </w:pPr>
            <w:r w:rsidRPr="00145379">
              <w:rPr>
                <w:color w:val="000000"/>
                <w:sz w:val="24"/>
                <w:szCs w:val="24"/>
              </w:rPr>
              <w:t>Integrirani nacionalni energetski i klimatski plan za razdoblje 2021.-2030.</w:t>
            </w:r>
          </w:p>
        </w:tc>
      </w:tr>
      <w:tr w:rsidR="00FB178A" w:rsidRPr="00145379" w14:paraId="171B1665" w14:textId="77777777" w:rsidTr="009E18ED">
        <w:trPr>
          <w:trHeight w:val="315"/>
        </w:trPr>
        <w:tc>
          <w:tcPr>
            <w:tcW w:w="2124" w:type="dxa"/>
            <w:tcMar>
              <w:top w:w="15" w:type="dxa"/>
              <w:left w:w="15" w:type="dxa"/>
              <w:bottom w:w="0" w:type="dxa"/>
              <w:right w:w="15" w:type="dxa"/>
            </w:tcMar>
            <w:vAlign w:val="center"/>
          </w:tcPr>
          <w:p w14:paraId="744C19CC" w14:textId="77777777" w:rsidR="00FB178A" w:rsidRDefault="00FB178A" w:rsidP="009E18ED">
            <w:pPr>
              <w:spacing w:line="276" w:lineRule="auto"/>
              <w:rPr>
                <w:color w:val="000000"/>
                <w:sz w:val="24"/>
                <w:szCs w:val="24"/>
              </w:rPr>
            </w:pPr>
            <w:r>
              <w:rPr>
                <w:color w:val="000000"/>
                <w:sz w:val="24"/>
                <w:szCs w:val="24"/>
              </w:rPr>
              <w:t>NIPP</w:t>
            </w:r>
          </w:p>
        </w:tc>
        <w:tc>
          <w:tcPr>
            <w:tcW w:w="7096" w:type="dxa"/>
            <w:tcMar>
              <w:top w:w="15" w:type="dxa"/>
              <w:left w:w="15" w:type="dxa"/>
              <w:bottom w:w="0" w:type="dxa"/>
              <w:right w:w="15" w:type="dxa"/>
            </w:tcMar>
            <w:vAlign w:val="center"/>
          </w:tcPr>
          <w:p w14:paraId="2686A956" w14:textId="77777777" w:rsidR="00FB178A" w:rsidRPr="007C2693" w:rsidRDefault="00FB178A" w:rsidP="009E18ED">
            <w:pPr>
              <w:spacing w:line="276" w:lineRule="auto"/>
              <w:rPr>
                <w:sz w:val="24"/>
                <w:szCs w:val="24"/>
              </w:rPr>
            </w:pPr>
            <w:r w:rsidRPr="0004221B">
              <w:rPr>
                <w:sz w:val="24"/>
                <w:szCs w:val="24"/>
              </w:rPr>
              <w:t>Nacionaln</w:t>
            </w:r>
            <w:r>
              <w:rPr>
                <w:sz w:val="24"/>
                <w:szCs w:val="24"/>
              </w:rPr>
              <w:t>a</w:t>
            </w:r>
            <w:r w:rsidRPr="0004221B">
              <w:rPr>
                <w:sz w:val="24"/>
                <w:szCs w:val="24"/>
              </w:rPr>
              <w:t xml:space="preserve"> infrastruktur</w:t>
            </w:r>
            <w:r>
              <w:rPr>
                <w:sz w:val="24"/>
                <w:szCs w:val="24"/>
              </w:rPr>
              <w:t>a</w:t>
            </w:r>
            <w:r w:rsidRPr="0004221B">
              <w:rPr>
                <w:sz w:val="24"/>
                <w:szCs w:val="24"/>
              </w:rPr>
              <w:t xml:space="preserve"> prostornih podataka</w:t>
            </w:r>
          </w:p>
        </w:tc>
      </w:tr>
      <w:tr w:rsidR="00FB178A" w:rsidRPr="00145379" w14:paraId="0D236E62" w14:textId="77777777" w:rsidTr="009E18ED">
        <w:trPr>
          <w:trHeight w:val="315"/>
        </w:trPr>
        <w:tc>
          <w:tcPr>
            <w:tcW w:w="2124" w:type="dxa"/>
            <w:tcMar>
              <w:top w:w="15" w:type="dxa"/>
              <w:left w:w="15" w:type="dxa"/>
              <w:bottom w:w="0" w:type="dxa"/>
              <w:right w:w="15" w:type="dxa"/>
            </w:tcMar>
            <w:vAlign w:val="center"/>
          </w:tcPr>
          <w:p w14:paraId="0536E57B" w14:textId="77777777" w:rsidR="00FB178A" w:rsidRPr="00145379" w:rsidRDefault="00FB178A" w:rsidP="009E18ED">
            <w:pPr>
              <w:spacing w:line="276" w:lineRule="auto"/>
              <w:rPr>
                <w:color w:val="000000"/>
                <w:sz w:val="24"/>
                <w:szCs w:val="24"/>
              </w:rPr>
            </w:pPr>
            <w:r>
              <w:rPr>
                <w:color w:val="000000"/>
                <w:sz w:val="24"/>
                <w:szCs w:val="24"/>
              </w:rPr>
              <w:t>NISUDG</w:t>
            </w:r>
          </w:p>
        </w:tc>
        <w:tc>
          <w:tcPr>
            <w:tcW w:w="7096" w:type="dxa"/>
            <w:tcMar>
              <w:top w:w="15" w:type="dxa"/>
              <w:left w:w="15" w:type="dxa"/>
              <w:bottom w:w="0" w:type="dxa"/>
              <w:right w:w="15" w:type="dxa"/>
            </w:tcMar>
            <w:vAlign w:val="center"/>
          </w:tcPr>
          <w:p w14:paraId="260E496C" w14:textId="77777777" w:rsidR="00FB178A" w:rsidRPr="00145379" w:rsidRDefault="00FB178A" w:rsidP="009E18ED">
            <w:pPr>
              <w:spacing w:line="276" w:lineRule="auto"/>
              <w:rPr>
                <w:color w:val="000000"/>
                <w:sz w:val="24"/>
                <w:szCs w:val="24"/>
              </w:rPr>
            </w:pPr>
            <w:r w:rsidRPr="007C2693">
              <w:rPr>
                <w:sz w:val="24"/>
                <w:szCs w:val="24"/>
              </w:rPr>
              <w:t>Nacionaln</w:t>
            </w:r>
            <w:r>
              <w:rPr>
                <w:sz w:val="24"/>
                <w:szCs w:val="24"/>
              </w:rPr>
              <w:t xml:space="preserve">i </w:t>
            </w:r>
            <w:r w:rsidRPr="007C2693">
              <w:rPr>
                <w:sz w:val="24"/>
                <w:szCs w:val="24"/>
              </w:rPr>
              <w:t>informacijsk</w:t>
            </w:r>
            <w:r>
              <w:rPr>
                <w:sz w:val="24"/>
                <w:szCs w:val="24"/>
              </w:rPr>
              <w:t>i</w:t>
            </w:r>
            <w:r w:rsidRPr="007C2693">
              <w:rPr>
                <w:sz w:val="24"/>
                <w:szCs w:val="24"/>
              </w:rPr>
              <w:t xml:space="preserve"> sustav za upravljanje državnom granicom</w:t>
            </w:r>
          </w:p>
        </w:tc>
      </w:tr>
      <w:tr w:rsidR="00FB178A" w:rsidRPr="00145379" w14:paraId="696E5433" w14:textId="77777777" w:rsidTr="009E18ED">
        <w:trPr>
          <w:trHeight w:val="315"/>
        </w:trPr>
        <w:tc>
          <w:tcPr>
            <w:tcW w:w="2124" w:type="dxa"/>
            <w:tcMar>
              <w:top w:w="15" w:type="dxa"/>
              <w:left w:w="15" w:type="dxa"/>
              <w:bottom w:w="0" w:type="dxa"/>
              <w:right w:w="15" w:type="dxa"/>
            </w:tcMar>
            <w:vAlign w:val="center"/>
            <w:hideMark/>
          </w:tcPr>
          <w:p w14:paraId="234E5748" w14:textId="77777777" w:rsidR="00FB178A" w:rsidRPr="00145379" w:rsidRDefault="00FB178A" w:rsidP="009E18ED">
            <w:pPr>
              <w:spacing w:line="276" w:lineRule="auto"/>
              <w:rPr>
                <w:color w:val="000000"/>
                <w:sz w:val="24"/>
                <w:szCs w:val="24"/>
              </w:rPr>
            </w:pPr>
            <w:r w:rsidRPr="00145379">
              <w:rPr>
                <w:color w:val="000000"/>
                <w:sz w:val="24"/>
                <w:szCs w:val="24"/>
              </w:rPr>
              <w:t>NPOO</w:t>
            </w:r>
          </w:p>
        </w:tc>
        <w:tc>
          <w:tcPr>
            <w:tcW w:w="7096" w:type="dxa"/>
            <w:tcMar>
              <w:top w:w="15" w:type="dxa"/>
              <w:left w:w="15" w:type="dxa"/>
              <w:bottom w:w="0" w:type="dxa"/>
              <w:right w:w="15" w:type="dxa"/>
            </w:tcMar>
            <w:vAlign w:val="center"/>
            <w:hideMark/>
          </w:tcPr>
          <w:p w14:paraId="0F77290B" w14:textId="77777777" w:rsidR="00FB178A" w:rsidRPr="00145379" w:rsidRDefault="00FB178A" w:rsidP="009E18ED">
            <w:pPr>
              <w:spacing w:line="276" w:lineRule="auto"/>
              <w:rPr>
                <w:color w:val="000000"/>
                <w:sz w:val="24"/>
                <w:szCs w:val="24"/>
              </w:rPr>
            </w:pPr>
            <w:r w:rsidRPr="00145379">
              <w:rPr>
                <w:color w:val="000000"/>
                <w:sz w:val="24"/>
                <w:szCs w:val="24"/>
              </w:rPr>
              <w:t>Nacionalni plan oporavka i otpornosti 2021.-2026.</w:t>
            </w:r>
          </w:p>
        </w:tc>
      </w:tr>
      <w:tr w:rsidR="00FB178A" w:rsidRPr="00145379" w14:paraId="6C50D6C3" w14:textId="77777777" w:rsidTr="009E18ED">
        <w:trPr>
          <w:trHeight w:val="630"/>
        </w:trPr>
        <w:tc>
          <w:tcPr>
            <w:tcW w:w="2124" w:type="dxa"/>
            <w:tcMar>
              <w:top w:w="15" w:type="dxa"/>
              <w:left w:w="15" w:type="dxa"/>
              <w:bottom w:w="0" w:type="dxa"/>
              <w:right w:w="15" w:type="dxa"/>
            </w:tcMar>
            <w:vAlign w:val="center"/>
            <w:hideMark/>
          </w:tcPr>
          <w:p w14:paraId="48A11420" w14:textId="77777777" w:rsidR="00FB178A" w:rsidRPr="00145379" w:rsidRDefault="00FB178A" w:rsidP="009E18ED">
            <w:pPr>
              <w:spacing w:line="276" w:lineRule="auto"/>
              <w:rPr>
                <w:color w:val="000000"/>
                <w:sz w:val="24"/>
                <w:szCs w:val="24"/>
              </w:rPr>
            </w:pPr>
            <w:r w:rsidRPr="00145379">
              <w:rPr>
                <w:color w:val="000000"/>
                <w:sz w:val="24"/>
                <w:szCs w:val="24"/>
              </w:rPr>
              <w:t>NRS 2030.</w:t>
            </w:r>
          </w:p>
        </w:tc>
        <w:tc>
          <w:tcPr>
            <w:tcW w:w="7096" w:type="dxa"/>
            <w:tcMar>
              <w:top w:w="15" w:type="dxa"/>
              <w:left w:w="15" w:type="dxa"/>
              <w:bottom w:w="0" w:type="dxa"/>
              <w:right w:w="15" w:type="dxa"/>
            </w:tcMar>
            <w:vAlign w:val="center"/>
            <w:hideMark/>
          </w:tcPr>
          <w:p w14:paraId="668DE32B" w14:textId="77777777" w:rsidR="00FB178A" w:rsidRPr="00145379" w:rsidRDefault="00FB178A" w:rsidP="009E18ED">
            <w:pPr>
              <w:spacing w:line="276" w:lineRule="auto"/>
              <w:rPr>
                <w:color w:val="000000"/>
                <w:sz w:val="24"/>
                <w:szCs w:val="24"/>
              </w:rPr>
            </w:pPr>
            <w:r w:rsidRPr="00145379">
              <w:rPr>
                <w:color w:val="000000"/>
                <w:sz w:val="24"/>
                <w:szCs w:val="24"/>
              </w:rPr>
              <w:t>Nacionalna razvojna strategija Republike Hrvatske za razdoblje do 2030. godine</w:t>
            </w:r>
          </w:p>
        </w:tc>
      </w:tr>
      <w:tr w:rsidR="00FB178A" w:rsidRPr="00145379" w14:paraId="58BAFECD" w14:textId="77777777" w:rsidTr="009E18ED">
        <w:trPr>
          <w:trHeight w:val="315"/>
        </w:trPr>
        <w:tc>
          <w:tcPr>
            <w:tcW w:w="2124" w:type="dxa"/>
            <w:tcMar>
              <w:top w:w="15" w:type="dxa"/>
              <w:left w:w="15" w:type="dxa"/>
              <w:bottom w:w="0" w:type="dxa"/>
              <w:right w:w="15" w:type="dxa"/>
            </w:tcMar>
            <w:vAlign w:val="center"/>
          </w:tcPr>
          <w:p w14:paraId="744BF77D" w14:textId="77777777" w:rsidR="00FB178A" w:rsidRPr="00145379" w:rsidRDefault="00FB178A" w:rsidP="009E18ED">
            <w:pPr>
              <w:spacing w:line="276" w:lineRule="auto"/>
              <w:rPr>
                <w:color w:val="000000"/>
                <w:sz w:val="24"/>
                <w:szCs w:val="24"/>
              </w:rPr>
            </w:pPr>
            <w:r w:rsidRPr="00145379">
              <w:rPr>
                <w:color w:val="000000"/>
                <w:sz w:val="24"/>
                <w:szCs w:val="24"/>
              </w:rPr>
              <w:t>NUTS 2</w:t>
            </w:r>
          </w:p>
        </w:tc>
        <w:tc>
          <w:tcPr>
            <w:tcW w:w="7096" w:type="dxa"/>
            <w:tcMar>
              <w:top w:w="15" w:type="dxa"/>
              <w:left w:w="15" w:type="dxa"/>
              <w:bottom w:w="0" w:type="dxa"/>
              <w:right w:w="15" w:type="dxa"/>
            </w:tcMar>
            <w:vAlign w:val="center"/>
          </w:tcPr>
          <w:p w14:paraId="216271F8" w14:textId="77777777" w:rsidR="00FB178A" w:rsidRPr="00145379" w:rsidRDefault="00FB178A" w:rsidP="009E18ED">
            <w:pPr>
              <w:spacing w:line="276" w:lineRule="auto"/>
              <w:rPr>
                <w:color w:val="000000"/>
                <w:sz w:val="24"/>
                <w:szCs w:val="24"/>
              </w:rPr>
            </w:pPr>
            <w:r w:rsidRPr="00145379">
              <w:rPr>
                <w:color w:val="000000"/>
                <w:sz w:val="24"/>
                <w:szCs w:val="24"/>
              </w:rPr>
              <w:t>Statističk</w:t>
            </w:r>
            <w:r>
              <w:rPr>
                <w:color w:val="000000"/>
                <w:sz w:val="24"/>
                <w:szCs w:val="24"/>
              </w:rPr>
              <w:t>a</w:t>
            </w:r>
            <w:r w:rsidRPr="00145379">
              <w:rPr>
                <w:color w:val="000000"/>
                <w:sz w:val="24"/>
                <w:szCs w:val="24"/>
              </w:rPr>
              <w:t xml:space="preserve"> regij</w:t>
            </w:r>
            <w:r>
              <w:rPr>
                <w:color w:val="000000"/>
                <w:sz w:val="24"/>
                <w:szCs w:val="24"/>
              </w:rPr>
              <w:t>a</w:t>
            </w:r>
            <w:r w:rsidRPr="00145379">
              <w:rPr>
                <w:color w:val="000000"/>
                <w:sz w:val="24"/>
                <w:szCs w:val="24"/>
              </w:rPr>
              <w:t xml:space="preserve"> 2. razine (neupravn</w:t>
            </w:r>
            <w:r>
              <w:rPr>
                <w:color w:val="000000"/>
                <w:sz w:val="24"/>
                <w:szCs w:val="24"/>
              </w:rPr>
              <w:t>a</w:t>
            </w:r>
            <w:r w:rsidRPr="00145379">
              <w:rPr>
                <w:color w:val="000000"/>
                <w:sz w:val="24"/>
                <w:szCs w:val="24"/>
              </w:rPr>
              <w:t xml:space="preserve"> jedinic</w:t>
            </w:r>
            <w:r>
              <w:rPr>
                <w:color w:val="000000"/>
                <w:sz w:val="24"/>
                <w:szCs w:val="24"/>
              </w:rPr>
              <w:t>a</w:t>
            </w:r>
            <w:r w:rsidRPr="00145379">
              <w:rPr>
                <w:color w:val="000000"/>
                <w:sz w:val="24"/>
                <w:szCs w:val="24"/>
              </w:rPr>
              <w:t xml:space="preserve"> nastal</w:t>
            </w:r>
            <w:r>
              <w:rPr>
                <w:color w:val="000000"/>
                <w:sz w:val="24"/>
                <w:szCs w:val="24"/>
              </w:rPr>
              <w:t>a</w:t>
            </w:r>
            <w:r w:rsidRPr="00145379">
              <w:rPr>
                <w:color w:val="000000"/>
                <w:sz w:val="24"/>
                <w:szCs w:val="24"/>
              </w:rPr>
              <w:t xml:space="preserve"> grupiranjem županija kao upravnih jedinica niže razine)</w:t>
            </w:r>
          </w:p>
        </w:tc>
      </w:tr>
      <w:tr w:rsidR="00FB178A" w:rsidRPr="00145379" w14:paraId="41E87733" w14:textId="77777777" w:rsidTr="009E18ED">
        <w:trPr>
          <w:trHeight w:val="315"/>
        </w:trPr>
        <w:tc>
          <w:tcPr>
            <w:tcW w:w="2124" w:type="dxa"/>
            <w:tcMar>
              <w:top w:w="15" w:type="dxa"/>
              <w:left w:w="15" w:type="dxa"/>
              <w:bottom w:w="0" w:type="dxa"/>
              <w:right w:w="15" w:type="dxa"/>
            </w:tcMar>
            <w:vAlign w:val="center"/>
          </w:tcPr>
          <w:p w14:paraId="18CDD1CC" w14:textId="77777777" w:rsidR="00FB178A" w:rsidRPr="00145379" w:rsidRDefault="00FB178A" w:rsidP="009E18ED">
            <w:pPr>
              <w:spacing w:line="276" w:lineRule="auto"/>
              <w:rPr>
                <w:color w:val="000000"/>
                <w:sz w:val="24"/>
                <w:szCs w:val="24"/>
              </w:rPr>
            </w:pPr>
            <w:r>
              <w:rPr>
                <w:color w:val="000000"/>
                <w:sz w:val="24"/>
                <w:szCs w:val="24"/>
              </w:rPr>
              <w:t>OBC</w:t>
            </w:r>
          </w:p>
        </w:tc>
        <w:tc>
          <w:tcPr>
            <w:tcW w:w="7096" w:type="dxa"/>
            <w:tcMar>
              <w:top w:w="15" w:type="dxa"/>
              <w:left w:w="15" w:type="dxa"/>
              <w:bottom w:w="0" w:type="dxa"/>
              <w:right w:w="15" w:type="dxa"/>
            </w:tcMar>
            <w:vAlign w:val="center"/>
          </w:tcPr>
          <w:p w14:paraId="2AF631FD" w14:textId="77777777" w:rsidR="00FB178A" w:rsidRPr="00145379" w:rsidRDefault="00FB178A" w:rsidP="009E18ED">
            <w:pPr>
              <w:spacing w:line="276" w:lineRule="auto"/>
              <w:rPr>
                <w:color w:val="000000"/>
                <w:sz w:val="24"/>
                <w:szCs w:val="24"/>
              </w:rPr>
            </w:pPr>
            <w:r w:rsidRPr="006966C9">
              <w:rPr>
                <w:rFonts w:eastAsia="Calibri"/>
                <w:kern w:val="2"/>
                <w:sz w:val="24"/>
                <w:szCs w:val="24"/>
              </w:rPr>
              <w:t>Obiteljsk</w:t>
            </w:r>
            <w:r>
              <w:rPr>
                <w:rFonts w:eastAsia="Calibri"/>
                <w:kern w:val="2"/>
                <w:sz w:val="24"/>
                <w:szCs w:val="24"/>
              </w:rPr>
              <w:t xml:space="preserve">i </w:t>
            </w:r>
            <w:r w:rsidRPr="006966C9">
              <w:rPr>
                <w:rFonts w:eastAsia="Calibri"/>
                <w:kern w:val="2"/>
                <w:sz w:val="24"/>
                <w:szCs w:val="24"/>
              </w:rPr>
              <w:t>cent</w:t>
            </w:r>
            <w:r>
              <w:rPr>
                <w:rFonts w:eastAsia="Calibri"/>
                <w:kern w:val="2"/>
                <w:sz w:val="24"/>
                <w:szCs w:val="24"/>
              </w:rPr>
              <w:t>a</w:t>
            </w:r>
            <w:r w:rsidRPr="006966C9">
              <w:rPr>
                <w:rFonts w:eastAsia="Calibri"/>
                <w:kern w:val="2"/>
                <w:sz w:val="24"/>
                <w:szCs w:val="24"/>
              </w:rPr>
              <w:t>r</w:t>
            </w:r>
          </w:p>
        </w:tc>
      </w:tr>
      <w:tr w:rsidR="00FB178A" w:rsidRPr="00145379" w14:paraId="3A673A35" w14:textId="77777777" w:rsidTr="009E18ED">
        <w:trPr>
          <w:trHeight w:val="315"/>
        </w:trPr>
        <w:tc>
          <w:tcPr>
            <w:tcW w:w="2124" w:type="dxa"/>
            <w:tcMar>
              <w:top w:w="15" w:type="dxa"/>
              <w:left w:w="15" w:type="dxa"/>
              <w:bottom w:w="0" w:type="dxa"/>
              <w:right w:w="15" w:type="dxa"/>
            </w:tcMar>
            <w:vAlign w:val="center"/>
            <w:hideMark/>
          </w:tcPr>
          <w:p w14:paraId="0E31B386" w14:textId="77777777" w:rsidR="00FB178A" w:rsidRPr="00145379" w:rsidRDefault="00FB178A" w:rsidP="009E18ED">
            <w:pPr>
              <w:spacing w:line="276" w:lineRule="auto"/>
              <w:rPr>
                <w:color w:val="000000"/>
                <w:sz w:val="24"/>
                <w:szCs w:val="24"/>
              </w:rPr>
            </w:pPr>
            <w:r w:rsidRPr="00145379">
              <w:rPr>
                <w:color w:val="000000"/>
                <w:sz w:val="24"/>
                <w:szCs w:val="24"/>
              </w:rPr>
              <w:t>OECD</w:t>
            </w:r>
          </w:p>
        </w:tc>
        <w:tc>
          <w:tcPr>
            <w:tcW w:w="7096" w:type="dxa"/>
            <w:tcMar>
              <w:top w:w="15" w:type="dxa"/>
              <w:left w:w="15" w:type="dxa"/>
              <w:bottom w:w="0" w:type="dxa"/>
              <w:right w:w="15" w:type="dxa"/>
            </w:tcMar>
            <w:vAlign w:val="center"/>
            <w:hideMark/>
          </w:tcPr>
          <w:p w14:paraId="23C0E6E9" w14:textId="77777777" w:rsidR="00FB178A" w:rsidRPr="00145379" w:rsidRDefault="00FB178A" w:rsidP="009E18ED">
            <w:pPr>
              <w:spacing w:line="276" w:lineRule="auto"/>
              <w:rPr>
                <w:color w:val="000000"/>
                <w:sz w:val="24"/>
                <w:szCs w:val="24"/>
              </w:rPr>
            </w:pPr>
            <w:r w:rsidRPr="00145379">
              <w:rPr>
                <w:color w:val="000000"/>
                <w:sz w:val="24"/>
                <w:szCs w:val="24"/>
              </w:rPr>
              <w:t>Organizacija za ekonomsku suradnju i razvoj</w:t>
            </w:r>
            <w:r>
              <w:rPr>
                <w:color w:val="000000"/>
                <w:sz w:val="24"/>
                <w:szCs w:val="24"/>
              </w:rPr>
              <w:t xml:space="preserve"> (</w:t>
            </w:r>
            <w:proofErr w:type="spellStart"/>
            <w:r>
              <w:rPr>
                <w:color w:val="000000"/>
                <w:sz w:val="24"/>
                <w:szCs w:val="24"/>
              </w:rPr>
              <w:t>eng</w:t>
            </w:r>
            <w:proofErr w:type="spellEnd"/>
            <w:r>
              <w:rPr>
                <w:color w:val="000000"/>
                <w:sz w:val="24"/>
                <w:szCs w:val="24"/>
              </w:rPr>
              <w:t xml:space="preserve">. </w:t>
            </w:r>
            <w:proofErr w:type="spellStart"/>
            <w:r w:rsidRPr="00905761">
              <w:rPr>
                <w:color w:val="000000"/>
                <w:sz w:val="24"/>
                <w:szCs w:val="24"/>
              </w:rPr>
              <w:t>Organisation</w:t>
            </w:r>
            <w:proofErr w:type="spellEnd"/>
            <w:r w:rsidRPr="00905761">
              <w:rPr>
                <w:color w:val="000000"/>
                <w:sz w:val="24"/>
                <w:szCs w:val="24"/>
              </w:rPr>
              <w:t xml:space="preserve"> for </w:t>
            </w:r>
            <w:proofErr w:type="spellStart"/>
            <w:r w:rsidRPr="00905761">
              <w:rPr>
                <w:color w:val="000000"/>
                <w:sz w:val="24"/>
                <w:szCs w:val="24"/>
              </w:rPr>
              <w:t>Economic</w:t>
            </w:r>
            <w:proofErr w:type="spellEnd"/>
            <w:r w:rsidRPr="00905761">
              <w:rPr>
                <w:color w:val="000000"/>
                <w:sz w:val="24"/>
                <w:szCs w:val="24"/>
              </w:rPr>
              <w:t xml:space="preserve"> </w:t>
            </w:r>
            <w:proofErr w:type="spellStart"/>
            <w:r w:rsidRPr="00905761">
              <w:rPr>
                <w:color w:val="000000"/>
                <w:sz w:val="24"/>
                <w:szCs w:val="24"/>
              </w:rPr>
              <w:t>Cooperation</w:t>
            </w:r>
            <w:proofErr w:type="spellEnd"/>
            <w:r w:rsidRPr="00905761">
              <w:rPr>
                <w:color w:val="000000"/>
                <w:sz w:val="24"/>
                <w:szCs w:val="24"/>
              </w:rPr>
              <w:t xml:space="preserve"> </w:t>
            </w:r>
            <w:proofErr w:type="spellStart"/>
            <w:r w:rsidRPr="00905761">
              <w:rPr>
                <w:color w:val="000000"/>
                <w:sz w:val="24"/>
                <w:szCs w:val="24"/>
              </w:rPr>
              <w:t>and</w:t>
            </w:r>
            <w:proofErr w:type="spellEnd"/>
            <w:r w:rsidRPr="00905761">
              <w:rPr>
                <w:color w:val="000000"/>
                <w:sz w:val="24"/>
                <w:szCs w:val="24"/>
              </w:rPr>
              <w:t xml:space="preserve"> Development)</w:t>
            </w:r>
          </w:p>
        </w:tc>
      </w:tr>
      <w:tr w:rsidR="00FB178A" w:rsidRPr="00145379" w14:paraId="52413653" w14:textId="77777777" w:rsidTr="009E18ED">
        <w:trPr>
          <w:trHeight w:val="315"/>
        </w:trPr>
        <w:tc>
          <w:tcPr>
            <w:tcW w:w="2124" w:type="dxa"/>
            <w:tcMar>
              <w:top w:w="15" w:type="dxa"/>
              <w:left w:w="15" w:type="dxa"/>
              <w:bottom w:w="0" w:type="dxa"/>
              <w:right w:w="15" w:type="dxa"/>
            </w:tcMar>
            <w:vAlign w:val="center"/>
            <w:hideMark/>
          </w:tcPr>
          <w:p w14:paraId="2530DA9F" w14:textId="77777777" w:rsidR="00FB178A" w:rsidRPr="00145379" w:rsidRDefault="00FB178A" w:rsidP="009E18ED">
            <w:pPr>
              <w:spacing w:line="276" w:lineRule="auto"/>
              <w:rPr>
                <w:color w:val="000000"/>
                <w:sz w:val="24"/>
                <w:szCs w:val="24"/>
              </w:rPr>
            </w:pPr>
            <w:r w:rsidRPr="00145379">
              <w:rPr>
                <w:color w:val="000000"/>
                <w:sz w:val="24"/>
                <w:szCs w:val="24"/>
              </w:rPr>
              <w:t>OIE</w:t>
            </w:r>
          </w:p>
        </w:tc>
        <w:tc>
          <w:tcPr>
            <w:tcW w:w="7096" w:type="dxa"/>
            <w:tcMar>
              <w:top w:w="15" w:type="dxa"/>
              <w:left w:w="15" w:type="dxa"/>
              <w:bottom w:w="0" w:type="dxa"/>
              <w:right w:w="15" w:type="dxa"/>
            </w:tcMar>
            <w:vAlign w:val="center"/>
            <w:hideMark/>
          </w:tcPr>
          <w:p w14:paraId="5E3FD7A8" w14:textId="77777777" w:rsidR="00FB178A" w:rsidRPr="00145379" w:rsidRDefault="00FB178A" w:rsidP="009E18ED">
            <w:pPr>
              <w:spacing w:line="276" w:lineRule="auto"/>
              <w:rPr>
                <w:color w:val="000000"/>
                <w:sz w:val="24"/>
                <w:szCs w:val="24"/>
              </w:rPr>
            </w:pPr>
            <w:r w:rsidRPr="00145379">
              <w:rPr>
                <w:color w:val="000000"/>
                <w:sz w:val="24"/>
                <w:szCs w:val="24"/>
              </w:rPr>
              <w:t>Obnovljivi izvori energije</w:t>
            </w:r>
          </w:p>
        </w:tc>
      </w:tr>
      <w:tr w:rsidR="00FB178A" w:rsidRPr="00145379" w14:paraId="3717A450" w14:textId="77777777" w:rsidTr="009E18ED">
        <w:trPr>
          <w:trHeight w:val="315"/>
        </w:trPr>
        <w:tc>
          <w:tcPr>
            <w:tcW w:w="2124" w:type="dxa"/>
            <w:tcMar>
              <w:top w:w="15" w:type="dxa"/>
              <w:left w:w="15" w:type="dxa"/>
              <w:bottom w:w="0" w:type="dxa"/>
              <w:right w:w="15" w:type="dxa"/>
            </w:tcMar>
            <w:vAlign w:val="center"/>
            <w:hideMark/>
          </w:tcPr>
          <w:p w14:paraId="2ACDF661" w14:textId="77777777" w:rsidR="00FB178A" w:rsidRPr="00145379" w:rsidRDefault="00FB178A" w:rsidP="009E18ED">
            <w:pPr>
              <w:spacing w:line="276" w:lineRule="auto"/>
              <w:rPr>
                <w:color w:val="000000"/>
                <w:sz w:val="24"/>
                <w:szCs w:val="24"/>
              </w:rPr>
            </w:pPr>
            <w:r>
              <w:rPr>
                <w:color w:val="000000"/>
                <w:sz w:val="24"/>
                <w:szCs w:val="24"/>
              </w:rPr>
              <w:t>PIAAC</w:t>
            </w:r>
          </w:p>
        </w:tc>
        <w:tc>
          <w:tcPr>
            <w:tcW w:w="7096" w:type="dxa"/>
            <w:tcMar>
              <w:top w:w="15" w:type="dxa"/>
              <w:left w:w="15" w:type="dxa"/>
              <w:bottom w:w="0" w:type="dxa"/>
              <w:right w:w="15" w:type="dxa"/>
            </w:tcMar>
            <w:vAlign w:val="center"/>
            <w:hideMark/>
          </w:tcPr>
          <w:p w14:paraId="3A71B41E" w14:textId="77777777" w:rsidR="00FB178A" w:rsidRPr="00145379" w:rsidRDefault="00FB178A" w:rsidP="009E18ED">
            <w:pPr>
              <w:spacing w:line="276" w:lineRule="auto"/>
              <w:rPr>
                <w:color w:val="000000"/>
                <w:sz w:val="24"/>
                <w:szCs w:val="24"/>
              </w:rPr>
            </w:pPr>
            <w:r w:rsidRPr="00E01901">
              <w:rPr>
                <w:sz w:val="24"/>
                <w:szCs w:val="24"/>
              </w:rPr>
              <w:t>Međunarodni program OECD-a za procjenu kompetencija odrasle populacije (</w:t>
            </w:r>
            <w:proofErr w:type="spellStart"/>
            <w:r w:rsidRPr="00E01901">
              <w:rPr>
                <w:sz w:val="24"/>
                <w:szCs w:val="24"/>
              </w:rPr>
              <w:t>eng</w:t>
            </w:r>
            <w:proofErr w:type="spellEnd"/>
            <w:r w:rsidRPr="00E01901">
              <w:rPr>
                <w:sz w:val="24"/>
                <w:szCs w:val="24"/>
              </w:rPr>
              <w:t xml:space="preserve">. </w:t>
            </w:r>
            <w:proofErr w:type="spellStart"/>
            <w:r w:rsidRPr="00E01901">
              <w:rPr>
                <w:sz w:val="24"/>
                <w:szCs w:val="24"/>
              </w:rPr>
              <w:t>Programme</w:t>
            </w:r>
            <w:proofErr w:type="spellEnd"/>
            <w:r w:rsidRPr="00E01901">
              <w:rPr>
                <w:sz w:val="24"/>
                <w:szCs w:val="24"/>
              </w:rPr>
              <w:t xml:space="preserve"> for </w:t>
            </w:r>
            <w:proofErr w:type="spellStart"/>
            <w:r w:rsidRPr="00E01901">
              <w:rPr>
                <w:sz w:val="24"/>
                <w:szCs w:val="24"/>
              </w:rPr>
              <w:t>the</w:t>
            </w:r>
            <w:proofErr w:type="spellEnd"/>
            <w:r w:rsidRPr="00E01901">
              <w:rPr>
                <w:sz w:val="24"/>
                <w:szCs w:val="24"/>
              </w:rPr>
              <w:t xml:space="preserve"> International </w:t>
            </w:r>
            <w:proofErr w:type="spellStart"/>
            <w:r w:rsidRPr="00E01901">
              <w:rPr>
                <w:sz w:val="24"/>
                <w:szCs w:val="24"/>
              </w:rPr>
              <w:t>Assessment</w:t>
            </w:r>
            <w:proofErr w:type="spellEnd"/>
            <w:r w:rsidRPr="00E01901">
              <w:rPr>
                <w:sz w:val="24"/>
                <w:szCs w:val="24"/>
              </w:rPr>
              <w:t xml:space="preserve"> </w:t>
            </w:r>
            <w:proofErr w:type="spellStart"/>
            <w:r w:rsidRPr="00E01901">
              <w:rPr>
                <w:sz w:val="24"/>
                <w:szCs w:val="24"/>
              </w:rPr>
              <w:t>of</w:t>
            </w:r>
            <w:proofErr w:type="spellEnd"/>
            <w:r w:rsidRPr="00E01901">
              <w:rPr>
                <w:sz w:val="24"/>
                <w:szCs w:val="24"/>
              </w:rPr>
              <w:t xml:space="preserve"> </w:t>
            </w:r>
            <w:proofErr w:type="spellStart"/>
            <w:r w:rsidRPr="00E01901">
              <w:rPr>
                <w:sz w:val="24"/>
                <w:szCs w:val="24"/>
              </w:rPr>
              <w:t>Adult</w:t>
            </w:r>
            <w:proofErr w:type="spellEnd"/>
            <w:r w:rsidRPr="00E01901">
              <w:rPr>
                <w:sz w:val="24"/>
                <w:szCs w:val="24"/>
              </w:rPr>
              <w:t xml:space="preserve"> </w:t>
            </w:r>
            <w:proofErr w:type="spellStart"/>
            <w:r w:rsidRPr="00E01901">
              <w:rPr>
                <w:sz w:val="24"/>
                <w:szCs w:val="24"/>
              </w:rPr>
              <w:t>Competencies</w:t>
            </w:r>
            <w:proofErr w:type="spellEnd"/>
            <w:r w:rsidRPr="00E01901">
              <w:rPr>
                <w:sz w:val="24"/>
                <w:szCs w:val="24"/>
              </w:rPr>
              <w:t>)</w:t>
            </w:r>
          </w:p>
        </w:tc>
      </w:tr>
      <w:tr w:rsidR="00FB178A" w:rsidRPr="00145379" w14:paraId="2DB07131" w14:textId="77777777" w:rsidTr="009E18ED">
        <w:trPr>
          <w:trHeight w:val="617"/>
        </w:trPr>
        <w:tc>
          <w:tcPr>
            <w:tcW w:w="2124" w:type="dxa"/>
            <w:tcMar>
              <w:top w:w="15" w:type="dxa"/>
              <w:left w:w="15" w:type="dxa"/>
              <w:bottom w:w="0" w:type="dxa"/>
              <w:right w:w="15" w:type="dxa"/>
            </w:tcMar>
            <w:vAlign w:val="center"/>
            <w:hideMark/>
          </w:tcPr>
          <w:p w14:paraId="21075A7F" w14:textId="77777777" w:rsidR="00FB178A" w:rsidRPr="00145379" w:rsidRDefault="00FB178A" w:rsidP="009E18ED">
            <w:pPr>
              <w:spacing w:line="276" w:lineRule="auto"/>
              <w:rPr>
                <w:color w:val="000000"/>
                <w:sz w:val="24"/>
                <w:szCs w:val="24"/>
              </w:rPr>
            </w:pPr>
            <w:r w:rsidRPr="00145379">
              <w:rPr>
                <w:color w:val="000000"/>
                <w:sz w:val="24"/>
                <w:szCs w:val="24"/>
              </w:rPr>
              <w:t xml:space="preserve">PISA </w:t>
            </w:r>
          </w:p>
        </w:tc>
        <w:tc>
          <w:tcPr>
            <w:tcW w:w="7096" w:type="dxa"/>
            <w:tcMar>
              <w:top w:w="15" w:type="dxa"/>
              <w:left w:w="15" w:type="dxa"/>
              <w:bottom w:w="0" w:type="dxa"/>
              <w:right w:w="15" w:type="dxa"/>
            </w:tcMar>
            <w:vAlign w:val="center"/>
            <w:hideMark/>
          </w:tcPr>
          <w:p w14:paraId="32276DEA" w14:textId="77777777" w:rsidR="00FB178A" w:rsidRPr="00145379" w:rsidRDefault="00FB178A" w:rsidP="009E18ED">
            <w:pPr>
              <w:spacing w:line="276" w:lineRule="auto"/>
              <w:jc w:val="both"/>
              <w:rPr>
                <w:color w:val="000000"/>
                <w:sz w:val="24"/>
                <w:szCs w:val="24"/>
              </w:rPr>
            </w:pPr>
            <w:r w:rsidRPr="00145379">
              <w:rPr>
                <w:color w:val="000000"/>
                <w:sz w:val="24"/>
                <w:szCs w:val="24"/>
              </w:rPr>
              <w:t>Međunarodno istraživanje procjene znanja i vještina petnaestogodišnjih učenika (</w:t>
            </w:r>
            <w:proofErr w:type="spellStart"/>
            <w:r w:rsidRPr="00145379">
              <w:rPr>
                <w:color w:val="000000"/>
                <w:sz w:val="24"/>
                <w:szCs w:val="24"/>
              </w:rPr>
              <w:t>eng</w:t>
            </w:r>
            <w:proofErr w:type="spellEnd"/>
            <w:r w:rsidRPr="00145379">
              <w:rPr>
                <w:color w:val="000000"/>
                <w:sz w:val="24"/>
                <w:szCs w:val="24"/>
              </w:rPr>
              <w:t xml:space="preserve">. </w:t>
            </w:r>
            <w:proofErr w:type="spellStart"/>
            <w:r w:rsidRPr="00145379">
              <w:rPr>
                <w:color w:val="000000"/>
                <w:sz w:val="24"/>
                <w:szCs w:val="24"/>
              </w:rPr>
              <w:t>Programme</w:t>
            </w:r>
            <w:proofErr w:type="spellEnd"/>
            <w:r w:rsidRPr="00145379">
              <w:rPr>
                <w:color w:val="000000"/>
                <w:sz w:val="24"/>
                <w:szCs w:val="24"/>
              </w:rPr>
              <w:t xml:space="preserve"> for International Student </w:t>
            </w:r>
            <w:proofErr w:type="spellStart"/>
            <w:r w:rsidRPr="00145379">
              <w:rPr>
                <w:color w:val="000000"/>
                <w:sz w:val="24"/>
                <w:szCs w:val="24"/>
              </w:rPr>
              <w:t>Assessment</w:t>
            </w:r>
            <w:proofErr w:type="spellEnd"/>
            <w:r w:rsidRPr="00145379">
              <w:rPr>
                <w:color w:val="000000"/>
                <w:sz w:val="24"/>
                <w:szCs w:val="24"/>
              </w:rPr>
              <w:t>)</w:t>
            </w:r>
          </w:p>
        </w:tc>
      </w:tr>
      <w:tr w:rsidR="00FB178A" w:rsidRPr="00145379" w14:paraId="4442545A" w14:textId="77777777" w:rsidTr="009E18ED">
        <w:trPr>
          <w:trHeight w:val="315"/>
        </w:trPr>
        <w:tc>
          <w:tcPr>
            <w:tcW w:w="2124" w:type="dxa"/>
            <w:tcMar>
              <w:top w:w="15" w:type="dxa"/>
              <w:left w:w="15" w:type="dxa"/>
              <w:bottom w:w="0" w:type="dxa"/>
              <w:right w:w="15" w:type="dxa"/>
            </w:tcMar>
            <w:vAlign w:val="center"/>
          </w:tcPr>
          <w:p w14:paraId="64F32DB4" w14:textId="77777777" w:rsidR="00FB178A" w:rsidRPr="00145379" w:rsidRDefault="00FB178A" w:rsidP="009E18ED">
            <w:pPr>
              <w:spacing w:line="276" w:lineRule="auto"/>
              <w:rPr>
                <w:color w:val="000000"/>
                <w:sz w:val="24"/>
                <w:szCs w:val="24"/>
              </w:rPr>
            </w:pPr>
            <w:r w:rsidRPr="00145379">
              <w:rPr>
                <w:color w:val="000000"/>
                <w:sz w:val="24"/>
                <w:szCs w:val="24"/>
              </w:rPr>
              <w:t>PKK 2021.-2027.</w:t>
            </w:r>
          </w:p>
        </w:tc>
        <w:tc>
          <w:tcPr>
            <w:tcW w:w="7096" w:type="dxa"/>
            <w:tcMar>
              <w:top w:w="15" w:type="dxa"/>
              <w:left w:w="15" w:type="dxa"/>
              <w:bottom w:w="0" w:type="dxa"/>
              <w:right w:w="15" w:type="dxa"/>
            </w:tcMar>
            <w:vAlign w:val="center"/>
          </w:tcPr>
          <w:p w14:paraId="602D487A" w14:textId="77777777" w:rsidR="00FB178A" w:rsidRPr="00145379" w:rsidRDefault="00FB178A" w:rsidP="009E18ED">
            <w:pPr>
              <w:spacing w:line="276" w:lineRule="auto"/>
              <w:rPr>
                <w:color w:val="000000"/>
                <w:sz w:val="24"/>
                <w:szCs w:val="24"/>
              </w:rPr>
            </w:pPr>
            <w:r w:rsidRPr="00145379">
              <w:rPr>
                <w:color w:val="000000"/>
                <w:sz w:val="24"/>
                <w:szCs w:val="24"/>
              </w:rPr>
              <w:t>Program „Konkurentnost i kohezija 2021.-2027.“</w:t>
            </w:r>
          </w:p>
        </w:tc>
      </w:tr>
      <w:tr w:rsidR="00FB178A" w:rsidRPr="00145379" w14:paraId="41BE51FA" w14:textId="77777777" w:rsidTr="009E18ED">
        <w:trPr>
          <w:trHeight w:val="315"/>
        </w:trPr>
        <w:tc>
          <w:tcPr>
            <w:tcW w:w="2124" w:type="dxa"/>
            <w:tcMar>
              <w:top w:w="15" w:type="dxa"/>
              <w:left w:w="15" w:type="dxa"/>
              <w:bottom w:w="0" w:type="dxa"/>
              <w:right w:w="15" w:type="dxa"/>
            </w:tcMar>
            <w:vAlign w:val="center"/>
          </w:tcPr>
          <w:p w14:paraId="3FAAC6FA" w14:textId="77777777" w:rsidR="00FB178A" w:rsidRPr="00145379" w:rsidRDefault="00FB178A" w:rsidP="009E18ED">
            <w:pPr>
              <w:spacing w:line="276" w:lineRule="auto"/>
              <w:rPr>
                <w:color w:val="000000"/>
                <w:sz w:val="24"/>
                <w:szCs w:val="24"/>
              </w:rPr>
            </w:pPr>
            <w:r w:rsidRPr="00145379">
              <w:rPr>
                <w:color w:val="000000"/>
                <w:sz w:val="24"/>
                <w:szCs w:val="24"/>
              </w:rPr>
              <w:t>RLV</w:t>
            </w:r>
          </w:p>
        </w:tc>
        <w:tc>
          <w:tcPr>
            <w:tcW w:w="7096" w:type="dxa"/>
            <w:tcMar>
              <w:top w:w="15" w:type="dxa"/>
              <w:left w:w="15" w:type="dxa"/>
              <w:bottom w:w="0" w:type="dxa"/>
              <w:right w:w="15" w:type="dxa"/>
            </w:tcMar>
            <w:vAlign w:val="center"/>
          </w:tcPr>
          <w:p w14:paraId="15A04D33" w14:textId="77777777" w:rsidR="00FB178A" w:rsidRPr="00145379" w:rsidRDefault="00FB178A" w:rsidP="009E18ED">
            <w:pPr>
              <w:spacing w:line="276" w:lineRule="auto"/>
              <w:rPr>
                <w:color w:val="000000"/>
                <w:sz w:val="24"/>
                <w:szCs w:val="24"/>
              </w:rPr>
            </w:pPr>
            <w:r w:rsidRPr="00145379">
              <w:rPr>
                <w:color w:val="000000"/>
                <w:sz w:val="24"/>
                <w:szCs w:val="24"/>
              </w:rPr>
              <w:t>Regionalni lanci vrijednosti</w:t>
            </w:r>
          </w:p>
        </w:tc>
      </w:tr>
      <w:tr w:rsidR="00FB178A" w:rsidRPr="00145379" w14:paraId="48E0AB41" w14:textId="77777777" w:rsidTr="009E18ED">
        <w:trPr>
          <w:trHeight w:val="315"/>
        </w:trPr>
        <w:tc>
          <w:tcPr>
            <w:tcW w:w="2124" w:type="dxa"/>
            <w:tcMar>
              <w:top w:w="15" w:type="dxa"/>
              <w:left w:w="15" w:type="dxa"/>
              <w:bottom w:w="0" w:type="dxa"/>
              <w:right w:w="15" w:type="dxa"/>
            </w:tcMar>
            <w:vAlign w:val="center"/>
            <w:hideMark/>
          </w:tcPr>
          <w:p w14:paraId="3D5BC35B" w14:textId="77777777" w:rsidR="00FB178A" w:rsidRPr="00145379" w:rsidRDefault="00FB178A" w:rsidP="009E18ED">
            <w:pPr>
              <w:spacing w:line="276" w:lineRule="auto"/>
              <w:rPr>
                <w:color w:val="000000"/>
                <w:sz w:val="24"/>
                <w:szCs w:val="24"/>
              </w:rPr>
            </w:pPr>
            <w:r>
              <w:rPr>
                <w:color w:val="000000"/>
                <w:sz w:val="24"/>
                <w:szCs w:val="24"/>
              </w:rPr>
              <w:t>RZI</w:t>
            </w:r>
          </w:p>
        </w:tc>
        <w:tc>
          <w:tcPr>
            <w:tcW w:w="7096" w:type="dxa"/>
            <w:tcMar>
              <w:top w:w="15" w:type="dxa"/>
              <w:left w:w="15" w:type="dxa"/>
              <w:bottom w:w="0" w:type="dxa"/>
              <w:right w:w="15" w:type="dxa"/>
            </w:tcMar>
            <w:vAlign w:val="center"/>
            <w:hideMark/>
          </w:tcPr>
          <w:p w14:paraId="0462443E" w14:textId="77777777" w:rsidR="00FB178A" w:rsidRPr="00145379" w:rsidRDefault="00FB178A" w:rsidP="009E18ED">
            <w:pPr>
              <w:spacing w:line="276" w:lineRule="auto"/>
              <w:rPr>
                <w:color w:val="000000"/>
                <w:sz w:val="24"/>
                <w:szCs w:val="24"/>
              </w:rPr>
            </w:pPr>
            <w:r w:rsidRPr="00C9480D">
              <w:rPr>
                <w:color w:val="000000"/>
                <w:kern w:val="2"/>
                <w:sz w:val="24"/>
                <w:lang w:eastAsia="hr-HR"/>
                <w14:ligatures w14:val="standardContextual"/>
              </w:rPr>
              <w:t>Regist</w:t>
            </w:r>
            <w:r>
              <w:rPr>
                <w:color w:val="000000"/>
                <w:kern w:val="2"/>
                <w:sz w:val="24"/>
                <w:lang w:eastAsia="hr-HR"/>
                <w14:ligatures w14:val="standardContextual"/>
              </w:rPr>
              <w:t xml:space="preserve">ar </w:t>
            </w:r>
            <w:r w:rsidRPr="00C9480D">
              <w:rPr>
                <w:color w:val="000000"/>
                <w:kern w:val="2"/>
                <w:sz w:val="24"/>
                <w:lang w:eastAsia="hr-HR"/>
                <w14:ligatures w14:val="standardContextual"/>
              </w:rPr>
              <w:t xml:space="preserve">zelene infrastrukture </w:t>
            </w:r>
          </w:p>
        </w:tc>
      </w:tr>
      <w:tr w:rsidR="00FB178A" w:rsidRPr="00145379" w14:paraId="5ACC836D" w14:textId="77777777" w:rsidTr="009E18ED">
        <w:trPr>
          <w:trHeight w:val="630"/>
        </w:trPr>
        <w:tc>
          <w:tcPr>
            <w:tcW w:w="2124" w:type="dxa"/>
            <w:tcMar>
              <w:top w:w="15" w:type="dxa"/>
              <w:left w:w="15" w:type="dxa"/>
              <w:bottom w:w="0" w:type="dxa"/>
              <w:right w:w="15" w:type="dxa"/>
            </w:tcMar>
            <w:vAlign w:val="center"/>
          </w:tcPr>
          <w:p w14:paraId="6E16C74F" w14:textId="77777777" w:rsidR="00FB178A" w:rsidRPr="00145379" w:rsidRDefault="00FB178A" w:rsidP="009E18ED">
            <w:pPr>
              <w:spacing w:line="276" w:lineRule="auto"/>
              <w:rPr>
                <w:color w:val="000000"/>
                <w:sz w:val="24"/>
                <w:szCs w:val="24"/>
              </w:rPr>
            </w:pPr>
            <w:r>
              <w:rPr>
                <w:color w:val="000000"/>
                <w:sz w:val="24"/>
                <w:szCs w:val="24"/>
              </w:rPr>
              <w:t>SKI</w:t>
            </w:r>
          </w:p>
        </w:tc>
        <w:tc>
          <w:tcPr>
            <w:tcW w:w="7096" w:type="dxa"/>
            <w:tcMar>
              <w:top w:w="15" w:type="dxa"/>
              <w:left w:w="15" w:type="dxa"/>
              <w:bottom w:w="0" w:type="dxa"/>
              <w:right w:w="15" w:type="dxa"/>
            </w:tcMar>
            <w:vAlign w:val="center"/>
          </w:tcPr>
          <w:p w14:paraId="7AE914B6" w14:textId="77777777" w:rsidR="00FB178A" w:rsidRPr="00E01901" w:rsidRDefault="00FB178A" w:rsidP="009E18ED">
            <w:pPr>
              <w:spacing w:line="276" w:lineRule="auto"/>
              <w:rPr>
                <w:color w:val="000000"/>
                <w:kern w:val="2"/>
                <w:sz w:val="24"/>
                <w:szCs w:val="24"/>
                <w:lang w:eastAsia="hr-HR"/>
                <w14:ligatures w14:val="standardContextual"/>
              </w:rPr>
            </w:pPr>
            <w:r w:rsidRPr="004C0CC4">
              <w:rPr>
                <w:color w:val="000000"/>
                <w:kern w:val="2"/>
                <w:sz w:val="24"/>
                <w:szCs w:val="24"/>
                <w:lang w:eastAsia="hr-HR"/>
                <w14:ligatures w14:val="standardContextual"/>
              </w:rPr>
              <w:t>Sustav katastra infrastrukture</w:t>
            </w:r>
          </w:p>
        </w:tc>
      </w:tr>
      <w:tr w:rsidR="00FB178A" w:rsidRPr="00145379" w14:paraId="00AB9698" w14:textId="77777777" w:rsidTr="009E18ED">
        <w:trPr>
          <w:trHeight w:val="630"/>
        </w:trPr>
        <w:tc>
          <w:tcPr>
            <w:tcW w:w="2124" w:type="dxa"/>
            <w:tcMar>
              <w:top w:w="15" w:type="dxa"/>
              <w:left w:w="15" w:type="dxa"/>
              <w:bottom w:w="0" w:type="dxa"/>
              <w:right w:w="15" w:type="dxa"/>
            </w:tcMar>
            <w:vAlign w:val="center"/>
            <w:hideMark/>
          </w:tcPr>
          <w:p w14:paraId="72DAC96E" w14:textId="77777777" w:rsidR="00FB178A" w:rsidRPr="00145379" w:rsidRDefault="00FB178A" w:rsidP="009E18ED">
            <w:pPr>
              <w:spacing w:line="276" w:lineRule="auto"/>
              <w:rPr>
                <w:color w:val="000000"/>
                <w:sz w:val="24"/>
                <w:szCs w:val="24"/>
              </w:rPr>
            </w:pPr>
            <w:r w:rsidRPr="00145379">
              <w:rPr>
                <w:color w:val="000000"/>
                <w:sz w:val="24"/>
                <w:szCs w:val="24"/>
              </w:rPr>
              <w:lastRenderedPageBreak/>
              <w:t xml:space="preserve">STEM </w:t>
            </w:r>
          </w:p>
        </w:tc>
        <w:tc>
          <w:tcPr>
            <w:tcW w:w="7096" w:type="dxa"/>
            <w:tcMar>
              <w:top w:w="15" w:type="dxa"/>
              <w:left w:w="15" w:type="dxa"/>
              <w:bottom w:w="0" w:type="dxa"/>
              <w:right w:w="15" w:type="dxa"/>
            </w:tcMar>
            <w:vAlign w:val="center"/>
            <w:hideMark/>
          </w:tcPr>
          <w:p w14:paraId="4E6E8330" w14:textId="77777777" w:rsidR="00FB178A" w:rsidRPr="00145379" w:rsidRDefault="00FB178A" w:rsidP="009E18ED">
            <w:pPr>
              <w:spacing w:line="276" w:lineRule="auto"/>
              <w:jc w:val="both"/>
              <w:rPr>
                <w:color w:val="000000"/>
                <w:sz w:val="24"/>
                <w:szCs w:val="24"/>
              </w:rPr>
            </w:pPr>
            <w:r w:rsidRPr="00145379">
              <w:rPr>
                <w:color w:val="000000"/>
                <w:sz w:val="24"/>
                <w:szCs w:val="24"/>
              </w:rPr>
              <w:t>Znanost, tehnologija, inženjerstvo i matematika (</w:t>
            </w:r>
            <w:proofErr w:type="spellStart"/>
            <w:r w:rsidRPr="00145379">
              <w:rPr>
                <w:color w:val="000000"/>
                <w:sz w:val="24"/>
                <w:szCs w:val="24"/>
              </w:rPr>
              <w:t>eng</w:t>
            </w:r>
            <w:proofErr w:type="spellEnd"/>
            <w:r w:rsidRPr="00145379">
              <w:rPr>
                <w:color w:val="000000"/>
                <w:sz w:val="24"/>
                <w:szCs w:val="24"/>
              </w:rPr>
              <w:t xml:space="preserve">. Science, Technology, </w:t>
            </w:r>
            <w:proofErr w:type="spellStart"/>
            <w:r w:rsidRPr="00145379">
              <w:rPr>
                <w:color w:val="000000"/>
                <w:sz w:val="24"/>
                <w:szCs w:val="24"/>
              </w:rPr>
              <w:t>Engineering</w:t>
            </w:r>
            <w:proofErr w:type="spellEnd"/>
            <w:r w:rsidRPr="00145379">
              <w:rPr>
                <w:color w:val="000000"/>
                <w:sz w:val="24"/>
                <w:szCs w:val="24"/>
              </w:rPr>
              <w:t xml:space="preserve">, </w:t>
            </w:r>
            <w:proofErr w:type="spellStart"/>
            <w:r w:rsidRPr="00145379">
              <w:rPr>
                <w:color w:val="000000"/>
                <w:sz w:val="24"/>
                <w:szCs w:val="24"/>
              </w:rPr>
              <w:t>Mathematics</w:t>
            </w:r>
            <w:proofErr w:type="spellEnd"/>
            <w:r w:rsidRPr="00145379">
              <w:rPr>
                <w:color w:val="000000"/>
                <w:sz w:val="24"/>
                <w:szCs w:val="24"/>
              </w:rPr>
              <w:t>)</w:t>
            </w:r>
          </w:p>
        </w:tc>
      </w:tr>
      <w:tr w:rsidR="00FB178A" w:rsidRPr="00145379" w14:paraId="02530AD3" w14:textId="77777777" w:rsidTr="009E18ED">
        <w:trPr>
          <w:trHeight w:val="630"/>
        </w:trPr>
        <w:tc>
          <w:tcPr>
            <w:tcW w:w="2124" w:type="dxa"/>
            <w:tcMar>
              <w:top w:w="15" w:type="dxa"/>
              <w:left w:w="15" w:type="dxa"/>
              <w:bottom w:w="0" w:type="dxa"/>
              <w:right w:w="15" w:type="dxa"/>
            </w:tcMar>
            <w:vAlign w:val="center"/>
          </w:tcPr>
          <w:p w14:paraId="51BCE3A4" w14:textId="77777777" w:rsidR="00FB178A" w:rsidRDefault="00FB178A" w:rsidP="009E18ED">
            <w:pPr>
              <w:spacing w:line="276" w:lineRule="auto"/>
              <w:rPr>
                <w:color w:val="000000"/>
                <w:sz w:val="24"/>
                <w:szCs w:val="24"/>
              </w:rPr>
            </w:pPr>
            <w:r>
              <w:rPr>
                <w:color w:val="000000"/>
                <w:sz w:val="24"/>
                <w:szCs w:val="24"/>
              </w:rPr>
              <w:t>STEP</w:t>
            </w:r>
          </w:p>
        </w:tc>
        <w:tc>
          <w:tcPr>
            <w:tcW w:w="7096" w:type="dxa"/>
            <w:tcMar>
              <w:top w:w="15" w:type="dxa"/>
              <w:left w:w="15" w:type="dxa"/>
              <w:bottom w:w="0" w:type="dxa"/>
              <w:right w:w="15" w:type="dxa"/>
            </w:tcMar>
            <w:vAlign w:val="center"/>
          </w:tcPr>
          <w:p w14:paraId="5675DAAD" w14:textId="77777777" w:rsidR="00FB178A" w:rsidRDefault="00FB178A" w:rsidP="009E18ED">
            <w:pPr>
              <w:spacing w:line="276" w:lineRule="auto"/>
              <w:rPr>
                <w:color w:val="000000"/>
                <w:kern w:val="2"/>
                <w:sz w:val="24"/>
                <w:lang w:eastAsia="hr-HR"/>
                <w14:ligatures w14:val="standardContextual"/>
              </w:rPr>
            </w:pPr>
            <w:r>
              <w:rPr>
                <w:color w:val="000000"/>
                <w:kern w:val="2"/>
                <w:sz w:val="24"/>
                <w:lang w:eastAsia="hr-HR"/>
                <w14:ligatures w14:val="standardContextual"/>
              </w:rPr>
              <w:t>Platforma za strateške tehnologije za Europu (</w:t>
            </w:r>
            <w:proofErr w:type="spellStart"/>
            <w:r>
              <w:rPr>
                <w:color w:val="000000"/>
                <w:kern w:val="2"/>
                <w:sz w:val="24"/>
                <w:lang w:eastAsia="hr-HR"/>
                <w14:ligatures w14:val="standardContextual"/>
              </w:rPr>
              <w:t>eng</w:t>
            </w:r>
            <w:proofErr w:type="spellEnd"/>
            <w:r>
              <w:rPr>
                <w:color w:val="000000"/>
                <w:kern w:val="2"/>
                <w:sz w:val="24"/>
                <w:lang w:eastAsia="hr-HR"/>
                <w14:ligatures w14:val="standardContextual"/>
              </w:rPr>
              <w:t xml:space="preserve">. </w:t>
            </w:r>
            <w:proofErr w:type="spellStart"/>
            <w:r>
              <w:rPr>
                <w:color w:val="000000"/>
                <w:kern w:val="2"/>
                <w:sz w:val="24"/>
                <w:lang w:eastAsia="hr-HR"/>
                <w14:ligatures w14:val="standardContextual"/>
              </w:rPr>
              <w:t>Strategic</w:t>
            </w:r>
            <w:proofErr w:type="spellEnd"/>
            <w:r>
              <w:rPr>
                <w:color w:val="000000"/>
                <w:kern w:val="2"/>
                <w:sz w:val="24"/>
                <w:lang w:eastAsia="hr-HR"/>
                <w14:ligatures w14:val="standardContextual"/>
              </w:rPr>
              <w:t xml:space="preserve"> Technologies for Europe </w:t>
            </w:r>
            <w:proofErr w:type="spellStart"/>
            <w:r>
              <w:rPr>
                <w:color w:val="000000"/>
                <w:kern w:val="2"/>
                <w:sz w:val="24"/>
                <w:lang w:eastAsia="hr-HR"/>
                <w14:ligatures w14:val="standardContextual"/>
              </w:rPr>
              <w:t>Platform</w:t>
            </w:r>
            <w:proofErr w:type="spellEnd"/>
            <w:r>
              <w:rPr>
                <w:color w:val="000000"/>
                <w:kern w:val="2"/>
                <w:sz w:val="24"/>
                <w:lang w:eastAsia="hr-HR"/>
                <w14:ligatures w14:val="standardContextual"/>
              </w:rPr>
              <w:t>)</w:t>
            </w:r>
          </w:p>
        </w:tc>
      </w:tr>
      <w:tr w:rsidR="00FB178A" w:rsidRPr="00145379" w14:paraId="0B497F1D" w14:textId="77777777" w:rsidTr="009E18ED">
        <w:trPr>
          <w:trHeight w:val="630"/>
        </w:trPr>
        <w:tc>
          <w:tcPr>
            <w:tcW w:w="2124" w:type="dxa"/>
            <w:tcMar>
              <w:top w:w="15" w:type="dxa"/>
              <w:left w:w="15" w:type="dxa"/>
              <w:bottom w:w="0" w:type="dxa"/>
              <w:right w:w="15" w:type="dxa"/>
            </w:tcMar>
            <w:vAlign w:val="center"/>
            <w:hideMark/>
          </w:tcPr>
          <w:p w14:paraId="46D2EA50" w14:textId="77777777" w:rsidR="00FB178A" w:rsidRPr="00145379" w:rsidRDefault="00FB178A" w:rsidP="009E18ED">
            <w:pPr>
              <w:spacing w:line="276" w:lineRule="auto"/>
              <w:rPr>
                <w:color w:val="000000"/>
                <w:sz w:val="24"/>
                <w:szCs w:val="24"/>
              </w:rPr>
            </w:pPr>
            <w:r>
              <w:rPr>
                <w:color w:val="000000"/>
                <w:sz w:val="24"/>
                <w:szCs w:val="24"/>
              </w:rPr>
              <w:t>S3</w:t>
            </w:r>
          </w:p>
        </w:tc>
        <w:tc>
          <w:tcPr>
            <w:tcW w:w="7096" w:type="dxa"/>
            <w:tcMar>
              <w:top w:w="15" w:type="dxa"/>
              <w:left w:w="15" w:type="dxa"/>
              <w:bottom w:w="0" w:type="dxa"/>
              <w:right w:w="15" w:type="dxa"/>
            </w:tcMar>
            <w:vAlign w:val="center"/>
            <w:hideMark/>
          </w:tcPr>
          <w:p w14:paraId="2473D89B" w14:textId="77777777" w:rsidR="00FB178A" w:rsidRPr="00145379" w:rsidRDefault="00FB178A" w:rsidP="009E18ED">
            <w:pPr>
              <w:spacing w:line="276" w:lineRule="auto"/>
              <w:rPr>
                <w:color w:val="000000"/>
                <w:sz w:val="24"/>
                <w:szCs w:val="24"/>
              </w:rPr>
            </w:pPr>
            <w:r>
              <w:rPr>
                <w:color w:val="000000"/>
                <w:kern w:val="2"/>
                <w:sz w:val="24"/>
                <w:lang w:eastAsia="hr-HR"/>
                <w14:ligatures w14:val="standardContextual"/>
              </w:rPr>
              <w:t xml:space="preserve">Strategija pametne specijalizacije do 2029. godine </w:t>
            </w:r>
          </w:p>
        </w:tc>
      </w:tr>
      <w:tr w:rsidR="00FB178A" w:rsidRPr="00145379" w14:paraId="118E2510" w14:textId="77777777" w:rsidTr="009E18ED">
        <w:trPr>
          <w:trHeight w:val="315"/>
        </w:trPr>
        <w:tc>
          <w:tcPr>
            <w:tcW w:w="2124" w:type="dxa"/>
            <w:tcMar>
              <w:top w:w="15" w:type="dxa"/>
              <w:left w:w="15" w:type="dxa"/>
              <w:bottom w:w="0" w:type="dxa"/>
              <w:right w:w="15" w:type="dxa"/>
            </w:tcMar>
            <w:vAlign w:val="center"/>
            <w:hideMark/>
          </w:tcPr>
          <w:p w14:paraId="1D9E35FB" w14:textId="77777777" w:rsidR="00FB178A" w:rsidRPr="00145379" w:rsidRDefault="00FB178A" w:rsidP="009E18ED">
            <w:pPr>
              <w:spacing w:line="276" w:lineRule="auto"/>
              <w:rPr>
                <w:color w:val="000000"/>
                <w:sz w:val="24"/>
                <w:szCs w:val="24"/>
              </w:rPr>
            </w:pPr>
            <w:r w:rsidRPr="00145379">
              <w:rPr>
                <w:color w:val="000000"/>
                <w:sz w:val="24"/>
                <w:szCs w:val="24"/>
              </w:rPr>
              <w:t>TSI</w:t>
            </w:r>
          </w:p>
        </w:tc>
        <w:tc>
          <w:tcPr>
            <w:tcW w:w="7096" w:type="dxa"/>
            <w:tcMar>
              <w:top w:w="15" w:type="dxa"/>
              <w:left w:w="15" w:type="dxa"/>
              <w:bottom w:w="0" w:type="dxa"/>
              <w:right w:w="15" w:type="dxa"/>
            </w:tcMar>
            <w:vAlign w:val="center"/>
            <w:hideMark/>
          </w:tcPr>
          <w:p w14:paraId="5989ABBC" w14:textId="77777777" w:rsidR="00FB178A" w:rsidRPr="00145379" w:rsidRDefault="00FB178A" w:rsidP="009E18ED">
            <w:pPr>
              <w:spacing w:line="276" w:lineRule="auto"/>
              <w:rPr>
                <w:color w:val="000000"/>
                <w:sz w:val="24"/>
                <w:szCs w:val="24"/>
              </w:rPr>
            </w:pPr>
            <w:r w:rsidRPr="00145379">
              <w:rPr>
                <w:color w:val="000000"/>
                <w:sz w:val="24"/>
                <w:szCs w:val="24"/>
              </w:rPr>
              <w:t>Instrument za tehničku potporu Europske komisije</w:t>
            </w:r>
            <w:r>
              <w:rPr>
                <w:color w:val="000000"/>
                <w:sz w:val="24"/>
                <w:szCs w:val="24"/>
              </w:rPr>
              <w:t xml:space="preserve"> (</w:t>
            </w:r>
            <w:proofErr w:type="spellStart"/>
            <w:r>
              <w:rPr>
                <w:color w:val="000000"/>
                <w:sz w:val="24"/>
                <w:szCs w:val="24"/>
              </w:rPr>
              <w:t>eng</w:t>
            </w:r>
            <w:proofErr w:type="spellEnd"/>
            <w:r>
              <w:rPr>
                <w:color w:val="000000"/>
                <w:sz w:val="24"/>
                <w:szCs w:val="24"/>
              </w:rPr>
              <w:t xml:space="preserve">. </w:t>
            </w:r>
            <w:proofErr w:type="spellStart"/>
            <w:r>
              <w:rPr>
                <w:color w:val="000000"/>
                <w:sz w:val="24"/>
                <w:szCs w:val="24"/>
              </w:rPr>
              <w:t>Technical</w:t>
            </w:r>
            <w:proofErr w:type="spellEnd"/>
            <w:r>
              <w:rPr>
                <w:color w:val="000000"/>
                <w:sz w:val="24"/>
                <w:szCs w:val="24"/>
              </w:rPr>
              <w:t xml:space="preserve"> </w:t>
            </w:r>
            <w:proofErr w:type="spellStart"/>
            <w:r>
              <w:rPr>
                <w:color w:val="000000"/>
                <w:sz w:val="24"/>
                <w:szCs w:val="24"/>
              </w:rPr>
              <w:t>Support</w:t>
            </w:r>
            <w:proofErr w:type="spellEnd"/>
            <w:r>
              <w:rPr>
                <w:color w:val="000000"/>
                <w:sz w:val="24"/>
                <w:szCs w:val="24"/>
              </w:rPr>
              <w:t xml:space="preserve"> Instrument)</w:t>
            </w:r>
          </w:p>
        </w:tc>
      </w:tr>
      <w:tr w:rsidR="00FB178A" w:rsidRPr="00145379" w14:paraId="7783FD14" w14:textId="77777777" w:rsidTr="009E18ED">
        <w:trPr>
          <w:trHeight w:val="315"/>
        </w:trPr>
        <w:tc>
          <w:tcPr>
            <w:tcW w:w="2124" w:type="dxa"/>
            <w:tcMar>
              <w:top w:w="15" w:type="dxa"/>
              <w:left w:w="15" w:type="dxa"/>
              <w:bottom w:w="0" w:type="dxa"/>
              <w:right w:w="15" w:type="dxa"/>
            </w:tcMar>
            <w:vAlign w:val="center"/>
          </w:tcPr>
          <w:p w14:paraId="1530A185" w14:textId="77777777" w:rsidR="00FB178A" w:rsidRPr="00BB2036" w:rsidRDefault="00FB178A" w:rsidP="009E18ED">
            <w:pPr>
              <w:spacing w:line="276" w:lineRule="auto"/>
              <w:rPr>
                <w:color w:val="000000" w:themeColor="text1"/>
                <w:sz w:val="24"/>
                <w:szCs w:val="24"/>
              </w:rPr>
            </w:pPr>
            <w:r w:rsidRPr="00BB2036">
              <w:rPr>
                <w:color w:val="000000" w:themeColor="text1"/>
                <w:sz w:val="24"/>
                <w:szCs w:val="24"/>
              </w:rPr>
              <w:t>TTDI</w:t>
            </w:r>
          </w:p>
        </w:tc>
        <w:tc>
          <w:tcPr>
            <w:tcW w:w="7096" w:type="dxa"/>
            <w:tcMar>
              <w:top w:w="15" w:type="dxa"/>
              <w:left w:w="15" w:type="dxa"/>
              <w:bottom w:w="0" w:type="dxa"/>
              <w:right w:w="15" w:type="dxa"/>
            </w:tcMar>
            <w:vAlign w:val="center"/>
          </w:tcPr>
          <w:p w14:paraId="05B12278" w14:textId="77777777" w:rsidR="00FB178A" w:rsidRPr="00BB2036" w:rsidRDefault="00FB178A" w:rsidP="009E18ED">
            <w:pPr>
              <w:spacing w:line="276" w:lineRule="auto"/>
              <w:rPr>
                <w:color w:val="000000" w:themeColor="text1"/>
                <w:sz w:val="24"/>
                <w:szCs w:val="24"/>
              </w:rPr>
            </w:pPr>
            <w:r w:rsidRPr="00BB2036">
              <w:rPr>
                <w:color w:val="000000" w:themeColor="text1"/>
                <w:sz w:val="24"/>
                <w:szCs w:val="24"/>
                <w:shd w:val="clear" w:color="auto" w:fill="FFFFFF"/>
              </w:rPr>
              <w:t>Indeks razvoja putovanja i turizma (</w:t>
            </w:r>
            <w:proofErr w:type="spellStart"/>
            <w:r w:rsidRPr="00BB2036">
              <w:rPr>
                <w:color w:val="000000" w:themeColor="text1"/>
                <w:sz w:val="24"/>
                <w:szCs w:val="24"/>
                <w:shd w:val="clear" w:color="auto" w:fill="FFFFFF"/>
              </w:rPr>
              <w:t>eng</w:t>
            </w:r>
            <w:proofErr w:type="spellEnd"/>
            <w:r w:rsidRPr="00BB2036">
              <w:rPr>
                <w:color w:val="000000" w:themeColor="text1"/>
                <w:sz w:val="24"/>
                <w:szCs w:val="24"/>
                <w:shd w:val="clear" w:color="auto" w:fill="FFFFFF"/>
              </w:rPr>
              <w:t xml:space="preserve">. </w:t>
            </w:r>
            <w:proofErr w:type="spellStart"/>
            <w:r w:rsidRPr="00BB2036">
              <w:rPr>
                <w:rStyle w:val="normaltextrun"/>
                <w:color w:val="000000" w:themeColor="text1"/>
                <w:sz w:val="24"/>
                <w:szCs w:val="24"/>
              </w:rPr>
              <w:t>Travel</w:t>
            </w:r>
            <w:proofErr w:type="spellEnd"/>
            <w:r w:rsidRPr="00BB2036">
              <w:rPr>
                <w:rStyle w:val="normaltextrun"/>
                <w:color w:val="000000" w:themeColor="text1"/>
                <w:sz w:val="24"/>
                <w:szCs w:val="24"/>
              </w:rPr>
              <w:t xml:space="preserve"> </w:t>
            </w:r>
            <w:proofErr w:type="spellStart"/>
            <w:r w:rsidRPr="00BB2036">
              <w:rPr>
                <w:rStyle w:val="normaltextrun"/>
                <w:color w:val="000000" w:themeColor="text1"/>
                <w:sz w:val="24"/>
                <w:szCs w:val="24"/>
              </w:rPr>
              <w:t>and</w:t>
            </w:r>
            <w:proofErr w:type="spellEnd"/>
            <w:r w:rsidRPr="00BB2036">
              <w:rPr>
                <w:rStyle w:val="normaltextrun"/>
                <w:color w:val="000000" w:themeColor="text1"/>
                <w:sz w:val="24"/>
                <w:szCs w:val="24"/>
              </w:rPr>
              <w:t xml:space="preserve"> </w:t>
            </w:r>
            <w:proofErr w:type="spellStart"/>
            <w:r w:rsidRPr="00BB2036">
              <w:rPr>
                <w:rStyle w:val="normaltextrun"/>
                <w:color w:val="000000" w:themeColor="text1"/>
                <w:sz w:val="24"/>
                <w:szCs w:val="24"/>
              </w:rPr>
              <w:t>Tourism</w:t>
            </w:r>
            <w:proofErr w:type="spellEnd"/>
            <w:r w:rsidRPr="00BB2036">
              <w:rPr>
                <w:rStyle w:val="normaltextrun"/>
                <w:color w:val="000000" w:themeColor="text1"/>
                <w:sz w:val="24"/>
                <w:szCs w:val="24"/>
              </w:rPr>
              <w:t xml:space="preserve"> Development Indeks)</w:t>
            </w:r>
          </w:p>
        </w:tc>
      </w:tr>
      <w:tr w:rsidR="00FB178A" w:rsidRPr="00145379" w14:paraId="15011841" w14:textId="77777777" w:rsidTr="009E18ED">
        <w:trPr>
          <w:trHeight w:val="315"/>
        </w:trPr>
        <w:tc>
          <w:tcPr>
            <w:tcW w:w="2124" w:type="dxa"/>
            <w:tcMar>
              <w:top w:w="15" w:type="dxa"/>
              <w:left w:w="15" w:type="dxa"/>
              <w:bottom w:w="0" w:type="dxa"/>
              <w:right w:w="15" w:type="dxa"/>
            </w:tcMar>
            <w:vAlign w:val="center"/>
            <w:hideMark/>
          </w:tcPr>
          <w:p w14:paraId="1D90DDE8" w14:textId="77777777" w:rsidR="00FB178A" w:rsidRPr="00145379" w:rsidRDefault="00FB178A" w:rsidP="009E18ED">
            <w:pPr>
              <w:spacing w:line="276" w:lineRule="auto"/>
              <w:rPr>
                <w:color w:val="000000"/>
                <w:sz w:val="24"/>
                <w:szCs w:val="24"/>
              </w:rPr>
            </w:pPr>
            <w:r w:rsidRPr="00145379">
              <w:rPr>
                <w:color w:val="000000"/>
                <w:sz w:val="24"/>
                <w:szCs w:val="24"/>
              </w:rPr>
              <w:t>UN</w:t>
            </w:r>
          </w:p>
        </w:tc>
        <w:tc>
          <w:tcPr>
            <w:tcW w:w="7096" w:type="dxa"/>
            <w:tcMar>
              <w:top w:w="15" w:type="dxa"/>
              <w:left w:w="15" w:type="dxa"/>
              <w:bottom w:w="0" w:type="dxa"/>
              <w:right w:w="15" w:type="dxa"/>
            </w:tcMar>
            <w:vAlign w:val="center"/>
            <w:hideMark/>
          </w:tcPr>
          <w:p w14:paraId="599DC7A6" w14:textId="77777777" w:rsidR="00FB178A" w:rsidRPr="00145379" w:rsidRDefault="00FB178A" w:rsidP="009E18ED">
            <w:pPr>
              <w:spacing w:line="276" w:lineRule="auto"/>
              <w:rPr>
                <w:color w:val="000000"/>
                <w:sz w:val="24"/>
                <w:szCs w:val="24"/>
              </w:rPr>
            </w:pPr>
            <w:r w:rsidRPr="00145379">
              <w:rPr>
                <w:color w:val="000000"/>
                <w:sz w:val="24"/>
                <w:szCs w:val="24"/>
              </w:rPr>
              <w:t>Ujedinjeni narodi</w:t>
            </w:r>
          </w:p>
        </w:tc>
      </w:tr>
      <w:tr w:rsidR="00FB178A" w:rsidRPr="00145379" w14:paraId="4DBA2107" w14:textId="77777777" w:rsidTr="009E18ED">
        <w:trPr>
          <w:trHeight w:val="348"/>
        </w:trPr>
        <w:tc>
          <w:tcPr>
            <w:tcW w:w="2124" w:type="dxa"/>
            <w:tcMar>
              <w:top w:w="15" w:type="dxa"/>
              <w:left w:w="15" w:type="dxa"/>
              <w:bottom w:w="0" w:type="dxa"/>
              <w:right w:w="15" w:type="dxa"/>
            </w:tcMar>
            <w:vAlign w:val="center"/>
          </w:tcPr>
          <w:p w14:paraId="660C2D22" w14:textId="77777777" w:rsidR="00FB178A" w:rsidRPr="00145379" w:rsidRDefault="00FB178A" w:rsidP="009E18ED">
            <w:pPr>
              <w:spacing w:line="276" w:lineRule="auto"/>
              <w:rPr>
                <w:color w:val="000000"/>
                <w:sz w:val="24"/>
                <w:szCs w:val="24"/>
              </w:rPr>
            </w:pPr>
            <w:r>
              <w:rPr>
                <w:color w:val="000000"/>
                <w:sz w:val="24"/>
                <w:szCs w:val="24"/>
              </w:rPr>
              <w:t>URDN</w:t>
            </w:r>
          </w:p>
        </w:tc>
        <w:tc>
          <w:tcPr>
            <w:tcW w:w="7096" w:type="dxa"/>
            <w:tcMar>
              <w:top w:w="15" w:type="dxa"/>
              <w:left w:w="15" w:type="dxa"/>
              <w:bottom w:w="0" w:type="dxa"/>
              <w:right w:w="15" w:type="dxa"/>
            </w:tcMar>
            <w:vAlign w:val="center"/>
          </w:tcPr>
          <w:p w14:paraId="7C2C620A" w14:textId="77777777" w:rsidR="00FB178A" w:rsidRPr="00145379" w:rsidRDefault="00FB178A" w:rsidP="009E18ED">
            <w:pPr>
              <w:spacing w:line="276" w:lineRule="auto"/>
              <w:rPr>
                <w:color w:val="000000"/>
                <w:sz w:val="24"/>
                <w:szCs w:val="24"/>
              </w:rPr>
            </w:pPr>
            <w:r w:rsidRPr="00F33D64">
              <w:rPr>
                <w:iCs/>
                <w:color w:val="000000"/>
                <w:kern w:val="2"/>
                <w:sz w:val="24"/>
                <w:szCs w:val="24"/>
                <w:lang w:eastAsia="hr-HR"/>
                <w14:ligatures w14:val="standardContextual"/>
              </w:rPr>
              <w:t>aplikacija „Učinci raspolaganja državnim nekretninama</w:t>
            </w:r>
            <w:r>
              <w:rPr>
                <w:iCs/>
                <w:color w:val="000000"/>
                <w:kern w:val="2"/>
                <w:sz w:val="24"/>
                <w:szCs w:val="24"/>
                <w:lang w:eastAsia="hr-HR"/>
                <w14:ligatures w14:val="standardContextual"/>
              </w:rPr>
              <w:t>“</w:t>
            </w:r>
          </w:p>
        </w:tc>
      </w:tr>
      <w:tr w:rsidR="00FB178A" w:rsidRPr="00145379" w14:paraId="3D456A49" w14:textId="77777777" w:rsidTr="009E18ED">
        <w:trPr>
          <w:trHeight w:val="348"/>
        </w:trPr>
        <w:tc>
          <w:tcPr>
            <w:tcW w:w="2124" w:type="dxa"/>
            <w:tcMar>
              <w:top w:w="15" w:type="dxa"/>
              <w:left w:w="15" w:type="dxa"/>
              <w:bottom w:w="0" w:type="dxa"/>
              <w:right w:w="15" w:type="dxa"/>
            </w:tcMar>
            <w:vAlign w:val="center"/>
          </w:tcPr>
          <w:p w14:paraId="7891EC12" w14:textId="77777777" w:rsidR="00FB178A" w:rsidRPr="00145379" w:rsidRDefault="00FB178A" w:rsidP="009E18ED">
            <w:pPr>
              <w:spacing w:line="276" w:lineRule="auto"/>
              <w:rPr>
                <w:color w:val="000000"/>
                <w:sz w:val="24"/>
                <w:szCs w:val="24"/>
              </w:rPr>
            </w:pPr>
            <w:r>
              <w:rPr>
                <w:color w:val="000000"/>
                <w:sz w:val="24"/>
                <w:szCs w:val="24"/>
              </w:rPr>
              <w:t>VHCN</w:t>
            </w:r>
          </w:p>
        </w:tc>
        <w:tc>
          <w:tcPr>
            <w:tcW w:w="7096" w:type="dxa"/>
            <w:tcMar>
              <w:top w:w="15" w:type="dxa"/>
              <w:left w:w="15" w:type="dxa"/>
              <w:bottom w:w="0" w:type="dxa"/>
              <w:right w:w="15" w:type="dxa"/>
            </w:tcMar>
            <w:vAlign w:val="center"/>
          </w:tcPr>
          <w:p w14:paraId="111A6946" w14:textId="77777777" w:rsidR="00FB178A" w:rsidRPr="00145379" w:rsidRDefault="00FB178A" w:rsidP="009E18ED">
            <w:pPr>
              <w:spacing w:line="276" w:lineRule="auto"/>
              <w:rPr>
                <w:color w:val="000000"/>
                <w:sz w:val="24"/>
                <w:szCs w:val="24"/>
              </w:rPr>
            </w:pPr>
            <w:r>
              <w:rPr>
                <w:sz w:val="24"/>
                <w:szCs w:val="24"/>
              </w:rPr>
              <w:t>M</w:t>
            </w:r>
            <w:r w:rsidRPr="005827F4">
              <w:rPr>
                <w:sz w:val="24"/>
                <w:szCs w:val="24"/>
              </w:rPr>
              <w:t>rež</w:t>
            </w:r>
            <w:r>
              <w:rPr>
                <w:sz w:val="24"/>
                <w:szCs w:val="24"/>
              </w:rPr>
              <w:t xml:space="preserve">e </w:t>
            </w:r>
            <w:r w:rsidRPr="005827F4">
              <w:rPr>
                <w:sz w:val="24"/>
                <w:szCs w:val="24"/>
              </w:rPr>
              <w:t>vrlo velikog kapaciteta</w:t>
            </w:r>
            <w:r>
              <w:rPr>
                <w:sz w:val="24"/>
                <w:szCs w:val="24"/>
              </w:rPr>
              <w:t xml:space="preserve"> </w:t>
            </w:r>
            <w:r w:rsidRPr="005827F4">
              <w:rPr>
                <w:sz w:val="24"/>
                <w:szCs w:val="24"/>
              </w:rPr>
              <w:t>(</w:t>
            </w:r>
            <w:proofErr w:type="spellStart"/>
            <w:r>
              <w:rPr>
                <w:sz w:val="24"/>
                <w:szCs w:val="24"/>
              </w:rPr>
              <w:t>eng</w:t>
            </w:r>
            <w:proofErr w:type="spellEnd"/>
            <w:r>
              <w:rPr>
                <w:sz w:val="24"/>
                <w:szCs w:val="24"/>
              </w:rPr>
              <w:t xml:space="preserve">. </w:t>
            </w:r>
            <w:proofErr w:type="spellStart"/>
            <w:r>
              <w:rPr>
                <w:sz w:val="24"/>
                <w:szCs w:val="24"/>
              </w:rPr>
              <w:t>Very</w:t>
            </w:r>
            <w:proofErr w:type="spellEnd"/>
            <w:r>
              <w:rPr>
                <w:sz w:val="24"/>
                <w:szCs w:val="24"/>
              </w:rPr>
              <w:t xml:space="preserve"> </w:t>
            </w:r>
            <w:proofErr w:type="spellStart"/>
            <w:r>
              <w:rPr>
                <w:sz w:val="24"/>
                <w:szCs w:val="24"/>
              </w:rPr>
              <w:t>High</w:t>
            </w:r>
            <w:proofErr w:type="spellEnd"/>
            <w:r>
              <w:rPr>
                <w:sz w:val="24"/>
                <w:szCs w:val="24"/>
              </w:rPr>
              <w:t xml:space="preserve"> </w:t>
            </w:r>
            <w:proofErr w:type="spellStart"/>
            <w:r>
              <w:rPr>
                <w:sz w:val="24"/>
                <w:szCs w:val="24"/>
              </w:rPr>
              <w:t>Capacity</w:t>
            </w:r>
            <w:proofErr w:type="spellEnd"/>
            <w:r>
              <w:rPr>
                <w:sz w:val="24"/>
                <w:szCs w:val="24"/>
              </w:rPr>
              <w:t xml:space="preserve"> </w:t>
            </w:r>
            <w:proofErr w:type="spellStart"/>
            <w:r>
              <w:rPr>
                <w:sz w:val="24"/>
                <w:szCs w:val="24"/>
              </w:rPr>
              <w:t>Networks</w:t>
            </w:r>
            <w:proofErr w:type="spellEnd"/>
            <w:r>
              <w:rPr>
                <w:sz w:val="24"/>
                <w:szCs w:val="24"/>
              </w:rPr>
              <w:t>)</w:t>
            </w:r>
          </w:p>
        </w:tc>
      </w:tr>
      <w:tr w:rsidR="00FB178A" w:rsidRPr="00145379" w14:paraId="62F26048" w14:textId="77777777" w:rsidTr="009E18ED">
        <w:trPr>
          <w:trHeight w:val="348"/>
        </w:trPr>
        <w:tc>
          <w:tcPr>
            <w:tcW w:w="2124" w:type="dxa"/>
            <w:tcMar>
              <w:top w:w="15" w:type="dxa"/>
              <w:left w:w="15" w:type="dxa"/>
              <w:bottom w:w="0" w:type="dxa"/>
              <w:right w:w="15" w:type="dxa"/>
            </w:tcMar>
            <w:vAlign w:val="center"/>
          </w:tcPr>
          <w:p w14:paraId="2B0B53C7" w14:textId="77777777" w:rsidR="00FB178A" w:rsidRPr="00145379" w:rsidRDefault="00FB178A" w:rsidP="009E18ED">
            <w:pPr>
              <w:spacing w:line="276" w:lineRule="auto"/>
              <w:rPr>
                <w:color w:val="000000"/>
                <w:sz w:val="24"/>
                <w:szCs w:val="24"/>
              </w:rPr>
            </w:pPr>
            <w:r>
              <w:rPr>
                <w:color w:val="000000"/>
                <w:sz w:val="24"/>
                <w:szCs w:val="24"/>
              </w:rPr>
              <w:t>WCR</w:t>
            </w:r>
          </w:p>
        </w:tc>
        <w:tc>
          <w:tcPr>
            <w:tcW w:w="7096" w:type="dxa"/>
            <w:tcMar>
              <w:top w:w="15" w:type="dxa"/>
              <w:left w:w="15" w:type="dxa"/>
              <w:bottom w:w="0" w:type="dxa"/>
              <w:right w:w="15" w:type="dxa"/>
            </w:tcMar>
            <w:vAlign w:val="center"/>
          </w:tcPr>
          <w:p w14:paraId="6C99CA4A" w14:textId="77777777" w:rsidR="00FB178A" w:rsidRPr="00145379" w:rsidRDefault="00FB178A" w:rsidP="009E18ED">
            <w:pPr>
              <w:spacing w:line="276" w:lineRule="auto"/>
              <w:rPr>
                <w:color w:val="000000"/>
                <w:sz w:val="24"/>
                <w:szCs w:val="24"/>
              </w:rPr>
            </w:pPr>
            <w:r w:rsidRPr="00145379">
              <w:rPr>
                <w:color w:val="000000"/>
                <w:sz w:val="24"/>
                <w:szCs w:val="24"/>
              </w:rPr>
              <w:t>Globalna ljestvica konkurentnosti (</w:t>
            </w:r>
            <w:proofErr w:type="spellStart"/>
            <w:r w:rsidRPr="00145379">
              <w:rPr>
                <w:color w:val="000000"/>
                <w:sz w:val="24"/>
                <w:szCs w:val="24"/>
              </w:rPr>
              <w:t>eng</w:t>
            </w:r>
            <w:proofErr w:type="spellEnd"/>
            <w:r w:rsidRPr="00145379">
              <w:rPr>
                <w:color w:val="000000"/>
                <w:sz w:val="24"/>
                <w:szCs w:val="24"/>
              </w:rPr>
              <w:t xml:space="preserve">. World </w:t>
            </w:r>
            <w:proofErr w:type="spellStart"/>
            <w:r w:rsidRPr="00145379">
              <w:rPr>
                <w:color w:val="000000"/>
                <w:sz w:val="24"/>
                <w:szCs w:val="24"/>
              </w:rPr>
              <w:t>Competitiveness</w:t>
            </w:r>
            <w:proofErr w:type="spellEnd"/>
            <w:r w:rsidRPr="00145379">
              <w:rPr>
                <w:color w:val="000000"/>
                <w:sz w:val="24"/>
                <w:szCs w:val="24"/>
              </w:rPr>
              <w:t xml:space="preserve"> </w:t>
            </w:r>
            <w:proofErr w:type="spellStart"/>
            <w:r w:rsidRPr="00145379">
              <w:rPr>
                <w:color w:val="000000"/>
                <w:sz w:val="24"/>
                <w:szCs w:val="24"/>
              </w:rPr>
              <w:t>Ranking</w:t>
            </w:r>
            <w:proofErr w:type="spellEnd"/>
            <w:r w:rsidRPr="00145379">
              <w:rPr>
                <w:color w:val="000000"/>
                <w:sz w:val="24"/>
                <w:szCs w:val="24"/>
              </w:rPr>
              <w:t>)</w:t>
            </w:r>
          </w:p>
        </w:tc>
      </w:tr>
      <w:tr w:rsidR="00FB178A" w:rsidRPr="00145379" w14:paraId="44F915EA" w14:textId="77777777" w:rsidTr="009E18ED">
        <w:trPr>
          <w:trHeight w:val="348"/>
        </w:trPr>
        <w:tc>
          <w:tcPr>
            <w:tcW w:w="2124" w:type="dxa"/>
            <w:tcMar>
              <w:top w:w="15" w:type="dxa"/>
              <w:left w:w="15" w:type="dxa"/>
              <w:bottom w:w="0" w:type="dxa"/>
              <w:right w:w="15" w:type="dxa"/>
            </w:tcMar>
            <w:vAlign w:val="center"/>
          </w:tcPr>
          <w:p w14:paraId="07649D7A" w14:textId="77777777" w:rsidR="00FB178A" w:rsidRPr="00145379" w:rsidRDefault="00FB178A" w:rsidP="009E18ED">
            <w:pPr>
              <w:spacing w:line="276" w:lineRule="auto"/>
              <w:rPr>
                <w:color w:val="000000"/>
                <w:sz w:val="24"/>
                <w:szCs w:val="24"/>
              </w:rPr>
            </w:pPr>
            <w:r w:rsidRPr="00145379">
              <w:rPr>
                <w:color w:val="000000"/>
                <w:sz w:val="24"/>
                <w:szCs w:val="24"/>
              </w:rPr>
              <w:t>WEF</w:t>
            </w:r>
          </w:p>
        </w:tc>
        <w:tc>
          <w:tcPr>
            <w:tcW w:w="7096" w:type="dxa"/>
            <w:tcMar>
              <w:top w:w="15" w:type="dxa"/>
              <w:left w:w="15" w:type="dxa"/>
              <w:bottom w:w="0" w:type="dxa"/>
              <w:right w:w="15" w:type="dxa"/>
            </w:tcMar>
            <w:vAlign w:val="center"/>
          </w:tcPr>
          <w:p w14:paraId="39F9F357" w14:textId="77777777" w:rsidR="00FB178A" w:rsidRPr="00145379" w:rsidRDefault="00FB178A" w:rsidP="009E18ED">
            <w:pPr>
              <w:spacing w:line="276" w:lineRule="auto"/>
              <w:rPr>
                <w:color w:val="000000"/>
                <w:sz w:val="24"/>
                <w:szCs w:val="24"/>
              </w:rPr>
            </w:pPr>
            <w:r w:rsidRPr="00145379">
              <w:rPr>
                <w:color w:val="000000"/>
                <w:sz w:val="24"/>
                <w:szCs w:val="24"/>
              </w:rPr>
              <w:t>Svjetski gospodarski forum (</w:t>
            </w:r>
            <w:proofErr w:type="spellStart"/>
            <w:r w:rsidRPr="00145379">
              <w:rPr>
                <w:color w:val="000000"/>
                <w:sz w:val="24"/>
                <w:szCs w:val="24"/>
              </w:rPr>
              <w:t>eng</w:t>
            </w:r>
            <w:proofErr w:type="spellEnd"/>
            <w:r w:rsidRPr="00145379">
              <w:rPr>
                <w:color w:val="000000"/>
                <w:sz w:val="24"/>
                <w:szCs w:val="24"/>
              </w:rPr>
              <w:t xml:space="preserve">. World </w:t>
            </w:r>
            <w:proofErr w:type="spellStart"/>
            <w:r w:rsidRPr="00145379">
              <w:rPr>
                <w:color w:val="000000"/>
                <w:sz w:val="24"/>
                <w:szCs w:val="24"/>
              </w:rPr>
              <w:t>Economic</w:t>
            </w:r>
            <w:proofErr w:type="spellEnd"/>
            <w:r w:rsidRPr="00145379">
              <w:rPr>
                <w:color w:val="000000"/>
                <w:sz w:val="24"/>
                <w:szCs w:val="24"/>
              </w:rPr>
              <w:t xml:space="preserve"> Forum)</w:t>
            </w:r>
          </w:p>
        </w:tc>
      </w:tr>
      <w:tr w:rsidR="00FB178A" w:rsidRPr="00145379" w14:paraId="247C4845" w14:textId="77777777" w:rsidTr="009E18ED">
        <w:trPr>
          <w:trHeight w:val="348"/>
        </w:trPr>
        <w:tc>
          <w:tcPr>
            <w:tcW w:w="2124" w:type="dxa"/>
            <w:tcMar>
              <w:top w:w="15" w:type="dxa"/>
              <w:left w:w="15" w:type="dxa"/>
              <w:bottom w:w="0" w:type="dxa"/>
              <w:right w:w="15" w:type="dxa"/>
            </w:tcMar>
            <w:vAlign w:val="center"/>
          </w:tcPr>
          <w:p w14:paraId="22CA8C86" w14:textId="77777777" w:rsidR="00FB178A" w:rsidRPr="00145379" w:rsidRDefault="00FB178A" w:rsidP="009E18ED">
            <w:pPr>
              <w:spacing w:line="276" w:lineRule="auto"/>
              <w:rPr>
                <w:color w:val="000000"/>
                <w:sz w:val="24"/>
                <w:szCs w:val="24"/>
              </w:rPr>
            </w:pPr>
            <w:r>
              <w:rPr>
                <w:color w:val="000000"/>
                <w:sz w:val="24"/>
                <w:szCs w:val="24"/>
              </w:rPr>
              <w:t>WIPO</w:t>
            </w:r>
          </w:p>
        </w:tc>
        <w:tc>
          <w:tcPr>
            <w:tcW w:w="7096" w:type="dxa"/>
            <w:tcMar>
              <w:top w:w="15" w:type="dxa"/>
              <w:left w:w="15" w:type="dxa"/>
              <w:bottom w:w="0" w:type="dxa"/>
              <w:right w:w="15" w:type="dxa"/>
            </w:tcMar>
            <w:vAlign w:val="center"/>
          </w:tcPr>
          <w:p w14:paraId="4F7DB457" w14:textId="77777777" w:rsidR="00FB178A" w:rsidRPr="00145379" w:rsidRDefault="00FB178A" w:rsidP="009E18ED">
            <w:pPr>
              <w:spacing w:line="276" w:lineRule="auto"/>
              <w:rPr>
                <w:color w:val="000000"/>
                <w:sz w:val="24"/>
                <w:szCs w:val="24"/>
              </w:rPr>
            </w:pPr>
            <w:r w:rsidRPr="0022059E">
              <w:rPr>
                <w:rFonts w:eastAsiaTheme="minorHAnsi"/>
                <w:sz w:val="24"/>
                <w:szCs w:val="24"/>
              </w:rPr>
              <w:t>Svjetska organizacija za intelektualno vlasništvo</w:t>
            </w:r>
          </w:p>
        </w:tc>
      </w:tr>
      <w:tr w:rsidR="00FB178A" w:rsidRPr="00145379" w14:paraId="03A92310" w14:textId="77777777" w:rsidTr="009E18ED">
        <w:trPr>
          <w:trHeight w:val="315"/>
        </w:trPr>
        <w:tc>
          <w:tcPr>
            <w:tcW w:w="2124" w:type="dxa"/>
            <w:tcMar>
              <w:top w:w="15" w:type="dxa"/>
              <w:left w:w="15" w:type="dxa"/>
              <w:bottom w:w="0" w:type="dxa"/>
              <w:right w:w="15" w:type="dxa"/>
            </w:tcMar>
            <w:vAlign w:val="center"/>
            <w:hideMark/>
          </w:tcPr>
          <w:p w14:paraId="4EED50AA" w14:textId="77777777" w:rsidR="00FB178A" w:rsidRPr="00145379" w:rsidRDefault="00FB178A" w:rsidP="009E18ED">
            <w:pPr>
              <w:spacing w:line="276" w:lineRule="auto"/>
              <w:rPr>
                <w:color w:val="000000"/>
                <w:sz w:val="24"/>
                <w:szCs w:val="24"/>
              </w:rPr>
            </w:pPr>
            <w:r w:rsidRPr="00145379">
              <w:rPr>
                <w:color w:val="000000"/>
                <w:sz w:val="24"/>
                <w:szCs w:val="24"/>
              </w:rPr>
              <w:t>WTO</w:t>
            </w:r>
          </w:p>
        </w:tc>
        <w:tc>
          <w:tcPr>
            <w:tcW w:w="7096" w:type="dxa"/>
            <w:tcMar>
              <w:top w:w="15" w:type="dxa"/>
              <w:left w:w="15" w:type="dxa"/>
              <w:bottom w:w="0" w:type="dxa"/>
              <w:right w:w="15" w:type="dxa"/>
            </w:tcMar>
            <w:vAlign w:val="center"/>
            <w:hideMark/>
          </w:tcPr>
          <w:p w14:paraId="013C5C2F" w14:textId="77777777" w:rsidR="00FB178A" w:rsidRPr="00145379" w:rsidRDefault="00FB178A" w:rsidP="009E18ED">
            <w:pPr>
              <w:spacing w:line="276" w:lineRule="auto"/>
              <w:rPr>
                <w:color w:val="000000"/>
                <w:sz w:val="24"/>
                <w:szCs w:val="24"/>
              </w:rPr>
            </w:pPr>
            <w:r w:rsidRPr="00145379">
              <w:rPr>
                <w:color w:val="000000"/>
                <w:sz w:val="24"/>
                <w:szCs w:val="24"/>
              </w:rPr>
              <w:t>Svjetska trgovinska organizacija (</w:t>
            </w:r>
            <w:proofErr w:type="spellStart"/>
            <w:r w:rsidRPr="00145379">
              <w:rPr>
                <w:color w:val="000000"/>
                <w:sz w:val="24"/>
                <w:szCs w:val="24"/>
              </w:rPr>
              <w:t>eng</w:t>
            </w:r>
            <w:proofErr w:type="spellEnd"/>
            <w:r w:rsidRPr="00145379">
              <w:rPr>
                <w:color w:val="000000"/>
                <w:sz w:val="24"/>
                <w:szCs w:val="24"/>
              </w:rPr>
              <w:t xml:space="preserve">. World </w:t>
            </w:r>
            <w:proofErr w:type="spellStart"/>
            <w:r w:rsidRPr="00145379">
              <w:rPr>
                <w:color w:val="000000"/>
                <w:sz w:val="24"/>
                <w:szCs w:val="24"/>
              </w:rPr>
              <w:t>Trade</w:t>
            </w:r>
            <w:proofErr w:type="spellEnd"/>
            <w:r w:rsidRPr="00145379">
              <w:rPr>
                <w:color w:val="000000"/>
                <w:sz w:val="24"/>
                <w:szCs w:val="24"/>
              </w:rPr>
              <w:t xml:space="preserve"> </w:t>
            </w:r>
            <w:proofErr w:type="spellStart"/>
            <w:r w:rsidRPr="00145379">
              <w:rPr>
                <w:color w:val="000000"/>
                <w:sz w:val="24"/>
                <w:szCs w:val="24"/>
              </w:rPr>
              <w:t>Organization</w:t>
            </w:r>
            <w:proofErr w:type="spellEnd"/>
            <w:r w:rsidRPr="00145379">
              <w:rPr>
                <w:color w:val="000000"/>
                <w:sz w:val="24"/>
                <w:szCs w:val="24"/>
              </w:rPr>
              <w:t>)</w:t>
            </w:r>
          </w:p>
        </w:tc>
      </w:tr>
      <w:tr w:rsidR="00FB178A" w:rsidRPr="00145379" w14:paraId="77D9F23C" w14:textId="77777777" w:rsidTr="009E18ED">
        <w:trPr>
          <w:trHeight w:val="315"/>
        </w:trPr>
        <w:tc>
          <w:tcPr>
            <w:tcW w:w="2124" w:type="dxa"/>
            <w:tcMar>
              <w:top w:w="15" w:type="dxa"/>
              <w:left w:w="15" w:type="dxa"/>
              <w:bottom w:w="0" w:type="dxa"/>
              <w:right w:w="15" w:type="dxa"/>
            </w:tcMar>
            <w:vAlign w:val="center"/>
          </w:tcPr>
          <w:p w14:paraId="0AB2C1D5" w14:textId="77777777" w:rsidR="00FB178A" w:rsidRPr="006E642D" w:rsidRDefault="00FB178A" w:rsidP="009E18ED">
            <w:pPr>
              <w:spacing w:line="276" w:lineRule="auto"/>
              <w:rPr>
                <w:color w:val="000000"/>
                <w:sz w:val="24"/>
                <w:szCs w:val="24"/>
              </w:rPr>
            </w:pPr>
            <w:r w:rsidRPr="00E01901">
              <w:rPr>
                <w:sz w:val="24"/>
                <w:szCs w:val="24"/>
              </w:rPr>
              <w:t>YP CORE</w:t>
            </w:r>
          </w:p>
        </w:tc>
        <w:tc>
          <w:tcPr>
            <w:tcW w:w="7096" w:type="dxa"/>
            <w:tcMar>
              <w:top w:w="15" w:type="dxa"/>
              <w:left w:w="15" w:type="dxa"/>
              <w:bottom w:w="0" w:type="dxa"/>
              <w:right w:w="15" w:type="dxa"/>
            </w:tcMar>
            <w:vAlign w:val="center"/>
          </w:tcPr>
          <w:p w14:paraId="06C2BD04" w14:textId="77777777" w:rsidR="00FB178A" w:rsidRPr="006E642D" w:rsidRDefault="00FB178A" w:rsidP="009E18ED">
            <w:pPr>
              <w:spacing w:line="276" w:lineRule="auto"/>
              <w:rPr>
                <w:color w:val="000000"/>
                <w:sz w:val="24"/>
                <w:szCs w:val="24"/>
              </w:rPr>
            </w:pPr>
            <w:r w:rsidRPr="00E01901">
              <w:rPr>
                <w:rStyle w:val="Strong"/>
                <w:b w:val="0"/>
                <w:bCs w:val="0"/>
                <w:color w:val="001D35"/>
                <w:sz w:val="24"/>
                <w:szCs w:val="24"/>
                <w:shd w:val="clear" w:color="auto" w:fill="FFFFFF"/>
              </w:rPr>
              <w:t xml:space="preserve">Evaluacija </w:t>
            </w:r>
            <w:r>
              <w:rPr>
                <w:rStyle w:val="Strong"/>
                <w:b w:val="0"/>
                <w:bCs w:val="0"/>
                <w:color w:val="001D35"/>
                <w:sz w:val="24"/>
                <w:szCs w:val="24"/>
                <w:shd w:val="clear" w:color="auto" w:fill="FFFFFF"/>
              </w:rPr>
              <w:t>k</w:t>
            </w:r>
            <w:r w:rsidRPr="00E01901">
              <w:rPr>
                <w:rStyle w:val="Strong"/>
                <w:b w:val="0"/>
                <w:bCs w:val="0"/>
                <w:color w:val="001D35"/>
                <w:sz w:val="24"/>
                <w:szCs w:val="24"/>
                <w:shd w:val="clear" w:color="auto" w:fill="FFFFFF"/>
              </w:rPr>
              <w:t xml:space="preserve">liničkih </w:t>
            </w:r>
            <w:r>
              <w:rPr>
                <w:rStyle w:val="Strong"/>
                <w:b w:val="0"/>
                <w:bCs w:val="0"/>
                <w:color w:val="001D35"/>
                <w:sz w:val="24"/>
                <w:szCs w:val="24"/>
                <w:shd w:val="clear" w:color="auto" w:fill="FFFFFF"/>
              </w:rPr>
              <w:t>i</w:t>
            </w:r>
            <w:r w:rsidRPr="00E01901">
              <w:rPr>
                <w:rStyle w:val="Strong"/>
                <w:b w:val="0"/>
                <w:bCs w:val="0"/>
                <w:color w:val="001D35"/>
                <w:sz w:val="24"/>
                <w:szCs w:val="24"/>
                <w:shd w:val="clear" w:color="auto" w:fill="FFFFFF"/>
              </w:rPr>
              <w:t xml:space="preserve">shoda </w:t>
            </w:r>
            <w:r>
              <w:rPr>
                <w:rStyle w:val="Strong"/>
                <w:b w:val="0"/>
                <w:bCs w:val="0"/>
                <w:color w:val="001D35"/>
                <w:sz w:val="24"/>
                <w:szCs w:val="24"/>
                <w:shd w:val="clear" w:color="auto" w:fill="FFFFFF"/>
              </w:rPr>
              <w:t>k</w:t>
            </w:r>
            <w:r w:rsidRPr="00E01901">
              <w:rPr>
                <w:rStyle w:val="Strong"/>
                <w:b w:val="0"/>
                <w:bCs w:val="0"/>
                <w:color w:val="001D35"/>
                <w:sz w:val="24"/>
                <w:szCs w:val="24"/>
                <w:shd w:val="clear" w:color="auto" w:fill="FFFFFF"/>
              </w:rPr>
              <w:t xml:space="preserve">od </w:t>
            </w:r>
            <w:r>
              <w:rPr>
                <w:rStyle w:val="Strong"/>
                <w:b w:val="0"/>
                <w:bCs w:val="0"/>
                <w:color w:val="001D35"/>
                <w:sz w:val="24"/>
                <w:szCs w:val="24"/>
                <w:shd w:val="clear" w:color="auto" w:fill="FFFFFF"/>
              </w:rPr>
              <w:t>m</w:t>
            </w:r>
            <w:r w:rsidRPr="00E01901">
              <w:rPr>
                <w:rStyle w:val="Strong"/>
                <w:b w:val="0"/>
                <w:bCs w:val="0"/>
                <w:color w:val="001D35"/>
                <w:sz w:val="24"/>
                <w:szCs w:val="24"/>
                <w:shd w:val="clear" w:color="auto" w:fill="FFFFFF"/>
              </w:rPr>
              <w:t xml:space="preserve">ladih u </w:t>
            </w:r>
            <w:r>
              <w:rPr>
                <w:rStyle w:val="Strong"/>
                <w:b w:val="0"/>
                <w:bCs w:val="0"/>
                <w:color w:val="001D35"/>
                <w:sz w:val="24"/>
                <w:szCs w:val="24"/>
                <w:shd w:val="clear" w:color="auto" w:fill="FFFFFF"/>
              </w:rPr>
              <w:t>r</w:t>
            </w:r>
            <w:r w:rsidRPr="00E01901">
              <w:rPr>
                <w:rStyle w:val="Strong"/>
                <w:b w:val="0"/>
                <w:bCs w:val="0"/>
                <w:color w:val="001D35"/>
                <w:sz w:val="24"/>
                <w:szCs w:val="24"/>
                <w:shd w:val="clear" w:color="auto" w:fill="FFFFFF"/>
              </w:rPr>
              <w:t xml:space="preserve">utinskoj </w:t>
            </w:r>
            <w:r>
              <w:rPr>
                <w:rStyle w:val="Strong"/>
                <w:b w:val="0"/>
                <w:bCs w:val="0"/>
                <w:color w:val="001D35"/>
                <w:sz w:val="24"/>
                <w:szCs w:val="24"/>
                <w:shd w:val="clear" w:color="auto" w:fill="FFFFFF"/>
              </w:rPr>
              <w:t>p</w:t>
            </w:r>
            <w:r w:rsidRPr="00E01901">
              <w:rPr>
                <w:rStyle w:val="Strong"/>
                <w:b w:val="0"/>
                <w:bCs w:val="0"/>
                <w:color w:val="001D35"/>
                <w:sz w:val="24"/>
                <w:szCs w:val="24"/>
                <w:shd w:val="clear" w:color="auto" w:fill="FFFFFF"/>
              </w:rPr>
              <w:t>raksi</w:t>
            </w:r>
            <w:r w:rsidRPr="00E01901">
              <w:rPr>
                <w:sz w:val="24"/>
                <w:szCs w:val="24"/>
              </w:rPr>
              <w:t xml:space="preserve"> (</w:t>
            </w:r>
            <w:proofErr w:type="spellStart"/>
            <w:r w:rsidRPr="00E01901">
              <w:rPr>
                <w:sz w:val="24"/>
                <w:szCs w:val="24"/>
              </w:rPr>
              <w:t>eng</w:t>
            </w:r>
            <w:proofErr w:type="spellEnd"/>
            <w:r w:rsidRPr="00E01901">
              <w:rPr>
                <w:sz w:val="24"/>
                <w:szCs w:val="24"/>
              </w:rPr>
              <w:t xml:space="preserve">. Young </w:t>
            </w:r>
            <w:proofErr w:type="spellStart"/>
            <w:r w:rsidRPr="00E01901">
              <w:rPr>
                <w:sz w:val="24"/>
                <w:szCs w:val="24"/>
              </w:rPr>
              <w:t>Person</w:t>
            </w:r>
            <w:proofErr w:type="spellEnd"/>
            <w:r w:rsidRPr="00E01901">
              <w:rPr>
                <w:sz w:val="24"/>
                <w:szCs w:val="24"/>
              </w:rPr>
              <w:t xml:space="preserve"> </w:t>
            </w:r>
            <w:proofErr w:type="spellStart"/>
            <w:r w:rsidRPr="00E01901">
              <w:rPr>
                <w:sz w:val="24"/>
                <w:szCs w:val="24"/>
              </w:rPr>
              <w:t>Clinical</w:t>
            </w:r>
            <w:proofErr w:type="spellEnd"/>
            <w:r w:rsidRPr="00E01901">
              <w:rPr>
                <w:sz w:val="24"/>
                <w:szCs w:val="24"/>
              </w:rPr>
              <w:t xml:space="preserve"> </w:t>
            </w:r>
            <w:proofErr w:type="spellStart"/>
            <w:r w:rsidRPr="00E01901">
              <w:rPr>
                <w:sz w:val="24"/>
                <w:szCs w:val="24"/>
              </w:rPr>
              <w:t>Outcomes</w:t>
            </w:r>
            <w:proofErr w:type="spellEnd"/>
            <w:r w:rsidRPr="00E01901">
              <w:rPr>
                <w:sz w:val="24"/>
                <w:szCs w:val="24"/>
              </w:rPr>
              <w:t xml:space="preserve"> </w:t>
            </w:r>
            <w:proofErr w:type="spellStart"/>
            <w:r w:rsidRPr="00E01901">
              <w:rPr>
                <w:sz w:val="24"/>
                <w:szCs w:val="24"/>
              </w:rPr>
              <w:t>in</w:t>
            </w:r>
            <w:proofErr w:type="spellEnd"/>
            <w:r w:rsidRPr="00E01901">
              <w:rPr>
                <w:sz w:val="24"/>
                <w:szCs w:val="24"/>
              </w:rPr>
              <w:t xml:space="preserve"> </w:t>
            </w:r>
            <w:proofErr w:type="spellStart"/>
            <w:r w:rsidRPr="00E01901">
              <w:rPr>
                <w:sz w:val="24"/>
                <w:szCs w:val="24"/>
              </w:rPr>
              <w:t>Routine</w:t>
            </w:r>
            <w:proofErr w:type="spellEnd"/>
            <w:r w:rsidRPr="00E01901">
              <w:rPr>
                <w:sz w:val="24"/>
                <w:szCs w:val="24"/>
              </w:rPr>
              <w:t xml:space="preserve"> </w:t>
            </w:r>
            <w:proofErr w:type="spellStart"/>
            <w:r w:rsidRPr="00E01901">
              <w:rPr>
                <w:sz w:val="24"/>
                <w:szCs w:val="24"/>
              </w:rPr>
              <w:t>Evaluation</w:t>
            </w:r>
            <w:proofErr w:type="spellEnd"/>
            <w:r w:rsidRPr="00E01901">
              <w:rPr>
                <w:sz w:val="24"/>
                <w:szCs w:val="24"/>
              </w:rPr>
              <w:t xml:space="preserve">) </w:t>
            </w:r>
          </w:p>
        </w:tc>
      </w:tr>
    </w:tbl>
    <w:p w14:paraId="7F2EEB80" w14:textId="77777777" w:rsidR="00FB178A" w:rsidRDefault="00FB178A" w:rsidP="00FB178A">
      <w:pPr>
        <w:rPr>
          <w:sz w:val="24"/>
          <w:szCs w:val="24"/>
        </w:rPr>
      </w:pPr>
    </w:p>
    <w:p w14:paraId="460D7BB8" w14:textId="77777777" w:rsidR="00FB178A" w:rsidRPr="00145379" w:rsidRDefault="00FB178A" w:rsidP="00FB178A">
      <w:pPr>
        <w:spacing w:line="276" w:lineRule="auto"/>
        <w:rPr>
          <w:sz w:val="24"/>
          <w:szCs w:val="24"/>
        </w:rPr>
      </w:pPr>
    </w:p>
    <w:p w14:paraId="0E50232E" w14:textId="77777777" w:rsidR="00FB178A" w:rsidRDefault="00FB178A" w:rsidP="00FB178A">
      <w:pPr>
        <w:rPr>
          <w:b/>
          <w:bCs/>
          <w:sz w:val="24"/>
          <w:szCs w:val="24"/>
        </w:rPr>
      </w:pPr>
      <w:r>
        <w:rPr>
          <w:b/>
          <w:bCs/>
          <w:sz w:val="24"/>
          <w:szCs w:val="24"/>
        </w:rPr>
        <w:br w:type="page"/>
      </w:r>
    </w:p>
    <w:p w14:paraId="33624D51" w14:textId="77777777" w:rsidR="00FB178A" w:rsidRPr="009E6E59" w:rsidRDefault="00FB178A" w:rsidP="00FB178A">
      <w:pPr>
        <w:pStyle w:val="Heading1"/>
        <w:ind w:left="0"/>
        <w:rPr>
          <w:rStyle w:val="normaltextrun"/>
          <w:sz w:val="24"/>
          <w:szCs w:val="24"/>
        </w:rPr>
      </w:pPr>
      <w:bookmarkStart w:id="1" w:name="_Toc223002921"/>
      <w:r w:rsidRPr="009E6E59">
        <w:rPr>
          <w:rStyle w:val="normaltextrun"/>
          <w:sz w:val="24"/>
          <w:szCs w:val="24"/>
        </w:rPr>
        <w:lastRenderedPageBreak/>
        <w:t>Uvod</w:t>
      </w:r>
      <w:bookmarkEnd w:id="1"/>
    </w:p>
    <w:p w14:paraId="5D3CD957" w14:textId="77777777" w:rsidR="00FB178A" w:rsidRPr="009E6E59" w:rsidRDefault="00FB178A" w:rsidP="00FB178A">
      <w:pPr>
        <w:rPr>
          <w:rStyle w:val="normaltextrun"/>
          <w:sz w:val="24"/>
          <w:szCs w:val="24"/>
        </w:rPr>
      </w:pPr>
    </w:p>
    <w:p w14:paraId="026AD24D" w14:textId="77777777" w:rsidR="00FB178A" w:rsidRPr="009E6E59" w:rsidRDefault="00FB178A" w:rsidP="00FB178A">
      <w:pPr>
        <w:rPr>
          <w:rStyle w:val="normaltextrun"/>
          <w:b/>
          <w:sz w:val="24"/>
          <w:szCs w:val="24"/>
        </w:rPr>
      </w:pPr>
      <w:r w:rsidRPr="009E6E59">
        <w:rPr>
          <w:rStyle w:val="normaltextrun"/>
          <w:b/>
          <w:sz w:val="24"/>
          <w:szCs w:val="24"/>
        </w:rPr>
        <w:t xml:space="preserve">Makroekonomski pokazatelji ostvareni u 2024. godini </w:t>
      </w:r>
    </w:p>
    <w:p w14:paraId="57127278" w14:textId="77777777" w:rsidR="00FB178A" w:rsidRDefault="00FB178A" w:rsidP="00FB178A">
      <w:pPr>
        <w:spacing w:line="276" w:lineRule="auto"/>
        <w:ind w:firstLine="720"/>
        <w:rPr>
          <w:rStyle w:val="normaltextrun"/>
          <w:b/>
          <w:sz w:val="28"/>
          <w:szCs w:val="28"/>
        </w:rPr>
      </w:pPr>
    </w:p>
    <w:p w14:paraId="79BE3CA9" w14:textId="77777777" w:rsidR="00FB178A" w:rsidRDefault="00FB178A" w:rsidP="00FB178A">
      <w:pPr>
        <w:spacing w:line="276" w:lineRule="auto"/>
        <w:ind w:firstLine="720"/>
        <w:jc w:val="both"/>
        <w:rPr>
          <w:color w:val="000000" w:themeColor="text1"/>
          <w:sz w:val="24"/>
          <w:szCs w:val="24"/>
        </w:rPr>
      </w:pPr>
      <w:r w:rsidRPr="00715CA7">
        <w:rPr>
          <w:color w:val="000000" w:themeColor="text1"/>
          <w:sz w:val="24"/>
          <w:szCs w:val="24"/>
        </w:rPr>
        <w:t>U 2024.</w:t>
      </w:r>
      <w:r>
        <w:rPr>
          <w:color w:val="000000" w:themeColor="text1"/>
          <w:sz w:val="24"/>
          <w:szCs w:val="24"/>
        </w:rPr>
        <w:t xml:space="preserve"> godini</w:t>
      </w:r>
      <w:r w:rsidRPr="00715CA7">
        <w:rPr>
          <w:color w:val="000000" w:themeColor="text1"/>
          <w:sz w:val="24"/>
          <w:szCs w:val="24"/>
        </w:rPr>
        <w:t xml:space="preserve"> hrvatsko gospodarstvo nastavilo je pokazivati visoku razinu otpornosti unatoč pojačanim geopolitičkim napetostima i </w:t>
      </w:r>
      <w:r>
        <w:rPr>
          <w:color w:val="000000" w:themeColor="text1"/>
          <w:sz w:val="24"/>
          <w:szCs w:val="24"/>
        </w:rPr>
        <w:t>umjere</w:t>
      </w:r>
      <w:r w:rsidRPr="00715CA7">
        <w:rPr>
          <w:color w:val="000000" w:themeColor="text1"/>
          <w:sz w:val="24"/>
          <w:szCs w:val="24"/>
        </w:rPr>
        <w:t xml:space="preserve">noj gospodarskoj aktivnosti u </w:t>
      </w:r>
      <w:proofErr w:type="spellStart"/>
      <w:r w:rsidRPr="00715CA7">
        <w:rPr>
          <w:color w:val="000000" w:themeColor="text1"/>
          <w:sz w:val="24"/>
          <w:szCs w:val="24"/>
        </w:rPr>
        <w:t>europodručju</w:t>
      </w:r>
      <w:proofErr w:type="spellEnd"/>
      <w:r w:rsidRPr="00715CA7">
        <w:rPr>
          <w:color w:val="000000" w:themeColor="text1"/>
          <w:sz w:val="24"/>
          <w:szCs w:val="24"/>
        </w:rPr>
        <w:t>. Realni rast BDP-a iznosio je 3,</w:t>
      </w:r>
      <w:r>
        <w:rPr>
          <w:color w:val="000000" w:themeColor="text1"/>
          <w:sz w:val="24"/>
          <w:szCs w:val="24"/>
        </w:rPr>
        <w:t>8</w:t>
      </w:r>
      <w:r w:rsidRPr="00715CA7">
        <w:rPr>
          <w:color w:val="000000" w:themeColor="text1"/>
          <w:sz w:val="24"/>
          <w:szCs w:val="24"/>
        </w:rPr>
        <w:t>%, pri čemu je rast i dalje pretežito bio predvođen snažnom domaćom potražnjom, čiji je doprinos iznosio 6,</w:t>
      </w:r>
      <w:r>
        <w:rPr>
          <w:color w:val="000000" w:themeColor="text1"/>
          <w:sz w:val="24"/>
          <w:szCs w:val="24"/>
        </w:rPr>
        <w:t>3</w:t>
      </w:r>
      <w:r w:rsidRPr="00715CA7">
        <w:rPr>
          <w:color w:val="000000" w:themeColor="text1"/>
          <w:sz w:val="24"/>
          <w:szCs w:val="24"/>
        </w:rPr>
        <w:t xml:space="preserve"> postotnih bodova. Najveći pozitivan doprinos došao je od potrošnje kućanstava, koja je uz realan rast od 5,</w:t>
      </w:r>
      <w:r>
        <w:rPr>
          <w:color w:val="000000" w:themeColor="text1"/>
          <w:sz w:val="24"/>
          <w:szCs w:val="24"/>
        </w:rPr>
        <w:t>9</w:t>
      </w:r>
      <w:r w:rsidRPr="00715CA7">
        <w:rPr>
          <w:color w:val="000000" w:themeColor="text1"/>
          <w:sz w:val="24"/>
          <w:szCs w:val="24"/>
        </w:rPr>
        <w:t>% pridonijela rastu BDP-a s 3,</w:t>
      </w:r>
      <w:r>
        <w:rPr>
          <w:color w:val="000000" w:themeColor="text1"/>
          <w:sz w:val="24"/>
          <w:szCs w:val="24"/>
        </w:rPr>
        <w:t>3</w:t>
      </w:r>
      <w:r w:rsidRPr="00715CA7">
        <w:rPr>
          <w:color w:val="000000" w:themeColor="text1"/>
          <w:sz w:val="24"/>
          <w:szCs w:val="24"/>
        </w:rPr>
        <w:t xml:space="preserve"> postotna boda, potaknuta rastom zaposlenosti i snažnim realnim rastom plaća. Bruto investicije u fiksni kapital porasle su za </w:t>
      </w:r>
      <w:r>
        <w:rPr>
          <w:color w:val="000000" w:themeColor="text1"/>
          <w:sz w:val="24"/>
          <w:szCs w:val="24"/>
        </w:rPr>
        <w:t>5,3</w:t>
      </w:r>
      <w:r w:rsidRPr="00715CA7">
        <w:rPr>
          <w:color w:val="000000" w:themeColor="text1"/>
          <w:sz w:val="24"/>
          <w:szCs w:val="24"/>
        </w:rPr>
        <w:t xml:space="preserve">% i doprinijele rastu s dodatnih </w:t>
      </w:r>
      <w:r>
        <w:rPr>
          <w:color w:val="000000" w:themeColor="text1"/>
          <w:sz w:val="24"/>
          <w:szCs w:val="24"/>
        </w:rPr>
        <w:t>1,3</w:t>
      </w:r>
      <w:r w:rsidRPr="00715CA7">
        <w:rPr>
          <w:color w:val="000000" w:themeColor="text1"/>
          <w:sz w:val="24"/>
          <w:szCs w:val="24"/>
        </w:rPr>
        <w:t xml:space="preserve"> postotna boda, dok je državna potrošnja porasla za 7,</w:t>
      </w:r>
      <w:r>
        <w:rPr>
          <w:color w:val="000000" w:themeColor="text1"/>
          <w:sz w:val="24"/>
          <w:szCs w:val="24"/>
        </w:rPr>
        <w:t>3</w:t>
      </w:r>
      <w:r w:rsidRPr="00715CA7">
        <w:rPr>
          <w:color w:val="000000" w:themeColor="text1"/>
          <w:sz w:val="24"/>
          <w:szCs w:val="24"/>
        </w:rPr>
        <w:t>%.</w:t>
      </w:r>
      <w:r>
        <w:rPr>
          <w:color w:val="000000" w:themeColor="text1"/>
          <w:sz w:val="24"/>
          <w:szCs w:val="24"/>
        </w:rPr>
        <w:t xml:space="preserve"> Pozitivan doprinos rastu (+1,3 postotna boda) stigao je i od promjene zaliha.</w:t>
      </w:r>
      <w:r w:rsidRPr="00715CA7">
        <w:rPr>
          <w:color w:val="000000" w:themeColor="text1"/>
          <w:sz w:val="24"/>
          <w:szCs w:val="24"/>
        </w:rPr>
        <w:t xml:space="preserve"> S druge strane, neto inozemna potražnja imala je negativan doprinos od </w:t>
      </w:r>
      <w:r>
        <w:rPr>
          <w:color w:val="000000" w:themeColor="text1"/>
          <w:sz w:val="24"/>
          <w:szCs w:val="24"/>
        </w:rPr>
        <w:t>3,8</w:t>
      </w:r>
      <w:r w:rsidRPr="00715CA7">
        <w:rPr>
          <w:color w:val="000000" w:themeColor="text1"/>
          <w:sz w:val="24"/>
          <w:szCs w:val="24"/>
        </w:rPr>
        <w:t xml:space="preserve"> postotnih bodova, budući da je rast uvoza roba i usluga od </w:t>
      </w:r>
      <w:r>
        <w:rPr>
          <w:color w:val="000000" w:themeColor="text1"/>
          <w:sz w:val="24"/>
          <w:szCs w:val="24"/>
        </w:rPr>
        <w:t>8,4</w:t>
      </w:r>
      <w:r w:rsidRPr="00715CA7">
        <w:rPr>
          <w:color w:val="000000" w:themeColor="text1"/>
          <w:sz w:val="24"/>
          <w:szCs w:val="24"/>
        </w:rPr>
        <w:t>% (uvoz roba +</w:t>
      </w:r>
      <w:r>
        <w:rPr>
          <w:color w:val="000000" w:themeColor="text1"/>
          <w:sz w:val="24"/>
          <w:szCs w:val="24"/>
        </w:rPr>
        <w:t>7,9</w:t>
      </w:r>
      <w:r w:rsidRPr="00715CA7">
        <w:rPr>
          <w:color w:val="000000" w:themeColor="text1"/>
          <w:sz w:val="24"/>
          <w:szCs w:val="24"/>
        </w:rPr>
        <w:t xml:space="preserve">%, </w:t>
      </w:r>
      <w:r>
        <w:rPr>
          <w:color w:val="000000" w:themeColor="text1"/>
          <w:sz w:val="24"/>
          <w:szCs w:val="24"/>
        </w:rPr>
        <w:t xml:space="preserve">uvoz </w:t>
      </w:r>
      <w:r w:rsidRPr="00715CA7">
        <w:rPr>
          <w:color w:val="000000" w:themeColor="text1"/>
          <w:sz w:val="24"/>
          <w:szCs w:val="24"/>
        </w:rPr>
        <w:t>usluga +10,</w:t>
      </w:r>
      <w:r>
        <w:rPr>
          <w:color w:val="000000" w:themeColor="text1"/>
          <w:sz w:val="24"/>
          <w:szCs w:val="24"/>
        </w:rPr>
        <w:t>9</w:t>
      </w:r>
      <w:r w:rsidRPr="00715CA7">
        <w:rPr>
          <w:color w:val="000000" w:themeColor="text1"/>
          <w:sz w:val="24"/>
          <w:szCs w:val="24"/>
        </w:rPr>
        <w:t xml:space="preserve">%) nadmašio rast izvoza od </w:t>
      </w:r>
      <w:r>
        <w:rPr>
          <w:color w:val="000000" w:themeColor="text1"/>
          <w:sz w:val="24"/>
          <w:szCs w:val="24"/>
        </w:rPr>
        <w:t>1,6</w:t>
      </w:r>
      <w:r w:rsidRPr="00715CA7">
        <w:rPr>
          <w:color w:val="000000" w:themeColor="text1"/>
          <w:sz w:val="24"/>
          <w:szCs w:val="24"/>
        </w:rPr>
        <w:t>% (izvoz roba +</w:t>
      </w:r>
      <w:r>
        <w:rPr>
          <w:color w:val="000000" w:themeColor="text1"/>
          <w:sz w:val="24"/>
          <w:szCs w:val="24"/>
        </w:rPr>
        <w:t>6</w:t>
      </w:r>
      <w:r w:rsidRPr="00715CA7">
        <w:rPr>
          <w:color w:val="000000" w:themeColor="text1"/>
          <w:sz w:val="24"/>
          <w:szCs w:val="24"/>
        </w:rPr>
        <w:t>,4%, izvoz usluga -</w:t>
      </w:r>
      <w:r>
        <w:rPr>
          <w:color w:val="000000" w:themeColor="text1"/>
          <w:sz w:val="24"/>
          <w:szCs w:val="24"/>
        </w:rPr>
        <w:t>2</w:t>
      </w:r>
      <w:r w:rsidRPr="00715CA7">
        <w:rPr>
          <w:color w:val="000000" w:themeColor="text1"/>
          <w:sz w:val="24"/>
          <w:szCs w:val="24"/>
        </w:rPr>
        <w:t>,</w:t>
      </w:r>
      <w:r>
        <w:rPr>
          <w:color w:val="000000" w:themeColor="text1"/>
          <w:sz w:val="24"/>
          <w:szCs w:val="24"/>
        </w:rPr>
        <w:t>6</w:t>
      </w:r>
      <w:r w:rsidRPr="00715CA7">
        <w:rPr>
          <w:color w:val="000000" w:themeColor="text1"/>
          <w:sz w:val="24"/>
          <w:szCs w:val="24"/>
        </w:rPr>
        <w:t>%). U tekućim cijenama BDP je u 2024. iznosio 85,</w:t>
      </w:r>
      <w:r>
        <w:rPr>
          <w:color w:val="000000" w:themeColor="text1"/>
          <w:sz w:val="24"/>
          <w:szCs w:val="24"/>
        </w:rPr>
        <w:t>9</w:t>
      </w:r>
      <w:r w:rsidRPr="00715CA7">
        <w:rPr>
          <w:color w:val="000000" w:themeColor="text1"/>
          <w:sz w:val="24"/>
          <w:szCs w:val="24"/>
        </w:rPr>
        <w:t xml:space="preserve"> m</w:t>
      </w:r>
      <w:r>
        <w:rPr>
          <w:color w:val="000000" w:themeColor="text1"/>
          <w:sz w:val="24"/>
          <w:szCs w:val="24"/>
        </w:rPr>
        <w:t>ilijardi</w:t>
      </w:r>
      <w:r w:rsidRPr="00715CA7">
        <w:rPr>
          <w:color w:val="000000" w:themeColor="text1"/>
          <w:sz w:val="24"/>
          <w:szCs w:val="24"/>
        </w:rPr>
        <w:t xml:space="preserve"> eura, uz nominalni rast od </w:t>
      </w:r>
      <w:r>
        <w:rPr>
          <w:color w:val="000000" w:themeColor="text1"/>
          <w:sz w:val="24"/>
          <w:szCs w:val="24"/>
        </w:rPr>
        <w:t>8,5</w:t>
      </w:r>
      <w:r w:rsidRPr="00715CA7">
        <w:rPr>
          <w:color w:val="000000" w:themeColor="text1"/>
          <w:sz w:val="24"/>
          <w:szCs w:val="24"/>
        </w:rPr>
        <w:t xml:space="preserve">% i rast deflatora BDP-a od </w:t>
      </w:r>
      <w:r>
        <w:rPr>
          <w:color w:val="000000" w:themeColor="text1"/>
          <w:sz w:val="24"/>
          <w:szCs w:val="24"/>
        </w:rPr>
        <w:t>4</w:t>
      </w:r>
      <w:r w:rsidRPr="00715CA7">
        <w:rPr>
          <w:color w:val="000000" w:themeColor="text1"/>
          <w:sz w:val="24"/>
          <w:szCs w:val="24"/>
        </w:rPr>
        <w:t xml:space="preserve">,5%. Na razini djelatnosti, trgovina na malo bilježila je pozitivna kretanja potaknuta rastom raspoloživog dohotka, turistička noćenja porasla su za 1,4% nakon godina snažnog </w:t>
      </w:r>
      <w:proofErr w:type="spellStart"/>
      <w:r w:rsidRPr="00715CA7">
        <w:rPr>
          <w:color w:val="000000" w:themeColor="text1"/>
          <w:sz w:val="24"/>
          <w:szCs w:val="24"/>
        </w:rPr>
        <w:t>postpandemijskog</w:t>
      </w:r>
      <w:proofErr w:type="spellEnd"/>
      <w:r w:rsidRPr="00715CA7">
        <w:rPr>
          <w:color w:val="000000" w:themeColor="text1"/>
          <w:sz w:val="24"/>
          <w:szCs w:val="24"/>
        </w:rPr>
        <w:t xml:space="preserve"> oporavka, građevinska aktivnost nastavila je rasti devetu godinu zaredom, dok je industrijska proizvodnja drugu godinu zaredom zabilježila međugodišnje smanjenje. Uz pozitivne realne trendove, zabilježeno je i smanjenje udjela bruto inozemnog duga u BDP-u, koji je krajem 2024. bio za 1</w:t>
      </w:r>
      <w:r>
        <w:rPr>
          <w:color w:val="000000" w:themeColor="text1"/>
          <w:sz w:val="24"/>
          <w:szCs w:val="24"/>
        </w:rPr>
        <w:t>0</w:t>
      </w:r>
      <w:r w:rsidRPr="00715CA7">
        <w:rPr>
          <w:color w:val="000000" w:themeColor="text1"/>
          <w:sz w:val="24"/>
          <w:szCs w:val="24"/>
        </w:rPr>
        <w:t>,</w:t>
      </w:r>
      <w:r>
        <w:rPr>
          <w:color w:val="000000" w:themeColor="text1"/>
          <w:sz w:val="24"/>
          <w:szCs w:val="24"/>
        </w:rPr>
        <w:t>5%</w:t>
      </w:r>
      <w:r w:rsidRPr="00715CA7">
        <w:rPr>
          <w:color w:val="000000" w:themeColor="text1"/>
          <w:sz w:val="24"/>
          <w:szCs w:val="24"/>
        </w:rPr>
        <w:t xml:space="preserve"> niži nego krajem 2023</w:t>
      </w:r>
      <w:r>
        <w:rPr>
          <w:color w:val="000000" w:themeColor="text1"/>
          <w:sz w:val="24"/>
          <w:szCs w:val="24"/>
        </w:rPr>
        <w:t>. godine</w:t>
      </w:r>
      <w:r w:rsidRPr="00715CA7">
        <w:rPr>
          <w:color w:val="000000" w:themeColor="text1"/>
          <w:sz w:val="24"/>
          <w:szCs w:val="24"/>
        </w:rPr>
        <w:t>.</w:t>
      </w:r>
    </w:p>
    <w:p w14:paraId="122A12CA" w14:textId="77777777" w:rsidR="00FB178A" w:rsidRDefault="00FB178A" w:rsidP="00FB178A">
      <w:pPr>
        <w:spacing w:before="240" w:line="276" w:lineRule="auto"/>
        <w:jc w:val="both"/>
        <w:rPr>
          <w:color w:val="000000" w:themeColor="text1"/>
          <w:sz w:val="24"/>
          <w:szCs w:val="24"/>
        </w:rPr>
      </w:pPr>
      <w:r>
        <w:rPr>
          <w:color w:val="000000" w:themeColor="text1"/>
          <w:sz w:val="24"/>
          <w:szCs w:val="24"/>
        </w:rPr>
        <w:t>Pozitivna k</w:t>
      </w:r>
      <w:r w:rsidRPr="00715CA7">
        <w:rPr>
          <w:color w:val="000000" w:themeColor="text1"/>
          <w:sz w:val="24"/>
          <w:szCs w:val="24"/>
        </w:rPr>
        <w:t>retanja na tržištu rada i u području plaća dodatno su poduprla gospodarsku aktivnost i rast životnog standarda. Broj registriranih nezaposlenih kod Hrvatskog zavoda za zapošljavanje nastavio je padati te je u prosjeku 2024. iznosio oko 95</w:t>
      </w:r>
      <w:r>
        <w:rPr>
          <w:color w:val="000000" w:themeColor="text1"/>
          <w:sz w:val="24"/>
          <w:szCs w:val="24"/>
        </w:rPr>
        <w:t>.000</w:t>
      </w:r>
      <w:r w:rsidRPr="00715CA7">
        <w:rPr>
          <w:color w:val="000000" w:themeColor="text1"/>
          <w:sz w:val="24"/>
          <w:szCs w:val="24"/>
        </w:rPr>
        <w:t xml:space="preserve"> osoba, što je 12,5% manje nego 2023.</w:t>
      </w:r>
      <w:r>
        <w:rPr>
          <w:color w:val="000000" w:themeColor="text1"/>
          <w:sz w:val="24"/>
          <w:szCs w:val="24"/>
        </w:rPr>
        <w:t xml:space="preserve"> godine.</w:t>
      </w:r>
      <w:r w:rsidRPr="00715CA7">
        <w:rPr>
          <w:color w:val="000000" w:themeColor="text1"/>
          <w:sz w:val="24"/>
          <w:szCs w:val="24"/>
        </w:rPr>
        <w:t xml:space="preserve"> Prosječna administrativna stopa nezaposlenosti smanjena je na 5,3%, odnosno 0,9 postotnih bodova manje u odnosu na prethodnu godinu, dok podaci Hrvatskog zavoda za mirovinsko osiguranje pokazuju rast broja osiguranika od 3,3%. Istodobno je nastavljen snažan nominalni rast plaća potaknut povoljnim gospodarskim kretanjima i nedostatkom radne snage u pojedinim djelatnostima, a uz usporavanje inflacije to je rezultiralo ubrzanjem realnog rasta plaća. Prosječna mjesečna bruto plaća u 2024. iznosila je 1.821 euro (nominalni rast 15,0%, realni 11,7%), dok je prosječna neto plaća iznosila 1.318 eura (nominalni rast 14,8%, realni </w:t>
      </w:r>
      <w:r>
        <w:rPr>
          <w:color w:val="000000" w:themeColor="text1"/>
          <w:sz w:val="24"/>
          <w:szCs w:val="24"/>
        </w:rPr>
        <w:t xml:space="preserve">rast </w:t>
      </w:r>
      <w:r w:rsidRPr="00715CA7">
        <w:rPr>
          <w:color w:val="000000" w:themeColor="text1"/>
          <w:sz w:val="24"/>
          <w:szCs w:val="24"/>
        </w:rPr>
        <w:t>11,5%). Prosječna godišnja stopa inflacije usporila je s 8,0% u 2023. na 3,0% u 2024.</w:t>
      </w:r>
      <w:r>
        <w:rPr>
          <w:color w:val="000000" w:themeColor="text1"/>
          <w:sz w:val="24"/>
          <w:szCs w:val="24"/>
        </w:rPr>
        <w:t xml:space="preserve">, s time da su </w:t>
      </w:r>
      <w:r w:rsidRPr="00715CA7">
        <w:rPr>
          <w:color w:val="000000" w:themeColor="text1"/>
          <w:sz w:val="24"/>
          <w:szCs w:val="24"/>
        </w:rPr>
        <w:t>na međugodišnji rast potrošačkih cijena najjače djelovali rast cijena usluga (+5,</w:t>
      </w:r>
      <w:r>
        <w:rPr>
          <w:color w:val="000000" w:themeColor="text1"/>
          <w:sz w:val="24"/>
          <w:szCs w:val="24"/>
        </w:rPr>
        <w:t>8</w:t>
      </w:r>
      <w:r w:rsidRPr="00715CA7">
        <w:rPr>
          <w:color w:val="000000" w:themeColor="text1"/>
          <w:sz w:val="24"/>
          <w:szCs w:val="24"/>
        </w:rPr>
        <w:t xml:space="preserve">%) te hrane, pića i duhana (+3,9%). Kada se iz indeksa potrošačkih cijena isključe energija, hrana, pića i duhan, zabilježen je porast </w:t>
      </w:r>
      <w:r>
        <w:rPr>
          <w:color w:val="000000" w:themeColor="text1"/>
          <w:sz w:val="24"/>
          <w:szCs w:val="24"/>
        </w:rPr>
        <w:t xml:space="preserve">cijena </w:t>
      </w:r>
      <w:r w:rsidRPr="00715CA7">
        <w:rPr>
          <w:color w:val="000000" w:themeColor="text1"/>
          <w:sz w:val="24"/>
          <w:szCs w:val="24"/>
        </w:rPr>
        <w:t xml:space="preserve">preostalih komponenti od </w:t>
      </w:r>
      <w:r>
        <w:rPr>
          <w:color w:val="000000" w:themeColor="text1"/>
          <w:sz w:val="24"/>
          <w:szCs w:val="24"/>
        </w:rPr>
        <w:t>3</w:t>
      </w:r>
      <w:r w:rsidRPr="00715CA7">
        <w:rPr>
          <w:color w:val="000000" w:themeColor="text1"/>
          <w:sz w:val="24"/>
          <w:szCs w:val="24"/>
        </w:rPr>
        <w:t>,6%, što ukazuje na još uvijek povišene pritiske temeljne inflacije, ali na znatno povoljnije okruženje u odnosu na prethodnu godinu.</w:t>
      </w:r>
    </w:p>
    <w:p w14:paraId="731F785E" w14:textId="77777777" w:rsidR="00FB178A" w:rsidRPr="00BF7A2F" w:rsidRDefault="00FB178A" w:rsidP="00FB178A">
      <w:pPr>
        <w:spacing w:before="240" w:line="276" w:lineRule="auto"/>
        <w:jc w:val="both"/>
        <w:rPr>
          <w:color w:val="000000" w:themeColor="text1"/>
          <w:sz w:val="24"/>
          <w:szCs w:val="24"/>
        </w:rPr>
      </w:pPr>
      <w:r w:rsidRPr="00167EDC">
        <w:rPr>
          <w:color w:val="000000" w:themeColor="text1"/>
          <w:sz w:val="24"/>
          <w:szCs w:val="24"/>
        </w:rPr>
        <w:t xml:space="preserve">U trgovini na malo </w:t>
      </w:r>
      <w:r>
        <w:rPr>
          <w:color w:val="000000" w:themeColor="text1"/>
          <w:sz w:val="24"/>
          <w:szCs w:val="24"/>
        </w:rPr>
        <w:t>n</w:t>
      </w:r>
      <w:r w:rsidRPr="00167EDC">
        <w:rPr>
          <w:color w:val="000000" w:themeColor="text1"/>
          <w:sz w:val="24"/>
          <w:szCs w:val="24"/>
        </w:rPr>
        <w:t>a</w:t>
      </w:r>
      <w:r>
        <w:rPr>
          <w:color w:val="000000" w:themeColor="text1"/>
          <w:sz w:val="24"/>
          <w:szCs w:val="24"/>
        </w:rPr>
        <w:t>stavljena</w:t>
      </w:r>
      <w:r w:rsidRPr="00167EDC">
        <w:rPr>
          <w:color w:val="000000" w:themeColor="text1"/>
          <w:sz w:val="24"/>
          <w:szCs w:val="24"/>
        </w:rPr>
        <w:t xml:space="preserve"> </w:t>
      </w:r>
      <w:r>
        <w:rPr>
          <w:color w:val="000000" w:themeColor="text1"/>
          <w:sz w:val="24"/>
          <w:szCs w:val="24"/>
        </w:rPr>
        <w:t xml:space="preserve">su </w:t>
      </w:r>
      <w:r w:rsidRPr="00167EDC">
        <w:rPr>
          <w:color w:val="000000" w:themeColor="text1"/>
          <w:sz w:val="24"/>
          <w:szCs w:val="24"/>
        </w:rPr>
        <w:t>pozitivna kretanja, potaknuta rastom zaposlenosti i raspoloživog dohotka</w:t>
      </w:r>
      <w:r>
        <w:rPr>
          <w:color w:val="000000" w:themeColor="text1"/>
          <w:sz w:val="24"/>
          <w:szCs w:val="24"/>
        </w:rPr>
        <w:t xml:space="preserve"> te je ukupan </w:t>
      </w:r>
      <w:r w:rsidRPr="00F84815">
        <w:rPr>
          <w:color w:val="000000" w:themeColor="text1"/>
          <w:sz w:val="24"/>
          <w:szCs w:val="24"/>
        </w:rPr>
        <w:t xml:space="preserve">promet u trgovini na malo </w:t>
      </w:r>
      <w:r>
        <w:rPr>
          <w:color w:val="000000" w:themeColor="text1"/>
          <w:sz w:val="24"/>
          <w:szCs w:val="24"/>
        </w:rPr>
        <w:t xml:space="preserve">tijekom 2024. </w:t>
      </w:r>
      <w:r w:rsidRPr="00F84815">
        <w:rPr>
          <w:color w:val="000000" w:themeColor="text1"/>
          <w:sz w:val="24"/>
          <w:szCs w:val="24"/>
        </w:rPr>
        <w:t>povećan u nominaln</w:t>
      </w:r>
      <w:r>
        <w:rPr>
          <w:color w:val="000000" w:themeColor="text1"/>
          <w:sz w:val="24"/>
          <w:szCs w:val="24"/>
        </w:rPr>
        <w:t>o</w:t>
      </w:r>
      <w:r w:rsidRPr="00F84815">
        <w:rPr>
          <w:color w:val="000000" w:themeColor="text1"/>
          <w:sz w:val="24"/>
          <w:szCs w:val="24"/>
        </w:rPr>
        <w:t>m iznos</w:t>
      </w:r>
      <w:r>
        <w:rPr>
          <w:color w:val="000000" w:themeColor="text1"/>
          <w:sz w:val="24"/>
          <w:szCs w:val="24"/>
        </w:rPr>
        <w:t xml:space="preserve">u za </w:t>
      </w:r>
      <w:r w:rsidRPr="00F84815">
        <w:rPr>
          <w:color w:val="000000" w:themeColor="text1"/>
          <w:sz w:val="24"/>
          <w:szCs w:val="24"/>
        </w:rPr>
        <w:t>9,8%</w:t>
      </w:r>
      <w:r>
        <w:rPr>
          <w:color w:val="000000" w:themeColor="text1"/>
          <w:sz w:val="24"/>
          <w:szCs w:val="24"/>
        </w:rPr>
        <w:t xml:space="preserve"> u odnosu na 2023. godinu. </w:t>
      </w:r>
      <w:r w:rsidRPr="000703C1">
        <w:rPr>
          <w:color w:val="000000" w:themeColor="text1"/>
          <w:sz w:val="24"/>
          <w:szCs w:val="24"/>
        </w:rPr>
        <w:t>Građevinska aktivnost nastav</w:t>
      </w:r>
      <w:r>
        <w:rPr>
          <w:color w:val="000000" w:themeColor="text1"/>
          <w:sz w:val="24"/>
          <w:szCs w:val="24"/>
        </w:rPr>
        <w:t>ila je</w:t>
      </w:r>
      <w:r w:rsidRPr="000703C1">
        <w:rPr>
          <w:color w:val="000000" w:themeColor="text1"/>
          <w:sz w:val="24"/>
          <w:szCs w:val="24"/>
        </w:rPr>
        <w:t xml:space="preserve"> bilježiti rast već devetu godinu </w:t>
      </w:r>
      <w:r w:rsidRPr="000703C1">
        <w:rPr>
          <w:color w:val="000000" w:themeColor="text1"/>
          <w:sz w:val="24"/>
          <w:szCs w:val="24"/>
        </w:rPr>
        <w:lastRenderedPageBreak/>
        <w:t>zaredom</w:t>
      </w:r>
      <w:r>
        <w:rPr>
          <w:color w:val="000000" w:themeColor="text1"/>
          <w:sz w:val="24"/>
          <w:szCs w:val="24"/>
        </w:rPr>
        <w:t xml:space="preserve"> te su tijekom 2024. ukupno izdane 11.823 građevinske dozvole (+2,2%) ukupne predviđene vrijednosti radova 7,54 milijarde eura (+7,5%). Prema građevinskim dozvolama izdanim u 2024. predviđena je gradnja 20.405 novih stanova (+8,5%) ukupne korisne površine 1,94 milijuna m</w:t>
      </w:r>
      <w:r>
        <w:rPr>
          <w:color w:val="000000" w:themeColor="text1"/>
          <w:sz w:val="24"/>
          <w:szCs w:val="24"/>
          <w:vertAlign w:val="superscript"/>
        </w:rPr>
        <w:t>2</w:t>
      </w:r>
      <w:r>
        <w:rPr>
          <w:color w:val="000000" w:themeColor="text1"/>
          <w:sz w:val="24"/>
          <w:szCs w:val="24"/>
        </w:rPr>
        <w:t>, od čega najviše na području Zadarske, Istarske i Splitsko-dalmatinske županije te Grada Zagreba. S druge strane, d</w:t>
      </w:r>
      <w:r w:rsidRPr="00DF67A1">
        <w:rPr>
          <w:color w:val="000000" w:themeColor="text1"/>
          <w:sz w:val="24"/>
          <w:szCs w:val="24"/>
        </w:rPr>
        <w:t>rugu godinu zaredom industrijska proizvodnja je zabilježila međugodišnje smanjenje</w:t>
      </w:r>
      <w:r>
        <w:rPr>
          <w:color w:val="000000" w:themeColor="text1"/>
          <w:sz w:val="24"/>
          <w:szCs w:val="24"/>
        </w:rPr>
        <w:t xml:space="preserve"> (-2,4%)</w:t>
      </w:r>
      <w:r w:rsidRPr="00DF67A1">
        <w:rPr>
          <w:color w:val="000000" w:themeColor="text1"/>
          <w:sz w:val="24"/>
          <w:szCs w:val="24"/>
        </w:rPr>
        <w:t>.</w:t>
      </w:r>
    </w:p>
    <w:p w14:paraId="195995B4" w14:textId="77777777" w:rsidR="00FB178A" w:rsidRDefault="00FB178A" w:rsidP="00FB178A">
      <w:pPr>
        <w:spacing w:before="240" w:line="276" w:lineRule="auto"/>
        <w:jc w:val="both"/>
        <w:rPr>
          <w:color w:val="000000" w:themeColor="text1"/>
          <w:sz w:val="24"/>
          <w:szCs w:val="24"/>
        </w:rPr>
      </w:pPr>
      <w:r w:rsidRPr="00715CA7">
        <w:rPr>
          <w:color w:val="000000" w:themeColor="text1"/>
          <w:sz w:val="24"/>
          <w:szCs w:val="24"/>
        </w:rPr>
        <w:t xml:space="preserve">U javnim financijama, unatoč intenzivnim reformskim i socijalnim mjerama, zadržana je fiskalna održivost i nastavljen silazni trend udjela javnog duga u BDP-u. Prema Izvješću o prekomjernom proračunskom manjku i razini duga opće države, u 2024. ostvaren je manjak proračuna opće države u iznosu od </w:t>
      </w:r>
      <w:r>
        <w:rPr>
          <w:color w:val="000000" w:themeColor="text1"/>
          <w:sz w:val="24"/>
          <w:szCs w:val="24"/>
        </w:rPr>
        <w:t>1,7</w:t>
      </w:r>
      <w:r w:rsidRPr="00715CA7">
        <w:rPr>
          <w:color w:val="000000" w:themeColor="text1"/>
          <w:sz w:val="24"/>
          <w:szCs w:val="24"/>
        </w:rPr>
        <w:t xml:space="preserve"> m</w:t>
      </w:r>
      <w:r>
        <w:rPr>
          <w:color w:val="000000" w:themeColor="text1"/>
          <w:sz w:val="24"/>
          <w:szCs w:val="24"/>
        </w:rPr>
        <w:t>ilijardi</w:t>
      </w:r>
      <w:r w:rsidRPr="00715CA7">
        <w:rPr>
          <w:color w:val="000000" w:themeColor="text1"/>
          <w:sz w:val="24"/>
          <w:szCs w:val="24"/>
        </w:rPr>
        <w:t xml:space="preserve"> eura ili </w:t>
      </w:r>
      <w:r>
        <w:rPr>
          <w:color w:val="000000" w:themeColor="text1"/>
          <w:sz w:val="24"/>
          <w:szCs w:val="24"/>
        </w:rPr>
        <w:t>1,9</w:t>
      </w:r>
      <w:r w:rsidRPr="00715CA7">
        <w:rPr>
          <w:color w:val="000000" w:themeColor="text1"/>
          <w:sz w:val="24"/>
          <w:szCs w:val="24"/>
        </w:rPr>
        <w:t xml:space="preserve">% BDP-a, </w:t>
      </w:r>
      <w:r>
        <w:rPr>
          <w:color w:val="000000" w:themeColor="text1"/>
          <w:sz w:val="24"/>
          <w:szCs w:val="24"/>
        </w:rPr>
        <w:t xml:space="preserve">drugu godinu zaredom </w:t>
      </w:r>
      <w:r w:rsidRPr="00715CA7">
        <w:rPr>
          <w:color w:val="000000" w:themeColor="text1"/>
          <w:sz w:val="24"/>
          <w:szCs w:val="24"/>
        </w:rPr>
        <w:t xml:space="preserve">nakon manjka od 0,8% BDP-a </w:t>
      </w:r>
      <w:r>
        <w:rPr>
          <w:color w:val="000000" w:themeColor="text1"/>
          <w:sz w:val="24"/>
          <w:szCs w:val="24"/>
        </w:rPr>
        <w:t xml:space="preserve">zabilježenog </w:t>
      </w:r>
      <w:r w:rsidRPr="00715CA7">
        <w:rPr>
          <w:color w:val="000000" w:themeColor="text1"/>
          <w:sz w:val="24"/>
          <w:szCs w:val="24"/>
        </w:rPr>
        <w:t>u 2023.</w:t>
      </w:r>
      <w:r>
        <w:rPr>
          <w:color w:val="000000" w:themeColor="text1"/>
          <w:sz w:val="24"/>
          <w:szCs w:val="24"/>
        </w:rPr>
        <w:t xml:space="preserve"> godini.</w:t>
      </w:r>
      <w:r w:rsidRPr="00715CA7">
        <w:rPr>
          <w:color w:val="000000" w:themeColor="text1"/>
          <w:sz w:val="24"/>
          <w:szCs w:val="24"/>
        </w:rPr>
        <w:t xml:space="preserve"> Ukupni prihodi proračuna opće države iznosili su 39,</w:t>
      </w:r>
      <w:r>
        <w:rPr>
          <w:color w:val="000000" w:themeColor="text1"/>
          <w:sz w:val="24"/>
          <w:szCs w:val="24"/>
        </w:rPr>
        <w:t>6</w:t>
      </w:r>
      <w:r w:rsidRPr="00715CA7">
        <w:rPr>
          <w:color w:val="000000" w:themeColor="text1"/>
          <w:sz w:val="24"/>
          <w:szCs w:val="24"/>
        </w:rPr>
        <w:t xml:space="preserve"> m</w:t>
      </w:r>
      <w:r>
        <w:rPr>
          <w:color w:val="000000" w:themeColor="text1"/>
          <w:sz w:val="24"/>
          <w:szCs w:val="24"/>
        </w:rPr>
        <w:t>ilijardi</w:t>
      </w:r>
      <w:r w:rsidRPr="00715CA7">
        <w:rPr>
          <w:color w:val="000000" w:themeColor="text1"/>
          <w:sz w:val="24"/>
          <w:szCs w:val="24"/>
        </w:rPr>
        <w:t xml:space="preserve"> eura (4</w:t>
      </w:r>
      <w:r>
        <w:rPr>
          <w:color w:val="000000" w:themeColor="text1"/>
          <w:sz w:val="24"/>
          <w:szCs w:val="24"/>
        </w:rPr>
        <w:t>6</w:t>
      </w:r>
      <w:r w:rsidRPr="00715CA7">
        <w:rPr>
          <w:color w:val="000000" w:themeColor="text1"/>
          <w:sz w:val="24"/>
          <w:szCs w:val="24"/>
        </w:rPr>
        <w:t>,</w:t>
      </w:r>
      <w:r>
        <w:rPr>
          <w:color w:val="000000" w:themeColor="text1"/>
          <w:sz w:val="24"/>
          <w:szCs w:val="24"/>
        </w:rPr>
        <w:t>1</w:t>
      </w:r>
      <w:r w:rsidRPr="00715CA7">
        <w:rPr>
          <w:color w:val="000000" w:themeColor="text1"/>
          <w:sz w:val="24"/>
          <w:szCs w:val="24"/>
        </w:rPr>
        <w:t xml:space="preserve">% BDP-a), uz snažan rast poreznih prihoda i socijalnih doprinosa. Prihodi od poreza na dodanu vrijednost porasli su 9,1%, tekući porezi na dohodak i dobit </w:t>
      </w:r>
      <w:r>
        <w:rPr>
          <w:color w:val="000000" w:themeColor="text1"/>
          <w:sz w:val="24"/>
          <w:szCs w:val="24"/>
        </w:rPr>
        <w:t>18</w:t>
      </w:r>
      <w:r w:rsidRPr="00715CA7">
        <w:rPr>
          <w:color w:val="000000" w:themeColor="text1"/>
          <w:sz w:val="24"/>
          <w:szCs w:val="24"/>
        </w:rPr>
        <w:t>,</w:t>
      </w:r>
      <w:r>
        <w:rPr>
          <w:color w:val="000000" w:themeColor="text1"/>
          <w:sz w:val="24"/>
          <w:szCs w:val="24"/>
        </w:rPr>
        <w:t>8</w:t>
      </w:r>
      <w:r w:rsidRPr="00715CA7">
        <w:rPr>
          <w:color w:val="000000" w:themeColor="text1"/>
          <w:sz w:val="24"/>
          <w:szCs w:val="24"/>
        </w:rPr>
        <w:t xml:space="preserve">%, a prihodi od socijalnih doprinosa 17,5%, odražavajući rast plaća, zaposlenosti i dobiti poduzeća. Posebno su važni i neporezni prihodi od ostalih tekućih i kapitalnih transfera, uključujući sredstva iz fondova EU i Mehanizma za oporavak i otpornost. </w:t>
      </w:r>
    </w:p>
    <w:p w14:paraId="1CD0CF11" w14:textId="77777777" w:rsidR="00FB178A" w:rsidRDefault="00FB178A" w:rsidP="00FB178A">
      <w:pPr>
        <w:spacing w:before="240" w:line="276" w:lineRule="auto"/>
        <w:jc w:val="both"/>
        <w:rPr>
          <w:color w:val="000000" w:themeColor="text1"/>
          <w:sz w:val="24"/>
          <w:szCs w:val="24"/>
        </w:rPr>
      </w:pPr>
      <w:r w:rsidRPr="00715CA7">
        <w:rPr>
          <w:color w:val="000000" w:themeColor="text1"/>
          <w:sz w:val="24"/>
          <w:szCs w:val="24"/>
        </w:rPr>
        <w:t>Rashodi proračuna opće države iznosili su 41,</w:t>
      </w:r>
      <w:r>
        <w:rPr>
          <w:color w:val="000000" w:themeColor="text1"/>
          <w:sz w:val="24"/>
          <w:szCs w:val="24"/>
        </w:rPr>
        <w:t>2</w:t>
      </w:r>
      <w:r w:rsidRPr="00715CA7">
        <w:rPr>
          <w:color w:val="000000" w:themeColor="text1"/>
          <w:sz w:val="24"/>
          <w:szCs w:val="24"/>
        </w:rPr>
        <w:t xml:space="preserve"> m</w:t>
      </w:r>
      <w:r>
        <w:rPr>
          <w:color w:val="000000" w:themeColor="text1"/>
          <w:sz w:val="24"/>
          <w:szCs w:val="24"/>
        </w:rPr>
        <w:t>ilijarde</w:t>
      </w:r>
      <w:r w:rsidRPr="00715CA7">
        <w:rPr>
          <w:color w:val="000000" w:themeColor="text1"/>
          <w:sz w:val="24"/>
          <w:szCs w:val="24"/>
        </w:rPr>
        <w:t xml:space="preserve"> eura (48,0% BDP-a), pri čemu je nominalno povećanje rashoda u odnosu na 2023. ponajprije rezultat rasta naknada zaposlenima (</w:t>
      </w:r>
      <w:r>
        <w:rPr>
          <w:color w:val="000000" w:themeColor="text1"/>
          <w:sz w:val="24"/>
          <w:szCs w:val="24"/>
        </w:rPr>
        <w:t>+</w:t>
      </w:r>
      <w:r w:rsidRPr="00715CA7">
        <w:rPr>
          <w:color w:val="000000" w:themeColor="text1"/>
          <w:sz w:val="24"/>
          <w:szCs w:val="24"/>
        </w:rPr>
        <w:t>26,</w:t>
      </w:r>
      <w:r>
        <w:rPr>
          <w:color w:val="000000" w:themeColor="text1"/>
          <w:sz w:val="24"/>
          <w:szCs w:val="24"/>
        </w:rPr>
        <w:t>0</w:t>
      </w:r>
      <w:r w:rsidRPr="00715CA7">
        <w:rPr>
          <w:color w:val="000000" w:themeColor="text1"/>
          <w:sz w:val="24"/>
          <w:szCs w:val="24"/>
        </w:rPr>
        <w:t>%) uslijed provedbe sveobuhvatne reforme sustava plaća u državnoj upravi, kao i nastavka mjera ublažavanja posljedica rasta cijena energenata kroz subvencije i povećane socijalne naknade. Udio javnog duga u BDP-u krajem 2024. iznosio je 57,</w:t>
      </w:r>
      <w:r>
        <w:rPr>
          <w:color w:val="000000" w:themeColor="text1"/>
          <w:sz w:val="24"/>
          <w:szCs w:val="24"/>
        </w:rPr>
        <w:t>4</w:t>
      </w:r>
      <w:r w:rsidRPr="00715CA7">
        <w:rPr>
          <w:color w:val="000000" w:themeColor="text1"/>
          <w:sz w:val="24"/>
          <w:szCs w:val="24"/>
        </w:rPr>
        <w:t>%, uz nominalnu razinu duga od 49,3 m</w:t>
      </w:r>
      <w:r>
        <w:rPr>
          <w:color w:val="000000" w:themeColor="text1"/>
          <w:sz w:val="24"/>
          <w:szCs w:val="24"/>
        </w:rPr>
        <w:t>ilijardi</w:t>
      </w:r>
      <w:r w:rsidRPr="00715CA7">
        <w:rPr>
          <w:color w:val="000000" w:themeColor="text1"/>
          <w:sz w:val="24"/>
          <w:szCs w:val="24"/>
        </w:rPr>
        <w:t xml:space="preserve"> eura, što znači smanjenje udjela javnog duga za </w:t>
      </w:r>
      <w:r>
        <w:rPr>
          <w:color w:val="000000" w:themeColor="text1"/>
          <w:sz w:val="24"/>
          <w:szCs w:val="24"/>
        </w:rPr>
        <w:t>3,6</w:t>
      </w:r>
      <w:r w:rsidRPr="00715CA7">
        <w:rPr>
          <w:color w:val="000000" w:themeColor="text1"/>
          <w:sz w:val="24"/>
          <w:szCs w:val="24"/>
        </w:rPr>
        <w:t xml:space="preserve"> postotn</w:t>
      </w:r>
      <w:r>
        <w:rPr>
          <w:color w:val="000000" w:themeColor="text1"/>
          <w:sz w:val="24"/>
          <w:szCs w:val="24"/>
        </w:rPr>
        <w:t>ih</w:t>
      </w:r>
      <w:r w:rsidRPr="00715CA7">
        <w:rPr>
          <w:color w:val="000000" w:themeColor="text1"/>
          <w:sz w:val="24"/>
          <w:szCs w:val="24"/>
        </w:rPr>
        <w:t xml:space="preserve"> bod</w:t>
      </w:r>
      <w:r>
        <w:rPr>
          <w:color w:val="000000" w:themeColor="text1"/>
          <w:sz w:val="24"/>
          <w:szCs w:val="24"/>
        </w:rPr>
        <w:t>ova</w:t>
      </w:r>
      <w:r w:rsidRPr="00715CA7">
        <w:rPr>
          <w:color w:val="000000" w:themeColor="text1"/>
          <w:sz w:val="24"/>
          <w:szCs w:val="24"/>
        </w:rPr>
        <w:t xml:space="preserve"> u odnosu na kraj 2023. te za 13,</w:t>
      </w:r>
      <w:r>
        <w:rPr>
          <w:color w:val="000000" w:themeColor="text1"/>
          <w:sz w:val="24"/>
          <w:szCs w:val="24"/>
        </w:rPr>
        <w:t>5</w:t>
      </w:r>
      <w:r w:rsidRPr="00715CA7">
        <w:rPr>
          <w:color w:val="000000" w:themeColor="text1"/>
          <w:sz w:val="24"/>
          <w:szCs w:val="24"/>
        </w:rPr>
        <w:t xml:space="preserve"> postotn</w:t>
      </w:r>
      <w:r>
        <w:rPr>
          <w:color w:val="000000" w:themeColor="text1"/>
          <w:sz w:val="24"/>
          <w:szCs w:val="24"/>
        </w:rPr>
        <w:t>ih</w:t>
      </w:r>
      <w:r w:rsidRPr="00715CA7">
        <w:rPr>
          <w:color w:val="000000" w:themeColor="text1"/>
          <w:sz w:val="24"/>
          <w:szCs w:val="24"/>
        </w:rPr>
        <w:t xml:space="preserve"> bod</w:t>
      </w:r>
      <w:r>
        <w:rPr>
          <w:color w:val="000000" w:themeColor="text1"/>
          <w:sz w:val="24"/>
          <w:szCs w:val="24"/>
        </w:rPr>
        <w:t>ova</w:t>
      </w:r>
      <w:r w:rsidRPr="00715CA7">
        <w:rPr>
          <w:color w:val="000000" w:themeColor="text1"/>
          <w:sz w:val="24"/>
          <w:szCs w:val="24"/>
        </w:rPr>
        <w:t xml:space="preserve"> u odnosu na 2019.</w:t>
      </w:r>
      <w:r>
        <w:rPr>
          <w:color w:val="000000" w:themeColor="text1"/>
          <w:sz w:val="24"/>
          <w:szCs w:val="24"/>
        </w:rPr>
        <w:t xml:space="preserve"> godinu.</w:t>
      </w:r>
      <w:r w:rsidRPr="00715CA7">
        <w:rPr>
          <w:color w:val="000000" w:themeColor="text1"/>
          <w:sz w:val="24"/>
          <w:szCs w:val="24"/>
        </w:rPr>
        <w:t xml:space="preserve"> Time su kriteriji proračunskog manjka i duga opće države ispunjeni u skladu s </w:t>
      </w:r>
      <w:proofErr w:type="spellStart"/>
      <w:r w:rsidRPr="00715CA7">
        <w:rPr>
          <w:color w:val="000000" w:themeColor="text1"/>
          <w:sz w:val="24"/>
          <w:szCs w:val="24"/>
        </w:rPr>
        <w:t>Maastrichtskim</w:t>
      </w:r>
      <w:proofErr w:type="spellEnd"/>
      <w:r w:rsidRPr="00715CA7">
        <w:rPr>
          <w:color w:val="000000" w:themeColor="text1"/>
          <w:sz w:val="24"/>
          <w:szCs w:val="24"/>
        </w:rPr>
        <w:t xml:space="preserve"> kriterijima, uz dodatnu potporu povoljnim uvjetima financiranja zahvaljujući ulasku u </w:t>
      </w:r>
      <w:proofErr w:type="spellStart"/>
      <w:r w:rsidRPr="00715CA7">
        <w:rPr>
          <w:color w:val="000000" w:themeColor="text1"/>
          <w:sz w:val="24"/>
          <w:szCs w:val="24"/>
        </w:rPr>
        <w:t>europodručje</w:t>
      </w:r>
      <w:proofErr w:type="spellEnd"/>
      <w:r w:rsidRPr="00715CA7">
        <w:rPr>
          <w:color w:val="000000" w:themeColor="text1"/>
          <w:sz w:val="24"/>
          <w:szCs w:val="24"/>
        </w:rPr>
        <w:t xml:space="preserve"> početkom 2023. i rekordno visokom kreditnom rejtingu.</w:t>
      </w:r>
    </w:p>
    <w:p w14:paraId="11A48D41" w14:textId="77777777" w:rsidR="00FB178A" w:rsidRPr="00FC0607" w:rsidRDefault="00FB178A" w:rsidP="00FB178A">
      <w:pPr>
        <w:spacing w:before="240" w:line="276" w:lineRule="auto"/>
        <w:jc w:val="both"/>
        <w:rPr>
          <w:color w:val="000000" w:themeColor="text1"/>
          <w:sz w:val="24"/>
          <w:szCs w:val="24"/>
        </w:rPr>
      </w:pPr>
      <w:r w:rsidRPr="00715CA7">
        <w:rPr>
          <w:color w:val="000000" w:themeColor="text1"/>
          <w:sz w:val="24"/>
          <w:szCs w:val="24"/>
        </w:rPr>
        <w:t>Dodatna potvrda snažne posvećenosti provedbi reformi i investicija koje podupiru oporavak i otpornost gospodarstva, osobito u uvjetima inflatornih pritisaka i energetske krize, vidljiva je u dinamičnom korištenju sredstava iz Nacionalnog plana oporavka i otpornosti</w:t>
      </w:r>
      <w:r>
        <w:rPr>
          <w:color w:val="000000" w:themeColor="text1"/>
          <w:sz w:val="24"/>
          <w:szCs w:val="24"/>
        </w:rPr>
        <w:t xml:space="preserve"> </w:t>
      </w:r>
      <w:r w:rsidRPr="00FC0607">
        <w:rPr>
          <w:color w:val="000000" w:themeColor="text1"/>
          <w:sz w:val="24"/>
          <w:szCs w:val="24"/>
        </w:rPr>
        <w:t>(u daljnjem tekstu: NPOO)</w:t>
      </w:r>
      <w:r w:rsidRPr="00537225">
        <w:rPr>
          <w:color w:val="000000" w:themeColor="text1"/>
          <w:sz w:val="24"/>
          <w:szCs w:val="24"/>
        </w:rPr>
        <w:t>.</w:t>
      </w:r>
      <w:r w:rsidRPr="00715CA7">
        <w:rPr>
          <w:color w:val="000000" w:themeColor="text1"/>
          <w:sz w:val="24"/>
          <w:szCs w:val="24"/>
        </w:rPr>
        <w:t xml:space="preserve"> Hrvatskoj je na raspolaganju ukupno 10 m</w:t>
      </w:r>
      <w:r>
        <w:rPr>
          <w:color w:val="000000" w:themeColor="text1"/>
          <w:sz w:val="24"/>
          <w:szCs w:val="24"/>
        </w:rPr>
        <w:t>ilijardi</w:t>
      </w:r>
      <w:r w:rsidRPr="00715CA7">
        <w:rPr>
          <w:color w:val="000000" w:themeColor="text1"/>
          <w:sz w:val="24"/>
          <w:szCs w:val="24"/>
        </w:rPr>
        <w:t xml:space="preserve"> eura (5,8 m</w:t>
      </w:r>
      <w:r>
        <w:rPr>
          <w:color w:val="000000" w:themeColor="text1"/>
          <w:sz w:val="24"/>
          <w:szCs w:val="24"/>
        </w:rPr>
        <w:t>ilijardi</w:t>
      </w:r>
      <w:r w:rsidRPr="00715CA7">
        <w:rPr>
          <w:color w:val="000000" w:themeColor="text1"/>
          <w:sz w:val="24"/>
          <w:szCs w:val="24"/>
        </w:rPr>
        <w:t xml:space="preserve"> eura bespovratnih sredstava i 4,2 m</w:t>
      </w:r>
      <w:r>
        <w:rPr>
          <w:color w:val="000000" w:themeColor="text1"/>
          <w:sz w:val="24"/>
          <w:szCs w:val="24"/>
        </w:rPr>
        <w:t>ilijarde</w:t>
      </w:r>
      <w:r w:rsidRPr="00715CA7">
        <w:rPr>
          <w:color w:val="000000" w:themeColor="text1"/>
          <w:sz w:val="24"/>
          <w:szCs w:val="24"/>
        </w:rPr>
        <w:t xml:space="preserve"> eura zajmova) </w:t>
      </w:r>
      <w:r>
        <w:rPr>
          <w:color w:val="000000" w:themeColor="text1"/>
          <w:sz w:val="24"/>
          <w:szCs w:val="24"/>
        </w:rPr>
        <w:t xml:space="preserve">koji će se realizirati kroz izvršenje </w:t>
      </w:r>
      <w:r w:rsidRPr="00715CA7">
        <w:rPr>
          <w:color w:val="000000" w:themeColor="text1"/>
          <w:sz w:val="24"/>
          <w:szCs w:val="24"/>
        </w:rPr>
        <w:t xml:space="preserve">ukupno </w:t>
      </w:r>
      <w:r>
        <w:rPr>
          <w:color w:val="000000" w:themeColor="text1"/>
          <w:sz w:val="24"/>
          <w:szCs w:val="24"/>
        </w:rPr>
        <w:t>407</w:t>
      </w:r>
      <w:r w:rsidRPr="00715CA7">
        <w:rPr>
          <w:color w:val="000000" w:themeColor="text1"/>
          <w:sz w:val="24"/>
          <w:szCs w:val="24"/>
        </w:rPr>
        <w:t xml:space="preserve"> pokazatelja. Hrvatska je prva država članica EU koja je do srpnja 2024. primila svih pet uplata u okviru </w:t>
      </w:r>
      <w:r>
        <w:rPr>
          <w:color w:val="000000" w:themeColor="text1"/>
          <w:sz w:val="24"/>
          <w:szCs w:val="24"/>
        </w:rPr>
        <w:t>NPOO-a</w:t>
      </w:r>
      <w:r w:rsidRPr="00715CA7">
        <w:rPr>
          <w:color w:val="000000" w:themeColor="text1"/>
          <w:sz w:val="24"/>
          <w:szCs w:val="24"/>
        </w:rPr>
        <w:t>, u ukupnom iznosu od 4,5 m</w:t>
      </w:r>
      <w:r>
        <w:rPr>
          <w:color w:val="000000" w:themeColor="text1"/>
          <w:sz w:val="24"/>
          <w:szCs w:val="24"/>
        </w:rPr>
        <w:t>ilijardi</w:t>
      </w:r>
      <w:r w:rsidRPr="00715CA7">
        <w:rPr>
          <w:color w:val="000000" w:themeColor="text1"/>
          <w:sz w:val="24"/>
          <w:szCs w:val="24"/>
        </w:rPr>
        <w:t xml:space="preserve"> eura, te jedina članica kojoj je potvrđeno da je u potpunosti ispunila sve pokazatelje unutar svakog pojedinog zahtjeva. Zaključno s 31. prosincem 2024. objavljeno je 450 natječaja, poziva i javnih nabava ukupne vrijednosti od 8 m</w:t>
      </w:r>
      <w:r>
        <w:rPr>
          <w:color w:val="000000" w:themeColor="text1"/>
          <w:sz w:val="24"/>
          <w:szCs w:val="24"/>
        </w:rPr>
        <w:t>ilijardi</w:t>
      </w:r>
      <w:r w:rsidRPr="00715CA7">
        <w:rPr>
          <w:color w:val="000000" w:themeColor="text1"/>
          <w:sz w:val="24"/>
          <w:szCs w:val="24"/>
        </w:rPr>
        <w:t xml:space="preserve"> eura, što predstavlja oko 81% ukupne vrijednosti NPOO-a. Ovi rezultati potvrđuju da je makroekonomski okvir, unatoč vanjskim rizicima, ostao stabilan i povoljan za provedbu Nacionalne razvojne strategije</w:t>
      </w:r>
      <w:r>
        <w:rPr>
          <w:color w:val="000000" w:themeColor="text1"/>
          <w:sz w:val="24"/>
          <w:szCs w:val="24"/>
        </w:rPr>
        <w:t xml:space="preserve"> Republike Hrvatske</w:t>
      </w:r>
      <w:r w:rsidRPr="00715CA7">
        <w:rPr>
          <w:color w:val="000000" w:themeColor="text1"/>
          <w:sz w:val="24"/>
          <w:szCs w:val="24"/>
        </w:rPr>
        <w:t xml:space="preserve"> do 2030. godine.</w:t>
      </w:r>
      <w:r w:rsidRPr="00FC0607">
        <w:rPr>
          <w:color w:val="000000" w:themeColor="text1"/>
          <w:sz w:val="24"/>
          <w:szCs w:val="24"/>
        </w:rPr>
        <w:br w:type="page"/>
      </w:r>
    </w:p>
    <w:p w14:paraId="70CBB46D" w14:textId="77777777" w:rsidR="00FB178A" w:rsidRPr="009E6E59" w:rsidRDefault="00FB178A" w:rsidP="00FB178A">
      <w:pPr>
        <w:pStyle w:val="Heading1"/>
        <w:spacing w:after="240"/>
        <w:ind w:right="-140"/>
        <w:rPr>
          <w:sz w:val="24"/>
          <w:szCs w:val="24"/>
        </w:rPr>
      </w:pPr>
      <w:bookmarkStart w:id="2" w:name="_Toc223002922"/>
      <w:r w:rsidRPr="009E6E59">
        <w:rPr>
          <w:sz w:val="24"/>
          <w:szCs w:val="24"/>
        </w:rPr>
        <w:lastRenderedPageBreak/>
        <w:t>Izvješće o provedbi strateških ciljeva Nacionalne razvojne strategije</w:t>
      </w:r>
      <w:bookmarkEnd w:id="2"/>
    </w:p>
    <w:p w14:paraId="51D5B42E" w14:textId="77777777" w:rsidR="00FB178A" w:rsidRPr="009E6E59" w:rsidRDefault="00FB178A" w:rsidP="00FB178A">
      <w:pPr>
        <w:pStyle w:val="Heading2"/>
        <w:numPr>
          <w:ilvl w:val="0"/>
          <w:numId w:val="104"/>
        </w:numPr>
        <w:rPr>
          <w:sz w:val="24"/>
          <w:szCs w:val="24"/>
        </w:rPr>
      </w:pPr>
      <w:bookmarkStart w:id="3" w:name="_Hlk107488245"/>
      <w:bookmarkStart w:id="4" w:name="_Toc223002923"/>
      <w:r w:rsidRPr="009E6E59">
        <w:rPr>
          <w:sz w:val="24"/>
          <w:szCs w:val="24"/>
        </w:rPr>
        <w:t>Konkurentno i inovativno gospodarstvo</w:t>
      </w:r>
      <w:bookmarkEnd w:id="3"/>
      <w:bookmarkEnd w:id="4"/>
    </w:p>
    <w:p w14:paraId="0E6E28D9" w14:textId="77777777" w:rsidR="00FB178A" w:rsidRPr="009E6E59" w:rsidRDefault="00FB178A" w:rsidP="00FB178A">
      <w:pPr>
        <w:rPr>
          <w:sz w:val="24"/>
          <w:szCs w:val="24"/>
        </w:rPr>
      </w:pPr>
    </w:p>
    <w:p w14:paraId="3321C208" w14:textId="77777777" w:rsidR="00FB178A" w:rsidRPr="009E6E59" w:rsidRDefault="00FB178A" w:rsidP="00FB178A">
      <w:pPr>
        <w:pStyle w:val="Heading3"/>
        <w:rPr>
          <w:szCs w:val="24"/>
        </w:rPr>
      </w:pPr>
      <w:bookmarkStart w:id="5" w:name="_Toc130784348"/>
      <w:bookmarkStart w:id="6" w:name="_Toc223002924"/>
      <w:r w:rsidRPr="009E6E59">
        <w:rPr>
          <w:szCs w:val="24"/>
        </w:rPr>
        <w:t>1.1. Ostvarene vrijednosti pokazatelja uspješnosti</w:t>
      </w:r>
      <w:bookmarkEnd w:id="5"/>
      <w:bookmarkEnd w:id="6"/>
      <w:r w:rsidRPr="009E6E59">
        <w:rPr>
          <w:szCs w:val="24"/>
        </w:rPr>
        <w:t xml:space="preserve"> </w:t>
      </w:r>
    </w:p>
    <w:tbl>
      <w:tblPr>
        <w:tblStyle w:val="TableGrid"/>
        <w:tblW w:w="0" w:type="auto"/>
        <w:jc w:val="center"/>
        <w:tblInd w:w="0" w:type="dxa"/>
        <w:tblBorders>
          <w:top w:val="dotted" w:sz="2" w:space="0" w:color="auto"/>
          <w:left w:val="dotted" w:sz="2" w:space="0" w:color="auto"/>
          <w:bottom w:val="dotted" w:sz="2" w:space="0" w:color="auto"/>
          <w:right w:val="dotted" w:sz="2" w:space="0" w:color="auto"/>
          <w:insideH w:val="dotted" w:sz="2" w:space="0" w:color="auto"/>
        </w:tblBorders>
        <w:shd w:val="clear" w:color="auto" w:fill="FFFFFF" w:themeFill="background1"/>
        <w:tblLook w:val="04A0" w:firstRow="1" w:lastRow="0" w:firstColumn="1" w:lastColumn="0" w:noHBand="0" w:noVBand="1"/>
      </w:tblPr>
      <w:tblGrid>
        <w:gridCol w:w="2830"/>
        <w:gridCol w:w="1975"/>
        <w:gridCol w:w="2129"/>
        <w:gridCol w:w="2275"/>
      </w:tblGrid>
      <w:tr w:rsidR="00FB178A" w:rsidRPr="00145379" w14:paraId="02F5DE1F" w14:textId="77777777" w:rsidTr="009E18ED">
        <w:trPr>
          <w:trHeight w:val="556"/>
          <w:jc w:val="center"/>
        </w:trPr>
        <w:tc>
          <w:tcPr>
            <w:tcW w:w="2830" w:type="dxa"/>
            <w:tcBorders>
              <w:top w:val="dotted" w:sz="4" w:space="0" w:color="auto"/>
              <w:left w:val="dotted" w:sz="4" w:space="0" w:color="auto"/>
              <w:bottom w:val="dotted" w:sz="4" w:space="0" w:color="auto"/>
              <w:right w:val="dotted" w:sz="4" w:space="0" w:color="auto"/>
            </w:tcBorders>
            <w:shd w:val="clear" w:color="auto" w:fill="B6DDE8" w:themeFill="accent5" w:themeFillTint="66"/>
            <w:vAlign w:val="center"/>
          </w:tcPr>
          <w:p w14:paraId="311D8566" w14:textId="77777777" w:rsidR="00FB178A" w:rsidRPr="00145379" w:rsidRDefault="00FB178A" w:rsidP="009E18ED">
            <w:pPr>
              <w:pStyle w:val="BodyText"/>
              <w:spacing w:line="276" w:lineRule="auto"/>
              <w:jc w:val="center"/>
              <w:rPr>
                <w:b/>
                <w:bCs/>
                <w:color w:val="000000" w:themeColor="text1"/>
              </w:rPr>
            </w:pPr>
            <w:bookmarkStart w:id="7" w:name="_Hlk99613860"/>
            <w:r w:rsidRPr="00145379">
              <w:rPr>
                <w:b/>
                <w:bCs/>
                <w:color w:val="000000" w:themeColor="text1"/>
              </w:rPr>
              <w:t>Pokazatelj uspješnosti</w:t>
            </w:r>
          </w:p>
        </w:tc>
        <w:tc>
          <w:tcPr>
            <w:tcW w:w="1975" w:type="dxa"/>
            <w:tcBorders>
              <w:top w:val="dotted" w:sz="4" w:space="0" w:color="auto"/>
              <w:left w:val="dotted" w:sz="4" w:space="0" w:color="auto"/>
              <w:bottom w:val="dotted" w:sz="4" w:space="0" w:color="auto"/>
              <w:right w:val="dotted" w:sz="4" w:space="0" w:color="auto"/>
            </w:tcBorders>
            <w:shd w:val="clear" w:color="auto" w:fill="B6DDE8" w:themeFill="accent5" w:themeFillTint="66"/>
            <w:vAlign w:val="center"/>
          </w:tcPr>
          <w:p w14:paraId="54936163" w14:textId="77777777" w:rsidR="00FB178A" w:rsidRPr="00145379" w:rsidRDefault="00FB178A" w:rsidP="009E18ED">
            <w:pPr>
              <w:pStyle w:val="BodyText"/>
              <w:spacing w:line="276" w:lineRule="auto"/>
              <w:jc w:val="center"/>
              <w:rPr>
                <w:b/>
                <w:bCs/>
                <w:color w:val="000000" w:themeColor="text1"/>
              </w:rPr>
            </w:pPr>
            <w:r w:rsidRPr="00145379">
              <w:rPr>
                <w:b/>
                <w:bCs/>
                <w:color w:val="000000" w:themeColor="text1"/>
              </w:rPr>
              <w:t>Početna vrijednost</w:t>
            </w:r>
          </w:p>
        </w:tc>
        <w:tc>
          <w:tcPr>
            <w:tcW w:w="2129" w:type="dxa"/>
            <w:tcBorders>
              <w:top w:val="dotted" w:sz="4" w:space="0" w:color="auto"/>
              <w:left w:val="dotted" w:sz="4" w:space="0" w:color="auto"/>
              <w:bottom w:val="dotted" w:sz="4" w:space="0" w:color="auto"/>
              <w:right w:val="dotted" w:sz="4" w:space="0" w:color="auto"/>
            </w:tcBorders>
            <w:shd w:val="clear" w:color="auto" w:fill="B6DDE8" w:themeFill="accent5" w:themeFillTint="66"/>
            <w:vAlign w:val="center"/>
          </w:tcPr>
          <w:p w14:paraId="350BE9CF" w14:textId="77777777" w:rsidR="00FB178A" w:rsidRPr="00145379" w:rsidRDefault="00FB178A" w:rsidP="009E18ED">
            <w:pPr>
              <w:pStyle w:val="BodyText"/>
              <w:spacing w:line="276" w:lineRule="auto"/>
              <w:jc w:val="center"/>
              <w:rPr>
                <w:b/>
                <w:bCs/>
                <w:color w:val="000000" w:themeColor="text1"/>
              </w:rPr>
            </w:pPr>
            <w:r w:rsidRPr="00145379">
              <w:rPr>
                <w:b/>
                <w:bCs/>
                <w:color w:val="000000" w:themeColor="text1"/>
              </w:rPr>
              <w:t xml:space="preserve">Ciljna </w:t>
            </w:r>
          </w:p>
          <w:p w14:paraId="251571AF" w14:textId="77777777" w:rsidR="00FB178A" w:rsidRPr="00145379" w:rsidRDefault="00FB178A" w:rsidP="009E18ED">
            <w:pPr>
              <w:pStyle w:val="BodyText"/>
              <w:spacing w:line="276" w:lineRule="auto"/>
              <w:jc w:val="center"/>
              <w:rPr>
                <w:b/>
                <w:bCs/>
                <w:color w:val="000000" w:themeColor="text1"/>
              </w:rPr>
            </w:pPr>
            <w:r w:rsidRPr="00145379">
              <w:rPr>
                <w:b/>
                <w:bCs/>
                <w:color w:val="000000" w:themeColor="text1"/>
              </w:rPr>
              <w:t>vrijednost</w:t>
            </w:r>
          </w:p>
        </w:tc>
        <w:tc>
          <w:tcPr>
            <w:tcW w:w="2275" w:type="dxa"/>
            <w:tcBorders>
              <w:top w:val="dotted" w:sz="4" w:space="0" w:color="auto"/>
              <w:left w:val="dotted" w:sz="4" w:space="0" w:color="auto"/>
              <w:bottom w:val="dotted" w:sz="4" w:space="0" w:color="auto"/>
              <w:right w:val="dotted" w:sz="4" w:space="0" w:color="auto"/>
            </w:tcBorders>
            <w:shd w:val="clear" w:color="auto" w:fill="B6DDE8" w:themeFill="accent5" w:themeFillTint="66"/>
            <w:vAlign w:val="center"/>
          </w:tcPr>
          <w:p w14:paraId="42B704FD" w14:textId="77777777" w:rsidR="00FB178A" w:rsidRPr="00145379" w:rsidRDefault="00FB178A" w:rsidP="009E18ED">
            <w:pPr>
              <w:pStyle w:val="BodyText"/>
              <w:spacing w:line="276" w:lineRule="auto"/>
              <w:jc w:val="center"/>
              <w:rPr>
                <w:b/>
                <w:bCs/>
                <w:color w:val="000000" w:themeColor="text1"/>
              </w:rPr>
            </w:pPr>
            <w:r w:rsidRPr="00145379">
              <w:rPr>
                <w:b/>
                <w:bCs/>
                <w:color w:val="000000" w:themeColor="text1"/>
              </w:rPr>
              <w:t xml:space="preserve">Ostvarena </w:t>
            </w:r>
          </w:p>
          <w:p w14:paraId="02474384" w14:textId="77777777" w:rsidR="00FB178A" w:rsidRPr="00145379" w:rsidRDefault="00FB178A" w:rsidP="009E18ED">
            <w:pPr>
              <w:pStyle w:val="BodyText"/>
              <w:spacing w:line="276" w:lineRule="auto"/>
              <w:jc w:val="center"/>
              <w:rPr>
                <w:b/>
                <w:bCs/>
                <w:color w:val="000000" w:themeColor="text1"/>
              </w:rPr>
            </w:pPr>
            <w:r>
              <w:rPr>
                <w:b/>
                <w:bCs/>
                <w:color w:val="000000" w:themeColor="text1"/>
              </w:rPr>
              <w:t>v</w:t>
            </w:r>
            <w:r w:rsidRPr="00145379">
              <w:rPr>
                <w:b/>
                <w:bCs/>
                <w:color w:val="000000" w:themeColor="text1"/>
              </w:rPr>
              <w:t>rijednost</w:t>
            </w:r>
            <w:r>
              <w:rPr>
                <w:b/>
                <w:bCs/>
                <w:color w:val="000000" w:themeColor="text1"/>
              </w:rPr>
              <w:t xml:space="preserve"> (godina)</w:t>
            </w:r>
          </w:p>
        </w:tc>
      </w:tr>
      <w:tr w:rsidR="00FB178A" w:rsidRPr="00145379" w14:paraId="24B960C2" w14:textId="77777777" w:rsidTr="009E18ED">
        <w:trPr>
          <w:jc w:val="center"/>
        </w:trPr>
        <w:tc>
          <w:tcPr>
            <w:tcW w:w="2830" w:type="dxa"/>
            <w:tcBorders>
              <w:top w:val="dotted" w:sz="4" w:space="0" w:color="auto"/>
            </w:tcBorders>
            <w:shd w:val="clear" w:color="auto" w:fill="FFFFFF" w:themeFill="background1"/>
            <w:vAlign w:val="center"/>
          </w:tcPr>
          <w:p w14:paraId="2D570376" w14:textId="77777777" w:rsidR="00FB178A" w:rsidRPr="00145379" w:rsidRDefault="00FB178A" w:rsidP="009E18ED">
            <w:pPr>
              <w:pStyle w:val="BodyText"/>
              <w:spacing w:line="276" w:lineRule="auto"/>
              <w:rPr>
                <w:color w:val="000000" w:themeColor="text1"/>
              </w:rPr>
            </w:pPr>
            <w:r w:rsidRPr="00145379">
              <w:rPr>
                <w:color w:val="000000" w:themeColor="text1"/>
              </w:rPr>
              <w:t>BDP po stanovniku prema paritetu kupovne moći, u % prosjeka EU-a</w:t>
            </w:r>
          </w:p>
        </w:tc>
        <w:tc>
          <w:tcPr>
            <w:tcW w:w="1975" w:type="dxa"/>
            <w:tcBorders>
              <w:top w:val="dotted" w:sz="4" w:space="0" w:color="auto"/>
            </w:tcBorders>
            <w:shd w:val="clear" w:color="auto" w:fill="DAEEF3" w:themeFill="accent5" w:themeFillTint="33"/>
            <w:vAlign w:val="center"/>
          </w:tcPr>
          <w:p w14:paraId="7E2C992E" w14:textId="77777777" w:rsidR="00FB178A" w:rsidRPr="00145379" w:rsidRDefault="00FB178A" w:rsidP="009E18ED">
            <w:pPr>
              <w:pStyle w:val="BodyText"/>
              <w:spacing w:line="276" w:lineRule="auto"/>
              <w:jc w:val="center"/>
              <w:rPr>
                <w:color w:val="000000" w:themeColor="text1"/>
              </w:rPr>
            </w:pPr>
            <w:r w:rsidRPr="00145379">
              <w:rPr>
                <w:color w:val="000000" w:themeColor="text1"/>
              </w:rPr>
              <w:t>65% (2019.)</w:t>
            </w:r>
          </w:p>
        </w:tc>
        <w:tc>
          <w:tcPr>
            <w:tcW w:w="2129" w:type="dxa"/>
            <w:tcBorders>
              <w:top w:val="dotted" w:sz="4" w:space="0" w:color="auto"/>
              <w:right w:val="dotted" w:sz="4" w:space="0" w:color="auto"/>
            </w:tcBorders>
            <w:shd w:val="clear" w:color="auto" w:fill="FFFFFF" w:themeFill="background1"/>
            <w:vAlign w:val="center"/>
          </w:tcPr>
          <w:p w14:paraId="0FFD71AD" w14:textId="77777777" w:rsidR="00FB178A" w:rsidRPr="00145379" w:rsidRDefault="00FB178A" w:rsidP="009E18ED">
            <w:pPr>
              <w:pStyle w:val="BodyText"/>
              <w:spacing w:line="276" w:lineRule="auto"/>
              <w:jc w:val="center"/>
              <w:rPr>
                <w:color w:val="000000" w:themeColor="text1"/>
              </w:rPr>
            </w:pPr>
            <w:r w:rsidRPr="00145379">
              <w:rPr>
                <w:color w:val="000000" w:themeColor="text1"/>
              </w:rPr>
              <w:t>75%</w:t>
            </w:r>
          </w:p>
        </w:tc>
        <w:tc>
          <w:tcPr>
            <w:tcW w:w="2275" w:type="dxa"/>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08FEA5FC" w14:textId="77777777" w:rsidR="00FB178A" w:rsidRDefault="00FB178A" w:rsidP="009E18ED">
            <w:pPr>
              <w:pStyle w:val="BodyText"/>
              <w:spacing w:line="276" w:lineRule="auto"/>
              <w:jc w:val="center"/>
              <w:rPr>
                <w:color w:val="000000" w:themeColor="text1"/>
              </w:rPr>
            </w:pPr>
            <w:r>
              <w:rPr>
                <w:color w:val="000000" w:themeColor="text1"/>
              </w:rPr>
              <w:t xml:space="preserve">78% </w:t>
            </w:r>
          </w:p>
          <w:p w14:paraId="2C326780" w14:textId="77777777" w:rsidR="00FB178A" w:rsidRPr="00145379" w:rsidRDefault="00FB178A" w:rsidP="009E18ED">
            <w:pPr>
              <w:pStyle w:val="BodyText"/>
              <w:spacing w:line="276" w:lineRule="auto"/>
              <w:jc w:val="center"/>
              <w:rPr>
                <w:color w:val="000000" w:themeColor="text1"/>
              </w:rPr>
            </w:pPr>
            <w:r>
              <w:rPr>
                <w:color w:val="000000" w:themeColor="text1"/>
              </w:rPr>
              <w:t>(2024.)</w:t>
            </w:r>
          </w:p>
        </w:tc>
      </w:tr>
      <w:tr w:rsidR="00FB178A" w:rsidRPr="00145379" w14:paraId="551750A5" w14:textId="77777777" w:rsidTr="009E18ED">
        <w:trPr>
          <w:jc w:val="center"/>
        </w:trPr>
        <w:tc>
          <w:tcPr>
            <w:tcW w:w="2830" w:type="dxa"/>
            <w:shd w:val="clear" w:color="auto" w:fill="D9D9D9" w:themeFill="background1" w:themeFillShade="D9"/>
            <w:vAlign w:val="center"/>
          </w:tcPr>
          <w:p w14:paraId="76C1C259" w14:textId="77777777" w:rsidR="00FB178A" w:rsidRPr="00145379" w:rsidRDefault="00FB178A" w:rsidP="009E18ED">
            <w:pPr>
              <w:pStyle w:val="BodyText"/>
              <w:spacing w:line="276" w:lineRule="auto"/>
              <w:rPr>
                <w:i/>
                <w:iCs/>
                <w:color w:val="000000" w:themeColor="text1"/>
              </w:rPr>
            </w:pPr>
            <w:r w:rsidRPr="00145379">
              <w:rPr>
                <w:i/>
                <w:iCs/>
                <w:color w:val="000000" w:themeColor="text1"/>
              </w:rPr>
              <w:t>Indeks globalne konkurentnosti (GCI)</w:t>
            </w:r>
          </w:p>
        </w:tc>
        <w:tc>
          <w:tcPr>
            <w:tcW w:w="1975" w:type="dxa"/>
            <w:shd w:val="clear" w:color="auto" w:fill="D9D9D9" w:themeFill="background1" w:themeFillShade="D9"/>
            <w:vAlign w:val="center"/>
          </w:tcPr>
          <w:p w14:paraId="0249C24D" w14:textId="77777777" w:rsidR="00FB178A" w:rsidRPr="00145379" w:rsidRDefault="00FB178A" w:rsidP="009E18ED">
            <w:pPr>
              <w:pStyle w:val="BodyText"/>
              <w:spacing w:line="276" w:lineRule="auto"/>
              <w:jc w:val="center"/>
              <w:rPr>
                <w:i/>
                <w:iCs/>
                <w:color w:val="000000" w:themeColor="text1"/>
              </w:rPr>
            </w:pPr>
            <w:r w:rsidRPr="00145379">
              <w:rPr>
                <w:i/>
                <w:iCs/>
                <w:color w:val="000000" w:themeColor="text1"/>
              </w:rPr>
              <w:t>63. mjesto (2019.)</w:t>
            </w:r>
          </w:p>
        </w:tc>
        <w:tc>
          <w:tcPr>
            <w:tcW w:w="2129" w:type="dxa"/>
            <w:tcBorders>
              <w:right w:val="dotted" w:sz="4" w:space="0" w:color="auto"/>
            </w:tcBorders>
            <w:shd w:val="clear" w:color="auto" w:fill="D9D9D9" w:themeFill="background1" w:themeFillShade="D9"/>
            <w:vAlign w:val="center"/>
          </w:tcPr>
          <w:p w14:paraId="62AFC216" w14:textId="77777777" w:rsidR="00FB178A" w:rsidRPr="00145379" w:rsidRDefault="00FB178A" w:rsidP="009E18ED">
            <w:pPr>
              <w:pStyle w:val="BodyText"/>
              <w:spacing w:line="276" w:lineRule="auto"/>
              <w:jc w:val="center"/>
              <w:rPr>
                <w:i/>
                <w:iCs/>
                <w:color w:val="000000" w:themeColor="text1"/>
              </w:rPr>
            </w:pPr>
            <w:r w:rsidRPr="00145379">
              <w:rPr>
                <w:i/>
                <w:iCs/>
                <w:color w:val="000000" w:themeColor="text1"/>
              </w:rPr>
              <w:t>&lt; 45. mjesta</w:t>
            </w:r>
          </w:p>
        </w:tc>
        <w:tc>
          <w:tcPr>
            <w:tcW w:w="2275"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0BB5B617" w14:textId="77777777" w:rsidR="00FB178A" w:rsidRPr="00145379" w:rsidRDefault="00FB178A" w:rsidP="009E18ED">
            <w:pPr>
              <w:pStyle w:val="BodyText"/>
              <w:spacing w:line="276" w:lineRule="auto"/>
              <w:jc w:val="center"/>
              <w:rPr>
                <w:i/>
                <w:iCs/>
                <w:color w:val="000000" w:themeColor="text1"/>
              </w:rPr>
            </w:pPr>
            <w:r w:rsidRPr="00145379">
              <w:rPr>
                <w:i/>
                <w:iCs/>
                <w:color w:val="000000" w:themeColor="text1"/>
              </w:rPr>
              <w:t>Nema podataka</w:t>
            </w:r>
          </w:p>
        </w:tc>
      </w:tr>
      <w:tr w:rsidR="00FB178A" w:rsidRPr="00145379" w14:paraId="12BB1276" w14:textId="77777777" w:rsidTr="009E18ED">
        <w:trPr>
          <w:trHeight w:val="708"/>
          <w:jc w:val="center"/>
        </w:trPr>
        <w:tc>
          <w:tcPr>
            <w:tcW w:w="2830" w:type="dxa"/>
            <w:shd w:val="clear" w:color="auto" w:fill="FFFFFF" w:themeFill="background1"/>
            <w:vAlign w:val="center"/>
          </w:tcPr>
          <w:p w14:paraId="7A7D9DEF" w14:textId="77777777" w:rsidR="00FB178A" w:rsidRPr="00073087" w:rsidRDefault="00FB178A" w:rsidP="009E18ED">
            <w:pPr>
              <w:pStyle w:val="BodyText"/>
              <w:spacing w:line="276" w:lineRule="auto"/>
              <w:rPr>
                <w:color w:val="000000" w:themeColor="text1"/>
              </w:rPr>
            </w:pPr>
            <w:r w:rsidRPr="00073087">
              <w:rPr>
                <w:color w:val="000000" w:themeColor="text1"/>
              </w:rPr>
              <w:t xml:space="preserve">Poredak na </w:t>
            </w:r>
            <w:r>
              <w:rPr>
                <w:bCs/>
                <w:color w:val="000000" w:themeColor="text1"/>
              </w:rPr>
              <w:t>L</w:t>
            </w:r>
            <w:r w:rsidRPr="00073087">
              <w:rPr>
                <w:color w:val="000000" w:themeColor="text1"/>
              </w:rPr>
              <w:t>jestvici globalne konkurentnosti</w:t>
            </w:r>
            <w:r>
              <w:rPr>
                <w:color w:val="000000" w:themeColor="text1"/>
              </w:rPr>
              <w:t xml:space="preserve"> </w:t>
            </w:r>
            <w:r>
              <w:rPr>
                <w:bCs/>
                <w:color w:val="000000" w:themeColor="text1"/>
              </w:rPr>
              <w:t>(WCR)</w:t>
            </w:r>
            <w:r w:rsidRPr="00073087">
              <w:rPr>
                <w:bCs/>
                <w:color w:val="000000" w:themeColor="text1"/>
              </w:rPr>
              <w:t xml:space="preserve"> </w:t>
            </w:r>
            <w:r w:rsidRPr="00073087">
              <w:rPr>
                <w:color w:val="000000" w:themeColor="text1"/>
              </w:rPr>
              <w:t>Instituta za razvoj poslovnog upravljanja (IMD)</w:t>
            </w:r>
          </w:p>
        </w:tc>
        <w:tc>
          <w:tcPr>
            <w:tcW w:w="1975" w:type="dxa"/>
            <w:shd w:val="clear" w:color="auto" w:fill="DAEEF3" w:themeFill="accent5" w:themeFillTint="33"/>
            <w:vAlign w:val="center"/>
          </w:tcPr>
          <w:p w14:paraId="4020CB6A" w14:textId="77777777" w:rsidR="00FB178A" w:rsidRPr="00073087" w:rsidRDefault="00FB178A" w:rsidP="009E18ED">
            <w:pPr>
              <w:pStyle w:val="BodyText"/>
              <w:spacing w:line="276" w:lineRule="auto"/>
              <w:jc w:val="center"/>
              <w:rPr>
                <w:color w:val="000000" w:themeColor="text1"/>
              </w:rPr>
            </w:pPr>
            <w:r w:rsidRPr="00073087">
              <w:rPr>
                <w:color w:val="000000" w:themeColor="text1"/>
              </w:rPr>
              <w:t xml:space="preserve">60. mjesto </w:t>
            </w:r>
          </w:p>
        </w:tc>
        <w:tc>
          <w:tcPr>
            <w:tcW w:w="2129" w:type="dxa"/>
            <w:tcBorders>
              <w:right w:val="dotted" w:sz="4" w:space="0" w:color="auto"/>
            </w:tcBorders>
            <w:shd w:val="clear" w:color="auto" w:fill="FFFFFF" w:themeFill="background1"/>
            <w:vAlign w:val="center"/>
          </w:tcPr>
          <w:p w14:paraId="4528896F" w14:textId="77777777" w:rsidR="00FB178A" w:rsidRPr="00073087" w:rsidRDefault="00FB178A" w:rsidP="009E18ED">
            <w:pPr>
              <w:pStyle w:val="BodyText"/>
              <w:spacing w:line="276" w:lineRule="auto"/>
              <w:jc w:val="center"/>
              <w:rPr>
                <w:color w:val="000000" w:themeColor="text1"/>
              </w:rPr>
            </w:pPr>
            <w:r w:rsidRPr="00073087">
              <w:rPr>
                <w:color w:val="000000" w:themeColor="text1"/>
              </w:rPr>
              <w:t>n/p</w:t>
            </w:r>
          </w:p>
        </w:tc>
        <w:tc>
          <w:tcPr>
            <w:tcW w:w="2275" w:type="dxa"/>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3F2D3EB1" w14:textId="77777777" w:rsidR="00FB178A" w:rsidRPr="0004221B" w:rsidRDefault="00FB178A" w:rsidP="009E18ED">
            <w:pPr>
              <w:pStyle w:val="BodyText"/>
              <w:spacing w:line="276" w:lineRule="auto"/>
              <w:jc w:val="center"/>
              <w:rPr>
                <w:color w:val="000000" w:themeColor="text1"/>
              </w:rPr>
            </w:pPr>
            <w:r w:rsidRPr="0004221B">
              <w:rPr>
                <w:color w:val="000000" w:themeColor="text1"/>
              </w:rPr>
              <w:t xml:space="preserve">51. mjesto </w:t>
            </w:r>
          </w:p>
          <w:p w14:paraId="45CADE33" w14:textId="77777777" w:rsidR="00FB178A" w:rsidRPr="00145379" w:rsidRDefault="00FB178A" w:rsidP="009E18ED">
            <w:pPr>
              <w:pStyle w:val="BodyText"/>
              <w:spacing w:line="276" w:lineRule="auto"/>
              <w:jc w:val="center"/>
              <w:rPr>
                <w:b/>
                <w:color w:val="000000" w:themeColor="text1"/>
              </w:rPr>
            </w:pPr>
            <w:r w:rsidRPr="0004221B">
              <w:rPr>
                <w:color w:val="000000" w:themeColor="text1"/>
              </w:rPr>
              <w:t>(2024.)</w:t>
            </w:r>
          </w:p>
        </w:tc>
      </w:tr>
      <w:tr w:rsidR="00FB178A" w:rsidRPr="00145379" w14:paraId="721C9082" w14:textId="77777777" w:rsidTr="009E18ED">
        <w:trPr>
          <w:jc w:val="center"/>
        </w:trPr>
        <w:tc>
          <w:tcPr>
            <w:tcW w:w="2830" w:type="dxa"/>
            <w:shd w:val="clear" w:color="auto" w:fill="FFFFFF" w:themeFill="background1"/>
            <w:vAlign w:val="center"/>
          </w:tcPr>
          <w:p w14:paraId="2DBFFABB" w14:textId="77777777" w:rsidR="00FB178A" w:rsidRPr="00145379" w:rsidRDefault="00FB178A" w:rsidP="009E18ED">
            <w:pPr>
              <w:pStyle w:val="BodyText"/>
              <w:spacing w:line="276" w:lineRule="auto"/>
              <w:rPr>
                <w:color w:val="000000" w:themeColor="text1"/>
              </w:rPr>
            </w:pPr>
            <w:r w:rsidRPr="00145379">
              <w:rPr>
                <w:color w:val="000000" w:themeColor="text1"/>
              </w:rPr>
              <w:t xml:space="preserve">Europska ljestvica uspjeha u inoviranju </w:t>
            </w:r>
          </w:p>
        </w:tc>
        <w:tc>
          <w:tcPr>
            <w:tcW w:w="1975" w:type="dxa"/>
            <w:shd w:val="clear" w:color="auto" w:fill="DAEEF3" w:themeFill="accent5" w:themeFillTint="33"/>
            <w:vAlign w:val="center"/>
          </w:tcPr>
          <w:p w14:paraId="3902A4D0" w14:textId="77777777" w:rsidR="00FB178A" w:rsidRPr="00145379" w:rsidRDefault="00FB178A" w:rsidP="009E18ED">
            <w:pPr>
              <w:pStyle w:val="BodyText"/>
              <w:spacing w:line="276" w:lineRule="auto"/>
              <w:jc w:val="center"/>
              <w:rPr>
                <w:color w:val="000000" w:themeColor="text1"/>
              </w:rPr>
            </w:pPr>
            <w:r w:rsidRPr="00145379">
              <w:rPr>
                <w:color w:val="000000" w:themeColor="text1"/>
              </w:rPr>
              <w:t>25. mjesto u EU (2020.)</w:t>
            </w:r>
          </w:p>
        </w:tc>
        <w:tc>
          <w:tcPr>
            <w:tcW w:w="2129" w:type="dxa"/>
            <w:tcBorders>
              <w:right w:val="dotted" w:sz="4" w:space="0" w:color="auto"/>
            </w:tcBorders>
            <w:shd w:val="clear" w:color="auto" w:fill="FFFFFF" w:themeFill="background1"/>
            <w:vAlign w:val="center"/>
          </w:tcPr>
          <w:p w14:paraId="357980FA" w14:textId="77777777" w:rsidR="00FB178A" w:rsidRPr="00145379" w:rsidRDefault="00FB178A" w:rsidP="009E18ED">
            <w:pPr>
              <w:pStyle w:val="BodyText"/>
              <w:spacing w:line="276" w:lineRule="auto"/>
              <w:jc w:val="center"/>
              <w:rPr>
                <w:color w:val="000000" w:themeColor="text1"/>
              </w:rPr>
            </w:pPr>
            <w:r w:rsidRPr="00145379">
              <w:rPr>
                <w:color w:val="000000" w:themeColor="text1"/>
              </w:rPr>
              <w:t>&lt;18. mjesta</w:t>
            </w:r>
          </w:p>
        </w:tc>
        <w:tc>
          <w:tcPr>
            <w:tcW w:w="2275" w:type="dxa"/>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1155C041" w14:textId="77777777" w:rsidR="00FB178A" w:rsidRDefault="00FB178A" w:rsidP="009E18ED">
            <w:pPr>
              <w:pStyle w:val="BodyText"/>
              <w:spacing w:line="276" w:lineRule="auto"/>
              <w:jc w:val="center"/>
              <w:rPr>
                <w:color w:val="000000" w:themeColor="text1"/>
              </w:rPr>
            </w:pPr>
            <w:r w:rsidRPr="37F46E0C">
              <w:rPr>
                <w:color w:val="000000" w:themeColor="text1"/>
              </w:rPr>
              <w:t>21</w:t>
            </w:r>
            <w:r>
              <w:rPr>
                <w:color w:val="000000" w:themeColor="text1"/>
              </w:rPr>
              <w:t xml:space="preserve">. mjesto </w:t>
            </w:r>
          </w:p>
          <w:p w14:paraId="21BD3164" w14:textId="77777777" w:rsidR="00FB178A" w:rsidRPr="00145379" w:rsidRDefault="00FB178A" w:rsidP="009E18ED">
            <w:pPr>
              <w:pStyle w:val="BodyText"/>
              <w:spacing w:line="276" w:lineRule="auto"/>
              <w:jc w:val="center"/>
              <w:rPr>
                <w:color w:val="000000" w:themeColor="text1"/>
              </w:rPr>
            </w:pPr>
            <w:r>
              <w:rPr>
                <w:color w:val="000000" w:themeColor="text1"/>
              </w:rPr>
              <w:t>(2024.)</w:t>
            </w:r>
          </w:p>
        </w:tc>
      </w:tr>
      <w:tr w:rsidR="00FB178A" w:rsidRPr="00145379" w14:paraId="6DFAD85A" w14:textId="77777777" w:rsidTr="009E18ED">
        <w:trPr>
          <w:jc w:val="center"/>
        </w:trPr>
        <w:tc>
          <w:tcPr>
            <w:tcW w:w="2830" w:type="dxa"/>
            <w:shd w:val="clear" w:color="auto" w:fill="FFFFFF" w:themeFill="background1"/>
            <w:vAlign w:val="center"/>
          </w:tcPr>
          <w:p w14:paraId="4CE0BA7F" w14:textId="77777777" w:rsidR="00FB178A" w:rsidRPr="00145379" w:rsidRDefault="00FB178A" w:rsidP="009E18ED">
            <w:pPr>
              <w:pStyle w:val="BodyText"/>
              <w:spacing w:line="276" w:lineRule="auto"/>
              <w:rPr>
                <w:color w:val="000000" w:themeColor="text1"/>
              </w:rPr>
            </w:pPr>
            <w:r w:rsidRPr="00145379">
              <w:rPr>
                <w:color w:val="000000" w:themeColor="text1"/>
              </w:rPr>
              <w:t>Udio ukupnih izdataka za istraživanje i razvoj (GERD) u BDP-u</w:t>
            </w:r>
          </w:p>
        </w:tc>
        <w:tc>
          <w:tcPr>
            <w:tcW w:w="1975" w:type="dxa"/>
            <w:shd w:val="clear" w:color="auto" w:fill="DAEEF3" w:themeFill="accent5" w:themeFillTint="33"/>
            <w:vAlign w:val="center"/>
          </w:tcPr>
          <w:p w14:paraId="645F69EF" w14:textId="77777777" w:rsidR="00FB178A" w:rsidRPr="00145379" w:rsidRDefault="00FB178A" w:rsidP="009E18ED">
            <w:pPr>
              <w:pStyle w:val="BodyText"/>
              <w:spacing w:line="276" w:lineRule="auto"/>
              <w:jc w:val="center"/>
              <w:rPr>
                <w:color w:val="000000" w:themeColor="text1"/>
              </w:rPr>
            </w:pPr>
            <w:r w:rsidRPr="00145379">
              <w:rPr>
                <w:color w:val="000000" w:themeColor="text1"/>
              </w:rPr>
              <w:t>0,97% (2018.)</w:t>
            </w:r>
          </w:p>
        </w:tc>
        <w:tc>
          <w:tcPr>
            <w:tcW w:w="2129" w:type="dxa"/>
            <w:tcBorders>
              <w:right w:val="dotted" w:sz="4" w:space="0" w:color="auto"/>
            </w:tcBorders>
            <w:shd w:val="clear" w:color="auto" w:fill="FFFFFF" w:themeFill="background1"/>
            <w:vAlign w:val="center"/>
          </w:tcPr>
          <w:p w14:paraId="3B6FE0D3" w14:textId="77777777" w:rsidR="00FB178A" w:rsidRPr="00145379" w:rsidRDefault="00FB178A" w:rsidP="009E18ED">
            <w:pPr>
              <w:pStyle w:val="BodyText"/>
              <w:spacing w:line="276" w:lineRule="auto"/>
              <w:jc w:val="center"/>
              <w:rPr>
                <w:color w:val="000000" w:themeColor="text1"/>
              </w:rPr>
            </w:pPr>
            <w:r w:rsidRPr="00145379">
              <w:rPr>
                <w:color w:val="000000" w:themeColor="text1"/>
              </w:rPr>
              <w:t>3%</w:t>
            </w:r>
          </w:p>
        </w:tc>
        <w:tc>
          <w:tcPr>
            <w:tcW w:w="2275" w:type="dxa"/>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4E10C0D0" w14:textId="77777777" w:rsidR="00FB178A" w:rsidRDefault="00FB178A" w:rsidP="009E18ED">
            <w:pPr>
              <w:pStyle w:val="BodyText"/>
              <w:spacing w:line="276" w:lineRule="auto"/>
              <w:jc w:val="center"/>
              <w:rPr>
                <w:color w:val="000000" w:themeColor="text1"/>
              </w:rPr>
            </w:pPr>
            <w:r>
              <w:rPr>
                <w:color w:val="000000" w:themeColor="text1"/>
              </w:rPr>
              <w:t xml:space="preserve">1,49% </w:t>
            </w:r>
          </w:p>
          <w:p w14:paraId="73C1D44F" w14:textId="77777777" w:rsidR="00FB178A" w:rsidRPr="00145379" w:rsidRDefault="00FB178A" w:rsidP="009E18ED">
            <w:pPr>
              <w:pStyle w:val="BodyText"/>
              <w:spacing w:line="276" w:lineRule="auto"/>
              <w:jc w:val="center"/>
              <w:rPr>
                <w:color w:val="000000" w:themeColor="text1"/>
              </w:rPr>
            </w:pPr>
            <w:r>
              <w:rPr>
                <w:color w:val="000000" w:themeColor="text1"/>
              </w:rPr>
              <w:t>(2024.)</w:t>
            </w:r>
          </w:p>
        </w:tc>
      </w:tr>
      <w:tr w:rsidR="00FB178A" w:rsidRPr="00145379" w14:paraId="7F76ADD3" w14:textId="77777777" w:rsidTr="009E18ED">
        <w:trPr>
          <w:trHeight w:val="710"/>
          <w:jc w:val="center"/>
        </w:trPr>
        <w:tc>
          <w:tcPr>
            <w:tcW w:w="2830" w:type="dxa"/>
            <w:shd w:val="clear" w:color="auto" w:fill="FFFFFF" w:themeFill="background1"/>
            <w:vAlign w:val="center"/>
          </w:tcPr>
          <w:p w14:paraId="4B4AE610" w14:textId="77777777" w:rsidR="00FB178A" w:rsidRPr="00145379" w:rsidRDefault="00FB178A" w:rsidP="009E18ED">
            <w:pPr>
              <w:pStyle w:val="BodyText"/>
              <w:spacing w:line="276" w:lineRule="auto"/>
              <w:rPr>
                <w:color w:val="000000" w:themeColor="text1"/>
              </w:rPr>
            </w:pPr>
            <w:r w:rsidRPr="00145379">
              <w:rPr>
                <w:color w:val="000000" w:themeColor="text1"/>
              </w:rPr>
              <w:t>Vrijednost izvoza roba i usluga, u % BDP-a</w:t>
            </w:r>
          </w:p>
        </w:tc>
        <w:tc>
          <w:tcPr>
            <w:tcW w:w="1975" w:type="dxa"/>
            <w:shd w:val="clear" w:color="auto" w:fill="DAEEF3" w:themeFill="accent5" w:themeFillTint="33"/>
            <w:vAlign w:val="center"/>
          </w:tcPr>
          <w:p w14:paraId="1368C6E9" w14:textId="77777777" w:rsidR="00FB178A" w:rsidRPr="00145379" w:rsidRDefault="00FB178A" w:rsidP="009E18ED">
            <w:pPr>
              <w:pStyle w:val="BodyText"/>
              <w:spacing w:line="276" w:lineRule="auto"/>
              <w:jc w:val="center"/>
              <w:rPr>
                <w:color w:val="000000" w:themeColor="text1"/>
              </w:rPr>
            </w:pPr>
            <w:r w:rsidRPr="00145379">
              <w:rPr>
                <w:color w:val="000000" w:themeColor="text1"/>
              </w:rPr>
              <w:t>52,3% (2019.)</w:t>
            </w:r>
          </w:p>
        </w:tc>
        <w:tc>
          <w:tcPr>
            <w:tcW w:w="2129" w:type="dxa"/>
            <w:tcBorders>
              <w:right w:val="dotted" w:sz="4" w:space="0" w:color="auto"/>
            </w:tcBorders>
            <w:shd w:val="clear" w:color="auto" w:fill="FFFFFF" w:themeFill="background1"/>
            <w:vAlign w:val="center"/>
          </w:tcPr>
          <w:p w14:paraId="35A39CFB" w14:textId="77777777" w:rsidR="00FB178A" w:rsidRPr="00145379" w:rsidRDefault="00FB178A" w:rsidP="009E18ED">
            <w:pPr>
              <w:pStyle w:val="BodyText"/>
              <w:spacing w:line="276" w:lineRule="auto"/>
              <w:jc w:val="center"/>
              <w:rPr>
                <w:color w:val="000000" w:themeColor="text1"/>
              </w:rPr>
            </w:pPr>
            <w:r w:rsidRPr="00145379">
              <w:rPr>
                <w:color w:val="000000" w:themeColor="text1"/>
              </w:rPr>
              <w:t>70%</w:t>
            </w:r>
          </w:p>
        </w:tc>
        <w:tc>
          <w:tcPr>
            <w:tcW w:w="2275" w:type="dxa"/>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60CA15D5" w14:textId="77777777" w:rsidR="00FB178A" w:rsidRDefault="00FB178A" w:rsidP="009E18ED">
            <w:pPr>
              <w:pStyle w:val="BodyText"/>
              <w:spacing w:line="276" w:lineRule="auto"/>
              <w:jc w:val="center"/>
              <w:rPr>
                <w:color w:val="000000" w:themeColor="text1"/>
              </w:rPr>
            </w:pPr>
            <w:r>
              <w:rPr>
                <w:color w:val="000000" w:themeColor="text1"/>
              </w:rPr>
              <w:t xml:space="preserve">50,1% </w:t>
            </w:r>
          </w:p>
          <w:p w14:paraId="43B4859D" w14:textId="77777777" w:rsidR="00FB178A" w:rsidRPr="00145379" w:rsidRDefault="00FB178A" w:rsidP="009E18ED">
            <w:pPr>
              <w:pStyle w:val="BodyText"/>
              <w:spacing w:line="276" w:lineRule="auto"/>
              <w:jc w:val="center"/>
              <w:rPr>
                <w:color w:val="000000" w:themeColor="text1"/>
              </w:rPr>
            </w:pPr>
            <w:r>
              <w:rPr>
                <w:color w:val="000000" w:themeColor="text1"/>
              </w:rPr>
              <w:t>(2024.)</w:t>
            </w:r>
          </w:p>
        </w:tc>
      </w:tr>
    </w:tbl>
    <w:p w14:paraId="06F77709" w14:textId="77777777" w:rsidR="00FB178A" w:rsidRPr="00145379" w:rsidRDefault="00FB178A" w:rsidP="00FB178A">
      <w:pPr>
        <w:spacing w:line="276" w:lineRule="auto"/>
        <w:rPr>
          <w:sz w:val="24"/>
          <w:szCs w:val="24"/>
        </w:rPr>
      </w:pPr>
      <w:bookmarkStart w:id="8" w:name="_Toc104741122"/>
      <w:bookmarkStart w:id="9" w:name="_Toc104746587"/>
      <w:bookmarkStart w:id="10" w:name="_Toc104746804"/>
      <w:bookmarkStart w:id="11" w:name="_Toc104747015"/>
      <w:bookmarkStart w:id="12" w:name="_Toc104741123"/>
      <w:bookmarkStart w:id="13" w:name="_Toc104746588"/>
      <w:bookmarkStart w:id="14" w:name="_Toc104746805"/>
      <w:bookmarkStart w:id="15" w:name="_Toc104747016"/>
      <w:bookmarkStart w:id="16" w:name="_Toc104741124"/>
      <w:bookmarkStart w:id="17" w:name="_Toc104746589"/>
      <w:bookmarkStart w:id="18" w:name="_Toc104746806"/>
      <w:bookmarkStart w:id="19" w:name="_Toc104747017"/>
      <w:bookmarkStart w:id="20" w:name="_Toc104741125"/>
      <w:bookmarkStart w:id="21" w:name="_Toc104746590"/>
      <w:bookmarkStart w:id="22" w:name="_Toc104746807"/>
      <w:bookmarkStart w:id="23" w:name="_Toc104747018"/>
      <w:bookmarkStart w:id="24" w:name="_Toc104741126"/>
      <w:bookmarkStart w:id="25" w:name="_Toc104746591"/>
      <w:bookmarkStart w:id="26" w:name="_Toc104746808"/>
      <w:bookmarkStart w:id="27" w:name="_Toc104747019"/>
      <w:bookmarkStart w:id="28" w:name="_Toc104741127"/>
      <w:bookmarkStart w:id="29" w:name="_Toc104746592"/>
      <w:bookmarkStart w:id="30" w:name="_Toc104746809"/>
      <w:bookmarkStart w:id="31" w:name="_Toc104747020"/>
      <w:bookmarkStart w:id="32" w:name="_Toc104741128"/>
      <w:bookmarkStart w:id="33" w:name="_Toc104746593"/>
      <w:bookmarkStart w:id="34" w:name="_Toc104746810"/>
      <w:bookmarkStart w:id="35" w:name="_Toc104747021"/>
      <w:bookmarkStart w:id="36" w:name="_Toc104741129"/>
      <w:bookmarkStart w:id="37" w:name="_Toc104746594"/>
      <w:bookmarkStart w:id="38" w:name="_Toc104746811"/>
      <w:bookmarkStart w:id="39" w:name="_Toc104747022"/>
      <w:bookmarkStart w:id="40" w:name="_Toc104741130"/>
      <w:bookmarkStart w:id="41" w:name="_Toc104746595"/>
      <w:bookmarkStart w:id="42" w:name="_Toc104746812"/>
      <w:bookmarkStart w:id="43" w:name="_Toc104747023"/>
      <w:bookmarkStart w:id="44" w:name="_Toc104741131"/>
      <w:bookmarkStart w:id="45" w:name="_Toc104746596"/>
      <w:bookmarkStart w:id="46" w:name="_Toc104746813"/>
      <w:bookmarkStart w:id="47" w:name="_Toc104747024"/>
      <w:bookmarkStart w:id="48" w:name="_Toc104741132"/>
      <w:bookmarkStart w:id="49" w:name="_Toc104746597"/>
      <w:bookmarkStart w:id="50" w:name="_Toc104746814"/>
      <w:bookmarkStart w:id="51" w:name="_Toc104747025"/>
      <w:bookmarkStart w:id="52" w:name="_Toc104741133"/>
      <w:bookmarkStart w:id="53" w:name="_Toc104746598"/>
      <w:bookmarkStart w:id="54" w:name="_Toc104746815"/>
      <w:bookmarkStart w:id="55" w:name="_Toc10474702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5E9E3FA7" w14:textId="77777777" w:rsidR="00FB178A" w:rsidRPr="00145379" w:rsidRDefault="00FB178A" w:rsidP="00FB178A">
      <w:pPr>
        <w:pStyle w:val="Heading3"/>
      </w:pPr>
      <w:bookmarkStart w:id="56" w:name="_Toc223002925"/>
      <w:r w:rsidRPr="7B8BC2C2">
        <w:t>1.2. Opis napretka u provedbi strateškog cilja Konkurentno i inovativno gospodarstvo</w:t>
      </w:r>
      <w:bookmarkEnd w:id="56"/>
    </w:p>
    <w:p w14:paraId="77FCCA06" w14:textId="77777777" w:rsidR="00FB178A" w:rsidRDefault="00FB178A" w:rsidP="00FB178A">
      <w:pPr>
        <w:widowControl/>
        <w:autoSpaceDE/>
        <w:autoSpaceDN/>
        <w:spacing w:before="240" w:after="240" w:line="276" w:lineRule="auto"/>
        <w:ind w:left="426" w:firstLine="294"/>
        <w:jc w:val="both"/>
        <w:rPr>
          <w:rFonts w:eastAsia="Calibri"/>
          <w:b/>
          <w:bCs/>
          <w:kern w:val="2"/>
          <w:sz w:val="24"/>
          <w:szCs w:val="24"/>
        </w:rPr>
      </w:pPr>
      <w:r w:rsidRPr="00145379">
        <w:rPr>
          <w:rFonts w:eastAsia="Calibri"/>
          <w:b/>
          <w:bCs/>
          <w:kern w:val="2"/>
          <w:sz w:val="24"/>
          <w:szCs w:val="24"/>
        </w:rPr>
        <w:t xml:space="preserve">Razvoj globalno konkurentne, zelene i digitalne industrije </w:t>
      </w:r>
    </w:p>
    <w:p w14:paraId="37DF38A6" w14:textId="77777777" w:rsidR="00FB178A" w:rsidRDefault="00FB178A" w:rsidP="00FB178A">
      <w:pPr>
        <w:widowControl/>
        <w:autoSpaceDE/>
        <w:autoSpaceDN/>
        <w:spacing w:after="227" w:line="276" w:lineRule="auto"/>
        <w:ind w:left="-15" w:firstLine="708"/>
        <w:jc w:val="both"/>
        <w:rPr>
          <w:color w:val="000000"/>
          <w:kern w:val="2"/>
          <w:sz w:val="24"/>
          <w:szCs w:val="24"/>
          <w:lang w:eastAsia="hr-HR"/>
          <w14:ligatures w14:val="standardContextual"/>
        </w:rPr>
      </w:pPr>
      <w:r w:rsidRPr="00213A33">
        <w:rPr>
          <w:color w:val="000000"/>
          <w:kern w:val="2"/>
          <w:sz w:val="24"/>
          <w:szCs w:val="24"/>
          <w:lang w:eastAsia="hr-HR"/>
          <w14:ligatures w14:val="standardContextual"/>
        </w:rPr>
        <w:t xml:space="preserve">Hrvatsko gospodarstvo je i tijekom 2024. nastavilo rasti znatno brže od prosjeka zemalja europodručja, potvrđujući visoku razinu otpornosti na nepovoljne trendove iz međunarodnog okruženja te na usporenu </w:t>
      </w:r>
      <w:r>
        <w:rPr>
          <w:color w:val="000000"/>
          <w:kern w:val="2"/>
          <w:sz w:val="24"/>
          <w:szCs w:val="24"/>
          <w:lang w:eastAsia="hr-HR"/>
          <w14:ligatures w14:val="standardContextual"/>
        </w:rPr>
        <w:t>gospodarsku</w:t>
      </w:r>
      <w:r w:rsidRPr="00213A33">
        <w:rPr>
          <w:color w:val="000000"/>
          <w:kern w:val="2"/>
          <w:sz w:val="24"/>
          <w:szCs w:val="24"/>
          <w:lang w:eastAsia="hr-HR"/>
          <w14:ligatures w14:val="standardContextual"/>
        </w:rPr>
        <w:t xml:space="preserve"> aktivnost </w:t>
      </w:r>
      <w:r>
        <w:rPr>
          <w:color w:val="000000"/>
          <w:kern w:val="2"/>
          <w:sz w:val="24"/>
          <w:szCs w:val="24"/>
          <w:lang w:eastAsia="hr-HR"/>
          <w14:ligatures w14:val="standardContextual"/>
        </w:rPr>
        <w:t xml:space="preserve">kod </w:t>
      </w:r>
      <w:r w:rsidRPr="00213A33">
        <w:rPr>
          <w:color w:val="000000"/>
          <w:kern w:val="2"/>
          <w:sz w:val="24"/>
          <w:szCs w:val="24"/>
          <w:lang w:eastAsia="hr-HR"/>
          <w14:ligatures w14:val="standardContextual"/>
        </w:rPr>
        <w:t xml:space="preserve">ključnih vanjsko-trgovinskih partnera. Unatoč relativno slaboj vanjskoj potražnji, domaća </w:t>
      </w:r>
      <w:r>
        <w:rPr>
          <w:color w:val="000000"/>
          <w:kern w:val="2"/>
          <w:sz w:val="24"/>
          <w:szCs w:val="24"/>
          <w:lang w:eastAsia="hr-HR"/>
          <w14:ligatures w14:val="standardContextual"/>
        </w:rPr>
        <w:t>gospodarska</w:t>
      </w:r>
      <w:r w:rsidRPr="00213A33">
        <w:rPr>
          <w:color w:val="000000"/>
          <w:kern w:val="2"/>
          <w:sz w:val="24"/>
          <w:szCs w:val="24"/>
          <w:lang w:eastAsia="hr-HR"/>
          <w14:ligatures w14:val="standardContextual"/>
        </w:rPr>
        <w:t xml:space="preserve"> aktivnost nastavila je snaž</w:t>
      </w:r>
      <w:r>
        <w:rPr>
          <w:color w:val="000000"/>
          <w:kern w:val="2"/>
          <w:sz w:val="24"/>
          <w:szCs w:val="24"/>
          <w:lang w:eastAsia="hr-HR"/>
          <w14:ligatures w14:val="standardContextual"/>
        </w:rPr>
        <w:t>no</w:t>
      </w:r>
      <w:r w:rsidRPr="00213A33">
        <w:rPr>
          <w:color w:val="000000"/>
          <w:kern w:val="2"/>
          <w:sz w:val="24"/>
          <w:szCs w:val="24"/>
          <w:lang w:eastAsia="hr-HR"/>
          <w14:ligatures w14:val="standardContextual"/>
        </w:rPr>
        <w:t xml:space="preserve"> rast</w:t>
      </w:r>
      <w:r>
        <w:rPr>
          <w:color w:val="000000"/>
          <w:kern w:val="2"/>
          <w:sz w:val="24"/>
          <w:szCs w:val="24"/>
          <w:lang w:eastAsia="hr-HR"/>
          <w14:ligatures w14:val="standardContextual"/>
        </w:rPr>
        <w:t>i</w:t>
      </w:r>
      <w:r w:rsidRPr="00213A33">
        <w:rPr>
          <w:color w:val="000000"/>
          <w:kern w:val="2"/>
          <w:sz w:val="24"/>
          <w:szCs w:val="24"/>
          <w:lang w:eastAsia="hr-HR"/>
          <w14:ligatures w14:val="standardContextual"/>
        </w:rPr>
        <w:t>, potaknuta osobnom potrošnjom, povoljnim kretanjima na tržištu rada, izraženim investicijskim ulaganjima privatnog sektora te poticajnom fiskalnom politikom države.</w:t>
      </w:r>
      <w:r>
        <w:rPr>
          <w:color w:val="000000"/>
          <w:kern w:val="2"/>
          <w:sz w:val="24"/>
          <w:szCs w:val="24"/>
          <w:lang w:eastAsia="hr-HR"/>
          <w14:ligatures w14:val="standardContextual"/>
        </w:rPr>
        <w:t xml:space="preserve"> </w:t>
      </w:r>
      <w:r w:rsidRPr="00213A33">
        <w:rPr>
          <w:color w:val="000000"/>
          <w:kern w:val="2"/>
          <w:sz w:val="24"/>
          <w:szCs w:val="24"/>
          <w:lang w:eastAsia="hr-HR"/>
          <w14:ligatures w14:val="standardContextual"/>
        </w:rPr>
        <w:t>U takvim uvjetima, BDP u tekućim cijenama dosegnuo je u 2024. vrijednost od 85,</w:t>
      </w:r>
      <w:r>
        <w:rPr>
          <w:color w:val="000000"/>
          <w:kern w:val="2"/>
          <w:sz w:val="24"/>
          <w:szCs w:val="24"/>
          <w:lang w:eastAsia="hr-HR"/>
          <w14:ligatures w14:val="standardContextual"/>
        </w:rPr>
        <w:t>905</w:t>
      </w:r>
      <w:r w:rsidRPr="00213A33">
        <w:rPr>
          <w:color w:val="000000"/>
          <w:kern w:val="2"/>
          <w:sz w:val="24"/>
          <w:szCs w:val="24"/>
          <w:lang w:eastAsia="hr-HR"/>
          <w14:ligatures w14:val="standardContextual"/>
        </w:rPr>
        <w:t xml:space="preserve"> milijardi eura, što predstavlja rast od </w:t>
      </w:r>
      <w:r>
        <w:rPr>
          <w:color w:val="000000"/>
          <w:kern w:val="2"/>
          <w:sz w:val="24"/>
          <w:szCs w:val="24"/>
          <w:lang w:eastAsia="hr-HR"/>
          <w14:ligatures w14:val="standardContextual"/>
        </w:rPr>
        <w:t>8,48</w:t>
      </w:r>
      <w:r w:rsidRPr="00213A33">
        <w:rPr>
          <w:color w:val="000000"/>
          <w:kern w:val="2"/>
          <w:sz w:val="24"/>
          <w:szCs w:val="24"/>
          <w:lang w:eastAsia="hr-HR"/>
          <w14:ligatures w14:val="standardContextual"/>
        </w:rPr>
        <w:t>% u odnosu na 2023. (7</w:t>
      </w:r>
      <w:r>
        <w:rPr>
          <w:color w:val="000000"/>
          <w:kern w:val="2"/>
          <w:sz w:val="24"/>
          <w:szCs w:val="24"/>
          <w:lang w:eastAsia="hr-HR"/>
          <w14:ligatures w14:val="standardContextual"/>
        </w:rPr>
        <w:t>9,186</w:t>
      </w:r>
      <w:r w:rsidRPr="00213A33">
        <w:rPr>
          <w:color w:val="000000"/>
          <w:kern w:val="2"/>
          <w:sz w:val="24"/>
          <w:szCs w:val="24"/>
          <w:lang w:eastAsia="hr-HR"/>
          <w14:ligatures w14:val="standardContextual"/>
        </w:rPr>
        <w:t xml:space="preserve"> milijardi eura)</w:t>
      </w:r>
      <w:r>
        <w:rPr>
          <w:color w:val="000000"/>
          <w:kern w:val="2"/>
          <w:sz w:val="24"/>
          <w:szCs w:val="24"/>
          <w:lang w:eastAsia="hr-HR"/>
          <w14:ligatures w14:val="standardContextual"/>
        </w:rPr>
        <w:t xml:space="preserve"> uz</w:t>
      </w:r>
      <w:r w:rsidRPr="00213A33">
        <w:rPr>
          <w:color w:val="000000"/>
          <w:kern w:val="2"/>
          <w:sz w:val="24"/>
          <w:szCs w:val="24"/>
          <w:lang w:eastAsia="hr-HR"/>
          <w14:ligatures w14:val="standardContextual"/>
        </w:rPr>
        <w:t xml:space="preserve"> realni rast BDP-a od 3,</w:t>
      </w:r>
      <w:r>
        <w:rPr>
          <w:color w:val="000000"/>
          <w:kern w:val="2"/>
          <w:sz w:val="24"/>
          <w:szCs w:val="24"/>
          <w:lang w:eastAsia="hr-HR"/>
          <w14:ligatures w14:val="standardContextual"/>
        </w:rPr>
        <w:t>8</w:t>
      </w:r>
      <w:r w:rsidRPr="00213A33">
        <w:rPr>
          <w:color w:val="000000"/>
          <w:kern w:val="2"/>
          <w:sz w:val="24"/>
          <w:szCs w:val="24"/>
          <w:lang w:eastAsia="hr-HR"/>
          <w14:ligatures w14:val="standardContextual"/>
        </w:rPr>
        <w:t>%</w:t>
      </w:r>
      <w:r>
        <w:rPr>
          <w:color w:val="000000"/>
          <w:kern w:val="2"/>
          <w:sz w:val="24"/>
          <w:szCs w:val="24"/>
          <w:lang w:eastAsia="hr-HR"/>
          <w14:ligatures w14:val="standardContextual"/>
        </w:rPr>
        <w:t xml:space="preserve">. Istovremeno, </w:t>
      </w:r>
      <w:r w:rsidRPr="00213A33">
        <w:rPr>
          <w:color w:val="000000"/>
          <w:kern w:val="2"/>
          <w:sz w:val="24"/>
          <w:szCs w:val="24"/>
          <w:lang w:eastAsia="hr-HR"/>
          <w14:ligatures w14:val="standardContextual"/>
        </w:rPr>
        <w:t>BDP po stanovniku</w:t>
      </w:r>
      <w:r>
        <w:rPr>
          <w:color w:val="000000"/>
          <w:kern w:val="2"/>
          <w:sz w:val="24"/>
          <w:szCs w:val="24"/>
          <w:lang w:eastAsia="hr-HR"/>
          <w14:ligatures w14:val="standardContextual"/>
        </w:rPr>
        <w:t xml:space="preserve"> </w:t>
      </w:r>
      <w:r w:rsidRPr="00213A33">
        <w:rPr>
          <w:color w:val="000000"/>
          <w:kern w:val="2"/>
          <w:sz w:val="24"/>
          <w:szCs w:val="24"/>
          <w:lang w:eastAsia="hr-HR"/>
          <w14:ligatures w14:val="standardContextual"/>
        </w:rPr>
        <w:t>prema paritetu kupovne moći</w:t>
      </w:r>
      <w:r>
        <w:rPr>
          <w:color w:val="000000"/>
          <w:kern w:val="2"/>
          <w:sz w:val="24"/>
          <w:szCs w:val="24"/>
          <w:lang w:eastAsia="hr-HR"/>
          <w14:ligatures w14:val="standardContextual"/>
        </w:rPr>
        <w:t xml:space="preserve"> je ostao nepromijenjen</w:t>
      </w:r>
      <w:r>
        <w:rPr>
          <w:rStyle w:val="FootnoteReference"/>
          <w:color w:val="000000"/>
          <w:kern w:val="2"/>
          <w:sz w:val="24"/>
          <w:szCs w:val="24"/>
          <w:lang w:eastAsia="hr-HR"/>
          <w14:ligatures w14:val="standardContextual"/>
        </w:rPr>
        <w:footnoteReference w:id="2"/>
      </w:r>
      <w:r>
        <w:rPr>
          <w:color w:val="000000"/>
          <w:kern w:val="2"/>
          <w:sz w:val="24"/>
          <w:szCs w:val="24"/>
          <w:lang w:eastAsia="hr-HR"/>
          <w14:ligatures w14:val="standardContextual"/>
        </w:rPr>
        <w:t xml:space="preserve"> </w:t>
      </w:r>
      <w:r w:rsidRPr="00213A33">
        <w:rPr>
          <w:color w:val="000000"/>
          <w:kern w:val="2"/>
          <w:sz w:val="24"/>
          <w:szCs w:val="24"/>
          <w:lang w:eastAsia="hr-HR"/>
          <w14:ligatures w14:val="standardContextual"/>
        </w:rPr>
        <w:t>na</w:t>
      </w:r>
      <w:r>
        <w:rPr>
          <w:color w:val="000000"/>
          <w:kern w:val="2"/>
          <w:sz w:val="24"/>
          <w:szCs w:val="24"/>
          <w:lang w:eastAsia="hr-HR"/>
          <w14:ligatures w14:val="standardContextual"/>
        </w:rPr>
        <w:t xml:space="preserve"> razini od</w:t>
      </w:r>
      <w:r w:rsidRPr="00213A33">
        <w:rPr>
          <w:color w:val="000000"/>
          <w:kern w:val="2"/>
          <w:sz w:val="24"/>
          <w:szCs w:val="24"/>
          <w:lang w:eastAsia="hr-HR"/>
          <w14:ligatures w14:val="standardContextual"/>
        </w:rPr>
        <w:t xml:space="preserve"> 7</w:t>
      </w:r>
      <w:r>
        <w:rPr>
          <w:color w:val="000000"/>
          <w:kern w:val="2"/>
          <w:sz w:val="24"/>
          <w:szCs w:val="24"/>
          <w:lang w:eastAsia="hr-HR"/>
          <w14:ligatures w14:val="standardContextual"/>
        </w:rPr>
        <w:t>8</w:t>
      </w:r>
      <w:r w:rsidRPr="00213A33">
        <w:rPr>
          <w:color w:val="000000"/>
          <w:kern w:val="2"/>
          <w:sz w:val="24"/>
          <w:szCs w:val="24"/>
          <w:lang w:eastAsia="hr-HR"/>
          <w14:ligatures w14:val="standardContextual"/>
        </w:rPr>
        <w:t xml:space="preserve">% </w:t>
      </w:r>
      <w:r w:rsidRPr="00213A33">
        <w:rPr>
          <w:color w:val="000000"/>
          <w:kern w:val="2"/>
          <w:sz w:val="24"/>
          <w:szCs w:val="24"/>
          <w:lang w:eastAsia="hr-HR"/>
          <w14:ligatures w14:val="standardContextual"/>
        </w:rPr>
        <w:lastRenderedPageBreak/>
        <w:t>prosjeka E</w:t>
      </w:r>
      <w:r>
        <w:rPr>
          <w:color w:val="000000"/>
          <w:kern w:val="2"/>
          <w:sz w:val="24"/>
          <w:szCs w:val="24"/>
          <w:lang w:eastAsia="hr-HR"/>
          <w14:ligatures w14:val="standardContextual"/>
        </w:rPr>
        <w:t>U-a</w:t>
      </w:r>
      <w:r w:rsidRPr="00213A33">
        <w:rPr>
          <w:color w:val="000000"/>
          <w:kern w:val="2"/>
          <w:sz w:val="24"/>
          <w:szCs w:val="24"/>
          <w:lang w:eastAsia="hr-HR"/>
          <w14:ligatures w14:val="standardContextual"/>
        </w:rPr>
        <w:t>.</w:t>
      </w:r>
      <w:r>
        <w:rPr>
          <w:color w:val="000000"/>
          <w:kern w:val="2"/>
          <w:sz w:val="24"/>
          <w:szCs w:val="24"/>
          <w:lang w:eastAsia="hr-HR"/>
          <w14:ligatures w14:val="standardContextual"/>
        </w:rPr>
        <w:t xml:space="preserve"> Obzirom da je</w:t>
      </w:r>
      <w:r w:rsidRPr="00FC0022">
        <w:rPr>
          <w:color w:val="000000"/>
          <w:kern w:val="2"/>
          <w:sz w:val="24"/>
          <w:szCs w:val="24"/>
          <w:lang w:eastAsia="hr-HR"/>
          <w14:ligatures w14:val="standardContextual"/>
        </w:rPr>
        <w:t xml:space="preserve"> u 2024. zabilježen znatno snažniji realni rast BDP-a u odnosu na rast izvoza roba i usluga (</w:t>
      </w:r>
      <w:r>
        <w:rPr>
          <w:color w:val="000000"/>
          <w:kern w:val="2"/>
          <w:sz w:val="24"/>
          <w:szCs w:val="24"/>
          <w:lang w:eastAsia="hr-HR"/>
          <w14:ligatures w14:val="standardContextual"/>
        </w:rPr>
        <w:t>1,6</w:t>
      </w:r>
      <w:r w:rsidRPr="00FC0022">
        <w:rPr>
          <w:color w:val="000000"/>
          <w:kern w:val="2"/>
          <w:sz w:val="24"/>
          <w:szCs w:val="24"/>
          <w:lang w:eastAsia="hr-HR"/>
          <w14:ligatures w14:val="standardContextual"/>
        </w:rPr>
        <w:t xml:space="preserve">%), udio izvoza u BDP-u </w:t>
      </w:r>
      <w:r>
        <w:rPr>
          <w:color w:val="000000"/>
          <w:kern w:val="2"/>
          <w:sz w:val="24"/>
          <w:szCs w:val="24"/>
          <w:lang w:eastAsia="hr-HR"/>
          <w14:ligatures w14:val="standardContextual"/>
        </w:rPr>
        <w:t xml:space="preserve">tijekom 2024. </w:t>
      </w:r>
      <w:r w:rsidRPr="00FC0022">
        <w:rPr>
          <w:color w:val="000000"/>
          <w:kern w:val="2"/>
          <w:sz w:val="24"/>
          <w:szCs w:val="24"/>
          <w:lang w:eastAsia="hr-HR"/>
          <w14:ligatures w14:val="standardContextual"/>
        </w:rPr>
        <w:t>smanjen je na 50,</w:t>
      </w:r>
      <w:r>
        <w:rPr>
          <w:color w:val="000000"/>
          <w:kern w:val="2"/>
          <w:sz w:val="24"/>
          <w:szCs w:val="24"/>
          <w:lang w:eastAsia="hr-HR"/>
          <w14:ligatures w14:val="standardContextual"/>
        </w:rPr>
        <w:t>1</w:t>
      </w:r>
      <w:r w:rsidRPr="00FC0022">
        <w:rPr>
          <w:color w:val="000000"/>
          <w:kern w:val="2"/>
          <w:sz w:val="24"/>
          <w:szCs w:val="24"/>
          <w:lang w:eastAsia="hr-HR"/>
          <w14:ligatures w14:val="standardContextual"/>
        </w:rPr>
        <w:t>% (s 5</w:t>
      </w:r>
      <w:r>
        <w:rPr>
          <w:color w:val="000000"/>
          <w:kern w:val="2"/>
          <w:sz w:val="24"/>
          <w:szCs w:val="24"/>
          <w:lang w:eastAsia="hr-HR"/>
          <w14:ligatures w14:val="standardContextual"/>
        </w:rPr>
        <w:t>2,6</w:t>
      </w:r>
      <w:r w:rsidRPr="00FC0022">
        <w:rPr>
          <w:color w:val="000000"/>
          <w:kern w:val="2"/>
          <w:sz w:val="24"/>
          <w:szCs w:val="24"/>
          <w:lang w:eastAsia="hr-HR"/>
          <w14:ligatures w14:val="standardContextual"/>
        </w:rPr>
        <w:t xml:space="preserve">% u 2023.), što upućuje na to da je rast </w:t>
      </w:r>
      <w:r>
        <w:rPr>
          <w:color w:val="000000"/>
          <w:kern w:val="2"/>
          <w:sz w:val="24"/>
          <w:szCs w:val="24"/>
          <w:lang w:eastAsia="hr-HR"/>
          <w14:ligatures w14:val="standardContextual"/>
        </w:rPr>
        <w:t>gospodarstva</w:t>
      </w:r>
      <w:r w:rsidRPr="00FC0022">
        <w:rPr>
          <w:color w:val="000000"/>
          <w:kern w:val="2"/>
          <w:sz w:val="24"/>
          <w:szCs w:val="24"/>
          <w:lang w:eastAsia="hr-HR"/>
          <w14:ligatures w14:val="standardContextual"/>
        </w:rPr>
        <w:t xml:space="preserve"> u </w:t>
      </w:r>
      <w:r>
        <w:rPr>
          <w:color w:val="000000"/>
          <w:kern w:val="2"/>
          <w:sz w:val="24"/>
          <w:szCs w:val="24"/>
          <w:lang w:eastAsia="hr-HR"/>
          <w14:ligatures w14:val="standardContextual"/>
        </w:rPr>
        <w:t xml:space="preserve">2024. u </w:t>
      </w:r>
      <w:r w:rsidRPr="00FC0022">
        <w:rPr>
          <w:color w:val="000000"/>
          <w:kern w:val="2"/>
          <w:sz w:val="24"/>
          <w:szCs w:val="24"/>
          <w:lang w:eastAsia="hr-HR"/>
          <w14:ligatures w14:val="standardContextual"/>
        </w:rPr>
        <w:t xml:space="preserve">većoj mjeri </w:t>
      </w:r>
      <w:r>
        <w:rPr>
          <w:color w:val="000000"/>
          <w:kern w:val="2"/>
          <w:sz w:val="24"/>
          <w:szCs w:val="24"/>
          <w:lang w:eastAsia="hr-HR"/>
          <w14:ligatures w14:val="standardContextual"/>
        </w:rPr>
        <w:t xml:space="preserve">bio </w:t>
      </w:r>
      <w:r w:rsidRPr="00FC0022">
        <w:rPr>
          <w:color w:val="000000"/>
          <w:kern w:val="2"/>
          <w:sz w:val="24"/>
          <w:szCs w:val="24"/>
          <w:lang w:eastAsia="hr-HR"/>
          <w14:ligatures w14:val="standardContextual"/>
        </w:rPr>
        <w:t>potaknut domaćom potražnjom nego vanjskotrgovinskom aktivnošću</w:t>
      </w:r>
      <w:r>
        <w:rPr>
          <w:color w:val="000000"/>
          <w:kern w:val="2"/>
          <w:sz w:val="24"/>
          <w:szCs w:val="24"/>
          <w:lang w:eastAsia="hr-HR"/>
          <w14:ligatures w14:val="standardContextual"/>
        </w:rPr>
        <w:t>. V</w:t>
      </w:r>
      <w:r w:rsidRPr="004D3A64">
        <w:rPr>
          <w:color w:val="000000"/>
          <w:kern w:val="2"/>
          <w:sz w:val="24"/>
          <w:szCs w:val="24"/>
          <w:lang w:eastAsia="hr-HR"/>
          <w14:ligatures w14:val="standardContextual"/>
        </w:rPr>
        <w:t xml:space="preserve">isoka izvozna orijentiranost gospodarstva i dalje ostaje </w:t>
      </w:r>
      <w:r>
        <w:rPr>
          <w:color w:val="000000"/>
          <w:kern w:val="2"/>
          <w:sz w:val="24"/>
          <w:szCs w:val="24"/>
          <w:lang w:eastAsia="hr-HR"/>
          <w14:ligatures w14:val="standardContextual"/>
        </w:rPr>
        <w:t xml:space="preserve">cilj i </w:t>
      </w:r>
      <w:r w:rsidRPr="004D3A64">
        <w:rPr>
          <w:color w:val="000000"/>
          <w:kern w:val="2"/>
          <w:sz w:val="24"/>
          <w:szCs w:val="24"/>
          <w:lang w:eastAsia="hr-HR"/>
          <w14:ligatures w14:val="standardContextual"/>
        </w:rPr>
        <w:t xml:space="preserve">važan oslonac dugoročno održivog rasta, a </w:t>
      </w:r>
      <w:r>
        <w:rPr>
          <w:color w:val="000000"/>
          <w:kern w:val="2"/>
          <w:sz w:val="24"/>
          <w:szCs w:val="24"/>
          <w:lang w:eastAsia="hr-HR"/>
          <w14:ligatures w14:val="standardContextual"/>
        </w:rPr>
        <w:t xml:space="preserve">napori na </w:t>
      </w:r>
      <w:r w:rsidRPr="004D3A64">
        <w:rPr>
          <w:color w:val="000000"/>
          <w:kern w:val="2"/>
          <w:sz w:val="24"/>
          <w:szCs w:val="24"/>
          <w:lang w:eastAsia="hr-HR"/>
          <w14:ligatures w14:val="standardContextual"/>
        </w:rPr>
        <w:t>daljnje</w:t>
      </w:r>
      <w:r>
        <w:rPr>
          <w:color w:val="000000"/>
          <w:kern w:val="2"/>
          <w:sz w:val="24"/>
          <w:szCs w:val="24"/>
          <w:lang w:eastAsia="hr-HR"/>
          <w14:ligatures w14:val="standardContextual"/>
        </w:rPr>
        <w:t>m</w:t>
      </w:r>
      <w:r w:rsidRPr="004D3A64">
        <w:rPr>
          <w:color w:val="000000"/>
          <w:kern w:val="2"/>
          <w:sz w:val="24"/>
          <w:szCs w:val="24"/>
          <w:lang w:eastAsia="hr-HR"/>
          <w14:ligatures w14:val="standardContextual"/>
        </w:rPr>
        <w:t xml:space="preserve"> jačanj</w:t>
      </w:r>
      <w:r>
        <w:rPr>
          <w:color w:val="000000"/>
          <w:kern w:val="2"/>
          <w:sz w:val="24"/>
          <w:szCs w:val="24"/>
          <w:lang w:eastAsia="hr-HR"/>
          <w14:ligatures w14:val="standardContextual"/>
        </w:rPr>
        <w:t>u</w:t>
      </w:r>
      <w:r w:rsidRPr="004D3A64">
        <w:rPr>
          <w:color w:val="000000"/>
          <w:kern w:val="2"/>
          <w:sz w:val="24"/>
          <w:szCs w:val="24"/>
          <w:lang w:eastAsia="hr-HR"/>
          <w14:ligatures w14:val="standardContextual"/>
        </w:rPr>
        <w:t xml:space="preserve"> konkurentnosti </w:t>
      </w:r>
      <w:r>
        <w:rPr>
          <w:color w:val="000000"/>
          <w:kern w:val="2"/>
          <w:sz w:val="24"/>
          <w:szCs w:val="24"/>
          <w:lang w:eastAsia="hr-HR"/>
          <w14:ligatures w14:val="standardContextual"/>
        </w:rPr>
        <w:t>uz</w:t>
      </w:r>
      <w:r w:rsidRPr="004D3A64">
        <w:rPr>
          <w:color w:val="000000"/>
          <w:kern w:val="2"/>
          <w:sz w:val="24"/>
          <w:szCs w:val="24"/>
          <w:lang w:eastAsia="hr-HR"/>
          <w14:ligatures w14:val="standardContextual"/>
        </w:rPr>
        <w:t xml:space="preserve"> </w:t>
      </w:r>
      <w:proofErr w:type="spellStart"/>
      <w:r w:rsidRPr="004D3A64">
        <w:rPr>
          <w:color w:val="000000"/>
          <w:kern w:val="2"/>
          <w:sz w:val="24"/>
          <w:szCs w:val="24"/>
          <w:lang w:eastAsia="hr-HR"/>
          <w14:ligatures w14:val="standardContextual"/>
        </w:rPr>
        <w:t>diver</w:t>
      </w:r>
      <w:r>
        <w:rPr>
          <w:color w:val="000000"/>
          <w:kern w:val="2"/>
          <w:sz w:val="24"/>
          <w:szCs w:val="24"/>
          <w:lang w:eastAsia="hr-HR"/>
          <w14:ligatures w14:val="standardContextual"/>
        </w:rPr>
        <w:t>z</w:t>
      </w:r>
      <w:r w:rsidRPr="004D3A64">
        <w:rPr>
          <w:color w:val="000000"/>
          <w:kern w:val="2"/>
          <w:sz w:val="24"/>
          <w:szCs w:val="24"/>
          <w:lang w:eastAsia="hr-HR"/>
          <w14:ligatures w14:val="standardContextual"/>
        </w:rPr>
        <w:t>ifikacij</w:t>
      </w:r>
      <w:r>
        <w:rPr>
          <w:color w:val="000000"/>
          <w:kern w:val="2"/>
          <w:sz w:val="24"/>
          <w:szCs w:val="24"/>
          <w:lang w:eastAsia="hr-HR"/>
          <w14:ligatures w14:val="standardContextual"/>
        </w:rPr>
        <w:t>u</w:t>
      </w:r>
      <w:proofErr w:type="spellEnd"/>
      <w:r w:rsidRPr="004D3A64">
        <w:rPr>
          <w:color w:val="000000"/>
          <w:kern w:val="2"/>
          <w:sz w:val="24"/>
          <w:szCs w:val="24"/>
          <w:lang w:eastAsia="hr-HR"/>
          <w14:ligatures w14:val="standardContextual"/>
        </w:rPr>
        <w:t xml:space="preserve"> izvozne strukture</w:t>
      </w:r>
      <w:r>
        <w:rPr>
          <w:color w:val="000000"/>
          <w:kern w:val="2"/>
          <w:sz w:val="24"/>
          <w:szCs w:val="24"/>
          <w:lang w:eastAsia="hr-HR"/>
          <w14:ligatures w14:val="standardContextual"/>
        </w:rPr>
        <w:t>,</w:t>
      </w:r>
      <w:r w:rsidRPr="004D3A64">
        <w:rPr>
          <w:color w:val="000000"/>
          <w:kern w:val="2"/>
          <w:sz w:val="24"/>
          <w:szCs w:val="24"/>
          <w:lang w:eastAsia="hr-HR"/>
          <w14:ligatures w14:val="standardContextual"/>
        </w:rPr>
        <w:t xml:space="preserve"> bit</w:t>
      </w:r>
      <w:r>
        <w:rPr>
          <w:color w:val="000000"/>
          <w:kern w:val="2"/>
          <w:sz w:val="24"/>
          <w:szCs w:val="24"/>
          <w:lang w:eastAsia="hr-HR"/>
          <w14:ligatures w14:val="standardContextual"/>
        </w:rPr>
        <w:t>i</w:t>
      </w:r>
      <w:r w:rsidRPr="004D3A64">
        <w:rPr>
          <w:color w:val="000000"/>
          <w:kern w:val="2"/>
          <w:sz w:val="24"/>
          <w:szCs w:val="24"/>
          <w:lang w:eastAsia="hr-HR"/>
          <w14:ligatures w14:val="standardContextual"/>
        </w:rPr>
        <w:t xml:space="preserve"> će ključni za smanjenje osjetljivosti na kretanja u međunarodnom okruženju.</w:t>
      </w:r>
    </w:p>
    <w:p w14:paraId="098D0483" w14:textId="77777777" w:rsidR="00FB178A" w:rsidRDefault="00FB178A" w:rsidP="00FB178A">
      <w:pPr>
        <w:widowControl/>
        <w:autoSpaceDE/>
        <w:autoSpaceDN/>
        <w:spacing w:before="240" w:after="227" w:line="276" w:lineRule="auto"/>
        <w:ind w:left="-15"/>
        <w:jc w:val="both"/>
        <w:rPr>
          <w:color w:val="000000"/>
          <w:kern w:val="2"/>
          <w:sz w:val="24"/>
          <w:szCs w:val="24"/>
          <w:lang w:eastAsia="hr-HR"/>
          <w14:ligatures w14:val="standardContextual"/>
        </w:rPr>
      </w:pPr>
      <w:r w:rsidRPr="005454F5">
        <w:rPr>
          <w:color w:val="000000"/>
          <w:kern w:val="2"/>
          <w:sz w:val="24"/>
          <w:szCs w:val="24"/>
          <w:lang w:eastAsia="hr-HR"/>
          <w14:ligatures w14:val="standardContextual"/>
        </w:rPr>
        <w:t xml:space="preserve">U </w:t>
      </w:r>
      <w:r>
        <w:rPr>
          <w:color w:val="000000"/>
          <w:kern w:val="2"/>
          <w:sz w:val="24"/>
          <w:szCs w:val="24"/>
          <w:lang w:eastAsia="hr-HR"/>
          <w14:ligatures w14:val="standardContextual"/>
        </w:rPr>
        <w:t>pogledu napora n</w:t>
      </w:r>
      <w:r w:rsidRPr="005454F5">
        <w:rPr>
          <w:color w:val="000000"/>
          <w:kern w:val="2"/>
          <w:sz w:val="24"/>
          <w:szCs w:val="24"/>
          <w:lang w:eastAsia="hr-HR"/>
          <w14:ligatures w14:val="standardContextual"/>
        </w:rPr>
        <w:t>a p</w:t>
      </w:r>
      <w:r>
        <w:rPr>
          <w:color w:val="000000"/>
          <w:kern w:val="2"/>
          <w:sz w:val="24"/>
          <w:szCs w:val="24"/>
          <w:lang w:eastAsia="hr-HR"/>
          <w14:ligatures w14:val="standardContextual"/>
        </w:rPr>
        <w:t>oticanju</w:t>
      </w:r>
      <w:r w:rsidRPr="005454F5">
        <w:rPr>
          <w:color w:val="000000"/>
          <w:kern w:val="2"/>
          <w:sz w:val="24"/>
          <w:szCs w:val="24"/>
          <w:lang w:eastAsia="hr-HR"/>
          <w14:ligatures w14:val="standardContextual"/>
        </w:rPr>
        <w:t xml:space="preserve"> </w:t>
      </w:r>
      <w:r>
        <w:rPr>
          <w:color w:val="000000"/>
          <w:kern w:val="2"/>
          <w:sz w:val="24"/>
          <w:szCs w:val="24"/>
          <w:lang w:eastAsia="hr-HR"/>
          <w14:ligatures w14:val="standardContextual"/>
        </w:rPr>
        <w:t>ulaganja</w:t>
      </w:r>
      <w:r w:rsidRPr="005454F5">
        <w:rPr>
          <w:color w:val="000000"/>
          <w:kern w:val="2"/>
          <w:sz w:val="24"/>
          <w:szCs w:val="24"/>
          <w:lang w:eastAsia="hr-HR"/>
          <w14:ligatures w14:val="standardContextual"/>
        </w:rPr>
        <w:t>, podizanj</w:t>
      </w:r>
      <w:r>
        <w:rPr>
          <w:color w:val="000000"/>
          <w:kern w:val="2"/>
          <w:sz w:val="24"/>
          <w:szCs w:val="24"/>
          <w:lang w:eastAsia="hr-HR"/>
          <w14:ligatures w14:val="standardContextual"/>
        </w:rPr>
        <w:t>u</w:t>
      </w:r>
      <w:r w:rsidRPr="005454F5">
        <w:rPr>
          <w:color w:val="000000"/>
          <w:kern w:val="2"/>
          <w:sz w:val="24"/>
          <w:szCs w:val="24"/>
          <w:lang w:eastAsia="hr-HR"/>
          <w14:ligatures w14:val="standardContextual"/>
        </w:rPr>
        <w:t xml:space="preserve"> produktivnosti i jačanj</w:t>
      </w:r>
      <w:r>
        <w:rPr>
          <w:color w:val="000000"/>
          <w:kern w:val="2"/>
          <w:sz w:val="24"/>
          <w:szCs w:val="24"/>
          <w:lang w:eastAsia="hr-HR"/>
          <w14:ligatures w14:val="standardContextual"/>
        </w:rPr>
        <w:t>u</w:t>
      </w:r>
      <w:r w:rsidRPr="005454F5">
        <w:rPr>
          <w:color w:val="000000"/>
          <w:kern w:val="2"/>
          <w:sz w:val="24"/>
          <w:szCs w:val="24"/>
          <w:lang w:eastAsia="hr-HR"/>
          <w14:ligatures w14:val="standardContextual"/>
        </w:rPr>
        <w:t xml:space="preserve"> inovacijskog kapaciteta, međunarodne ljestvice konkurentnosti pružaju </w:t>
      </w:r>
      <w:r>
        <w:rPr>
          <w:color w:val="000000"/>
          <w:kern w:val="2"/>
          <w:sz w:val="24"/>
          <w:szCs w:val="24"/>
          <w:lang w:eastAsia="hr-HR"/>
          <w14:ligatures w14:val="standardContextual"/>
        </w:rPr>
        <w:t>pouzdan</w:t>
      </w:r>
      <w:r w:rsidRPr="005454F5">
        <w:rPr>
          <w:color w:val="000000"/>
          <w:kern w:val="2"/>
          <w:sz w:val="24"/>
          <w:szCs w:val="24"/>
          <w:lang w:eastAsia="hr-HR"/>
          <w14:ligatures w14:val="standardContextual"/>
        </w:rPr>
        <w:t xml:space="preserve"> uvid u snage i </w:t>
      </w:r>
      <w:r>
        <w:rPr>
          <w:color w:val="000000"/>
          <w:kern w:val="2"/>
          <w:sz w:val="24"/>
          <w:szCs w:val="24"/>
          <w:lang w:eastAsia="hr-HR"/>
          <w14:ligatures w14:val="standardContextual"/>
        </w:rPr>
        <w:t>slabosti</w:t>
      </w:r>
      <w:r w:rsidRPr="005454F5">
        <w:rPr>
          <w:color w:val="000000"/>
          <w:kern w:val="2"/>
          <w:sz w:val="24"/>
          <w:szCs w:val="24"/>
          <w:lang w:eastAsia="hr-HR"/>
          <w14:ligatures w14:val="standardContextual"/>
        </w:rPr>
        <w:t xml:space="preserve"> nacionalnih gospodarstava.</w:t>
      </w:r>
      <w:r>
        <w:rPr>
          <w:color w:val="000000"/>
          <w:kern w:val="2"/>
          <w:sz w:val="24"/>
          <w:szCs w:val="24"/>
          <w:lang w:eastAsia="hr-HR"/>
          <w14:ligatures w14:val="standardContextual"/>
        </w:rPr>
        <w:t xml:space="preserve"> Prema ukupnom poretku na Ljestvici globalne konkurentnosti, </w:t>
      </w:r>
      <w:r w:rsidRPr="00B1366D">
        <w:rPr>
          <w:color w:val="000000"/>
          <w:kern w:val="2"/>
          <w:sz w:val="24"/>
          <w:szCs w:val="24"/>
          <w:lang w:eastAsia="hr-HR"/>
          <w14:ligatures w14:val="standardContextual"/>
        </w:rPr>
        <w:t xml:space="preserve">Instituta za razvoj poslovnog upravljanja (IMD) iz </w:t>
      </w:r>
      <w:proofErr w:type="spellStart"/>
      <w:r w:rsidRPr="00B1366D">
        <w:rPr>
          <w:color w:val="000000"/>
          <w:kern w:val="2"/>
          <w:sz w:val="24"/>
          <w:szCs w:val="24"/>
          <w:lang w:eastAsia="hr-HR"/>
          <w14:ligatures w14:val="standardContextual"/>
        </w:rPr>
        <w:t>Lausanne</w:t>
      </w:r>
      <w:proofErr w:type="spellEnd"/>
      <w:r>
        <w:rPr>
          <w:color w:val="000000"/>
          <w:kern w:val="2"/>
          <w:sz w:val="24"/>
          <w:szCs w:val="24"/>
          <w:lang w:eastAsia="hr-HR"/>
          <w14:ligatures w14:val="standardContextual"/>
        </w:rPr>
        <w:t>,</w:t>
      </w:r>
      <w:r w:rsidRPr="00B1366D">
        <w:rPr>
          <w:color w:val="000000"/>
          <w:kern w:val="2"/>
          <w:sz w:val="24"/>
          <w:szCs w:val="24"/>
          <w:lang w:eastAsia="hr-HR"/>
          <w14:ligatures w14:val="standardContextual"/>
        </w:rPr>
        <w:t xml:space="preserve"> </w:t>
      </w:r>
      <w:r w:rsidRPr="0002113B">
        <w:rPr>
          <w:color w:val="000000"/>
          <w:kern w:val="2"/>
          <w:sz w:val="24"/>
          <w:szCs w:val="24"/>
          <w:lang w:eastAsia="hr-HR"/>
          <w14:ligatures w14:val="standardContextual"/>
        </w:rPr>
        <w:t xml:space="preserve">Hrvatska je </w:t>
      </w:r>
      <w:r>
        <w:rPr>
          <w:color w:val="000000"/>
          <w:kern w:val="2"/>
          <w:sz w:val="24"/>
          <w:szCs w:val="24"/>
          <w:lang w:eastAsia="hr-HR"/>
          <w14:ligatures w14:val="standardContextual"/>
        </w:rPr>
        <w:t>u 2024. zauzela</w:t>
      </w:r>
      <w:r w:rsidRPr="0002113B">
        <w:rPr>
          <w:color w:val="000000"/>
          <w:kern w:val="2"/>
          <w:sz w:val="24"/>
          <w:szCs w:val="24"/>
          <w:lang w:eastAsia="hr-HR"/>
          <w14:ligatures w14:val="standardContextual"/>
        </w:rPr>
        <w:t xml:space="preserve"> 51. mjest</w:t>
      </w:r>
      <w:r>
        <w:rPr>
          <w:color w:val="000000"/>
          <w:kern w:val="2"/>
          <w:sz w:val="24"/>
          <w:szCs w:val="24"/>
          <w:lang w:eastAsia="hr-HR"/>
          <w14:ligatures w14:val="standardContextual"/>
        </w:rPr>
        <w:t>o</w:t>
      </w:r>
      <w:r w:rsidRPr="0002113B">
        <w:rPr>
          <w:color w:val="000000"/>
          <w:kern w:val="2"/>
          <w:sz w:val="24"/>
          <w:szCs w:val="24"/>
          <w:lang w:eastAsia="hr-HR"/>
          <w14:ligatures w14:val="standardContextual"/>
        </w:rPr>
        <w:t xml:space="preserve"> među 67 rangiranih </w:t>
      </w:r>
      <w:r>
        <w:rPr>
          <w:color w:val="000000"/>
          <w:kern w:val="2"/>
          <w:sz w:val="24"/>
          <w:szCs w:val="24"/>
          <w:lang w:eastAsia="hr-HR"/>
          <w14:ligatures w14:val="standardContextual"/>
        </w:rPr>
        <w:t xml:space="preserve">zemalja, dok je u 2023. zauzela 50. mjesto od 64 zemlje obuhvaćene istraživanjem. </w:t>
      </w:r>
      <w:r w:rsidRPr="00C9508B">
        <w:rPr>
          <w:color w:val="000000"/>
          <w:kern w:val="2"/>
          <w:sz w:val="24"/>
          <w:szCs w:val="24"/>
          <w:lang w:eastAsia="hr-HR"/>
          <w14:ligatures w14:val="standardContextual"/>
        </w:rPr>
        <w:t xml:space="preserve">Od </w:t>
      </w:r>
      <w:r>
        <w:rPr>
          <w:color w:val="000000"/>
          <w:kern w:val="2"/>
          <w:sz w:val="24"/>
          <w:szCs w:val="24"/>
          <w:lang w:eastAsia="hr-HR"/>
          <w14:ligatures w14:val="standardContextual"/>
        </w:rPr>
        <w:t>ukupno</w:t>
      </w:r>
      <w:r w:rsidRPr="00C9508B">
        <w:rPr>
          <w:color w:val="000000"/>
          <w:kern w:val="2"/>
          <w:sz w:val="24"/>
          <w:szCs w:val="24"/>
          <w:lang w:eastAsia="hr-HR"/>
          <w14:ligatures w14:val="standardContextual"/>
        </w:rPr>
        <w:t xml:space="preserve"> četiri </w:t>
      </w:r>
      <w:r>
        <w:rPr>
          <w:color w:val="000000"/>
          <w:kern w:val="2"/>
          <w:sz w:val="24"/>
          <w:szCs w:val="24"/>
          <w:lang w:eastAsia="hr-HR"/>
          <w14:ligatures w14:val="standardContextual"/>
        </w:rPr>
        <w:t>glavne kategorije</w:t>
      </w:r>
      <w:r w:rsidRPr="00C9508B">
        <w:rPr>
          <w:color w:val="000000"/>
          <w:kern w:val="2"/>
          <w:sz w:val="24"/>
          <w:szCs w:val="24"/>
          <w:lang w:eastAsia="hr-HR"/>
          <w14:ligatures w14:val="standardContextual"/>
        </w:rPr>
        <w:t xml:space="preserve"> </w:t>
      </w:r>
      <w:r>
        <w:rPr>
          <w:color w:val="000000"/>
          <w:kern w:val="2"/>
          <w:sz w:val="24"/>
          <w:szCs w:val="24"/>
          <w:lang w:eastAsia="hr-HR"/>
          <w14:ligatures w14:val="standardContextual"/>
        </w:rPr>
        <w:t>ocjenjivanja</w:t>
      </w:r>
      <w:r w:rsidRPr="00C9508B">
        <w:rPr>
          <w:color w:val="000000"/>
          <w:kern w:val="2"/>
          <w:sz w:val="24"/>
          <w:szCs w:val="24"/>
          <w:lang w:eastAsia="hr-HR"/>
          <w14:ligatures w14:val="standardContextual"/>
        </w:rPr>
        <w:t xml:space="preserve"> </w:t>
      </w:r>
      <w:r>
        <w:rPr>
          <w:color w:val="000000"/>
          <w:kern w:val="2"/>
          <w:sz w:val="24"/>
          <w:szCs w:val="24"/>
          <w:lang w:eastAsia="hr-HR"/>
          <w14:ligatures w14:val="standardContextual"/>
        </w:rPr>
        <w:t>L</w:t>
      </w:r>
      <w:r w:rsidRPr="00C9508B">
        <w:rPr>
          <w:color w:val="000000"/>
          <w:kern w:val="2"/>
          <w:sz w:val="24"/>
          <w:szCs w:val="24"/>
          <w:lang w:eastAsia="hr-HR"/>
          <w14:ligatures w14:val="standardContextual"/>
        </w:rPr>
        <w:t>jestvic</w:t>
      </w:r>
      <w:r>
        <w:rPr>
          <w:color w:val="000000"/>
          <w:kern w:val="2"/>
          <w:sz w:val="24"/>
          <w:szCs w:val="24"/>
          <w:lang w:eastAsia="hr-HR"/>
          <w14:ligatures w14:val="standardContextual"/>
        </w:rPr>
        <w:t>e</w:t>
      </w:r>
      <w:r w:rsidRPr="00C9508B">
        <w:rPr>
          <w:color w:val="000000"/>
          <w:kern w:val="2"/>
          <w:sz w:val="24"/>
          <w:szCs w:val="24"/>
          <w:lang w:eastAsia="hr-HR"/>
          <w14:ligatures w14:val="standardContextual"/>
        </w:rPr>
        <w:t xml:space="preserve"> </w:t>
      </w:r>
      <w:r>
        <w:rPr>
          <w:color w:val="000000"/>
          <w:kern w:val="2"/>
          <w:sz w:val="24"/>
          <w:szCs w:val="24"/>
          <w:lang w:eastAsia="hr-HR"/>
          <w14:ligatures w14:val="standardContextual"/>
        </w:rPr>
        <w:t xml:space="preserve">globalne </w:t>
      </w:r>
      <w:r w:rsidRPr="00C9508B">
        <w:rPr>
          <w:color w:val="000000"/>
          <w:kern w:val="2"/>
          <w:sz w:val="24"/>
          <w:szCs w:val="24"/>
          <w:lang w:eastAsia="hr-HR"/>
          <w14:ligatures w14:val="standardContextual"/>
        </w:rPr>
        <w:t>konkurentnosti</w:t>
      </w:r>
      <w:r>
        <w:rPr>
          <w:color w:val="000000"/>
          <w:kern w:val="2"/>
          <w:sz w:val="24"/>
          <w:szCs w:val="24"/>
          <w:lang w:eastAsia="hr-HR"/>
          <w14:ligatures w14:val="standardContextual"/>
        </w:rPr>
        <w:t>,</w:t>
      </w:r>
      <w:r w:rsidRPr="00C9508B">
        <w:rPr>
          <w:color w:val="000000"/>
          <w:kern w:val="2"/>
          <w:sz w:val="24"/>
          <w:szCs w:val="24"/>
          <w:lang w:eastAsia="hr-HR"/>
          <w14:ligatures w14:val="standardContextual"/>
        </w:rPr>
        <w:t xml:space="preserve"> Hrvatska je </w:t>
      </w:r>
      <w:r>
        <w:rPr>
          <w:color w:val="000000"/>
          <w:kern w:val="2"/>
          <w:sz w:val="24"/>
          <w:szCs w:val="24"/>
          <w:lang w:eastAsia="hr-HR"/>
          <w14:ligatures w14:val="standardContextual"/>
        </w:rPr>
        <w:t xml:space="preserve">u 2024. </w:t>
      </w:r>
      <w:r w:rsidRPr="00C9508B">
        <w:rPr>
          <w:color w:val="000000"/>
          <w:kern w:val="2"/>
          <w:sz w:val="24"/>
          <w:szCs w:val="24"/>
          <w:lang w:eastAsia="hr-HR"/>
          <w14:ligatures w14:val="standardContextual"/>
        </w:rPr>
        <w:t>zabilježila rast</w:t>
      </w:r>
      <w:r>
        <w:rPr>
          <w:color w:val="000000"/>
          <w:kern w:val="2"/>
          <w:sz w:val="24"/>
          <w:szCs w:val="24"/>
          <w:lang w:eastAsia="hr-HR"/>
          <w14:ligatures w14:val="standardContextual"/>
        </w:rPr>
        <w:t xml:space="preserve"> konkurentnosti</w:t>
      </w:r>
      <w:r w:rsidRPr="00C9508B">
        <w:rPr>
          <w:color w:val="000000"/>
          <w:kern w:val="2"/>
          <w:sz w:val="24"/>
          <w:szCs w:val="24"/>
          <w:lang w:eastAsia="hr-HR"/>
          <w14:ligatures w14:val="standardContextual"/>
        </w:rPr>
        <w:t xml:space="preserve"> u dv</w:t>
      </w:r>
      <w:r>
        <w:rPr>
          <w:color w:val="000000"/>
          <w:kern w:val="2"/>
          <w:sz w:val="24"/>
          <w:szCs w:val="24"/>
          <w:lang w:eastAsia="hr-HR"/>
          <w14:ligatures w14:val="standardContextual"/>
        </w:rPr>
        <w:t>ije kategorije: U</w:t>
      </w:r>
      <w:r w:rsidRPr="00C9508B">
        <w:rPr>
          <w:color w:val="000000"/>
          <w:kern w:val="2"/>
          <w:sz w:val="24"/>
          <w:szCs w:val="24"/>
          <w:lang w:eastAsia="hr-HR"/>
          <w14:ligatures w14:val="standardContextual"/>
        </w:rPr>
        <w:t>činkovitost vlade (</w:t>
      </w:r>
      <w:r>
        <w:rPr>
          <w:color w:val="000000"/>
          <w:kern w:val="2"/>
          <w:sz w:val="24"/>
          <w:szCs w:val="24"/>
          <w:lang w:eastAsia="hr-HR"/>
          <w14:ligatures w14:val="standardContextual"/>
        </w:rPr>
        <w:t>pomak</w:t>
      </w:r>
      <w:r w:rsidRPr="00C9508B">
        <w:rPr>
          <w:color w:val="000000"/>
          <w:kern w:val="2"/>
          <w:sz w:val="24"/>
          <w:szCs w:val="24"/>
          <w:lang w:eastAsia="hr-HR"/>
          <w14:ligatures w14:val="standardContextual"/>
        </w:rPr>
        <w:t xml:space="preserve"> s 49. na 47. mjesto) i </w:t>
      </w:r>
      <w:r>
        <w:rPr>
          <w:color w:val="000000"/>
          <w:kern w:val="2"/>
          <w:sz w:val="24"/>
          <w:szCs w:val="24"/>
          <w:lang w:eastAsia="hr-HR"/>
          <w14:ligatures w14:val="standardContextual"/>
        </w:rPr>
        <w:t>I</w:t>
      </w:r>
      <w:r w:rsidRPr="00C9508B">
        <w:rPr>
          <w:color w:val="000000"/>
          <w:kern w:val="2"/>
          <w:sz w:val="24"/>
          <w:szCs w:val="24"/>
          <w:lang w:eastAsia="hr-HR"/>
          <w14:ligatures w14:val="standardContextual"/>
        </w:rPr>
        <w:t>nfrastruktur</w:t>
      </w:r>
      <w:r>
        <w:rPr>
          <w:color w:val="000000"/>
          <w:kern w:val="2"/>
          <w:sz w:val="24"/>
          <w:szCs w:val="24"/>
          <w:lang w:eastAsia="hr-HR"/>
          <w14:ligatures w14:val="standardContextual"/>
        </w:rPr>
        <w:t>a</w:t>
      </w:r>
      <w:r w:rsidRPr="00C9508B">
        <w:rPr>
          <w:color w:val="000000"/>
          <w:kern w:val="2"/>
          <w:sz w:val="24"/>
          <w:szCs w:val="24"/>
          <w:lang w:eastAsia="hr-HR"/>
          <w14:ligatures w14:val="standardContextual"/>
        </w:rPr>
        <w:t xml:space="preserve"> (</w:t>
      </w:r>
      <w:r>
        <w:rPr>
          <w:color w:val="000000"/>
          <w:kern w:val="2"/>
          <w:sz w:val="24"/>
          <w:szCs w:val="24"/>
          <w:lang w:eastAsia="hr-HR"/>
          <w14:ligatures w14:val="standardContextual"/>
        </w:rPr>
        <w:t xml:space="preserve">pomak </w:t>
      </w:r>
      <w:r w:rsidRPr="00C9508B">
        <w:rPr>
          <w:color w:val="000000"/>
          <w:kern w:val="2"/>
          <w:sz w:val="24"/>
          <w:szCs w:val="24"/>
          <w:lang w:eastAsia="hr-HR"/>
          <w14:ligatures w14:val="standardContextual"/>
        </w:rPr>
        <w:t xml:space="preserve">s 45. na 44. mjesto), </w:t>
      </w:r>
      <w:r w:rsidRPr="00E90D75">
        <w:rPr>
          <w:color w:val="000000"/>
          <w:kern w:val="2"/>
          <w:sz w:val="24"/>
          <w:szCs w:val="24"/>
          <w:lang w:eastAsia="hr-HR"/>
          <w14:ligatures w14:val="standardContextual"/>
        </w:rPr>
        <w:t xml:space="preserve">što odražava </w:t>
      </w:r>
      <w:r>
        <w:rPr>
          <w:color w:val="000000"/>
          <w:kern w:val="2"/>
          <w:sz w:val="24"/>
          <w:szCs w:val="24"/>
          <w:lang w:eastAsia="hr-HR"/>
          <w14:ligatures w14:val="standardContextual"/>
        </w:rPr>
        <w:t xml:space="preserve">ostvarena </w:t>
      </w:r>
      <w:r w:rsidRPr="00E90D75">
        <w:rPr>
          <w:color w:val="000000"/>
          <w:kern w:val="2"/>
          <w:sz w:val="24"/>
          <w:szCs w:val="24"/>
          <w:lang w:eastAsia="hr-HR"/>
          <w14:ligatures w14:val="standardContextual"/>
        </w:rPr>
        <w:t>poboljšanja u regulatornom okviru, fiskalnoj politici te kvaliteti prometne i digitalne infrastrukture.</w:t>
      </w:r>
      <w:r>
        <w:rPr>
          <w:color w:val="000000"/>
          <w:kern w:val="2"/>
          <w:sz w:val="24"/>
          <w:szCs w:val="24"/>
          <w:lang w:eastAsia="hr-HR"/>
          <w14:ligatures w14:val="standardContextual"/>
        </w:rPr>
        <w:t xml:space="preserve"> </w:t>
      </w:r>
      <w:r w:rsidRPr="0004221B">
        <w:rPr>
          <w:sz w:val="24"/>
          <w:szCs w:val="24"/>
        </w:rPr>
        <w:t>Prema IMD-</w:t>
      </w:r>
      <w:r>
        <w:rPr>
          <w:sz w:val="24"/>
          <w:szCs w:val="24"/>
        </w:rPr>
        <w:t>u,</w:t>
      </w:r>
      <w:r w:rsidRPr="0004221B">
        <w:rPr>
          <w:sz w:val="24"/>
          <w:szCs w:val="24"/>
        </w:rPr>
        <w:t xml:space="preserve"> </w:t>
      </w:r>
      <w:r w:rsidRPr="008A7DA8">
        <w:rPr>
          <w:color w:val="000000"/>
          <w:kern w:val="2"/>
          <w:sz w:val="24"/>
          <w:szCs w:val="24"/>
          <w:lang w:eastAsia="hr-HR"/>
          <w14:ligatures w14:val="standardContextual"/>
        </w:rPr>
        <w:t>ključn</w:t>
      </w:r>
      <w:r>
        <w:rPr>
          <w:color w:val="000000"/>
          <w:kern w:val="2"/>
          <w:sz w:val="24"/>
          <w:szCs w:val="24"/>
          <w:lang w:eastAsia="hr-HR"/>
          <w14:ligatures w14:val="standardContextual"/>
        </w:rPr>
        <w:t>i pokazatelji</w:t>
      </w:r>
      <w:r w:rsidRPr="008A7DA8">
        <w:rPr>
          <w:color w:val="000000"/>
          <w:kern w:val="2"/>
          <w:sz w:val="24"/>
          <w:szCs w:val="24"/>
          <w:lang w:eastAsia="hr-HR"/>
          <w14:ligatures w14:val="standardContextual"/>
        </w:rPr>
        <w:t xml:space="preserve"> hrvatske konkurentnosti ostaju pouzdana infrastruktura (70,1%), dostupnost kvalificirane radne snage (62,7%) te visoka razina obrazovanja (53,7%)</w:t>
      </w:r>
      <w:r>
        <w:rPr>
          <w:color w:val="000000"/>
          <w:kern w:val="2"/>
          <w:sz w:val="24"/>
          <w:szCs w:val="24"/>
          <w:lang w:eastAsia="hr-HR"/>
          <w14:ligatures w14:val="standardContextual"/>
        </w:rPr>
        <w:t xml:space="preserve">, što </w:t>
      </w:r>
      <w:r w:rsidRPr="008A7DA8">
        <w:rPr>
          <w:color w:val="000000"/>
          <w:kern w:val="2"/>
          <w:sz w:val="24"/>
          <w:szCs w:val="24"/>
          <w:lang w:eastAsia="hr-HR"/>
          <w14:ligatures w14:val="standardContextual"/>
        </w:rPr>
        <w:t>dodatno potvrđuj</w:t>
      </w:r>
      <w:r>
        <w:rPr>
          <w:color w:val="000000"/>
          <w:kern w:val="2"/>
          <w:sz w:val="24"/>
          <w:szCs w:val="24"/>
          <w:lang w:eastAsia="hr-HR"/>
          <w14:ligatures w14:val="standardContextual"/>
        </w:rPr>
        <w:t>e</w:t>
      </w:r>
      <w:r w:rsidRPr="008A7DA8">
        <w:rPr>
          <w:color w:val="000000"/>
          <w:kern w:val="2"/>
          <w:sz w:val="24"/>
          <w:szCs w:val="24"/>
          <w:lang w:eastAsia="hr-HR"/>
          <w14:ligatures w14:val="standardContextual"/>
        </w:rPr>
        <w:t xml:space="preserve"> važnost ulaganja u ljudski kapital, obrazovni sustav i tehnološki razvoj kao temelje dugoročnog jačanja konkurentnosti gospodarstva</w:t>
      </w:r>
      <w:r>
        <w:rPr>
          <w:color w:val="000000"/>
          <w:kern w:val="2"/>
          <w:sz w:val="24"/>
          <w:szCs w:val="24"/>
          <w:lang w:eastAsia="hr-HR"/>
          <w14:ligatures w14:val="standardContextual"/>
        </w:rPr>
        <w:t>.</w:t>
      </w:r>
    </w:p>
    <w:p w14:paraId="01F2BEA8" w14:textId="77777777" w:rsidR="00FB178A" w:rsidRDefault="00FB178A" w:rsidP="00FB178A">
      <w:pPr>
        <w:widowControl/>
        <w:autoSpaceDE/>
        <w:autoSpaceDN/>
        <w:spacing w:before="240" w:after="89" w:line="276" w:lineRule="auto"/>
        <w:ind w:left="-5"/>
        <w:jc w:val="both"/>
        <w:rPr>
          <w:color w:val="000000"/>
          <w:kern w:val="2"/>
          <w:sz w:val="24"/>
          <w:lang w:eastAsia="hr-HR"/>
          <w14:ligatures w14:val="standardContextual"/>
        </w:rPr>
      </w:pPr>
      <w:r>
        <w:rPr>
          <w:color w:val="000000"/>
          <w:kern w:val="2"/>
          <w:sz w:val="24"/>
          <w:szCs w:val="24"/>
          <w:lang w:eastAsia="hr-HR"/>
          <w14:ligatures w14:val="standardContextual"/>
        </w:rPr>
        <w:t>Prema istraživanju</w:t>
      </w:r>
      <w:r w:rsidRPr="00E55495">
        <w:rPr>
          <w:color w:val="000000"/>
          <w:kern w:val="2"/>
          <w:sz w:val="24"/>
          <w:szCs w:val="24"/>
          <w:lang w:eastAsia="hr-HR"/>
          <w14:ligatures w14:val="standardContextual"/>
        </w:rPr>
        <w:t xml:space="preserve"> Europske investicijske banke </w:t>
      </w:r>
      <w:r>
        <w:rPr>
          <w:color w:val="000000"/>
          <w:kern w:val="2"/>
          <w:sz w:val="24"/>
          <w:szCs w:val="24"/>
          <w:lang w:eastAsia="hr-HR"/>
          <w14:ligatures w14:val="standardContextual"/>
        </w:rPr>
        <w:t>„</w:t>
      </w:r>
      <w:r w:rsidRPr="0004221B">
        <w:rPr>
          <w:color w:val="000000"/>
          <w:kern w:val="2"/>
          <w:sz w:val="24"/>
          <w:szCs w:val="24"/>
          <w:lang w:eastAsia="hr-HR"/>
          <w14:ligatures w14:val="standardContextual"/>
        </w:rPr>
        <w:t xml:space="preserve">EIB </w:t>
      </w:r>
      <w:proofErr w:type="spellStart"/>
      <w:r w:rsidRPr="0004221B">
        <w:rPr>
          <w:color w:val="000000"/>
          <w:kern w:val="2"/>
          <w:sz w:val="24"/>
          <w:szCs w:val="24"/>
          <w:lang w:eastAsia="hr-HR"/>
          <w14:ligatures w14:val="standardContextual"/>
        </w:rPr>
        <w:t>Investment</w:t>
      </w:r>
      <w:proofErr w:type="spellEnd"/>
      <w:r w:rsidRPr="0004221B">
        <w:rPr>
          <w:color w:val="000000"/>
          <w:kern w:val="2"/>
          <w:sz w:val="24"/>
          <w:szCs w:val="24"/>
          <w:lang w:eastAsia="hr-HR"/>
          <w14:ligatures w14:val="standardContextual"/>
        </w:rPr>
        <w:t xml:space="preserve"> </w:t>
      </w:r>
      <w:proofErr w:type="spellStart"/>
      <w:r w:rsidRPr="0004221B">
        <w:rPr>
          <w:color w:val="000000"/>
          <w:kern w:val="2"/>
          <w:sz w:val="24"/>
          <w:szCs w:val="24"/>
          <w:lang w:eastAsia="hr-HR"/>
          <w14:ligatures w14:val="standardContextual"/>
        </w:rPr>
        <w:t>Survey</w:t>
      </w:r>
      <w:proofErr w:type="spellEnd"/>
      <w:r w:rsidRPr="0004221B">
        <w:rPr>
          <w:color w:val="000000"/>
          <w:kern w:val="2"/>
          <w:sz w:val="24"/>
          <w:szCs w:val="24"/>
          <w:lang w:eastAsia="hr-HR"/>
          <w14:ligatures w14:val="standardContextual"/>
        </w:rPr>
        <w:t xml:space="preserve"> 2024</w:t>
      </w:r>
      <w:r>
        <w:rPr>
          <w:color w:val="000000"/>
          <w:kern w:val="2"/>
          <w:sz w:val="24"/>
          <w:szCs w:val="24"/>
          <w:lang w:eastAsia="hr-HR"/>
          <w14:ligatures w14:val="standardContextual"/>
        </w:rPr>
        <w:t>“</w:t>
      </w:r>
      <w:r w:rsidRPr="00F6077A">
        <w:t xml:space="preserve"> </w:t>
      </w:r>
      <w:r w:rsidRPr="00DF4264">
        <w:rPr>
          <w:color w:val="000000"/>
          <w:kern w:val="2"/>
          <w:sz w:val="24"/>
          <w:szCs w:val="24"/>
          <w:lang w:eastAsia="hr-HR"/>
          <w14:ligatures w14:val="standardContextual"/>
        </w:rPr>
        <w:t>hrvatska poduzeća pokazuju snažnu investicijsku aktivnost</w:t>
      </w:r>
      <w:r w:rsidRPr="00F6077A">
        <w:rPr>
          <w:color w:val="000000"/>
          <w:kern w:val="2"/>
          <w:sz w:val="24"/>
          <w:szCs w:val="24"/>
          <w:lang w:eastAsia="hr-HR"/>
          <w14:ligatures w14:val="standardContextual"/>
        </w:rPr>
        <w:t xml:space="preserve"> i </w:t>
      </w:r>
      <w:r w:rsidRPr="00DF4264">
        <w:rPr>
          <w:color w:val="000000"/>
          <w:kern w:val="2"/>
          <w:sz w:val="24"/>
          <w:szCs w:val="24"/>
          <w:lang w:eastAsia="hr-HR"/>
          <w14:ligatures w14:val="standardContextual"/>
        </w:rPr>
        <w:t>optimizam</w:t>
      </w:r>
      <w:r w:rsidRPr="00F6077A">
        <w:rPr>
          <w:color w:val="000000"/>
          <w:kern w:val="2"/>
          <w:sz w:val="24"/>
          <w:szCs w:val="24"/>
          <w:lang w:eastAsia="hr-HR"/>
          <w14:ligatures w14:val="standardContextual"/>
        </w:rPr>
        <w:t xml:space="preserve">, s </w:t>
      </w:r>
      <w:r w:rsidRPr="00DF4264">
        <w:rPr>
          <w:color w:val="000000"/>
          <w:kern w:val="2"/>
          <w:sz w:val="24"/>
          <w:szCs w:val="24"/>
          <w:lang w:eastAsia="hr-HR"/>
          <w14:ligatures w14:val="standardContextual"/>
        </w:rPr>
        <w:t xml:space="preserve">90% </w:t>
      </w:r>
      <w:r>
        <w:rPr>
          <w:color w:val="000000"/>
          <w:kern w:val="2"/>
          <w:sz w:val="24"/>
          <w:szCs w:val="24"/>
          <w:lang w:eastAsia="hr-HR"/>
          <w14:ligatures w14:val="standardContextual"/>
        </w:rPr>
        <w:t xml:space="preserve">domaćih </w:t>
      </w:r>
      <w:r w:rsidRPr="00DF4264">
        <w:rPr>
          <w:color w:val="000000"/>
          <w:kern w:val="2"/>
          <w:sz w:val="24"/>
          <w:szCs w:val="24"/>
          <w:lang w:eastAsia="hr-HR"/>
          <w14:ligatures w14:val="standardContextual"/>
        </w:rPr>
        <w:t xml:space="preserve">tvrtki koje su </w:t>
      </w:r>
      <w:r>
        <w:rPr>
          <w:color w:val="000000"/>
          <w:kern w:val="2"/>
          <w:sz w:val="24"/>
          <w:szCs w:val="24"/>
          <w:lang w:eastAsia="hr-HR"/>
          <w14:ligatures w14:val="standardContextual"/>
        </w:rPr>
        <w:t>u prethodne tri godine provodile ulaganja te</w:t>
      </w:r>
      <w:r w:rsidRPr="00DF4264">
        <w:rPr>
          <w:color w:val="000000"/>
          <w:kern w:val="2"/>
          <w:sz w:val="24"/>
          <w:szCs w:val="24"/>
          <w:lang w:eastAsia="hr-HR"/>
          <w14:ligatures w14:val="standardContextual"/>
        </w:rPr>
        <w:t xml:space="preserve"> </w:t>
      </w:r>
      <w:r>
        <w:rPr>
          <w:color w:val="000000"/>
          <w:kern w:val="2"/>
          <w:sz w:val="24"/>
          <w:szCs w:val="24"/>
          <w:lang w:eastAsia="hr-HR"/>
          <w14:ligatures w14:val="standardContextual"/>
        </w:rPr>
        <w:t xml:space="preserve">pozitivnim </w:t>
      </w:r>
      <w:r w:rsidRPr="00DF4264">
        <w:rPr>
          <w:color w:val="000000"/>
          <w:kern w:val="2"/>
          <w:sz w:val="24"/>
          <w:szCs w:val="24"/>
          <w:lang w:eastAsia="hr-HR"/>
          <w14:ligatures w14:val="standardContextual"/>
        </w:rPr>
        <w:t>neto saldom očekivanja rasta</w:t>
      </w:r>
      <w:r w:rsidRPr="00F6077A">
        <w:rPr>
          <w:color w:val="000000"/>
          <w:kern w:val="2"/>
          <w:sz w:val="24"/>
          <w:szCs w:val="24"/>
          <w:lang w:eastAsia="hr-HR"/>
          <w14:ligatures w14:val="standardContextual"/>
        </w:rPr>
        <w:t xml:space="preserve"> </w:t>
      </w:r>
      <w:r>
        <w:rPr>
          <w:color w:val="000000"/>
          <w:kern w:val="2"/>
          <w:sz w:val="24"/>
          <w:szCs w:val="24"/>
          <w:lang w:eastAsia="hr-HR"/>
          <w14:ligatures w14:val="standardContextual"/>
        </w:rPr>
        <w:t xml:space="preserve">ulaganja </w:t>
      </w:r>
      <w:r w:rsidRPr="00DF4264">
        <w:rPr>
          <w:color w:val="000000"/>
          <w:kern w:val="2"/>
          <w:sz w:val="24"/>
          <w:szCs w:val="24"/>
          <w:lang w:eastAsia="hr-HR"/>
          <w14:ligatures w14:val="standardContextual"/>
        </w:rPr>
        <w:t>od 21%</w:t>
      </w:r>
      <w:r>
        <w:rPr>
          <w:color w:val="000000"/>
          <w:kern w:val="2"/>
          <w:sz w:val="24"/>
          <w:szCs w:val="24"/>
          <w:lang w:eastAsia="hr-HR"/>
          <w14:ligatures w14:val="standardContextual"/>
        </w:rPr>
        <w:t xml:space="preserve"> u naredne tri godine</w:t>
      </w:r>
      <w:r w:rsidRPr="00DF4264">
        <w:rPr>
          <w:color w:val="000000"/>
          <w:kern w:val="2"/>
          <w:sz w:val="24"/>
          <w:szCs w:val="24"/>
          <w:lang w:eastAsia="hr-HR"/>
          <w14:ligatures w14:val="standardContextual"/>
        </w:rPr>
        <w:t xml:space="preserve">, </w:t>
      </w:r>
      <w:r>
        <w:rPr>
          <w:color w:val="000000"/>
          <w:kern w:val="2"/>
          <w:sz w:val="24"/>
          <w:szCs w:val="24"/>
          <w:lang w:eastAsia="hr-HR"/>
          <w14:ligatures w14:val="standardContextual"/>
        </w:rPr>
        <w:t>što je znatno</w:t>
      </w:r>
      <w:r w:rsidRPr="00DF4264">
        <w:rPr>
          <w:color w:val="000000"/>
          <w:kern w:val="2"/>
          <w:sz w:val="24"/>
          <w:szCs w:val="24"/>
          <w:lang w:eastAsia="hr-HR"/>
          <w14:ligatures w14:val="standardContextual"/>
        </w:rPr>
        <w:t xml:space="preserve"> iznad prosjeka EU-a</w:t>
      </w:r>
      <w:r>
        <w:rPr>
          <w:color w:val="000000"/>
          <w:kern w:val="2"/>
          <w:sz w:val="24"/>
          <w:szCs w:val="24"/>
          <w:lang w:eastAsia="hr-HR"/>
          <w14:ligatures w14:val="standardContextual"/>
        </w:rPr>
        <w:t xml:space="preserve"> (7%)</w:t>
      </w:r>
      <w:r w:rsidRPr="00DF4264">
        <w:rPr>
          <w:color w:val="000000"/>
          <w:kern w:val="2"/>
          <w:sz w:val="24"/>
          <w:szCs w:val="24"/>
          <w:lang w:eastAsia="hr-HR"/>
          <w14:ligatures w14:val="standardContextual"/>
        </w:rPr>
        <w:t xml:space="preserve">. Najveći </w:t>
      </w:r>
      <w:r>
        <w:rPr>
          <w:color w:val="000000"/>
          <w:kern w:val="2"/>
          <w:sz w:val="24"/>
          <w:szCs w:val="24"/>
          <w:lang w:eastAsia="hr-HR"/>
          <w14:ligatures w14:val="standardContextual"/>
        </w:rPr>
        <w:t>u</w:t>
      </w:r>
      <w:r w:rsidRPr="00DF4264">
        <w:rPr>
          <w:color w:val="000000"/>
          <w:kern w:val="2"/>
          <w:sz w:val="24"/>
          <w:szCs w:val="24"/>
          <w:lang w:eastAsia="hr-HR"/>
          <w14:ligatures w14:val="standardContextual"/>
        </w:rPr>
        <w:t xml:space="preserve">dio ulaganja </w:t>
      </w:r>
      <w:r>
        <w:rPr>
          <w:color w:val="000000"/>
          <w:kern w:val="2"/>
          <w:sz w:val="24"/>
          <w:szCs w:val="24"/>
          <w:lang w:eastAsia="hr-HR"/>
          <w14:ligatures w14:val="standardContextual"/>
        </w:rPr>
        <w:t xml:space="preserve">domaćih poduzetnika </w:t>
      </w:r>
      <w:r w:rsidRPr="00DF4264">
        <w:rPr>
          <w:color w:val="000000"/>
          <w:kern w:val="2"/>
          <w:sz w:val="24"/>
          <w:szCs w:val="24"/>
          <w:lang w:eastAsia="hr-HR"/>
          <w14:ligatures w14:val="standardContextual"/>
        </w:rPr>
        <w:t xml:space="preserve">usmjeren je </w:t>
      </w:r>
      <w:r w:rsidRPr="00F6077A">
        <w:rPr>
          <w:color w:val="000000"/>
          <w:kern w:val="2"/>
          <w:sz w:val="24"/>
          <w:szCs w:val="24"/>
          <w:lang w:eastAsia="hr-HR"/>
          <w14:ligatures w14:val="standardContextual"/>
        </w:rPr>
        <w:t xml:space="preserve">na </w:t>
      </w:r>
      <w:r w:rsidRPr="00DF4264">
        <w:rPr>
          <w:color w:val="000000"/>
          <w:kern w:val="2"/>
          <w:sz w:val="24"/>
          <w:szCs w:val="24"/>
          <w:lang w:eastAsia="hr-HR"/>
          <w14:ligatures w14:val="standardContextual"/>
        </w:rPr>
        <w:t xml:space="preserve">zamjenu </w:t>
      </w:r>
      <w:r>
        <w:rPr>
          <w:color w:val="000000"/>
          <w:kern w:val="2"/>
          <w:sz w:val="24"/>
          <w:szCs w:val="24"/>
          <w:lang w:eastAsia="hr-HR"/>
          <w14:ligatures w14:val="standardContextual"/>
        </w:rPr>
        <w:t>i unaprjeđenje postojećih</w:t>
      </w:r>
      <w:r w:rsidRPr="00DF4264">
        <w:rPr>
          <w:color w:val="000000"/>
          <w:kern w:val="2"/>
          <w:sz w:val="24"/>
          <w:szCs w:val="24"/>
          <w:lang w:eastAsia="hr-HR"/>
          <w14:ligatures w14:val="standardContextual"/>
        </w:rPr>
        <w:t xml:space="preserve"> kapaciteta </w:t>
      </w:r>
      <w:r>
        <w:rPr>
          <w:color w:val="000000"/>
          <w:kern w:val="2"/>
          <w:sz w:val="24"/>
          <w:szCs w:val="24"/>
          <w:lang w:eastAsia="hr-HR"/>
          <w14:ligatures w14:val="standardContextual"/>
        </w:rPr>
        <w:t xml:space="preserve">(56%) </w:t>
      </w:r>
      <w:r w:rsidRPr="00DF4264">
        <w:rPr>
          <w:color w:val="000000"/>
          <w:kern w:val="2"/>
          <w:sz w:val="24"/>
          <w:szCs w:val="24"/>
          <w:lang w:eastAsia="hr-HR"/>
          <w14:ligatures w14:val="standardContextual"/>
        </w:rPr>
        <w:t xml:space="preserve">i </w:t>
      </w:r>
      <w:r w:rsidRPr="00F6077A">
        <w:rPr>
          <w:color w:val="000000"/>
          <w:kern w:val="2"/>
          <w:sz w:val="24"/>
          <w:szCs w:val="24"/>
          <w:lang w:eastAsia="hr-HR"/>
          <w14:ligatures w14:val="standardContextual"/>
        </w:rPr>
        <w:t>energetsku učinkovitost</w:t>
      </w:r>
      <w:r>
        <w:rPr>
          <w:color w:val="000000"/>
          <w:kern w:val="2"/>
          <w:sz w:val="24"/>
          <w:szCs w:val="24"/>
          <w:lang w:eastAsia="hr-HR"/>
          <w14:ligatures w14:val="standardContextual"/>
        </w:rPr>
        <w:t xml:space="preserve"> (13%)</w:t>
      </w:r>
      <w:r w:rsidRPr="00DF4264">
        <w:rPr>
          <w:color w:val="000000"/>
          <w:kern w:val="2"/>
          <w:sz w:val="24"/>
          <w:szCs w:val="24"/>
          <w:lang w:eastAsia="hr-HR"/>
          <w14:ligatures w14:val="standardContextual"/>
        </w:rPr>
        <w:t xml:space="preserve">. </w:t>
      </w:r>
      <w:r w:rsidRPr="000D2EC8">
        <w:rPr>
          <w:color w:val="000000"/>
          <w:kern w:val="2"/>
          <w:sz w:val="24"/>
          <w:szCs w:val="24"/>
          <w:lang w:eastAsia="hr-HR"/>
          <w14:ligatures w14:val="standardContextual"/>
        </w:rPr>
        <w:t>Pristup financiranju</w:t>
      </w:r>
      <w:r>
        <w:rPr>
          <w:color w:val="000000"/>
          <w:kern w:val="2"/>
          <w:sz w:val="24"/>
          <w:szCs w:val="24"/>
          <w:lang w:eastAsia="hr-HR"/>
          <w14:ligatures w14:val="standardContextual"/>
        </w:rPr>
        <w:t xml:space="preserve"> na domaćem tržištu hrvatski poduzetnici ocjenjuju kao</w:t>
      </w:r>
      <w:r w:rsidRPr="00DF4264">
        <w:rPr>
          <w:color w:val="000000"/>
          <w:kern w:val="2"/>
          <w:sz w:val="24"/>
          <w:szCs w:val="24"/>
          <w:lang w:eastAsia="hr-HR"/>
          <w14:ligatures w14:val="standardContextual"/>
        </w:rPr>
        <w:t xml:space="preserve"> </w:t>
      </w:r>
      <w:r w:rsidRPr="000D2EC8">
        <w:rPr>
          <w:color w:val="000000"/>
          <w:kern w:val="2"/>
          <w:sz w:val="24"/>
          <w:szCs w:val="24"/>
          <w:lang w:eastAsia="hr-HR"/>
          <w14:ligatures w14:val="standardContextual"/>
        </w:rPr>
        <w:t>stabilan</w:t>
      </w:r>
      <w:r>
        <w:rPr>
          <w:color w:val="000000"/>
          <w:kern w:val="2"/>
          <w:sz w:val="24"/>
          <w:szCs w:val="24"/>
          <w:lang w:eastAsia="hr-HR"/>
          <w14:ligatures w14:val="standardContextual"/>
        </w:rPr>
        <w:t xml:space="preserve"> te</w:t>
      </w:r>
      <w:r w:rsidRPr="000D2EC8">
        <w:rPr>
          <w:color w:val="000000"/>
          <w:kern w:val="2"/>
          <w:sz w:val="24"/>
          <w:szCs w:val="24"/>
          <w:lang w:eastAsia="hr-HR"/>
          <w14:ligatures w14:val="standardContextual"/>
        </w:rPr>
        <w:t xml:space="preserve"> 56% </w:t>
      </w:r>
      <w:r>
        <w:rPr>
          <w:color w:val="000000"/>
          <w:kern w:val="2"/>
          <w:sz w:val="24"/>
          <w:szCs w:val="24"/>
          <w:lang w:eastAsia="hr-HR"/>
          <w14:ligatures w14:val="standardContextual"/>
        </w:rPr>
        <w:t>poduzeća</w:t>
      </w:r>
      <w:r w:rsidRPr="000D2EC8">
        <w:rPr>
          <w:color w:val="000000"/>
          <w:kern w:val="2"/>
          <w:sz w:val="24"/>
          <w:szCs w:val="24"/>
          <w:lang w:eastAsia="hr-HR"/>
          <w14:ligatures w14:val="standardContextual"/>
        </w:rPr>
        <w:t xml:space="preserve"> </w:t>
      </w:r>
      <w:r>
        <w:rPr>
          <w:color w:val="000000"/>
          <w:kern w:val="2"/>
          <w:sz w:val="24"/>
          <w:szCs w:val="24"/>
          <w:lang w:eastAsia="hr-HR"/>
          <w14:ligatures w14:val="standardContextual"/>
        </w:rPr>
        <w:t xml:space="preserve">redovito </w:t>
      </w:r>
      <w:r w:rsidRPr="000D2EC8">
        <w:rPr>
          <w:color w:val="000000"/>
          <w:kern w:val="2"/>
          <w:sz w:val="24"/>
          <w:szCs w:val="24"/>
          <w:lang w:eastAsia="hr-HR"/>
          <w14:ligatures w14:val="standardContextual"/>
        </w:rPr>
        <w:t xml:space="preserve">koristi vanjsko financiranje, 37% </w:t>
      </w:r>
      <w:r>
        <w:rPr>
          <w:color w:val="000000"/>
          <w:kern w:val="2"/>
          <w:sz w:val="24"/>
          <w:szCs w:val="24"/>
          <w:lang w:eastAsia="hr-HR"/>
          <w14:ligatures w14:val="standardContextual"/>
        </w:rPr>
        <w:t>poduzeća redovito koristi</w:t>
      </w:r>
      <w:r w:rsidRPr="000D2EC8">
        <w:rPr>
          <w:color w:val="000000"/>
          <w:kern w:val="2"/>
          <w:sz w:val="24"/>
          <w:szCs w:val="24"/>
          <w:lang w:eastAsia="hr-HR"/>
          <w14:ligatures w14:val="standardContextual"/>
        </w:rPr>
        <w:t xml:space="preserve"> potpore i subvencije, a udio financijski ograničenih </w:t>
      </w:r>
      <w:r>
        <w:rPr>
          <w:color w:val="000000"/>
          <w:kern w:val="2"/>
          <w:sz w:val="24"/>
          <w:szCs w:val="24"/>
          <w:lang w:eastAsia="hr-HR"/>
          <w14:ligatures w14:val="standardContextual"/>
        </w:rPr>
        <w:t>poduzeća</w:t>
      </w:r>
      <w:r w:rsidRPr="000D2EC8">
        <w:rPr>
          <w:color w:val="000000"/>
          <w:kern w:val="2"/>
          <w:sz w:val="24"/>
          <w:szCs w:val="24"/>
          <w:lang w:eastAsia="hr-HR"/>
          <w14:ligatures w14:val="standardContextual"/>
        </w:rPr>
        <w:t xml:space="preserve"> iznosi 7,3%, </w:t>
      </w:r>
      <w:r>
        <w:rPr>
          <w:color w:val="000000"/>
          <w:kern w:val="2"/>
          <w:sz w:val="24"/>
          <w:szCs w:val="24"/>
          <w:lang w:eastAsia="hr-HR"/>
          <w14:ligatures w14:val="standardContextual"/>
        </w:rPr>
        <w:t>što je na razini</w:t>
      </w:r>
      <w:r w:rsidRPr="000D2EC8">
        <w:rPr>
          <w:color w:val="000000"/>
          <w:kern w:val="2"/>
          <w:sz w:val="24"/>
          <w:szCs w:val="24"/>
          <w:lang w:eastAsia="hr-HR"/>
          <w14:ligatures w14:val="standardContextual"/>
        </w:rPr>
        <w:t xml:space="preserve"> EU prosjek</w:t>
      </w:r>
      <w:r>
        <w:rPr>
          <w:color w:val="000000"/>
          <w:kern w:val="2"/>
          <w:sz w:val="24"/>
          <w:szCs w:val="24"/>
          <w:lang w:eastAsia="hr-HR"/>
          <w14:ligatures w14:val="standardContextual"/>
        </w:rPr>
        <w:t>a</w:t>
      </w:r>
      <w:r w:rsidRPr="000D2EC8">
        <w:rPr>
          <w:color w:val="000000"/>
          <w:kern w:val="2"/>
          <w:sz w:val="24"/>
          <w:szCs w:val="24"/>
          <w:lang w:eastAsia="hr-HR"/>
          <w14:ligatures w14:val="standardContextual"/>
        </w:rPr>
        <w:t>.</w:t>
      </w:r>
      <w:r w:rsidRPr="00DF4264">
        <w:rPr>
          <w:color w:val="000000"/>
          <w:kern w:val="2"/>
          <w:sz w:val="24"/>
          <w:szCs w:val="24"/>
          <w:lang w:eastAsia="hr-HR"/>
          <w14:ligatures w14:val="standardContextual"/>
        </w:rPr>
        <w:t xml:space="preserve"> </w:t>
      </w:r>
      <w:r>
        <w:rPr>
          <w:color w:val="000000"/>
          <w:kern w:val="2"/>
          <w:sz w:val="24"/>
          <w:szCs w:val="24"/>
          <w:lang w:eastAsia="hr-HR"/>
          <w14:ligatures w14:val="standardContextual"/>
        </w:rPr>
        <w:t>Postoje određeni</w:t>
      </w:r>
      <w:r w:rsidRPr="00DF4264">
        <w:rPr>
          <w:color w:val="000000"/>
          <w:kern w:val="2"/>
          <w:sz w:val="24"/>
          <w:szCs w:val="24"/>
          <w:lang w:eastAsia="hr-HR"/>
          <w14:ligatures w14:val="standardContextual"/>
        </w:rPr>
        <w:t xml:space="preserve"> izazovi s nedostatkom kvalificirane radne snage i regulatornim razlikama unutar EU-a, </w:t>
      </w:r>
      <w:r>
        <w:rPr>
          <w:color w:val="000000"/>
          <w:kern w:val="2"/>
          <w:sz w:val="24"/>
          <w:szCs w:val="24"/>
          <w:lang w:eastAsia="hr-HR"/>
          <w14:ligatures w14:val="standardContextual"/>
        </w:rPr>
        <w:t xml:space="preserve">no </w:t>
      </w:r>
      <w:r w:rsidRPr="00DF4264">
        <w:rPr>
          <w:color w:val="000000"/>
          <w:kern w:val="2"/>
          <w:sz w:val="24"/>
          <w:szCs w:val="24"/>
          <w:lang w:eastAsia="hr-HR"/>
          <w14:ligatures w14:val="standardContextual"/>
        </w:rPr>
        <w:t>ukupni investicijski potencijal i otpornost hrvatskog gospodarstva ocjenjuju se vrlo pozitivno</w:t>
      </w:r>
      <w:r>
        <w:rPr>
          <w:color w:val="000000"/>
          <w:kern w:val="2"/>
          <w:sz w:val="24"/>
          <w:szCs w:val="24"/>
          <w:lang w:eastAsia="hr-HR"/>
          <w14:ligatures w14:val="standardContextual"/>
        </w:rPr>
        <w:t xml:space="preserve">. Prema </w:t>
      </w:r>
      <w:r w:rsidRPr="00847861">
        <w:rPr>
          <w:color w:val="000000"/>
          <w:kern w:val="2"/>
          <w:sz w:val="24"/>
          <w:szCs w:val="24"/>
          <w:lang w:eastAsia="hr-HR"/>
          <w14:ligatures w14:val="standardContextual"/>
        </w:rPr>
        <w:t>E</w:t>
      </w:r>
      <w:r>
        <w:rPr>
          <w:color w:val="000000"/>
          <w:kern w:val="2"/>
          <w:sz w:val="24"/>
          <w:szCs w:val="24"/>
          <w:lang w:eastAsia="hr-HR"/>
          <w14:ligatures w14:val="standardContextual"/>
        </w:rPr>
        <w:t>IB-u,</w:t>
      </w:r>
      <w:r w:rsidRPr="00847861">
        <w:rPr>
          <w:color w:val="000000"/>
          <w:kern w:val="2"/>
          <w:sz w:val="24"/>
          <w:szCs w:val="24"/>
          <w:lang w:eastAsia="hr-HR"/>
          <w14:ligatures w14:val="standardContextual"/>
        </w:rPr>
        <w:t xml:space="preserve"> </w:t>
      </w:r>
      <w:r>
        <w:rPr>
          <w:color w:val="000000"/>
          <w:kern w:val="2"/>
          <w:sz w:val="24"/>
          <w:szCs w:val="24"/>
          <w:lang w:eastAsia="hr-HR"/>
          <w14:ligatures w14:val="standardContextual"/>
        </w:rPr>
        <w:t>ocjenjuje se</w:t>
      </w:r>
      <w:r w:rsidRPr="00847861">
        <w:rPr>
          <w:color w:val="000000"/>
          <w:kern w:val="2"/>
          <w:sz w:val="24"/>
          <w:szCs w:val="24"/>
          <w:lang w:eastAsia="hr-HR"/>
          <w14:ligatures w14:val="standardContextual"/>
        </w:rPr>
        <w:t xml:space="preserve"> da poduzeća</w:t>
      </w:r>
      <w:r>
        <w:rPr>
          <w:color w:val="000000"/>
          <w:kern w:val="2"/>
          <w:sz w:val="24"/>
          <w:szCs w:val="24"/>
          <w:lang w:eastAsia="hr-HR"/>
          <w14:ligatures w14:val="standardContextual"/>
        </w:rPr>
        <w:t xml:space="preserve"> u Hrvatskoj</w:t>
      </w:r>
      <w:r w:rsidRPr="00847861">
        <w:rPr>
          <w:color w:val="000000"/>
          <w:kern w:val="2"/>
          <w:sz w:val="24"/>
          <w:szCs w:val="24"/>
          <w:lang w:eastAsia="hr-HR"/>
          <w14:ligatures w14:val="standardContextual"/>
        </w:rPr>
        <w:t xml:space="preserve"> ulaze u razdoblje stabilnog i optimističnog investicijskog ciklusa</w:t>
      </w:r>
      <w:r>
        <w:rPr>
          <w:color w:val="000000"/>
          <w:kern w:val="2"/>
          <w:sz w:val="24"/>
          <w:szCs w:val="24"/>
          <w:lang w:eastAsia="hr-HR"/>
          <w14:ligatures w14:val="standardContextual"/>
        </w:rPr>
        <w:t xml:space="preserve">. </w:t>
      </w:r>
    </w:p>
    <w:p w14:paraId="5888D4D3" w14:textId="77777777" w:rsidR="00FB178A" w:rsidRPr="00301C72" w:rsidRDefault="00FB178A" w:rsidP="00FB178A">
      <w:pPr>
        <w:widowControl/>
        <w:autoSpaceDE/>
        <w:autoSpaceDN/>
        <w:spacing w:before="240" w:after="89" w:line="276" w:lineRule="auto"/>
        <w:ind w:left="-5"/>
        <w:jc w:val="both"/>
        <w:rPr>
          <w:color w:val="000000"/>
          <w:kern w:val="2"/>
          <w:sz w:val="24"/>
          <w:lang w:eastAsia="hr-HR"/>
          <w14:ligatures w14:val="standardContextual"/>
        </w:rPr>
      </w:pPr>
      <w:r>
        <w:rPr>
          <w:bCs/>
          <w:color w:val="000000"/>
          <w:kern w:val="2"/>
          <w:sz w:val="24"/>
          <w:lang w:eastAsia="hr-HR"/>
          <w14:ligatures w14:val="standardContextual"/>
        </w:rPr>
        <w:t>S</w:t>
      </w:r>
      <w:r w:rsidRPr="0004221B">
        <w:rPr>
          <w:bCs/>
          <w:color w:val="000000"/>
          <w:kern w:val="2"/>
          <w:sz w:val="24"/>
          <w:lang w:eastAsia="hr-HR"/>
          <w14:ligatures w14:val="standardContextual"/>
        </w:rPr>
        <w:t xml:space="preserve"> ciljem povećanja inovativnosti i konkurentnosti gospodarstva</w:t>
      </w:r>
      <w:r>
        <w:rPr>
          <w:bCs/>
          <w:color w:val="000000"/>
          <w:kern w:val="2"/>
          <w:sz w:val="24"/>
          <w:lang w:eastAsia="hr-HR"/>
          <w14:ligatures w14:val="standardContextual"/>
        </w:rPr>
        <w:t>, u</w:t>
      </w:r>
      <w:r w:rsidRPr="00D7046C">
        <w:rPr>
          <w:bCs/>
          <w:color w:val="000000"/>
          <w:kern w:val="2"/>
          <w:sz w:val="24"/>
          <w:lang w:eastAsia="hr-HR"/>
          <w14:ligatures w14:val="standardContextual"/>
        </w:rPr>
        <w:t>z</w:t>
      </w:r>
      <w:r w:rsidRPr="00301C72">
        <w:rPr>
          <w:color w:val="000000"/>
          <w:kern w:val="2"/>
          <w:sz w:val="24"/>
          <w:lang w:eastAsia="hr-HR"/>
          <w14:ligatures w14:val="standardContextual"/>
        </w:rPr>
        <w:t xml:space="preserve"> fokus na daljnji razvoj nacionalnog inovacijskog sustava, </w:t>
      </w:r>
      <w:r>
        <w:rPr>
          <w:color w:val="000000"/>
          <w:kern w:val="2"/>
          <w:sz w:val="24"/>
          <w:lang w:eastAsia="hr-HR"/>
          <w14:ligatures w14:val="standardContextual"/>
        </w:rPr>
        <w:t xml:space="preserve">jačanjem </w:t>
      </w:r>
      <w:r w:rsidRPr="00301C72">
        <w:rPr>
          <w:color w:val="000000"/>
          <w:kern w:val="2"/>
          <w:sz w:val="24"/>
          <w:lang w:eastAsia="hr-HR"/>
          <w14:ligatures w14:val="standardContextual"/>
        </w:rPr>
        <w:t>njegov</w:t>
      </w:r>
      <w:r>
        <w:rPr>
          <w:color w:val="000000"/>
          <w:kern w:val="2"/>
          <w:sz w:val="24"/>
          <w:lang w:eastAsia="hr-HR"/>
          <w14:ligatures w14:val="standardContextual"/>
        </w:rPr>
        <w:t>e</w:t>
      </w:r>
      <w:r w:rsidRPr="00301C72">
        <w:rPr>
          <w:color w:val="000000"/>
          <w:kern w:val="2"/>
          <w:sz w:val="24"/>
          <w:lang w:eastAsia="hr-HR"/>
          <w14:ligatures w14:val="standardContextual"/>
        </w:rPr>
        <w:t xml:space="preserve"> učinkovitost</w:t>
      </w:r>
      <w:r>
        <w:rPr>
          <w:color w:val="000000"/>
          <w:kern w:val="2"/>
          <w:sz w:val="24"/>
          <w:lang w:eastAsia="hr-HR"/>
          <w14:ligatures w14:val="standardContextual"/>
        </w:rPr>
        <w:t>i</w:t>
      </w:r>
      <w:r w:rsidRPr="00301C72">
        <w:rPr>
          <w:color w:val="000000"/>
          <w:kern w:val="2"/>
          <w:sz w:val="24"/>
          <w:lang w:eastAsia="hr-HR"/>
          <w14:ligatures w14:val="standardContextual"/>
        </w:rPr>
        <w:t xml:space="preserve"> i </w:t>
      </w:r>
      <w:r>
        <w:rPr>
          <w:color w:val="000000"/>
          <w:kern w:val="2"/>
          <w:sz w:val="24"/>
          <w:lang w:eastAsia="hr-HR"/>
          <w14:ligatures w14:val="standardContextual"/>
        </w:rPr>
        <w:t xml:space="preserve">poticanjem </w:t>
      </w:r>
      <w:r w:rsidRPr="00301C72">
        <w:rPr>
          <w:color w:val="000000"/>
          <w:kern w:val="2"/>
          <w:sz w:val="24"/>
          <w:lang w:eastAsia="hr-HR"/>
          <w14:ligatures w14:val="standardContextual"/>
        </w:rPr>
        <w:t>suradnj</w:t>
      </w:r>
      <w:r>
        <w:rPr>
          <w:color w:val="000000"/>
          <w:kern w:val="2"/>
          <w:sz w:val="24"/>
          <w:lang w:eastAsia="hr-HR"/>
          <w14:ligatures w14:val="standardContextual"/>
        </w:rPr>
        <w:t>e</w:t>
      </w:r>
      <w:r w:rsidRPr="00301C72">
        <w:rPr>
          <w:color w:val="000000"/>
          <w:kern w:val="2"/>
          <w:sz w:val="24"/>
          <w:lang w:eastAsia="hr-HR"/>
          <w14:ligatures w14:val="standardContextual"/>
        </w:rPr>
        <w:t xml:space="preserve"> između dionika, </w:t>
      </w:r>
      <w:r>
        <w:rPr>
          <w:color w:val="000000"/>
          <w:kern w:val="2"/>
          <w:sz w:val="24"/>
          <w:lang w:eastAsia="hr-HR"/>
          <w14:ligatures w14:val="standardContextual"/>
        </w:rPr>
        <w:t xml:space="preserve">tijekom 2024. uspješno je nastavljena provedba Strategije pametne specijalizacije do 2029. godine (u daljnjem tekstu: </w:t>
      </w:r>
      <w:r w:rsidRPr="00301C72">
        <w:rPr>
          <w:color w:val="000000"/>
          <w:kern w:val="2"/>
          <w:sz w:val="24"/>
          <w:lang w:eastAsia="hr-HR"/>
          <w14:ligatures w14:val="standardContextual"/>
        </w:rPr>
        <w:t>S3</w:t>
      </w:r>
      <w:r>
        <w:rPr>
          <w:color w:val="000000"/>
          <w:kern w:val="2"/>
          <w:sz w:val="24"/>
          <w:lang w:eastAsia="hr-HR"/>
          <w14:ligatures w14:val="standardContextual"/>
        </w:rPr>
        <w:t>).</w:t>
      </w:r>
      <w:r w:rsidRPr="00301C72">
        <w:rPr>
          <w:color w:val="000000"/>
          <w:kern w:val="2"/>
          <w:sz w:val="24"/>
          <w:lang w:eastAsia="hr-HR"/>
          <w14:ligatures w14:val="standardContextual"/>
        </w:rPr>
        <w:t xml:space="preserve"> </w:t>
      </w:r>
      <w:r>
        <w:rPr>
          <w:color w:val="000000"/>
          <w:kern w:val="2"/>
          <w:sz w:val="24"/>
          <w:lang w:eastAsia="hr-HR"/>
          <w14:ligatures w14:val="standardContextual"/>
        </w:rPr>
        <w:t xml:space="preserve">Ukupna alokacija za provedbu S3 do 2029. godine iznosi </w:t>
      </w:r>
      <w:r>
        <w:rPr>
          <w:color w:val="000000"/>
          <w:kern w:val="2"/>
          <w:sz w:val="24"/>
          <w:lang w:eastAsia="hr-HR"/>
          <w14:ligatures w14:val="standardContextual"/>
        </w:rPr>
        <w:lastRenderedPageBreak/>
        <w:t xml:space="preserve">1,774 milijardi eura bespovratnih sredstava, uključujući ulaganja na nacionalnoj i regionalnoj razini. Tijekom 2024. objavljeno je 35 poziva, ukupne vrijednosti 619 milijuna eura bespovratnih sredstava (35% alokacije S3). Do kraja 2024. ugovoreno je projekata ukupne vrijednosti 560 milijuna eura (91% ukupne vrijednosti objavljenih poziva), od čega je isplaćen 101 milijun eura (18% ugovorenih sredstava). Najviše sredstava ugovoreno je za poboljšanje znanstvene izvrsnosti (281 milijun eura), zatim za povećanje inovacijske učinkovitosti (168 milijuna eura) te </w:t>
      </w:r>
      <w:r w:rsidRPr="00E6146D">
        <w:rPr>
          <w:color w:val="000000"/>
          <w:kern w:val="2"/>
          <w:sz w:val="24"/>
          <w:lang w:eastAsia="hr-HR"/>
          <w14:ligatures w14:val="standardContextual"/>
        </w:rPr>
        <w:t>74 milijuna eura</w:t>
      </w:r>
      <w:r w:rsidRPr="00E6146D" w:rsidDel="00494898">
        <w:rPr>
          <w:color w:val="000000"/>
          <w:kern w:val="2"/>
          <w:sz w:val="24"/>
          <w:lang w:eastAsia="hr-HR"/>
          <w14:ligatures w14:val="standardContextual"/>
        </w:rPr>
        <w:t xml:space="preserve"> </w:t>
      </w:r>
      <w:r>
        <w:rPr>
          <w:color w:val="000000"/>
          <w:kern w:val="2"/>
          <w:sz w:val="24"/>
          <w:lang w:eastAsia="hr-HR"/>
          <w14:ligatures w14:val="standardContextual"/>
        </w:rPr>
        <w:t xml:space="preserve">za premošćivanje jaza između istraživačkog i poslovnog sektora. </w:t>
      </w:r>
      <w:r w:rsidRPr="00996DF1">
        <w:rPr>
          <w:color w:val="000000"/>
          <w:kern w:val="2"/>
          <w:sz w:val="24"/>
          <w:lang w:eastAsia="hr-HR"/>
          <w14:ligatures w14:val="standardContextual"/>
        </w:rPr>
        <w:t>Ukupna vrijednost svih ugovorenih projekata, uključujući privatno sufinanciranje, iznosila je 750 milijuna eura</w:t>
      </w:r>
      <w:r>
        <w:rPr>
          <w:color w:val="000000"/>
          <w:kern w:val="2"/>
          <w:sz w:val="24"/>
          <w:lang w:eastAsia="hr-HR"/>
          <w14:ligatures w14:val="standardContextual"/>
        </w:rPr>
        <w:t xml:space="preserve">. Od ukupno 1.561 korisnika, najveći udio čine mikro, mala i srednja poduzeća (91%), slijede istraživačke organizacije (7%) i velika poduzeća (2%). </w:t>
      </w:r>
      <w:r w:rsidRPr="007E3B8D">
        <w:rPr>
          <w:color w:val="000000"/>
          <w:kern w:val="2"/>
          <w:sz w:val="24"/>
          <w:lang w:eastAsia="hr-HR"/>
          <w14:ligatures w14:val="standardContextual"/>
        </w:rPr>
        <w:t xml:space="preserve">Radi jačanja koordinacije politike istraživanja i inovacija te </w:t>
      </w:r>
      <w:r>
        <w:rPr>
          <w:color w:val="000000"/>
          <w:kern w:val="2"/>
          <w:sz w:val="24"/>
          <w:lang w:eastAsia="hr-HR"/>
          <w14:ligatures w14:val="standardContextual"/>
        </w:rPr>
        <w:t xml:space="preserve">uvođenja </w:t>
      </w:r>
      <w:r w:rsidRPr="007E3B8D">
        <w:rPr>
          <w:color w:val="000000"/>
          <w:kern w:val="2"/>
          <w:sz w:val="24"/>
          <w:lang w:eastAsia="hr-HR"/>
          <w14:ligatures w14:val="standardContextual"/>
        </w:rPr>
        <w:t>sustavnog upravljanja provedbom S</w:t>
      </w:r>
      <w:r>
        <w:rPr>
          <w:color w:val="000000"/>
          <w:kern w:val="2"/>
          <w:sz w:val="24"/>
          <w:lang w:eastAsia="hr-HR"/>
          <w14:ligatures w14:val="standardContextual"/>
        </w:rPr>
        <w:t>3</w:t>
      </w:r>
      <w:r w:rsidRPr="007E3B8D">
        <w:rPr>
          <w:color w:val="000000"/>
          <w:kern w:val="2"/>
          <w:sz w:val="24"/>
          <w:lang w:eastAsia="hr-HR"/>
          <w14:ligatures w14:val="standardContextual"/>
        </w:rPr>
        <w:t>, tijekom 2024. provedene su pripremne aktivnosti za uspostavu Nacionalnog inovacijskog vijeća</w:t>
      </w:r>
      <w:r>
        <w:rPr>
          <w:color w:val="000000"/>
          <w:kern w:val="2"/>
          <w:sz w:val="24"/>
          <w:lang w:eastAsia="hr-HR"/>
          <w14:ligatures w14:val="standardContextual"/>
        </w:rPr>
        <w:t>,</w:t>
      </w:r>
      <w:r w:rsidRPr="007919BA">
        <w:t xml:space="preserve"> </w:t>
      </w:r>
      <w:r w:rsidRPr="007919BA">
        <w:rPr>
          <w:color w:val="000000"/>
          <w:kern w:val="2"/>
          <w:sz w:val="24"/>
          <w:lang w:eastAsia="hr-HR"/>
          <w14:ligatures w14:val="standardContextual"/>
        </w:rPr>
        <w:t>krovno</w:t>
      </w:r>
      <w:r>
        <w:rPr>
          <w:color w:val="000000"/>
          <w:kern w:val="2"/>
          <w:sz w:val="24"/>
          <w:lang w:eastAsia="hr-HR"/>
          <w14:ligatures w14:val="standardContextual"/>
        </w:rPr>
        <w:t>g</w:t>
      </w:r>
      <w:r w:rsidRPr="007919BA">
        <w:rPr>
          <w:color w:val="000000"/>
          <w:kern w:val="2"/>
          <w:sz w:val="24"/>
          <w:lang w:eastAsia="hr-HR"/>
          <w14:ligatures w14:val="standardContextual"/>
        </w:rPr>
        <w:t xml:space="preserve"> tijel</w:t>
      </w:r>
      <w:r>
        <w:rPr>
          <w:color w:val="000000"/>
          <w:kern w:val="2"/>
          <w:sz w:val="24"/>
          <w:lang w:eastAsia="hr-HR"/>
          <w14:ligatures w14:val="standardContextual"/>
        </w:rPr>
        <w:t>a</w:t>
      </w:r>
      <w:r w:rsidRPr="007919BA">
        <w:rPr>
          <w:color w:val="000000"/>
          <w:kern w:val="2"/>
          <w:sz w:val="24"/>
          <w:lang w:eastAsia="hr-HR"/>
          <w14:ligatures w14:val="standardContextual"/>
        </w:rPr>
        <w:t xml:space="preserve"> za strateško upravljanje provedbom S3</w:t>
      </w:r>
      <w:r>
        <w:rPr>
          <w:color w:val="000000"/>
          <w:kern w:val="2"/>
          <w:sz w:val="24"/>
          <w:lang w:eastAsia="hr-HR"/>
          <w14:ligatures w14:val="standardContextual"/>
        </w:rPr>
        <w:t xml:space="preserve">, koje je </w:t>
      </w:r>
      <w:r w:rsidRPr="007E3B8D">
        <w:rPr>
          <w:color w:val="000000"/>
          <w:kern w:val="2"/>
          <w:sz w:val="24"/>
          <w:lang w:eastAsia="hr-HR"/>
          <w14:ligatures w14:val="standardContextual"/>
        </w:rPr>
        <w:t xml:space="preserve">formalno osnovano </w:t>
      </w:r>
      <w:r>
        <w:rPr>
          <w:color w:val="000000"/>
          <w:kern w:val="2"/>
          <w:sz w:val="24"/>
          <w:lang w:eastAsia="hr-HR"/>
          <w14:ligatures w14:val="standardContextual"/>
        </w:rPr>
        <w:t>O</w:t>
      </w:r>
      <w:r w:rsidRPr="007E3B8D">
        <w:rPr>
          <w:color w:val="000000"/>
          <w:kern w:val="2"/>
          <w:sz w:val="24"/>
          <w:lang w:eastAsia="hr-HR"/>
          <w14:ligatures w14:val="standardContextual"/>
        </w:rPr>
        <w:t>dlukom Vlade</w:t>
      </w:r>
      <w:r>
        <w:rPr>
          <w:color w:val="000000"/>
          <w:kern w:val="2"/>
          <w:sz w:val="24"/>
          <w:lang w:eastAsia="hr-HR"/>
          <w14:ligatures w14:val="standardContextual"/>
        </w:rPr>
        <w:t xml:space="preserve"> Republike Hrvatske</w:t>
      </w:r>
      <w:r w:rsidRPr="007E3B8D">
        <w:rPr>
          <w:color w:val="000000"/>
          <w:kern w:val="2"/>
          <w:sz w:val="24"/>
          <w:lang w:eastAsia="hr-HR"/>
          <w14:ligatures w14:val="standardContextual"/>
        </w:rPr>
        <w:t xml:space="preserve"> u siječnju 2025.</w:t>
      </w:r>
      <w:r>
        <w:rPr>
          <w:color w:val="000000"/>
          <w:kern w:val="2"/>
          <w:sz w:val="24"/>
          <w:lang w:eastAsia="hr-HR"/>
          <w14:ligatures w14:val="standardContextual"/>
        </w:rPr>
        <w:t xml:space="preserve"> godine. </w:t>
      </w:r>
      <w:r w:rsidRPr="008D3E62">
        <w:rPr>
          <w:color w:val="000000"/>
          <w:kern w:val="2"/>
          <w:sz w:val="24"/>
          <w:lang w:eastAsia="hr-HR"/>
          <w14:ligatures w14:val="standardContextual"/>
        </w:rPr>
        <w:t>Nastavak</w:t>
      </w:r>
      <w:r>
        <w:rPr>
          <w:color w:val="000000"/>
          <w:kern w:val="2"/>
          <w:sz w:val="24"/>
          <w:lang w:eastAsia="hr-HR"/>
          <w14:ligatures w14:val="standardContextual"/>
        </w:rPr>
        <w:t xml:space="preserve"> </w:t>
      </w:r>
      <w:r w:rsidRPr="008D3E62">
        <w:rPr>
          <w:color w:val="000000"/>
          <w:kern w:val="2"/>
          <w:sz w:val="24"/>
          <w:lang w:eastAsia="hr-HR"/>
          <w14:ligatures w14:val="standardContextual"/>
        </w:rPr>
        <w:t xml:space="preserve">aktivnosti jačanja </w:t>
      </w:r>
      <w:r>
        <w:rPr>
          <w:color w:val="000000"/>
          <w:kern w:val="2"/>
          <w:sz w:val="24"/>
          <w:lang w:eastAsia="hr-HR"/>
          <w14:ligatures w14:val="standardContextual"/>
        </w:rPr>
        <w:t>inovacijskog sustava,</w:t>
      </w:r>
      <w:r w:rsidRPr="008D3E62">
        <w:rPr>
          <w:color w:val="000000"/>
          <w:kern w:val="2"/>
          <w:sz w:val="24"/>
          <w:lang w:eastAsia="hr-HR"/>
          <w14:ligatures w14:val="standardContextual"/>
        </w:rPr>
        <w:t xml:space="preserve"> predviđen je </w:t>
      </w:r>
      <w:r>
        <w:rPr>
          <w:color w:val="000000"/>
          <w:kern w:val="2"/>
          <w:sz w:val="24"/>
          <w:lang w:eastAsia="hr-HR"/>
          <w14:ligatures w14:val="standardContextual"/>
        </w:rPr>
        <w:t>u okviru</w:t>
      </w:r>
      <w:r w:rsidRPr="008D3E62">
        <w:rPr>
          <w:color w:val="000000"/>
          <w:kern w:val="2"/>
          <w:sz w:val="24"/>
          <w:lang w:eastAsia="hr-HR"/>
          <w14:ligatures w14:val="standardContextual"/>
        </w:rPr>
        <w:t xml:space="preserve"> </w:t>
      </w:r>
      <w:r>
        <w:rPr>
          <w:color w:val="000000"/>
          <w:kern w:val="2"/>
          <w:sz w:val="24"/>
          <w:lang w:eastAsia="hr-HR"/>
          <w14:ligatures w14:val="standardContextual"/>
        </w:rPr>
        <w:t xml:space="preserve">S3 </w:t>
      </w:r>
      <w:r w:rsidRPr="008D3E62">
        <w:rPr>
          <w:color w:val="000000"/>
          <w:kern w:val="2"/>
          <w:sz w:val="24"/>
          <w:lang w:eastAsia="hr-HR"/>
          <w14:ligatures w14:val="standardContextual"/>
        </w:rPr>
        <w:t>programsk</w:t>
      </w:r>
      <w:r>
        <w:rPr>
          <w:color w:val="000000"/>
          <w:kern w:val="2"/>
          <w:sz w:val="24"/>
          <w:lang w:eastAsia="hr-HR"/>
          <w14:ligatures w14:val="standardContextual"/>
        </w:rPr>
        <w:t>e</w:t>
      </w:r>
      <w:r w:rsidRPr="008D3E62">
        <w:rPr>
          <w:color w:val="000000"/>
          <w:kern w:val="2"/>
          <w:sz w:val="24"/>
          <w:lang w:eastAsia="hr-HR"/>
          <w14:ligatures w14:val="standardContextual"/>
        </w:rPr>
        <w:t xml:space="preserve"> intervencij</w:t>
      </w:r>
      <w:r>
        <w:rPr>
          <w:color w:val="000000"/>
          <w:kern w:val="2"/>
          <w:sz w:val="24"/>
          <w:lang w:eastAsia="hr-HR"/>
          <w14:ligatures w14:val="standardContextual"/>
        </w:rPr>
        <w:t>e</w:t>
      </w:r>
      <w:r w:rsidRPr="008D3E62">
        <w:rPr>
          <w:color w:val="000000"/>
          <w:kern w:val="2"/>
          <w:sz w:val="24"/>
          <w:lang w:eastAsia="hr-HR"/>
          <w14:ligatures w14:val="standardContextual"/>
        </w:rPr>
        <w:t xml:space="preserve"> </w:t>
      </w:r>
      <w:r>
        <w:rPr>
          <w:color w:val="000000"/>
          <w:kern w:val="2"/>
          <w:sz w:val="24"/>
          <w:lang w:eastAsia="hr-HR"/>
          <w14:ligatures w14:val="standardContextual"/>
        </w:rPr>
        <w:t>„</w:t>
      </w:r>
      <w:r w:rsidRPr="0004221B">
        <w:rPr>
          <w:i/>
          <w:iCs/>
          <w:color w:val="000000"/>
          <w:kern w:val="2"/>
          <w:sz w:val="24"/>
          <w:lang w:eastAsia="hr-HR"/>
          <w14:ligatures w14:val="standardContextual"/>
        </w:rPr>
        <w:t>Jačanje NIS-a i podrška digitalizaciji</w:t>
      </w:r>
      <w:r>
        <w:rPr>
          <w:i/>
          <w:iCs/>
          <w:color w:val="000000"/>
          <w:kern w:val="2"/>
          <w:sz w:val="24"/>
          <w:lang w:eastAsia="hr-HR"/>
          <w14:ligatures w14:val="standardContextual"/>
        </w:rPr>
        <w:t>“</w:t>
      </w:r>
      <w:r>
        <w:rPr>
          <w:color w:val="000000"/>
          <w:kern w:val="2"/>
          <w:sz w:val="24"/>
          <w:lang w:eastAsia="hr-HR"/>
          <w14:ligatures w14:val="standardContextual"/>
        </w:rPr>
        <w:t>,</w:t>
      </w:r>
      <w:r w:rsidRPr="008D3E62">
        <w:rPr>
          <w:color w:val="000000"/>
          <w:kern w:val="2"/>
          <w:sz w:val="24"/>
          <w:lang w:eastAsia="hr-HR"/>
          <w14:ligatures w14:val="standardContextual"/>
        </w:rPr>
        <w:t xml:space="preserve"> koja će se provoditi kroz projekt Europskog centra za inovacije, nove tehnologije i razvoj vještina (ECINTV). Kroz ovu intervenciju poticat će se daljnji razvoj </w:t>
      </w:r>
      <w:r>
        <w:rPr>
          <w:color w:val="000000"/>
          <w:kern w:val="2"/>
          <w:sz w:val="24"/>
          <w:lang w:eastAsia="hr-HR"/>
          <w14:ligatures w14:val="standardContextual"/>
        </w:rPr>
        <w:t xml:space="preserve"> inovacijskog sustava </w:t>
      </w:r>
      <w:r w:rsidRPr="008D3E62">
        <w:rPr>
          <w:color w:val="000000"/>
          <w:kern w:val="2"/>
          <w:sz w:val="24"/>
          <w:lang w:eastAsia="hr-HR"/>
          <w14:ligatures w14:val="standardContextual"/>
        </w:rPr>
        <w:t>jačanje</w:t>
      </w:r>
      <w:r>
        <w:rPr>
          <w:color w:val="000000"/>
          <w:kern w:val="2"/>
          <w:sz w:val="24"/>
          <w:lang w:eastAsia="hr-HR"/>
          <w14:ligatures w14:val="standardContextual"/>
        </w:rPr>
        <w:t>m</w:t>
      </w:r>
      <w:r w:rsidRPr="008D3E62">
        <w:rPr>
          <w:color w:val="000000"/>
          <w:kern w:val="2"/>
          <w:sz w:val="24"/>
          <w:lang w:eastAsia="hr-HR"/>
          <w14:ligatures w14:val="standardContextual"/>
        </w:rPr>
        <w:t xml:space="preserve"> suradnj</w:t>
      </w:r>
      <w:r>
        <w:rPr>
          <w:color w:val="000000"/>
          <w:kern w:val="2"/>
          <w:sz w:val="24"/>
          <w:lang w:eastAsia="hr-HR"/>
          <w14:ligatures w14:val="standardContextual"/>
        </w:rPr>
        <w:t>e</w:t>
      </w:r>
      <w:r w:rsidRPr="008D3E62">
        <w:rPr>
          <w:color w:val="000000"/>
          <w:kern w:val="2"/>
          <w:sz w:val="24"/>
          <w:lang w:eastAsia="hr-HR"/>
          <w14:ligatures w14:val="standardContextual"/>
        </w:rPr>
        <w:t xml:space="preserve"> </w:t>
      </w:r>
      <w:r>
        <w:rPr>
          <w:color w:val="000000"/>
          <w:kern w:val="2"/>
          <w:sz w:val="24"/>
          <w:lang w:eastAsia="hr-HR"/>
          <w14:ligatures w14:val="standardContextual"/>
        </w:rPr>
        <w:t xml:space="preserve">javnih </w:t>
      </w:r>
      <w:r w:rsidRPr="008D3E62">
        <w:rPr>
          <w:color w:val="000000"/>
          <w:kern w:val="2"/>
          <w:sz w:val="24"/>
          <w:lang w:eastAsia="hr-HR"/>
          <w14:ligatures w14:val="standardContextual"/>
        </w:rPr>
        <w:t>tijela i dionika, p</w:t>
      </w:r>
      <w:r>
        <w:rPr>
          <w:color w:val="000000"/>
          <w:kern w:val="2"/>
          <w:sz w:val="24"/>
          <w:lang w:eastAsia="hr-HR"/>
          <w14:ligatures w14:val="standardContextual"/>
        </w:rPr>
        <w:t>osebice</w:t>
      </w:r>
      <w:r w:rsidRPr="008D3E62">
        <w:rPr>
          <w:color w:val="000000"/>
          <w:kern w:val="2"/>
          <w:sz w:val="24"/>
          <w:lang w:eastAsia="hr-HR"/>
          <w14:ligatures w14:val="standardContextual"/>
        </w:rPr>
        <w:t xml:space="preserve"> suradnj</w:t>
      </w:r>
      <w:r>
        <w:rPr>
          <w:color w:val="000000"/>
          <w:kern w:val="2"/>
          <w:sz w:val="24"/>
          <w:lang w:eastAsia="hr-HR"/>
          <w14:ligatures w14:val="standardContextual"/>
        </w:rPr>
        <w:t>e</w:t>
      </w:r>
      <w:r w:rsidRPr="008D3E62">
        <w:rPr>
          <w:color w:val="000000"/>
          <w:kern w:val="2"/>
          <w:sz w:val="24"/>
          <w:lang w:eastAsia="hr-HR"/>
          <w14:ligatures w14:val="standardContextual"/>
        </w:rPr>
        <w:t xml:space="preserve"> znanstvene zajednice </w:t>
      </w:r>
      <w:r>
        <w:rPr>
          <w:color w:val="000000"/>
          <w:kern w:val="2"/>
          <w:sz w:val="24"/>
          <w:lang w:eastAsia="hr-HR"/>
          <w14:ligatures w14:val="standardContextual"/>
        </w:rPr>
        <w:t>i</w:t>
      </w:r>
      <w:r w:rsidRPr="008D3E62">
        <w:rPr>
          <w:color w:val="000000"/>
          <w:kern w:val="2"/>
          <w:sz w:val="24"/>
          <w:lang w:eastAsia="hr-HR"/>
          <w14:ligatures w14:val="standardContextual"/>
        </w:rPr>
        <w:t xml:space="preserve"> poslovn</w:t>
      </w:r>
      <w:r>
        <w:rPr>
          <w:color w:val="000000"/>
          <w:kern w:val="2"/>
          <w:sz w:val="24"/>
          <w:lang w:eastAsia="hr-HR"/>
          <w14:ligatures w14:val="standardContextual"/>
        </w:rPr>
        <w:t>og</w:t>
      </w:r>
      <w:r w:rsidRPr="008D3E62">
        <w:rPr>
          <w:color w:val="000000"/>
          <w:kern w:val="2"/>
          <w:sz w:val="24"/>
          <w:lang w:eastAsia="hr-HR"/>
          <w14:ligatures w14:val="standardContextual"/>
        </w:rPr>
        <w:t xml:space="preserve"> sektor</w:t>
      </w:r>
      <w:r>
        <w:rPr>
          <w:color w:val="000000"/>
          <w:kern w:val="2"/>
          <w:sz w:val="24"/>
          <w:lang w:eastAsia="hr-HR"/>
          <w14:ligatures w14:val="standardContextual"/>
        </w:rPr>
        <w:t>a.</w:t>
      </w:r>
    </w:p>
    <w:p w14:paraId="1459796D" w14:textId="77777777" w:rsidR="00FB178A" w:rsidRPr="00B317C7" w:rsidRDefault="00FB178A" w:rsidP="00FB178A">
      <w:pPr>
        <w:widowControl/>
        <w:autoSpaceDE/>
        <w:autoSpaceDN/>
        <w:spacing w:before="240" w:after="89" w:line="276" w:lineRule="auto"/>
        <w:ind w:left="-5"/>
        <w:jc w:val="both"/>
        <w:rPr>
          <w:color w:val="000000"/>
          <w:kern w:val="2"/>
          <w:sz w:val="24"/>
          <w:lang w:eastAsia="hr-HR"/>
          <w14:ligatures w14:val="standardContextual"/>
        </w:rPr>
      </w:pPr>
      <w:r w:rsidRPr="005A6B83">
        <w:rPr>
          <w:color w:val="000000"/>
          <w:kern w:val="2"/>
          <w:sz w:val="24"/>
          <w:szCs w:val="24"/>
          <w:lang w:eastAsia="hr-HR"/>
          <w14:ligatures w14:val="standardContextual"/>
        </w:rPr>
        <w:t xml:space="preserve">Tijekom 2024. </w:t>
      </w:r>
      <w:r>
        <w:rPr>
          <w:color w:val="000000"/>
          <w:kern w:val="2"/>
          <w:sz w:val="24"/>
          <w:szCs w:val="24"/>
          <w:lang w:eastAsia="hr-HR"/>
          <w14:ligatures w14:val="standardContextual"/>
        </w:rPr>
        <w:t xml:space="preserve">nastavljena je provedba napora </w:t>
      </w:r>
      <w:r w:rsidRPr="005A6B83">
        <w:rPr>
          <w:color w:val="000000"/>
          <w:kern w:val="2"/>
          <w:sz w:val="24"/>
          <w:szCs w:val="24"/>
          <w:lang w:eastAsia="hr-HR"/>
          <w14:ligatures w14:val="standardContextual"/>
        </w:rPr>
        <w:t xml:space="preserve">usmjerenih na jačanje </w:t>
      </w:r>
      <w:r>
        <w:rPr>
          <w:color w:val="000000"/>
          <w:kern w:val="2"/>
          <w:sz w:val="24"/>
          <w:szCs w:val="24"/>
          <w:lang w:eastAsia="hr-HR"/>
          <w14:ligatures w14:val="standardContextual"/>
        </w:rPr>
        <w:t>investicijskih aktivnosti</w:t>
      </w:r>
      <w:r w:rsidRPr="005A6B83">
        <w:rPr>
          <w:color w:val="000000"/>
          <w:kern w:val="2"/>
          <w:sz w:val="24"/>
          <w:szCs w:val="24"/>
          <w:lang w:eastAsia="hr-HR"/>
          <w14:ligatures w14:val="standardContextual"/>
        </w:rPr>
        <w:t>, poticanj</w:t>
      </w:r>
      <w:r>
        <w:rPr>
          <w:color w:val="000000"/>
          <w:kern w:val="2"/>
          <w:sz w:val="24"/>
          <w:szCs w:val="24"/>
          <w:lang w:eastAsia="hr-HR"/>
          <w14:ligatures w14:val="standardContextual"/>
        </w:rPr>
        <w:t>e</w:t>
      </w:r>
      <w:r w:rsidRPr="005A6B83">
        <w:rPr>
          <w:color w:val="000000"/>
          <w:kern w:val="2"/>
          <w:sz w:val="24"/>
          <w:szCs w:val="24"/>
          <w:lang w:eastAsia="hr-HR"/>
          <w14:ligatures w14:val="standardContextual"/>
        </w:rPr>
        <w:t xml:space="preserve"> ulaganja, inovacija i digitalne tranzicije te unaprjeđenje poslovnog okruženja</w:t>
      </w:r>
      <w:r>
        <w:rPr>
          <w:color w:val="000000"/>
          <w:kern w:val="2"/>
          <w:sz w:val="24"/>
          <w:szCs w:val="24"/>
          <w:lang w:eastAsia="hr-HR"/>
          <w14:ligatures w14:val="standardContextual"/>
        </w:rPr>
        <w:t>,</w:t>
      </w:r>
      <w:r w:rsidRPr="005A6B83">
        <w:rPr>
          <w:color w:val="000000"/>
          <w:kern w:val="2"/>
          <w:sz w:val="24"/>
          <w:szCs w:val="24"/>
          <w:lang w:eastAsia="hr-HR"/>
          <w14:ligatures w14:val="standardContextual"/>
        </w:rPr>
        <w:t xml:space="preserve"> </w:t>
      </w:r>
      <w:r>
        <w:rPr>
          <w:color w:val="000000"/>
          <w:kern w:val="2"/>
          <w:sz w:val="24"/>
          <w:szCs w:val="24"/>
          <w:lang w:eastAsia="hr-HR"/>
          <w14:ligatures w14:val="standardContextual"/>
        </w:rPr>
        <w:t>radi</w:t>
      </w:r>
      <w:r w:rsidRPr="005A6B83">
        <w:rPr>
          <w:color w:val="000000"/>
          <w:kern w:val="2"/>
          <w:sz w:val="24"/>
          <w:szCs w:val="24"/>
          <w:lang w:eastAsia="hr-HR"/>
          <w14:ligatures w14:val="standardContextual"/>
        </w:rPr>
        <w:t xml:space="preserve"> </w:t>
      </w:r>
      <w:r>
        <w:rPr>
          <w:color w:val="000000"/>
          <w:kern w:val="2"/>
          <w:sz w:val="24"/>
          <w:szCs w:val="24"/>
          <w:lang w:eastAsia="hr-HR"/>
          <w14:ligatures w14:val="standardContextual"/>
        </w:rPr>
        <w:t xml:space="preserve">jačanja konkurentnosti i inovativnosti gospodarstva. U području privlačenja investicija, u prosincu 2024. usvojen je Nacionalni plan za poticanje ulaganja za razdoblje do 2030. godine s pripadajućim Akcijskim planom za razdoblje do 2026. Nacionalni plan je usmjeren na privlačenje ulaganja visoke dodane vrijednosti, razvoj istraživanja i inovacija te stvaranje kvalitetnih novih radnih mjesta. Donošenje </w:t>
      </w:r>
      <w:r w:rsidRPr="009E452A">
        <w:rPr>
          <w:color w:val="000000"/>
          <w:kern w:val="2"/>
          <w:sz w:val="24"/>
          <w:szCs w:val="24"/>
          <w:lang w:eastAsia="hr-HR"/>
          <w14:ligatures w14:val="standardContextual"/>
        </w:rPr>
        <w:t>Nacionaln</w:t>
      </w:r>
      <w:r>
        <w:rPr>
          <w:color w:val="000000"/>
          <w:kern w:val="2"/>
          <w:sz w:val="24"/>
          <w:szCs w:val="24"/>
          <w:lang w:eastAsia="hr-HR"/>
          <w14:ligatures w14:val="standardContextual"/>
        </w:rPr>
        <w:t>og</w:t>
      </w:r>
      <w:r w:rsidRPr="009E452A">
        <w:rPr>
          <w:color w:val="000000"/>
          <w:kern w:val="2"/>
          <w:sz w:val="24"/>
          <w:szCs w:val="24"/>
          <w:lang w:eastAsia="hr-HR"/>
          <w14:ligatures w14:val="standardContextual"/>
        </w:rPr>
        <w:t xml:space="preserve"> plan</w:t>
      </w:r>
      <w:r>
        <w:rPr>
          <w:color w:val="000000"/>
          <w:kern w:val="2"/>
          <w:sz w:val="24"/>
          <w:szCs w:val="24"/>
          <w:lang w:eastAsia="hr-HR"/>
          <w14:ligatures w14:val="standardContextual"/>
        </w:rPr>
        <w:t>a je</w:t>
      </w:r>
      <w:r w:rsidRPr="009E452A">
        <w:rPr>
          <w:color w:val="000000"/>
          <w:kern w:val="2"/>
          <w:sz w:val="24"/>
          <w:szCs w:val="24"/>
          <w:lang w:eastAsia="hr-HR"/>
          <w14:ligatures w14:val="standardContextual"/>
        </w:rPr>
        <w:t xml:space="preserve"> dio šire </w:t>
      </w:r>
      <w:r>
        <w:rPr>
          <w:color w:val="000000"/>
          <w:kern w:val="2"/>
          <w:sz w:val="24"/>
          <w:szCs w:val="24"/>
          <w:lang w:eastAsia="hr-HR"/>
          <w14:ligatures w14:val="standardContextual"/>
        </w:rPr>
        <w:t xml:space="preserve">NPOO </w:t>
      </w:r>
      <w:r w:rsidRPr="009E452A">
        <w:rPr>
          <w:color w:val="000000"/>
          <w:kern w:val="2"/>
          <w:sz w:val="24"/>
          <w:szCs w:val="24"/>
          <w:lang w:eastAsia="hr-HR"/>
          <w14:ligatures w14:val="standardContextual"/>
        </w:rPr>
        <w:t>reformske mjere C.1.1.R3</w:t>
      </w:r>
      <w:r>
        <w:rPr>
          <w:color w:val="000000"/>
          <w:kern w:val="2"/>
          <w:sz w:val="24"/>
          <w:szCs w:val="24"/>
          <w:lang w:eastAsia="hr-HR"/>
          <w14:ligatures w14:val="standardContextual"/>
        </w:rPr>
        <w:t xml:space="preserve"> „</w:t>
      </w:r>
      <w:r w:rsidRPr="007A2C97">
        <w:rPr>
          <w:color w:val="000000"/>
          <w:kern w:val="2"/>
          <w:sz w:val="24"/>
          <w:szCs w:val="24"/>
          <w:lang w:eastAsia="hr-HR"/>
          <w14:ligatures w14:val="standardContextual"/>
        </w:rPr>
        <w:t>Unaprjeđenje strateškog okvira za promociju privatnih ulaganja</w:t>
      </w:r>
      <w:r>
        <w:rPr>
          <w:color w:val="000000"/>
          <w:kern w:val="2"/>
          <w:sz w:val="24"/>
          <w:szCs w:val="24"/>
          <w:lang w:eastAsia="hr-HR"/>
          <w14:ligatures w14:val="standardContextual"/>
        </w:rPr>
        <w:t>“</w:t>
      </w:r>
      <w:r w:rsidRPr="009E452A">
        <w:rPr>
          <w:color w:val="000000"/>
          <w:kern w:val="2"/>
          <w:sz w:val="24"/>
          <w:szCs w:val="24"/>
          <w:lang w:eastAsia="hr-HR"/>
          <w14:ligatures w14:val="standardContextual"/>
        </w:rPr>
        <w:t>, vezan</w:t>
      </w:r>
      <w:r>
        <w:rPr>
          <w:color w:val="000000"/>
          <w:kern w:val="2"/>
          <w:sz w:val="24"/>
          <w:szCs w:val="24"/>
          <w:lang w:eastAsia="hr-HR"/>
          <w14:ligatures w14:val="standardContextual"/>
        </w:rPr>
        <w:t>e</w:t>
      </w:r>
      <w:r w:rsidRPr="009E452A">
        <w:rPr>
          <w:color w:val="000000"/>
          <w:kern w:val="2"/>
          <w:sz w:val="24"/>
          <w:szCs w:val="24"/>
          <w:lang w:eastAsia="hr-HR"/>
          <w14:ligatures w14:val="standardContextual"/>
        </w:rPr>
        <w:t xml:space="preserve"> </w:t>
      </w:r>
      <w:r>
        <w:rPr>
          <w:color w:val="000000"/>
          <w:kern w:val="2"/>
          <w:sz w:val="24"/>
          <w:szCs w:val="24"/>
          <w:lang w:eastAsia="hr-HR"/>
          <w14:ligatures w14:val="standardContextual"/>
        </w:rPr>
        <w:t>za</w:t>
      </w:r>
      <w:r w:rsidRPr="009E452A">
        <w:rPr>
          <w:color w:val="000000"/>
          <w:kern w:val="2"/>
          <w:sz w:val="24"/>
          <w:szCs w:val="24"/>
          <w:lang w:eastAsia="hr-HR"/>
          <w14:ligatures w14:val="standardContextual"/>
        </w:rPr>
        <w:t xml:space="preserve"> </w:t>
      </w:r>
      <w:r>
        <w:rPr>
          <w:color w:val="000000"/>
          <w:kern w:val="2"/>
          <w:sz w:val="24"/>
          <w:szCs w:val="24"/>
          <w:lang w:eastAsia="hr-HR"/>
          <w14:ligatures w14:val="standardContextual"/>
        </w:rPr>
        <w:t>jačanje</w:t>
      </w:r>
      <w:r w:rsidRPr="009E452A">
        <w:rPr>
          <w:color w:val="000000"/>
          <w:kern w:val="2"/>
          <w:sz w:val="24"/>
          <w:szCs w:val="24"/>
          <w:lang w:eastAsia="hr-HR"/>
          <w14:ligatures w14:val="standardContextual"/>
        </w:rPr>
        <w:t xml:space="preserve"> strateškog</w:t>
      </w:r>
      <w:r>
        <w:rPr>
          <w:color w:val="000000"/>
          <w:kern w:val="2"/>
          <w:sz w:val="24"/>
          <w:szCs w:val="24"/>
          <w:lang w:eastAsia="hr-HR"/>
          <w14:ligatures w14:val="standardContextual"/>
        </w:rPr>
        <w:t xml:space="preserve">, regulatornog i </w:t>
      </w:r>
      <w:r w:rsidRPr="00B317C7">
        <w:rPr>
          <w:color w:val="000000"/>
          <w:kern w:val="2"/>
          <w:sz w:val="24"/>
          <w:lang w:eastAsia="hr-HR"/>
          <w14:ligatures w14:val="standardContextual"/>
        </w:rPr>
        <w:t>institucionalnog okvira za promicanje i olakšavanje ulaganja na nacionalnoj i regionalnoj razini. Kroz usvajanje Nacionalnog plana Hrvatska se usklađuje i s alatima OECD-a za održiva ulaganja i Preporukom OECD-a o ulozi države u promociji održivog i odgovornog poslovnog ponašanja.</w:t>
      </w:r>
    </w:p>
    <w:p w14:paraId="4793FBC0" w14:textId="77777777" w:rsidR="00FB178A" w:rsidRPr="00202F6B" w:rsidRDefault="00FB178A" w:rsidP="00FB178A">
      <w:pPr>
        <w:widowControl/>
        <w:autoSpaceDE/>
        <w:autoSpaceDN/>
        <w:spacing w:before="240" w:after="89" w:line="276" w:lineRule="auto"/>
        <w:ind w:left="-5"/>
        <w:jc w:val="both"/>
        <w:rPr>
          <w:color w:val="000000"/>
          <w:kern w:val="2"/>
          <w:sz w:val="24"/>
          <w:lang w:eastAsia="hr-HR"/>
          <w14:ligatures w14:val="standardContextual"/>
        </w:rPr>
      </w:pPr>
      <w:r w:rsidRPr="00B317C7">
        <w:rPr>
          <w:color w:val="000000"/>
          <w:kern w:val="2"/>
          <w:sz w:val="24"/>
          <w:lang w:eastAsia="hr-HR"/>
          <w14:ligatures w14:val="standardContextual"/>
        </w:rPr>
        <w:t>Prema podacima HNB-a, izravna strana ulaganja u Hrvatsku u 2024. iznosila su 4,2 milijarde eura, uz skok od</w:t>
      </w:r>
      <w:r>
        <w:rPr>
          <w:color w:val="000000"/>
          <w:kern w:val="2"/>
          <w:sz w:val="24"/>
          <w:szCs w:val="24"/>
          <w:lang w:eastAsia="hr-HR"/>
          <w14:ligatures w14:val="standardContextual"/>
        </w:rPr>
        <w:t xml:space="preserve"> 28% u odnosu na 2023. godinu. Navedeno ukazuje na </w:t>
      </w:r>
      <w:r w:rsidRPr="003D4AE1">
        <w:rPr>
          <w:color w:val="000000"/>
          <w:kern w:val="2"/>
          <w:sz w:val="24"/>
          <w:szCs w:val="24"/>
          <w:lang w:eastAsia="hr-HR"/>
          <w14:ligatures w14:val="standardContextual"/>
        </w:rPr>
        <w:t>nastavak pozitivn</w:t>
      </w:r>
      <w:r>
        <w:rPr>
          <w:color w:val="000000"/>
          <w:kern w:val="2"/>
          <w:sz w:val="24"/>
          <w:szCs w:val="24"/>
          <w:lang w:eastAsia="hr-HR"/>
          <w14:ligatures w14:val="standardContextual"/>
        </w:rPr>
        <w:t>ih</w:t>
      </w:r>
      <w:r w:rsidRPr="003D4AE1">
        <w:rPr>
          <w:color w:val="000000"/>
          <w:kern w:val="2"/>
          <w:sz w:val="24"/>
          <w:szCs w:val="24"/>
          <w:lang w:eastAsia="hr-HR"/>
          <w14:ligatures w14:val="standardContextual"/>
        </w:rPr>
        <w:t xml:space="preserve"> trend</w:t>
      </w:r>
      <w:r>
        <w:rPr>
          <w:color w:val="000000"/>
          <w:kern w:val="2"/>
          <w:sz w:val="24"/>
          <w:szCs w:val="24"/>
          <w:lang w:eastAsia="hr-HR"/>
          <w14:ligatures w14:val="standardContextual"/>
        </w:rPr>
        <w:t>ov</w:t>
      </w:r>
      <w:r w:rsidRPr="003D4AE1">
        <w:rPr>
          <w:color w:val="000000"/>
          <w:kern w:val="2"/>
          <w:sz w:val="24"/>
          <w:szCs w:val="24"/>
          <w:lang w:eastAsia="hr-HR"/>
          <w14:ligatures w14:val="standardContextual"/>
        </w:rPr>
        <w:t>a u privlačenju investici</w:t>
      </w:r>
      <w:r>
        <w:rPr>
          <w:color w:val="000000"/>
          <w:kern w:val="2"/>
          <w:sz w:val="24"/>
          <w:szCs w:val="24"/>
          <w:lang w:eastAsia="hr-HR"/>
          <w14:ligatures w14:val="standardContextual"/>
        </w:rPr>
        <w:t>ja i</w:t>
      </w:r>
      <w:r w:rsidRPr="00045C48">
        <w:rPr>
          <w:color w:val="000000"/>
          <w:kern w:val="2"/>
          <w:sz w:val="24"/>
          <w:szCs w:val="24"/>
          <w:lang w:eastAsia="hr-HR"/>
          <w14:ligatures w14:val="standardContextual"/>
        </w:rPr>
        <w:t xml:space="preserve"> stabiln</w:t>
      </w:r>
      <w:r>
        <w:rPr>
          <w:color w:val="000000"/>
          <w:kern w:val="2"/>
          <w:sz w:val="24"/>
          <w:szCs w:val="24"/>
          <w:lang w:eastAsia="hr-HR"/>
          <w14:ligatures w14:val="standardContextual"/>
        </w:rPr>
        <w:t>og</w:t>
      </w:r>
      <w:r w:rsidRPr="00045C48">
        <w:rPr>
          <w:color w:val="000000"/>
          <w:kern w:val="2"/>
          <w:sz w:val="24"/>
          <w:szCs w:val="24"/>
          <w:lang w:eastAsia="hr-HR"/>
          <w14:ligatures w14:val="standardContextual"/>
        </w:rPr>
        <w:t xml:space="preserve"> rast</w:t>
      </w:r>
      <w:r>
        <w:rPr>
          <w:color w:val="000000"/>
          <w:kern w:val="2"/>
          <w:sz w:val="24"/>
          <w:szCs w:val="24"/>
          <w:lang w:eastAsia="hr-HR"/>
          <w14:ligatures w14:val="standardContextual"/>
        </w:rPr>
        <w:t>a</w:t>
      </w:r>
      <w:r w:rsidRPr="00045C48">
        <w:rPr>
          <w:color w:val="000000"/>
          <w:kern w:val="2"/>
          <w:sz w:val="24"/>
          <w:szCs w:val="24"/>
          <w:lang w:eastAsia="hr-HR"/>
          <w14:ligatures w14:val="standardContextual"/>
        </w:rPr>
        <w:t xml:space="preserve"> ulaznih tokova izravnih stranih ulaganja</w:t>
      </w:r>
      <w:r>
        <w:rPr>
          <w:color w:val="000000"/>
          <w:kern w:val="2"/>
          <w:sz w:val="24"/>
          <w:szCs w:val="24"/>
          <w:lang w:eastAsia="hr-HR"/>
          <w14:ligatures w14:val="standardContextual"/>
        </w:rPr>
        <w:t xml:space="preserve"> od 2019. godine. Strani ulagači su tijekom 2024. najviše ulagali u farmaceutsku (1,1 milijardu eura) i financijsku djelatnost (723 milijuna eura), kao i u sektor nekretnina (506 milijuna eura). Prema porijeklu kapitala, u Hrvatsku su tijekom 2024. najviše ulagali poduzetnici iz Nizozemske (1,36 milijardi eura), Luxembourga (390 milijuna eura), Slovenije (326 milijuna eura) i Njemačke (266 milijuna eura). Istovremeno, značajno su porasli i izlazni tokovi ulaganja te su hrvatski su poduzetnici tijekom 2024. u inozemstvu investirali rekordnih 2,58 milijardi eura, od čega najviše u djelatnosti farmaceutike te proizvodnje hrane. Zabilježeni pozitivni investicijski trendovi </w:t>
      </w:r>
      <w:r w:rsidRPr="00AB5D1E">
        <w:rPr>
          <w:color w:val="000000"/>
          <w:kern w:val="2"/>
          <w:sz w:val="24"/>
          <w:szCs w:val="24"/>
          <w:lang w:eastAsia="hr-HR"/>
          <w14:ligatures w14:val="standardContextual"/>
        </w:rPr>
        <w:t>svrstava</w:t>
      </w:r>
      <w:r>
        <w:rPr>
          <w:color w:val="000000"/>
          <w:kern w:val="2"/>
          <w:sz w:val="24"/>
          <w:szCs w:val="24"/>
          <w:lang w:eastAsia="hr-HR"/>
          <w14:ligatures w14:val="standardContextual"/>
        </w:rPr>
        <w:t>ju</w:t>
      </w:r>
      <w:r w:rsidRPr="00AB5D1E">
        <w:rPr>
          <w:color w:val="000000"/>
          <w:kern w:val="2"/>
          <w:sz w:val="24"/>
          <w:szCs w:val="24"/>
          <w:lang w:eastAsia="hr-HR"/>
          <w14:ligatures w14:val="standardContextual"/>
        </w:rPr>
        <w:t xml:space="preserve"> Hrvatsku među zemlje koje uspješno privlače kapital s obzirom na veličinu </w:t>
      </w:r>
      <w:r>
        <w:rPr>
          <w:color w:val="000000"/>
          <w:kern w:val="2"/>
          <w:sz w:val="24"/>
          <w:szCs w:val="24"/>
          <w:lang w:eastAsia="hr-HR"/>
          <w14:ligatures w14:val="standardContextual"/>
        </w:rPr>
        <w:t xml:space="preserve">i strukturu </w:t>
      </w:r>
      <w:r w:rsidRPr="00AB5D1E">
        <w:rPr>
          <w:color w:val="000000"/>
          <w:kern w:val="2"/>
          <w:sz w:val="24"/>
          <w:szCs w:val="24"/>
          <w:lang w:eastAsia="hr-HR"/>
          <w14:ligatures w14:val="standardContextual"/>
        </w:rPr>
        <w:t xml:space="preserve">gospodarstva, dok </w:t>
      </w:r>
      <w:r w:rsidRPr="00AB5D1E">
        <w:rPr>
          <w:color w:val="000000"/>
          <w:kern w:val="2"/>
          <w:sz w:val="24"/>
          <w:szCs w:val="24"/>
          <w:lang w:eastAsia="hr-HR"/>
          <w14:ligatures w14:val="standardContextual"/>
        </w:rPr>
        <w:lastRenderedPageBreak/>
        <w:t xml:space="preserve">porast izlaznih </w:t>
      </w:r>
      <w:r>
        <w:rPr>
          <w:color w:val="000000"/>
          <w:kern w:val="2"/>
          <w:sz w:val="24"/>
          <w:szCs w:val="24"/>
          <w:lang w:eastAsia="hr-HR"/>
          <w14:ligatures w14:val="standardContextual"/>
        </w:rPr>
        <w:t xml:space="preserve">tokova </w:t>
      </w:r>
      <w:r w:rsidRPr="00AB5D1E">
        <w:rPr>
          <w:color w:val="000000"/>
          <w:kern w:val="2"/>
          <w:sz w:val="24"/>
          <w:szCs w:val="24"/>
          <w:lang w:eastAsia="hr-HR"/>
          <w14:ligatures w14:val="standardContextual"/>
        </w:rPr>
        <w:t>ulaganja</w:t>
      </w:r>
      <w:r>
        <w:rPr>
          <w:color w:val="000000"/>
          <w:kern w:val="2"/>
          <w:sz w:val="24"/>
          <w:szCs w:val="24"/>
          <w:lang w:eastAsia="hr-HR"/>
          <w14:ligatures w14:val="standardContextual"/>
        </w:rPr>
        <w:t xml:space="preserve"> </w:t>
      </w:r>
      <w:r w:rsidRPr="00AB5D1E">
        <w:rPr>
          <w:color w:val="000000"/>
          <w:kern w:val="2"/>
          <w:sz w:val="24"/>
          <w:szCs w:val="24"/>
          <w:lang w:eastAsia="hr-HR"/>
          <w14:ligatures w14:val="standardContextual"/>
        </w:rPr>
        <w:t xml:space="preserve">ukazuje na postupno jačanje </w:t>
      </w:r>
      <w:r w:rsidRPr="00202F6B">
        <w:rPr>
          <w:color w:val="000000"/>
          <w:kern w:val="2"/>
          <w:sz w:val="24"/>
          <w:lang w:eastAsia="hr-HR"/>
          <w14:ligatures w14:val="standardContextual"/>
        </w:rPr>
        <w:t>sposobnosti domaćih poduzeća za internacionalizaciju i širenje investicijske prisutnosti domaćeg kapitala na međunarodnim tržištima.</w:t>
      </w:r>
    </w:p>
    <w:p w14:paraId="132DD496" w14:textId="77777777" w:rsidR="00FB178A" w:rsidRPr="00301C72" w:rsidRDefault="00FB178A" w:rsidP="00FB178A">
      <w:pPr>
        <w:widowControl/>
        <w:autoSpaceDE/>
        <w:autoSpaceDN/>
        <w:spacing w:after="240" w:line="276" w:lineRule="auto"/>
        <w:ind w:left="-5"/>
        <w:jc w:val="both"/>
        <w:rPr>
          <w:color w:val="000000"/>
          <w:kern w:val="2"/>
          <w:sz w:val="24"/>
          <w:lang w:eastAsia="hr-HR"/>
          <w14:ligatures w14:val="standardContextual"/>
        </w:rPr>
      </w:pPr>
      <w:r>
        <w:rPr>
          <w:color w:val="000000"/>
          <w:kern w:val="2"/>
          <w:sz w:val="24"/>
          <w:lang w:eastAsia="hr-HR"/>
          <w14:ligatures w14:val="standardContextual"/>
        </w:rPr>
        <w:t>Nastavljena je provedba</w:t>
      </w:r>
      <w:r w:rsidRPr="00301C72">
        <w:rPr>
          <w:color w:val="000000"/>
          <w:kern w:val="2"/>
          <w:sz w:val="24"/>
          <w:lang w:eastAsia="hr-HR"/>
          <w14:ligatures w14:val="standardContextual"/>
        </w:rPr>
        <w:t xml:space="preserve"> NPOO komponente C1.1. „Otporno, zeleno i digitalno gospodarstvo“</w:t>
      </w:r>
      <w:r>
        <w:rPr>
          <w:color w:val="000000"/>
          <w:kern w:val="2"/>
          <w:sz w:val="24"/>
          <w:lang w:eastAsia="hr-HR"/>
          <w14:ligatures w14:val="standardContextual"/>
        </w:rPr>
        <w:t xml:space="preserve"> usmjerene na</w:t>
      </w:r>
      <w:r w:rsidRPr="00823B95">
        <w:rPr>
          <w:color w:val="000000"/>
          <w:kern w:val="2"/>
          <w:sz w:val="24"/>
          <w:lang w:eastAsia="hr-HR"/>
          <w14:ligatures w14:val="standardContextual"/>
        </w:rPr>
        <w:t xml:space="preserve"> jačanj</w:t>
      </w:r>
      <w:r>
        <w:rPr>
          <w:color w:val="000000"/>
          <w:kern w:val="2"/>
          <w:sz w:val="24"/>
          <w:lang w:eastAsia="hr-HR"/>
          <w14:ligatures w14:val="standardContextual"/>
        </w:rPr>
        <w:t>e</w:t>
      </w:r>
      <w:r w:rsidRPr="00823B95">
        <w:rPr>
          <w:color w:val="000000"/>
          <w:kern w:val="2"/>
          <w:sz w:val="24"/>
          <w:lang w:eastAsia="hr-HR"/>
          <w14:ligatures w14:val="standardContextual"/>
        </w:rPr>
        <w:t xml:space="preserve"> konkurentnosti i održivosti gospodarstva</w:t>
      </w:r>
      <w:r>
        <w:rPr>
          <w:color w:val="000000"/>
          <w:kern w:val="2"/>
          <w:sz w:val="24"/>
          <w:lang w:eastAsia="hr-HR"/>
          <w14:ligatures w14:val="standardContextual"/>
        </w:rPr>
        <w:t xml:space="preserve">. Uz potporu iz NPOO-a, </w:t>
      </w:r>
      <w:r w:rsidRPr="00301C72">
        <w:rPr>
          <w:color w:val="000000"/>
          <w:kern w:val="2"/>
          <w:sz w:val="24"/>
          <w:lang w:eastAsia="hr-HR"/>
          <w14:ligatures w14:val="standardContextual"/>
        </w:rPr>
        <w:t>provedeni su pozivi za dodjelu bespovratnih sredstava poduzetnicima</w:t>
      </w:r>
      <w:r>
        <w:rPr>
          <w:color w:val="000000"/>
          <w:kern w:val="2"/>
          <w:sz w:val="24"/>
          <w:lang w:eastAsia="hr-HR"/>
          <w14:ligatures w14:val="standardContextual"/>
        </w:rPr>
        <w:t xml:space="preserve"> u </w:t>
      </w:r>
      <w:r w:rsidRPr="00301C72">
        <w:rPr>
          <w:color w:val="000000"/>
          <w:kern w:val="2"/>
          <w:sz w:val="24"/>
          <w:lang w:eastAsia="hr-HR"/>
          <w14:ligatures w14:val="standardContextual"/>
        </w:rPr>
        <w:t>ukupn</w:t>
      </w:r>
      <w:r>
        <w:rPr>
          <w:color w:val="000000"/>
          <w:kern w:val="2"/>
          <w:sz w:val="24"/>
          <w:lang w:eastAsia="hr-HR"/>
          <w14:ligatures w14:val="standardContextual"/>
        </w:rPr>
        <w:t>oj</w:t>
      </w:r>
      <w:r w:rsidRPr="00301C72">
        <w:rPr>
          <w:color w:val="000000"/>
          <w:kern w:val="2"/>
          <w:sz w:val="24"/>
          <w:lang w:eastAsia="hr-HR"/>
          <w14:ligatures w14:val="standardContextual"/>
        </w:rPr>
        <w:t xml:space="preserve"> vrijednosti 358,7 m</w:t>
      </w:r>
      <w:r>
        <w:rPr>
          <w:color w:val="000000"/>
          <w:kern w:val="2"/>
          <w:sz w:val="24"/>
          <w:lang w:eastAsia="hr-HR"/>
          <w14:ligatures w14:val="standardContextual"/>
        </w:rPr>
        <w:t>ilijuna</w:t>
      </w:r>
      <w:r w:rsidRPr="00301C72">
        <w:rPr>
          <w:color w:val="000000"/>
          <w:kern w:val="2"/>
          <w:sz w:val="24"/>
          <w:lang w:eastAsia="hr-HR"/>
          <w14:ligatures w14:val="standardContextual"/>
        </w:rPr>
        <w:t xml:space="preserve"> eura</w:t>
      </w:r>
      <w:r>
        <w:rPr>
          <w:color w:val="000000"/>
          <w:kern w:val="2"/>
          <w:sz w:val="24"/>
          <w:lang w:eastAsia="hr-HR"/>
          <w14:ligatures w14:val="standardContextual"/>
        </w:rPr>
        <w:t xml:space="preserve"> za poticanje</w:t>
      </w:r>
      <w:r w:rsidRPr="00301C72">
        <w:rPr>
          <w:color w:val="000000"/>
          <w:kern w:val="2"/>
          <w:sz w:val="24"/>
          <w:lang w:eastAsia="hr-HR"/>
          <w14:ligatures w14:val="standardContextual"/>
        </w:rPr>
        <w:t xml:space="preserve"> na tranziciju prema energetski i resursno učinkovitom gospodarstvu te </w:t>
      </w:r>
      <w:r>
        <w:rPr>
          <w:color w:val="000000"/>
          <w:kern w:val="2"/>
          <w:sz w:val="24"/>
          <w:lang w:eastAsia="hr-HR"/>
          <w14:ligatures w14:val="standardContextual"/>
        </w:rPr>
        <w:t>z</w:t>
      </w:r>
      <w:r w:rsidRPr="00301C72">
        <w:rPr>
          <w:color w:val="000000"/>
          <w:kern w:val="2"/>
          <w:sz w:val="24"/>
          <w:lang w:eastAsia="hr-HR"/>
          <w14:ligatures w14:val="standardContextual"/>
        </w:rPr>
        <w:t xml:space="preserve">a </w:t>
      </w:r>
      <w:r>
        <w:rPr>
          <w:color w:val="000000"/>
          <w:kern w:val="2"/>
          <w:sz w:val="24"/>
          <w:lang w:eastAsia="hr-HR"/>
          <w14:ligatures w14:val="standardContextual"/>
        </w:rPr>
        <w:t xml:space="preserve">poticanje </w:t>
      </w:r>
      <w:r w:rsidRPr="00301C72">
        <w:rPr>
          <w:color w:val="000000"/>
          <w:kern w:val="2"/>
          <w:sz w:val="24"/>
          <w:lang w:eastAsia="hr-HR"/>
          <w14:ligatures w14:val="standardContextual"/>
        </w:rPr>
        <w:t>inovacij</w:t>
      </w:r>
      <w:r>
        <w:rPr>
          <w:color w:val="000000"/>
          <w:kern w:val="2"/>
          <w:sz w:val="24"/>
          <w:lang w:eastAsia="hr-HR"/>
          <w14:ligatures w14:val="standardContextual"/>
        </w:rPr>
        <w:t>a</w:t>
      </w:r>
      <w:r w:rsidRPr="00301C72">
        <w:rPr>
          <w:color w:val="000000"/>
          <w:kern w:val="2"/>
          <w:sz w:val="24"/>
          <w:lang w:eastAsia="hr-HR"/>
          <w14:ligatures w14:val="standardContextual"/>
        </w:rPr>
        <w:t>, razvoj i primjenu novih (digitalnih) tehnologija</w:t>
      </w:r>
      <w:r>
        <w:rPr>
          <w:color w:val="000000"/>
          <w:kern w:val="2"/>
          <w:sz w:val="24"/>
          <w:lang w:eastAsia="hr-HR"/>
          <w14:ligatures w14:val="standardContextual"/>
        </w:rPr>
        <w:t xml:space="preserve"> u poslovanju</w:t>
      </w:r>
      <w:r w:rsidRPr="00301C72">
        <w:rPr>
          <w:color w:val="000000"/>
          <w:kern w:val="2"/>
          <w:sz w:val="24"/>
          <w:lang w:eastAsia="hr-HR"/>
          <w14:ligatures w14:val="standardContextual"/>
        </w:rPr>
        <w:t>.</w:t>
      </w:r>
      <w:r>
        <w:rPr>
          <w:color w:val="000000"/>
          <w:kern w:val="2"/>
          <w:sz w:val="24"/>
          <w:lang w:eastAsia="hr-HR"/>
          <w14:ligatures w14:val="standardContextual"/>
        </w:rPr>
        <w:t xml:space="preserve"> </w:t>
      </w:r>
      <w:r w:rsidRPr="00301C72">
        <w:rPr>
          <w:color w:val="000000"/>
          <w:kern w:val="2"/>
          <w:sz w:val="24"/>
          <w:lang w:eastAsia="hr-HR"/>
          <w14:ligatures w14:val="standardContextual"/>
        </w:rPr>
        <w:t>Tijekom 2024. objavljen</w:t>
      </w:r>
      <w:r>
        <w:rPr>
          <w:color w:val="000000"/>
          <w:kern w:val="2"/>
          <w:sz w:val="24"/>
          <w:lang w:eastAsia="hr-HR"/>
          <w14:ligatures w14:val="standardContextual"/>
        </w:rPr>
        <w:t xml:space="preserve"> je</w:t>
      </w:r>
      <w:r w:rsidRPr="00301C72">
        <w:rPr>
          <w:color w:val="000000"/>
          <w:kern w:val="2"/>
          <w:sz w:val="24"/>
          <w:lang w:eastAsia="hr-HR"/>
          <w14:ligatures w14:val="standardContextual"/>
        </w:rPr>
        <w:t xml:space="preserve"> poziv za dodjelu bespovratnih sredstava</w:t>
      </w:r>
      <w:r>
        <w:rPr>
          <w:color w:val="000000"/>
          <w:kern w:val="2"/>
          <w:sz w:val="24"/>
          <w:lang w:eastAsia="hr-HR"/>
          <w14:ligatures w14:val="standardContextual"/>
        </w:rPr>
        <w:t xml:space="preserve"> „</w:t>
      </w:r>
      <w:r w:rsidRPr="00301C72">
        <w:rPr>
          <w:color w:val="000000"/>
          <w:kern w:val="2"/>
          <w:sz w:val="24"/>
          <w:lang w:eastAsia="hr-HR"/>
          <w14:ligatures w14:val="standardContextual"/>
        </w:rPr>
        <w:t>Vaučeri za digitalizaciju</w:t>
      </w:r>
      <w:r>
        <w:rPr>
          <w:color w:val="000000"/>
          <w:kern w:val="2"/>
          <w:sz w:val="24"/>
          <w:lang w:eastAsia="hr-HR"/>
          <w14:ligatures w14:val="standardContextual"/>
        </w:rPr>
        <w:t xml:space="preserve">“ ukupne vrijednosti 9,95 milijuna eura, kojim se </w:t>
      </w:r>
      <w:r w:rsidRPr="007475F9">
        <w:rPr>
          <w:color w:val="000000"/>
          <w:kern w:val="2"/>
          <w:sz w:val="24"/>
          <w:lang w:eastAsia="hr-HR"/>
          <w14:ligatures w14:val="standardContextual"/>
        </w:rPr>
        <w:t>mikro, malim i srednjim poduzetnicima omogućuje povećanje razine digitalne zrelosti kroz razvoj digitalnih poslovnih modela, jačanje kapaciteta za digitalnu transformaciju te unaprjeđenje digitalnih vještina</w:t>
      </w:r>
      <w:r w:rsidRPr="00301C72">
        <w:rPr>
          <w:color w:val="000000"/>
          <w:kern w:val="2"/>
          <w:sz w:val="24"/>
          <w:lang w:eastAsia="hr-HR"/>
          <w14:ligatures w14:val="standardContextual"/>
        </w:rPr>
        <w:t xml:space="preserve">. </w:t>
      </w:r>
      <w:r>
        <w:rPr>
          <w:color w:val="000000"/>
          <w:kern w:val="2"/>
          <w:sz w:val="24"/>
          <w:lang w:eastAsia="hr-HR"/>
          <w14:ligatures w14:val="standardContextual"/>
        </w:rPr>
        <w:t>P</w:t>
      </w:r>
      <w:r w:rsidRPr="00301C72">
        <w:rPr>
          <w:color w:val="000000"/>
          <w:kern w:val="2"/>
          <w:sz w:val="24"/>
          <w:lang w:eastAsia="hr-HR"/>
          <w14:ligatures w14:val="standardContextual"/>
        </w:rPr>
        <w:t>oziv</w:t>
      </w:r>
      <w:r>
        <w:rPr>
          <w:color w:val="000000"/>
          <w:kern w:val="2"/>
          <w:sz w:val="24"/>
          <w:lang w:eastAsia="hr-HR"/>
          <w14:ligatures w14:val="standardContextual"/>
        </w:rPr>
        <w:t>om</w:t>
      </w:r>
      <w:r w:rsidRPr="00301C72">
        <w:rPr>
          <w:color w:val="000000"/>
          <w:kern w:val="2"/>
          <w:sz w:val="24"/>
          <w:lang w:eastAsia="hr-HR"/>
          <w14:ligatures w14:val="standardContextual"/>
        </w:rPr>
        <w:t xml:space="preserve"> </w:t>
      </w:r>
      <w:r w:rsidRPr="00146E36">
        <w:rPr>
          <w:color w:val="000000"/>
          <w:kern w:val="2"/>
          <w:sz w:val="24"/>
          <w:lang w:eastAsia="hr-HR"/>
          <w14:ligatures w14:val="standardContextual"/>
        </w:rPr>
        <w:t xml:space="preserve">se </w:t>
      </w:r>
      <w:r>
        <w:rPr>
          <w:color w:val="000000"/>
          <w:kern w:val="2"/>
          <w:sz w:val="24"/>
          <w:lang w:eastAsia="hr-HR"/>
          <w14:ligatures w14:val="standardContextual"/>
        </w:rPr>
        <w:t xml:space="preserve">financira </w:t>
      </w:r>
      <w:r w:rsidRPr="00146E36">
        <w:rPr>
          <w:color w:val="000000"/>
          <w:kern w:val="2"/>
          <w:sz w:val="24"/>
          <w:lang w:eastAsia="hr-HR"/>
          <w14:ligatures w14:val="standardContextual"/>
        </w:rPr>
        <w:t>pet vrsta vaučera</w:t>
      </w:r>
      <w:r>
        <w:rPr>
          <w:color w:val="000000"/>
          <w:kern w:val="2"/>
          <w:sz w:val="24"/>
          <w:lang w:eastAsia="hr-HR"/>
          <w14:ligatures w14:val="standardContextual"/>
        </w:rPr>
        <w:t>:</w:t>
      </w:r>
      <w:r w:rsidRPr="00146E36">
        <w:rPr>
          <w:color w:val="000000"/>
          <w:kern w:val="2"/>
          <w:sz w:val="24"/>
          <w:lang w:eastAsia="hr-HR"/>
          <w14:ligatures w14:val="standardContextual"/>
        </w:rPr>
        <w:t xml:space="preserve"> za digitalne vještine, digitalni marketing, složena digitalna rješenja, izradu strategija digitalne transformacije i dijagnostiku </w:t>
      </w:r>
      <w:proofErr w:type="spellStart"/>
      <w:r w:rsidRPr="00146E36">
        <w:rPr>
          <w:color w:val="000000"/>
          <w:kern w:val="2"/>
          <w:sz w:val="24"/>
          <w:lang w:eastAsia="hr-HR"/>
          <w14:ligatures w14:val="standardContextual"/>
        </w:rPr>
        <w:t>kibernetičke</w:t>
      </w:r>
      <w:proofErr w:type="spellEnd"/>
      <w:r w:rsidRPr="00146E36">
        <w:rPr>
          <w:color w:val="000000"/>
          <w:kern w:val="2"/>
          <w:sz w:val="24"/>
          <w:lang w:eastAsia="hr-HR"/>
          <w14:ligatures w14:val="standardContextual"/>
        </w:rPr>
        <w:t xml:space="preserve"> otpornosti</w:t>
      </w:r>
      <w:r>
        <w:rPr>
          <w:color w:val="000000"/>
          <w:kern w:val="2"/>
          <w:sz w:val="24"/>
          <w:lang w:eastAsia="hr-HR"/>
          <w14:ligatures w14:val="standardContextual"/>
        </w:rPr>
        <w:t>,</w:t>
      </w:r>
      <w:r w:rsidRPr="00146E36">
        <w:rPr>
          <w:color w:val="000000"/>
          <w:kern w:val="2"/>
          <w:sz w:val="24"/>
          <w:lang w:eastAsia="hr-HR"/>
          <w14:ligatures w14:val="standardContextual"/>
        </w:rPr>
        <w:t xml:space="preserve">  u pojedinačnim iznosima od 9.990 do 19.900 eura.</w:t>
      </w:r>
      <w:r w:rsidRPr="00301C72">
        <w:rPr>
          <w:color w:val="000000"/>
          <w:kern w:val="2"/>
          <w:sz w:val="24"/>
          <w:lang w:eastAsia="hr-HR"/>
          <w14:ligatures w14:val="standardContextual"/>
        </w:rPr>
        <w:t xml:space="preserve"> </w:t>
      </w:r>
      <w:r>
        <w:rPr>
          <w:color w:val="000000"/>
          <w:kern w:val="2"/>
          <w:sz w:val="24"/>
          <w:lang w:eastAsia="hr-HR"/>
          <w14:ligatures w14:val="standardContextual"/>
        </w:rPr>
        <w:t>U okviru poziva, za svih pet vrsta vaučera</w:t>
      </w:r>
      <w:r w:rsidRPr="0074120B">
        <w:rPr>
          <w:color w:val="000000"/>
          <w:kern w:val="2"/>
          <w:sz w:val="24"/>
          <w:lang w:eastAsia="hr-HR"/>
          <w14:ligatures w14:val="standardContextual"/>
        </w:rPr>
        <w:t xml:space="preserve"> zaprimljeno je 1.605 prijava ukupne vrijednosti zatražene potpore od 8,8 milijuna eura, a do kraja 2024. godine s korisnicima je potpisano 849 ugovora o dodjeli vaučera u ukupnom iznosu od 3,8 milijuna eura bespovratnih sredstava.</w:t>
      </w:r>
      <w:r w:rsidRPr="00301C72">
        <w:rPr>
          <w:color w:val="000000"/>
          <w:kern w:val="2"/>
          <w:sz w:val="24"/>
          <w:lang w:eastAsia="hr-HR"/>
          <w14:ligatures w14:val="standardContextual"/>
        </w:rPr>
        <w:t xml:space="preserve"> </w:t>
      </w:r>
    </w:p>
    <w:p w14:paraId="60413E2E" w14:textId="77777777" w:rsidR="00FB178A" w:rsidRPr="00301C72" w:rsidRDefault="00FB178A" w:rsidP="00FB178A">
      <w:pPr>
        <w:widowControl/>
        <w:autoSpaceDE/>
        <w:autoSpaceDN/>
        <w:spacing w:after="227" w:line="276" w:lineRule="auto"/>
        <w:jc w:val="both"/>
        <w:rPr>
          <w:color w:val="000000"/>
          <w:kern w:val="2"/>
          <w:sz w:val="24"/>
          <w:lang w:eastAsia="hr-HR"/>
          <w14:ligatures w14:val="standardContextual"/>
        </w:rPr>
      </w:pPr>
      <w:r>
        <w:rPr>
          <w:color w:val="000000"/>
          <w:kern w:val="2"/>
          <w:sz w:val="24"/>
          <w:lang w:eastAsia="hr-HR"/>
          <w14:ligatures w14:val="standardContextual"/>
        </w:rPr>
        <w:t>S obzirom na manji broj projekata ugovorenih u prethodnom pozivu, u rujnu 2024. objavljen je novi poziv „</w:t>
      </w:r>
      <w:r w:rsidRPr="00301C72">
        <w:rPr>
          <w:color w:val="000000"/>
          <w:kern w:val="2"/>
          <w:sz w:val="24"/>
          <w:lang w:eastAsia="hr-HR"/>
          <w14:ligatures w14:val="standardContextual"/>
        </w:rPr>
        <w:t>Potpora poduzećima za tranziciju na energetski i resursno učinkovito gospodarstvo</w:t>
      </w:r>
      <w:r>
        <w:rPr>
          <w:color w:val="000000"/>
          <w:kern w:val="2"/>
          <w:sz w:val="24"/>
          <w:lang w:eastAsia="hr-HR"/>
          <w14:ligatures w14:val="standardContextual"/>
        </w:rPr>
        <w:t>“ (</w:t>
      </w:r>
      <w:proofErr w:type="spellStart"/>
      <w:r w:rsidRPr="00334232">
        <w:rPr>
          <w:color w:val="000000"/>
          <w:kern w:val="2"/>
          <w:sz w:val="24"/>
          <w:lang w:eastAsia="hr-HR"/>
          <w14:ligatures w14:val="standardContextual"/>
        </w:rPr>
        <w:t>ref</w:t>
      </w:r>
      <w:proofErr w:type="spellEnd"/>
      <w:r>
        <w:rPr>
          <w:color w:val="000000"/>
          <w:kern w:val="2"/>
          <w:sz w:val="24"/>
          <w:lang w:eastAsia="hr-HR"/>
          <w14:ligatures w14:val="standardContextual"/>
        </w:rPr>
        <w:t>.</w:t>
      </w:r>
      <w:r w:rsidRPr="00334232">
        <w:rPr>
          <w:color w:val="000000"/>
          <w:kern w:val="2"/>
          <w:sz w:val="24"/>
          <w:lang w:eastAsia="hr-HR"/>
          <w14:ligatures w14:val="standardContextual"/>
        </w:rPr>
        <w:t xml:space="preserve"> bro</w:t>
      </w:r>
      <w:r>
        <w:rPr>
          <w:color w:val="000000"/>
          <w:kern w:val="2"/>
          <w:sz w:val="24"/>
          <w:lang w:eastAsia="hr-HR"/>
          <w14:ligatures w14:val="standardContextual"/>
        </w:rPr>
        <w:t xml:space="preserve">j </w:t>
      </w:r>
      <w:r w:rsidRPr="00334232">
        <w:rPr>
          <w:color w:val="000000"/>
          <w:kern w:val="2"/>
          <w:sz w:val="24"/>
          <w:lang w:eastAsia="hr-HR"/>
          <w14:ligatures w14:val="standardContextual"/>
        </w:rPr>
        <w:t>C1.1.1.R4-I1.02</w:t>
      </w:r>
      <w:r>
        <w:rPr>
          <w:color w:val="000000"/>
          <w:kern w:val="2"/>
          <w:sz w:val="24"/>
          <w:lang w:eastAsia="hr-HR"/>
          <w14:ligatures w14:val="standardContextual"/>
        </w:rPr>
        <w:t xml:space="preserve">). Na poziv je do kraja 2024. zaprimljeno </w:t>
      </w:r>
      <w:r w:rsidRPr="00EE6BD0">
        <w:rPr>
          <w:color w:val="000000"/>
          <w:kern w:val="2"/>
          <w:sz w:val="24"/>
          <w:lang w:eastAsia="hr-HR"/>
          <w14:ligatures w14:val="standardContextual"/>
        </w:rPr>
        <w:t>167 projektnih prijedloga ukupne vrijednosti 232,8 milijuna eura, uz zatraženu</w:t>
      </w:r>
      <w:r>
        <w:rPr>
          <w:color w:val="000000"/>
          <w:kern w:val="2"/>
          <w:sz w:val="24"/>
          <w:lang w:eastAsia="hr-HR"/>
          <w14:ligatures w14:val="standardContextual"/>
        </w:rPr>
        <w:t xml:space="preserve"> vrijednost</w:t>
      </w:r>
      <w:r w:rsidRPr="00EE6BD0">
        <w:rPr>
          <w:color w:val="000000"/>
          <w:kern w:val="2"/>
          <w:sz w:val="24"/>
          <w:lang w:eastAsia="hr-HR"/>
          <w14:ligatures w14:val="standardContextual"/>
        </w:rPr>
        <w:t xml:space="preserve"> potpor</w:t>
      </w:r>
      <w:r>
        <w:rPr>
          <w:color w:val="000000"/>
          <w:kern w:val="2"/>
          <w:sz w:val="24"/>
          <w:lang w:eastAsia="hr-HR"/>
          <w14:ligatures w14:val="standardContextual"/>
        </w:rPr>
        <w:t>e</w:t>
      </w:r>
      <w:r w:rsidRPr="00EE6BD0">
        <w:rPr>
          <w:color w:val="000000"/>
          <w:kern w:val="2"/>
          <w:sz w:val="24"/>
          <w:lang w:eastAsia="hr-HR"/>
          <w14:ligatures w14:val="standardContextual"/>
        </w:rPr>
        <w:t xml:space="preserve"> od 113,3 milijuna eura</w:t>
      </w:r>
      <w:r>
        <w:rPr>
          <w:color w:val="000000"/>
          <w:kern w:val="2"/>
          <w:sz w:val="24"/>
          <w:lang w:eastAsia="hr-HR"/>
          <w14:ligatures w14:val="standardContextual"/>
        </w:rPr>
        <w:t>. Tijekom 2024. provedena je procedura ocjenjivanja zaprimljenih prijedloga te je s</w:t>
      </w:r>
      <w:r w:rsidRPr="00EE6BD0">
        <w:rPr>
          <w:color w:val="000000"/>
          <w:kern w:val="2"/>
          <w:sz w:val="24"/>
          <w:lang w:eastAsia="hr-HR"/>
          <w14:ligatures w14:val="standardContextual"/>
        </w:rPr>
        <w:t xml:space="preserve"> korisnicima</w:t>
      </w:r>
      <w:r>
        <w:rPr>
          <w:color w:val="000000"/>
          <w:kern w:val="2"/>
          <w:sz w:val="24"/>
          <w:lang w:eastAsia="hr-HR"/>
          <w14:ligatures w14:val="standardContextual"/>
        </w:rPr>
        <w:t xml:space="preserve"> do kraja 2024.</w:t>
      </w:r>
      <w:r w:rsidRPr="00EE6BD0">
        <w:rPr>
          <w:color w:val="000000"/>
          <w:kern w:val="2"/>
          <w:sz w:val="24"/>
          <w:lang w:eastAsia="hr-HR"/>
          <w14:ligatures w14:val="standardContextual"/>
        </w:rPr>
        <w:t xml:space="preserve"> potpisano 122 ugovora ukupne vrijednosti 166,4 milijuna eura, s odobrenom </w:t>
      </w:r>
      <w:r>
        <w:rPr>
          <w:color w:val="000000"/>
          <w:kern w:val="2"/>
          <w:sz w:val="24"/>
          <w:lang w:eastAsia="hr-HR"/>
          <w14:ligatures w14:val="standardContextual"/>
        </w:rPr>
        <w:t xml:space="preserve">dodjelom </w:t>
      </w:r>
      <w:r w:rsidRPr="00EE6BD0">
        <w:rPr>
          <w:color w:val="000000"/>
          <w:kern w:val="2"/>
          <w:sz w:val="24"/>
          <w:lang w:eastAsia="hr-HR"/>
          <w14:ligatures w14:val="standardContextual"/>
        </w:rPr>
        <w:t>bespovratn</w:t>
      </w:r>
      <w:r>
        <w:rPr>
          <w:color w:val="000000"/>
          <w:kern w:val="2"/>
          <w:sz w:val="24"/>
          <w:lang w:eastAsia="hr-HR"/>
          <w14:ligatures w14:val="standardContextual"/>
        </w:rPr>
        <w:t>ih sredstava u iznosu</w:t>
      </w:r>
      <w:r w:rsidRPr="00EE6BD0">
        <w:rPr>
          <w:color w:val="000000"/>
          <w:kern w:val="2"/>
          <w:sz w:val="24"/>
          <w:lang w:eastAsia="hr-HR"/>
          <w14:ligatures w14:val="standardContextual"/>
        </w:rPr>
        <w:t xml:space="preserve"> od 82,1 milijun eura.</w:t>
      </w:r>
      <w:r>
        <w:rPr>
          <w:color w:val="000000"/>
          <w:kern w:val="2"/>
          <w:sz w:val="24"/>
          <w:lang w:eastAsia="hr-HR"/>
          <w14:ligatures w14:val="standardContextual"/>
        </w:rPr>
        <w:t xml:space="preserve"> Provedbom projekata </w:t>
      </w:r>
      <w:r w:rsidRPr="00FB6941">
        <w:rPr>
          <w:color w:val="000000"/>
          <w:kern w:val="2"/>
          <w:sz w:val="24"/>
          <w:lang w:eastAsia="hr-HR"/>
          <w14:ligatures w14:val="standardContextual"/>
        </w:rPr>
        <w:t xml:space="preserve">osigurava </w:t>
      </w:r>
      <w:r>
        <w:rPr>
          <w:color w:val="000000"/>
          <w:kern w:val="2"/>
          <w:sz w:val="24"/>
          <w:lang w:eastAsia="hr-HR"/>
          <w14:ligatures w14:val="standardContextual"/>
        </w:rPr>
        <w:t xml:space="preserve">se </w:t>
      </w:r>
      <w:r w:rsidRPr="00FB6941">
        <w:rPr>
          <w:color w:val="000000"/>
          <w:kern w:val="2"/>
          <w:sz w:val="24"/>
          <w:lang w:eastAsia="hr-HR"/>
          <w14:ligatures w14:val="standardContextual"/>
        </w:rPr>
        <w:t xml:space="preserve">nastavak ulaganja u zelenu tranziciju hrvatskog gospodarstva te poticanje proizvodnih poduzeća na </w:t>
      </w:r>
      <w:r>
        <w:rPr>
          <w:color w:val="000000"/>
          <w:kern w:val="2"/>
          <w:sz w:val="24"/>
          <w:lang w:eastAsia="hr-HR"/>
          <w14:ligatures w14:val="standardContextual"/>
        </w:rPr>
        <w:t xml:space="preserve">jačanje </w:t>
      </w:r>
      <w:r w:rsidRPr="00FB6941">
        <w:rPr>
          <w:color w:val="000000"/>
          <w:kern w:val="2"/>
          <w:sz w:val="24"/>
          <w:lang w:eastAsia="hr-HR"/>
          <w14:ligatures w14:val="standardContextual"/>
        </w:rPr>
        <w:t>energetsk</w:t>
      </w:r>
      <w:r>
        <w:rPr>
          <w:color w:val="000000"/>
          <w:kern w:val="2"/>
          <w:sz w:val="24"/>
          <w:lang w:eastAsia="hr-HR"/>
          <w14:ligatures w14:val="standardContextual"/>
        </w:rPr>
        <w:t>e</w:t>
      </w:r>
      <w:r w:rsidRPr="00FB6941">
        <w:rPr>
          <w:color w:val="000000"/>
          <w:kern w:val="2"/>
          <w:sz w:val="24"/>
          <w:lang w:eastAsia="hr-HR"/>
          <w14:ligatures w14:val="standardContextual"/>
        </w:rPr>
        <w:t xml:space="preserve"> i resursn</w:t>
      </w:r>
      <w:r>
        <w:rPr>
          <w:color w:val="000000"/>
          <w:kern w:val="2"/>
          <w:sz w:val="24"/>
          <w:lang w:eastAsia="hr-HR"/>
          <w14:ligatures w14:val="standardContextual"/>
        </w:rPr>
        <w:t>e</w:t>
      </w:r>
      <w:r w:rsidRPr="00FB6941">
        <w:rPr>
          <w:color w:val="000000"/>
          <w:kern w:val="2"/>
          <w:sz w:val="24"/>
          <w:lang w:eastAsia="hr-HR"/>
          <w14:ligatures w14:val="standardContextual"/>
        </w:rPr>
        <w:t xml:space="preserve"> učinkovitost</w:t>
      </w:r>
      <w:r>
        <w:rPr>
          <w:color w:val="000000"/>
          <w:kern w:val="2"/>
          <w:sz w:val="24"/>
          <w:lang w:eastAsia="hr-HR"/>
          <w14:ligatures w14:val="standardContextual"/>
        </w:rPr>
        <w:t>i</w:t>
      </w:r>
      <w:r w:rsidRPr="00FB6941">
        <w:rPr>
          <w:color w:val="000000"/>
          <w:kern w:val="2"/>
          <w:sz w:val="24"/>
          <w:lang w:eastAsia="hr-HR"/>
          <w14:ligatures w14:val="standardContextual"/>
        </w:rPr>
        <w:t>, čime se jača njihov</w:t>
      </w:r>
      <w:r>
        <w:rPr>
          <w:color w:val="000000"/>
          <w:kern w:val="2"/>
          <w:sz w:val="24"/>
          <w:lang w:eastAsia="hr-HR"/>
          <w14:ligatures w14:val="standardContextual"/>
        </w:rPr>
        <w:t xml:space="preserve">a konkurentnost i </w:t>
      </w:r>
      <w:r w:rsidRPr="00FB6941">
        <w:rPr>
          <w:color w:val="000000"/>
          <w:kern w:val="2"/>
          <w:sz w:val="24"/>
          <w:lang w:eastAsia="hr-HR"/>
          <w14:ligatures w14:val="standardContextual"/>
        </w:rPr>
        <w:t>doprinos</w:t>
      </w:r>
      <w:r>
        <w:rPr>
          <w:color w:val="000000"/>
          <w:kern w:val="2"/>
          <w:sz w:val="24"/>
          <w:lang w:eastAsia="hr-HR"/>
          <w14:ligatures w14:val="standardContextual"/>
        </w:rPr>
        <w:t>i</w:t>
      </w:r>
      <w:r w:rsidRPr="00FB6941">
        <w:rPr>
          <w:color w:val="000000"/>
          <w:kern w:val="2"/>
          <w:sz w:val="24"/>
          <w:lang w:eastAsia="hr-HR"/>
          <w14:ligatures w14:val="standardContextual"/>
        </w:rPr>
        <w:t xml:space="preserve"> ostvarivanju okolišnih ciljeva.</w:t>
      </w:r>
    </w:p>
    <w:p w14:paraId="41FB53B0" w14:textId="77777777" w:rsidR="00FB178A" w:rsidRPr="00301C72" w:rsidRDefault="00FB178A" w:rsidP="00FB178A">
      <w:pPr>
        <w:widowControl/>
        <w:autoSpaceDE/>
        <w:autoSpaceDN/>
        <w:spacing w:after="244" w:line="276" w:lineRule="auto"/>
        <w:jc w:val="both"/>
        <w:rPr>
          <w:color w:val="000000"/>
          <w:kern w:val="2"/>
          <w:sz w:val="24"/>
          <w:szCs w:val="24"/>
          <w:lang w:eastAsia="hr-HR"/>
          <w14:ligatures w14:val="standardContextual"/>
        </w:rPr>
      </w:pPr>
      <w:r w:rsidRPr="110446BC">
        <w:rPr>
          <w:color w:val="000000"/>
          <w:kern w:val="2"/>
          <w:sz w:val="24"/>
          <w:szCs w:val="24"/>
          <w:lang w:eastAsia="hr-HR"/>
          <w14:ligatures w14:val="standardContextual"/>
        </w:rPr>
        <w:t xml:space="preserve">Tijekom 2024. godine nastavljena je provedba projekata ugovorenih u okviru ranije objavljenih poziva usmjerenih na poticanje razvoja inovacija, njihovu komercijalizaciju te digitalnu transformaciju mikro, malih i srednjih poduzeća. Time se podupire jačanje konkurentnosti gospodarstva kroz ulaganja u nove tehnologije, razvoj proizvoda i usluga visoke dodane vrijednosti te ubrzano usvajanje digitalnih rješenja. Pozivom „Bespovratne potpore za novoosnovana poduzeća“ financira se 149 ugovora (ukupna vrijednost 25,8 milijuna eura, dodijeljene bespovratne potpore 16,9 milijuna eura), pozivom „Komercijalizacija inovacija“ financira se 125 ugovora (ukupna vrijednost 122 milijuna eura, dodijeljene bespovratne potpore 50,4 milijuna eura) i pozivom „Bespovratne potpore za digitalizaciju“ financira se 481 ugovor (ukupna vrijednost 59 milijuna eura, dodijeljene bespovratne potpora 27,4 milijuna eura). Provedbom projekata u okviru navedenih poziva izravno se doprinosi jačanju inovacijskog </w:t>
      </w:r>
      <w:r w:rsidRPr="110446BC">
        <w:rPr>
          <w:color w:val="000000"/>
          <w:kern w:val="2"/>
          <w:sz w:val="24"/>
          <w:szCs w:val="24"/>
          <w:lang w:eastAsia="hr-HR"/>
          <w14:ligatures w14:val="standardContextual"/>
        </w:rPr>
        <w:lastRenderedPageBreak/>
        <w:t>ekosustava i digitalnoj tranziciji gospodarstva, povećavajući otpornost i dugoročnu konkurentnost hrvatskih poduzeća na domaćem i međunarodnom tržištu.</w:t>
      </w:r>
    </w:p>
    <w:p w14:paraId="61C64CC5" w14:textId="77777777" w:rsidR="00FB178A" w:rsidRPr="002D3054" w:rsidRDefault="00FB178A" w:rsidP="00FB178A">
      <w:pPr>
        <w:widowControl/>
        <w:autoSpaceDE/>
        <w:autoSpaceDN/>
        <w:spacing w:after="244" w:line="276" w:lineRule="auto"/>
        <w:jc w:val="both"/>
        <w:rPr>
          <w:color w:val="000000"/>
          <w:kern w:val="2"/>
          <w:sz w:val="24"/>
          <w:szCs w:val="24"/>
          <w:lang w:eastAsia="hr-HR"/>
          <w14:ligatures w14:val="standardContextual"/>
        </w:rPr>
      </w:pPr>
      <w:r w:rsidRPr="3CC69C9C">
        <w:rPr>
          <w:color w:val="000000"/>
          <w:kern w:val="2"/>
          <w:sz w:val="24"/>
          <w:szCs w:val="24"/>
          <w:lang w:eastAsia="hr-HR"/>
          <w14:ligatures w14:val="standardContextual"/>
        </w:rPr>
        <w:t xml:space="preserve">Kako bi se poboljšali uvjeti financiranja investicijskih projekata i potaknuo rast poslovanja gospodarskih subjekata, u okviru NPOO komponente C1.1. „Otporno, zeleno i digitalno gospodarstvo“ tijekom 2024. zaključeni su sporazumi o provedbi četiri nova NPOO financijska instrumenta: 1. Instrument za mikro, mala i srednja poduzeća (provode HBOR i HAMAG-BICRO; alokacija 146 milijuna eura); 2. Instrument za srednje tržišne kapitalizirane i velike poduzeća (provodi HBOR; alokacija 106,18 milijuna eura); 3. Instrument za subjekte javnog sektora (provodi HBOR; alokacija 26,54 milijuna eura); 4. Instrument za ulaganja u vlasničko i </w:t>
      </w:r>
      <w:proofErr w:type="spellStart"/>
      <w:r w:rsidRPr="3CC69C9C">
        <w:rPr>
          <w:color w:val="000000"/>
          <w:kern w:val="2"/>
          <w:sz w:val="24"/>
          <w:szCs w:val="24"/>
          <w:lang w:eastAsia="hr-HR"/>
          <w14:ligatures w14:val="standardContextual"/>
        </w:rPr>
        <w:t>kvazi</w:t>
      </w:r>
      <w:proofErr w:type="spellEnd"/>
      <w:r w:rsidRPr="3CC69C9C">
        <w:rPr>
          <w:color w:val="000000"/>
          <w:kern w:val="2"/>
          <w:sz w:val="24"/>
          <w:szCs w:val="24"/>
          <w:lang w:eastAsia="hr-HR"/>
          <w14:ligatures w14:val="standardContextual"/>
        </w:rPr>
        <w:t>-vlasničko financiranje (provodi HBOR; alokacija 29,86 milijuna eura). Od početka provedbe HAMAG-BICRO je u okviru NPOO financijskih instrumenata do kraja 2024. osigurao 591 kredit mikro, malim i srednjim poduzetnicima, dok je HBOR odobrio 114 kredita i subvencija kamata za mikro, male i srednje poduzetnike. Na ovaj način gospodarskim subjektima su osigurane konkretne mogućnosti financiranja, od izravnih mikro kredita do subvencioniranja kamata za kredite većih iznosa i ulaganja u vlasničke instrumente za poticanje investicija i digitalnu transformaciju poslovanja.</w:t>
      </w:r>
    </w:p>
    <w:p w14:paraId="0F7C0680" w14:textId="77777777" w:rsidR="00FB178A" w:rsidRPr="00145379" w:rsidRDefault="00FB178A" w:rsidP="00FB178A">
      <w:pPr>
        <w:widowControl/>
        <w:autoSpaceDE/>
        <w:autoSpaceDN/>
        <w:spacing w:after="158" w:line="259" w:lineRule="auto"/>
        <w:rPr>
          <w:rFonts w:eastAsia="Calibri"/>
          <w:b/>
          <w:bCs/>
          <w:kern w:val="2"/>
          <w:sz w:val="24"/>
          <w:szCs w:val="24"/>
        </w:rPr>
      </w:pPr>
      <w:r>
        <w:rPr>
          <w:rFonts w:eastAsia="Calibri"/>
          <w:kern w:val="2"/>
          <w:sz w:val="24"/>
          <w:szCs w:val="24"/>
        </w:rPr>
        <w:tab/>
      </w:r>
      <w:r w:rsidRPr="00145379">
        <w:rPr>
          <w:rFonts w:eastAsia="Calibri"/>
          <w:b/>
          <w:bCs/>
          <w:kern w:val="2"/>
          <w:sz w:val="24"/>
          <w:szCs w:val="24"/>
        </w:rPr>
        <w:t>Razvoj poduzetništva i obrta</w:t>
      </w:r>
    </w:p>
    <w:p w14:paraId="24120351" w14:textId="77777777" w:rsidR="00FB178A" w:rsidRDefault="00FB178A" w:rsidP="00FB178A">
      <w:pPr>
        <w:widowControl/>
        <w:autoSpaceDE/>
        <w:autoSpaceDN/>
        <w:spacing w:after="216" w:line="276" w:lineRule="auto"/>
        <w:ind w:firstLine="720"/>
        <w:jc w:val="both"/>
        <w:rPr>
          <w:color w:val="000000"/>
          <w:kern w:val="2"/>
          <w:sz w:val="24"/>
          <w:lang w:eastAsia="hr-HR"/>
          <w14:ligatures w14:val="standardContextual"/>
        </w:rPr>
      </w:pPr>
      <w:r w:rsidRPr="008D1CC9">
        <w:rPr>
          <w:color w:val="000000"/>
          <w:kern w:val="2"/>
          <w:sz w:val="24"/>
          <w:lang w:eastAsia="hr-HR"/>
          <w14:ligatures w14:val="standardContextual"/>
        </w:rPr>
        <w:t xml:space="preserve">Prema podacima FINA-e, hrvatsko je poduzetništvo u 2024. </w:t>
      </w:r>
      <w:r>
        <w:rPr>
          <w:color w:val="000000"/>
          <w:kern w:val="2"/>
          <w:sz w:val="24"/>
          <w:lang w:eastAsia="hr-HR"/>
          <w14:ligatures w14:val="standardContextual"/>
        </w:rPr>
        <w:t>za</w:t>
      </w:r>
      <w:r w:rsidRPr="008D1CC9">
        <w:rPr>
          <w:color w:val="000000"/>
          <w:kern w:val="2"/>
          <w:sz w:val="24"/>
          <w:lang w:eastAsia="hr-HR"/>
          <w14:ligatures w14:val="standardContextual"/>
        </w:rPr>
        <w:t>bilježilo rast broja poduzetnika</w:t>
      </w:r>
      <w:r>
        <w:rPr>
          <w:color w:val="000000"/>
          <w:kern w:val="2"/>
          <w:sz w:val="24"/>
          <w:lang w:eastAsia="hr-HR"/>
          <w14:ligatures w14:val="standardContextual"/>
        </w:rPr>
        <w:t xml:space="preserve"> (3,8%)</w:t>
      </w:r>
      <w:r w:rsidRPr="008D1CC9">
        <w:rPr>
          <w:color w:val="000000"/>
          <w:kern w:val="2"/>
          <w:sz w:val="24"/>
          <w:lang w:eastAsia="hr-HR"/>
          <w14:ligatures w14:val="standardContextual"/>
        </w:rPr>
        <w:t>, poslovnih prihoda</w:t>
      </w:r>
      <w:r>
        <w:rPr>
          <w:color w:val="000000"/>
          <w:kern w:val="2"/>
          <w:sz w:val="24"/>
          <w:lang w:eastAsia="hr-HR"/>
          <w14:ligatures w14:val="standardContextual"/>
        </w:rPr>
        <w:t xml:space="preserve"> (6,2%)</w:t>
      </w:r>
      <w:r w:rsidRPr="008D1CC9">
        <w:rPr>
          <w:color w:val="000000"/>
          <w:kern w:val="2"/>
          <w:sz w:val="24"/>
          <w:lang w:eastAsia="hr-HR"/>
          <w14:ligatures w14:val="standardContextual"/>
        </w:rPr>
        <w:t>, dobiti</w:t>
      </w:r>
      <w:r>
        <w:rPr>
          <w:color w:val="000000"/>
          <w:kern w:val="2"/>
          <w:sz w:val="24"/>
          <w:lang w:eastAsia="hr-HR"/>
          <w14:ligatures w14:val="standardContextual"/>
        </w:rPr>
        <w:t xml:space="preserve"> (14,6%)</w:t>
      </w:r>
      <w:r w:rsidRPr="008D1CC9">
        <w:rPr>
          <w:color w:val="000000"/>
          <w:kern w:val="2"/>
          <w:sz w:val="24"/>
          <w:lang w:eastAsia="hr-HR"/>
          <w14:ligatures w14:val="standardContextual"/>
        </w:rPr>
        <w:t xml:space="preserve"> i isplaćenih plaća</w:t>
      </w:r>
      <w:r>
        <w:rPr>
          <w:color w:val="000000"/>
          <w:kern w:val="2"/>
          <w:sz w:val="24"/>
          <w:lang w:eastAsia="hr-HR"/>
          <w14:ligatures w14:val="standardContextual"/>
        </w:rPr>
        <w:t xml:space="preserve"> (14,1%)</w:t>
      </w:r>
      <w:r w:rsidRPr="008D1CC9">
        <w:rPr>
          <w:color w:val="000000"/>
          <w:kern w:val="2"/>
          <w:sz w:val="24"/>
          <w:lang w:eastAsia="hr-HR"/>
          <w14:ligatures w14:val="standardContextual"/>
        </w:rPr>
        <w:t xml:space="preserve">, što potvrđuje </w:t>
      </w:r>
      <w:r>
        <w:rPr>
          <w:color w:val="000000"/>
          <w:kern w:val="2"/>
          <w:sz w:val="24"/>
          <w:lang w:eastAsia="hr-HR"/>
          <w14:ligatures w14:val="standardContextual"/>
        </w:rPr>
        <w:t xml:space="preserve">nastavak </w:t>
      </w:r>
      <w:r w:rsidRPr="008D1CC9">
        <w:rPr>
          <w:color w:val="000000"/>
          <w:kern w:val="2"/>
          <w:sz w:val="24"/>
          <w:lang w:eastAsia="hr-HR"/>
          <w14:ligatures w14:val="standardContextual"/>
        </w:rPr>
        <w:t>pozitivn</w:t>
      </w:r>
      <w:r>
        <w:rPr>
          <w:color w:val="000000"/>
          <w:kern w:val="2"/>
          <w:sz w:val="24"/>
          <w:lang w:eastAsia="hr-HR"/>
          <w14:ligatures w14:val="standardContextual"/>
        </w:rPr>
        <w:t>ih</w:t>
      </w:r>
      <w:r w:rsidRPr="008D1CC9">
        <w:rPr>
          <w:color w:val="000000"/>
          <w:kern w:val="2"/>
          <w:sz w:val="24"/>
          <w:lang w:eastAsia="hr-HR"/>
          <w14:ligatures w14:val="standardContextual"/>
        </w:rPr>
        <w:t xml:space="preserve"> trendov</w:t>
      </w:r>
      <w:r>
        <w:rPr>
          <w:color w:val="000000"/>
          <w:kern w:val="2"/>
          <w:sz w:val="24"/>
          <w:lang w:eastAsia="hr-HR"/>
          <w14:ligatures w14:val="standardContextual"/>
        </w:rPr>
        <w:t>a</w:t>
      </w:r>
      <w:r w:rsidRPr="008D1CC9">
        <w:rPr>
          <w:color w:val="000000"/>
          <w:kern w:val="2"/>
          <w:sz w:val="24"/>
          <w:lang w:eastAsia="hr-HR"/>
          <w14:ligatures w14:val="standardContextual"/>
        </w:rPr>
        <w:t xml:space="preserve"> u </w:t>
      </w:r>
      <w:r>
        <w:rPr>
          <w:color w:val="000000"/>
          <w:kern w:val="2"/>
          <w:sz w:val="24"/>
          <w:lang w:eastAsia="hr-HR"/>
          <w14:ligatures w14:val="standardContextual"/>
        </w:rPr>
        <w:t>poduzetništvu i</w:t>
      </w:r>
      <w:r w:rsidRPr="008D1CC9">
        <w:rPr>
          <w:color w:val="000000"/>
          <w:kern w:val="2"/>
          <w:sz w:val="24"/>
          <w:lang w:eastAsia="hr-HR"/>
          <w14:ligatures w14:val="standardContextual"/>
        </w:rPr>
        <w:t xml:space="preserve"> u</w:t>
      </w:r>
      <w:r>
        <w:rPr>
          <w:color w:val="000000"/>
          <w:kern w:val="2"/>
          <w:sz w:val="24"/>
          <w:lang w:eastAsia="hr-HR"/>
          <w14:ligatures w14:val="standardContextual"/>
        </w:rPr>
        <w:t>kazuje</w:t>
      </w:r>
      <w:r w:rsidRPr="008D1CC9">
        <w:rPr>
          <w:color w:val="000000"/>
          <w:kern w:val="2"/>
          <w:sz w:val="24"/>
          <w:lang w:eastAsia="hr-HR"/>
          <w14:ligatures w14:val="standardContextual"/>
        </w:rPr>
        <w:t xml:space="preserve"> na jačanje konkurentnosti, otpornosti i inovacijskog potencijala hrvatskog gospodarstva.</w:t>
      </w:r>
      <w:r w:rsidRPr="00720FF9">
        <w:rPr>
          <w:color w:val="000000"/>
          <w:kern w:val="2"/>
          <w:sz w:val="24"/>
          <w:lang w:eastAsia="hr-HR"/>
          <w14:ligatures w14:val="standardContextual"/>
        </w:rPr>
        <w:t xml:space="preserve"> </w:t>
      </w:r>
      <w:r>
        <w:rPr>
          <w:color w:val="000000"/>
          <w:kern w:val="2"/>
          <w:sz w:val="24"/>
          <w:lang w:eastAsia="hr-HR"/>
          <w14:ligatures w14:val="standardContextual"/>
        </w:rPr>
        <w:t xml:space="preserve">U Hrvatskoj </w:t>
      </w:r>
      <w:r w:rsidRPr="00720FF9">
        <w:rPr>
          <w:color w:val="000000"/>
          <w:kern w:val="2"/>
          <w:sz w:val="24"/>
          <w:lang w:eastAsia="hr-HR"/>
          <w14:ligatures w14:val="standardContextual"/>
        </w:rPr>
        <w:t xml:space="preserve">je </w:t>
      </w:r>
      <w:r>
        <w:rPr>
          <w:color w:val="000000"/>
          <w:kern w:val="2"/>
          <w:sz w:val="24"/>
          <w:lang w:eastAsia="hr-HR"/>
          <w14:ligatures w14:val="standardContextual"/>
        </w:rPr>
        <w:t xml:space="preserve">tijekom 2024. </w:t>
      </w:r>
      <w:r w:rsidRPr="00720FF9">
        <w:rPr>
          <w:color w:val="000000"/>
          <w:kern w:val="2"/>
          <w:sz w:val="24"/>
          <w:lang w:eastAsia="hr-HR"/>
          <w14:ligatures w14:val="standardContextual"/>
        </w:rPr>
        <w:t xml:space="preserve">poslovalo </w:t>
      </w:r>
      <w:r>
        <w:rPr>
          <w:color w:val="000000"/>
          <w:kern w:val="2"/>
          <w:sz w:val="24"/>
          <w:lang w:eastAsia="hr-HR"/>
          <w14:ligatures w14:val="standardContextual"/>
        </w:rPr>
        <w:t xml:space="preserve">ukupno </w:t>
      </w:r>
      <w:r w:rsidRPr="0004221B">
        <w:rPr>
          <w:color w:val="000000"/>
          <w:kern w:val="2"/>
          <w:sz w:val="24"/>
          <w:lang w:eastAsia="hr-HR"/>
          <w14:ligatures w14:val="standardContextual"/>
        </w:rPr>
        <w:t>162.135 poduzetnika</w:t>
      </w:r>
      <w:r>
        <w:rPr>
          <w:color w:val="000000"/>
          <w:kern w:val="2"/>
          <w:sz w:val="24"/>
          <w:lang w:eastAsia="hr-HR"/>
          <w14:ligatures w14:val="standardContextual"/>
        </w:rPr>
        <w:t xml:space="preserve"> (3,8% više u odnosu na 2023.), pri čemu</w:t>
      </w:r>
      <w:r w:rsidRPr="00720FF9">
        <w:rPr>
          <w:color w:val="000000"/>
          <w:kern w:val="2"/>
          <w:sz w:val="24"/>
          <w:lang w:eastAsia="hr-HR"/>
          <w14:ligatures w14:val="standardContextual"/>
        </w:rPr>
        <w:t xml:space="preserve"> </w:t>
      </w:r>
      <w:r>
        <w:rPr>
          <w:color w:val="000000"/>
          <w:kern w:val="2"/>
          <w:sz w:val="24"/>
          <w:lang w:eastAsia="hr-HR"/>
          <w14:ligatures w14:val="standardContextual"/>
        </w:rPr>
        <w:t xml:space="preserve">su </w:t>
      </w:r>
      <w:r w:rsidRPr="00720FF9">
        <w:rPr>
          <w:color w:val="000000"/>
          <w:kern w:val="2"/>
          <w:sz w:val="24"/>
          <w:lang w:eastAsia="hr-HR"/>
          <w14:ligatures w14:val="standardContextual"/>
        </w:rPr>
        <w:t>mikro poduzetnici</w:t>
      </w:r>
      <w:r>
        <w:rPr>
          <w:color w:val="000000"/>
          <w:kern w:val="2"/>
          <w:sz w:val="24"/>
          <w:lang w:eastAsia="hr-HR"/>
          <w14:ligatures w14:val="standardContextual"/>
        </w:rPr>
        <w:t xml:space="preserve"> </w:t>
      </w:r>
      <w:r w:rsidRPr="00720FF9">
        <w:rPr>
          <w:color w:val="000000"/>
          <w:kern w:val="2"/>
          <w:sz w:val="24"/>
          <w:lang w:eastAsia="hr-HR"/>
          <w14:ligatures w14:val="standardContextual"/>
        </w:rPr>
        <w:t xml:space="preserve">činili </w:t>
      </w:r>
      <w:r>
        <w:rPr>
          <w:color w:val="000000"/>
          <w:kern w:val="2"/>
          <w:sz w:val="24"/>
          <w:lang w:eastAsia="hr-HR"/>
          <w14:ligatures w14:val="standardContextual"/>
        </w:rPr>
        <w:t>87,7% (</w:t>
      </w:r>
      <w:r w:rsidRPr="0004221B">
        <w:rPr>
          <w:color w:val="000000"/>
          <w:kern w:val="2"/>
          <w:sz w:val="24"/>
          <w:lang w:eastAsia="hr-HR"/>
          <w14:ligatures w14:val="standardContextual"/>
        </w:rPr>
        <w:t>142.258</w:t>
      </w:r>
      <w:r>
        <w:rPr>
          <w:color w:val="000000"/>
          <w:kern w:val="2"/>
          <w:sz w:val="24"/>
          <w:lang w:eastAsia="hr-HR"/>
          <w14:ligatures w14:val="standardContextual"/>
        </w:rPr>
        <w:t>)</w:t>
      </w:r>
      <w:r w:rsidRPr="00720FF9">
        <w:rPr>
          <w:color w:val="000000"/>
          <w:kern w:val="2"/>
          <w:sz w:val="24"/>
          <w:lang w:eastAsia="hr-HR"/>
          <w14:ligatures w14:val="standardContextual"/>
        </w:rPr>
        <w:t>, mali</w:t>
      </w:r>
      <w:r>
        <w:rPr>
          <w:color w:val="000000"/>
          <w:kern w:val="2"/>
          <w:sz w:val="24"/>
          <w:lang w:eastAsia="hr-HR"/>
          <w14:ligatures w14:val="standardContextual"/>
        </w:rPr>
        <w:t>h poduzetnika bilo je 10,6%</w:t>
      </w:r>
      <w:r w:rsidRPr="00720FF9">
        <w:rPr>
          <w:color w:val="000000"/>
          <w:kern w:val="2"/>
          <w:sz w:val="24"/>
          <w:lang w:eastAsia="hr-HR"/>
          <w14:ligatures w14:val="standardContextual"/>
        </w:rPr>
        <w:t xml:space="preserve"> </w:t>
      </w:r>
      <w:r>
        <w:rPr>
          <w:color w:val="000000"/>
          <w:kern w:val="2"/>
          <w:sz w:val="24"/>
          <w:lang w:eastAsia="hr-HR"/>
          <w14:ligatures w14:val="standardContextual"/>
        </w:rPr>
        <w:t>(</w:t>
      </w:r>
      <w:r w:rsidRPr="0004221B">
        <w:rPr>
          <w:color w:val="000000"/>
          <w:kern w:val="2"/>
          <w:sz w:val="24"/>
          <w:lang w:eastAsia="hr-HR"/>
          <w14:ligatures w14:val="standardContextual"/>
        </w:rPr>
        <w:t>17.228</w:t>
      </w:r>
      <w:r>
        <w:rPr>
          <w:color w:val="000000"/>
          <w:kern w:val="2"/>
          <w:sz w:val="24"/>
          <w:lang w:eastAsia="hr-HR"/>
          <w14:ligatures w14:val="standardContextual"/>
        </w:rPr>
        <w:t>)</w:t>
      </w:r>
      <w:r w:rsidRPr="00720FF9">
        <w:rPr>
          <w:color w:val="000000"/>
          <w:kern w:val="2"/>
          <w:sz w:val="24"/>
          <w:lang w:eastAsia="hr-HR"/>
          <w14:ligatures w14:val="standardContextual"/>
        </w:rPr>
        <w:t>, srednji</w:t>
      </w:r>
      <w:r>
        <w:rPr>
          <w:color w:val="000000"/>
          <w:kern w:val="2"/>
          <w:sz w:val="24"/>
          <w:lang w:eastAsia="hr-HR"/>
          <w14:ligatures w14:val="standardContextual"/>
        </w:rPr>
        <w:t>h</w:t>
      </w:r>
      <w:r w:rsidRPr="00720FF9">
        <w:rPr>
          <w:color w:val="000000"/>
          <w:kern w:val="2"/>
          <w:sz w:val="24"/>
          <w:lang w:eastAsia="hr-HR"/>
          <w14:ligatures w14:val="standardContextual"/>
        </w:rPr>
        <w:t xml:space="preserve"> </w:t>
      </w:r>
      <w:r>
        <w:rPr>
          <w:color w:val="000000"/>
          <w:kern w:val="2"/>
          <w:sz w:val="24"/>
          <w:lang w:eastAsia="hr-HR"/>
          <w14:ligatures w14:val="standardContextual"/>
        </w:rPr>
        <w:t>poduzetnika 1,3% (</w:t>
      </w:r>
      <w:r w:rsidRPr="0004221B">
        <w:rPr>
          <w:color w:val="000000"/>
          <w:kern w:val="2"/>
          <w:sz w:val="24"/>
          <w:lang w:eastAsia="hr-HR"/>
          <w14:ligatures w14:val="standardContextual"/>
        </w:rPr>
        <w:t>2.157</w:t>
      </w:r>
      <w:r>
        <w:rPr>
          <w:color w:val="000000"/>
          <w:kern w:val="2"/>
          <w:sz w:val="24"/>
          <w:lang w:eastAsia="hr-HR"/>
          <w14:ligatures w14:val="standardContextual"/>
        </w:rPr>
        <w:t>)</w:t>
      </w:r>
      <w:r w:rsidRPr="00720FF9">
        <w:rPr>
          <w:color w:val="000000"/>
          <w:kern w:val="2"/>
          <w:sz w:val="24"/>
          <w:lang w:eastAsia="hr-HR"/>
          <w14:ligatures w14:val="standardContextual"/>
        </w:rPr>
        <w:t>, a veliki</w:t>
      </w:r>
      <w:r>
        <w:rPr>
          <w:color w:val="000000"/>
          <w:kern w:val="2"/>
          <w:sz w:val="24"/>
          <w:lang w:eastAsia="hr-HR"/>
          <w14:ligatures w14:val="standardContextual"/>
        </w:rPr>
        <w:t>h poduzetnika 0,3% (</w:t>
      </w:r>
      <w:r w:rsidRPr="0004221B">
        <w:rPr>
          <w:color w:val="000000"/>
          <w:kern w:val="2"/>
          <w:sz w:val="24"/>
          <w:lang w:eastAsia="hr-HR"/>
          <w14:ligatures w14:val="standardContextual"/>
        </w:rPr>
        <w:t>492</w:t>
      </w:r>
      <w:r>
        <w:rPr>
          <w:color w:val="000000"/>
          <w:kern w:val="2"/>
          <w:sz w:val="24"/>
          <w:lang w:eastAsia="hr-HR"/>
          <w14:ligatures w14:val="standardContextual"/>
        </w:rPr>
        <w:t>)</w:t>
      </w:r>
      <w:r w:rsidRPr="00720FF9">
        <w:rPr>
          <w:color w:val="000000"/>
          <w:kern w:val="2"/>
          <w:sz w:val="24"/>
          <w:lang w:eastAsia="hr-HR"/>
          <w14:ligatures w14:val="standardContextual"/>
        </w:rPr>
        <w:t>.</w:t>
      </w:r>
      <w:r>
        <w:rPr>
          <w:color w:val="000000"/>
          <w:kern w:val="2"/>
          <w:sz w:val="24"/>
          <w:lang w:eastAsia="hr-HR"/>
          <w14:ligatures w14:val="standardContextual"/>
        </w:rPr>
        <w:t xml:space="preserve"> </w:t>
      </w:r>
      <w:r w:rsidRPr="0080493B">
        <w:rPr>
          <w:color w:val="000000"/>
          <w:kern w:val="2"/>
          <w:sz w:val="24"/>
          <w:lang w:eastAsia="hr-HR"/>
          <w14:ligatures w14:val="standardContextual"/>
        </w:rPr>
        <w:t>Prosječna mjesečna neto plaća zaposlenih kod poduzetnika iznosila je 1.171 euro</w:t>
      </w:r>
      <w:r>
        <w:rPr>
          <w:color w:val="000000"/>
          <w:kern w:val="2"/>
          <w:sz w:val="24"/>
          <w:lang w:eastAsia="hr-HR"/>
          <w14:ligatures w14:val="standardContextual"/>
        </w:rPr>
        <w:t>,</w:t>
      </w:r>
      <w:r w:rsidRPr="0080493B">
        <w:rPr>
          <w:color w:val="000000"/>
          <w:kern w:val="2"/>
          <w:sz w:val="24"/>
          <w:lang w:eastAsia="hr-HR"/>
          <w14:ligatures w14:val="standardContextual"/>
        </w:rPr>
        <w:t xml:space="preserve"> </w:t>
      </w:r>
      <w:r>
        <w:rPr>
          <w:color w:val="000000"/>
          <w:kern w:val="2"/>
          <w:sz w:val="24"/>
          <w:lang w:eastAsia="hr-HR"/>
          <w14:ligatures w14:val="standardContextual"/>
        </w:rPr>
        <w:t>uz</w:t>
      </w:r>
      <w:r w:rsidRPr="0080493B">
        <w:rPr>
          <w:color w:val="000000"/>
          <w:kern w:val="2"/>
          <w:sz w:val="24"/>
          <w:lang w:eastAsia="hr-HR"/>
          <w14:ligatures w14:val="standardContextual"/>
        </w:rPr>
        <w:t xml:space="preserve"> rast od 14,1% u o</w:t>
      </w:r>
      <w:r>
        <w:rPr>
          <w:color w:val="000000"/>
          <w:kern w:val="2"/>
          <w:sz w:val="24"/>
          <w:lang w:eastAsia="hr-HR"/>
          <w14:ligatures w14:val="standardContextual"/>
        </w:rPr>
        <w:t>dnosu na</w:t>
      </w:r>
      <w:r w:rsidRPr="0080493B">
        <w:rPr>
          <w:color w:val="000000"/>
          <w:kern w:val="2"/>
          <w:sz w:val="24"/>
          <w:lang w:eastAsia="hr-HR"/>
          <w14:ligatures w14:val="standardContextual"/>
        </w:rPr>
        <w:t xml:space="preserve"> 2023. (1.027 </w:t>
      </w:r>
      <w:r>
        <w:rPr>
          <w:color w:val="000000"/>
          <w:kern w:val="2"/>
          <w:sz w:val="24"/>
          <w:lang w:eastAsia="hr-HR"/>
          <w14:ligatures w14:val="standardContextual"/>
        </w:rPr>
        <w:t>eura</w:t>
      </w:r>
      <w:r w:rsidRPr="0080493B">
        <w:rPr>
          <w:color w:val="000000"/>
          <w:kern w:val="2"/>
          <w:sz w:val="24"/>
          <w:lang w:eastAsia="hr-HR"/>
          <w14:ligatures w14:val="standardContextual"/>
        </w:rPr>
        <w:t xml:space="preserve">). </w:t>
      </w:r>
      <w:r w:rsidRPr="00B1765F">
        <w:rPr>
          <w:color w:val="000000"/>
          <w:kern w:val="2"/>
          <w:sz w:val="24"/>
          <w:lang w:eastAsia="hr-HR"/>
          <w14:ligatures w14:val="standardContextual"/>
        </w:rPr>
        <w:t>Sve kategorije</w:t>
      </w:r>
      <w:r>
        <w:rPr>
          <w:color w:val="000000"/>
          <w:kern w:val="2"/>
          <w:sz w:val="24"/>
          <w:lang w:eastAsia="hr-HR"/>
          <w14:ligatures w14:val="standardContextual"/>
        </w:rPr>
        <w:t xml:space="preserve"> poduzetnika</w:t>
      </w:r>
      <w:r w:rsidRPr="00B1765F">
        <w:rPr>
          <w:color w:val="000000"/>
          <w:kern w:val="2"/>
          <w:sz w:val="24"/>
          <w:lang w:eastAsia="hr-HR"/>
          <w14:ligatures w14:val="standardContextual"/>
        </w:rPr>
        <w:t xml:space="preserve"> </w:t>
      </w:r>
      <w:r>
        <w:rPr>
          <w:color w:val="000000"/>
          <w:kern w:val="2"/>
          <w:sz w:val="24"/>
          <w:lang w:eastAsia="hr-HR"/>
          <w14:ligatures w14:val="standardContextual"/>
        </w:rPr>
        <w:t>ostvarile su</w:t>
      </w:r>
      <w:r w:rsidRPr="00B1765F">
        <w:rPr>
          <w:color w:val="000000"/>
          <w:kern w:val="2"/>
          <w:sz w:val="24"/>
          <w:lang w:eastAsia="hr-HR"/>
          <w14:ligatures w14:val="standardContextual"/>
        </w:rPr>
        <w:t xml:space="preserve"> </w:t>
      </w:r>
      <w:r>
        <w:rPr>
          <w:color w:val="000000"/>
          <w:kern w:val="2"/>
          <w:sz w:val="24"/>
          <w:lang w:eastAsia="hr-HR"/>
          <w14:ligatures w14:val="standardContextual"/>
        </w:rPr>
        <w:t xml:space="preserve">u 2024. </w:t>
      </w:r>
      <w:r w:rsidRPr="00B1765F">
        <w:rPr>
          <w:color w:val="000000"/>
          <w:kern w:val="2"/>
          <w:sz w:val="24"/>
          <w:lang w:eastAsia="hr-HR"/>
          <w14:ligatures w14:val="standardContextual"/>
        </w:rPr>
        <w:t xml:space="preserve">pozitivni neto rezultat, što </w:t>
      </w:r>
      <w:r>
        <w:rPr>
          <w:color w:val="000000"/>
          <w:kern w:val="2"/>
          <w:sz w:val="24"/>
          <w:lang w:eastAsia="hr-HR"/>
          <w14:ligatures w14:val="standardContextual"/>
        </w:rPr>
        <w:t xml:space="preserve">dodatno </w:t>
      </w:r>
      <w:r w:rsidRPr="00B1765F">
        <w:rPr>
          <w:color w:val="000000"/>
          <w:kern w:val="2"/>
          <w:sz w:val="24"/>
          <w:lang w:eastAsia="hr-HR"/>
          <w14:ligatures w14:val="standardContextual"/>
        </w:rPr>
        <w:t>potvrđuje povećanu otpornost</w:t>
      </w:r>
      <w:r>
        <w:rPr>
          <w:color w:val="000000"/>
          <w:kern w:val="2"/>
          <w:sz w:val="24"/>
          <w:lang w:eastAsia="hr-HR"/>
          <w14:ligatures w14:val="standardContextual"/>
        </w:rPr>
        <w:t xml:space="preserve"> poduzetništva u Hrvatskoj. </w:t>
      </w:r>
      <w:r w:rsidRPr="0055785F">
        <w:rPr>
          <w:color w:val="000000"/>
          <w:kern w:val="2"/>
          <w:sz w:val="24"/>
          <w:lang w:eastAsia="hr-HR"/>
          <w14:ligatures w14:val="standardContextual"/>
        </w:rPr>
        <w:t>U s</w:t>
      </w:r>
      <w:r>
        <w:rPr>
          <w:color w:val="000000"/>
          <w:kern w:val="2"/>
          <w:sz w:val="24"/>
          <w:lang w:eastAsia="hr-HR"/>
          <w14:ligatures w14:val="standardContextual"/>
        </w:rPr>
        <w:t>kupini</w:t>
      </w:r>
      <w:r w:rsidRPr="0055785F">
        <w:rPr>
          <w:color w:val="000000"/>
          <w:kern w:val="2"/>
          <w:sz w:val="24"/>
          <w:lang w:eastAsia="hr-HR"/>
          <w14:ligatures w14:val="standardContextual"/>
        </w:rPr>
        <w:t xml:space="preserve"> mikro poduzetništva zabilježen je osobito snažan rast</w:t>
      </w:r>
      <w:r>
        <w:rPr>
          <w:color w:val="000000"/>
          <w:kern w:val="2"/>
          <w:sz w:val="24"/>
          <w:lang w:eastAsia="hr-HR"/>
          <w14:ligatures w14:val="standardContextual"/>
        </w:rPr>
        <w:t xml:space="preserve"> te su </w:t>
      </w:r>
      <w:r w:rsidRPr="0055785F">
        <w:rPr>
          <w:color w:val="000000"/>
          <w:kern w:val="2"/>
          <w:sz w:val="24"/>
          <w:lang w:eastAsia="hr-HR"/>
          <w14:ligatures w14:val="standardContextual"/>
        </w:rPr>
        <w:t xml:space="preserve">prihodi porasli za 32,4%, neto dobit za </w:t>
      </w:r>
      <w:r>
        <w:rPr>
          <w:color w:val="000000"/>
          <w:kern w:val="2"/>
          <w:sz w:val="24"/>
          <w:lang w:eastAsia="hr-HR"/>
          <w14:ligatures w14:val="standardContextual"/>
        </w:rPr>
        <w:t>45</w:t>
      </w:r>
      <w:r w:rsidRPr="0055785F">
        <w:rPr>
          <w:color w:val="000000"/>
          <w:kern w:val="2"/>
          <w:sz w:val="24"/>
          <w:lang w:eastAsia="hr-HR"/>
          <w14:ligatures w14:val="standardContextual"/>
        </w:rPr>
        <w:t>,</w:t>
      </w:r>
      <w:r>
        <w:rPr>
          <w:color w:val="000000"/>
          <w:kern w:val="2"/>
          <w:sz w:val="24"/>
          <w:lang w:eastAsia="hr-HR"/>
          <w14:ligatures w14:val="standardContextual"/>
        </w:rPr>
        <w:t>0</w:t>
      </w:r>
      <w:r w:rsidRPr="0055785F">
        <w:rPr>
          <w:color w:val="000000"/>
          <w:kern w:val="2"/>
          <w:sz w:val="24"/>
          <w:lang w:eastAsia="hr-HR"/>
          <w14:ligatures w14:val="standardContextual"/>
        </w:rPr>
        <w:t>%, dok su investicije povećane za čak 60%</w:t>
      </w:r>
      <w:r>
        <w:rPr>
          <w:color w:val="000000"/>
          <w:kern w:val="2"/>
          <w:sz w:val="24"/>
          <w:lang w:eastAsia="hr-HR"/>
          <w14:ligatures w14:val="standardContextual"/>
        </w:rPr>
        <w:t xml:space="preserve">. </w:t>
      </w:r>
      <w:r w:rsidRPr="00B27B40">
        <w:rPr>
          <w:color w:val="000000"/>
          <w:kern w:val="2"/>
          <w:sz w:val="24"/>
          <w:lang w:eastAsia="hr-HR"/>
          <w14:ligatures w14:val="standardContextual"/>
        </w:rPr>
        <w:t>Unatoč pozitivnim trendovima, i dalje</w:t>
      </w:r>
      <w:r>
        <w:rPr>
          <w:color w:val="000000"/>
          <w:kern w:val="2"/>
          <w:sz w:val="24"/>
          <w:lang w:eastAsia="hr-HR"/>
          <w14:ligatures w14:val="standardContextual"/>
        </w:rPr>
        <w:t xml:space="preserve"> je vidljiv</w:t>
      </w:r>
      <w:r w:rsidRPr="00B27B40">
        <w:rPr>
          <w:color w:val="000000"/>
          <w:kern w:val="2"/>
          <w:sz w:val="24"/>
          <w:lang w:eastAsia="hr-HR"/>
          <w14:ligatures w14:val="standardContextual"/>
        </w:rPr>
        <w:t xml:space="preserve"> </w:t>
      </w:r>
      <w:r>
        <w:rPr>
          <w:color w:val="000000"/>
          <w:kern w:val="2"/>
          <w:sz w:val="24"/>
          <w:lang w:eastAsia="hr-HR"/>
          <w14:ligatures w14:val="standardContextual"/>
        </w:rPr>
        <w:t xml:space="preserve">znatan </w:t>
      </w:r>
      <w:r w:rsidRPr="00B27B40">
        <w:rPr>
          <w:color w:val="000000"/>
          <w:kern w:val="2"/>
          <w:sz w:val="24"/>
          <w:lang w:eastAsia="hr-HR"/>
          <w14:ligatures w14:val="standardContextual"/>
        </w:rPr>
        <w:t>jaz među tvrtkama</w:t>
      </w:r>
      <w:r>
        <w:rPr>
          <w:color w:val="000000"/>
          <w:kern w:val="2"/>
          <w:sz w:val="24"/>
          <w:lang w:eastAsia="hr-HR"/>
          <w14:ligatures w14:val="standardContextual"/>
        </w:rPr>
        <w:t>,</w:t>
      </w:r>
      <w:r w:rsidRPr="00B27B40">
        <w:rPr>
          <w:color w:val="000000"/>
          <w:kern w:val="2"/>
          <w:sz w:val="24"/>
          <w:lang w:eastAsia="hr-HR"/>
          <w14:ligatures w14:val="standardContextual"/>
        </w:rPr>
        <w:t xml:space="preserve"> </w:t>
      </w:r>
      <w:r>
        <w:rPr>
          <w:color w:val="000000"/>
          <w:kern w:val="2"/>
          <w:sz w:val="24"/>
          <w:lang w:eastAsia="hr-HR"/>
          <w14:ligatures w14:val="standardContextual"/>
        </w:rPr>
        <w:t xml:space="preserve">s </w:t>
      </w:r>
      <w:r w:rsidRPr="00B27B40">
        <w:rPr>
          <w:color w:val="000000"/>
          <w:kern w:val="2"/>
          <w:sz w:val="24"/>
          <w:lang w:eastAsia="hr-HR"/>
          <w14:ligatures w14:val="standardContextual"/>
        </w:rPr>
        <w:t>veliki</w:t>
      </w:r>
      <w:r>
        <w:rPr>
          <w:color w:val="000000"/>
          <w:kern w:val="2"/>
          <w:sz w:val="24"/>
          <w:lang w:eastAsia="hr-HR"/>
          <w14:ligatures w14:val="standardContextual"/>
        </w:rPr>
        <w:t>m</w:t>
      </w:r>
      <w:r w:rsidRPr="00B27B40">
        <w:rPr>
          <w:color w:val="000000"/>
          <w:kern w:val="2"/>
          <w:sz w:val="24"/>
          <w:lang w:eastAsia="hr-HR"/>
          <w14:ligatures w14:val="standardContextual"/>
        </w:rPr>
        <w:t xml:space="preserve"> poduzetnici</w:t>
      </w:r>
      <w:r>
        <w:rPr>
          <w:color w:val="000000"/>
          <w:kern w:val="2"/>
          <w:sz w:val="24"/>
          <w:lang w:eastAsia="hr-HR"/>
          <w14:ligatures w14:val="standardContextual"/>
        </w:rPr>
        <w:t>ma</w:t>
      </w:r>
      <w:r w:rsidRPr="00B27B40">
        <w:rPr>
          <w:color w:val="000000"/>
          <w:kern w:val="2"/>
          <w:sz w:val="24"/>
          <w:lang w:eastAsia="hr-HR"/>
          <w14:ligatures w14:val="standardContextual"/>
        </w:rPr>
        <w:t xml:space="preserve"> </w:t>
      </w:r>
      <w:r>
        <w:rPr>
          <w:color w:val="000000"/>
          <w:kern w:val="2"/>
          <w:sz w:val="24"/>
          <w:lang w:eastAsia="hr-HR"/>
          <w14:ligatures w14:val="standardContextual"/>
        </w:rPr>
        <w:t xml:space="preserve">koji su </w:t>
      </w:r>
      <w:r w:rsidRPr="00B27B40">
        <w:rPr>
          <w:color w:val="000000"/>
          <w:kern w:val="2"/>
          <w:sz w:val="24"/>
          <w:lang w:eastAsia="hr-HR"/>
          <w14:ligatures w14:val="standardContextual"/>
        </w:rPr>
        <w:t>ostvarili 44,4% ukupnih prihoda</w:t>
      </w:r>
      <w:r>
        <w:rPr>
          <w:color w:val="000000"/>
          <w:kern w:val="2"/>
          <w:sz w:val="24"/>
          <w:lang w:eastAsia="hr-HR"/>
          <w14:ligatures w14:val="standardContextual"/>
        </w:rPr>
        <w:t xml:space="preserve"> (75,3 milijarde eura)</w:t>
      </w:r>
      <w:r w:rsidRPr="00B27B40">
        <w:rPr>
          <w:color w:val="000000"/>
          <w:kern w:val="2"/>
          <w:sz w:val="24"/>
          <w:lang w:eastAsia="hr-HR"/>
          <w14:ligatures w14:val="standardContextual"/>
        </w:rPr>
        <w:t xml:space="preserve"> </w:t>
      </w:r>
      <w:r>
        <w:rPr>
          <w:color w:val="000000"/>
          <w:kern w:val="2"/>
          <w:sz w:val="24"/>
          <w:lang w:eastAsia="hr-HR"/>
          <w14:ligatures w14:val="standardContextual"/>
        </w:rPr>
        <w:t>te</w:t>
      </w:r>
      <w:r w:rsidRPr="00B27B40">
        <w:rPr>
          <w:color w:val="000000"/>
          <w:kern w:val="2"/>
          <w:sz w:val="24"/>
          <w:lang w:eastAsia="hr-HR"/>
          <w14:ligatures w14:val="standardContextual"/>
        </w:rPr>
        <w:t xml:space="preserve"> 40,7% </w:t>
      </w:r>
      <w:r>
        <w:rPr>
          <w:color w:val="000000"/>
          <w:kern w:val="2"/>
          <w:sz w:val="24"/>
          <w:lang w:eastAsia="hr-HR"/>
          <w14:ligatures w14:val="standardContextual"/>
        </w:rPr>
        <w:t xml:space="preserve">ukupne </w:t>
      </w:r>
      <w:r w:rsidRPr="00B27B40">
        <w:rPr>
          <w:color w:val="000000"/>
          <w:kern w:val="2"/>
          <w:sz w:val="24"/>
          <w:lang w:eastAsia="hr-HR"/>
          <w14:ligatures w14:val="standardContextual"/>
        </w:rPr>
        <w:t>neto dobiti</w:t>
      </w:r>
      <w:r>
        <w:rPr>
          <w:color w:val="000000"/>
          <w:kern w:val="2"/>
          <w:sz w:val="24"/>
          <w:lang w:eastAsia="hr-HR"/>
          <w14:ligatures w14:val="standardContextual"/>
        </w:rPr>
        <w:t xml:space="preserve"> (4 milijarde eura)</w:t>
      </w:r>
      <w:r w:rsidRPr="00B27B40">
        <w:rPr>
          <w:color w:val="000000"/>
          <w:kern w:val="2"/>
          <w:sz w:val="24"/>
          <w:lang w:eastAsia="hr-HR"/>
          <w14:ligatures w14:val="standardContextual"/>
        </w:rPr>
        <w:t xml:space="preserve">, dok </w:t>
      </w:r>
      <w:r>
        <w:rPr>
          <w:color w:val="000000"/>
          <w:kern w:val="2"/>
          <w:sz w:val="24"/>
          <w:lang w:eastAsia="hr-HR"/>
          <w14:ligatures w14:val="standardContextual"/>
        </w:rPr>
        <w:t xml:space="preserve">su </w:t>
      </w:r>
      <w:r w:rsidRPr="00B27B40">
        <w:rPr>
          <w:color w:val="000000"/>
          <w:kern w:val="2"/>
          <w:sz w:val="24"/>
          <w:lang w:eastAsia="hr-HR"/>
          <w14:ligatures w14:val="standardContextual"/>
        </w:rPr>
        <w:t>mikro poduze</w:t>
      </w:r>
      <w:r>
        <w:rPr>
          <w:color w:val="000000"/>
          <w:kern w:val="2"/>
          <w:sz w:val="24"/>
          <w:lang w:eastAsia="hr-HR"/>
          <w14:ligatures w14:val="standardContextual"/>
        </w:rPr>
        <w:t>tnici</w:t>
      </w:r>
      <w:r w:rsidRPr="00B27B40">
        <w:rPr>
          <w:color w:val="000000"/>
          <w:kern w:val="2"/>
          <w:sz w:val="24"/>
          <w:lang w:eastAsia="hr-HR"/>
          <w14:ligatures w14:val="standardContextual"/>
        </w:rPr>
        <w:t xml:space="preserve">, iako </w:t>
      </w:r>
      <w:r>
        <w:rPr>
          <w:color w:val="000000"/>
          <w:kern w:val="2"/>
          <w:sz w:val="24"/>
          <w:lang w:eastAsia="hr-HR"/>
          <w14:ligatures w14:val="standardContextual"/>
        </w:rPr>
        <w:t xml:space="preserve">znatno </w:t>
      </w:r>
      <w:r w:rsidRPr="00B27B40">
        <w:rPr>
          <w:color w:val="000000"/>
          <w:kern w:val="2"/>
          <w:sz w:val="24"/>
          <w:lang w:eastAsia="hr-HR"/>
          <w14:ligatures w14:val="standardContextual"/>
        </w:rPr>
        <w:t>brojn</w:t>
      </w:r>
      <w:r>
        <w:rPr>
          <w:color w:val="000000"/>
          <w:kern w:val="2"/>
          <w:sz w:val="24"/>
          <w:lang w:eastAsia="hr-HR"/>
          <w14:ligatures w14:val="standardContextual"/>
        </w:rPr>
        <w:t>iji</w:t>
      </w:r>
      <w:r w:rsidRPr="00B27B40">
        <w:rPr>
          <w:color w:val="000000"/>
          <w:kern w:val="2"/>
          <w:sz w:val="24"/>
          <w:lang w:eastAsia="hr-HR"/>
          <w14:ligatures w14:val="standardContextual"/>
        </w:rPr>
        <w:t>, ostvar</w:t>
      </w:r>
      <w:r>
        <w:rPr>
          <w:color w:val="000000"/>
          <w:kern w:val="2"/>
          <w:sz w:val="24"/>
          <w:lang w:eastAsia="hr-HR"/>
          <w14:ligatures w14:val="standardContextual"/>
        </w:rPr>
        <w:t>ili</w:t>
      </w:r>
      <w:r w:rsidRPr="00B27B40">
        <w:rPr>
          <w:color w:val="000000"/>
          <w:kern w:val="2"/>
          <w:sz w:val="24"/>
          <w:lang w:eastAsia="hr-HR"/>
          <w14:ligatures w14:val="standardContextual"/>
        </w:rPr>
        <w:t xml:space="preserve"> znatno manji financijski učinak</w:t>
      </w:r>
      <w:r>
        <w:rPr>
          <w:color w:val="000000"/>
          <w:kern w:val="2"/>
          <w:sz w:val="24"/>
          <w:lang w:eastAsia="hr-HR"/>
          <w14:ligatures w14:val="standardContextual"/>
        </w:rPr>
        <w:t xml:space="preserve"> </w:t>
      </w:r>
      <w:r w:rsidRPr="00B27B40">
        <w:rPr>
          <w:color w:val="000000"/>
          <w:kern w:val="2"/>
          <w:sz w:val="24"/>
          <w:lang w:eastAsia="hr-HR"/>
          <w14:ligatures w14:val="standardContextual"/>
        </w:rPr>
        <w:t xml:space="preserve"> </w:t>
      </w:r>
      <w:r>
        <w:rPr>
          <w:color w:val="000000"/>
          <w:kern w:val="2"/>
          <w:sz w:val="24"/>
          <w:lang w:eastAsia="hr-HR"/>
          <w14:ligatures w14:val="standardContextual"/>
        </w:rPr>
        <w:t>(11,8% ukupnih prihoda i 13,1% neto dobiti) te</w:t>
      </w:r>
      <w:r w:rsidRPr="00B27B40">
        <w:rPr>
          <w:color w:val="000000"/>
          <w:kern w:val="2"/>
          <w:sz w:val="24"/>
          <w:lang w:eastAsia="hr-HR"/>
          <w14:ligatures w14:val="standardContextual"/>
        </w:rPr>
        <w:t xml:space="preserve"> </w:t>
      </w:r>
      <w:r>
        <w:rPr>
          <w:color w:val="000000"/>
          <w:kern w:val="2"/>
          <w:sz w:val="24"/>
          <w:lang w:eastAsia="hr-HR"/>
          <w14:ligatures w14:val="standardContextual"/>
        </w:rPr>
        <w:t xml:space="preserve">u prosjeku </w:t>
      </w:r>
      <w:r w:rsidRPr="00B27B40">
        <w:rPr>
          <w:color w:val="000000"/>
          <w:kern w:val="2"/>
          <w:sz w:val="24"/>
          <w:lang w:eastAsia="hr-HR"/>
          <w14:ligatures w14:val="standardContextual"/>
        </w:rPr>
        <w:t>isplaćuju najniže plaće</w:t>
      </w:r>
      <w:r>
        <w:rPr>
          <w:color w:val="000000"/>
          <w:kern w:val="2"/>
          <w:sz w:val="24"/>
          <w:lang w:eastAsia="hr-HR"/>
          <w14:ligatures w14:val="standardContextual"/>
        </w:rPr>
        <w:t xml:space="preserve"> (838 eura). Ukupno, </w:t>
      </w:r>
      <w:r w:rsidRPr="00720FF9">
        <w:rPr>
          <w:color w:val="000000"/>
          <w:kern w:val="2"/>
          <w:sz w:val="24"/>
          <w:lang w:eastAsia="hr-HR"/>
          <w14:ligatures w14:val="standardContextual"/>
        </w:rPr>
        <w:t>poduzetni</w:t>
      </w:r>
      <w:r>
        <w:rPr>
          <w:color w:val="000000"/>
          <w:kern w:val="2"/>
          <w:sz w:val="24"/>
          <w:lang w:eastAsia="hr-HR"/>
          <w14:ligatures w14:val="standardContextual"/>
        </w:rPr>
        <w:t xml:space="preserve">ci u Hrvatskoj su tijekom 2024. </w:t>
      </w:r>
      <w:r w:rsidRPr="00342A44">
        <w:rPr>
          <w:color w:val="000000"/>
          <w:kern w:val="2"/>
          <w:sz w:val="24"/>
          <w:lang w:eastAsia="hr-HR"/>
          <w14:ligatures w14:val="standardContextual"/>
        </w:rPr>
        <w:t>ostvarili pozitivan trgovinski saldo</w:t>
      </w:r>
      <w:r>
        <w:rPr>
          <w:color w:val="000000"/>
          <w:kern w:val="2"/>
          <w:sz w:val="24"/>
          <w:lang w:eastAsia="hr-HR"/>
          <w14:ligatures w14:val="standardContextual"/>
        </w:rPr>
        <w:t xml:space="preserve"> te su zabilježili izvoz od</w:t>
      </w:r>
      <w:r w:rsidRPr="00720FF9">
        <w:rPr>
          <w:color w:val="000000"/>
          <w:kern w:val="2"/>
          <w:sz w:val="24"/>
          <w:lang w:eastAsia="hr-HR"/>
          <w14:ligatures w14:val="standardContextual"/>
        </w:rPr>
        <w:t xml:space="preserve"> 33,3 m</w:t>
      </w:r>
      <w:r>
        <w:rPr>
          <w:color w:val="000000"/>
          <w:kern w:val="2"/>
          <w:sz w:val="24"/>
          <w:lang w:eastAsia="hr-HR"/>
          <w14:ligatures w14:val="standardContextual"/>
        </w:rPr>
        <w:t>ilijarde eura (33,5 milijardi u 2023.) i uvoz od</w:t>
      </w:r>
      <w:r w:rsidRPr="00720FF9">
        <w:rPr>
          <w:color w:val="000000"/>
          <w:kern w:val="2"/>
          <w:sz w:val="24"/>
          <w:lang w:eastAsia="hr-HR"/>
          <w14:ligatures w14:val="standardContextual"/>
        </w:rPr>
        <w:t xml:space="preserve"> 30,6 m</w:t>
      </w:r>
      <w:r>
        <w:rPr>
          <w:color w:val="000000"/>
          <w:kern w:val="2"/>
          <w:sz w:val="24"/>
          <w:lang w:eastAsia="hr-HR"/>
          <w14:ligatures w14:val="standardContextual"/>
        </w:rPr>
        <w:t xml:space="preserve">ilijardi eura (29,1 milijarda u 2023.), uz manji </w:t>
      </w:r>
      <w:r w:rsidRPr="00720FF9">
        <w:rPr>
          <w:color w:val="000000"/>
          <w:kern w:val="2"/>
          <w:sz w:val="24"/>
          <w:lang w:eastAsia="hr-HR"/>
          <w14:ligatures w14:val="standardContextual"/>
        </w:rPr>
        <w:t>ostvaren</w:t>
      </w:r>
      <w:r>
        <w:rPr>
          <w:color w:val="000000"/>
          <w:kern w:val="2"/>
          <w:sz w:val="24"/>
          <w:lang w:eastAsia="hr-HR"/>
          <w14:ligatures w14:val="standardContextual"/>
        </w:rPr>
        <w:t>i</w:t>
      </w:r>
      <w:r w:rsidRPr="00720FF9">
        <w:rPr>
          <w:color w:val="000000"/>
          <w:kern w:val="2"/>
          <w:sz w:val="24"/>
          <w:lang w:eastAsia="hr-HR"/>
          <w14:ligatures w14:val="standardContextual"/>
        </w:rPr>
        <w:t xml:space="preserve"> trgovinski suficit od </w:t>
      </w:r>
      <w:r w:rsidRPr="0004221B">
        <w:rPr>
          <w:color w:val="000000"/>
          <w:kern w:val="2"/>
          <w:sz w:val="24"/>
          <w:lang w:eastAsia="hr-HR"/>
          <w14:ligatures w14:val="standardContextual"/>
        </w:rPr>
        <w:t>2,7 m</w:t>
      </w:r>
      <w:r>
        <w:rPr>
          <w:color w:val="000000"/>
          <w:kern w:val="2"/>
          <w:sz w:val="24"/>
          <w:lang w:eastAsia="hr-HR"/>
          <w14:ligatures w14:val="standardContextual"/>
        </w:rPr>
        <w:t>ilijardi eura (4,4 milijarde eura u 2023. godini).</w:t>
      </w:r>
      <w:r w:rsidRPr="00720FF9">
        <w:rPr>
          <w:color w:val="000000"/>
          <w:kern w:val="2"/>
          <w:sz w:val="24"/>
          <w:lang w:eastAsia="hr-HR"/>
          <w14:ligatures w14:val="standardContextual"/>
        </w:rPr>
        <w:t xml:space="preserve"> </w:t>
      </w:r>
    </w:p>
    <w:p w14:paraId="6215F159" w14:textId="77777777" w:rsidR="00FB178A" w:rsidRPr="00720FF9" w:rsidRDefault="00FB178A" w:rsidP="00FB178A">
      <w:pPr>
        <w:widowControl/>
        <w:autoSpaceDE/>
        <w:autoSpaceDN/>
        <w:spacing w:after="216" w:line="276" w:lineRule="auto"/>
        <w:jc w:val="both"/>
        <w:rPr>
          <w:color w:val="000000"/>
          <w:kern w:val="2"/>
          <w:sz w:val="24"/>
          <w:lang w:eastAsia="hr-HR"/>
          <w14:ligatures w14:val="standardContextual"/>
        </w:rPr>
      </w:pPr>
      <w:r>
        <w:rPr>
          <w:color w:val="000000"/>
          <w:kern w:val="2"/>
          <w:sz w:val="24"/>
          <w:lang w:eastAsia="hr-HR"/>
          <w14:ligatures w14:val="standardContextual"/>
        </w:rPr>
        <w:t>Pokazatelji poslovne demografije u 2024. također ukazuju na nastavak pozitivnih trendova u gospodarstvu. P</w:t>
      </w:r>
      <w:r w:rsidRPr="006C1C0A">
        <w:rPr>
          <w:color w:val="000000"/>
          <w:kern w:val="2"/>
          <w:sz w:val="24"/>
          <w:lang w:eastAsia="hr-HR"/>
          <w14:ligatures w14:val="standardContextual"/>
        </w:rPr>
        <w:t>rema privremenim podacima DZS-a</w:t>
      </w:r>
      <w:r>
        <w:rPr>
          <w:color w:val="000000"/>
          <w:kern w:val="2"/>
          <w:sz w:val="24"/>
          <w:lang w:eastAsia="hr-HR"/>
          <w14:ligatures w14:val="standardContextual"/>
        </w:rPr>
        <w:t>,</w:t>
      </w:r>
      <w:r w:rsidRPr="006C1C0A">
        <w:rPr>
          <w:color w:val="000000"/>
          <w:kern w:val="2"/>
          <w:sz w:val="24"/>
          <w:lang w:eastAsia="hr-HR"/>
          <w14:ligatures w14:val="standardContextual"/>
        </w:rPr>
        <w:t xml:space="preserve"> </w:t>
      </w:r>
      <w:r>
        <w:rPr>
          <w:color w:val="000000"/>
          <w:kern w:val="2"/>
          <w:sz w:val="24"/>
          <w:lang w:eastAsia="hr-HR"/>
          <w14:ligatures w14:val="standardContextual"/>
        </w:rPr>
        <w:t>u 2024. je u</w:t>
      </w:r>
      <w:r w:rsidRPr="00A001C3">
        <w:rPr>
          <w:color w:val="000000"/>
          <w:kern w:val="2"/>
          <w:sz w:val="24"/>
          <w:lang w:eastAsia="hr-HR"/>
          <w14:ligatures w14:val="standardContextual"/>
        </w:rPr>
        <w:t xml:space="preserve"> usporedbi s 2023., broj aktivnih </w:t>
      </w:r>
      <w:r w:rsidRPr="00A001C3">
        <w:rPr>
          <w:color w:val="000000"/>
          <w:kern w:val="2"/>
          <w:sz w:val="24"/>
          <w:lang w:eastAsia="hr-HR"/>
          <w14:ligatures w14:val="standardContextual"/>
        </w:rPr>
        <w:lastRenderedPageBreak/>
        <w:t xml:space="preserve">poduzeća (uključujući </w:t>
      </w:r>
      <w:r>
        <w:rPr>
          <w:color w:val="000000"/>
          <w:kern w:val="2"/>
          <w:sz w:val="24"/>
          <w:lang w:eastAsia="hr-HR"/>
          <w14:ligatures w14:val="standardContextual"/>
        </w:rPr>
        <w:t xml:space="preserve">i </w:t>
      </w:r>
      <w:r w:rsidRPr="00A001C3">
        <w:rPr>
          <w:color w:val="000000"/>
          <w:kern w:val="2"/>
          <w:sz w:val="24"/>
          <w:lang w:eastAsia="hr-HR"/>
          <w14:ligatures w14:val="standardContextual"/>
        </w:rPr>
        <w:t>obveznike poreza na dohodak) porastao za 4,7% na 251.925, dok se broj zaposlenih povećao za 3,2% na 1.350.883 osobe.</w:t>
      </w:r>
      <w:r>
        <w:rPr>
          <w:color w:val="000000"/>
          <w:kern w:val="2"/>
          <w:sz w:val="24"/>
          <w:lang w:eastAsia="hr-HR"/>
          <w14:ligatures w14:val="standardContextual"/>
        </w:rPr>
        <w:t xml:space="preserve"> </w:t>
      </w:r>
      <w:r w:rsidRPr="00291CC9">
        <w:rPr>
          <w:color w:val="000000"/>
          <w:kern w:val="2"/>
          <w:sz w:val="24"/>
          <w:lang w:eastAsia="hr-HR"/>
          <w14:ligatures w14:val="standardContextual"/>
        </w:rPr>
        <w:t xml:space="preserve">Dinamika </w:t>
      </w:r>
      <w:r>
        <w:rPr>
          <w:color w:val="000000"/>
          <w:kern w:val="2"/>
          <w:sz w:val="24"/>
          <w:lang w:eastAsia="hr-HR"/>
          <w14:ligatures w14:val="standardContextual"/>
        </w:rPr>
        <w:t>„stvaranja</w:t>
      </w:r>
      <w:r w:rsidRPr="00291CC9">
        <w:rPr>
          <w:color w:val="000000"/>
          <w:kern w:val="2"/>
          <w:sz w:val="24"/>
          <w:lang w:eastAsia="hr-HR"/>
          <w14:ligatures w14:val="standardContextual"/>
        </w:rPr>
        <w:t>” poduzeća je neznatno usporila</w:t>
      </w:r>
      <w:r>
        <w:rPr>
          <w:color w:val="000000"/>
          <w:kern w:val="2"/>
          <w:sz w:val="24"/>
          <w:lang w:eastAsia="hr-HR"/>
          <w14:ligatures w14:val="standardContextual"/>
        </w:rPr>
        <w:t>,</w:t>
      </w:r>
      <w:r w:rsidRPr="00291CC9">
        <w:rPr>
          <w:color w:val="000000"/>
          <w:kern w:val="2"/>
          <w:sz w:val="24"/>
          <w:lang w:eastAsia="hr-HR"/>
          <w14:ligatures w14:val="standardContextual"/>
        </w:rPr>
        <w:t xml:space="preserve"> </w:t>
      </w:r>
      <w:r>
        <w:rPr>
          <w:color w:val="000000"/>
          <w:kern w:val="2"/>
          <w:sz w:val="24"/>
          <w:lang w:eastAsia="hr-HR"/>
          <w14:ligatures w14:val="standardContextual"/>
        </w:rPr>
        <w:t xml:space="preserve">uz </w:t>
      </w:r>
      <w:r w:rsidRPr="00291CC9">
        <w:rPr>
          <w:color w:val="000000"/>
          <w:kern w:val="2"/>
          <w:sz w:val="24"/>
          <w:lang w:eastAsia="hr-HR"/>
          <w14:ligatures w14:val="standardContextual"/>
        </w:rPr>
        <w:t>29</w:t>
      </w:r>
      <w:r>
        <w:rPr>
          <w:color w:val="000000"/>
          <w:kern w:val="2"/>
          <w:sz w:val="24"/>
          <w:lang w:eastAsia="hr-HR"/>
          <w14:ligatures w14:val="standardContextual"/>
        </w:rPr>
        <w:t>.</w:t>
      </w:r>
      <w:r w:rsidRPr="00291CC9">
        <w:rPr>
          <w:color w:val="000000"/>
          <w:kern w:val="2"/>
          <w:sz w:val="24"/>
          <w:lang w:eastAsia="hr-HR"/>
          <w14:ligatures w14:val="standardContextual"/>
        </w:rPr>
        <w:t xml:space="preserve">821 novonastalo poduzeće u 2024. </w:t>
      </w:r>
      <w:r w:rsidRPr="00B35B3A">
        <w:rPr>
          <w:color w:val="000000"/>
          <w:kern w:val="2"/>
          <w:sz w:val="24"/>
          <w:lang w:eastAsia="hr-HR"/>
          <w14:ligatures w14:val="standardContextual"/>
        </w:rPr>
        <w:t xml:space="preserve">i blagi pad od </w:t>
      </w:r>
      <w:r>
        <w:rPr>
          <w:color w:val="000000"/>
          <w:kern w:val="2"/>
          <w:sz w:val="24"/>
          <w:lang w:eastAsia="hr-HR"/>
          <w14:ligatures w14:val="standardContextual"/>
        </w:rPr>
        <w:t>1</w:t>
      </w:r>
      <w:r w:rsidRPr="00B35B3A">
        <w:rPr>
          <w:color w:val="000000"/>
          <w:kern w:val="2"/>
          <w:sz w:val="24"/>
          <w:lang w:eastAsia="hr-HR"/>
          <w14:ligatures w14:val="standardContextual"/>
        </w:rPr>
        <w:t xml:space="preserve">% </w:t>
      </w:r>
      <w:r>
        <w:rPr>
          <w:color w:val="000000"/>
          <w:kern w:val="2"/>
          <w:sz w:val="24"/>
          <w:lang w:eastAsia="hr-HR"/>
          <w14:ligatures w14:val="standardContextual"/>
        </w:rPr>
        <w:t xml:space="preserve">u odnosu na </w:t>
      </w:r>
      <w:r w:rsidRPr="00291CC9">
        <w:rPr>
          <w:color w:val="000000"/>
          <w:kern w:val="2"/>
          <w:sz w:val="24"/>
          <w:lang w:eastAsia="hr-HR"/>
          <w14:ligatures w14:val="standardContextual"/>
        </w:rPr>
        <w:t>30</w:t>
      </w:r>
      <w:r>
        <w:rPr>
          <w:color w:val="000000"/>
          <w:kern w:val="2"/>
          <w:sz w:val="24"/>
          <w:lang w:eastAsia="hr-HR"/>
          <w14:ligatures w14:val="standardContextual"/>
        </w:rPr>
        <w:t>.</w:t>
      </w:r>
      <w:r w:rsidRPr="00291CC9">
        <w:rPr>
          <w:color w:val="000000"/>
          <w:kern w:val="2"/>
          <w:sz w:val="24"/>
          <w:lang w:eastAsia="hr-HR"/>
          <w14:ligatures w14:val="standardContextual"/>
        </w:rPr>
        <w:t>1</w:t>
      </w:r>
      <w:r>
        <w:rPr>
          <w:color w:val="000000"/>
          <w:kern w:val="2"/>
          <w:sz w:val="24"/>
          <w:lang w:eastAsia="hr-HR"/>
          <w14:ligatures w14:val="standardContextual"/>
        </w:rPr>
        <w:t>10</w:t>
      </w:r>
      <w:r w:rsidRPr="00291CC9">
        <w:rPr>
          <w:color w:val="000000"/>
          <w:kern w:val="2"/>
          <w:sz w:val="24"/>
          <w:lang w:eastAsia="hr-HR"/>
          <w14:ligatures w14:val="standardContextual"/>
        </w:rPr>
        <w:t xml:space="preserve"> </w:t>
      </w:r>
      <w:r>
        <w:rPr>
          <w:color w:val="000000"/>
          <w:kern w:val="2"/>
          <w:sz w:val="24"/>
          <w:lang w:eastAsia="hr-HR"/>
          <w14:ligatures w14:val="standardContextual"/>
        </w:rPr>
        <w:t xml:space="preserve">novonastalih poduzeća </w:t>
      </w:r>
      <w:r w:rsidRPr="00291CC9">
        <w:rPr>
          <w:color w:val="000000"/>
          <w:kern w:val="2"/>
          <w:sz w:val="24"/>
          <w:lang w:eastAsia="hr-HR"/>
          <w14:ligatures w14:val="standardContextual"/>
        </w:rPr>
        <w:t>u 2023.</w:t>
      </w:r>
      <w:r>
        <w:rPr>
          <w:color w:val="000000"/>
          <w:kern w:val="2"/>
          <w:sz w:val="24"/>
          <w:lang w:eastAsia="hr-HR"/>
          <w14:ligatures w14:val="standardContextual"/>
        </w:rPr>
        <w:t xml:space="preserve"> godini. S druge strane, porastao je</w:t>
      </w:r>
      <w:r w:rsidRPr="00291CC9">
        <w:rPr>
          <w:color w:val="000000"/>
          <w:kern w:val="2"/>
          <w:sz w:val="24"/>
          <w:lang w:eastAsia="hr-HR"/>
          <w14:ligatures w14:val="standardContextual"/>
        </w:rPr>
        <w:t xml:space="preserve"> broj zaposlenih u novonastalim poduzećima (39</w:t>
      </w:r>
      <w:r>
        <w:rPr>
          <w:color w:val="000000"/>
          <w:kern w:val="2"/>
          <w:sz w:val="24"/>
          <w:lang w:eastAsia="hr-HR"/>
          <w14:ligatures w14:val="standardContextual"/>
        </w:rPr>
        <w:t>.</w:t>
      </w:r>
      <w:r w:rsidRPr="00291CC9">
        <w:rPr>
          <w:color w:val="000000"/>
          <w:kern w:val="2"/>
          <w:sz w:val="24"/>
          <w:lang w:eastAsia="hr-HR"/>
          <w14:ligatures w14:val="standardContextual"/>
        </w:rPr>
        <w:t>620 prema 39</w:t>
      </w:r>
      <w:r>
        <w:rPr>
          <w:color w:val="000000"/>
          <w:kern w:val="2"/>
          <w:sz w:val="24"/>
          <w:lang w:eastAsia="hr-HR"/>
          <w14:ligatures w14:val="standardContextual"/>
        </w:rPr>
        <w:t>.225</w:t>
      </w:r>
      <w:r w:rsidRPr="00291CC9">
        <w:rPr>
          <w:color w:val="000000"/>
          <w:kern w:val="2"/>
          <w:sz w:val="24"/>
          <w:lang w:eastAsia="hr-HR"/>
          <w14:ligatures w14:val="standardContextual"/>
        </w:rPr>
        <w:t xml:space="preserve">), </w:t>
      </w:r>
      <w:r>
        <w:rPr>
          <w:color w:val="000000"/>
          <w:kern w:val="2"/>
          <w:sz w:val="24"/>
          <w:lang w:eastAsia="hr-HR"/>
          <w14:ligatures w14:val="standardContextual"/>
        </w:rPr>
        <w:t xml:space="preserve">od čega je </w:t>
      </w:r>
      <w:r w:rsidRPr="00291CC9">
        <w:rPr>
          <w:color w:val="000000"/>
          <w:kern w:val="2"/>
          <w:sz w:val="24"/>
          <w:lang w:eastAsia="hr-HR"/>
          <w14:ligatures w14:val="standardContextual"/>
        </w:rPr>
        <w:t>najviše</w:t>
      </w:r>
      <w:r>
        <w:rPr>
          <w:color w:val="000000"/>
          <w:kern w:val="2"/>
          <w:sz w:val="24"/>
          <w:lang w:eastAsia="hr-HR"/>
          <w14:ligatures w14:val="standardContextual"/>
        </w:rPr>
        <w:t xml:space="preserve"> zaposlenih bilo</w:t>
      </w:r>
      <w:r w:rsidRPr="00291CC9">
        <w:rPr>
          <w:color w:val="000000"/>
          <w:kern w:val="2"/>
          <w:sz w:val="24"/>
          <w:lang w:eastAsia="hr-HR"/>
          <w14:ligatures w14:val="standardContextual"/>
        </w:rPr>
        <w:t xml:space="preserve"> </w:t>
      </w:r>
      <w:r>
        <w:rPr>
          <w:color w:val="000000"/>
          <w:kern w:val="2"/>
          <w:sz w:val="24"/>
          <w:lang w:eastAsia="hr-HR"/>
          <w14:ligatures w14:val="standardContextual"/>
        </w:rPr>
        <w:t>u</w:t>
      </w:r>
      <w:r w:rsidRPr="00291CC9">
        <w:rPr>
          <w:color w:val="000000"/>
          <w:kern w:val="2"/>
          <w:sz w:val="24"/>
          <w:lang w:eastAsia="hr-HR"/>
          <w14:ligatures w14:val="standardContextual"/>
        </w:rPr>
        <w:t xml:space="preserve"> </w:t>
      </w:r>
      <w:r>
        <w:rPr>
          <w:color w:val="000000"/>
          <w:kern w:val="2"/>
          <w:sz w:val="24"/>
          <w:lang w:eastAsia="hr-HR"/>
          <w14:ligatures w14:val="standardContextual"/>
        </w:rPr>
        <w:t>g</w:t>
      </w:r>
      <w:r w:rsidRPr="00291CC9">
        <w:rPr>
          <w:color w:val="000000"/>
          <w:kern w:val="2"/>
          <w:sz w:val="24"/>
          <w:lang w:eastAsia="hr-HR"/>
          <w14:ligatures w14:val="standardContextual"/>
        </w:rPr>
        <w:t>rađevinarstvu (</w:t>
      </w:r>
      <w:r>
        <w:rPr>
          <w:color w:val="000000"/>
          <w:kern w:val="2"/>
          <w:sz w:val="24"/>
          <w:lang w:eastAsia="hr-HR"/>
          <w14:ligatures w14:val="standardContextual"/>
        </w:rPr>
        <w:t>6.341</w:t>
      </w:r>
      <w:r w:rsidRPr="00291CC9">
        <w:rPr>
          <w:color w:val="000000"/>
          <w:kern w:val="2"/>
          <w:sz w:val="24"/>
          <w:lang w:eastAsia="hr-HR"/>
          <w14:ligatures w14:val="standardContextual"/>
        </w:rPr>
        <w:t xml:space="preserve">) i u </w:t>
      </w:r>
      <w:r>
        <w:rPr>
          <w:color w:val="000000"/>
          <w:kern w:val="2"/>
          <w:sz w:val="24"/>
          <w:lang w:eastAsia="hr-HR"/>
          <w14:ligatures w14:val="standardContextual"/>
        </w:rPr>
        <w:t>s</w:t>
      </w:r>
      <w:r w:rsidRPr="00291CC9">
        <w:rPr>
          <w:color w:val="000000"/>
          <w:kern w:val="2"/>
          <w:sz w:val="24"/>
          <w:lang w:eastAsia="hr-HR"/>
          <w14:ligatures w14:val="standardContextual"/>
        </w:rPr>
        <w:t>tručnim djelatnostima (</w:t>
      </w:r>
      <w:r>
        <w:rPr>
          <w:color w:val="000000"/>
          <w:kern w:val="2"/>
          <w:sz w:val="24"/>
          <w:lang w:eastAsia="hr-HR"/>
          <w14:ligatures w14:val="standardContextual"/>
        </w:rPr>
        <w:t>5.208</w:t>
      </w:r>
      <w:r w:rsidRPr="00291CC9">
        <w:rPr>
          <w:color w:val="000000"/>
          <w:kern w:val="2"/>
          <w:sz w:val="24"/>
          <w:lang w:eastAsia="hr-HR"/>
          <w14:ligatures w14:val="standardContextual"/>
        </w:rPr>
        <w:t xml:space="preserve">), </w:t>
      </w:r>
      <w:r>
        <w:rPr>
          <w:color w:val="000000"/>
          <w:kern w:val="2"/>
          <w:sz w:val="24"/>
          <w:lang w:eastAsia="hr-HR"/>
          <w14:ligatures w14:val="standardContextual"/>
        </w:rPr>
        <w:t xml:space="preserve">slično kao i u </w:t>
      </w:r>
      <w:r w:rsidRPr="00291CC9">
        <w:rPr>
          <w:color w:val="000000"/>
          <w:kern w:val="2"/>
          <w:sz w:val="24"/>
          <w:lang w:eastAsia="hr-HR"/>
          <w14:ligatures w14:val="standardContextual"/>
        </w:rPr>
        <w:t xml:space="preserve">2023. </w:t>
      </w:r>
      <w:r>
        <w:rPr>
          <w:color w:val="000000"/>
          <w:kern w:val="2"/>
          <w:sz w:val="24"/>
          <w:lang w:eastAsia="hr-HR"/>
          <w14:ligatures w14:val="standardContextual"/>
        </w:rPr>
        <w:t xml:space="preserve">kada su također </w:t>
      </w:r>
      <w:r w:rsidRPr="00291CC9">
        <w:rPr>
          <w:color w:val="000000"/>
          <w:kern w:val="2"/>
          <w:sz w:val="24"/>
          <w:lang w:eastAsia="hr-HR"/>
          <w14:ligatures w14:val="standardContextual"/>
        </w:rPr>
        <w:t xml:space="preserve">prednjačili </w:t>
      </w:r>
      <w:r>
        <w:rPr>
          <w:color w:val="000000"/>
          <w:kern w:val="2"/>
          <w:sz w:val="24"/>
          <w:lang w:eastAsia="hr-HR"/>
          <w14:ligatures w14:val="standardContextual"/>
        </w:rPr>
        <w:t>građevinarstvo</w:t>
      </w:r>
      <w:r w:rsidRPr="00291CC9">
        <w:rPr>
          <w:color w:val="000000"/>
          <w:kern w:val="2"/>
          <w:sz w:val="24"/>
          <w:lang w:eastAsia="hr-HR"/>
          <w14:ligatures w14:val="standardContextual"/>
        </w:rPr>
        <w:t xml:space="preserve"> (</w:t>
      </w:r>
      <w:r>
        <w:rPr>
          <w:color w:val="000000"/>
          <w:kern w:val="2"/>
          <w:sz w:val="24"/>
          <w:lang w:eastAsia="hr-HR"/>
          <w14:ligatures w14:val="standardContextual"/>
        </w:rPr>
        <w:t>6.211</w:t>
      </w:r>
      <w:r w:rsidRPr="00291CC9">
        <w:rPr>
          <w:color w:val="000000"/>
          <w:kern w:val="2"/>
          <w:sz w:val="24"/>
          <w:lang w:eastAsia="hr-HR"/>
          <w14:ligatures w14:val="standardContextual"/>
        </w:rPr>
        <w:t>)</w:t>
      </w:r>
      <w:r>
        <w:rPr>
          <w:color w:val="000000"/>
          <w:kern w:val="2"/>
          <w:sz w:val="24"/>
          <w:lang w:eastAsia="hr-HR"/>
          <w14:ligatures w14:val="standardContextual"/>
        </w:rPr>
        <w:t xml:space="preserve"> i</w:t>
      </w:r>
      <w:r w:rsidRPr="00291CC9">
        <w:rPr>
          <w:color w:val="000000"/>
          <w:kern w:val="2"/>
          <w:sz w:val="24"/>
          <w:lang w:eastAsia="hr-HR"/>
          <w14:ligatures w14:val="standardContextual"/>
        </w:rPr>
        <w:t xml:space="preserve"> </w:t>
      </w:r>
      <w:r>
        <w:rPr>
          <w:color w:val="000000"/>
          <w:kern w:val="2"/>
          <w:sz w:val="24"/>
          <w:lang w:eastAsia="hr-HR"/>
          <w14:ligatures w14:val="standardContextual"/>
        </w:rPr>
        <w:t>stručne djelatnosti</w:t>
      </w:r>
      <w:r w:rsidRPr="00291CC9">
        <w:rPr>
          <w:color w:val="000000"/>
          <w:kern w:val="2"/>
          <w:sz w:val="24"/>
          <w:lang w:eastAsia="hr-HR"/>
          <w14:ligatures w14:val="standardContextual"/>
        </w:rPr>
        <w:t xml:space="preserve"> (</w:t>
      </w:r>
      <w:r>
        <w:rPr>
          <w:color w:val="000000"/>
          <w:kern w:val="2"/>
          <w:sz w:val="24"/>
          <w:lang w:eastAsia="hr-HR"/>
          <w14:ligatures w14:val="standardContextual"/>
        </w:rPr>
        <w:t>5.926</w:t>
      </w:r>
      <w:r w:rsidRPr="00291CC9">
        <w:rPr>
          <w:color w:val="000000"/>
          <w:kern w:val="2"/>
          <w:sz w:val="24"/>
          <w:lang w:eastAsia="hr-HR"/>
          <w14:ligatures w14:val="standardContextual"/>
        </w:rPr>
        <w:t>)</w:t>
      </w:r>
      <w:r>
        <w:rPr>
          <w:color w:val="000000"/>
          <w:kern w:val="2"/>
          <w:sz w:val="24"/>
          <w:lang w:eastAsia="hr-HR"/>
          <w14:ligatures w14:val="standardContextual"/>
        </w:rPr>
        <w:t xml:space="preserve">. </w:t>
      </w:r>
      <w:r w:rsidRPr="0020532E">
        <w:rPr>
          <w:color w:val="000000"/>
          <w:kern w:val="2"/>
          <w:sz w:val="24"/>
          <w:lang w:eastAsia="hr-HR"/>
          <w14:ligatures w14:val="standardContextual"/>
        </w:rPr>
        <w:t xml:space="preserve">U skupini brzorastućih poduzeća vidljiv je </w:t>
      </w:r>
      <w:r>
        <w:rPr>
          <w:color w:val="000000"/>
          <w:kern w:val="2"/>
          <w:sz w:val="24"/>
          <w:lang w:eastAsia="hr-HR"/>
          <w14:ligatures w14:val="standardContextual"/>
        </w:rPr>
        <w:t xml:space="preserve">porast broja </w:t>
      </w:r>
      <w:r w:rsidRPr="0020532E">
        <w:rPr>
          <w:color w:val="000000"/>
          <w:kern w:val="2"/>
          <w:sz w:val="24"/>
          <w:lang w:eastAsia="hr-HR"/>
          <w14:ligatures w14:val="standardContextual"/>
        </w:rPr>
        <w:t xml:space="preserve">i </w:t>
      </w:r>
      <w:r>
        <w:rPr>
          <w:color w:val="000000"/>
          <w:kern w:val="2"/>
          <w:sz w:val="24"/>
          <w:lang w:eastAsia="hr-HR"/>
          <w14:ligatures w14:val="standardContextual"/>
        </w:rPr>
        <w:t>zaposlenosti,</w:t>
      </w:r>
      <w:r w:rsidRPr="0020532E">
        <w:rPr>
          <w:color w:val="000000"/>
          <w:kern w:val="2"/>
          <w:sz w:val="24"/>
          <w:lang w:eastAsia="hr-HR"/>
          <w14:ligatures w14:val="standardContextual"/>
        </w:rPr>
        <w:t xml:space="preserve"> njihov </w:t>
      </w:r>
      <w:r>
        <w:rPr>
          <w:color w:val="000000"/>
          <w:kern w:val="2"/>
          <w:sz w:val="24"/>
          <w:lang w:eastAsia="hr-HR"/>
          <w14:ligatures w14:val="standardContextual"/>
        </w:rPr>
        <w:t xml:space="preserve">ukupni </w:t>
      </w:r>
      <w:r w:rsidRPr="0020532E">
        <w:rPr>
          <w:color w:val="000000"/>
          <w:kern w:val="2"/>
          <w:sz w:val="24"/>
          <w:lang w:eastAsia="hr-HR"/>
          <w14:ligatures w14:val="standardContextual"/>
        </w:rPr>
        <w:t xml:space="preserve">broj povećan je </w:t>
      </w:r>
      <w:r>
        <w:rPr>
          <w:color w:val="000000"/>
          <w:kern w:val="2"/>
          <w:sz w:val="24"/>
          <w:lang w:eastAsia="hr-HR"/>
          <w14:ligatures w14:val="standardContextual"/>
        </w:rPr>
        <w:t>za 9,9%</w:t>
      </w:r>
      <w:r w:rsidRPr="0020532E">
        <w:rPr>
          <w:color w:val="000000"/>
          <w:kern w:val="2"/>
          <w:sz w:val="24"/>
          <w:lang w:eastAsia="hr-HR"/>
          <w14:ligatures w14:val="standardContextual"/>
        </w:rPr>
        <w:t xml:space="preserve"> na 2</w:t>
      </w:r>
      <w:r>
        <w:rPr>
          <w:color w:val="000000"/>
          <w:kern w:val="2"/>
          <w:sz w:val="24"/>
          <w:lang w:eastAsia="hr-HR"/>
          <w14:ligatures w14:val="standardContextual"/>
        </w:rPr>
        <w:t>.</w:t>
      </w:r>
      <w:r w:rsidRPr="0020532E">
        <w:rPr>
          <w:color w:val="000000"/>
          <w:kern w:val="2"/>
          <w:sz w:val="24"/>
          <w:lang w:eastAsia="hr-HR"/>
          <w14:ligatures w14:val="standardContextual"/>
        </w:rPr>
        <w:t xml:space="preserve">279 (2024.), </w:t>
      </w:r>
      <w:r>
        <w:rPr>
          <w:color w:val="000000"/>
          <w:kern w:val="2"/>
          <w:sz w:val="24"/>
          <w:lang w:eastAsia="hr-HR"/>
          <w14:ligatures w14:val="standardContextual"/>
        </w:rPr>
        <w:t>uz istovremeni porast</w:t>
      </w:r>
      <w:r w:rsidRPr="0020532E">
        <w:rPr>
          <w:color w:val="000000"/>
          <w:kern w:val="2"/>
          <w:sz w:val="24"/>
          <w:lang w:eastAsia="hr-HR"/>
          <w14:ligatures w14:val="standardContextual"/>
        </w:rPr>
        <w:t xml:space="preserve"> </w:t>
      </w:r>
      <w:r>
        <w:rPr>
          <w:color w:val="000000"/>
          <w:kern w:val="2"/>
          <w:sz w:val="24"/>
          <w:lang w:eastAsia="hr-HR"/>
          <w14:ligatures w14:val="standardContextual"/>
        </w:rPr>
        <w:t xml:space="preserve">broja </w:t>
      </w:r>
      <w:r w:rsidRPr="0020532E">
        <w:rPr>
          <w:color w:val="000000"/>
          <w:kern w:val="2"/>
          <w:sz w:val="24"/>
          <w:lang w:eastAsia="hr-HR"/>
          <w14:ligatures w14:val="standardContextual"/>
        </w:rPr>
        <w:t xml:space="preserve">zaposlenika u tim poduzećima </w:t>
      </w:r>
      <w:r>
        <w:rPr>
          <w:color w:val="000000"/>
          <w:kern w:val="2"/>
          <w:sz w:val="24"/>
          <w:lang w:eastAsia="hr-HR"/>
          <w14:ligatures w14:val="standardContextual"/>
        </w:rPr>
        <w:t xml:space="preserve">za 7,1% </w:t>
      </w:r>
      <w:r w:rsidRPr="0020532E">
        <w:rPr>
          <w:color w:val="000000"/>
          <w:kern w:val="2"/>
          <w:sz w:val="24"/>
          <w:lang w:eastAsia="hr-HR"/>
          <w14:ligatures w14:val="standardContextual"/>
        </w:rPr>
        <w:t xml:space="preserve">na </w:t>
      </w:r>
      <w:r>
        <w:rPr>
          <w:color w:val="000000"/>
          <w:kern w:val="2"/>
          <w:sz w:val="24"/>
          <w:lang w:eastAsia="hr-HR"/>
          <w14:ligatures w14:val="standardContextual"/>
        </w:rPr>
        <w:t xml:space="preserve">ukupno </w:t>
      </w:r>
      <w:r w:rsidRPr="0020532E">
        <w:rPr>
          <w:color w:val="000000"/>
          <w:kern w:val="2"/>
          <w:sz w:val="24"/>
          <w:lang w:eastAsia="hr-HR"/>
          <w14:ligatures w14:val="standardContextual"/>
        </w:rPr>
        <w:t>127</w:t>
      </w:r>
      <w:r>
        <w:rPr>
          <w:color w:val="000000"/>
          <w:kern w:val="2"/>
          <w:sz w:val="24"/>
          <w:lang w:eastAsia="hr-HR"/>
          <w14:ligatures w14:val="standardContextual"/>
        </w:rPr>
        <w:t>.</w:t>
      </w:r>
      <w:r w:rsidRPr="0020532E">
        <w:rPr>
          <w:color w:val="000000"/>
          <w:kern w:val="2"/>
          <w:sz w:val="24"/>
          <w:lang w:eastAsia="hr-HR"/>
          <w14:ligatures w14:val="standardContextual"/>
        </w:rPr>
        <w:t>746</w:t>
      </w:r>
      <w:r>
        <w:rPr>
          <w:color w:val="000000"/>
          <w:kern w:val="2"/>
          <w:sz w:val="24"/>
          <w:lang w:eastAsia="hr-HR"/>
          <w14:ligatures w14:val="standardContextual"/>
        </w:rPr>
        <w:t xml:space="preserve">. </w:t>
      </w:r>
      <w:r w:rsidRPr="00F23C21">
        <w:rPr>
          <w:color w:val="000000"/>
          <w:kern w:val="2"/>
          <w:sz w:val="24"/>
          <w:lang w:eastAsia="hr-HR"/>
          <w14:ligatures w14:val="standardContextual"/>
        </w:rPr>
        <w:t xml:space="preserve">Stope preživljavanja novonastalih poduzeća </w:t>
      </w:r>
      <w:r>
        <w:rPr>
          <w:color w:val="000000"/>
          <w:kern w:val="2"/>
          <w:sz w:val="24"/>
          <w:lang w:eastAsia="hr-HR"/>
          <w14:ligatures w14:val="standardContextual"/>
        </w:rPr>
        <w:t xml:space="preserve">u 2024. </w:t>
      </w:r>
      <w:r w:rsidRPr="00F23C21">
        <w:rPr>
          <w:color w:val="000000"/>
          <w:kern w:val="2"/>
          <w:sz w:val="24"/>
          <w:lang w:eastAsia="hr-HR"/>
          <w14:ligatures w14:val="standardContextual"/>
        </w:rPr>
        <w:t>osta</w:t>
      </w:r>
      <w:r>
        <w:rPr>
          <w:color w:val="000000"/>
          <w:kern w:val="2"/>
          <w:sz w:val="24"/>
          <w:lang w:eastAsia="hr-HR"/>
          <w14:ligatures w14:val="standardContextual"/>
        </w:rPr>
        <w:t>le su</w:t>
      </w:r>
      <w:r w:rsidRPr="00F23C21">
        <w:rPr>
          <w:color w:val="000000"/>
          <w:kern w:val="2"/>
          <w:sz w:val="24"/>
          <w:lang w:eastAsia="hr-HR"/>
          <w14:ligatures w14:val="standardContextual"/>
        </w:rPr>
        <w:t xml:space="preserve"> stabilne</w:t>
      </w:r>
      <w:r>
        <w:rPr>
          <w:color w:val="000000"/>
          <w:kern w:val="2"/>
          <w:sz w:val="24"/>
          <w:lang w:eastAsia="hr-HR"/>
          <w14:ligatures w14:val="standardContextual"/>
        </w:rPr>
        <w:t>,</w:t>
      </w:r>
      <w:r w:rsidRPr="00F23C21">
        <w:rPr>
          <w:color w:val="000000"/>
          <w:kern w:val="2"/>
          <w:sz w:val="24"/>
          <w:lang w:eastAsia="hr-HR"/>
          <w14:ligatures w14:val="standardContextual"/>
        </w:rPr>
        <w:t xml:space="preserve"> </w:t>
      </w:r>
      <w:r>
        <w:rPr>
          <w:color w:val="000000"/>
          <w:kern w:val="2"/>
          <w:sz w:val="24"/>
          <w:lang w:eastAsia="hr-HR"/>
          <w14:ligatures w14:val="standardContextual"/>
        </w:rPr>
        <w:t xml:space="preserve">kao i u prethodnoj godini te </w:t>
      </w:r>
      <w:r w:rsidRPr="00F23C21">
        <w:rPr>
          <w:color w:val="000000"/>
          <w:kern w:val="2"/>
          <w:sz w:val="24"/>
          <w:lang w:eastAsia="hr-HR"/>
          <w14:ligatures w14:val="standardContextual"/>
        </w:rPr>
        <w:t xml:space="preserve">jednogodišnja stopa </w:t>
      </w:r>
      <w:r>
        <w:rPr>
          <w:color w:val="000000"/>
          <w:kern w:val="2"/>
          <w:sz w:val="24"/>
          <w:lang w:eastAsia="hr-HR"/>
          <w14:ligatures w14:val="standardContextual"/>
        </w:rPr>
        <w:t xml:space="preserve">preživljavanja </w:t>
      </w:r>
      <w:r w:rsidRPr="00F23C21">
        <w:rPr>
          <w:color w:val="000000"/>
          <w:kern w:val="2"/>
          <w:sz w:val="24"/>
          <w:lang w:eastAsia="hr-HR"/>
          <w14:ligatures w14:val="standardContextual"/>
        </w:rPr>
        <w:t xml:space="preserve">za </w:t>
      </w:r>
      <w:r>
        <w:rPr>
          <w:color w:val="000000"/>
          <w:kern w:val="2"/>
          <w:sz w:val="24"/>
          <w:lang w:eastAsia="hr-HR"/>
          <w14:ligatures w14:val="standardContextual"/>
        </w:rPr>
        <w:t>novonastala poduzeća</w:t>
      </w:r>
      <w:r w:rsidRPr="00F23C21">
        <w:rPr>
          <w:color w:val="000000"/>
          <w:kern w:val="2"/>
          <w:sz w:val="24"/>
          <w:lang w:eastAsia="hr-HR"/>
          <w14:ligatures w14:val="standardContextual"/>
        </w:rPr>
        <w:t xml:space="preserve"> iznosi oko 85%</w:t>
      </w:r>
      <w:r>
        <w:rPr>
          <w:color w:val="000000"/>
          <w:kern w:val="2"/>
          <w:sz w:val="24"/>
          <w:lang w:eastAsia="hr-HR"/>
          <w14:ligatures w14:val="standardContextual"/>
        </w:rPr>
        <w:t xml:space="preserve">. Stabilne stope preživljavanja </w:t>
      </w:r>
      <w:r w:rsidRPr="00F23C21">
        <w:rPr>
          <w:color w:val="000000"/>
          <w:kern w:val="2"/>
          <w:sz w:val="24"/>
          <w:lang w:eastAsia="hr-HR"/>
          <w14:ligatures w14:val="standardContextual"/>
        </w:rPr>
        <w:t xml:space="preserve">u kombinaciji s </w:t>
      </w:r>
      <w:r>
        <w:rPr>
          <w:color w:val="000000"/>
          <w:kern w:val="2"/>
          <w:sz w:val="24"/>
          <w:lang w:eastAsia="hr-HR"/>
          <w14:ligatures w14:val="standardContextual"/>
        </w:rPr>
        <w:t xml:space="preserve">podacima o </w:t>
      </w:r>
      <w:r w:rsidRPr="00F23C21">
        <w:rPr>
          <w:color w:val="000000"/>
          <w:kern w:val="2"/>
          <w:sz w:val="24"/>
          <w:lang w:eastAsia="hr-HR"/>
          <w14:ligatures w14:val="standardContextual"/>
        </w:rPr>
        <w:t>rast</w:t>
      </w:r>
      <w:r>
        <w:rPr>
          <w:color w:val="000000"/>
          <w:kern w:val="2"/>
          <w:sz w:val="24"/>
          <w:lang w:eastAsia="hr-HR"/>
          <w14:ligatures w14:val="standardContextual"/>
        </w:rPr>
        <w:t>u</w:t>
      </w:r>
      <w:r w:rsidRPr="00F23C21">
        <w:rPr>
          <w:color w:val="000000"/>
          <w:kern w:val="2"/>
          <w:sz w:val="24"/>
          <w:lang w:eastAsia="hr-HR"/>
          <w14:ligatures w14:val="standardContextual"/>
        </w:rPr>
        <w:t xml:space="preserve"> zaposlenosti i jačanj</w:t>
      </w:r>
      <w:r>
        <w:rPr>
          <w:color w:val="000000"/>
          <w:kern w:val="2"/>
          <w:sz w:val="24"/>
          <w:lang w:eastAsia="hr-HR"/>
          <w14:ligatures w14:val="standardContextual"/>
        </w:rPr>
        <w:t>u skupine</w:t>
      </w:r>
      <w:r w:rsidRPr="00F23C21">
        <w:rPr>
          <w:color w:val="000000"/>
          <w:kern w:val="2"/>
          <w:sz w:val="24"/>
          <w:lang w:eastAsia="hr-HR"/>
          <w14:ligatures w14:val="standardContextual"/>
        </w:rPr>
        <w:t xml:space="preserve"> brzorastuć</w:t>
      </w:r>
      <w:r>
        <w:rPr>
          <w:color w:val="000000"/>
          <w:kern w:val="2"/>
          <w:sz w:val="24"/>
          <w:lang w:eastAsia="hr-HR"/>
          <w14:ligatures w14:val="standardContextual"/>
        </w:rPr>
        <w:t>ih poduzeća,</w:t>
      </w:r>
      <w:r w:rsidRPr="00F23C21">
        <w:rPr>
          <w:color w:val="000000"/>
          <w:kern w:val="2"/>
          <w:sz w:val="24"/>
          <w:lang w:eastAsia="hr-HR"/>
          <w14:ligatures w14:val="standardContextual"/>
        </w:rPr>
        <w:t xml:space="preserve"> upućuj</w:t>
      </w:r>
      <w:r>
        <w:rPr>
          <w:color w:val="000000"/>
          <w:kern w:val="2"/>
          <w:sz w:val="24"/>
          <w:lang w:eastAsia="hr-HR"/>
          <w14:ligatures w14:val="standardContextual"/>
        </w:rPr>
        <w:t>u</w:t>
      </w:r>
      <w:r w:rsidRPr="00F23C21">
        <w:rPr>
          <w:color w:val="000000"/>
          <w:kern w:val="2"/>
          <w:sz w:val="24"/>
          <w:lang w:eastAsia="hr-HR"/>
          <w14:ligatures w14:val="standardContextual"/>
        </w:rPr>
        <w:t xml:space="preserve"> na otporniji i dinamičniji poduzetnički ekosustav u 2024. u odnosu na 2023.</w:t>
      </w:r>
      <w:r>
        <w:rPr>
          <w:color w:val="000000"/>
          <w:kern w:val="2"/>
          <w:sz w:val="24"/>
          <w:lang w:eastAsia="hr-HR"/>
          <w14:ligatures w14:val="standardContextual"/>
        </w:rPr>
        <w:t xml:space="preserve"> godinu.</w:t>
      </w:r>
    </w:p>
    <w:p w14:paraId="7ED8C2A3" w14:textId="77777777" w:rsidR="00FB178A" w:rsidRDefault="00FB178A" w:rsidP="00FB178A">
      <w:pPr>
        <w:widowControl/>
        <w:autoSpaceDE/>
        <w:autoSpaceDN/>
        <w:spacing w:after="216" w:line="276" w:lineRule="auto"/>
        <w:jc w:val="both"/>
        <w:rPr>
          <w:color w:val="000000"/>
          <w:kern w:val="2"/>
          <w:sz w:val="24"/>
          <w:lang w:eastAsia="hr-HR"/>
          <w14:ligatures w14:val="standardContextual"/>
        </w:rPr>
      </w:pPr>
      <w:r>
        <w:rPr>
          <w:color w:val="000000"/>
          <w:kern w:val="2"/>
          <w:sz w:val="24"/>
          <w:lang w:eastAsia="hr-HR"/>
          <w14:ligatures w14:val="standardContextual"/>
        </w:rPr>
        <w:t>S</w:t>
      </w:r>
      <w:r w:rsidRPr="00F82B9D">
        <w:rPr>
          <w:color w:val="000000"/>
          <w:kern w:val="2"/>
          <w:sz w:val="24"/>
          <w:lang w:eastAsia="hr-HR"/>
          <w14:ligatures w14:val="standardContextual"/>
        </w:rPr>
        <w:t xml:space="preserve"> ciljem </w:t>
      </w:r>
      <w:r>
        <w:rPr>
          <w:color w:val="000000"/>
          <w:kern w:val="2"/>
          <w:sz w:val="24"/>
          <w:lang w:eastAsia="hr-HR"/>
          <w14:ligatures w14:val="standardContextual"/>
        </w:rPr>
        <w:t>nastavka</w:t>
      </w:r>
      <w:r w:rsidRPr="00F82B9D">
        <w:rPr>
          <w:color w:val="000000"/>
          <w:kern w:val="2"/>
          <w:sz w:val="24"/>
          <w:lang w:eastAsia="hr-HR"/>
          <w14:ligatures w14:val="standardContextual"/>
        </w:rPr>
        <w:t xml:space="preserve"> optimizacije i digitalizacije administrativnih postupaka za koje je utvrđeno da </w:t>
      </w:r>
      <w:r>
        <w:rPr>
          <w:color w:val="000000"/>
          <w:kern w:val="2"/>
          <w:sz w:val="24"/>
          <w:lang w:eastAsia="hr-HR"/>
          <w14:ligatures w14:val="standardContextual"/>
        </w:rPr>
        <w:t>stvaraju</w:t>
      </w:r>
      <w:r w:rsidRPr="00F82B9D">
        <w:rPr>
          <w:color w:val="000000"/>
          <w:kern w:val="2"/>
          <w:sz w:val="24"/>
          <w:lang w:eastAsia="hr-HR"/>
          <w14:ligatures w14:val="standardContextual"/>
        </w:rPr>
        <w:t xml:space="preserve"> najveće opterećenje za </w:t>
      </w:r>
      <w:r>
        <w:rPr>
          <w:color w:val="000000"/>
          <w:kern w:val="2"/>
          <w:sz w:val="24"/>
          <w:lang w:eastAsia="hr-HR"/>
          <w14:ligatures w14:val="standardContextual"/>
        </w:rPr>
        <w:t xml:space="preserve">poslovanje </w:t>
      </w:r>
      <w:r w:rsidRPr="00F82B9D">
        <w:rPr>
          <w:color w:val="000000"/>
          <w:kern w:val="2"/>
          <w:sz w:val="24"/>
          <w:lang w:eastAsia="hr-HR"/>
          <w14:ligatures w14:val="standardContextual"/>
        </w:rPr>
        <w:t>privatn</w:t>
      </w:r>
      <w:r>
        <w:rPr>
          <w:color w:val="000000"/>
          <w:kern w:val="2"/>
          <w:sz w:val="24"/>
          <w:lang w:eastAsia="hr-HR"/>
          <w14:ligatures w14:val="standardContextual"/>
        </w:rPr>
        <w:t>og</w:t>
      </w:r>
      <w:r w:rsidRPr="00F82B9D">
        <w:rPr>
          <w:color w:val="000000"/>
          <w:kern w:val="2"/>
          <w:sz w:val="24"/>
          <w:lang w:eastAsia="hr-HR"/>
          <w14:ligatures w14:val="standardContextual"/>
        </w:rPr>
        <w:t xml:space="preserve"> sektor</w:t>
      </w:r>
      <w:r>
        <w:rPr>
          <w:color w:val="000000"/>
          <w:kern w:val="2"/>
          <w:sz w:val="24"/>
          <w:lang w:eastAsia="hr-HR"/>
          <w14:ligatures w14:val="standardContextual"/>
        </w:rPr>
        <w:t>a, u</w:t>
      </w:r>
      <w:r w:rsidRPr="00F650BB">
        <w:rPr>
          <w:color w:val="000000"/>
          <w:kern w:val="2"/>
          <w:sz w:val="24"/>
          <w:lang w:eastAsia="hr-HR"/>
          <w14:ligatures w14:val="standardContextual"/>
        </w:rPr>
        <w:t xml:space="preserve"> </w:t>
      </w:r>
      <w:r>
        <w:rPr>
          <w:color w:val="000000"/>
          <w:kern w:val="2"/>
          <w:sz w:val="24"/>
          <w:lang w:eastAsia="hr-HR"/>
          <w14:ligatures w14:val="standardContextual"/>
        </w:rPr>
        <w:t>okviru</w:t>
      </w:r>
      <w:r w:rsidRPr="00F650BB">
        <w:rPr>
          <w:color w:val="000000"/>
          <w:kern w:val="2"/>
          <w:sz w:val="24"/>
          <w:lang w:eastAsia="hr-HR"/>
          <w14:ligatures w14:val="standardContextual"/>
        </w:rPr>
        <w:t xml:space="preserve"> NPOO reformske mjere „Nastavak reforme poslovnog okruženja </w:t>
      </w:r>
      <w:r>
        <w:rPr>
          <w:color w:val="000000"/>
          <w:kern w:val="2"/>
          <w:sz w:val="24"/>
          <w:lang w:eastAsia="hr-HR"/>
          <w14:ligatures w14:val="standardContextual"/>
        </w:rPr>
        <w:t>radi</w:t>
      </w:r>
      <w:r w:rsidRPr="00F650BB">
        <w:rPr>
          <w:color w:val="000000"/>
          <w:kern w:val="2"/>
          <w:sz w:val="24"/>
          <w:lang w:eastAsia="hr-HR"/>
          <w14:ligatures w14:val="standardContextual"/>
        </w:rPr>
        <w:t xml:space="preserve"> stvaranja uvjeta za jednostavnije i povoljnije poslovanje hrvatskih poduzetnika“ usvojen je peti </w:t>
      </w:r>
      <w:r>
        <w:rPr>
          <w:color w:val="000000"/>
          <w:kern w:val="2"/>
          <w:sz w:val="24"/>
          <w:lang w:eastAsia="hr-HR"/>
          <w14:ligatures w14:val="standardContextual"/>
        </w:rPr>
        <w:t>„</w:t>
      </w:r>
      <w:r w:rsidRPr="00F650BB">
        <w:rPr>
          <w:color w:val="000000"/>
          <w:kern w:val="2"/>
          <w:sz w:val="24"/>
          <w:lang w:eastAsia="hr-HR"/>
          <w14:ligatures w14:val="standardContextual"/>
        </w:rPr>
        <w:t>Akcijski plan za administrativno rasterećenje gospodarstva</w:t>
      </w:r>
      <w:r>
        <w:rPr>
          <w:color w:val="000000"/>
          <w:kern w:val="2"/>
          <w:sz w:val="24"/>
          <w:lang w:eastAsia="hr-HR"/>
          <w14:ligatures w14:val="standardContextual"/>
        </w:rPr>
        <w:t xml:space="preserve"> za 2024. i 2025. godinu“</w:t>
      </w:r>
      <w:r w:rsidRPr="00F650BB">
        <w:rPr>
          <w:color w:val="000000"/>
          <w:kern w:val="2"/>
          <w:sz w:val="24"/>
          <w:lang w:eastAsia="hr-HR"/>
          <w14:ligatures w14:val="standardContextual"/>
        </w:rPr>
        <w:t xml:space="preserve"> te drugi </w:t>
      </w:r>
      <w:r>
        <w:rPr>
          <w:color w:val="000000"/>
          <w:kern w:val="2"/>
          <w:sz w:val="24"/>
          <w:lang w:eastAsia="hr-HR"/>
          <w14:ligatures w14:val="standardContextual"/>
        </w:rPr>
        <w:t>„</w:t>
      </w:r>
      <w:r w:rsidRPr="00F650BB">
        <w:rPr>
          <w:color w:val="000000"/>
          <w:kern w:val="2"/>
          <w:sz w:val="24"/>
          <w:lang w:eastAsia="hr-HR"/>
          <w14:ligatures w14:val="standardContextual"/>
        </w:rPr>
        <w:t>Akcijski plan za smanjenje neporeznih i parafiskalnih davanja</w:t>
      </w:r>
      <w:r>
        <w:rPr>
          <w:color w:val="000000"/>
          <w:kern w:val="2"/>
          <w:sz w:val="24"/>
          <w:lang w:eastAsia="hr-HR"/>
          <w14:ligatures w14:val="standardContextual"/>
        </w:rPr>
        <w:t xml:space="preserve"> u 2023. za 2024. godinu“</w:t>
      </w:r>
      <w:r w:rsidRPr="00F650BB">
        <w:rPr>
          <w:color w:val="000000"/>
          <w:kern w:val="2"/>
          <w:sz w:val="24"/>
          <w:lang w:eastAsia="hr-HR"/>
          <w14:ligatures w14:val="standardContextual"/>
        </w:rPr>
        <w:t xml:space="preserve">. Do kraja 2024. </w:t>
      </w:r>
      <w:r>
        <w:rPr>
          <w:color w:val="000000"/>
          <w:kern w:val="2"/>
          <w:sz w:val="24"/>
          <w:lang w:eastAsia="hr-HR"/>
          <w14:ligatures w14:val="standardContextual"/>
        </w:rPr>
        <w:t xml:space="preserve">uspješno su </w:t>
      </w:r>
      <w:r w:rsidRPr="00F650BB">
        <w:rPr>
          <w:color w:val="000000"/>
          <w:kern w:val="2"/>
          <w:sz w:val="24"/>
          <w:lang w:eastAsia="hr-HR"/>
          <w14:ligatures w14:val="standardContextual"/>
        </w:rPr>
        <w:t>proved</w:t>
      </w:r>
      <w:r>
        <w:rPr>
          <w:color w:val="000000"/>
          <w:kern w:val="2"/>
          <w:sz w:val="24"/>
          <w:lang w:eastAsia="hr-HR"/>
          <w14:ligatures w14:val="standardContextual"/>
        </w:rPr>
        <w:t>ene 43</w:t>
      </w:r>
      <w:r w:rsidRPr="00F650BB">
        <w:rPr>
          <w:color w:val="000000"/>
          <w:kern w:val="2"/>
          <w:sz w:val="24"/>
          <w:lang w:eastAsia="hr-HR"/>
          <w14:ligatures w14:val="standardContextual"/>
        </w:rPr>
        <w:t xml:space="preserve"> mjer</w:t>
      </w:r>
      <w:r>
        <w:rPr>
          <w:color w:val="000000"/>
          <w:kern w:val="2"/>
          <w:sz w:val="24"/>
          <w:lang w:eastAsia="hr-HR"/>
          <w14:ligatures w14:val="standardContextual"/>
        </w:rPr>
        <w:t>e</w:t>
      </w:r>
      <w:r w:rsidRPr="00F650BB">
        <w:rPr>
          <w:color w:val="000000"/>
          <w:kern w:val="2"/>
          <w:sz w:val="24"/>
          <w:lang w:eastAsia="hr-HR"/>
          <w14:ligatures w14:val="standardContextual"/>
        </w:rPr>
        <w:t xml:space="preserve"> iz Akcijskog plana za administrativno rasterećenje gospodarstva</w:t>
      </w:r>
      <w:r>
        <w:rPr>
          <w:color w:val="000000"/>
          <w:kern w:val="2"/>
          <w:sz w:val="24"/>
          <w:lang w:eastAsia="hr-HR"/>
          <w14:ligatures w14:val="standardContextual"/>
        </w:rPr>
        <w:t>,</w:t>
      </w:r>
      <w:r w:rsidRPr="00F650BB">
        <w:rPr>
          <w:color w:val="000000"/>
          <w:kern w:val="2"/>
          <w:sz w:val="24"/>
          <w:lang w:eastAsia="hr-HR"/>
          <w14:ligatures w14:val="standardContextual"/>
        </w:rPr>
        <w:t xml:space="preserve"> </w:t>
      </w:r>
      <w:r>
        <w:rPr>
          <w:color w:val="000000"/>
          <w:kern w:val="2"/>
          <w:sz w:val="24"/>
          <w:lang w:eastAsia="hr-HR"/>
          <w14:ligatures w14:val="standardContextual"/>
        </w:rPr>
        <w:t xml:space="preserve">čime je </w:t>
      </w:r>
      <w:r w:rsidRPr="00F650BB">
        <w:rPr>
          <w:color w:val="000000"/>
          <w:kern w:val="2"/>
          <w:sz w:val="24"/>
          <w:lang w:eastAsia="hr-HR"/>
          <w14:ligatures w14:val="standardContextual"/>
        </w:rPr>
        <w:t xml:space="preserve">ostvareno ukupno rasterećenje </w:t>
      </w:r>
      <w:r>
        <w:rPr>
          <w:color w:val="000000"/>
          <w:kern w:val="2"/>
          <w:sz w:val="24"/>
          <w:lang w:eastAsia="hr-HR"/>
          <w14:ligatures w14:val="standardContextual"/>
        </w:rPr>
        <w:t xml:space="preserve">gospodarstva </w:t>
      </w:r>
      <w:r w:rsidRPr="00F650BB">
        <w:rPr>
          <w:color w:val="000000"/>
          <w:kern w:val="2"/>
          <w:sz w:val="24"/>
          <w:lang w:eastAsia="hr-HR"/>
          <w14:ligatures w14:val="standardContextual"/>
        </w:rPr>
        <w:t>u iznosu od 206,9 m</w:t>
      </w:r>
      <w:r>
        <w:rPr>
          <w:color w:val="000000"/>
          <w:kern w:val="2"/>
          <w:sz w:val="24"/>
          <w:lang w:eastAsia="hr-HR"/>
          <w14:ligatures w14:val="standardContextual"/>
        </w:rPr>
        <w:t>ilijuna eura. Istovremeno provedena je 61</w:t>
      </w:r>
      <w:r w:rsidRPr="00F650BB">
        <w:rPr>
          <w:color w:val="000000"/>
          <w:kern w:val="2"/>
          <w:sz w:val="24"/>
          <w:lang w:eastAsia="hr-HR"/>
          <w14:ligatures w14:val="standardContextual"/>
        </w:rPr>
        <w:t xml:space="preserve"> mjera iz drugog Akcijskog plan za smanjenje neporeznih i parafiskalnih davanja </w:t>
      </w:r>
      <w:r>
        <w:rPr>
          <w:color w:val="000000"/>
          <w:kern w:val="2"/>
          <w:sz w:val="24"/>
          <w:lang w:eastAsia="hr-HR"/>
          <w14:ligatures w14:val="standardContextual"/>
        </w:rPr>
        <w:t>čime je</w:t>
      </w:r>
      <w:r w:rsidRPr="00F650BB">
        <w:rPr>
          <w:color w:val="000000"/>
          <w:kern w:val="2"/>
          <w:sz w:val="24"/>
          <w:lang w:eastAsia="hr-HR"/>
          <w14:ligatures w14:val="standardContextual"/>
        </w:rPr>
        <w:t xml:space="preserve"> ostvareno rasterećenje gospodarstva u iznosu većem od 132,8 milijuna </w:t>
      </w:r>
      <w:r>
        <w:rPr>
          <w:color w:val="000000"/>
          <w:kern w:val="2"/>
          <w:sz w:val="24"/>
          <w:lang w:eastAsia="hr-HR"/>
          <w14:ligatures w14:val="standardContextual"/>
        </w:rPr>
        <w:t>eura</w:t>
      </w:r>
      <w:r w:rsidRPr="00F650BB">
        <w:rPr>
          <w:color w:val="000000"/>
          <w:kern w:val="2"/>
          <w:sz w:val="24"/>
          <w:lang w:eastAsia="hr-HR"/>
          <w14:ligatures w14:val="standardContextual"/>
        </w:rPr>
        <w:t>.</w:t>
      </w:r>
      <w:r>
        <w:rPr>
          <w:color w:val="000000"/>
          <w:kern w:val="2"/>
          <w:sz w:val="24"/>
          <w:lang w:eastAsia="hr-HR"/>
          <w14:ligatures w14:val="standardContextual"/>
        </w:rPr>
        <w:t xml:space="preserve"> </w:t>
      </w:r>
      <w:r w:rsidRPr="00995A4A">
        <w:rPr>
          <w:color w:val="000000"/>
          <w:kern w:val="2"/>
          <w:sz w:val="24"/>
          <w:lang w:eastAsia="hr-HR"/>
          <w14:ligatures w14:val="standardContextual"/>
        </w:rPr>
        <w:t>Administrativno rasterećenje je primarno usmjereno na uklanjanje administrativnih troškova za poduzetnike, no provedb</w:t>
      </w:r>
      <w:r>
        <w:rPr>
          <w:color w:val="000000"/>
          <w:kern w:val="2"/>
          <w:sz w:val="24"/>
          <w:lang w:eastAsia="hr-HR"/>
          <w14:ligatures w14:val="standardContextual"/>
        </w:rPr>
        <w:t>om</w:t>
      </w:r>
      <w:r w:rsidRPr="00995A4A">
        <w:rPr>
          <w:color w:val="000000"/>
          <w:kern w:val="2"/>
          <w:sz w:val="24"/>
          <w:lang w:eastAsia="hr-HR"/>
          <w14:ligatures w14:val="standardContextual"/>
        </w:rPr>
        <w:t xml:space="preserve"> mjera</w:t>
      </w:r>
      <w:r>
        <w:rPr>
          <w:color w:val="000000"/>
          <w:kern w:val="2"/>
          <w:sz w:val="24"/>
          <w:lang w:eastAsia="hr-HR"/>
          <w14:ligatures w14:val="standardContextual"/>
        </w:rPr>
        <w:t xml:space="preserve"> doprinosi se </w:t>
      </w:r>
      <w:r w:rsidRPr="00995A4A">
        <w:rPr>
          <w:color w:val="000000"/>
          <w:kern w:val="2"/>
          <w:sz w:val="24"/>
          <w:lang w:eastAsia="hr-HR"/>
          <w14:ligatures w14:val="standardContextual"/>
        </w:rPr>
        <w:t>i već</w:t>
      </w:r>
      <w:r>
        <w:rPr>
          <w:color w:val="000000"/>
          <w:kern w:val="2"/>
          <w:sz w:val="24"/>
          <w:lang w:eastAsia="hr-HR"/>
          <w14:ligatures w14:val="standardContextual"/>
        </w:rPr>
        <w:t>oj</w:t>
      </w:r>
      <w:r w:rsidRPr="00995A4A">
        <w:rPr>
          <w:color w:val="000000"/>
          <w:kern w:val="2"/>
          <w:sz w:val="24"/>
          <w:lang w:eastAsia="hr-HR"/>
          <w14:ligatures w14:val="standardContextual"/>
        </w:rPr>
        <w:t xml:space="preserve"> učinkovitosti rada javnih službi. </w:t>
      </w:r>
    </w:p>
    <w:p w14:paraId="5CAFE937" w14:textId="77777777" w:rsidR="00FB178A" w:rsidRDefault="00FB178A" w:rsidP="00FB178A">
      <w:pPr>
        <w:widowControl/>
        <w:autoSpaceDE/>
        <w:autoSpaceDN/>
        <w:spacing w:after="216" w:line="276" w:lineRule="auto"/>
        <w:jc w:val="both"/>
        <w:rPr>
          <w:color w:val="000000"/>
          <w:kern w:val="2"/>
          <w:sz w:val="24"/>
          <w:lang w:eastAsia="hr-HR"/>
          <w14:ligatures w14:val="standardContextual"/>
        </w:rPr>
      </w:pPr>
      <w:r>
        <w:rPr>
          <w:color w:val="000000"/>
          <w:kern w:val="2"/>
          <w:sz w:val="24"/>
          <w:lang w:eastAsia="hr-HR"/>
          <w14:ligatures w14:val="standardContextual"/>
        </w:rPr>
        <w:t xml:space="preserve">Radi jačanja konkurentnosti i privlačnosti poslovnog okruženja u Hrvatskoj, uspješno su nastavljeni napori na provedbi Zakona o poticanju ulaganja („Narodne novine“, br. 63/22. i 136/24.). </w:t>
      </w:r>
      <w:r w:rsidRPr="00A70A54">
        <w:rPr>
          <w:color w:val="000000"/>
          <w:kern w:val="2"/>
          <w:sz w:val="24"/>
          <w:lang w:eastAsia="hr-HR"/>
          <w14:ligatures w14:val="standardContextual"/>
        </w:rPr>
        <w:t>U skladu s odredbama</w:t>
      </w:r>
      <w:r>
        <w:rPr>
          <w:color w:val="000000"/>
          <w:kern w:val="2"/>
          <w:sz w:val="24"/>
          <w:lang w:eastAsia="hr-HR"/>
          <w14:ligatures w14:val="standardContextual"/>
        </w:rPr>
        <w:t xml:space="preserve"> predmetnog</w:t>
      </w:r>
      <w:r w:rsidRPr="00A70A54">
        <w:rPr>
          <w:color w:val="000000"/>
          <w:kern w:val="2"/>
          <w:sz w:val="24"/>
          <w:lang w:eastAsia="hr-HR"/>
          <w14:ligatures w14:val="standardContextual"/>
        </w:rPr>
        <w:t xml:space="preserve"> Zakona</w:t>
      </w:r>
      <w:r>
        <w:rPr>
          <w:color w:val="000000"/>
          <w:kern w:val="2"/>
          <w:sz w:val="24"/>
          <w:lang w:eastAsia="hr-HR"/>
          <w14:ligatures w14:val="standardContextual"/>
        </w:rPr>
        <w:t>, tijekom 2024.</w:t>
      </w:r>
      <w:r w:rsidRPr="00A70A54">
        <w:rPr>
          <w:color w:val="000000"/>
          <w:kern w:val="2"/>
          <w:sz w:val="24"/>
          <w:lang w:eastAsia="hr-HR"/>
          <w14:ligatures w14:val="standardContextual"/>
        </w:rPr>
        <w:t xml:space="preserve"> zaprimljeno je 176 prijava za korištenje državnih potpora za projekte ulaganja mikro, malih, srednjih i velikih poduzetnika.</w:t>
      </w:r>
      <w:r>
        <w:rPr>
          <w:color w:val="000000"/>
          <w:kern w:val="2"/>
          <w:sz w:val="24"/>
          <w:lang w:eastAsia="hr-HR"/>
          <w14:ligatures w14:val="standardContextual"/>
        </w:rPr>
        <w:t xml:space="preserve"> Korištenje p</w:t>
      </w:r>
      <w:r w:rsidRPr="00C63745">
        <w:rPr>
          <w:color w:val="000000"/>
          <w:kern w:val="2"/>
          <w:sz w:val="24"/>
          <w:lang w:eastAsia="hr-HR"/>
          <w14:ligatures w14:val="standardContextual"/>
        </w:rPr>
        <w:t>otpor</w:t>
      </w:r>
      <w:r>
        <w:rPr>
          <w:color w:val="000000"/>
          <w:kern w:val="2"/>
          <w:sz w:val="24"/>
          <w:lang w:eastAsia="hr-HR"/>
          <w14:ligatures w14:val="standardContextual"/>
        </w:rPr>
        <w:t>e</w:t>
      </w:r>
      <w:r w:rsidRPr="00C63745">
        <w:rPr>
          <w:color w:val="000000"/>
          <w:kern w:val="2"/>
          <w:sz w:val="24"/>
          <w:lang w:eastAsia="hr-HR"/>
          <w14:ligatures w14:val="standardContextual"/>
        </w:rPr>
        <w:t xml:space="preserve"> je odobren</w:t>
      </w:r>
      <w:r>
        <w:rPr>
          <w:color w:val="000000"/>
          <w:kern w:val="2"/>
          <w:sz w:val="24"/>
          <w:lang w:eastAsia="hr-HR"/>
          <w14:ligatures w14:val="standardContextual"/>
        </w:rPr>
        <w:t>o</w:t>
      </w:r>
      <w:r w:rsidRPr="00C63745">
        <w:rPr>
          <w:color w:val="000000"/>
          <w:kern w:val="2"/>
          <w:sz w:val="24"/>
          <w:lang w:eastAsia="hr-HR"/>
          <w14:ligatures w14:val="standardContextual"/>
        </w:rPr>
        <w:t xml:space="preserve"> za 82 projekta, ukupne planirane vrijednosti ulaganja od 658 milijuna eura, uz očekivano otvaranje 2.540 novih radnih mjesta. Navedeni rezultati potvrđuju nastavak snažne investicijske aktivnosti privatnog sektora i doprinose stvaranju poticajnog, predvidivog i konkurentnog poslovnog okvira</w:t>
      </w:r>
      <w:r>
        <w:rPr>
          <w:color w:val="000000"/>
          <w:kern w:val="2"/>
          <w:sz w:val="24"/>
          <w:lang w:eastAsia="hr-HR"/>
          <w14:ligatures w14:val="standardContextual"/>
        </w:rPr>
        <w:t>,</w:t>
      </w:r>
      <w:r w:rsidRPr="00C63745">
        <w:rPr>
          <w:color w:val="000000"/>
          <w:kern w:val="2"/>
          <w:sz w:val="24"/>
          <w:lang w:eastAsia="hr-HR"/>
          <w14:ligatures w14:val="standardContextual"/>
        </w:rPr>
        <w:t xml:space="preserve"> koji omogućuje privlačenje novih investicija </w:t>
      </w:r>
      <w:r>
        <w:rPr>
          <w:color w:val="000000"/>
          <w:kern w:val="2"/>
          <w:sz w:val="24"/>
          <w:lang w:eastAsia="hr-HR"/>
          <w14:ligatures w14:val="standardContextual"/>
        </w:rPr>
        <w:t>uz</w:t>
      </w:r>
      <w:r w:rsidRPr="00C63745">
        <w:rPr>
          <w:color w:val="000000"/>
          <w:kern w:val="2"/>
          <w:sz w:val="24"/>
          <w:lang w:eastAsia="hr-HR"/>
          <w14:ligatures w14:val="standardContextual"/>
        </w:rPr>
        <w:t xml:space="preserve"> otvaranje kvalitetnih radnih mjesta.</w:t>
      </w:r>
    </w:p>
    <w:p w14:paraId="6392C283" w14:textId="77777777" w:rsidR="00FB178A" w:rsidRDefault="00FB178A" w:rsidP="00FB178A">
      <w:pPr>
        <w:widowControl/>
        <w:autoSpaceDE/>
        <w:autoSpaceDN/>
        <w:spacing w:after="216" w:line="276" w:lineRule="auto"/>
        <w:jc w:val="both"/>
        <w:rPr>
          <w:color w:val="000000"/>
          <w:kern w:val="2"/>
          <w:sz w:val="24"/>
          <w:lang w:eastAsia="hr-HR"/>
          <w14:ligatures w14:val="standardContextual"/>
        </w:rPr>
      </w:pPr>
      <w:bookmarkStart w:id="57" w:name="_Toc26139"/>
      <w:r>
        <w:rPr>
          <w:color w:val="000000"/>
          <w:kern w:val="2"/>
          <w:sz w:val="24"/>
          <w:lang w:eastAsia="hr-HR"/>
          <w14:ligatures w14:val="standardContextual"/>
        </w:rPr>
        <w:t>S</w:t>
      </w:r>
      <w:r w:rsidRPr="0039420F">
        <w:rPr>
          <w:color w:val="000000"/>
          <w:kern w:val="2"/>
          <w:sz w:val="24"/>
          <w:lang w:eastAsia="hr-HR"/>
          <w14:ligatures w14:val="standardContextual"/>
        </w:rPr>
        <w:t xml:space="preserve"> ciljem jačanja konkurentnosti hrvatskih izvoznika na međunarodnim tržištima, nastavljene su aktivnosti osiguranja i reosiguranja izvoznog prometa</w:t>
      </w:r>
      <w:r>
        <w:rPr>
          <w:color w:val="000000"/>
          <w:kern w:val="2"/>
          <w:sz w:val="24"/>
          <w:lang w:eastAsia="hr-HR"/>
          <w14:ligatures w14:val="standardContextual"/>
        </w:rPr>
        <w:t>,</w:t>
      </w:r>
      <w:r w:rsidRPr="0039420F">
        <w:rPr>
          <w:color w:val="000000"/>
          <w:kern w:val="2"/>
          <w:sz w:val="24"/>
          <w:lang w:eastAsia="hr-HR"/>
          <w14:ligatures w14:val="standardContextual"/>
        </w:rPr>
        <w:t xml:space="preserve"> koje u ime i za račun Republike Hrvatske provodi H</w:t>
      </w:r>
      <w:r>
        <w:rPr>
          <w:color w:val="000000"/>
          <w:kern w:val="2"/>
          <w:sz w:val="24"/>
          <w:lang w:eastAsia="hr-HR"/>
          <w14:ligatures w14:val="standardContextual"/>
        </w:rPr>
        <w:t>BOR</w:t>
      </w:r>
      <w:r w:rsidRPr="0039420F">
        <w:rPr>
          <w:color w:val="000000"/>
          <w:kern w:val="2"/>
          <w:sz w:val="24"/>
          <w:lang w:eastAsia="hr-HR"/>
          <w14:ligatures w14:val="standardContextual"/>
        </w:rPr>
        <w:t xml:space="preserve">. </w:t>
      </w:r>
      <w:r>
        <w:rPr>
          <w:color w:val="000000"/>
          <w:kern w:val="2"/>
          <w:sz w:val="24"/>
          <w:lang w:eastAsia="hr-HR"/>
          <w14:ligatures w14:val="standardContextual"/>
        </w:rPr>
        <w:t xml:space="preserve">On </w:t>
      </w:r>
      <w:r w:rsidRPr="0039420F">
        <w:rPr>
          <w:color w:val="000000"/>
          <w:kern w:val="2"/>
          <w:sz w:val="24"/>
          <w:lang w:eastAsia="hr-HR"/>
          <w14:ligatures w14:val="standardContextual"/>
        </w:rPr>
        <w:t xml:space="preserve">je nastavio pružati snažnu podršku izvoznicima kroz financiranje i instrumente osiguranja izvoza, čime je poduzetnicima omogućeno sigurnije poslovanje, širenje na nova tržišta te smanjenje rizika naplate potraživanja. Ukupna vrijednost odobrenih sredstava u 2024. iznosila </w:t>
      </w:r>
      <w:r w:rsidRPr="0039420F">
        <w:rPr>
          <w:color w:val="000000"/>
          <w:kern w:val="2"/>
          <w:sz w:val="24"/>
          <w:lang w:eastAsia="hr-HR"/>
          <w14:ligatures w14:val="standardContextual"/>
        </w:rPr>
        <w:lastRenderedPageBreak/>
        <w:t>je 465 milijuna eura, što je znatno doprinijelo povećanju financijske stabilnosti izvoznika, njihovoj tržišnoj poziciji i ukupnoj konkurentnosti hrvatskog gospodarstv</w:t>
      </w:r>
      <w:r>
        <w:rPr>
          <w:color w:val="000000"/>
          <w:kern w:val="2"/>
          <w:sz w:val="24"/>
          <w:lang w:eastAsia="hr-HR"/>
          <w14:ligatures w14:val="standardContextual"/>
        </w:rPr>
        <w:t>a</w:t>
      </w:r>
      <w:r w:rsidRPr="0039420F">
        <w:rPr>
          <w:color w:val="000000"/>
          <w:kern w:val="2"/>
          <w:sz w:val="24"/>
          <w:lang w:eastAsia="hr-HR"/>
          <w14:ligatures w14:val="standardContextual"/>
        </w:rPr>
        <w:t>.</w:t>
      </w:r>
      <w:bookmarkEnd w:id="57"/>
    </w:p>
    <w:p w14:paraId="103D0C23" w14:textId="77777777" w:rsidR="00FB178A" w:rsidRPr="00B30C18" w:rsidRDefault="00FB178A" w:rsidP="00FB178A">
      <w:pPr>
        <w:widowControl/>
        <w:autoSpaceDE/>
        <w:autoSpaceDN/>
        <w:spacing w:after="216" w:line="276" w:lineRule="auto"/>
        <w:jc w:val="both"/>
        <w:rPr>
          <w:color w:val="000000"/>
          <w:kern w:val="2"/>
          <w:sz w:val="24"/>
          <w:lang w:eastAsia="hr-HR"/>
          <w14:ligatures w14:val="standardContextual"/>
        </w:rPr>
      </w:pPr>
      <w:r w:rsidRPr="006E49D7">
        <w:rPr>
          <w:color w:val="000000"/>
          <w:kern w:val="2"/>
          <w:sz w:val="24"/>
          <w:lang w:eastAsia="hr-HR"/>
          <w14:ligatures w14:val="standardContextual"/>
        </w:rPr>
        <w:t xml:space="preserve">U svrhu stvaranja poticajnih uvjeta za daljnji razvoj te jačanje konkurentnosti poduzetništva i obrtništva, tijekom 2024. nastavljena je provedba Programa „Cjeloživotno obrazovanje za obrtništvo“. Program doprinosi jačanju obrtničkih kompetencija i poticanju zapošljavanja i samozapošljavanja kroz sufinanciranje troškova obrazovanja za obavljanje vezanih obrta, uključujući pripremu i polaganje ispita o stručnoj osposobljenosti, majstorskog ispita, prekvalifikacije u obrtničkim zanimanjima te izdavanje dozvola za izvođenje praktičnog dijela naukovanja. </w:t>
      </w:r>
      <w:r>
        <w:rPr>
          <w:color w:val="000000"/>
          <w:kern w:val="2"/>
          <w:sz w:val="24"/>
          <w:lang w:eastAsia="hr-HR"/>
          <w14:ligatures w14:val="standardContextual"/>
        </w:rPr>
        <w:t>Navedenim se</w:t>
      </w:r>
      <w:r w:rsidRPr="006E49D7">
        <w:rPr>
          <w:color w:val="000000"/>
          <w:kern w:val="2"/>
          <w:sz w:val="24"/>
          <w:lang w:eastAsia="hr-HR"/>
          <w14:ligatures w14:val="standardContextual"/>
        </w:rPr>
        <w:t xml:space="preserve"> osigurava stjecanje ključnih znanja i vještina potrebnih za uspješno obavljanje obrtničkih djelatnosti i podizanje kvalitete obrtničkih usluga. Tijekom 2024. u okviru Programa </w:t>
      </w:r>
      <w:r>
        <w:rPr>
          <w:color w:val="000000"/>
          <w:kern w:val="2"/>
          <w:sz w:val="24"/>
          <w:lang w:eastAsia="hr-HR"/>
          <w14:ligatures w14:val="standardContextual"/>
        </w:rPr>
        <w:t xml:space="preserve">je </w:t>
      </w:r>
      <w:r w:rsidRPr="006E49D7">
        <w:rPr>
          <w:color w:val="000000"/>
          <w:kern w:val="2"/>
          <w:sz w:val="24"/>
          <w:lang w:eastAsia="hr-HR"/>
          <w14:ligatures w14:val="standardContextual"/>
        </w:rPr>
        <w:t>dodijeljeno 455 potpora, u ukupnom iznosu od 140</w:t>
      </w:r>
      <w:r>
        <w:rPr>
          <w:color w:val="000000"/>
          <w:kern w:val="2"/>
          <w:sz w:val="24"/>
          <w:lang w:eastAsia="hr-HR"/>
          <w14:ligatures w14:val="standardContextual"/>
        </w:rPr>
        <w:t>.000</w:t>
      </w:r>
      <w:r w:rsidRPr="006E49D7">
        <w:rPr>
          <w:color w:val="000000"/>
          <w:kern w:val="2"/>
          <w:sz w:val="24"/>
          <w:lang w:eastAsia="hr-HR"/>
          <w14:ligatures w14:val="standardContextual"/>
        </w:rPr>
        <w:t xml:space="preserve"> eura, čime se dodatno potaknulo jačanje ljudskog kapitala u obrtništvu i </w:t>
      </w:r>
      <w:r>
        <w:rPr>
          <w:color w:val="000000"/>
          <w:kern w:val="2"/>
          <w:sz w:val="24"/>
          <w:lang w:eastAsia="hr-HR"/>
          <w14:ligatures w14:val="standardContextual"/>
        </w:rPr>
        <w:t>doprinijelo</w:t>
      </w:r>
      <w:r w:rsidRPr="006E49D7">
        <w:rPr>
          <w:color w:val="000000"/>
          <w:kern w:val="2"/>
          <w:sz w:val="24"/>
          <w:lang w:eastAsia="hr-HR"/>
          <w14:ligatures w14:val="standardContextual"/>
        </w:rPr>
        <w:t xml:space="preserve"> </w:t>
      </w:r>
      <w:r>
        <w:rPr>
          <w:color w:val="000000"/>
          <w:kern w:val="2"/>
          <w:sz w:val="24"/>
          <w:lang w:eastAsia="hr-HR"/>
          <w14:ligatures w14:val="standardContextual"/>
        </w:rPr>
        <w:t xml:space="preserve">jačanju </w:t>
      </w:r>
      <w:r w:rsidRPr="006E49D7">
        <w:rPr>
          <w:color w:val="000000"/>
          <w:kern w:val="2"/>
          <w:sz w:val="24"/>
          <w:lang w:eastAsia="hr-HR"/>
          <w14:ligatures w14:val="standardContextual"/>
        </w:rPr>
        <w:t>održivost</w:t>
      </w:r>
      <w:r>
        <w:rPr>
          <w:color w:val="000000"/>
          <w:kern w:val="2"/>
          <w:sz w:val="24"/>
          <w:lang w:eastAsia="hr-HR"/>
          <w14:ligatures w14:val="standardContextual"/>
        </w:rPr>
        <w:t>i</w:t>
      </w:r>
      <w:r w:rsidRPr="006E49D7">
        <w:rPr>
          <w:color w:val="000000"/>
          <w:kern w:val="2"/>
          <w:sz w:val="24"/>
          <w:lang w:eastAsia="hr-HR"/>
          <w14:ligatures w14:val="standardContextual"/>
        </w:rPr>
        <w:t xml:space="preserve"> obrtničkog sektora.</w:t>
      </w:r>
    </w:p>
    <w:p w14:paraId="11074773" w14:textId="77777777" w:rsidR="00FB178A" w:rsidRPr="008335A3" w:rsidRDefault="00FB178A" w:rsidP="00FB178A">
      <w:pPr>
        <w:widowControl/>
        <w:autoSpaceDE/>
        <w:autoSpaceDN/>
        <w:spacing w:after="216" w:line="276" w:lineRule="auto"/>
        <w:jc w:val="both"/>
        <w:rPr>
          <w:color w:val="000000"/>
          <w:kern w:val="2"/>
          <w:sz w:val="24"/>
          <w:lang w:eastAsia="hr-HR"/>
          <w14:ligatures w14:val="standardContextual"/>
        </w:rPr>
      </w:pPr>
      <w:r w:rsidRPr="23ECF7D8">
        <w:rPr>
          <w:color w:val="000000"/>
          <w:kern w:val="2"/>
          <w:sz w:val="24"/>
          <w:szCs w:val="24"/>
          <w:lang w:eastAsia="hr-HR"/>
          <w14:ligatures w14:val="standardContextual"/>
        </w:rPr>
        <w:t xml:space="preserve">Radi poticanja razvoja održivog i tržišno uspješnog zadružnog poduzetništva, koje doprinosi povećanju zaposlenosti te rastu i razvoju gospodarstva, u 2024. nastavljena je provedba Programa „Razvoj zadružnog poduzetništva“. Programom se osiguravaju bespovratna sredstva usmjerena jačanju prepoznatljivosti i konkurentnosti proizvoda i usluga zadruga, boljem pozicioniranju zadruga na tržištu, povećanju njihove produktivnosti i inovativnosti te stvaranju novih i očuvanju postojećih radnih mjesta. Kroz ove aktivnosti podupire se razvoj poslovnih modela temeljenih na zajedničkom upravljanju i korištenju lokalnih resursa, kao važnog segmenta uravnoteženog regionalnog i društveno </w:t>
      </w:r>
      <w:proofErr w:type="spellStart"/>
      <w:r w:rsidRPr="23ECF7D8">
        <w:rPr>
          <w:color w:val="000000"/>
          <w:kern w:val="2"/>
          <w:sz w:val="24"/>
          <w:szCs w:val="24"/>
          <w:lang w:eastAsia="hr-HR"/>
          <w14:ligatures w14:val="standardContextual"/>
        </w:rPr>
        <w:t>uključivog</w:t>
      </w:r>
      <w:proofErr w:type="spellEnd"/>
      <w:r w:rsidRPr="23ECF7D8">
        <w:rPr>
          <w:color w:val="000000"/>
          <w:kern w:val="2"/>
          <w:sz w:val="24"/>
          <w:szCs w:val="24"/>
          <w:lang w:eastAsia="hr-HR"/>
          <w14:ligatures w14:val="standardContextual"/>
        </w:rPr>
        <w:t xml:space="preserve"> rasta. Tijekom 2024. u okviru Programa dodijeljeno je 19 </w:t>
      </w:r>
      <w:r w:rsidRPr="008335A3">
        <w:rPr>
          <w:color w:val="000000"/>
          <w:kern w:val="2"/>
          <w:sz w:val="24"/>
          <w:lang w:eastAsia="hr-HR"/>
          <w14:ligatures w14:val="standardContextual"/>
        </w:rPr>
        <w:t>potpora za 19 zadruga, u ukupnom iznosu od 262 tisuće eura, čime je nastavljen trend jačanja zadružnog sektora i njegovog doprinosa razvoju lokalnih zajednica.</w:t>
      </w:r>
    </w:p>
    <w:p w14:paraId="5F4CCB1C" w14:textId="77777777" w:rsidR="00FB178A" w:rsidRPr="00E459D3" w:rsidRDefault="00FB178A" w:rsidP="00FB178A">
      <w:pPr>
        <w:widowControl/>
        <w:autoSpaceDE/>
        <w:autoSpaceDN/>
        <w:spacing w:after="216" w:line="276" w:lineRule="auto"/>
        <w:jc w:val="both"/>
        <w:rPr>
          <w:color w:val="000000"/>
          <w:kern w:val="2"/>
          <w:sz w:val="24"/>
          <w:lang w:eastAsia="hr-HR"/>
          <w14:ligatures w14:val="standardContextual"/>
        </w:rPr>
      </w:pPr>
      <w:r w:rsidRPr="00F05B61">
        <w:rPr>
          <w:color w:val="000000"/>
          <w:kern w:val="2"/>
          <w:sz w:val="24"/>
          <w:lang w:eastAsia="hr-HR"/>
          <w14:ligatures w14:val="standardContextual"/>
        </w:rPr>
        <w:t xml:space="preserve">S ciljem boljeg usklađivanja obrazovnog sustava s potrebama tržišta rada, tijekom 2024. nastavljena je provedba Programa „Poticanje obrazovanja za vezane obrte temeljene na sustavu naukovanja“. Program omogućuje dodjelu stipendija učenicima koji se obrazuju za deficitarna obrtnička zanimanja te pruža bespovratne potpore gospodarskim subjektima koji osiguravaju naukovanje učenika u </w:t>
      </w:r>
      <w:r>
        <w:rPr>
          <w:color w:val="000000"/>
          <w:kern w:val="2"/>
          <w:sz w:val="24"/>
          <w:lang w:eastAsia="hr-HR"/>
          <w14:ligatures w14:val="standardContextual"/>
        </w:rPr>
        <w:t>deficitarnim</w:t>
      </w:r>
      <w:r w:rsidRPr="00F05B61">
        <w:rPr>
          <w:color w:val="000000"/>
          <w:kern w:val="2"/>
          <w:sz w:val="24"/>
          <w:lang w:eastAsia="hr-HR"/>
          <w14:ligatures w14:val="standardContextual"/>
        </w:rPr>
        <w:t xml:space="preserve"> zanimanjima. Na </w:t>
      </w:r>
      <w:r>
        <w:rPr>
          <w:color w:val="000000"/>
          <w:kern w:val="2"/>
          <w:sz w:val="24"/>
          <w:lang w:eastAsia="hr-HR"/>
          <w14:ligatures w14:val="standardContextual"/>
        </w:rPr>
        <w:t>ovaj</w:t>
      </w:r>
      <w:r w:rsidRPr="00F05B61">
        <w:rPr>
          <w:color w:val="000000"/>
          <w:kern w:val="2"/>
          <w:sz w:val="24"/>
          <w:lang w:eastAsia="hr-HR"/>
          <w14:ligatures w14:val="standardContextual"/>
        </w:rPr>
        <w:t xml:space="preserve"> način podupire se stjecanje praktičnih znanja i vještina za uspješno obavljanje obrtničkih djelatnosti, kao i razvoj socijalnih, radnih i poduzetničkih kompetencija mladih. </w:t>
      </w:r>
      <w:r>
        <w:rPr>
          <w:color w:val="000000"/>
          <w:kern w:val="2"/>
          <w:sz w:val="24"/>
          <w:lang w:eastAsia="hr-HR"/>
          <w14:ligatures w14:val="standardContextual"/>
        </w:rPr>
        <w:t>G</w:t>
      </w:r>
      <w:r w:rsidRPr="00F05B61">
        <w:rPr>
          <w:color w:val="000000"/>
          <w:kern w:val="2"/>
          <w:sz w:val="24"/>
          <w:lang w:eastAsia="hr-HR"/>
          <w14:ligatures w14:val="standardContextual"/>
        </w:rPr>
        <w:t>ospodarskim subjektima koji provode naukovanje učenika u sustavu vezanih obrta prema Jedinstvenom modelu obrazovanja (</w:t>
      </w:r>
      <w:r>
        <w:rPr>
          <w:color w:val="000000"/>
          <w:kern w:val="2"/>
          <w:sz w:val="24"/>
          <w:lang w:eastAsia="hr-HR"/>
          <w14:ligatures w14:val="standardContextual"/>
        </w:rPr>
        <w:t xml:space="preserve">u daljnjem tekstu: </w:t>
      </w:r>
      <w:r w:rsidRPr="00F05B61">
        <w:rPr>
          <w:color w:val="000000"/>
          <w:kern w:val="2"/>
          <w:sz w:val="24"/>
          <w:lang w:eastAsia="hr-HR"/>
          <w14:ligatures w14:val="standardContextual"/>
        </w:rPr>
        <w:t>JMO)</w:t>
      </w:r>
      <w:r>
        <w:rPr>
          <w:color w:val="000000"/>
          <w:kern w:val="2"/>
          <w:sz w:val="24"/>
          <w:lang w:eastAsia="hr-HR"/>
          <w14:ligatures w14:val="standardContextual"/>
        </w:rPr>
        <w:t>, tijekom 2024.</w:t>
      </w:r>
      <w:r w:rsidRPr="00F05B61">
        <w:rPr>
          <w:color w:val="000000"/>
          <w:kern w:val="2"/>
          <w:sz w:val="24"/>
          <w:lang w:eastAsia="hr-HR"/>
          <w14:ligatures w14:val="standardContextual"/>
        </w:rPr>
        <w:t xml:space="preserve"> dodijeljeno je 50 potpora, u ukupnoj vrijednosti od 529</w:t>
      </w:r>
      <w:r>
        <w:rPr>
          <w:color w:val="000000"/>
          <w:kern w:val="2"/>
          <w:sz w:val="24"/>
          <w:lang w:eastAsia="hr-HR"/>
          <w14:ligatures w14:val="standardContextual"/>
        </w:rPr>
        <w:t>.000</w:t>
      </w:r>
      <w:r w:rsidRPr="00F05B61">
        <w:rPr>
          <w:color w:val="000000"/>
          <w:kern w:val="2"/>
          <w:sz w:val="24"/>
          <w:lang w:eastAsia="hr-HR"/>
          <w14:ligatures w14:val="standardContextual"/>
        </w:rPr>
        <w:t xml:space="preserve"> eura, čime se izravno doprin</w:t>
      </w:r>
      <w:r>
        <w:rPr>
          <w:color w:val="000000"/>
          <w:kern w:val="2"/>
          <w:sz w:val="24"/>
          <w:lang w:eastAsia="hr-HR"/>
          <w14:ligatures w14:val="standardContextual"/>
        </w:rPr>
        <w:t>ijelo</w:t>
      </w:r>
      <w:r w:rsidRPr="00F05B61">
        <w:rPr>
          <w:color w:val="000000"/>
          <w:kern w:val="2"/>
          <w:sz w:val="24"/>
          <w:lang w:eastAsia="hr-HR"/>
          <w14:ligatures w14:val="standardContextual"/>
        </w:rPr>
        <w:t xml:space="preserve"> stvaranju kvalificirane radne snage i jačanju obrtničkih zanimanja ključnih za razvoj </w:t>
      </w:r>
      <w:r>
        <w:rPr>
          <w:color w:val="000000"/>
          <w:kern w:val="2"/>
          <w:sz w:val="24"/>
          <w:lang w:eastAsia="hr-HR"/>
          <w14:ligatures w14:val="standardContextual"/>
        </w:rPr>
        <w:t>poduzetništva</w:t>
      </w:r>
      <w:r w:rsidRPr="00F05B61">
        <w:rPr>
          <w:color w:val="000000"/>
          <w:kern w:val="2"/>
          <w:sz w:val="24"/>
          <w:lang w:eastAsia="hr-HR"/>
          <w14:ligatures w14:val="standardContextual"/>
        </w:rPr>
        <w:t>.</w:t>
      </w:r>
    </w:p>
    <w:p w14:paraId="2018E430" w14:textId="77777777" w:rsidR="00FB178A" w:rsidRPr="00145379" w:rsidRDefault="00FB178A" w:rsidP="00FB178A">
      <w:pPr>
        <w:widowControl/>
        <w:autoSpaceDE/>
        <w:autoSpaceDN/>
        <w:spacing w:after="216" w:line="259" w:lineRule="auto"/>
        <w:ind w:firstLine="720"/>
        <w:rPr>
          <w:rFonts w:eastAsia="Calibri"/>
          <w:b/>
          <w:bCs/>
          <w:kern w:val="2"/>
          <w:sz w:val="24"/>
          <w:szCs w:val="24"/>
        </w:rPr>
      </w:pPr>
      <w:r w:rsidRPr="00145379">
        <w:rPr>
          <w:rFonts w:eastAsia="Calibri"/>
          <w:b/>
          <w:bCs/>
          <w:kern w:val="2"/>
          <w:sz w:val="24"/>
          <w:szCs w:val="24"/>
        </w:rPr>
        <w:t>Razvoj znanosti i tehnologije</w:t>
      </w:r>
    </w:p>
    <w:p w14:paraId="75F6D84E" w14:textId="77777777" w:rsidR="00FB178A" w:rsidRDefault="00FB178A" w:rsidP="00FB178A">
      <w:pPr>
        <w:widowControl/>
        <w:adjustRightInd w:val="0"/>
        <w:spacing w:after="240" w:line="276" w:lineRule="auto"/>
        <w:ind w:firstLine="720"/>
        <w:jc w:val="both"/>
        <w:rPr>
          <w:rFonts w:eastAsiaTheme="minorEastAsia"/>
          <w:sz w:val="24"/>
          <w:szCs w:val="24"/>
        </w:rPr>
      </w:pPr>
      <w:r w:rsidRPr="1CEE54BA">
        <w:rPr>
          <w:rFonts w:eastAsiaTheme="minorEastAsia"/>
          <w:sz w:val="24"/>
          <w:szCs w:val="24"/>
        </w:rPr>
        <w:t xml:space="preserve">Tijekom 2024. izdatci za istraživanje i razvoj ponovno su porasli, predvođeni većom angažiranošću poslovnog sektora i intenziviranjem projekata istraživanja i razvoja. Izdaci za istraživanje i razvoj, kao jedan od ključnih pokazatelja nacionalnih kapaciteta za tehnološki </w:t>
      </w:r>
      <w:r w:rsidRPr="1CEE54BA">
        <w:rPr>
          <w:rFonts w:eastAsiaTheme="minorEastAsia"/>
          <w:sz w:val="24"/>
          <w:szCs w:val="24"/>
        </w:rPr>
        <w:lastRenderedPageBreak/>
        <w:t xml:space="preserve">napredak, prijenos znanja i održivi rast, u Hrvatskoj su u razdoblju 2017.-2022. kontinuirano rasli s 0,86% na 1,43% BDP-a. Nakon blagog pada njihovog udjela na 1,39% BDP-a u 2023., uzrokovanog privremenim usporavanjem ugovaranja i realizacije projekata istraživanja i razvoja, Hrvatska je u 2024. ponovno zabilježila trend rasta </w:t>
      </w:r>
      <w:r w:rsidRPr="12452CE1">
        <w:rPr>
          <w:rFonts w:eastAsiaTheme="minorEastAsia"/>
          <w:sz w:val="24"/>
          <w:szCs w:val="24"/>
        </w:rPr>
        <w:t xml:space="preserve">ulaganja </w:t>
      </w:r>
      <w:r w:rsidRPr="49540548">
        <w:rPr>
          <w:rFonts w:eastAsiaTheme="minorEastAsia"/>
          <w:sz w:val="24"/>
          <w:szCs w:val="24"/>
        </w:rPr>
        <w:t xml:space="preserve">u istraživanje </w:t>
      </w:r>
      <w:r w:rsidRPr="5770194E">
        <w:rPr>
          <w:rFonts w:eastAsiaTheme="minorEastAsia"/>
          <w:sz w:val="24"/>
          <w:szCs w:val="24"/>
        </w:rPr>
        <w:t>i razvoj.</w:t>
      </w:r>
      <w:r w:rsidRPr="1CEE54BA">
        <w:rPr>
          <w:rFonts w:eastAsiaTheme="minorEastAsia"/>
          <w:sz w:val="24"/>
          <w:szCs w:val="24"/>
        </w:rPr>
        <w:t xml:space="preserve"> Ovime je potvrđen nastavak jačanja kapaciteta nacionalnog inovacijskog sustava i približavanje razinama EU prosjeka. Prema privremenim podacima DZS-a, ukupni izdaci za istraživanje i razvoj su u 2024. iznosili 1,2 milijarde eura, što predstavlja rast od 7,2% u odnosu na 2023.</w:t>
      </w:r>
      <w:r>
        <w:rPr>
          <w:rFonts w:eastAsiaTheme="minorEastAsia"/>
          <w:sz w:val="24"/>
          <w:szCs w:val="24"/>
        </w:rPr>
        <w:t xml:space="preserve"> godinu.</w:t>
      </w:r>
      <w:r w:rsidRPr="1CEE54BA">
        <w:rPr>
          <w:rFonts w:eastAsiaTheme="minorEastAsia"/>
          <w:sz w:val="24"/>
          <w:szCs w:val="24"/>
        </w:rPr>
        <w:t xml:space="preserve"> Istodobno njihov udio u BDP-u</w:t>
      </w:r>
      <w:r>
        <w:rPr>
          <w:rFonts w:eastAsiaTheme="minorEastAsia"/>
          <w:sz w:val="24"/>
          <w:szCs w:val="24"/>
        </w:rPr>
        <w:t xml:space="preserve"> iznosio</w:t>
      </w:r>
      <w:r w:rsidRPr="1CEE54BA">
        <w:rPr>
          <w:rFonts w:eastAsiaTheme="minorEastAsia"/>
          <w:sz w:val="24"/>
          <w:szCs w:val="24"/>
        </w:rPr>
        <w:t xml:space="preserve"> je 1,</w:t>
      </w:r>
      <w:r>
        <w:rPr>
          <w:rFonts w:eastAsiaTheme="minorEastAsia"/>
          <w:sz w:val="24"/>
          <w:szCs w:val="24"/>
        </w:rPr>
        <w:t>35</w:t>
      </w:r>
      <w:r w:rsidRPr="1CEE54BA">
        <w:rPr>
          <w:rFonts w:eastAsiaTheme="minorEastAsia"/>
          <w:sz w:val="24"/>
          <w:szCs w:val="24"/>
        </w:rPr>
        <w:t>%, što ukazuje da se Hrvatska nastavlja približavati prosjeku EU-a (2,2</w:t>
      </w:r>
      <w:r>
        <w:rPr>
          <w:rFonts w:eastAsiaTheme="minorEastAsia"/>
          <w:sz w:val="24"/>
          <w:szCs w:val="24"/>
        </w:rPr>
        <w:t>4</w:t>
      </w:r>
      <w:r w:rsidRPr="1CEE54BA">
        <w:rPr>
          <w:rFonts w:eastAsiaTheme="minorEastAsia"/>
          <w:sz w:val="24"/>
          <w:szCs w:val="24"/>
        </w:rPr>
        <w:t>% u 202</w:t>
      </w:r>
      <w:r>
        <w:rPr>
          <w:rFonts w:eastAsiaTheme="minorEastAsia"/>
          <w:sz w:val="24"/>
          <w:szCs w:val="24"/>
        </w:rPr>
        <w:t>4</w:t>
      </w:r>
      <w:r w:rsidRPr="1CEE54BA">
        <w:rPr>
          <w:rFonts w:eastAsiaTheme="minorEastAsia"/>
          <w:sz w:val="24"/>
          <w:szCs w:val="24"/>
        </w:rPr>
        <w:t>.</w:t>
      </w:r>
      <w:r>
        <w:rPr>
          <w:rFonts w:eastAsiaTheme="minorEastAsia"/>
          <w:sz w:val="24"/>
          <w:szCs w:val="24"/>
        </w:rPr>
        <w:t xml:space="preserve"> godini</w:t>
      </w:r>
      <w:r w:rsidRPr="1CEE54BA">
        <w:rPr>
          <w:rFonts w:eastAsiaTheme="minorEastAsia"/>
          <w:sz w:val="24"/>
          <w:szCs w:val="24"/>
        </w:rPr>
        <w:t>). Najveći udio izdataka za istraživanje i razvoj ostvaruje poslovni sektor, s 54,8% ukupnih izdataka, što potvrđuje rastuću ulogu poduzeća u generiranju inovacija i unaprjeđenju tehnoloških kapaciteta. Slijedi visoko obrazovanje s udjelom od 27,2%, dok državni i privatni neprofitni sektor sudjeluju s preostalih 18% ukupnih izdataka. Rast izdataka uvelike je potaknut intenziviranjem aktivnosti na planiranju, objavi i provedbi poziva za financiranje projekata istraživanja i razvoja iz fondova EU-a, usmjerenih na osnaživanje istraživačkih organizacija, poticanje primjene rezultata istraživanja u gospodarstvu te stvaranju preduvjeta za daljnje jačanje konkurentnosti i otpornosti hrvatskog gospodarstva.</w:t>
      </w:r>
    </w:p>
    <w:p w14:paraId="19D5247F" w14:textId="77777777" w:rsidR="00FB178A" w:rsidRPr="00C41435" w:rsidRDefault="00FB178A" w:rsidP="00FB178A">
      <w:pPr>
        <w:widowControl/>
        <w:adjustRightInd w:val="0"/>
        <w:spacing w:after="240" w:line="276" w:lineRule="auto"/>
        <w:jc w:val="both"/>
        <w:rPr>
          <w:rStyle w:val="Strong"/>
          <w:rFonts w:eastAsiaTheme="minorEastAsia"/>
          <w:b w:val="0"/>
          <w:sz w:val="24"/>
          <w:szCs w:val="24"/>
        </w:rPr>
      </w:pPr>
      <w:r w:rsidRPr="0026398E">
        <w:rPr>
          <w:rStyle w:val="Strong"/>
          <w:b w:val="0"/>
          <w:bCs w:val="0"/>
          <w:sz w:val="24"/>
          <w:szCs w:val="24"/>
        </w:rPr>
        <w:t xml:space="preserve">Dodatnu potvrdu pozitivnih </w:t>
      </w:r>
      <w:r>
        <w:rPr>
          <w:rStyle w:val="Strong"/>
          <w:b w:val="0"/>
          <w:bCs w:val="0"/>
          <w:sz w:val="24"/>
          <w:szCs w:val="24"/>
        </w:rPr>
        <w:t>pomaka</w:t>
      </w:r>
      <w:r w:rsidRPr="0026398E">
        <w:rPr>
          <w:rStyle w:val="Strong"/>
          <w:b w:val="0"/>
          <w:bCs w:val="0"/>
          <w:sz w:val="24"/>
          <w:szCs w:val="24"/>
        </w:rPr>
        <w:t xml:space="preserve"> u području znanosti i inovacija donosi najnovije izdanje Europske ljestvice uspjeha u inoviranju (European </w:t>
      </w:r>
      <w:proofErr w:type="spellStart"/>
      <w:r w:rsidRPr="0026398E">
        <w:rPr>
          <w:rStyle w:val="Strong"/>
          <w:b w:val="0"/>
          <w:bCs w:val="0"/>
          <w:sz w:val="24"/>
          <w:szCs w:val="24"/>
        </w:rPr>
        <w:t>Innovation</w:t>
      </w:r>
      <w:proofErr w:type="spellEnd"/>
      <w:r w:rsidRPr="0026398E">
        <w:rPr>
          <w:rStyle w:val="Strong"/>
          <w:b w:val="0"/>
          <w:bCs w:val="0"/>
          <w:sz w:val="24"/>
          <w:szCs w:val="24"/>
        </w:rPr>
        <w:t xml:space="preserve"> </w:t>
      </w:r>
      <w:proofErr w:type="spellStart"/>
      <w:r w:rsidRPr="0026398E">
        <w:rPr>
          <w:rStyle w:val="Strong"/>
          <w:b w:val="0"/>
          <w:bCs w:val="0"/>
          <w:sz w:val="24"/>
          <w:szCs w:val="24"/>
        </w:rPr>
        <w:t>Scoreboard</w:t>
      </w:r>
      <w:proofErr w:type="spellEnd"/>
      <w:r w:rsidRPr="0026398E">
        <w:rPr>
          <w:rStyle w:val="Strong"/>
          <w:b w:val="0"/>
          <w:bCs w:val="0"/>
          <w:sz w:val="24"/>
          <w:szCs w:val="24"/>
        </w:rPr>
        <w:t xml:space="preserve"> 2025)</w:t>
      </w:r>
      <w:r>
        <w:rPr>
          <w:rStyle w:val="Strong"/>
          <w:b w:val="0"/>
          <w:bCs w:val="0"/>
          <w:sz w:val="24"/>
          <w:szCs w:val="24"/>
        </w:rPr>
        <w:t xml:space="preserve"> koju svake godine izdaje Europska komisija</w:t>
      </w:r>
      <w:r w:rsidRPr="0026398E">
        <w:rPr>
          <w:rStyle w:val="Strong"/>
          <w:b w:val="0"/>
          <w:bCs w:val="0"/>
          <w:sz w:val="24"/>
          <w:szCs w:val="24"/>
        </w:rPr>
        <w:t>, koje se temelji na podacima za 2024.</w:t>
      </w:r>
      <w:r>
        <w:rPr>
          <w:rStyle w:val="Strong"/>
          <w:b w:val="0"/>
          <w:bCs w:val="0"/>
          <w:sz w:val="24"/>
          <w:szCs w:val="24"/>
        </w:rPr>
        <w:t xml:space="preserve"> godinu.</w:t>
      </w:r>
      <w:r w:rsidRPr="0026398E">
        <w:rPr>
          <w:rStyle w:val="Strong"/>
          <w:b w:val="0"/>
          <w:bCs w:val="0"/>
          <w:sz w:val="24"/>
          <w:szCs w:val="24"/>
        </w:rPr>
        <w:t xml:space="preserve"> Hrvatska je </w:t>
      </w:r>
      <w:r w:rsidRPr="2A58248D">
        <w:rPr>
          <w:rStyle w:val="Strong"/>
          <w:b w:val="0"/>
          <w:bCs w:val="0"/>
          <w:sz w:val="24"/>
          <w:szCs w:val="24"/>
        </w:rPr>
        <w:t>prema</w:t>
      </w:r>
      <w:r w:rsidRPr="0026398E">
        <w:rPr>
          <w:rStyle w:val="Strong"/>
          <w:b w:val="0"/>
          <w:bCs w:val="0"/>
          <w:sz w:val="24"/>
          <w:szCs w:val="24"/>
        </w:rPr>
        <w:t xml:space="preserve"> tom izvješću napredovala za </w:t>
      </w:r>
      <w:r>
        <w:rPr>
          <w:rStyle w:val="Strong"/>
          <w:b w:val="0"/>
          <w:bCs w:val="0"/>
          <w:sz w:val="24"/>
          <w:szCs w:val="24"/>
        </w:rPr>
        <w:t>jedno</w:t>
      </w:r>
      <w:r w:rsidRPr="0026398E">
        <w:rPr>
          <w:rStyle w:val="Strong"/>
          <w:b w:val="0"/>
          <w:bCs w:val="0"/>
          <w:sz w:val="24"/>
          <w:szCs w:val="24"/>
        </w:rPr>
        <w:t xml:space="preserve"> mjest</w:t>
      </w:r>
      <w:r>
        <w:rPr>
          <w:rStyle w:val="Strong"/>
          <w:b w:val="0"/>
          <w:bCs w:val="0"/>
          <w:sz w:val="24"/>
          <w:szCs w:val="24"/>
        </w:rPr>
        <w:t>o</w:t>
      </w:r>
      <w:r w:rsidRPr="0026398E">
        <w:rPr>
          <w:rStyle w:val="Strong"/>
          <w:b w:val="0"/>
          <w:bCs w:val="0"/>
          <w:sz w:val="24"/>
          <w:szCs w:val="24"/>
        </w:rPr>
        <w:t xml:space="preserve"> te se pozicionirala na 21. mjesto među državama članicama E</w:t>
      </w:r>
      <w:r>
        <w:rPr>
          <w:rStyle w:val="Strong"/>
          <w:b w:val="0"/>
          <w:bCs w:val="0"/>
          <w:sz w:val="24"/>
          <w:szCs w:val="24"/>
        </w:rPr>
        <w:t>U</w:t>
      </w:r>
      <w:r w:rsidRPr="0026398E">
        <w:rPr>
          <w:rStyle w:val="Strong"/>
          <w:b w:val="0"/>
          <w:bCs w:val="0"/>
          <w:sz w:val="24"/>
          <w:szCs w:val="24"/>
        </w:rPr>
        <w:t xml:space="preserve">, ostvarivši ukupnu inovacijsku izvedbu na razini od 71,6% prosjeka EU-a (69,6% u 2023.). </w:t>
      </w:r>
      <w:r>
        <w:rPr>
          <w:rStyle w:val="Strong"/>
          <w:b w:val="0"/>
          <w:bCs w:val="0"/>
          <w:sz w:val="24"/>
          <w:szCs w:val="24"/>
        </w:rPr>
        <w:t>Ovime</w:t>
      </w:r>
      <w:r w:rsidRPr="0026398E">
        <w:rPr>
          <w:rStyle w:val="Strong"/>
          <w:b w:val="0"/>
          <w:bCs w:val="0"/>
          <w:sz w:val="24"/>
          <w:szCs w:val="24"/>
        </w:rPr>
        <w:t xml:space="preserve"> je</w:t>
      </w:r>
      <w:r>
        <w:rPr>
          <w:rStyle w:val="Strong"/>
          <w:b w:val="0"/>
          <w:bCs w:val="0"/>
          <w:sz w:val="24"/>
          <w:szCs w:val="24"/>
        </w:rPr>
        <w:t xml:space="preserve"> Hrvatska</w:t>
      </w:r>
      <w:r w:rsidRPr="0026398E">
        <w:rPr>
          <w:rStyle w:val="Strong"/>
          <w:b w:val="0"/>
          <w:bCs w:val="0"/>
          <w:sz w:val="24"/>
          <w:szCs w:val="24"/>
        </w:rPr>
        <w:t xml:space="preserve"> </w:t>
      </w:r>
      <w:r>
        <w:rPr>
          <w:rStyle w:val="Strong"/>
          <w:b w:val="0"/>
          <w:bCs w:val="0"/>
          <w:sz w:val="24"/>
          <w:szCs w:val="24"/>
        </w:rPr>
        <w:t xml:space="preserve">po </w:t>
      </w:r>
      <w:r w:rsidRPr="0026398E">
        <w:rPr>
          <w:rStyle w:val="Strong"/>
          <w:b w:val="0"/>
          <w:bCs w:val="0"/>
          <w:sz w:val="24"/>
          <w:szCs w:val="24"/>
        </w:rPr>
        <w:t xml:space="preserve">prvi put premašila prag od 70% </w:t>
      </w:r>
      <w:r>
        <w:rPr>
          <w:rStyle w:val="Strong"/>
          <w:b w:val="0"/>
          <w:bCs w:val="0"/>
          <w:sz w:val="24"/>
          <w:szCs w:val="24"/>
        </w:rPr>
        <w:t xml:space="preserve">prosjeka EU-a </w:t>
      </w:r>
      <w:r w:rsidRPr="0026398E">
        <w:rPr>
          <w:rStyle w:val="Strong"/>
          <w:b w:val="0"/>
          <w:bCs w:val="0"/>
          <w:sz w:val="24"/>
          <w:szCs w:val="24"/>
        </w:rPr>
        <w:t xml:space="preserve">i napredovala iz skupine </w:t>
      </w:r>
      <w:r>
        <w:rPr>
          <w:rStyle w:val="Strong"/>
          <w:b w:val="0"/>
          <w:bCs w:val="0"/>
          <w:sz w:val="24"/>
          <w:szCs w:val="24"/>
        </w:rPr>
        <w:t>„</w:t>
      </w:r>
      <w:r w:rsidRPr="0026398E">
        <w:rPr>
          <w:rStyle w:val="Strong"/>
          <w:b w:val="0"/>
          <w:bCs w:val="0"/>
          <w:sz w:val="24"/>
          <w:szCs w:val="24"/>
        </w:rPr>
        <w:t>inovatora u nastajanju</w:t>
      </w:r>
      <w:r>
        <w:rPr>
          <w:rStyle w:val="Strong"/>
          <w:b w:val="0"/>
          <w:bCs w:val="0"/>
          <w:sz w:val="24"/>
          <w:szCs w:val="24"/>
        </w:rPr>
        <w:t>“</w:t>
      </w:r>
      <w:r w:rsidRPr="0026398E">
        <w:rPr>
          <w:rStyle w:val="Strong"/>
          <w:b w:val="0"/>
          <w:bCs w:val="0"/>
          <w:sz w:val="24"/>
          <w:szCs w:val="24"/>
        </w:rPr>
        <w:t xml:space="preserve"> u višu skupinu </w:t>
      </w:r>
      <w:r>
        <w:rPr>
          <w:rStyle w:val="Strong"/>
          <w:b w:val="0"/>
          <w:bCs w:val="0"/>
          <w:sz w:val="24"/>
          <w:szCs w:val="24"/>
        </w:rPr>
        <w:t>„</w:t>
      </w:r>
      <w:r w:rsidRPr="0026398E">
        <w:rPr>
          <w:rStyle w:val="Strong"/>
          <w:b w:val="0"/>
          <w:bCs w:val="0"/>
          <w:sz w:val="24"/>
          <w:szCs w:val="24"/>
        </w:rPr>
        <w:t>umjerenih inovatora</w:t>
      </w:r>
      <w:r>
        <w:rPr>
          <w:rStyle w:val="Strong"/>
          <w:b w:val="0"/>
          <w:bCs w:val="0"/>
          <w:sz w:val="24"/>
          <w:szCs w:val="24"/>
        </w:rPr>
        <w:t>“</w:t>
      </w:r>
      <w:r w:rsidRPr="0026398E">
        <w:rPr>
          <w:rStyle w:val="Strong"/>
          <w:b w:val="0"/>
          <w:bCs w:val="0"/>
          <w:sz w:val="24"/>
          <w:szCs w:val="24"/>
        </w:rPr>
        <w:t>, što predstavlja značaj</w:t>
      </w:r>
      <w:r>
        <w:rPr>
          <w:rStyle w:val="Strong"/>
          <w:b w:val="0"/>
          <w:bCs w:val="0"/>
          <w:sz w:val="24"/>
          <w:szCs w:val="24"/>
        </w:rPr>
        <w:t>an korak</w:t>
      </w:r>
      <w:r w:rsidRPr="0026398E">
        <w:rPr>
          <w:rStyle w:val="Strong"/>
          <w:b w:val="0"/>
          <w:bCs w:val="0"/>
          <w:sz w:val="24"/>
          <w:szCs w:val="24"/>
        </w:rPr>
        <w:t xml:space="preserve"> u dugoročnom jačanju inovacijskog kapaciteta gospodarstva. Napredak </w:t>
      </w:r>
      <w:r>
        <w:rPr>
          <w:rStyle w:val="Strong"/>
          <w:b w:val="0"/>
          <w:bCs w:val="0"/>
          <w:sz w:val="24"/>
          <w:szCs w:val="24"/>
        </w:rPr>
        <w:t xml:space="preserve">je </w:t>
      </w:r>
      <w:r w:rsidRPr="0026398E">
        <w:rPr>
          <w:rStyle w:val="Strong"/>
          <w:b w:val="0"/>
          <w:bCs w:val="0"/>
          <w:sz w:val="24"/>
          <w:szCs w:val="24"/>
        </w:rPr>
        <w:t xml:space="preserve">rezultat vidljivih poboljšanja u više </w:t>
      </w:r>
      <w:r>
        <w:rPr>
          <w:rStyle w:val="Strong"/>
          <w:b w:val="0"/>
          <w:bCs w:val="0"/>
          <w:sz w:val="24"/>
          <w:szCs w:val="24"/>
        </w:rPr>
        <w:t xml:space="preserve">pokazatelja razvijenosti </w:t>
      </w:r>
      <w:r w:rsidRPr="0026398E">
        <w:rPr>
          <w:rStyle w:val="Strong"/>
          <w:b w:val="0"/>
          <w:bCs w:val="0"/>
          <w:sz w:val="24"/>
          <w:szCs w:val="24"/>
        </w:rPr>
        <w:t xml:space="preserve">inovacijskog sustava, uključujući rast javnih ulaganja u istraživanje i razvoj (koja su dosegla 87% prosjeka EU-a), porast broja novih doktoranda, kao i unaprjeđenja u području digitalne infrastrukture </w:t>
      </w:r>
      <w:r>
        <w:rPr>
          <w:rStyle w:val="Strong"/>
          <w:b w:val="0"/>
          <w:bCs w:val="0"/>
          <w:sz w:val="24"/>
          <w:szCs w:val="24"/>
        </w:rPr>
        <w:t xml:space="preserve">te </w:t>
      </w:r>
      <w:r w:rsidRPr="0026398E">
        <w:rPr>
          <w:rStyle w:val="Strong"/>
          <w:b w:val="0"/>
          <w:bCs w:val="0"/>
          <w:sz w:val="24"/>
          <w:szCs w:val="24"/>
        </w:rPr>
        <w:t xml:space="preserve">većeg korištenja usluga računalstva u oblaku među poduzećima. Unatoč postignutom pomaku, </w:t>
      </w:r>
      <w:r>
        <w:rPr>
          <w:rStyle w:val="Strong"/>
          <w:b w:val="0"/>
          <w:bCs w:val="0"/>
          <w:sz w:val="24"/>
          <w:szCs w:val="24"/>
        </w:rPr>
        <w:t>prema EIS-u</w:t>
      </w:r>
      <w:r w:rsidRPr="0026398E">
        <w:rPr>
          <w:rStyle w:val="Strong"/>
          <w:b w:val="0"/>
          <w:bCs w:val="0"/>
          <w:sz w:val="24"/>
          <w:szCs w:val="24"/>
        </w:rPr>
        <w:t xml:space="preserve"> ključn</w:t>
      </w:r>
      <w:r>
        <w:rPr>
          <w:rStyle w:val="Strong"/>
          <w:b w:val="0"/>
          <w:bCs w:val="0"/>
          <w:sz w:val="24"/>
          <w:szCs w:val="24"/>
        </w:rPr>
        <w:t>i</w:t>
      </w:r>
      <w:r w:rsidRPr="0026398E">
        <w:rPr>
          <w:rStyle w:val="Strong"/>
          <w:b w:val="0"/>
          <w:bCs w:val="0"/>
          <w:sz w:val="24"/>
          <w:szCs w:val="24"/>
        </w:rPr>
        <w:t xml:space="preserve"> izazov</w:t>
      </w:r>
      <w:r>
        <w:rPr>
          <w:rStyle w:val="Strong"/>
          <w:b w:val="0"/>
          <w:bCs w:val="0"/>
          <w:sz w:val="24"/>
          <w:szCs w:val="24"/>
        </w:rPr>
        <w:t>i</w:t>
      </w:r>
      <w:r w:rsidRPr="0026398E">
        <w:rPr>
          <w:rStyle w:val="Strong"/>
          <w:b w:val="0"/>
          <w:bCs w:val="0"/>
          <w:sz w:val="24"/>
          <w:szCs w:val="24"/>
        </w:rPr>
        <w:t xml:space="preserve"> </w:t>
      </w:r>
      <w:r>
        <w:rPr>
          <w:rStyle w:val="Strong"/>
          <w:b w:val="0"/>
          <w:bCs w:val="0"/>
          <w:sz w:val="24"/>
          <w:szCs w:val="24"/>
        </w:rPr>
        <w:t>su i dalje</w:t>
      </w:r>
      <w:r w:rsidRPr="0026398E">
        <w:rPr>
          <w:rStyle w:val="Strong"/>
          <w:b w:val="0"/>
          <w:bCs w:val="0"/>
          <w:sz w:val="24"/>
          <w:szCs w:val="24"/>
        </w:rPr>
        <w:t xml:space="preserve"> prisutni</w:t>
      </w:r>
      <w:r>
        <w:rPr>
          <w:rStyle w:val="Strong"/>
          <w:b w:val="0"/>
          <w:bCs w:val="0"/>
          <w:sz w:val="24"/>
          <w:szCs w:val="24"/>
        </w:rPr>
        <w:t>,</w:t>
      </w:r>
      <w:r w:rsidRPr="0026398E">
        <w:rPr>
          <w:rStyle w:val="Strong"/>
          <w:b w:val="0"/>
          <w:bCs w:val="0"/>
          <w:sz w:val="24"/>
          <w:szCs w:val="24"/>
        </w:rPr>
        <w:t xml:space="preserve"> prije svega </w:t>
      </w:r>
      <w:r>
        <w:rPr>
          <w:rStyle w:val="Strong"/>
          <w:b w:val="0"/>
          <w:bCs w:val="0"/>
          <w:sz w:val="24"/>
          <w:szCs w:val="24"/>
        </w:rPr>
        <w:t>nužnost</w:t>
      </w:r>
      <w:r w:rsidRPr="0026398E">
        <w:rPr>
          <w:rStyle w:val="Strong"/>
          <w:b w:val="0"/>
          <w:bCs w:val="0"/>
          <w:sz w:val="24"/>
          <w:szCs w:val="24"/>
        </w:rPr>
        <w:t xml:space="preserve"> povećanj</w:t>
      </w:r>
      <w:r>
        <w:rPr>
          <w:rStyle w:val="Strong"/>
          <w:b w:val="0"/>
          <w:bCs w:val="0"/>
          <w:sz w:val="24"/>
          <w:szCs w:val="24"/>
        </w:rPr>
        <w:t>a</w:t>
      </w:r>
      <w:r w:rsidRPr="0026398E">
        <w:rPr>
          <w:rStyle w:val="Strong"/>
          <w:b w:val="0"/>
          <w:bCs w:val="0"/>
          <w:sz w:val="24"/>
          <w:szCs w:val="24"/>
        </w:rPr>
        <w:t xml:space="preserve"> kvalitete znanstvene produkcije, jačanje sudjelovanja odraslih u cjeloživotno</w:t>
      </w:r>
      <w:r>
        <w:rPr>
          <w:rStyle w:val="Strong"/>
          <w:b w:val="0"/>
          <w:bCs w:val="0"/>
          <w:sz w:val="24"/>
          <w:szCs w:val="24"/>
        </w:rPr>
        <w:t>m</w:t>
      </w:r>
      <w:r w:rsidRPr="0026398E">
        <w:rPr>
          <w:rStyle w:val="Strong"/>
          <w:b w:val="0"/>
          <w:bCs w:val="0"/>
          <w:sz w:val="24"/>
          <w:szCs w:val="24"/>
        </w:rPr>
        <w:t xml:space="preserve"> obrazovanj</w:t>
      </w:r>
      <w:r>
        <w:rPr>
          <w:rStyle w:val="Strong"/>
          <w:b w:val="0"/>
          <w:bCs w:val="0"/>
          <w:sz w:val="24"/>
          <w:szCs w:val="24"/>
        </w:rPr>
        <w:t>u</w:t>
      </w:r>
      <w:r w:rsidRPr="0026398E">
        <w:rPr>
          <w:rStyle w:val="Strong"/>
          <w:b w:val="0"/>
          <w:bCs w:val="0"/>
          <w:sz w:val="24"/>
          <w:szCs w:val="24"/>
        </w:rPr>
        <w:t xml:space="preserve"> te </w:t>
      </w:r>
      <w:r w:rsidRPr="2A58248D">
        <w:rPr>
          <w:rStyle w:val="Strong"/>
          <w:b w:val="0"/>
          <w:bCs w:val="0"/>
          <w:sz w:val="24"/>
          <w:szCs w:val="24"/>
        </w:rPr>
        <w:t>poticanje</w:t>
      </w:r>
      <w:r w:rsidRPr="0026398E">
        <w:rPr>
          <w:rStyle w:val="Strong"/>
          <w:b w:val="0"/>
          <w:bCs w:val="0"/>
          <w:sz w:val="24"/>
          <w:szCs w:val="24"/>
        </w:rPr>
        <w:t xml:space="preserve"> privatnog sektora</w:t>
      </w:r>
      <w:r w:rsidRPr="00574952">
        <w:t xml:space="preserve"> </w:t>
      </w:r>
      <w:r>
        <w:t xml:space="preserve">na povećanje </w:t>
      </w:r>
      <w:r w:rsidRPr="00574952">
        <w:rPr>
          <w:rStyle w:val="Strong"/>
          <w:b w:val="0"/>
          <w:bCs w:val="0"/>
          <w:sz w:val="24"/>
          <w:szCs w:val="24"/>
        </w:rPr>
        <w:t>ulaganja</w:t>
      </w:r>
      <w:r w:rsidRPr="0026398E">
        <w:rPr>
          <w:rStyle w:val="Strong"/>
          <w:b w:val="0"/>
          <w:bCs w:val="0"/>
          <w:sz w:val="24"/>
          <w:szCs w:val="24"/>
        </w:rPr>
        <w:t xml:space="preserve"> u istraživanje, razvoj i inovacije.</w:t>
      </w:r>
    </w:p>
    <w:p w14:paraId="20E5CEDE" w14:textId="77777777" w:rsidR="00FB178A" w:rsidRDefault="00FB178A" w:rsidP="00FB178A">
      <w:pPr>
        <w:widowControl/>
        <w:adjustRightInd w:val="0"/>
        <w:spacing w:after="240" w:line="276" w:lineRule="auto"/>
        <w:jc w:val="both"/>
        <w:rPr>
          <w:rFonts w:eastAsiaTheme="minorHAnsi"/>
          <w:sz w:val="24"/>
          <w:szCs w:val="24"/>
        </w:rPr>
      </w:pPr>
      <w:r w:rsidRPr="0022059E">
        <w:rPr>
          <w:rFonts w:eastAsiaTheme="minorHAnsi"/>
          <w:sz w:val="24"/>
          <w:szCs w:val="24"/>
        </w:rPr>
        <w:t>U području</w:t>
      </w:r>
      <w:r>
        <w:rPr>
          <w:rFonts w:eastAsiaTheme="minorHAnsi"/>
          <w:sz w:val="24"/>
          <w:szCs w:val="24"/>
        </w:rPr>
        <w:t xml:space="preserve"> zaštite</w:t>
      </w:r>
      <w:r w:rsidRPr="0022059E">
        <w:rPr>
          <w:rFonts w:eastAsiaTheme="minorHAnsi"/>
          <w:sz w:val="24"/>
          <w:szCs w:val="24"/>
        </w:rPr>
        <w:t xml:space="preserve"> intelektualnog vlasništva, kao jednog od važnih pokazatelja inovacijske aktivnosti, </w:t>
      </w:r>
      <w:r>
        <w:rPr>
          <w:rFonts w:eastAsiaTheme="minorHAnsi"/>
          <w:sz w:val="24"/>
          <w:szCs w:val="24"/>
        </w:rPr>
        <w:t>tijekom</w:t>
      </w:r>
      <w:r w:rsidRPr="0022059E">
        <w:rPr>
          <w:rFonts w:eastAsiaTheme="minorHAnsi"/>
          <w:sz w:val="24"/>
          <w:szCs w:val="24"/>
        </w:rPr>
        <w:t xml:space="preserve"> 2024. zabilježeni su </w:t>
      </w:r>
      <w:r>
        <w:rPr>
          <w:rFonts w:eastAsiaTheme="minorHAnsi"/>
          <w:sz w:val="24"/>
          <w:szCs w:val="24"/>
        </w:rPr>
        <w:t>pozitivni pomaci</w:t>
      </w:r>
      <w:r w:rsidRPr="0022059E">
        <w:rPr>
          <w:rFonts w:eastAsiaTheme="minorHAnsi"/>
          <w:sz w:val="24"/>
          <w:szCs w:val="24"/>
        </w:rPr>
        <w:t>. Prema dostupnim podacima</w:t>
      </w:r>
      <w:r>
        <w:rPr>
          <w:rFonts w:eastAsiaTheme="minorHAnsi"/>
          <w:sz w:val="24"/>
          <w:szCs w:val="24"/>
        </w:rPr>
        <w:t xml:space="preserve"> </w:t>
      </w:r>
      <w:r w:rsidRPr="008564C7">
        <w:rPr>
          <w:rFonts w:eastAsiaTheme="minorHAnsi"/>
          <w:sz w:val="24"/>
          <w:szCs w:val="24"/>
        </w:rPr>
        <w:t>Svjetske organizacije za intelektualno vlasništvo (WIPO), ukupni</w:t>
      </w:r>
      <w:r>
        <w:rPr>
          <w:rFonts w:eastAsiaTheme="minorHAnsi"/>
          <w:sz w:val="24"/>
          <w:szCs w:val="24"/>
        </w:rPr>
        <w:t xml:space="preserve"> godišnji</w:t>
      </w:r>
      <w:r w:rsidRPr="0022059E">
        <w:rPr>
          <w:rFonts w:eastAsiaTheme="minorHAnsi"/>
          <w:sz w:val="24"/>
          <w:szCs w:val="24"/>
        </w:rPr>
        <w:t xml:space="preserve"> broj prijava za zaštitu žiga i industrijskog dizajna podnositelja iz Hrvatske porastao je u odnosu na prethodnu godinu, dok je istodobno zabilježen pad broja prijava patenata</w:t>
      </w:r>
      <w:r>
        <w:rPr>
          <w:rFonts w:eastAsiaTheme="minorHAnsi"/>
          <w:sz w:val="24"/>
          <w:szCs w:val="24"/>
        </w:rPr>
        <w:t>.</w:t>
      </w:r>
      <w:r w:rsidRPr="0022059E">
        <w:rPr>
          <w:rFonts w:eastAsiaTheme="minorHAnsi"/>
          <w:sz w:val="24"/>
          <w:szCs w:val="24"/>
        </w:rPr>
        <w:t xml:space="preserve"> </w:t>
      </w:r>
      <w:r>
        <w:rPr>
          <w:rFonts w:eastAsiaTheme="minorHAnsi"/>
          <w:sz w:val="24"/>
          <w:szCs w:val="24"/>
        </w:rPr>
        <w:t>Pr</w:t>
      </w:r>
      <w:r w:rsidRPr="0022059E">
        <w:rPr>
          <w:rFonts w:eastAsiaTheme="minorHAnsi"/>
          <w:sz w:val="24"/>
          <w:szCs w:val="24"/>
        </w:rPr>
        <w:t xml:space="preserve">ema </w:t>
      </w:r>
      <w:r>
        <w:rPr>
          <w:rFonts w:eastAsiaTheme="minorHAnsi"/>
          <w:sz w:val="24"/>
          <w:szCs w:val="24"/>
        </w:rPr>
        <w:t xml:space="preserve">podacima </w:t>
      </w:r>
      <w:r w:rsidRPr="0022059E">
        <w:rPr>
          <w:rFonts w:eastAsiaTheme="minorHAnsi"/>
          <w:sz w:val="24"/>
          <w:szCs w:val="24"/>
        </w:rPr>
        <w:t>Europsko</w:t>
      </w:r>
      <w:r>
        <w:rPr>
          <w:rFonts w:eastAsiaTheme="minorHAnsi"/>
          <w:sz w:val="24"/>
          <w:szCs w:val="24"/>
        </w:rPr>
        <w:t>g</w:t>
      </w:r>
      <w:r w:rsidRPr="0022059E">
        <w:rPr>
          <w:rFonts w:eastAsiaTheme="minorHAnsi"/>
          <w:sz w:val="24"/>
          <w:szCs w:val="24"/>
        </w:rPr>
        <w:t xml:space="preserve"> patentno</w:t>
      </w:r>
      <w:r>
        <w:rPr>
          <w:rFonts w:eastAsiaTheme="minorHAnsi"/>
          <w:sz w:val="24"/>
          <w:szCs w:val="24"/>
        </w:rPr>
        <w:t>g</w:t>
      </w:r>
      <w:r w:rsidRPr="0022059E">
        <w:rPr>
          <w:rFonts w:eastAsiaTheme="minorHAnsi"/>
          <w:sz w:val="24"/>
          <w:szCs w:val="24"/>
        </w:rPr>
        <w:t xml:space="preserve"> ured</w:t>
      </w:r>
      <w:r>
        <w:rPr>
          <w:rFonts w:eastAsiaTheme="minorHAnsi"/>
          <w:sz w:val="24"/>
          <w:szCs w:val="24"/>
        </w:rPr>
        <w:t>a</w:t>
      </w:r>
      <w:r w:rsidRPr="0022059E">
        <w:rPr>
          <w:rFonts w:eastAsiaTheme="minorHAnsi"/>
          <w:sz w:val="24"/>
          <w:szCs w:val="24"/>
        </w:rPr>
        <w:t xml:space="preserve"> (EPO)</w:t>
      </w:r>
      <w:r>
        <w:rPr>
          <w:rFonts w:eastAsiaTheme="minorHAnsi"/>
          <w:sz w:val="24"/>
          <w:szCs w:val="24"/>
        </w:rPr>
        <w:t xml:space="preserve"> u </w:t>
      </w:r>
      <w:r w:rsidRPr="0022059E">
        <w:rPr>
          <w:rFonts w:eastAsiaTheme="minorHAnsi"/>
          <w:sz w:val="24"/>
          <w:szCs w:val="24"/>
        </w:rPr>
        <w:t xml:space="preserve">2024. iz Hrvatske je podnesena ukupno 41 prijava </w:t>
      </w:r>
      <w:r>
        <w:rPr>
          <w:rFonts w:eastAsiaTheme="minorHAnsi"/>
          <w:sz w:val="24"/>
          <w:szCs w:val="24"/>
        </w:rPr>
        <w:t xml:space="preserve">Europskog </w:t>
      </w:r>
      <w:r w:rsidRPr="0022059E">
        <w:rPr>
          <w:rFonts w:eastAsiaTheme="minorHAnsi"/>
          <w:sz w:val="24"/>
          <w:szCs w:val="24"/>
        </w:rPr>
        <w:t xml:space="preserve">patenta, što predstavlja smanjenje od 21% u odnosu na 2023. kada ih je bilo 52. Unatoč </w:t>
      </w:r>
      <w:r>
        <w:rPr>
          <w:rFonts w:eastAsiaTheme="minorHAnsi"/>
          <w:sz w:val="24"/>
          <w:szCs w:val="24"/>
        </w:rPr>
        <w:t>smanjenju</w:t>
      </w:r>
      <w:r w:rsidRPr="0022059E">
        <w:rPr>
          <w:rFonts w:eastAsiaTheme="minorHAnsi"/>
          <w:sz w:val="24"/>
          <w:szCs w:val="24"/>
        </w:rPr>
        <w:t>, riječ je o drugom najvišem godišnjem broju prijava</w:t>
      </w:r>
      <w:r>
        <w:rPr>
          <w:rFonts w:eastAsiaTheme="minorHAnsi"/>
          <w:sz w:val="24"/>
          <w:szCs w:val="24"/>
        </w:rPr>
        <w:t xml:space="preserve"> Europskog patenta </w:t>
      </w:r>
      <w:r w:rsidRPr="0022059E">
        <w:rPr>
          <w:rFonts w:eastAsiaTheme="minorHAnsi"/>
          <w:sz w:val="24"/>
          <w:szCs w:val="24"/>
        </w:rPr>
        <w:t xml:space="preserve">u posljednjem desetljeću, što ukazuje na postupno jačanje svijesti o potrebi zaštite rezultata istraživačkog i inovacijskog rada. </w:t>
      </w:r>
      <w:r>
        <w:rPr>
          <w:rFonts w:eastAsiaTheme="minorHAnsi"/>
          <w:sz w:val="24"/>
          <w:szCs w:val="24"/>
        </w:rPr>
        <w:t>Dodatno</w:t>
      </w:r>
      <w:r w:rsidRPr="0022059E">
        <w:rPr>
          <w:rFonts w:eastAsiaTheme="minorHAnsi"/>
          <w:sz w:val="24"/>
          <w:szCs w:val="24"/>
        </w:rPr>
        <w:t xml:space="preserve">, </w:t>
      </w:r>
      <w:r w:rsidRPr="0022059E">
        <w:rPr>
          <w:rFonts w:eastAsiaTheme="minorHAnsi"/>
          <w:sz w:val="24"/>
          <w:szCs w:val="24"/>
        </w:rPr>
        <w:lastRenderedPageBreak/>
        <w:t>prema Globalnom inovacijskom indeksu (GII) za 2024., koji izrađuje WIPO, Hrvatska je zauzela 43. mjesto među 133 zemlje</w:t>
      </w:r>
      <w:r>
        <w:rPr>
          <w:rFonts w:eastAsiaTheme="minorHAnsi"/>
          <w:sz w:val="24"/>
          <w:szCs w:val="24"/>
        </w:rPr>
        <w:t xml:space="preserve"> obuhvaćene istraživanjem</w:t>
      </w:r>
      <w:r w:rsidRPr="0022059E">
        <w:rPr>
          <w:rFonts w:eastAsiaTheme="minorHAnsi"/>
          <w:sz w:val="24"/>
          <w:szCs w:val="24"/>
        </w:rPr>
        <w:t xml:space="preserve">, ostvarivši blago poboljšanje u odnosu na prethodnu godinu (44. mjesto). Na razini europskih zemalja </w:t>
      </w:r>
      <w:r>
        <w:rPr>
          <w:rFonts w:eastAsiaTheme="minorHAnsi"/>
          <w:sz w:val="24"/>
          <w:szCs w:val="24"/>
        </w:rPr>
        <w:t>uključenih u istraživanje</w:t>
      </w:r>
      <w:r w:rsidRPr="0022059E">
        <w:rPr>
          <w:rFonts w:eastAsiaTheme="minorHAnsi"/>
          <w:sz w:val="24"/>
          <w:szCs w:val="24"/>
        </w:rPr>
        <w:t xml:space="preserve">, Hrvatska se nalazi na 27. mjestu od ukupno 39 zemalja. U strukturi GII-a, </w:t>
      </w:r>
      <w:r>
        <w:rPr>
          <w:rFonts w:eastAsiaTheme="minorHAnsi"/>
          <w:sz w:val="24"/>
          <w:szCs w:val="24"/>
        </w:rPr>
        <w:t xml:space="preserve">Hrvatska ostvaruje </w:t>
      </w:r>
      <w:r w:rsidRPr="0022059E">
        <w:rPr>
          <w:rFonts w:eastAsiaTheme="minorHAnsi"/>
          <w:sz w:val="24"/>
          <w:szCs w:val="24"/>
        </w:rPr>
        <w:t>najbolj</w:t>
      </w:r>
      <w:r>
        <w:rPr>
          <w:rFonts w:eastAsiaTheme="minorHAnsi"/>
          <w:sz w:val="24"/>
          <w:szCs w:val="24"/>
        </w:rPr>
        <w:t>e</w:t>
      </w:r>
      <w:r w:rsidRPr="0022059E">
        <w:rPr>
          <w:rFonts w:eastAsiaTheme="minorHAnsi"/>
          <w:sz w:val="24"/>
          <w:szCs w:val="24"/>
        </w:rPr>
        <w:t xml:space="preserve"> rezultat</w:t>
      </w:r>
      <w:r>
        <w:rPr>
          <w:rFonts w:eastAsiaTheme="minorHAnsi"/>
          <w:sz w:val="24"/>
          <w:szCs w:val="24"/>
        </w:rPr>
        <w:t>e</w:t>
      </w:r>
      <w:r w:rsidRPr="0022059E">
        <w:rPr>
          <w:rFonts w:eastAsiaTheme="minorHAnsi"/>
          <w:sz w:val="24"/>
          <w:szCs w:val="24"/>
        </w:rPr>
        <w:t xml:space="preserve"> u kategorijama infrastrukture (23. mjesto), rezultat</w:t>
      </w:r>
      <w:r>
        <w:rPr>
          <w:rFonts w:eastAsiaTheme="minorHAnsi"/>
          <w:sz w:val="24"/>
          <w:szCs w:val="24"/>
        </w:rPr>
        <w:t>im</w:t>
      </w:r>
      <w:r w:rsidRPr="0022059E">
        <w:rPr>
          <w:rFonts w:eastAsiaTheme="minorHAnsi"/>
          <w:sz w:val="24"/>
          <w:szCs w:val="24"/>
        </w:rPr>
        <w:t>a znanja i tehnologije (32. mjesto) te ljudsko</w:t>
      </w:r>
      <w:r>
        <w:rPr>
          <w:rFonts w:eastAsiaTheme="minorHAnsi"/>
          <w:sz w:val="24"/>
          <w:szCs w:val="24"/>
        </w:rPr>
        <w:t>m</w:t>
      </w:r>
      <w:r w:rsidRPr="0022059E">
        <w:rPr>
          <w:rFonts w:eastAsiaTheme="minorHAnsi"/>
          <w:sz w:val="24"/>
          <w:szCs w:val="24"/>
        </w:rPr>
        <w:t xml:space="preserve"> kapital</w:t>
      </w:r>
      <w:r>
        <w:rPr>
          <w:rFonts w:eastAsiaTheme="minorHAnsi"/>
          <w:sz w:val="24"/>
          <w:szCs w:val="24"/>
        </w:rPr>
        <w:t>u</w:t>
      </w:r>
      <w:r w:rsidRPr="0022059E">
        <w:rPr>
          <w:rFonts w:eastAsiaTheme="minorHAnsi"/>
          <w:sz w:val="24"/>
          <w:szCs w:val="24"/>
        </w:rPr>
        <w:t xml:space="preserve"> u području istraživanja i razvoja (41. mjesto)</w:t>
      </w:r>
      <w:r>
        <w:rPr>
          <w:rFonts w:eastAsiaTheme="minorHAnsi"/>
          <w:sz w:val="24"/>
          <w:szCs w:val="24"/>
        </w:rPr>
        <w:t xml:space="preserve">. S druge strane, </w:t>
      </w:r>
      <w:r w:rsidRPr="0022059E">
        <w:rPr>
          <w:rFonts w:eastAsiaTheme="minorHAnsi"/>
          <w:sz w:val="24"/>
          <w:szCs w:val="24"/>
        </w:rPr>
        <w:t xml:space="preserve"> u </w:t>
      </w:r>
      <w:r>
        <w:rPr>
          <w:rFonts w:eastAsiaTheme="minorHAnsi"/>
          <w:sz w:val="24"/>
          <w:szCs w:val="24"/>
        </w:rPr>
        <w:t>kategorijama</w:t>
      </w:r>
      <w:r w:rsidRPr="0022059E">
        <w:rPr>
          <w:rFonts w:eastAsiaTheme="minorHAnsi"/>
          <w:sz w:val="24"/>
          <w:szCs w:val="24"/>
        </w:rPr>
        <w:t xml:space="preserve"> institucija </w:t>
      </w:r>
      <w:r>
        <w:rPr>
          <w:rFonts w:eastAsiaTheme="minorHAnsi"/>
          <w:sz w:val="24"/>
          <w:szCs w:val="24"/>
        </w:rPr>
        <w:t xml:space="preserve">Hrvatska zauzima </w:t>
      </w:r>
      <w:r w:rsidRPr="0022059E">
        <w:rPr>
          <w:rFonts w:eastAsiaTheme="minorHAnsi"/>
          <w:sz w:val="24"/>
          <w:szCs w:val="24"/>
        </w:rPr>
        <w:t>68. mjesto, poslovn</w:t>
      </w:r>
      <w:r>
        <w:rPr>
          <w:rFonts w:eastAsiaTheme="minorHAnsi"/>
          <w:sz w:val="24"/>
          <w:szCs w:val="24"/>
        </w:rPr>
        <w:t>oj</w:t>
      </w:r>
      <w:r w:rsidRPr="0022059E">
        <w:rPr>
          <w:rFonts w:eastAsiaTheme="minorHAnsi"/>
          <w:sz w:val="24"/>
          <w:szCs w:val="24"/>
        </w:rPr>
        <w:t xml:space="preserve"> i tržišn</w:t>
      </w:r>
      <w:r>
        <w:rPr>
          <w:rFonts w:eastAsiaTheme="minorHAnsi"/>
          <w:sz w:val="24"/>
          <w:szCs w:val="24"/>
        </w:rPr>
        <w:t>oj</w:t>
      </w:r>
      <w:r w:rsidRPr="0022059E">
        <w:rPr>
          <w:rFonts w:eastAsiaTheme="minorHAnsi"/>
          <w:sz w:val="24"/>
          <w:szCs w:val="24"/>
        </w:rPr>
        <w:t xml:space="preserve"> sofisticiranosti (54. mjesto) </w:t>
      </w:r>
      <w:r>
        <w:rPr>
          <w:rFonts w:eastAsiaTheme="minorHAnsi"/>
          <w:sz w:val="24"/>
          <w:szCs w:val="24"/>
        </w:rPr>
        <w:t>te</w:t>
      </w:r>
      <w:r w:rsidRPr="0022059E">
        <w:rPr>
          <w:rFonts w:eastAsiaTheme="minorHAnsi"/>
          <w:sz w:val="24"/>
          <w:szCs w:val="24"/>
        </w:rPr>
        <w:t xml:space="preserve"> kreativni</w:t>
      </w:r>
      <w:r>
        <w:rPr>
          <w:rFonts w:eastAsiaTheme="minorHAnsi"/>
          <w:sz w:val="24"/>
          <w:szCs w:val="24"/>
        </w:rPr>
        <w:t>m</w:t>
      </w:r>
      <w:r w:rsidRPr="0022059E">
        <w:rPr>
          <w:rFonts w:eastAsiaTheme="minorHAnsi"/>
          <w:sz w:val="24"/>
          <w:szCs w:val="24"/>
        </w:rPr>
        <w:t xml:space="preserve"> rezultat</w:t>
      </w:r>
      <w:r>
        <w:rPr>
          <w:rFonts w:eastAsiaTheme="minorHAnsi"/>
          <w:sz w:val="24"/>
          <w:szCs w:val="24"/>
        </w:rPr>
        <w:t>im</w:t>
      </w:r>
      <w:r w:rsidRPr="0022059E">
        <w:rPr>
          <w:rFonts w:eastAsiaTheme="minorHAnsi"/>
          <w:sz w:val="24"/>
          <w:szCs w:val="24"/>
        </w:rPr>
        <w:t xml:space="preserve">a (50. mjesto). Ovi </w:t>
      </w:r>
      <w:r>
        <w:rPr>
          <w:rFonts w:eastAsiaTheme="minorHAnsi"/>
          <w:sz w:val="24"/>
          <w:szCs w:val="24"/>
        </w:rPr>
        <w:t>rezultati</w:t>
      </w:r>
      <w:r w:rsidRPr="0022059E">
        <w:rPr>
          <w:rFonts w:eastAsiaTheme="minorHAnsi"/>
          <w:sz w:val="24"/>
          <w:szCs w:val="24"/>
        </w:rPr>
        <w:t xml:space="preserve"> potvrđuju potrebu za nastavkom sustavnog jačanja institucionalnog okvira</w:t>
      </w:r>
      <w:r>
        <w:rPr>
          <w:rFonts w:eastAsiaTheme="minorHAnsi"/>
          <w:sz w:val="24"/>
          <w:szCs w:val="24"/>
        </w:rPr>
        <w:t xml:space="preserve"> inovacijskog sustava</w:t>
      </w:r>
      <w:r w:rsidRPr="0022059E">
        <w:rPr>
          <w:rFonts w:eastAsiaTheme="minorHAnsi"/>
          <w:sz w:val="24"/>
          <w:szCs w:val="24"/>
        </w:rPr>
        <w:t xml:space="preserve">, </w:t>
      </w:r>
      <w:r>
        <w:rPr>
          <w:rFonts w:eastAsiaTheme="minorHAnsi"/>
          <w:sz w:val="24"/>
          <w:szCs w:val="24"/>
        </w:rPr>
        <w:t xml:space="preserve">razvoja </w:t>
      </w:r>
      <w:r w:rsidRPr="0022059E">
        <w:rPr>
          <w:rFonts w:eastAsiaTheme="minorHAnsi"/>
          <w:sz w:val="24"/>
          <w:szCs w:val="24"/>
        </w:rPr>
        <w:t>poticajn</w:t>
      </w:r>
      <w:r>
        <w:rPr>
          <w:rFonts w:eastAsiaTheme="minorHAnsi"/>
          <w:sz w:val="24"/>
          <w:szCs w:val="24"/>
        </w:rPr>
        <w:t>ije</w:t>
      </w:r>
      <w:r w:rsidRPr="0022059E">
        <w:rPr>
          <w:rFonts w:eastAsiaTheme="minorHAnsi"/>
          <w:sz w:val="24"/>
          <w:szCs w:val="24"/>
        </w:rPr>
        <w:t xml:space="preserve">g poslovnog okruženja </w:t>
      </w:r>
      <w:r>
        <w:rPr>
          <w:rFonts w:eastAsiaTheme="minorHAnsi"/>
          <w:sz w:val="24"/>
          <w:szCs w:val="24"/>
        </w:rPr>
        <w:t>te</w:t>
      </w:r>
      <w:r w:rsidRPr="0022059E">
        <w:rPr>
          <w:rFonts w:eastAsiaTheme="minorHAnsi"/>
          <w:sz w:val="24"/>
          <w:szCs w:val="24"/>
        </w:rPr>
        <w:t xml:space="preserve"> stvaranja uvjeta za učinkovito komercijaliziranje rezultata istraživanja.</w:t>
      </w:r>
    </w:p>
    <w:p w14:paraId="2B3DCD00" w14:textId="77777777" w:rsidR="00FB178A" w:rsidRPr="0004221B" w:rsidRDefault="00FB178A" w:rsidP="00FB178A">
      <w:pPr>
        <w:widowControl/>
        <w:adjustRightInd w:val="0"/>
        <w:spacing w:line="276" w:lineRule="auto"/>
        <w:jc w:val="both"/>
        <w:rPr>
          <w:rFonts w:eastAsiaTheme="minorHAnsi"/>
          <w:sz w:val="24"/>
          <w:szCs w:val="24"/>
        </w:rPr>
      </w:pPr>
      <w:r>
        <w:rPr>
          <w:rFonts w:eastAsiaTheme="minorHAnsi"/>
          <w:sz w:val="24"/>
          <w:szCs w:val="24"/>
        </w:rPr>
        <w:t>S</w:t>
      </w:r>
      <w:r w:rsidRPr="00937B16">
        <w:rPr>
          <w:rFonts w:eastAsiaTheme="minorHAnsi"/>
          <w:sz w:val="24"/>
          <w:szCs w:val="24"/>
        </w:rPr>
        <w:t xml:space="preserve"> cilj</w:t>
      </w:r>
      <w:r>
        <w:rPr>
          <w:rFonts w:eastAsiaTheme="minorHAnsi"/>
          <w:sz w:val="24"/>
          <w:szCs w:val="24"/>
        </w:rPr>
        <w:t>em</w:t>
      </w:r>
      <w:r w:rsidRPr="00937B16">
        <w:rPr>
          <w:rFonts w:eastAsiaTheme="minorHAnsi"/>
          <w:sz w:val="24"/>
          <w:szCs w:val="24"/>
        </w:rPr>
        <w:t xml:space="preserve"> jačanja konkurentnosti i inovacijskog kapaciteta poduzetničkog sektora te povećanja učinkovitosti korištenja sustava zaštite intelektualnog vlasništva, tijekom 2024. nastavljena je provedba Programa financijske potpore E</w:t>
      </w:r>
      <w:r>
        <w:rPr>
          <w:rFonts w:eastAsiaTheme="minorHAnsi"/>
          <w:sz w:val="24"/>
          <w:szCs w:val="24"/>
        </w:rPr>
        <w:t>U-a</w:t>
      </w:r>
      <w:r w:rsidRPr="00937B16">
        <w:rPr>
          <w:rFonts w:eastAsiaTheme="minorHAnsi"/>
          <w:sz w:val="24"/>
          <w:szCs w:val="24"/>
        </w:rPr>
        <w:t xml:space="preserve"> za mala i srednja poduzeća za zaštitu i upravljanje intelektualnim vlasništvom. Program se provodi putem Fonda za mala i srednja poduzeća Europske unije koji koordinira Ured Europske unije za intelektualno vlasništvo, a u provedbi sudjeluj</w:t>
      </w:r>
      <w:r>
        <w:rPr>
          <w:rFonts w:eastAsiaTheme="minorHAnsi"/>
          <w:sz w:val="24"/>
          <w:szCs w:val="24"/>
        </w:rPr>
        <w:t>e Državni zavod za intelektualno vlasništvo</w:t>
      </w:r>
      <w:r w:rsidRPr="00937B16">
        <w:rPr>
          <w:rFonts w:eastAsiaTheme="minorHAnsi"/>
          <w:sz w:val="24"/>
          <w:szCs w:val="24"/>
        </w:rPr>
        <w:t xml:space="preserve">. Kroz Program je tijekom izvještajnog razdoblja ukupno 68 hrvatskih poduzeća ostvarilo financijsku potporu za aktivnosti povezane sa zaštitom žigova, industrijskog dizajna i patenata. Paralelno s provedbom </w:t>
      </w:r>
      <w:r>
        <w:rPr>
          <w:rFonts w:eastAsiaTheme="minorHAnsi"/>
          <w:sz w:val="24"/>
          <w:szCs w:val="24"/>
        </w:rPr>
        <w:t>Programa</w:t>
      </w:r>
      <w:r w:rsidRPr="00937B16">
        <w:rPr>
          <w:rFonts w:eastAsiaTheme="minorHAnsi"/>
          <w:sz w:val="24"/>
          <w:szCs w:val="24"/>
        </w:rPr>
        <w:t xml:space="preserve">, intenzivirane su aktivnosti informiranja i edukacije dionika iz inovativnih i kreativnih sektora s ciljem podizanja razine znanja o važnosti pravovremene i strateške zaštite intelektualnog vlasništva. U tom kontekstu, tijekom 2024. održano je ukupno 28 obrazovnih aktivnosti namijenjenih malim i srednjim poduzećima, na kojima je sudjelovalo 339 </w:t>
      </w:r>
      <w:r>
        <w:rPr>
          <w:rFonts w:eastAsiaTheme="minorHAnsi"/>
          <w:sz w:val="24"/>
          <w:szCs w:val="24"/>
        </w:rPr>
        <w:t>poduzetnika</w:t>
      </w:r>
      <w:r w:rsidRPr="00937B16">
        <w:rPr>
          <w:rFonts w:eastAsiaTheme="minorHAnsi"/>
          <w:sz w:val="24"/>
          <w:szCs w:val="24"/>
        </w:rPr>
        <w:t xml:space="preserve">, dok je za znanstvenoistraživačke institucije provedeno </w:t>
      </w:r>
      <w:r>
        <w:rPr>
          <w:rFonts w:eastAsiaTheme="minorHAnsi"/>
          <w:sz w:val="24"/>
          <w:szCs w:val="24"/>
        </w:rPr>
        <w:t>devet</w:t>
      </w:r>
      <w:r w:rsidRPr="00937B16">
        <w:rPr>
          <w:rFonts w:eastAsiaTheme="minorHAnsi"/>
          <w:sz w:val="24"/>
          <w:szCs w:val="24"/>
        </w:rPr>
        <w:t xml:space="preserve"> aktivnosti s ukupno 139 sudionika. Navedene aktivnosti pridonose prijenosu znanja i tehnologija iz </w:t>
      </w:r>
      <w:r>
        <w:rPr>
          <w:rFonts w:eastAsiaTheme="minorHAnsi"/>
          <w:sz w:val="24"/>
          <w:szCs w:val="24"/>
        </w:rPr>
        <w:t>znanstveno-istraživačkog</w:t>
      </w:r>
      <w:r w:rsidRPr="00937B16">
        <w:rPr>
          <w:rFonts w:eastAsiaTheme="minorHAnsi"/>
          <w:sz w:val="24"/>
          <w:szCs w:val="24"/>
        </w:rPr>
        <w:t xml:space="preserve"> u poduzetničk</w:t>
      </w:r>
      <w:r>
        <w:rPr>
          <w:rFonts w:eastAsiaTheme="minorHAnsi"/>
          <w:sz w:val="24"/>
          <w:szCs w:val="24"/>
        </w:rPr>
        <w:t>i sektor</w:t>
      </w:r>
      <w:r w:rsidRPr="00937B16">
        <w:rPr>
          <w:rFonts w:eastAsiaTheme="minorHAnsi"/>
          <w:sz w:val="24"/>
          <w:szCs w:val="24"/>
        </w:rPr>
        <w:t>, kao i jačanju kapaciteta za učinkovito upravljanje intelektualnim vlasništvom, što predstavlja ključan preduvjet za unaprjeđenje inovacijskog učinka gospodarstva i njegovu dugoročnu konkurentnost.</w:t>
      </w:r>
    </w:p>
    <w:p w14:paraId="7CEE553C" w14:textId="77777777" w:rsidR="00FB178A" w:rsidRDefault="00FB178A" w:rsidP="00FB178A">
      <w:pPr>
        <w:widowControl/>
        <w:adjustRightInd w:val="0"/>
        <w:spacing w:before="240" w:after="240" w:line="276" w:lineRule="auto"/>
        <w:jc w:val="both"/>
        <w:rPr>
          <w:rFonts w:eastAsiaTheme="minorHAnsi"/>
          <w:sz w:val="24"/>
          <w:szCs w:val="24"/>
        </w:rPr>
      </w:pPr>
      <w:r w:rsidRPr="00C4290C">
        <w:rPr>
          <w:rFonts w:eastAsiaTheme="minorHAnsi"/>
          <w:sz w:val="24"/>
          <w:szCs w:val="24"/>
        </w:rPr>
        <w:t>U kontekstu procesa pristupanja Republike Hrvatske O</w:t>
      </w:r>
      <w:r>
        <w:rPr>
          <w:rFonts w:eastAsiaTheme="minorHAnsi"/>
          <w:sz w:val="24"/>
          <w:szCs w:val="24"/>
        </w:rPr>
        <w:t>ECD-u</w:t>
      </w:r>
      <w:r w:rsidRPr="00C4290C">
        <w:rPr>
          <w:rFonts w:eastAsiaTheme="minorHAnsi"/>
          <w:sz w:val="24"/>
          <w:szCs w:val="24"/>
        </w:rPr>
        <w:t>, krajem 2024. ostvaren je značaj</w:t>
      </w:r>
      <w:r>
        <w:rPr>
          <w:rFonts w:eastAsiaTheme="minorHAnsi"/>
          <w:sz w:val="24"/>
          <w:szCs w:val="24"/>
        </w:rPr>
        <w:t>a</w:t>
      </w:r>
      <w:r w:rsidRPr="00C4290C">
        <w:rPr>
          <w:rFonts w:eastAsiaTheme="minorHAnsi"/>
          <w:sz w:val="24"/>
          <w:szCs w:val="24"/>
        </w:rPr>
        <w:t xml:space="preserve">n </w:t>
      </w:r>
      <w:r>
        <w:rPr>
          <w:rFonts w:eastAsiaTheme="minorHAnsi"/>
          <w:sz w:val="24"/>
          <w:szCs w:val="24"/>
        </w:rPr>
        <w:t>iskorak</w:t>
      </w:r>
      <w:r w:rsidRPr="00C4290C">
        <w:rPr>
          <w:rFonts w:eastAsiaTheme="minorHAnsi"/>
          <w:sz w:val="24"/>
          <w:szCs w:val="24"/>
        </w:rPr>
        <w:t xml:space="preserve"> u području znanosti i tehnologije. </w:t>
      </w:r>
      <w:r>
        <w:rPr>
          <w:rFonts w:eastAsiaTheme="minorHAnsi"/>
          <w:sz w:val="24"/>
          <w:szCs w:val="24"/>
        </w:rPr>
        <w:t>Dobiveno je p</w:t>
      </w:r>
      <w:r w:rsidRPr="00C4290C">
        <w:rPr>
          <w:rFonts w:eastAsiaTheme="minorHAnsi"/>
          <w:sz w:val="24"/>
          <w:szCs w:val="24"/>
        </w:rPr>
        <w:t>ozitivn</w:t>
      </w:r>
      <w:r>
        <w:rPr>
          <w:rFonts w:eastAsiaTheme="minorHAnsi"/>
          <w:sz w:val="24"/>
          <w:szCs w:val="24"/>
        </w:rPr>
        <w:t>o</w:t>
      </w:r>
      <w:r w:rsidRPr="00C4290C">
        <w:rPr>
          <w:rFonts w:eastAsiaTheme="minorHAnsi"/>
          <w:sz w:val="24"/>
          <w:szCs w:val="24"/>
        </w:rPr>
        <w:t xml:space="preserve"> mišljenje Radne skupine OECD-a za biotehnologiju, </w:t>
      </w:r>
      <w:proofErr w:type="spellStart"/>
      <w:r w:rsidRPr="00C4290C">
        <w:rPr>
          <w:rFonts w:eastAsiaTheme="minorHAnsi"/>
          <w:sz w:val="24"/>
          <w:szCs w:val="24"/>
        </w:rPr>
        <w:t>nanotehnologiju</w:t>
      </w:r>
      <w:proofErr w:type="spellEnd"/>
      <w:r w:rsidRPr="00C4290C">
        <w:rPr>
          <w:rFonts w:eastAsiaTheme="minorHAnsi"/>
          <w:sz w:val="24"/>
          <w:szCs w:val="24"/>
        </w:rPr>
        <w:t xml:space="preserve"> i konvergentne tehnologije</w:t>
      </w:r>
      <w:r>
        <w:rPr>
          <w:rFonts w:eastAsiaTheme="minorHAnsi"/>
          <w:sz w:val="24"/>
          <w:szCs w:val="24"/>
        </w:rPr>
        <w:t>, čime je</w:t>
      </w:r>
      <w:r w:rsidRPr="00C4290C">
        <w:rPr>
          <w:rFonts w:eastAsiaTheme="minorHAnsi"/>
          <w:sz w:val="24"/>
          <w:szCs w:val="24"/>
        </w:rPr>
        <w:t xml:space="preserve"> potvrđ</w:t>
      </w:r>
      <w:r>
        <w:rPr>
          <w:rFonts w:eastAsiaTheme="minorHAnsi"/>
          <w:sz w:val="24"/>
          <w:szCs w:val="24"/>
        </w:rPr>
        <w:t xml:space="preserve">ena </w:t>
      </w:r>
      <w:r w:rsidRPr="00C4290C">
        <w:rPr>
          <w:rFonts w:eastAsiaTheme="minorHAnsi"/>
          <w:sz w:val="24"/>
          <w:szCs w:val="24"/>
        </w:rPr>
        <w:t>usklađenost nacionalnih politika s relevantnim OECD standardima</w:t>
      </w:r>
      <w:r>
        <w:rPr>
          <w:rFonts w:eastAsiaTheme="minorHAnsi"/>
          <w:sz w:val="24"/>
          <w:szCs w:val="24"/>
        </w:rPr>
        <w:t xml:space="preserve">. Istodobno, </w:t>
      </w:r>
      <w:r w:rsidRPr="00C4290C">
        <w:rPr>
          <w:rFonts w:eastAsiaTheme="minorHAnsi"/>
          <w:sz w:val="24"/>
          <w:szCs w:val="24"/>
        </w:rPr>
        <w:t>Odbor za znanstvenu i tehnološku politiku (CSTP) nije imao dodatnih zahtjeva</w:t>
      </w:r>
      <w:r>
        <w:rPr>
          <w:rFonts w:eastAsiaTheme="minorHAnsi"/>
          <w:sz w:val="24"/>
          <w:szCs w:val="24"/>
        </w:rPr>
        <w:t xml:space="preserve"> za usklađivanje</w:t>
      </w:r>
      <w:r w:rsidRPr="00C4290C">
        <w:rPr>
          <w:rFonts w:eastAsiaTheme="minorHAnsi"/>
          <w:sz w:val="24"/>
          <w:szCs w:val="24"/>
        </w:rPr>
        <w:t xml:space="preserve">, čime se Hrvatska dodatno približila ispunjenju preostalih kriterija za punopravno članstvo. </w:t>
      </w:r>
    </w:p>
    <w:p w14:paraId="5E48CFA3" w14:textId="77777777" w:rsidR="00FB178A" w:rsidRDefault="00FB178A" w:rsidP="00FB178A">
      <w:pPr>
        <w:widowControl/>
        <w:adjustRightInd w:val="0"/>
        <w:spacing w:before="240" w:after="240" w:line="276" w:lineRule="auto"/>
        <w:jc w:val="both"/>
        <w:rPr>
          <w:rFonts w:eastAsiaTheme="minorHAnsi"/>
          <w:sz w:val="24"/>
          <w:szCs w:val="24"/>
        </w:rPr>
      </w:pPr>
      <w:r>
        <w:rPr>
          <w:rFonts w:eastAsiaTheme="minorHAnsi"/>
          <w:sz w:val="24"/>
          <w:szCs w:val="24"/>
        </w:rPr>
        <w:t>Dodatno</w:t>
      </w:r>
      <w:r w:rsidRPr="00C4290C">
        <w:rPr>
          <w:rFonts w:eastAsiaTheme="minorHAnsi"/>
          <w:sz w:val="24"/>
          <w:szCs w:val="24"/>
        </w:rPr>
        <w:t>, nastav</w:t>
      </w:r>
      <w:r>
        <w:rPr>
          <w:rFonts w:eastAsiaTheme="minorHAnsi"/>
          <w:sz w:val="24"/>
          <w:szCs w:val="24"/>
        </w:rPr>
        <w:t>ljena je</w:t>
      </w:r>
      <w:r w:rsidRPr="00C4290C">
        <w:rPr>
          <w:rFonts w:eastAsiaTheme="minorHAnsi"/>
          <w:sz w:val="24"/>
          <w:szCs w:val="24"/>
        </w:rPr>
        <w:t xml:space="preserve"> provedba programskih ugovora potpisanih u prosincu 2023. s 25 javnih znanstvenih instituta i dva javna veleučilišta, čime se osigurava stabilnije i strateški usmjereno financiranje znanstvenoistraživačkih aktivnosti. U cilju učinkovitijeg praćenja realizacije </w:t>
      </w:r>
      <w:r>
        <w:rPr>
          <w:rFonts w:eastAsiaTheme="minorHAnsi"/>
          <w:sz w:val="24"/>
          <w:szCs w:val="24"/>
        </w:rPr>
        <w:t>programskih</w:t>
      </w:r>
      <w:r w:rsidRPr="00C4290C">
        <w:rPr>
          <w:rFonts w:eastAsiaTheme="minorHAnsi"/>
          <w:sz w:val="24"/>
          <w:szCs w:val="24"/>
        </w:rPr>
        <w:t xml:space="preserve"> ugovora, izrađene su Smjernice za praćenje i izvještavanje, </w:t>
      </w:r>
      <w:r>
        <w:rPr>
          <w:rFonts w:eastAsiaTheme="minorHAnsi"/>
          <w:sz w:val="24"/>
          <w:szCs w:val="24"/>
        </w:rPr>
        <w:t>P</w:t>
      </w:r>
      <w:r w:rsidRPr="00C4290C">
        <w:rPr>
          <w:rFonts w:eastAsiaTheme="minorHAnsi"/>
          <w:sz w:val="24"/>
          <w:szCs w:val="24"/>
        </w:rPr>
        <w:t xml:space="preserve">redložak za </w:t>
      </w:r>
      <w:r>
        <w:rPr>
          <w:rFonts w:eastAsiaTheme="minorHAnsi"/>
          <w:sz w:val="24"/>
          <w:szCs w:val="24"/>
        </w:rPr>
        <w:t>praćenje</w:t>
      </w:r>
      <w:r w:rsidRPr="00C4290C">
        <w:rPr>
          <w:rFonts w:eastAsiaTheme="minorHAnsi"/>
          <w:sz w:val="24"/>
          <w:szCs w:val="24"/>
        </w:rPr>
        <w:t xml:space="preserve"> provedb</w:t>
      </w:r>
      <w:r>
        <w:rPr>
          <w:rFonts w:eastAsiaTheme="minorHAnsi"/>
          <w:sz w:val="24"/>
          <w:szCs w:val="24"/>
        </w:rPr>
        <w:t>e</w:t>
      </w:r>
      <w:r w:rsidRPr="00C4290C">
        <w:rPr>
          <w:rFonts w:eastAsiaTheme="minorHAnsi"/>
          <w:sz w:val="24"/>
          <w:szCs w:val="24"/>
        </w:rPr>
        <w:t xml:space="preserve"> te </w:t>
      </w:r>
      <w:r>
        <w:rPr>
          <w:rFonts w:eastAsiaTheme="minorHAnsi"/>
          <w:sz w:val="24"/>
          <w:szCs w:val="24"/>
        </w:rPr>
        <w:t>U</w:t>
      </w:r>
      <w:r w:rsidRPr="00C4290C">
        <w:rPr>
          <w:rFonts w:eastAsiaTheme="minorHAnsi"/>
          <w:sz w:val="24"/>
          <w:szCs w:val="24"/>
        </w:rPr>
        <w:t xml:space="preserve">pute za provedbu </w:t>
      </w:r>
      <w:r>
        <w:rPr>
          <w:rFonts w:eastAsiaTheme="minorHAnsi"/>
          <w:sz w:val="24"/>
          <w:szCs w:val="24"/>
        </w:rPr>
        <w:t xml:space="preserve">i izvještavanje </w:t>
      </w:r>
      <w:r w:rsidRPr="00C4290C">
        <w:rPr>
          <w:rFonts w:eastAsiaTheme="minorHAnsi"/>
          <w:sz w:val="24"/>
          <w:szCs w:val="24"/>
        </w:rPr>
        <w:t xml:space="preserve">institucionalnih istraživačkih projekata sufinanciranih putem </w:t>
      </w:r>
      <w:r>
        <w:rPr>
          <w:rFonts w:eastAsiaTheme="minorHAnsi"/>
          <w:sz w:val="24"/>
          <w:szCs w:val="24"/>
        </w:rPr>
        <w:t>NPOO-a</w:t>
      </w:r>
      <w:r w:rsidRPr="00C4290C">
        <w:rPr>
          <w:rFonts w:eastAsiaTheme="minorHAnsi"/>
          <w:sz w:val="24"/>
          <w:szCs w:val="24"/>
        </w:rPr>
        <w:t xml:space="preserve">. Navedene aktivnosti predstavljaju važan korak u uspostavi sustava </w:t>
      </w:r>
      <w:r w:rsidRPr="00C4290C">
        <w:rPr>
          <w:rFonts w:eastAsiaTheme="minorHAnsi"/>
          <w:sz w:val="24"/>
          <w:szCs w:val="24"/>
        </w:rPr>
        <w:lastRenderedPageBreak/>
        <w:t>programskog financiranja znanosti temeljenog na rezultatima, s ciljem unaprjeđenja znanstvene izvrsnosti, relevantnosti istraživanja i bolje integracije znanosti s gospodarskim razvojem.</w:t>
      </w:r>
    </w:p>
    <w:p w14:paraId="2A528F56" w14:textId="77777777" w:rsidR="00FB178A" w:rsidRDefault="00FB178A" w:rsidP="00FB178A">
      <w:pPr>
        <w:widowControl/>
        <w:adjustRightInd w:val="0"/>
        <w:spacing w:after="240" w:line="276" w:lineRule="auto"/>
        <w:jc w:val="both"/>
        <w:rPr>
          <w:rFonts w:eastAsiaTheme="minorHAnsi"/>
          <w:sz w:val="24"/>
          <w:szCs w:val="24"/>
        </w:rPr>
      </w:pPr>
      <w:r w:rsidRPr="00BB4F01">
        <w:rPr>
          <w:rFonts w:eastAsiaTheme="minorHAnsi"/>
          <w:sz w:val="24"/>
          <w:szCs w:val="24"/>
        </w:rPr>
        <w:t>U okviru N</w:t>
      </w:r>
      <w:r>
        <w:rPr>
          <w:rFonts w:eastAsiaTheme="minorHAnsi"/>
          <w:sz w:val="24"/>
          <w:szCs w:val="24"/>
        </w:rPr>
        <w:t xml:space="preserve">POO </w:t>
      </w:r>
      <w:r w:rsidRPr="00BB4F01">
        <w:rPr>
          <w:rFonts w:eastAsiaTheme="minorHAnsi"/>
          <w:sz w:val="24"/>
          <w:szCs w:val="24"/>
        </w:rPr>
        <w:t>pod-komponente C3.2. „Podizanje istraživačkog i inovacijskog kapaciteta“, tijekom 2024. nastavljen je intenzivan rad na adresiranju strukturnih slabosti istraživačkog i inovacijskog sustava.</w:t>
      </w:r>
      <w:r>
        <w:rPr>
          <w:rFonts w:eastAsiaTheme="minorHAnsi"/>
          <w:sz w:val="24"/>
          <w:szCs w:val="24"/>
        </w:rPr>
        <w:t xml:space="preserve"> </w:t>
      </w:r>
      <w:r w:rsidRPr="00BB4F01">
        <w:rPr>
          <w:rFonts w:eastAsiaTheme="minorHAnsi"/>
          <w:sz w:val="24"/>
          <w:szCs w:val="24"/>
        </w:rPr>
        <w:t>Pod-komponenta obuhvaća tri reformske i pet investicijskih mjera usmjerenih na jačanje znanstvene izvrsnosti, povećanje kapaciteta istraživačkih organizacija te snažnije povezivanje znanosti s gospodarstvom. Tijekom 2024. objavljena su četiri nova poziva za dodjelu sredstava</w:t>
      </w:r>
      <w:r>
        <w:rPr>
          <w:rFonts w:eastAsiaTheme="minorHAnsi"/>
          <w:sz w:val="24"/>
          <w:szCs w:val="24"/>
        </w:rPr>
        <w:t xml:space="preserve"> te</w:t>
      </w:r>
      <w:r w:rsidRPr="00BB4F01">
        <w:rPr>
          <w:rFonts w:eastAsiaTheme="minorHAnsi"/>
          <w:sz w:val="24"/>
          <w:szCs w:val="24"/>
        </w:rPr>
        <w:t xml:space="preserve"> dva infrastrukturna</w:t>
      </w:r>
      <w:r>
        <w:rPr>
          <w:rFonts w:eastAsiaTheme="minorHAnsi"/>
          <w:sz w:val="24"/>
          <w:szCs w:val="24"/>
        </w:rPr>
        <w:t xml:space="preserve"> poziva</w:t>
      </w:r>
      <w:r w:rsidRPr="00BB4F01">
        <w:rPr>
          <w:rFonts w:eastAsiaTheme="minorHAnsi"/>
          <w:sz w:val="24"/>
          <w:szCs w:val="24"/>
        </w:rPr>
        <w:t>. Prvi infrastrukturni poziv odnosi se na projekt „KRŠ“</w:t>
      </w:r>
      <w:r>
        <w:rPr>
          <w:rFonts w:eastAsiaTheme="minorHAnsi"/>
          <w:sz w:val="24"/>
          <w:szCs w:val="24"/>
        </w:rPr>
        <w:t>,</w:t>
      </w:r>
      <w:r w:rsidRPr="00BB4F01">
        <w:rPr>
          <w:rFonts w:eastAsiaTheme="minorHAnsi"/>
          <w:sz w:val="24"/>
          <w:szCs w:val="24"/>
        </w:rPr>
        <w:t xml:space="preserve"> kojim se planira izgradnja i opremanje Centra za naprednu analitiku i podršku razvoju mediteranskih poljoprivrednih proizvoda u Splitu, s ciljem poticanja znanstvenih istraživanja i inovacija u STEM području, osobito u biotehnologiji, s naglaskom na primjenu u sektoru poljoprivrede. Očekuje se da će uspostava </w:t>
      </w:r>
      <w:r>
        <w:rPr>
          <w:rFonts w:eastAsiaTheme="minorHAnsi"/>
          <w:sz w:val="24"/>
          <w:szCs w:val="24"/>
        </w:rPr>
        <w:t>C</w:t>
      </w:r>
      <w:r w:rsidRPr="00BB4F01">
        <w:rPr>
          <w:rFonts w:eastAsiaTheme="minorHAnsi"/>
          <w:sz w:val="24"/>
          <w:szCs w:val="24"/>
        </w:rPr>
        <w:t>entra pridonijeti jačanju suradnje s gospodarskim subjektima u Dalmaciji i široj Jadranskoj Hrvatskoj, kao i stvaranju uvjeta za razvoj mladih istraživača te postizanj</w:t>
      </w:r>
      <w:r>
        <w:rPr>
          <w:rFonts w:eastAsiaTheme="minorHAnsi"/>
          <w:sz w:val="24"/>
          <w:szCs w:val="24"/>
        </w:rPr>
        <w:t>e</w:t>
      </w:r>
      <w:r w:rsidRPr="00BB4F01">
        <w:rPr>
          <w:rFonts w:eastAsiaTheme="minorHAnsi"/>
          <w:sz w:val="24"/>
          <w:szCs w:val="24"/>
        </w:rPr>
        <w:t xml:space="preserve"> međunarodne </w:t>
      </w:r>
      <w:r>
        <w:rPr>
          <w:rFonts w:eastAsiaTheme="minorHAnsi"/>
          <w:sz w:val="24"/>
          <w:szCs w:val="24"/>
        </w:rPr>
        <w:t>izvrsnosti u istraživanjima</w:t>
      </w:r>
      <w:r w:rsidRPr="00BB4F01">
        <w:rPr>
          <w:rFonts w:eastAsiaTheme="minorHAnsi"/>
          <w:sz w:val="24"/>
          <w:szCs w:val="24"/>
        </w:rPr>
        <w:t>. Drugi infrastrukturni poziv odnosi se na projekt „FERIT“, koji uključuje izgradnju i opremanje Znanstveno-istraživačkoga centra elektrotehnike i računarstva pri Fakultetu elektrotehnike, računarstva i informacijskih tehnologija u Osijeku. Cilj projekta je uspostava suvremene platforme za provođenje primijenjenih istraživanja i inovacija, intenzivnije uključivanje gospodarstva te razvoj karijera mladih istraživača u području elektrotehnike i I</w:t>
      </w:r>
      <w:r>
        <w:rPr>
          <w:rFonts w:eastAsiaTheme="minorHAnsi"/>
          <w:sz w:val="24"/>
          <w:szCs w:val="24"/>
        </w:rPr>
        <w:t>K</w:t>
      </w:r>
      <w:r w:rsidRPr="00BB4F01">
        <w:rPr>
          <w:rFonts w:eastAsiaTheme="minorHAnsi"/>
          <w:sz w:val="24"/>
          <w:szCs w:val="24"/>
        </w:rPr>
        <w:t>T-a. Uz infrastrukturne intervencije, objavljen je i poziv za dodjelu stipendija studentima u STEM i I</w:t>
      </w:r>
      <w:r>
        <w:rPr>
          <w:rFonts w:eastAsiaTheme="minorHAnsi"/>
          <w:sz w:val="24"/>
          <w:szCs w:val="24"/>
        </w:rPr>
        <w:t>K</w:t>
      </w:r>
      <w:r w:rsidRPr="00BB4F01">
        <w:rPr>
          <w:rFonts w:eastAsiaTheme="minorHAnsi"/>
          <w:sz w:val="24"/>
          <w:szCs w:val="24"/>
        </w:rPr>
        <w:t>T područjima</w:t>
      </w:r>
      <w:r>
        <w:rPr>
          <w:rFonts w:eastAsiaTheme="minorHAnsi"/>
          <w:sz w:val="24"/>
          <w:szCs w:val="24"/>
        </w:rPr>
        <w:t>,</w:t>
      </w:r>
      <w:r w:rsidRPr="00BB4F01">
        <w:rPr>
          <w:rFonts w:eastAsiaTheme="minorHAnsi"/>
          <w:sz w:val="24"/>
          <w:szCs w:val="24"/>
        </w:rPr>
        <w:t xml:space="preserve"> s ciljem povećanja privlačnosti </w:t>
      </w:r>
      <w:r>
        <w:rPr>
          <w:rFonts w:eastAsiaTheme="minorHAnsi"/>
          <w:sz w:val="24"/>
          <w:szCs w:val="24"/>
        </w:rPr>
        <w:t xml:space="preserve">obrazovanja u </w:t>
      </w:r>
      <w:r w:rsidRPr="00BB4F01">
        <w:rPr>
          <w:rFonts w:eastAsiaTheme="minorHAnsi"/>
          <w:sz w:val="24"/>
          <w:szCs w:val="24"/>
        </w:rPr>
        <w:t>tehnički</w:t>
      </w:r>
      <w:r>
        <w:rPr>
          <w:rFonts w:eastAsiaTheme="minorHAnsi"/>
          <w:sz w:val="24"/>
          <w:szCs w:val="24"/>
        </w:rPr>
        <w:t>m</w:t>
      </w:r>
      <w:r w:rsidRPr="00BB4F01">
        <w:rPr>
          <w:rFonts w:eastAsiaTheme="minorHAnsi"/>
          <w:sz w:val="24"/>
          <w:szCs w:val="24"/>
        </w:rPr>
        <w:t xml:space="preserve"> i prirodni</w:t>
      </w:r>
      <w:r>
        <w:rPr>
          <w:rFonts w:eastAsiaTheme="minorHAnsi"/>
          <w:sz w:val="24"/>
          <w:szCs w:val="24"/>
        </w:rPr>
        <w:t>m</w:t>
      </w:r>
      <w:r w:rsidRPr="00BB4F01">
        <w:rPr>
          <w:rFonts w:eastAsiaTheme="minorHAnsi"/>
          <w:sz w:val="24"/>
          <w:szCs w:val="24"/>
        </w:rPr>
        <w:t xml:space="preserve"> znanosti</w:t>
      </w:r>
      <w:r>
        <w:rPr>
          <w:rFonts w:eastAsiaTheme="minorHAnsi"/>
          <w:sz w:val="24"/>
          <w:szCs w:val="24"/>
        </w:rPr>
        <w:t>ma. Također, objavljen je i</w:t>
      </w:r>
      <w:r w:rsidRPr="00BB4F01">
        <w:rPr>
          <w:rFonts w:eastAsiaTheme="minorHAnsi"/>
          <w:sz w:val="24"/>
          <w:szCs w:val="24"/>
        </w:rPr>
        <w:t xml:space="preserve"> treći poziv „Dokazivanje inovativnog koncepta“</w:t>
      </w:r>
      <w:r>
        <w:rPr>
          <w:rFonts w:eastAsiaTheme="minorHAnsi"/>
          <w:sz w:val="24"/>
          <w:szCs w:val="24"/>
        </w:rPr>
        <w:t>,</w:t>
      </w:r>
      <w:r w:rsidRPr="00BB4F01">
        <w:rPr>
          <w:rFonts w:eastAsiaTheme="minorHAnsi"/>
          <w:sz w:val="24"/>
          <w:szCs w:val="24"/>
        </w:rPr>
        <w:t xml:space="preserve"> koji</w:t>
      </w:r>
      <w:r>
        <w:rPr>
          <w:rFonts w:eastAsiaTheme="minorHAnsi"/>
          <w:sz w:val="24"/>
          <w:szCs w:val="24"/>
        </w:rPr>
        <w:t>m se</w:t>
      </w:r>
      <w:r w:rsidRPr="00BB4F01">
        <w:rPr>
          <w:rFonts w:eastAsiaTheme="minorHAnsi"/>
          <w:sz w:val="24"/>
          <w:szCs w:val="24"/>
        </w:rPr>
        <w:t xml:space="preserve"> podupire pred-komercijalne aktivnosti mikro, malih i srednjih poduzeća te znanstvenih organizacija, s ciljem smanjenja rizika ulaganja i povećanja potencijala za komercijalizaciju inovacija. Ukupno je tijekom 2024. u okviru pod-komponente</w:t>
      </w:r>
      <w:r w:rsidRPr="00CB17C7">
        <w:t xml:space="preserve"> </w:t>
      </w:r>
      <w:r w:rsidRPr="00CB17C7">
        <w:rPr>
          <w:rFonts w:eastAsiaTheme="minorHAnsi"/>
          <w:sz w:val="24"/>
          <w:szCs w:val="24"/>
        </w:rPr>
        <w:t>C3.2.</w:t>
      </w:r>
      <w:r w:rsidRPr="00BB4F01">
        <w:rPr>
          <w:rFonts w:eastAsiaTheme="minorHAnsi"/>
          <w:sz w:val="24"/>
          <w:szCs w:val="24"/>
        </w:rPr>
        <w:t xml:space="preserve"> ugovoreno 186 projekata iz šest poziva, kao i tri izravne dodjele pokrenute u 2023. godini, čime su dodatno osnaženi kapaciteti za održiv i inovacijski usmjeren razvoj </w:t>
      </w:r>
      <w:r>
        <w:rPr>
          <w:rFonts w:eastAsiaTheme="minorHAnsi"/>
          <w:sz w:val="24"/>
          <w:szCs w:val="24"/>
        </w:rPr>
        <w:t xml:space="preserve">u području </w:t>
      </w:r>
      <w:r w:rsidRPr="00BB4F01">
        <w:rPr>
          <w:rFonts w:eastAsiaTheme="minorHAnsi"/>
          <w:sz w:val="24"/>
          <w:szCs w:val="24"/>
        </w:rPr>
        <w:t>znanosti i tehnologije.</w:t>
      </w:r>
      <w:r>
        <w:rPr>
          <w:rFonts w:eastAsiaTheme="minorHAnsi"/>
          <w:sz w:val="24"/>
          <w:szCs w:val="24"/>
        </w:rPr>
        <w:t xml:space="preserve"> </w:t>
      </w:r>
    </w:p>
    <w:p w14:paraId="3C519808" w14:textId="77777777" w:rsidR="00FB178A" w:rsidRPr="00EB77D5" w:rsidRDefault="00FB178A" w:rsidP="00FB178A">
      <w:pPr>
        <w:widowControl/>
        <w:adjustRightInd w:val="0"/>
        <w:spacing w:after="240" w:line="276" w:lineRule="auto"/>
        <w:jc w:val="both"/>
        <w:rPr>
          <w:rFonts w:eastAsiaTheme="minorHAnsi"/>
          <w:sz w:val="24"/>
          <w:szCs w:val="24"/>
        </w:rPr>
      </w:pPr>
      <w:r w:rsidRPr="00EB77D5">
        <w:rPr>
          <w:rFonts w:eastAsiaTheme="minorHAnsi"/>
          <w:sz w:val="24"/>
          <w:szCs w:val="24"/>
        </w:rPr>
        <w:t>U okviru P</w:t>
      </w:r>
      <w:r>
        <w:rPr>
          <w:rFonts w:eastAsiaTheme="minorHAnsi"/>
          <w:sz w:val="24"/>
          <w:szCs w:val="24"/>
        </w:rPr>
        <w:t>KK</w:t>
      </w:r>
      <w:r w:rsidRPr="00EB77D5">
        <w:rPr>
          <w:rFonts w:eastAsiaTheme="minorHAnsi"/>
          <w:sz w:val="24"/>
          <w:szCs w:val="24"/>
        </w:rPr>
        <w:t xml:space="preserve"> 2021.</w:t>
      </w:r>
      <w:r>
        <w:rPr>
          <w:rFonts w:eastAsiaTheme="minorHAnsi"/>
          <w:sz w:val="24"/>
          <w:szCs w:val="24"/>
        </w:rPr>
        <w:t>-</w:t>
      </w:r>
      <w:r w:rsidRPr="00EB77D5">
        <w:rPr>
          <w:rFonts w:eastAsiaTheme="minorHAnsi"/>
          <w:sz w:val="24"/>
          <w:szCs w:val="24"/>
        </w:rPr>
        <w:t>2027. ugovoren je strateški projekt „Otvorene znanstvene infrastrukturne platforme za inovativne primjene u gospodarstvu i društvu O</w:t>
      </w:r>
      <w:r>
        <w:rPr>
          <w:rFonts w:eastAsiaTheme="minorHAnsi"/>
          <w:sz w:val="24"/>
          <w:szCs w:val="24"/>
        </w:rPr>
        <w:t>-</w:t>
      </w:r>
      <w:r w:rsidRPr="00EB77D5">
        <w:rPr>
          <w:rFonts w:eastAsiaTheme="minorHAnsi"/>
          <w:sz w:val="24"/>
          <w:szCs w:val="24"/>
        </w:rPr>
        <w:t>ZIP, faza II“, usmjeren na modernizaciju i dogradnju istraživačkih kapaciteta Instituta Ruđer Bošković za provedbu vrhunskih znanstvenih istraživanja. Provedbom projekta uspostavit će se četiri multidisciplinarne istraživačke platforme te provesti organizacijska reforma</w:t>
      </w:r>
      <w:r>
        <w:rPr>
          <w:rFonts w:eastAsiaTheme="minorHAnsi"/>
          <w:sz w:val="24"/>
          <w:szCs w:val="24"/>
        </w:rPr>
        <w:t xml:space="preserve"> Instituta</w:t>
      </w:r>
      <w:r w:rsidRPr="00EB77D5">
        <w:rPr>
          <w:rFonts w:eastAsiaTheme="minorHAnsi"/>
          <w:sz w:val="24"/>
          <w:szCs w:val="24"/>
        </w:rPr>
        <w:t>, čime će se osigurati snažnija integracija istraživačkih kapaciteta, povećanje učinkovitosti rada i dosezanje novih razina znanstvene izvrsnosti te međunarodne prepoznatljivosti Instituta.</w:t>
      </w:r>
    </w:p>
    <w:p w14:paraId="214230D1" w14:textId="77777777" w:rsidR="00FB178A" w:rsidRDefault="00FB178A" w:rsidP="00FB178A">
      <w:pPr>
        <w:widowControl/>
        <w:adjustRightInd w:val="0"/>
        <w:spacing w:after="240" w:line="276" w:lineRule="auto"/>
        <w:jc w:val="both"/>
        <w:rPr>
          <w:rFonts w:eastAsiaTheme="minorHAnsi"/>
          <w:sz w:val="24"/>
          <w:szCs w:val="24"/>
        </w:rPr>
      </w:pPr>
      <w:r w:rsidRPr="00BC0ECF">
        <w:rPr>
          <w:rFonts w:eastAsiaTheme="minorHAnsi"/>
          <w:sz w:val="24"/>
          <w:szCs w:val="24"/>
        </w:rPr>
        <w:t xml:space="preserve">Dodatno, u okviru projekta „DIGIT </w:t>
      </w:r>
      <w:r>
        <w:rPr>
          <w:rFonts w:eastAsiaTheme="minorHAnsi"/>
          <w:sz w:val="24"/>
          <w:szCs w:val="24"/>
        </w:rPr>
        <w:t>-</w:t>
      </w:r>
      <w:r w:rsidRPr="00BC0ECF">
        <w:rPr>
          <w:rFonts w:eastAsiaTheme="minorHAnsi"/>
          <w:sz w:val="24"/>
          <w:szCs w:val="24"/>
        </w:rPr>
        <w:t xml:space="preserve"> Digitalne, inovativne i zelene tehnologije“ krajem 2024. objavljen je poziv „</w:t>
      </w:r>
      <w:proofErr w:type="spellStart"/>
      <w:r w:rsidRPr="0004221B">
        <w:rPr>
          <w:rFonts w:eastAsiaTheme="minorHAnsi"/>
          <w:i/>
          <w:iCs/>
          <w:sz w:val="24"/>
          <w:szCs w:val="24"/>
        </w:rPr>
        <w:t>Seal</w:t>
      </w:r>
      <w:proofErr w:type="spellEnd"/>
      <w:r w:rsidRPr="0004221B">
        <w:rPr>
          <w:rFonts w:eastAsiaTheme="minorHAnsi"/>
          <w:i/>
          <w:iCs/>
          <w:sz w:val="24"/>
          <w:szCs w:val="24"/>
        </w:rPr>
        <w:t xml:space="preserve"> </w:t>
      </w:r>
      <w:proofErr w:type="spellStart"/>
      <w:r w:rsidRPr="0004221B">
        <w:rPr>
          <w:rFonts w:eastAsiaTheme="minorHAnsi"/>
          <w:i/>
          <w:iCs/>
          <w:sz w:val="24"/>
          <w:szCs w:val="24"/>
        </w:rPr>
        <w:t>of</w:t>
      </w:r>
      <w:proofErr w:type="spellEnd"/>
      <w:r w:rsidRPr="0004221B">
        <w:rPr>
          <w:rFonts w:eastAsiaTheme="minorHAnsi"/>
          <w:i/>
          <w:iCs/>
          <w:sz w:val="24"/>
          <w:szCs w:val="24"/>
        </w:rPr>
        <w:t xml:space="preserve"> </w:t>
      </w:r>
      <w:proofErr w:type="spellStart"/>
      <w:r w:rsidRPr="0004221B">
        <w:rPr>
          <w:rFonts w:eastAsiaTheme="minorHAnsi"/>
          <w:i/>
          <w:iCs/>
          <w:sz w:val="24"/>
          <w:szCs w:val="24"/>
        </w:rPr>
        <w:t>Excellence</w:t>
      </w:r>
      <w:proofErr w:type="spellEnd"/>
      <w:r w:rsidRPr="0004221B">
        <w:rPr>
          <w:rFonts w:eastAsiaTheme="minorHAnsi"/>
          <w:i/>
          <w:iCs/>
          <w:sz w:val="24"/>
          <w:szCs w:val="24"/>
        </w:rPr>
        <w:t xml:space="preserve"> </w:t>
      </w:r>
      <w:proofErr w:type="spellStart"/>
      <w:r w:rsidRPr="0004221B">
        <w:rPr>
          <w:rFonts w:eastAsiaTheme="minorHAnsi"/>
          <w:i/>
          <w:iCs/>
          <w:sz w:val="24"/>
          <w:szCs w:val="24"/>
        </w:rPr>
        <w:t>under</w:t>
      </w:r>
      <w:proofErr w:type="spellEnd"/>
      <w:r w:rsidRPr="0004221B">
        <w:rPr>
          <w:rFonts w:eastAsiaTheme="minorHAnsi"/>
          <w:i/>
          <w:iCs/>
          <w:sz w:val="24"/>
          <w:szCs w:val="24"/>
        </w:rPr>
        <w:t xml:space="preserve"> </w:t>
      </w:r>
      <w:proofErr w:type="spellStart"/>
      <w:r w:rsidRPr="0004221B">
        <w:rPr>
          <w:rFonts w:eastAsiaTheme="minorHAnsi"/>
          <w:i/>
          <w:iCs/>
          <w:sz w:val="24"/>
          <w:szCs w:val="24"/>
        </w:rPr>
        <w:t>the</w:t>
      </w:r>
      <w:proofErr w:type="spellEnd"/>
      <w:r w:rsidRPr="0004221B">
        <w:rPr>
          <w:rFonts w:eastAsiaTheme="minorHAnsi"/>
          <w:i/>
          <w:iCs/>
          <w:sz w:val="24"/>
          <w:szCs w:val="24"/>
        </w:rPr>
        <w:t xml:space="preserve"> </w:t>
      </w:r>
      <w:proofErr w:type="spellStart"/>
      <w:r w:rsidRPr="0004221B">
        <w:rPr>
          <w:rFonts w:eastAsiaTheme="minorHAnsi"/>
          <w:i/>
          <w:iCs/>
          <w:sz w:val="24"/>
          <w:szCs w:val="24"/>
        </w:rPr>
        <w:t>Synergies</w:t>
      </w:r>
      <w:proofErr w:type="spellEnd"/>
      <w:r w:rsidRPr="0004221B">
        <w:rPr>
          <w:rFonts w:eastAsiaTheme="minorHAnsi"/>
          <w:i/>
          <w:iCs/>
          <w:sz w:val="24"/>
          <w:szCs w:val="24"/>
        </w:rPr>
        <w:t xml:space="preserve"> Program</w:t>
      </w:r>
      <w:r w:rsidRPr="00BC0ECF">
        <w:rPr>
          <w:rFonts w:eastAsiaTheme="minorHAnsi"/>
          <w:sz w:val="24"/>
          <w:szCs w:val="24"/>
        </w:rPr>
        <w:t xml:space="preserve">“, usmjeren na financiranje visokokvalitetnih istraživačkih projekata kojima je u postupku evaluacije u programu Obzor Europa dodijeljen Pečat izvrsnosti, ali nisu ostvarili financiranje zbog ograničenih proračunskih sredstava. </w:t>
      </w:r>
      <w:r w:rsidRPr="008C7A59">
        <w:rPr>
          <w:rFonts w:eastAsiaTheme="minorHAnsi"/>
          <w:sz w:val="24"/>
          <w:szCs w:val="24"/>
        </w:rPr>
        <w:t xml:space="preserve">Radi se o Pečatima izvrsnosti iz sljedećih </w:t>
      </w:r>
      <w:r w:rsidRPr="008C7A59">
        <w:rPr>
          <w:sz w:val="24"/>
          <w:szCs w:val="24"/>
          <w:lang w:eastAsia="hr-HR"/>
        </w:rPr>
        <w:t xml:space="preserve">poziva programa Obzor Europa: (1) </w:t>
      </w:r>
      <w:proofErr w:type="spellStart"/>
      <w:r w:rsidRPr="008C7A59">
        <w:rPr>
          <w:bCs/>
          <w:sz w:val="24"/>
          <w:szCs w:val="24"/>
          <w:lang w:eastAsia="hr-HR"/>
        </w:rPr>
        <w:t>Proof</w:t>
      </w:r>
      <w:proofErr w:type="spellEnd"/>
      <w:r w:rsidRPr="008C7A59">
        <w:rPr>
          <w:bCs/>
          <w:sz w:val="24"/>
          <w:szCs w:val="24"/>
          <w:lang w:eastAsia="hr-HR"/>
        </w:rPr>
        <w:t xml:space="preserve"> </w:t>
      </w:r>
      <w:proofErr w:type="spellStart"/>
      <w:r w:rsidRPr="008C7A59">
        <w:rPr>
          <w:bCs/>
          <w:sz w:val="24"/>
          <w:szCs w:val="24"/>
          <w:lang w:eastAsia="hr-HR"/>
        </w:rPr>
        <w:t>of</w:t>
      </w:r>
      <w:proofErr w:type="spellEnd"/>
      <w:r w:rsidRPr="008C7A59">
        <w:rPr>
          <w:bCs/>
          <w:sz w:val="24"/>
          <w:szCs w:val="24"/>
          <w:lang w:eastAsia="hr-HR"/>
        </w:rPr>
        <w:t xml:space="preserve"> </w:t>
      </w:r>
      <w:proofErr w:type="spellStart"/>
      <w:r w:rsidRPr="008C7A59">
        <w:rPr>
          <w:bCs/>
          <w:sz w:val="24"/>
          <w:szCs w:val="24"/>
          <w:lang w:eastAsia="hr-HR"/>
        </w:rPr>
        <w:t>Concept</w:t>
      </w:r>
      <w:proofErr w:type="spellEnd"/>
      <w:r w:rsidRPr="008C7A59">
        <w:rPr>
          <w:bCs/>
          <w:sz w:val="24"/>
          <w:szCs w:val="24"/>
          <w:lang w:eastAsia="hr-HR"/>
        </w:rPr>
        <w:t xml:space="preserve"> Europskoga istraživačkog vijeća (ERC </w:t>
      </w:r>
      <w:proofErr w:type="spellStart"/>
      <w:r w:rsidRPr="008C7A59">
        <w:rPr>
          <w:bCs/>
          <w:sz w:val="24"/>
          <w:szCs w:val="24"/>
          <w:lang w:eastAsia="hr-HR"/>
        </w:rPr>
        <w:t>PoC</w:t>
      </w:r>
      <w:proofErr w:type="spellEnd"/>
      <w:r w:rsidRPr="008C7A59">
        <w:rPr>
          <w:bCs/>
          <w:sz w:val="24"/>
          <w:szCs w:val="24"/>
          <w:lang w:eastAsia="hr-HR"/>
        </w:rPr>
        <w:t>)</w:t>
      </w:r>
      <w:r w:rsidRPr="008C7A59">
        <w:rPr>
          <w:sz w:val="24"/>
          <w:szCs w:val="24"/>
          <w:lang w:eastAsia="hr-HR"/>
        </w:rPr>
        <w:t xml:space="preserve">, usmjeren na aktivnosti u ranoj fazi </w:t>
      </w:r>
      <w:r w:rsidRPr="008C7A59">
        <w:rPr>
          <w:sz w:val="24"/>
          <w:szCs w:val="24"/>
          <w:lang w:eastAsia="hr-HR"/>
        </w:rPr>
        <w:lastRenderedPageBreak/>
        <w:t>pretvaranja rezultata istraživanja u komercijalno ili društveno vrijedne prijedloge, odnosno na početne korake koji prethode komercijalnom razvoju</w:t>
      </w:r>
      <w:r>
        <w:rPr>
          <w:sz w:val="24"/>
          <w:szCs w:val="24"/>
          <w:lang w:eastAsia="hr-HR"/>
        </w:rPr>
        <w:t xml:space="preserve"> i </w:t>
      </w:r>
      <w:r w:rsidRPr="008C7A59">
        <w:rPr>
          <w:sz w:val="24"/>
          <w:szCs w:val="24"/>
          <w:lang w:eastAsia="hr-HR"/>
        </w:rPr>
        <w:t xml:space="preserve">(2) </w:t>
      </w:r>
      <w:r w:rsidRPr="008C7A59">
        <w:rPr>
          <w:bCs/>
          <w:sz w:val="24"/>
          <w:szCs w:val="24"/>
          <w:lang w:eastAsia="hr-HR"/>
        </w:rPr>
        <w:t xml:space="preserve">Marie </w:t>
      </w:r>
      <w:proofErr w:type="spellStart"/>
      <w:r w:rsidRPr="008C7A59">
        <w:rPr>
          <w:bCs/>
          <w:sz w:val="24"/>
          <w:szCs w:val="24"/>
          <w:lang w:eastAsia="hr-HR"/>
        </w:rPr>
        <w:t>Skłodowska</w:t>
      </w:r>
      <w:proofErr w:type="spellEnd"/>
      <w:r w:rsidRPr="008C7A59">
        <w:rPr>
          <w:bCs/>
          <w:sz w:val="24"/>
          <w:szCs w:val="24"/>
          <w:lang w:eastAsia="hr-HR"/>
        </w:rPr>
        <w:t>-Curie akcije (MSCA) Postdoktorske stipendije (PF)</w:t>
      </w:r>
      <w:r w:rsidRPr="008C7A59">
        <w:rPr>
          <w:sz w:val="24"/>
          <w:szCs w:val="24"/>
          <w:lang w:eastAsia="hr-HR"/>
        </w:rPr>
        <w:t>, kroz koji se podržava mobilnost i razvoj karijera istraživača s doktoratom kroz stjecanje istraživačkog iskustva u drugim zemljama, disciplinama i neakademskim sektorima, s ciljem jačanja istraživačke izvrsnosti i razvoja novih vještina.</w:t>
      </w:r>
      <w:r>
        <w:rPr>
          <w:lang w:eastAsia="hr-HR"/>
        </w:rPr>
        <w:t xml:space="preserve"> </w:t>
      </w:r>
      <w:r w:rsidRPr="008C7A59">
        <w:rPr>
          <w:sz w:val="24"/>
          <w:lang w:eastAsia="hr-HR"/>
        </w:rPr>
        <w:t>Financiranje ovih projekata ima za cilj omogućiti provedbu izvrsnih projektnih prijedloga koji su već prošli strogu evaluaciju na razini Europske komisije te na taj način doprinijeti jačanju istraživačkih kapaciteta i međunarodne konkurentnosti hrvatskog istraživačkog prostora, uz istodobno poticanje daljnjeg sudjelovanja istraživača iz Hrvatske u programima E</w:t>
      </w:r>
      <w:r>
        <w:rPr>
          <w:sz w:val="24"/>
          <w:lang w:eastAsia="hr-HR"/>
        </w:rPr>
        <w:t>U</w:t>
      </w:r>
      <w:r w:rsidRPr="008C7A59">
        <w:rPr>
          <w:sz w:val="24"/>
          <w:lang w:eastAsia="hr-HR"/>
        </w:rPr>
        <w:t xml:space="preserve">. </w:t>
      </w:r>
      <w:r w:rsidRPr="00A914B7">
        <w:rPr>
          <w:rFonts w:eastAsiaTheme="minorHAnsi"/>
          <w:sz w:val="24"/>
          <w:szCs w:val="24"/>
        </w:rPr>
        <w:t xml:space="preserve">Dodjela sredstava planirana je u razdoblju </w:t>
      </w:r>
      <w:r>
        <w:rPr>
          <w:rFonts w:eastAsiaTheme="minorHAnsi"/>
          <w:sz w:val="24"/>
          <w:szCs w:val="24"/>
        </w:rPr>
        <w:t xml:space="preserve">od </w:t>
      </w:r>
      <w:r w:rsidRPr="00A914B7">
        <w:rPr>
          <w:rFonts w:eastAsiaTheme="minorHAnsi"/>
          <w:sz w:val="24"/>
          <w:szCs w:val="24"/>
        </w:rPr>
        <w:t>2025.</w:t>
      </w:r>
      <w:r>
        <w:rPr>
          <w:rFonts w:eastAsiaTheme="minorHAnsi"/>
          <w:sz w:val="24"/>
          <w:szCs w:val="24"/>
        </w:rPr>
        <w:t xml:space="preserve"> do </w:t>
      </w:r>
      <w:r w:rsidRPr="00A914B7">
        <w:rPr>
          <w:rFonts w:eastAsiaTheme="minorHAnsi"/>
          <w:sz w:val="24"/>
          <w:szCs w:val="24"/>
        </w:rPr>
        <w:t xml:space="preserve">2026., </w:t>
      </w:r>
      <w:r w:rsidRPr="0092664D">
        <w:rPr>
          <w:rFonts w:eastAsiaTheme="minorHAnsi"/>
          <w:sz w:val="24"/>
          <w:szCs w:val="24"/>
        </w:rPr>
        <w:t>čime se osigurava komplementarnost s europskim programima i dodatno potiče stvaranje dinamičnog i k</w:t>
      </w:r>
      <w:r>
        <w:rPr>
          <w:rFonts w:eastAsiaTheme="minorHAnsi"/>
          <w:sz w:val="24"/>
          <w:szCs w:val="24"/>
        </w:rPr>
        <w:t>onkurentnog</w:t>
      </w:r>
      <w:r w:rsidRPr="0092664D">
        <w:rPr>
          <w:rFonts w:eastAsiaTheme="minorHAnsi"/>
          <w:sz w:val="24"/>
          <w:szCs w:val="24"/>
        </w:rPr>
        <w:t xml:space="preserve"> istraživačko-inovacijskog ekosustava.</w:t>
      </w:r>
    </w:p>
    <w:p w14:paraId="03578777" w14:textId="77777777" w:rsidR="00FB178A" w:rsidRPr="00EB77D5" w:rsidRDefault="00FB178A" w:rsidP="00FB178A">
      <w:pPr>
        <w:widowControl/>
        <w:adjustRightInd w:val="0"/>
        <w:spacing w:after="240" w:line="276" w:lineRule="auto"/>
        <w:jc w:val="both"/>
        <w:rPr>
          <w:rFonts w:eastAsiaTheme="minorHAnsi"/>
          <w:sz w:val="24"/>
          <w:szCs w:val="24"/>
        </w:rPr>
      </w:pPr>
      <w:r w:rsidRPr="00EB77D5">
        <w:rPr>
          <w:rFonts w:eastAsiaTheme="minorHAnsi"/>
          <w:sz w:val="24"/>
          <w:szCs w:val="24"/>
        </w:rPr>
        <w:t xml:space="preserve">Također, postignut je značajan iskorak u jačanju međunarodne pozicije hrvatskog istraživačkog sustava odabirom projekta </w:t>
      </w:r>
      <w:r>
        <w:rPr>
          <w:rFonts w:eastAsiaTheme="minorHAnsi"/>
          <w:sz w:val="24"/>
          <w:szCs w:val="24"/>
        </w:rPr>
        <w:t>„</w:t>
      </w:r>
      <w:r w:rsidRPr="00EB77D5">
        <w:rPr>
          <w:rFonts w:eastAsiaTheme="minorHAnsi"/>
          <w:sz w:val="24"/>
          <w:szCs w:val="24"/>
        </w:rPr>
        <w:t>Centar izvrsnosti u pomorskoj robotici i tehnologijama za održivo plavo gospodarstvo</w:t>
      </w:r>
      <w:r>
        <w:rPr>
          <w:rFonts w:eastAsiaTheme="minorHAnsi"/>
          <w:sz w:val="24"/>
          <w:szCs w:val="24"/>
        </w:rPr>
        <w:t>“</w:t>
      </w:r>
      <w:r w:rsidRPr="00EB77D5">
        <w:rPr>
          <w:rFonts w:eastAsiaTheme="minorHAnsi"/>
          <w:sz w:val="24"/>
          <w:szCs w:val="24"/>
        </w:rPr>
        <w:t xml:space="preserve"> (</w:t>
      </w:r>
      <w:proofErr w:type="spellStart"/>
      <w:r w:rsidRPr="00EB77D5">
        <w:rPr>
          <w:rFonts w:eastAsiaTheme="minorHAnsi"/>
          <w:sz w:val="24"/>
          <w:szCs w:val="24"/>
        </w:rPr>
        <w:t>CoE</w:t>
      </w:r>
      <w:proofErr w:type="spellEnd"/>
      <w:r w:rsidRPr="00EB77D5">
        <w:rPr>
          <w:rFonts w:eastAsiaTheme="minorHAnsi"/>
          <w:sz w:val="24"/>
          <w:szCs w:val="24"/>
        </w:rPr>
        <w:t xml:space="preserve"> MARBLE</w:t>
      </w:r>
      <w:r>
        <w:rPr>
          <w:rStyle w:val="FootnoteReference"/>
          <w:rFonts w:eastAsiaTheme="minorHAnsi"/>
          <w:sz w:val="24"/>
          <w:szCs w:val="24"/>
        </w:rPr>
        <w:footnoteReference w:id="3"/>
      </w:r>
      <w:r>
        <w:rPr>
          <w:rFonts w:eastAsiaTheme="minorHAnsi"/>
          <w:sz w:val="24"/>
          <w:szCs w:val="24"/>
        </w:rPr>
        <w:t>)</w:t>
      </w:r>
      <w:r w:rsidRPr="00EB77D5">
        <w:rPr>
          <w:rFonts w:eastAsiaTheme="minorHAnsi"/>
          <w:sz w:val="24"/>
          <w:szCs w:val="24"/>
        </w:rPr>
        <w:t xml:space="preserve"> za financiranje u okviru poziva HORIZON-WIDERA-2023-ACCESS-01-01. Riječ je o p</w:t>
      </w:r>
      <w:r>
        <w:rPr>
          <w:rFonts w:eastAsiaTheme="minorHAnsi"/>
          <w:sz w:val="24"/>
          <w:szCs w:val="24"/>
        </w:rPr>
        <w:t>ozivu</w:t>
      </w:r>
      <w:r w:rsidRPr="00EB77D5">
        <w:rPr>
          <w:rFonts w:eastAsiaTheme="minorHAnsi"/>
          <w:sz w:val="24"/>
          <w:szCs w:val="24"/>
        </w:rPr>
        <w:t xml:space="preserve"> koji</w:t>
      </w:r>
      <w:r>
        <w:rPr>
          <w:rFonts w:eastAsiaTheme="minorHAnsi"/>
          <w:sz w:val="24"/>
          <w:szCs w:val="24"/>
        </w:rPr>
        <w:t>m se</w:t>
      </w:r>
      <w:r w:rsidRPr="00EB77D5">
        <w:rPr>
          <w:rFonts w:eastAsiaTheme="minorHAnsi"/>
          <w:sz w:val="24"/>
          <w:szCs w:val="24"/>
        </w:rPr>
        <w:t xml:space="preserve"> predviđa sinergijsko financiranje</w:t>
      </w:r>
      <w:r>
        <w:rPr>
          <w:rFonts w:eastAsiaTheme="minorHAnsi"/>
          <w:sz w:val="24"/>
          <w:szCs w:val="24"/>
        </w:rPr>
        <w:t xml:space="preserve">, odnosno </w:t>
      </w:r>
      <w:r w:rsidRPr="00EB77D5">
        <w:rPr>
          <w:rFonts w:eastAsiaTheme="minorHAnsi"/>
          <w:sz w:val="24"/>
          <w:szCs w:val="24"/>
        </w:rPr>
        <w:t>istraživačko-inovacijske aktivnosti i jačanje kapaciteta financira</w:t>
      </w:r>
      <w:r>
        <w:rPr>
          <w:rFonts w:eastAsiaTheme="minorHAnsi"/>
          <w:sz w:val="24"/>
          <w:szCs w:val="24"/>
        </w:rPr>
        <w:t xml:space="preserve"> se</w:t>
      </w:r>
      <w:r w:rsidRPr="00EB77D5">
        <w:rPr>
          <w:rFonts w:eastAsiaTheme="minorHAnsi"/>
          <w:sz w:val="24"/>
          <w:szCs w:val="24"/>
        </w:rPr>
        <w:t xml:space="preserve"> iz programa Obzor Europa, dok </w:t>
      </w:r>
      <w:r>
        <w:rPr>
          <w:rFonts w:eastAsiaTheme="minorHAnsi"/>
          <w:sz w:val="24"/>
          <w:szCs w:val="24"/>
        </w:rPr>
        <w:t>se</w:t>
      </w:r>
      <w:r w:rsidRPr="00EB77D5">
        <w:rPr>
          <w:rFonts w:eastAsiaTheme="minorHAnsi"/>
          <w:sz w:val="24"/>
          <w:szCs w:val="24"/>
        </w:rPr>
        <w:t xml:space="preserve"> infrastrukturna komponenta projekta  financira iz nacionalnih sredstava</w:t>
      </w:r>
      <w:r>
        <w:rPr>
          <w:rFonts w:eastAsiaTheme="minorHAnsi"/>
          <w:sz w:val="24"/>
          <w:szCs w:val="24"/>
        </w:rPr>
        <w:t>. Projektom</w:t>
      </w:r>
      <w:r w:rsidRPr="00EB77D5">
        <w:rPr>
          <w:rFonts w:eastAsiaTheme="minorHAnsi"/>
          <w:sz w:val="24"/>
          <w:szCs w:val="24"/>
        </w:rPr>
        <w:t xml:space="preserve"> se osigurava podrška uspostavi međunarodno relevantnog istraživačkog centra u području pomorske robotike i tehnologija održivog plavog gospodarstva.</w:t>
      </w:r>
    </w:p>
    <w:p w14:paraId="4FF482EC" w14:textId="77777777" w:rsidR="00FB178A" w:rsidRDefault="00FB178A" w:rsidP="00FB178A">
      <w:pPr>
        <w:widowControl/>
        <w:adjustRightInd w:val="0"/>
        <w:spacing w:line="276" w:lineRule="auto"/>
        <w:jc w:val="both"/>
        <w:rPr>
          <w:rFonts w:ascii="GlyphLessFont" w:eastAsiaTheme="minorHAnsi" w:hAnsi="GlyphLessFont" w:cs="GlyphLessFont"/>
          <w:sz w:val="20"/>
          <w:szCs w:val="20"/>
        </w:rPr>
      </w:pPr>
      <w:r w:rsidRPr="00EB77D5">
        <w:rPr>
          <w:rFonts w:eastAsiaTheme="minorHAnsi"/>
          <w:sz w:val="24"/>
          <w:szCs w:val="24"/>
        </w:rPr>
        <w:t>U području digitalne transformacije znanstvenog sustava, nastavljen je razvoj Informacijskog sustava o hrvatskoj znanstvenoj djelatnosti (</w:t>
      </w:r>
      <w:proofErr w:type="spellStart"/>
      <w:r w:rsidRPr="00EB77D5">
        <w:rPr>
          <w:rFonts w:eastAsiaTheme="minorHAnsi"/>
          <w:sz w:val="24"/>
          <w:szCs w:val="24"/>
        </w:rPr>
        <w:t>CroRIS</w:t>
      </w:r>
      <w:proofErr w:type="spellEnd"/>
      <w:r w:rsidRPr="00EB77D5">
        <w:rPr>
          <w:rFonts w:eastAsiaTheme="minorHAnsi"/>
          <w:sz w:val="24"/>
          <w:szCs w:val="24"/>
        </w:rPr>
        <w:t>)</w:t>
      </w:r>
      <w:r>
        <w:rPr>
          <w:rFonts w:eastAsiaTheme="minorHAnsi"/>
          <w:sz w:val="24"/>
          <w:szCs w:val="24"/>
        </w:rPr>
        <w:t>,</w:t>
      </w:r>
      <w:r w:rsidRPr="00EB77D5">
        <w:rPr>
          <w:rFonts w:eastAsiaTheme="minorHAnsi"/>
          <w:sz w:val="24"/>
          <w:szCs w:val="24"/>
        </w:rPr>
        <w:t xml:space="preserve"> kao ključnog alata za osiguravanje transparentnog, integriranog i </w:t>
      </w:r>
      <w:proofErr w:type="spellStart"/>
      <w:r w:rsidRPr="00EB77D5">
        <w:rPr>
          <w:rFonts w:eastAsiaTheme="minorHAnsi"/>
          <w:sz w:val="24"/>
          <w:szCs w:val="24"/>
        </w:rPr>
        <w:t>interoperabilnog</w:t>
      </w:r>
      <w:proofErr w:type="spellEnd"/>
      <w:r w:rsidRPr="00EB77D5">
        <w:rPr>
          <w:rFonts w:eastAsiaTheme="minorHAnsi"/>
          <w:sz w:val="24"/>
          <w:szCs w:val="24"/>
        </w:rPr>
        <w:t xml:space="preserve"> upravljanja podacima o istraživačkim aktivnostima, ljudskim resursima i istraživačkoj infrastrukturi. </w:t>
      </w:r>
      <w:r>
        <w:rPr>
          <w:rFonts w:eastAsiaTheme="minorHAnsi"/>
          <w:sz w:val="24"/>
          <w:szCs w:val="24"/>
        </w:rPr>
        <w:t>Dodatno, u</w:t>
      </w:r>
      <w:r w:rsidRPr="00EB77D5">
        <w:rPr>
          <w:rFonts w:eastAsiaTheme="minorHAnsi"/>
          <w:sz w:val="24"/>
          <w:szCs w:val="24"/>
        </w:rPr>
        <w:t xml:space="preserve"> ožujku 2024. donesen je Pravilnik o informacijskom sustavu i infrastrukturi sustava visokog obrazovanja</w:t>
      </w:r>
      <w:r>
        <w:rPr>
          <w:rFonts w:eastAsiaTheme="minorHAnsi"/>
          <w:sz w:val="24"/>
          <w:szCs w:val="24"/>
        </w:rPr>
        <w:t>,</w:t>
      </w:r>
      <w:r w:rsidRPr="00EB77D5">
        <w:rPr>
          <w:rFonts w:eastAsiaTheme="minorHAnsi"/>
          <w:sz w:val="24"/>
          <w:szCs w:val="24"/>
        </w:rPr>
        <w:t xml:space="preserve"> znanstvene i umjetničke djelatnosti</w:t>
      </w:r>
      <w:r>
        <w:rPr>
          <w:rFonts w:eastAsiaTheme="minorHAnsi"/>
          <w:sz w:val="24"/>
          <w:szCs w:val="24"/>
        </w:rPr>
        <w:t xml:space="preserve"> („Narodne novine“, broj 33/24.)</w:t>
      </w:r>
      <w:r w:rsidRPr="00EB77D5">
        <w:rPr>
          <w:rFonts w:eastAsiaTheme="minorHAnsi"/>
          <w:sz w:val="24"/>
          <w:szCs w:val="24"/>
        </w:rPr>
        <w:t>, čime je dodatno osnažen regulatorni okvir za digitalizaciju znanstvenog prostora i upravljanj</w:t>
      </w:r>
      <w:r>
        <w:rPr>
          <w:rFonts w:eastAsiaTheme="minorHAnsi"/>
          <w:sz w:val="24"/>
          <w:szCs w:val="24"/>
        </w:rPr>
        <w:t>e</w:t>
      </w:r>
      <w:r w:rsidRPr="00EB77D5">
        <w:rPr>
          <w:rFonts w:eastAsiaTheme="minorHAnsi"/>
          <w:sz w:val="24"/>
          <w:szCs w:val="24"/>
        </w:rPr>
        <w:t xml:space="preserve"> razvojnim politikama temeljenim na podacima.</w:t>
      </w:r>
    </w:p>
    <w:p w14:paraId="724F7564" w14:textId="77777777" w:rsidR="00FB178A" w:rsidRPr="00145379" w:rsidRDefault="00FB178A" w:rsidP="00FB178A">
      <w:pPr>
        <w:widowControl/>
        <w:autoSpaceDE/>
        <w:autoSpaceDN/>
        <w:spacing w:before="240" w:after="240" w:line="276" w:lineRule="auto"/>
        <w:ind w:firstLine="720"/>
        <w:jc w:val="both"/>
        <w:rPr>
          <w:rFonts w:eastAsia="Calibri"/>
          <w:b/>
          <w:bCs/>
          <w:kern w:val="2"/>
          <w:sz w:val="24"/>
          <w:szCs w:val="24"/>
        </w:rPr>
      </w:pPr>
      <w:r w:rsidRPr="00145379">
        <w:rPr>
          <w:rFonts w:eastAsia="Calibri"/>
          <w:b/>
          <w:bCs/>
          <w:kern w:val="2"/>
          <w:sz w:val="24"/>
          <w:szCs w:val="24"/>
        </w:rPr>
        <w:t>Razvoj održivog, inovativnog i otpornog turizma</w:t>
      </w:r>
    </w:p>
    <w:p w14:paraId="6D577F7A" w14:textId="77777777" w:rsidR="00FB178A" w:rsidRDefault="00FB178A" w:rsidP="00FB178A">
      <w:pPr>
        <w:pStyle w:val="paragraph"/>
        <w:spacing w:before="0" w:beforeAutospacing="0" w:after="240" w:afterAutospacing="0" w:line="276" w:lineRule="auto"/>
        <w:ind w:firstLine="720"/>
        <w:jc w:val="both"/>
        <w:textAlignment w:val="baseline"/>
        <w:rPr>
          <w:rStyle w:val="normaltextrun"/>
          <w:sz w:val="22"/>
          <w:szCs w:val="22"/>
          <w:lang w:eastAsia="en-US"/>
        </w:rPr>
      </w:pPr>
      <w:r w:rsidRPr="001A0022">
        <w:rPr>
          <w:rStyle w:val="normaltextrun"/>
        </w:rPr>
        <w:t xml:space="preserve">Turizam predstavlja jedan od ključnih pokretača gospodarskog rasta u Republici Hrvatskoj te značajno doprinosi stvaranju dodane vrijednosti, otvaranju radnih mjesta, razvoju lokalnih zajednica i jačanju međunarodne prepoznatljivosti zemlje. Snažan doprinos izvozu usluga, poticanje ulaganja u infrastrukturu i inovativne poslovne modele te podizanje kvalitete životnog i poslovnog okruženja potvrđuju njegovu ulogu kao jednog od temeljnih oslonaca nacionalne konkurentnosti. Hrvatska se na međunarodnim emitivnim tržištima profilirala kao sigurna, održiva i autentična destinacija, što dodatno potvrđuju rezultati istraživanja Europske putničke komisije (ETC) za razdoblje listopad 2024. </w:t>
      </w:r>
      <w:r>
        <w:rPr>
          <w:rStyle w:val="normaltextrun"/>
        </w:rPr>
        <w:t xml:space="preserve">- </w:t>
      </w:r>
      <w:r w:rsidRPr="001A0022">
        <w:rPr>
          <w:rStyle w:val="normaltextrun"/>
        </w:rPr>
        <w:t xml:space="preserve">ožujak 2025., prema kojima se Hrvatska svrstava među deset </w:t>
      </w:r>
      <w:r w:rsidRPr="001A0022">
        <w:rPr>
          <w:rStyle w:val="normaltextrun"/>
        </w:rPr>
        <w:lastRenderedPageBreak/>
        <w:t xml:space="preserve">najpoželjnijih destinacija za europske putnike. Usto, prema podacima </w:t>
      </w:r>
      <w:proofErr w:type="spellStart"/>
      <w:r w:rsidRPr="001A0022">
        <w:rPr>
          <w:rStyle w:val="normaltextrun"/>
        </w:rPr>
        <w:t>Eurostata</w:t>
      </w:r>
      <w:proofErr w:type="spellEnd"/>
      <w:r w:rsidRPr="001A0022">
        <w:rPr>
          <w:rStyle w:val="normaltextrun"/>
        </w:rPr>
        <w:t>, Hrvatska bilježi najnižu stopu kriminala u E</w:t>
      </w:r>
      <w:r>
        <w:rPr>
          <w:rStyle w:val="normaltextrun"/>
        </w:rPr>
        <w:t>U</w:t>
      </w:r>
      <w:r w:rsidRPr="001A0022">
        <w:rPr>
          <w:rStyle w:val="normaltextrun"/>
        </w:rPr>
        <w:t xml:space="preserve">, dok ju je portal World </w:t>
      </w:r>
      <w:proofErr w:type="spellStart"/>
      <w:r w:rsidRPr="001A0022">
        <w:rPr>
          <w:rStyle w:val="normaltextrun"/>
        </w:rPr>
        <w:t>of</w:t>
      </w:r>
      <w:proofErr w:type="spellEnd"/>
      <w:r w:rsidRPr="001A0022">
        <w:rPr>
          <w:rStyle w:val="normaltextrun"/>
        </w:rPr>
        <w:t xml:space="preserve"> </w:t>
      </w:r>
      <w:proofErr w:type="spellStart"/>
      <w:r w:rsidRPr="001A0022">
        <w:rPr>
          <w:rStyle w:val="normaltextrun"/>
        </w:rPr>
        <w:t>Statistics</w:t>
      </w:r>
      <w:proofErr w:type="spellEnd"/>
      <w:r w:rsidRPr="001A0022">
        <w:rPr>
          <w:rStyle w:val="normaltextrun"/>
        </w:rPr>
        <w:t xml:space="preserve"> ocijenio najsigurnijom državom za noćne šetnje, čime se dodatno učvršćuje reputacija zemlje kao sigurne i visokokvalitetne turističke destinacije te stvara čvrsta osnova za daljnji održivi i inovativni razvoj turizma.</w:t>
      </w:r>
      <w:r>
        <w:rPr>
          <w:rStyle w:val="normaltextrun"/>
        </w:rPr>
        <w:t xml:space="preserve"> </w:t>
      </w:r>
    </w:p>
    <w:p w14:paraId="50C258CA" w14:textId="77777777" w:rsidR="00FB178A" w:rsidRDefault="00FB178A" w:rsidP="00FB178A">
      <w:pPr>
        <w:pStyle w:val="paragraph"/>
        <w:spacing w:before="0" w:beforeAutospacing="0" w:after="240" w:afterAutospacing="0" w:line="276" w:lineRule="auto"/>
        <w:jc w:val="both"/>
        <w:textAlignment w:val="baseline"/>
        <w:rPr>
          <w:rStyle w:val="normaltextrun"/>
          <w:sz w:val="22"/>
          <w:szCs w:val="22"/>
          <w:lang w:eastAsia="en-US"/>
        </w:rPr>
      </w:pPr>
      <w:r w:rsidRPr="00F82DDE">
        <w:rPr>
          <w:rStyle w:val="normaltextrun"/>
        </w:rPr>
        <w:t>U 2024. ostvaren je daljnji napredak prema razvoju održivijeg, inovativnijeg i otpornijeg turističkog modela, uz zadržavanje snažnih tržišnih performansi i porast turističkog prometa. Prema podacima sustava e</w:t>
      </w:r>
      <w:r>
        <w:rPr>
          <w:rStyle w:val="normaltextrun"/>
        </w:rPr>
        <w:t>-</w:t>
      </w:r>
      <w:proofErr w:type="spellStart"/>
      <w:r w:rsidRPr="00F82DDE">
        <w:rPr>
          <w:rStyle w:val="normaltextrun"/>
        </w:rPr>
        <w:t>Visitor</w:t>
      </w:r>
      <w:proofErr w:type="spellEnd"/>
      <w:r>
        <w:rPr>
          <w:rStyle w:val="normaltextrun"/>
        </w:rPr>
        <w:t xml:space="preserve"> i e-</w:t>
      </w:r>
      <w:proofErr w:type="spellStart"/>
      <w:r>
        <w:rPr>
          <w:rStyle w:val="normaltextrun"/>
        </w:rPr>
        <w:t>Crew</w:t>
      </w:r>
      <w:proofErr w:type="spellEnd"/>
      <w:r>
        <w:rPr>
          <w:rStyle w:val="FootnoteReference"/>
        </w:rPr>
        <w:footnoteReference w:id="4"/>
      </w:r>
      <w:r>
        <w:rPr>
          <w:rStyle w:val="normaltextrun"/>
        </w:rPr>
        <w:t xml:space="preserve"> za 2024.</w:t>
      </w:r>
      <w:r w:rsidRPr="00F82DDE">
        <w:rPr>
          <w:rStyle w:val="normaltextrun"/>
        </w:rPr>
        <w:t>, u Hrvatskoj je ostvareno više od 21,</w:t>
      </w:r>
      <w:r>
        <w:rPr>
          <w:rStyle w:val="normaltextrun"/>
        </w:rPr>
        <w:t>4</w:t>
      </w:r>
      <w:r w:rsidRPr="00F82DDE">
        <w:rPr>
          <w:rStyle w:val="normaltextrun"/>
        </w:rPr>
        <w:t xml:space="preserve"> milijuna dolazaka i 108,</w:t>
      </w:r>
      <w:r>
        <w:rPr>
          <w:rStyle w:val="normaltextrun"/>
        </w:rPr>
        <w:t>8</w:t>
      </w:r>
      <w:r w:rsidRPr="00F82DDE">
        <w:rPr>
          <w:rStyle w:val="normaltextrun"/>
        </w:rPr>
        <w:t xml:space="preserve"> milijuna noćenja, što predstavlja rast od </w:t>
      </w:r>
      <w:r>
        <w:rPr>
          <w:rStyle w:val="normaltextrun"/>
        </w:rPr>
        <w:t>3,6</w:t>
      </w:r>
      <w:r w:rsidRPr="00F82DDE">
        <w:rPr>
          <w:rStyle w:val="normaltextrun"/>
        </w:rPr>
        <w:t xml:space="preserve">% u dolascima i </w:t>
      </w:r>
      <w:r>
        <w:rPr>
          <w:rStyle w:val="normaltextrun"/>
        </w:rPr>
        <w:t>0,9</w:t>
      </w:r>
      <w:r w:rsidRPr="00F82DDE">
        <w:rPr>
          <w:rStyle w:val="normaltextrun"/>
        </w:rPr>
        <w:t>% u noćenjima u odnosu na 2023.</w:t>
      </w:r>
      <w:r>
        <w:rPr>
          <w:rStyle w:val="normaltextrun"/>
        </w:rPr>
        <w:t xml:space="preserve"> godinu.</w:t>
      </w:r>
      <w:r w:rsidRPr="00F82DDE">
        <w:rPr>
          <w:rStyle w:val="normaltextrun"/>
        </w:rPr>
        <w:t xml:space="preserve"> Na Jadranu je ostvareno 103,3 milijuna noćenja (+1%), dok je kontinentalni dio zabilježio preko 2,7 milijuna noćenja (+5%), a Grad Zagreb 2,7 milijuna noćenja (+6%). </w:t>
      </w:r>
      <w:r>
        <w:rPr>
          <w:rStyle w:val="normaltextrun"/>
        </w:rPr>
        <w:t>V</w:t>
      </w:r>
      <w:r w:rsidRPr="00F82DDE">
        <w:rPr>
          <w:rStyle w:val="normaltextrun"/>
        </w:rPr>
        <w:t xml:space="preserve">idljiv </w:t>
      </w:r>
      <w:r>
        <w:rPr>
          <w:rStyle w:val="normaltextrun"/>
        </w:rPr>
        <w:t xml:space="preserve">je </w:t>
      </w:r>
      <w:r w:rsidRPr="00F82DDE">
        <w:rPr>
          <w:rStyle w:val="normaltextrun"/>
        </w:rPr>
        <w:t>trend produljenja turističke sezone</w:t>
      </w:r>
      <w:r>
        <w:rPr>
          <w:rStyle w:val="normaltextrun"/>
        </w:rPr>
        <w:t xml:space="preserve"> te je</w:t>
      </w:r>
      <w:r w:rsidRPr="00F82DDE">
        <w:rPr>
          <w:rStyle w:val="normaltextrun"/>
        </w:rPr>
        <w:t xml:space="preserve"> u predsezoni (siječanj</w:t>
      </w:r>
      <w:r>
        <w:rPr>
          <w:rStyle w:val="normaltextrun"/>
        </w:rPr>
        <w:t xml:space="preserve"> - </w:t>
      </w:r>
      <w:r w:rsidRPr="00F82DDE">
        <w:rPr>
          <w:rStyle w:val="normaltextrun"/>
        </w:rPr>
        <w:t xml:space="preserve">svibanj) ostvaren rast od 11% u dolascima i 12,5% u noćenjima, </w:t>
      </w:r>
      <w:r>
        <w:rPr>
          <w:rStyle w:val="normaltextrun"/>
        </w:rPr>
        <w:t>dok je u</w:t>
      </w:r>
      <w:r w:rsidRPr="00F82DDE">
        <w:rPr>
          <w:rStyle w:val="normaltextrun"/>
        </w:rPr>
        <w:t xml:space="preserve"> posezoni (listopad</w:t>
      </w:r>
      <w:r>
        <w:rPr>
          <w:rStyle w:val="normaltextrun"/>
        </w:rPr>
        <w:t xml:space="preserve"> - </w:t>
      </w:r>
      <w:r w:rsidRPr="00F82DDE">
        <w:rPr>
          <w:rStyle w:val="normaltextrun"/>
        </w:rPr>
        <w:t xml:space="preserve">prosinac) </w:t>
      </w:r>
      <w:r>
        <w:rPr>
          <w:rStyle w:val="normaltextrun"/>
        </w:rPr>
        <w:t xml:space="preserve">zabilježen </w:t>
      </w:r>
      <w:r w:rsidRPr="00F82DDE">
        <w:rPr>
          <w:rStyle w:val="normaltextrun"/>
        </w:rPr>
        <w:t xml:space="preserve">rast od 10,3% u dolascima i 9,7% u noćenjima. Ovi rezultati ukazuju na uspješno pozicioniranje Hrvatske kao cjelogodišnje destinacije te na sve veću važnost održivog i </w:t>
      </w:r>
      <w:proofErr w:type="spellStart"/>
      <w:r w:rsidRPr="00F82DDE">
        <w:rPr>
          <w:rStyle w:val="normaltextrun"/>
        </w:rPr>
        <w:t>diverzificiranog</w:t>
      </w:r>
      <w:proofErr w:type="spellEnd"/>
      <w:r w:rsidRPr="00F82DDE">
        <w:rPr>
          <w:rStyle w:val="normaltextrun"/>
        </w:rPr>
        <w:t xml:space="preserve"> turističkog proizvoda. </w:t>
      </w:r>
      <w:r w:rsidRPr="00AC6774">
        <w:rPr>
          <w:rStyle w:val="normaltextrun"/>
        </w:rPr>
        <w:t xml:space="preserve">Unatoč pozitivnim turističkim pokazateljima, udio izvoza roba i usluga u BDP-u </w:t>
      </w:r>
      <w:r>
        <w:rPr>
          <w:rStyle w:val="normaltextrun"/>
        </w:rPr>
        <w:t xml:space="preserve">je tijekom 2024. </w:t>
      </w:r>
      <w:r w:rsidRPr="00AC6774">
        <w:rPr>
          <w:rStyle w:val="normaltextrun"/>
        </w:rPr>
        <w:t>blago smanjen, budući da su domaća potrošnja i investicije rasle brže od turističkih prihoda i izvoza</w:t>
      </w:r>
      <w:r>
        <w:rPr>
          <w:rStyle w:val="normaltextrun"/>
        </w:rPr>
        <w:t xml:space="preserve"> usluga</w:t>
      </w:r>
      <w:r w:rsidRPr="00AC6774">
        <w:rPr>
          <w:rStyle w:val="normaltextrun"/>
        </w:rPr>
        <w:t xml:space="preserve">. Turizam je zadržao visoku razinu aktivnosti, no njegov je rast prirodno usporen nakon rekordne 2022., što je rezultiralo relativno manjim doprinosom ukupnom BDP-u u odnosu na razdoblje snažnog </w:t>
      </w:r>
      <w:proofErr w:type="spellStart"/>
      <w:r w:rsidRPr="00AC6774">
        <w:rPr>
          <w:rStyle w:val="normaltextrun"/>
        </w:rPr>
        <w:t>postpandemijskog</w:t>
      </w:r>
      <w:proofErr w:type="spellEnd"/>
      <w:r w:rsidRPr="00AC6774">
        <w:rPr>
          <w:rStyle w:val="normaltextrun"/>
        </w:rPr>
        <w:t xml:space="preserve"> oporavka.</w:t>
      </w:r>
      <w:r>
        <w:rPr>
          <w:rStyle w:val="normaltextrun"/>
        </w:rPr>
        <w:t xml:space="preserve"> </w:t>
      </w:r>
      <w:r w:rsidRPr="00F82DDE">
        <w:rPr>
          <w:rStyle w:val="normaltextrun"/>
        </w:rPr>
        <w:t>Povoljni trendovi vidljivi su i u financijskim pokazateljima</w:t>
      </w:r>
      <w:r>
        <w:rPr>
          <w:rStyle w:val="normaltextrun"/>
        </w:rPr>
        <w:t xml:space="preserve"> te su</w:t>
      </w:r>
      <w:r w:rsidRPr="00F82DDE">
        <w:rPr>
          <w:rStyle w:val="normaltextrun"/>
        </w:rPr>
        <w:t xml:space="preserve"> prema podacima H</w:t>
      </w:r>
      <w:r>
        <w:rPr>
          <w:rStyle w:val="normaltextrun"/>
        </w:rPr>
        <w:t>NB-a</w:t>
      </w:r>
      <w:r w:rsidRPr="00F82DDE">
        <w:rPr>
          <w:rStyle w:val="normaltextrun"/>
        </w:rPr>
        <w:t xml:space="preserve">, prihodi </w:t>
      </w:r>
      <w:r>
        <w:rPr>
          <w:rStyle w:val="normaltextrun"/>
        </w:rPr>
        <w:t xml:space="preserve">od </w:t>
      </w:r>
      <w:r w:rsidRPr="00F82DDE">
        <w:rPr>
          <w:rStyle w:val="normaltextrun"/>
        </w:rPr>
        <w:t xml:space="preserve">stranih turista </w:t>
      </w:r>
      <w:r>
        <w:rPr>
          <w:rStyle w:val="normaltextrun"/>
        </w:rPr>
        <w:t xml:space="preserve">tijekom 2024. </w:t>
      </w:r>
      <w:r w:rsidRPr="00F82DDE">
        <w:rPr>
          <w:rStyle w:val="normaltextrun"/>
        </w:rPr>
        <w:t>iznosili 1</w:t>
      </w:r>
      <w:r>
        <w:rPr>
          <w:rStyle w:val="normaltextrun"/>
        </w:rPr>
        <w:t>5</w:t>
      </w:r>
      <w:r w:rsidRPr="00F82DDE">
        <w:rPr>
          <w:rStyle w:val="normaltextrun"/>
        </w:rPr>
        <w:t xml:space="preserve"> milijardi eura, </w:t>
      </w:r>
      <w:r>
        <w:rPr>
          <w:rStyle w:val="normaltextrun"/>
        </w:rPr>
        <w:t>uz</w:t>
      </w:r>
      <w:r w:rsidRPr="00F82DDE">
        <w:rPr>
          <w:rStyle w:val="normaltextrun"/>
        </w:rPr>
        <w:t xml:space="preserve"> porast od 2,</w:t>
      </w:r>
      <w:r>
        <w:rPr>
          <w:rStyle w:val="normaltextrun"/>
        </w:rPr>
        <w:t>8</w:t>
      </w:r>
      <w:r w:rsidRPr="00F82DDE">
        <w:rPr>
          <w:rStyle w:val="normaltextrun"/>
        </w:rPr>
        <w:t>% u odnosu n</w:t>
      </w:r>
      <w:r>
        <w:rPr>
          <w:rStyle w:val="normaltextrun"/>
        </w:rPr>
        <w:t>a 2023</w:t>
      </w:r>
      <w:r w:rsidRPr="00F82DDE">
        <w:rPr>
          <w:rStyle w:val="normaltextrun"/>
        </w:rPr>
        <w:t>.</w:t>
      </w:r>
      <w:r>
        <w:rPr>
          <w:rStyle w:val="normaltextrun"/>
        </w:rPr>
        <w:t xml:space="preserve"> te se p</w:t>
      </w:r>
      <w:r w:rsidRPr="00F42C40">
        <w:rPr>
          <w:rStyle w:val="normaltextrun"/>
        </w:rPr>
        <w:t>rema podacima UNWTO Turističkog barometra, Hrvatska po prihodima od međunarodnog turizma s 32. mjesta popela na 25. mjesto u svijetu.</w:t>
      </w:r>
      <w:r w:rsidRPr="00F82DDE">
        <w:rPr>
          <w:rStyle w:val="normaltextrun"/>
        </w:rPr>
        <w:t xml:space="preserve"> Dodatno, prema podacima Porezne uprave, u djelatnostima povezanima s turizmom </w:t>
      </w:r>
      <w:r>
        <w:rPr>
          <w:rStyle w:val="normaltextrun"/>
        </w:rPr>
        <w:t xml:space="preserve">izdan je 431 milijun računa (+5%) u ukupnom iznosu </w:t>
      </w:r>
      <w:r w:rsidRPr="00F82DDE">
        <w:rPr>
          <w:rStyle w:val="normaltextrun"/>
        </w:rPr>
        <w:t>7,</w:t>
      </w:r>
      <w:r>
        <w:rPr>
          <w:rStyle w:val="normaltextrun"/>
        </w:rPr>
        <w:t>3</w:t>
      </w:r>
      <w:r w:rsidRPr="00F82DDE">
        <w:rPr>
          <w:rStyle w:val="normaltextrun"/>
        </w:rPr>
        <w:t xml:space="preserve"> milijard</w:t>
      </w:r>
      <w:r>
        <w:rPr>
          <w:rStyle w:val="normaltextrun"/>
        </w:rPr>
        <w:t>e</w:t>
      </w:r>
      <w:r w:rsidRPr="00F82DDE">
        <w:rPr>
          <w:rStyle w:val="normaltextrun"/>
        </w:rPr>
        <w:t xml:space="preserve"> eura (+11,5%), čime je potvrđena snažna dinamika potrošnje i rast formalne gospodarske aktivnosti u </w:t>
      </w:r>
      <w:r>
        <w:rPr>
          <w:rStyle w:val="normaltextrun"/>
        </w:rPr>
        <w:t xml:space="preserve">turističkom </w:t>
      </w:r>
      <w:r w:rsidRPr="00F82DDE">
        <w:rPr>
          <w:rStyle w:val="normaltextrun"/>
        </w:rPr>
        <w:t>sektoru.</w:t>
      </w:r>
    </w:p>
    <w:p w14:paraId="4AD525C2" w14:textId="77777777" w:rsidR="00FB178A" w:rsidRDefault="00FB178A" w:rsidP="00FB178A">
      <w:pPr>
        <w:pStyle w:val="paragraph"/>
        <w:spacing w:before="0" w:beforeAutospacing="0" w:after="240" w:afterAutospacing="0" w:line="276" w:lineRule="auto"/>
        <w:jc w:val="both"/>
        <w:textAlignment w:val="baseline"/>
        <w:rPr>
          <w:rStyle w:val="normaltextrun"/>
          <w:sz w:val="22"/>
          <w:szCs w:val="22"/>
          <w:lang w:eastAsia="en-US"/>
        </w:rPr>
      </w:pPr>
      <w:r w:rsidRPr="00711801">
        <w:rPr>
          <w:rStyle w:val="normaltextrun"/>
        </w:rPr>
        <w:t xml:space="preserve">Prema </w:t>
      </w:r>
      <w:r>
        <w:rPr>
          <w:rStyle w:val="normaltextrun"/>
        </w:rPr>
        <w:t xml:space="preserve">izdanju </w:t>
      </w:r>
      <w:proofErr w:type="spellStart"/>
      <w:r w:rsidRPr="00711801">
        <w:rPr>
          <w:rStyle w:val="normaltextrun"/>
        </w:rPr>
        <w:t>Travel</w:t>
      </w:r>
      <w:proofErr w:type="spellEnd"/>
      <w:r w:rsidRPr="00711801">
        <w:rPr>
          <w:rStyle w:val="normaltextrun"/>
        </w:rPr>
        <w:t xml:space="preserve"> &amp; </w:t>
      </w:r>
      <w:proofErr w:type="spellStart"/>
      <w:r w:rsidRPr="00711801">
        <w:rPr>
          <w:rStyle w:val="normaltextrun"/>
        </w:rPr>
        <w:t>Tourism</w:t>
      </w:r>
      <w:proofErr w:type="spellEnd"/>
      <w:r w:rsidRPr="00711801">
        <w:rPr>
          <w:rStyle w:val="normaltextrun"/>
        </w:rPr>
        <w:t xml:space="preserve"> Development </w:t>
      </w:r>
      <w:r>
        <w:rPr>
          <w:rStyle w:val="normaltextrun"/>
        </w:rPr>
        <w:t>I</w:t>
      </w:r>
      <w:r w:rsidRPr="00711801">
        <w:rPr>
          <w:rStyle w:val="normaltextrun"/>
        </w:rPr>
        <w:t>nde</w:t>
      </w:r>
      <w:r>
        <w:rPr>
          <w:rStyle w:val="normaltextrun"/>
        </w:rPr>
        <w:t>x-a za</w:t>
      </w:r>
      <w:r w:rsidRPr="00711801">
        <w:rPr>
          <w:rStyle w:val="normaltextrun"/>
        </w:rPr>
        <w:t xml:space="preserve"> 2024</w:t>
      </w:r>
      <w:r>
        <w:rPr>
          <w:rStyle w:val="normaltextrun"/>
        </w:rPr>
        <w:t>. (TTDI) Svjetskog gospodarskog foruma (WEF)</w:t>
      </w:r>
      <w:r w:rsidRPr="00711801">
        <w:rPr>
          <w:rStyle w:val="normaltextrun"/>
        </w:rPr>
        <w:t>, Hrvatska zauzima 46. mjesto, potvrđujući stabilnu poziciju u globalnoj konkurentnosti turizma.</w:t>
      </w:r>
      <w:r>
        <w:rPr>
          <w:rStyle w:val="normaltextrun"/>
        </w:rPr>
        <w:t xml:space="preserve"> Hrvatska o</w:t>
      </w:r>
      <w:r w:rsidRPr="00711801">
        <w:rPr>
          <w:rStyle w:val="normaltextrun"/>
        </w:rPr>
        <w:t>stvaruje vrlo dobre rezultate u području prirodnih</w:t>
      </w:r>
      <w:r>
        <w:rPr>
          <w:rStyle w:val="normaltextrun"/>
        </w:rPr>
        <w:t xml:space="preserve"> (3,54)</w:t>
      </w:r>
      <w:r w:rsidRPr="00711801">
        <w:rPr>
          <w:rStyle w:val="normaltextrun"/>
        </w:rPr>
        <w:t xml:space="preserve"> i kulturnih resursa</w:t>
      </w:r>
      <w:r>
        <w:rPr>
          <w:rStyle w:val="normaltextrun"/>
        </w:rPr>
        <w:t xml:space="preserve"> (2,25)</w:t>
      </w:r>
      <w:r w:rsidRPr="00711801">
        <w:rPr>
          <w:rStyle w:val="normaltextrun"/>
        </w:rPr>
        <w:t xml:space="preserve">, </w:t>
      </w:r>
      <w:r w:rsidRPr="00D02E6A">
        <w:rPr>
          <w:rStyle w:val="normaltextrun"/>
        </w:rPr>
        <w:t>čime se potvrđuje snažna atraktivnost destinacije temeljem bogate baštine i očuvanog okoliša</w:t>
      </w:r>
      <w:r>
        <w:rPr>
          <w:rStyle w:val="normaltextrun"/>
        </w:rPr>
        <w:t xml:space="preserve">. </w:t>
      </w:r>
      <w:r w:rsidRPr="000607CB">
        <w:rPr>
          <w:rStyle w:val="normaltextrun"/>
        </w:rPr>
        <w:t>Ocjene za turističke usluge i infrastrukturu (5,17) te zdravstvenu sigurnost (</w:t>
      </w:r>
      <w:r>
        <w:rPr>
          <w:rStyle w:val="normaltextrun"/>
        </w:rPr>
        <w:t>6</w:t>
      </w:r>
      <w:r w:rsidRPr="000607CB">
        <w:rPr>
          <w:rStyle w:val="normaltextrun"/>
        </w:rPr>
        <w:t>,</w:t>
      </w:r>
      <w:r>
        <w:rPr>
          <w:rStyle w:val="normaltextrun"/>
        </w:rPr>
        <w:t>01</w:t>
      </w:r>
      <w:r w:rsidRPr="000607CB">
        <w:rPr>
          <w:rStyle w:val="normaltextrun"/>
        </w:rPr>
        <w:t>)</w:t>
      </w:r>
      <w:r>
        <w:rPr>
          <w:rStyle w:val="normaltextrun"/>
        </w:rPr>
        <w:t>,</w:t>
      </w:r>
      <w:r w:rsidRPr="000607CB">
        <w:rPr>
          <w:rStyle w:val="normaltextrun"/>
        </w:rPr>
        <w:t xml:space="preserve"> ukazuju na </w:t>
      </w:r>
      <w:r>
        <w:rPr>
          <w:rStyle w:val="normaltextrun"/>
        </w:rPr>
        <w:t>solidnu</w:t>
      </w:r>
      <w:r w:rsidRPr="000607CB">
        <w:rPr>
          <w:rStyle w:val="normaltextrun"/>
        </w:rPr>
        <w:t xml:space="preserve"> razvijenost usluga i stručnih kapaciteta, </w:t>
      </w:r>
      <w:r>
        <w:rPr>
          <w:rStyle w:val="normaltextrun"/>
        </w:rPr>
        <w:t>dok u</w:t>
      </w:r>
      <w:r w:rsidRPr="000E0BA9">
        <w:rPr>
          <w:rStyle w:val="normaltextrun"/>
        </w:rPr>
        <w:t xml:space="preserve"> području I</w:t>
      </w:r>
      <w:r>
        <w:rPr>
          <w:rStyle w:val="normaltextrun"/>
        </w:rPr>
        <w:t>K</w:t>
      </w:r>
      <w:r w:rsidRPr="000E0BA9">
        <w:rPr>
          <w:rStyle w:val="normaltextrun"/>
        </w:rPr>
        <w:t>T spremnosti, Hrvatska ostvaruje rezultat 5,</w:t>
      </w:r>
      <w:r>
        <w:rPr>
          <w:rStyle w:val="normaltextrun"/>
        </w:rPr>
        <w:t>67</w:t>
      </w:r>
      <w:r w:rsidRPr="000E0BA9">
        <w:rPr>
          <w:rStyle w:val="normaltextrun"/>
        </w:rPr>
        <w:t>, što je u skladu s njezinom pozicijom jedne od najprivlačnijih destinacija za digitalne nomade</w:t>
      </w:r>
      <w:r>
        <w:rPr>
          <w:rStyle w:val="normaltextrun"/>
        </w:rPr>
        <w:t xml:space="preserve">. </w:t>
      </w:r>
      <w:r w:rsidRPr="00711801">
        <w:rPr>
          <w:rStyle w:val="normaltextrun"/>
        </w:rPr>
        <w:t xml:space="preserve">Istodobno, </w:t>
      </w:r>
      <w:r>
        <w:rPr>
          <w:rStyle w:val="normaltextrun"/>
        </w:rPr>
        <w:t>TTDI</w:t>
      </w:r>
      <w:r w:rsidRPr="00711801">
        <w:rPr>
          <w:rStyle w:val="normaltextrun"/>
        </w:rPr>
        <w:t xml:space="preserve"> ukazuje na potrebu jačanja poslovnog okruženja, cjenovne konkurentnosti i prometne infrastrukture</w:t>
      </w:r>
      <w:r>
        <w:rPr>
          <w:rStyle w:val="normaltextrun"/>
        </w:rPr>
        <w:t xml:space="preserve"> (ocjene u rasponu 2,96 - 4,27)</w:t>
      </w:r>
      <w:r w:rsidRPr="00711801">
        <w:rPr>
          <w:rStyle w:val="normaltextrun"/>
        </w:rPr>
        <w:t xml:space="preserve">. </w:t>
      </w:r>
      <w:r w:rsidRPr="004A5855">
        <w:rPr>
          <w:rStyle w:val="normaltextrun"/>
        </w:rPr>
        <w:t xml:space="preserve">U cjelini, rezultati TTDI-ja potvrđuju da Hrvatska posjeduje snažnu resursnu osnovu za daljnji održivi razvoj turizma, uz potrebu intenzivnijeg ulaganja u infrastrukturu, poslovno okruženje i upravljanje </w:t>
      </w:r>
      <w:r w:rsidRPr="004A5855">
        <w:rPr>
          <w:rStyle w:val="normaltextrun"/>
        </w:rPr>
        <w:lastRenderedPageBreak/>
        <w:t>turizmom</w:t>
      </w:r>
      <w:r>
        <w:rPr>
          <w:rStyle w:val="normaltextrun"/>
        </w:rPr>
        <w:t>,</w:t>
      </w:r>
      <w:r w:rsidRPr="004A5855">
        <w:rPr>
          <w:rStyle w:val="normaltextrun"/>
        </w:rPr>
        <w:t xml:space="preserve"> kako bi se osnažila otpornost sektora i povećala njegova međunarodna </w:t>
      </w:r>
      <w:r>
        <w:rPr>
          <w:rStyle w:val="normaltextrun"/>
        </w:rPr>
        <w:t xml:space="preserve">održivost i </w:t>
      </w:r>
      <w:r w:rsidRPr="004A5855">
        <w:rPr>
          <w:rStyle w:val="normaltextrun"/>
        </w:rPr>
        <w:t>konkurentnost.</w:t>
      </w:r>
    </w:p>
    <w:p w14:paraId="6E165E4A" w14:textId="77777777" w:rsidR="00FB178A" w:rsidRDefault="00FB178A" w:rsidP="00FB178A">
      <w:pPr>
        <w:pStyle w:val="paragraph"/>
        <w:spacing w:before="0" w:beforeAutospacing="0" w:after="240" w:afterAutospacing="0" w:line="276" w:lineRule="auto"/>
        <w:jc w:val="both"/>
        <w:textAlignment w:val="baseline"/>
        <w:rPr>
          <w:rStyle w:val="normaltextrun"/>
          <w:sz w:val="22"/>
          <w:szCs w:val="22"/>
          <w:lang w:eastAsia="en-US"/>
        </w:rPr>
      </w:pPr>
      <w:r w:rsidRPr="00E270D1">
        <w:rPr>
          <w:rStyle w:val="normaltextrun"/>
        </w:rPr>
        <w:t xml:space="preserve">Kroz 2024. </w:t>
      </w:r>
      <w:r>
        <w:rPr>
          <w:rStyle w:val="normaltextrun"/>
        </w:rPr>
        <w:t>nastavljen</w:t>
      </w:r>
      <w:r w:rsidRPr="00E270D1">
        <w:rPr>
          <w:rStyle w:val="normaltextrun"/>
        </w:rPr>
        <w:t xml:space="preserve"> je </w:t>
      </w:r>
      <w:r>
        <w:rPr>
          <w:rStyle w:val="normaltextrun"/>
        </w:rPr>
        <w:t xml:space="preserve">rad na </w:t>
      </w:r>
      <w:r w:rsidRPr="00E270D1">
        <w:rPr>
          <w:rStyle w:val="normaltextrun"/>
        </w:rPr>
        <w:t>opsežn</w:t>
      </w:r>
      <w:r>
        <w:rPr>
          <w:rStyle w:val="normaltextrun"/>
        </w:rPr>
        <w:t>om</w:t>
      </w:r>
      <w:r w:rsidRPr="00E270D1">
        <w:rPr>
          <w:rStyle w:val="normaltextrun"/>
        </w:rPr>
        <w:t xml:space="preserve"> paket</w:t>
      </w:r>
      <w:r>
        <w:rPr>
          <w:rStyle w:val="normaltextrun"/>
        </w:rPr>
        <w:t>u</w:t>
      </w:r>
      <w:r w:rsidRPr="00E270D1">
        <w:rPr>
          <w:rStyle w:val="normaltextrun"/>
        </w:rPr>
        <w:t xml:space="preserve"> reformi i ulaganja usmjeren</w:t>
      </w:r>
      <w:r>
        <w:rPr>
          <w:rStyle w:val="normaltextrun"/>
        </w:rPr>
        <w:t>ih</w:t>
      </w:r>
      <w:r w:rsidRPr="00E270D1">
        <w:rPr>
          <w:rStyle w:val="normaltextrun"/>
        </w:rPr>
        <w:t xml:space="preserve"> na jačanje održivosti, otpornosti i </w:t>
      </w:r>
      <w:r>
        <w:rPr>
          <w:rStyle w:val="normaltextrun"/>
        </w:rPr>
        <w:t>konkurentnosti</w:t>
      </w:r>
      <w:r w:rsidRPr="00E270D1">
        <w:rPr>
          <w:rStyle w:val="normaltextrun"/>
        </w:rPr>
        <w:t xml:space="preserve"> turističkog sektora. Nakon donošenja Nacionalnog plana razvoja održivog turizma do 2027. </w:t>
      </w:r>
      <w:r>
        <w:rPr>
          <w:rStyle w:val="normaltextrun"/>
        </w:rPr>
        <w:t>i</w:t>
      </w:r>
      <w:r w:rsidRPr="00E270D1">
        <w:rPr>
          <w:rStyle w:val="normaltextrun"/>
        </w:rPr>
        <w:t xml:space="preserve"> nov</w:t>
      </w:r>
      <w:r>
        <w:rPr>
          <w:rStyle w:val="normaltextrun"/>
        </w:rPr>
        <w:t>og</w:t>
      </w:r>
      <w:r w:rsidRPr="00E270D1">
        <w:rPr>
          <w:rStyle w:val="normaltextrun"/>
        </w:rPr>
        <w:t xml:space="preserve"> Zakon</w:t>
      </w:r>
      <w:r>
        <w:rPr>
          <w:rStyle w:val="normaltextrun"/>
        </w:rPr>
        <w:t>a</w:t>
      </w:r>
      <w:r w:rsidRPr="00E270D1">
        <w:rPr>
          <w:rStyle w:val="normaltextrun"/>
        </w:rPr>
        <w:t xml:space="preserve"> o turizmu</w:t>
      </w:r>
      <w:r>
        <w:rPr>
          <w:rStyle w:val="normaltextrun"/>
        </w:rPr>
        <w:t xml:space="preserve"> („Narodne novine“, broj 156/23.)</w:t>
      </w:r>
      <w:r w:rsidRPr="00E270D1">
        <w:rPr>
          <w:rStyle w:val="normaltextrun"/>
        </w:rPr>
        <w:t xml:space="preserve"> </w:t>
      </w:r>
      <w:r>
        <w:rPr>
          <w:rStyle w:val="normaltextrun"/>
        </w:rPr>
        <w:t>u</w:t>
      </w:r>
      <w:r w:rsidRPr="008C565C">
        <w:rPr>
          <w:rStyle w:val="normaltextrun"/>
        </w:rPr>
        <w:t xml:space="preserve"> 2023.</w:t>
      </w:r>
      <w:r>
        <w:rPr>
          <w:rStyle w:val="normaltextrun"/>
        </w:rPr>
        <w:t>, t</w:t>
      </w:r>
      <w:r w:rsidRPr="00E270D1">
        <w:rPr>
          <w:rStyle w:val="normaltextrun"/>
        </w:rPr>
        <w:t xml:space="preserve">ijekom 2024. doneseni su i pripadajući provedbeni propisi: </w:t>
      </w:r>
      <w:r>
        <w:rPr>
          <w:rStyle w:val="normaltextrun"/>
        </w:rPr>
        <w:t>P</w:t>
      </w:r>
      <w:r w:rsidRPr="00E270D1">
        <w:rPr>
          <w:rStyle w:val="normaltextrun"/>
        </w:rPr>
        <w:t>ravilni</w:t>
      </w:r>
      <w:r>
        <w:rPr>
          <w:rStyle w:val="normaltextrun"/>
        </w:rPr>
        <w:t>k</w:t>
      </w:r>
      <w:r w:rsidRPr="00E270D1">
        <w:rPr>
          <w:rStyle w:val="normaltextrun"/>
        </w:rPr>
        <w:t xml:space="preserve"> o</w:t>
      </w:r>
      <w:r>
        <w:rPr>
          <w:rStyle w:val="normaltextrun"/>
        </w:rPr>
        <w:t xml:space="preserve"> metodologiji</w:t>
      </w:r>
      <w:r w:rsidRPr="00E270D1">
        <w:rPr>
          <w:rStyle w:val="normaltextrun"/>
        </w:rPr>
        <w:t xml:space="preserve"> izračun</w:t>
      </w:r>
      <w:r>
        <w:rPr>
          <w:rStyle w:val="normaltextrun"/>
        </w:rPr>
        <w:t>a</w:t>
      </w:r>
      <w:r w:rsidRPr="00E270D1">
        <w:rPr>
          <w:rStyle w:val="normaltextrun"/>
        </w:rPr>
        <w:t xml:space="preserve"> prihvatnog kapaciteta</w:t>
      </w:r>
      <w:r>
        <w:rPr>
          <w:rStyle w:val="normaltextrun"/>
        </w:rPr>
        <w:t xml:space="preserve"> („Narodne novine“, broj 112/24.)</w:t>
      </w:r>
      <w:r w:rsidRPr="00E270D1">
        <w:rPr>
          <w:rStyle w:val="normaltextrun"/>
        </w:rPr>
        <w:t xml:space="preserve">, </w:t>
      </w:r>
      <w:r>
        <w:rPr>
          <w:rStyle w:val="normaltextrun"/>
        </w:rPr>
        <w:t xml:space="preserve">Pravilnik </w:t>
      </w:r>
      <w:r w:rsidRPr="00E270D1">
        <w:rPr>
          <w:rStyle w:val="normaltextrun"/>
        </w:rPr>
        <w:t xml:space="preserve">o metodologiji izrade plana upravljanja destinacijom </w:t>
      </w:r>
      <w:r>
        <w:rPr>
          <w:rStyle w:val="normaltextrun"/>
        </w:rPr>
        <w:t xml:space="preserve">(„Narodne novine“, broj 112/24.) </w:t>
      </w:r>
      <w:r w:rsidRPr="00E270D1">
        <w:rPr>
          <w:rStyle w:val="normaltextrun"/>
        </w:rPr>
        <w:t>te</w:t>
      </w:r>
      <w:r>
        <w:rPr>
          <w:rStyle w:val="normaltextrun"/>
        </w:rPr>
        <w:t xml:space="preserve"> Pravilnik</w:t>
      </w:r>
      <w:r w:rsidRPr="00E270D1">
        <w:rPr>
          <w:rStyle w:val="normaltextrun"/>
        </w:rPr>
        <w:t xml:space="preserve"> o pokazateljima za praćenje </w:t>
      </w:r>
      <w:r>
        <w:rPr>
          <w:rStyle w:val="normaltextrun"/>
        </w:rPr>
        <w:t xml:space="preserve">razvoja i </w:t>
      </w:r>
      <w:r w:rsidRPr="00E270D1">
        <w:rPr>
          <w:rStyle w:val="normaltextrun"/>
        </w:rPr>
        <w:t>održivosti turizma</w:t>
      </w:r>
      <w:r>
        <w:rPr>
          <w:rStyle w:val="normaltextrun"/>
        </w:rPr>
        <w:t xml:space="preserve"> („Narodne novine“, broj 112/24.)</w:t>
      </w:r>
      <w:r w:rsidRPr="00E270D1">
        <w:rPr>
          <w:rStyle w:val="normaltextrun"/>
        </w:rPr>
        <w:t xml:space="preserve">. </w:t>
      </w:r>
      <w:r>
        <w:rPr>
          <w:rStyle w:val="normaltextrun"/>
        </w:rPr>
        <w:t>R</w:t>
      </w:r>
      <w:r w:rsidRPr="00616E93">
        <w:rPr>
          <w:rStyle w:val="normaltextrun"/>
        </w:rPr>
        <w:t>adi olakšavanja provedbe ovih novina na terenu</w:t>
      </w:r>
      <w:r>
        <w:rPr>
          <w:rStyle w:val="normaltextrun"/>
        </w:rPr>
        <w:t xml:space="preserve">, u rujnu 2024. su </w:t>
      </w:r>
      <w:r w:rsidRPr="00E270D1">
        <w:rPr>
          <w:rStyle w:val="normaltextrun"/>
        </w:rPr>
        <w:t>izda</w:t>
      </w:r>
      <w:r>
        <w:rPr>
          <w:rStyle w:val="normaltextrun"/>
        </w:rPr>
        <w:t xml:space="preserve">ne </w:t>
      </w:r>
      <w:r w:rsidRPr="00E270D1">
        <w:rPr>
          <w:rStyle w:val="normaltextrun"/>
        </w:rPr>
        <w:t>Smjernice i upute za izradu planova upravljanja destinacijom. U skladu s novim zakonskim okvirom, Vlada</w:t>
      </w:r>
      <w:r>
        <w:rPr>
          <w:rStyle w:val="normaltextrun"/>
        </w:rPr>
        <w:t xml:space="preserve"> Republike Hrvatske</w:t>
      </w:r>
      <w:r w:rsidRPr="00E270D1">
        <w:rPr>
          <w:rStyle w:val="normaltextrun"/>
        </w:rPr>
        <w:t xml:space="preserve"> je u 2024. u</w:t>
      </w:r>
      <w:r>
        <w:rPr>
          <w:rStyle w:val="normaltextrun"/>
        </w:rPr>
        <w:t xml:space="preserve">svojila </w:t>
      </w:r>
      <w:r w:rsidRPr="00E270D1">
        <w:rPr>
          <w:rStyle w:val="normaltextrun"/>
        </w:rPr>
        <w:t>Uredbu o poticanju ulaganja u sektoru turizma</w:t>
      </w:r>
      <w:r>
        <w:rPr>
          <w:rStyle w:val="normaltextrun"/>
        </w:rPr>
        <w:t xml:space="preserve"> </w:t>
      </w:r>
      <w:r w:rsidRPr="008B41DE">
        <w:rPr>
          <w:rStyle w:val="normaltextrun"/>
        </w:rPr>
        <w:t>(„Narodne novine“, broj 39/24</w:t>
      </w:r>
      <w:r>
        <w:rPr>
          <w:rStyle w:val="normaltextrun"/>
        </w:rPr>
        <w:t>.</w:t>
      </w:r>
      <w:r w:rsidRPr="008B41DE">
        <w:rPr>
          <w:rStyle w:val="normaltextrun"/>
        </w:rPr>
        <w:t>)</w:t>
      </w:r>
      <w:r w:rsidRPr="00E270D1">
        <w:rPr>
          <w:rStyle w:val="normaltextrun"/>
        </w:rPr>
        <w:t xml:space="preserve"> </w:t>
      </w:r>
      <w:r>
        <w:rPr>
          <w:rStyle w:val="normaltextrun"/>
        </w:rPr>
        <w:t>te</w:t>
      </w:r>
      <w:r w:rsidRPr="00E270D1">
        <w:rPr>
          <w:rStyle w:val="normaltextrun"/>
        </w:rPr>
        <w:t xml:space="preserve"> osnovala Vijeće za upravljanje razvojem turizma</w:t>
      </w:r>
      <w:r>
        <w:rPr>
          <w:rStyle w:val="normaltextrun"/>
        </w:rPr>
        <w:t>,</w:t>
      </w:r>
      <w:r w:rsidRPr="00E270D1">
        <w:rPr>
          <w:rStyle w:val="normaltextrun"/>
        </w:rPr>
        <w:t xml:space="preserve"> kako bi se uspostavilo učinkovito upravljanje održivim investicijama u turizmu na nacionalnoj razini.</w:t>
      </w:r>
      <w:r>
        <w:rPr>
          <w:rStyle w:val="normaltextrun"/>
        </w:rPr>
        <w:t xml:space="preserve"> Dodatno, u</w:t>
      </w:r>
      <w:r w:rsidRPr="00D70510">
        <w:rPr>
          <w:rStyle w:val="normaltextrun"/>
        </w:rPr>
        <w:t xml:space="preserve"> </w:t>
      </w:r>
      <w:r>
        <w:rPr>
          <w:rStyle w:val="normaltextrun"/>
        </w:rPr>
        <w:t>okviru</w:t>
      </w:r>
      <w:r w:rsidRPr="00D70510">
        <w:rPr>
          <w:rStyle w:val="normaltextrun"/>
        </w:rPr>
        <w:t xml:space="preserve"> sveobuhvatne reforme </w:t>
      </w:r>
      <w:r>
        <w:rPr>
          <w:rStyle w:val="normaltextrun"/>
        </w:rPr>
        <w:t>javne</w:t>
      </w:r>
      <w:r w:rsidRPr="00D70510">
        <w:rPr>
          <w:rStyle w:val="normaltextrun"/>
        </w:rPr>
        <w:t xml:space="preserve"> politike usmjerene na stvaranje </w:t>
      </w:r>
      <w:proofErr w:type="spellStart"/>
      <w:r w:rsidRPr="00D70510">
        <w:rPr>
          <w:rStyle w:val="normaltextrun"/>
        </w:rPr>
        <w:t>priuštivog</w:t>
      </w:r>
      <w:proofErr w:type="spellEnd"/>
      <w:r w:rsidRPr="00D70510">
        <w:rPr>
          <w:rStyle w:val="normaltextrun"/>
        </w:rPr>
        <w:t xml:space="preserve"> i održivog stanovanja, donesen je Zakon o izmjenama i dopunama Zakona o ugostiteljskoj djelatnosti</w:t>
      </w:r>
      <w:r>
        <w:rPr>
          <w:rStyle w:val="normaltextrun"/>
        </w:rPr>
        <w:t xml:space="preserve"> („Narodne novine“, broj 152/24),</w:t>
      </w:r>
      <w:r w:rsidRPr="00D70510">
        <w:rPr>
          <w:rStyle w:val="normaltextrun"/>
        </w:rPr>
        <w:t xml:space="preserve"> radi jasnog razlikovanja autentičnog obiteljskog smještaja kao važnog elementa hrvatske turističke ponude.</w:t>
      </w:r>
    </w:p>
    <w:p w14:paraId="6B2C1C6A" w14:textId="77777777" w:rsidR="00FB178A" w:rsidRDefault="00FB178A" w:rsidP="00FB178A">
      <w:pPr>
        <w:pStyle w:val="paragraph"/>
        <w:spacing w:before="0" w:beforeAutospacing="0" w:after="0" w:afterAutospacing="0" w:line="276" w:lineRule="auto"/>
        <w:jc w:val="both"/>
        <w:textAlignment w:val="baseline"/>
        <w:rPr>
          <w:rStyle w:val="normaltextrun"/>
        </w:rPr>
      </w:pPr>
      <w:r>
        <w:rPr>
          <w:rStyle w:val="normaltextrun"/>
        </w:rPr>
        <w:t>U skladu</w:t>
      </w:r>
      <w:r w:rsidRPr="005A1BF9">
        <w:rPr>
          <w:rStyle w:val="normaltextrun"/>
        </w:rPr>
        <w:t xml:space="preserve"> s reform</w:t>
      </w:r>
      <w:r>
        <w:rPr>
          <w:rStyle w:val="normaltextrun"/>
        </w:rPr>
        <w:t>om pravnog i strateškog okvira</w:t>
      </w:r>
      <w:r w:rsidRPr="005A1BF9">
        <w:rPr>
          <w:rStyle w:val="normaltextrun"/>
        </w:rPr>
        <w:t xml:space="preserve">, </w:t>
      </w:r>
      <w:r>
        <w:rPr>
          <w:rStyle w:val="normaltextrun"/>
        </w:rPr>
        <w:t>s</w:t>
      </w:r>
      <w:r w:rsidRPr="00360098">
        <w:rPr>
          <w:rStyle w:val="normaltextrun"/>
        </w:rPr>
        <w:t xml:space="preserve"> ciljem </w:t>
      </w:r>
      <w:r>
        <w:rPr>
          <w:rStyle w:val="normaltextrun"/>
        </w:rPr>
        <w:t xml:space="preserve">postizanja </w:t>
      </w:r>
      <w:r w:rsidRPr="00360098">
        <w:rPr>
          <w:rStyle w:val="normaltextrun"/>
        </w:rPr>
        <w:t>zelene i digitalne tranzicije turizma</w:t>
      </w:r>
      <w:r>
        <w:rPr>
          <w:rStyle w:val="normaltextrun"/>
        </w:rPr>
        <w:t>,</w:t>
      </w:r>
      <w:r w:rsidRPr="00360098">
        <w:rPr>
          <w:rStyle w:val="normaltextrun"/>
        </w:rPr>
        <w:t xml:space="preserve"> </w:t>
      </w:r>
      <w:r w:rsidRPr="005A1BF9">
        <w:rPr>
          <w:rStyle w:val="normaltextrun"/>
        </w:rPr>
        <w:t>pokrenut</w:t>
      </w:r>
      <w:r>
        <w:rPr>
          <w:rStyle w:val="normaltextrun"/>
        </w:rPr>
        <w:t>a</w:t>
      </w:r>
      <w:r w:rsidRPr="005A1BF9">
        <w:rPr>
          <w:rStyle w:val="normaltextrun"/>
        </w:rPr>
        <w:t xml:space="preserve"> su znatn</w:t>
      </w:r>
      <w:r>
        <w:rPr>
          <w:rStyle w:val="normaltextrun"/>
        </w:rPr>
        <w:t>a ulaganja</w:t>
      </w:r>
      <w:r w:rsidRPr="005A1BF9">
        <w:rPr>
          <w:rStyle w:val="normaltextrun"/>
        </w:rPr>
        <w:t xml:space="preserve"> </w:t>
      </w:r>
      <w:r>
        <w:rPr>
          <w:rStyle w:val="normaltextrun"/>
        </w:rPr>
        <w:t>iz</w:t>
      </w:r>
      <w:r w:rsidRPr="005A1BF9">
        <w:rPr>
          <w:rStyle w:val="normaltextrun"/>
        </w:rPr>
        <w:t xml:space="preserve"> NPOO</w:t>
      </w:r>
      <w:r>
        <w:rPr>
          <w:rStyle w:val="normaltextrun"/>
        </w:rPr>
        <w:t>-a,</w:t>
      </w:r>
      <w:r w:rsidRPr="005A1BF9">
        <w:rPr>
          <w:rStyle w:val="normaltextrun"/>
        </w:rPr>
        <w:t xml:space="preserve"> </w:t>
      </w:r>
      <w:r>
        <w:rPr>
          <w:rStyle w:val="normaltextrun"/>
        </w:rPr>
        <w:t>fondova EU-a te državnog proračuna Republike Hrvatske. Iz EU sredstava je osigurano više od 500 milijuna eura</w:t>
      </w:r>
      <w:r w:rsidDel="005B76D0">
        <w:rPr>
          <w:rStyle w:val="normaltextrun"/>
        </w:rPr>
        <w:t xml:space="preserve"> </w:t>
      </w:r>
      <w:r>
        <w:rPr>
          <w:rStyle w:val="normaltextrun"/>
        </w:rPr>
        <w:t xml:space="preserve">za </w:t>
      </w:r>
      <w:r w:rsidRPr="004D66DC">
        <w:rPr>
          <w:rStyle w:val="normaltextrun"/>
        </w:rPr>
        <w:t>financiranje projekata koji</w:t>
      </w:r>
      <w:r>
        <w:rPr>
          <w:rStyle w:val="normaltextrun"/>
        </w:rPr>
        <w:t>ma će se</w:t>
      </w:r>
      <w:r w:rsidRPr="004D66DC">
        <w:rPr>
          <w:rStyle w:val="normaltextrun"/>
        </w:rPr>
        <w:t xml:space="preserve"> doprin</w:t>
      </w:r>
      <w:r>
        <w:rPr>
          <w:rStyle w:val="normaltextrun"/>
        </w:rPr>
        <w:t xml:space="preserve">ijeti jačanju </w:t>
      </w:r>
      <w:r w:rsidRPr="004D66DC">
        <w:rPr>
          <w:rStyle w:val="normaltextrun"/>
        </w:rPr>
        <w:t>održivo</w:t>
      </w:r>
      <w:r>
        <w:rPr>
          <w:rStyle w:val="normaltextrun"/>
        </w:rPr>
        <w:t>sti</w:t>
      </w:r>
      <w:r w:rsidRPr="004D66DC">
        <w:rPr>
          <w:rStyle w:val="normaltextrun"/>
        </w:rPr>
        <w:t>, inovativno</w:t>
      </w:r>
      <w:r>
        <w:rPr>
          <w:rStyle w:val="normaltextrun"/>
        </w:rPr>
        <w:t>sti</w:t>
      </w:r>
      <w:r w:rsidRPr="004D66DC">
        <w:rPr>
          <w:rStyle w:val="normaltextrun"/>
        </w:rPr>
        <w:t xml:space="preserve"> i otporno</w:t>
      </w:r>
      <w:r>
        <w:rPr>
          <w:rStyle w:val="normaltextrun"/>
        </w:rPr>
        <w:t>sti</w:t>
      </w:r>
      <w:r w:rsidRPr="004D66DC">
        <w:rPr>
          <w:rStyle w:val="normaltextrun"/>
        </w:rPr>
        <w:t xml:space="preserve"> turizma</w:t>
      </w:r>
      <w:r>
        <w:rPr>
          <w:rStyle w:val="normaltextrun"/>
        </w:rPr>
        <w:t xml:space="preserve"> u Hrvatskoj</w:t>
      </w:r>
      <w:r w:rsidRPr="004D66DC">
        <w:rPr>
          <w:rStyle w:val="normaltextrun"/>
        </w:rPr>
        <w:t>.</w:t>
      </w:r>
      <w:r w:rsidRPr="005A1BF9">
        <w:rPr>
          <w:rStyle w:val="normaltextrun"/>
        </w:rPr>
        <w:t xml:space="preserve"> Tijekom 2024. ugovorena su bespovratna sredstva ukupne vrijednosti od 195,9 milijuna eura za </w:t>
      </w:r>
      <w:r>
        <w:rPr>
          <w:rStyle w:val="normaltextrun"/>
        </w:rPr>
        <w:t xml:space="preserve">korisnike u </w:t>
      </w:r>
      <w:r w:rsidRPr="005A1BF9">
        <w:rPr>
          <w:rStyle w:val="normaltextrun"/>
        </w:rPr>
        <w:t>javn</w:t>
      </w:r>
      <w:r>
        <w:rPr>
          <w:rStyle w:val="normaltextrun"/>
        </w:rPr>
        <w:t>om</w:t>
      </w:r>
      <w:r w:rsidRPr="005A1BF9">
        <w:rPr>
          <w:rStyle w:val="normaltextrun"/>
        </w:rPr>
        <w:t xml:space="preserve"> sektor</w:t>
      </w:r>
      <w:r>
        <w:rPr>
          <w:rStyle w:val="normaltextrun"/>
        </w:rPr>
        <w:t>u</w:t>
      </w:r>
      <w:r w:rsidRPr="005A1BF9">
        <w:rPr>
          <w:rStyle w:val="normaltextrun"/>
        </w:rPr>
        <w:t>, te dodatnih 161,0 milijun eura za</w:t>
      </w:r>
      <w:r>
        <w:rPr>
          <w:rStyle w:val="normaltextrun"/>
        </w:rPr>
        <w:t xml:space="preserve"> korisnike u</w:t>
      </w:r>
      <w:r w:rsidRPr="005A1BF9">
        <w:rPr>
          <w:rStyle w:val="normaltextrun"/>
        </w:rPr>
        <w:t xml:space="preserve"> privatn</w:t>
      </w:r>
      <w:r>
        <w:rPr>
          <w:rStyle w:val="normaltextrun"/>
        </w:rPr>
        <w:t>om</w:t>
      </w:r>
      <w:r w:rsidRPr="005A1BF9">
        <w:rPr>
          <w:rStyle w:val="normaltextrun"/>
        </w:rPr>
        <w:t xml:space="preserve"> sektor</w:t>
      </w:r>
      <w:r>
        <w:rPr>
          <w:rStyle w:val="normaltextrun"/>
        </w:rPr>
        <w:t>u</w:t>
      </w:r>
      <w:r w:rsidRPr="005A1BF9">
        <w:rPr>
          <w:rStyle w:val="normaltextrun"/>
        </w:rPr>
        <w:t>, namijenjen</w:t>
      </w:r>
      <w:r>
        <w:rPr>
          <w:rStyle w:val="normaltextrun"/>
        </w:rPr>
        <w:t>a</w:t>
      </w:r>
      <w:r w:rsidRPr="005A1BF9">
        <w:rPr>
          <w:rStyle w:val="normaltextrun"/>
        </w:rPr>
        <w:t xml:space="preserve"> modernizaciji turističke infrastrukture, povećanju energetske učinkovitosti i jačanju ljudskih potencijala u turizmu. </w:t>
      </w:r>
      <w:r>
        <w:rPr>
          <w:rStyle w:val="normaltextrun"/>
        </w:rPr>
        <w:t>Dodatno</w:t>
      </w:r>
      <w:r w:rsidRPr="005A1BF9">
        <w:rPr>
          <w:rStyle w:val="normaltextrun"/>
        </w:rPr>
        <w:t xml:space="preserve">, </w:t>
      </w:r>
      <w:r>
        <w:rPr>
          <w:rStyle w:val="normaltextrun"/>
        </w:rPr>
        <w:t>iz PKK 2021.-2027. u studenome 2024.</w:t>
      </w:r>
      <w:r w:rsidRPr="005A1BF9">
        <w:rPr>
          <w:rStyle w:val="normaltextrun"/>
        </w:rPr>
        <w:t xml:space="preserve"> pokrenut je financijski instrument „Krediti za održivi turizam” ukupne vrijednosti 170,3 milijuna eura</w:t>
      </w:r>
      <w:r>
        <w:rPr>
          <w:rStyle w:val="normaltextrun"/>
        </w:rPr>
        <w:t xml:space="preserve">, </w:t>
      </w:r>
      <w:r w:rsidRPr="005A1BF9">
        <w:rPr>
          <w:rStyle w:val="normaltextrun"/>
        </w:rPr>
        <w:t xml:space="preserve">od čega 90,7 milijuna eura u vidu </w:t>
      </w:r>
      <w:r>
        <w:rPr>
          <w:rStyle w:val="normaltextrun"/>
        </w:rPr>
        <w:t xml:space="preserve">bespovratnih </w:t>
      </w:r>
      <w:r w:rsidRPr="005A1BF9">
        <w:rPr>
          <w:rStyle w:val="normaltextrun"/>
        </w:rPr>
        <w:t>potpora</w:t>
      </w:r>
      <w:r>
        <w:rPr>
          <w:rStyle w:val="normaltextrun"/>
        </w:rPr>
        <w:t>,</w:t>
      </w:r>
      <w:r w:rsidRPr="005A1BF9">
        <w:rPr>
          <w:rStyle w:val="normaltextrun"/>
        </w:rPr>
        <w:t xml:space="preserve"> za poticanje održivih investicijskih projekata</w:t>
      </w:r>
      <w:r>
        <w:rPr>
          <w:rStyle w:val="normaltextrun"/>
        </w:rPr>
        <w:t xml:space="preserve"> </w:t>
      </w:r>
      <w:r w:rsidRPr="005A1BF9">
        <w:rPr>
          <w:rStyle w:val="normaltextrun"/>
        </w:rPr>
        <w:t>usmjerenih na diversifikaciju ponude, produljenje sezone, smanjenje prekomjernog turizma te digitalizaciju poslovanja. Pristigle prijave za ove povoljne kredite počele su se obrađivati krajem 2024.</w:t>
      </w:r>
      <w:r>
        <w:rPr>
          <w:rStyle w:val="normaltextrun"/>
        </w:rPr>
        <w:t xml:space="preserve"> (24 ugovora sklopljena u 2025. godini).</w:t>
      </w:r>
    </w:p>
    <w:p w14:paraId="164AFF21" w14:textId="77777777" w:rsidR="00FB178A" w:rsidRDefault="00FB178A" w:rsidP="00FB178A">
      <w:pPr>
        <w:pStyle w:val="paragraph"/>
        <w:spacing w:before="240" w:beforeAutospacing="0" w:after="240" w:afterAutospacing="0" w:line="276" w:lineRule="auto"/>
        <w:jc w:val="both"/>
        <w:textAlignment w:val="baseline"/>
        <w:rPr>
          <w:rFonts w:ascii="Segoe UI" w:hAnsi="Segoe UI" w:cs="Segoe UI"/>
          <w:sz w:val="18"/>
          <w:szCs w:val="18"/>
        </w:rPr>
      </w:pPr>
      <w:r w:rsidRPr="009239E6">
        <w:rPr>
          <w:rStyle w:val="normaltextrun"/>
        </w:rPr>
        <w:t xml:space="preserve">U </w:t>
      </w:r>
      <w:r>
        <w:rPr>
          <w:rStyle w:val="normaltextrun"/>
        </w:rPr>
        <w:t>okviru</w:t>
      </w:r>
      <w:r w:rsidRPr="009239E6">
        <w:rPr>
          <w:rStyle w:val="normaltextrun"/>
        </w:rPr>
        <w:t xml:space="preserve"> reforme upravljanja razvojem turizma, usmjerene na povećanje konkurentnosti i održivosti sektora te na otvaranje kvalitetnih radnih mjesta i podizanje životnog standarda lokalnih zajednica, jačanje ljudskih potencijala predstavlja jedan od temeljnih prioriteta</w:t>
      </w:r>
      <w:r>
        <w:rPr>
          <w:rStyle w:val="normaltextrun"/>
        </w:rPr>
        <w:t xml:space="preserve">. </w:t>
      </w:r>
      <w:r w:rsidRPr="00DD6D41">
        <w:rPr>
          <w:rStyle w:val="normaltextrun"/>
        </w:rPr>
        <w:t>U skladu s time, kontinuirano se ulaže u razvoj kadrova putem nacionalnih i EU izvora financiranja, pri čemu su tijekom 2024. provedene brojne aktivnosti usmjerene na izobrazbu i usavršavanje te poticanje novih generacija turističkih djelatnika na uključivanje u rad u turističkom sektoru.</w:t>
      </w:r>
      <w:r>
        <w:rPr>
          <w:rStyle w:val="normaltextrun"/>
        </w:rPr>
        <w:t xml:space="preserve"> </w:t>
      </w:r>
      <w:r w:rsidRPr="004E1F01">
        <w:rPr>
          <w:rStyle w:val="normaltextrun"/>
        </w:rPr>
        <w:t xml:space="preserve">Putem javnog natječaja za udruge u turizmu i ugostiteljstvu, tijekom 2024. sufinancirano je 26 projekata stručnog osposobljavanja i usavršavanja u okviru dvaju programskih područja </w:t>
      </w:r>
      <w:r>
        <w:rPr>
          <w:rStyle w:val="normaltextrun"/>
        </w:rPr>
        <w:t>(1. P</w:t>
      </w:r>
      <w:r w:rsidRPr="004E1F01">
        <w:rPr>
          <w:rStyle w:val="normaltextrun"/>
        </w:rPr>
        <w:t>oticanj</w:t>
      </w:r>
      <w:r>
        <w:rPr>
          <w:rStyle w:val="normaltextrun"/>
        </w:rPr>
        <w:t>e</w:t>
      </w:r>
      <w:r w:rsidRPr="004E1F01">
        <w:rPr>
          <w:rStyle w:val="normaltextrun"/>
        </w:rPr>
        <w:t xml:space="preserve"> razvoja karijere u turizmu i </w:t>
      </w:r>
      <w:r>
        <w:rPr>
          <w:rStyle w:val="normaltextrun"/>
        </w:rPr>
        <w:t>2. P</w:t>
      </w:r>
      <w:r w:rsidRPr="004E1F01">
        <w:rPr>
          <w:rStyle w:val="normaltextrun"/>
        </w:rPr>
        <w:t>odizanj</w:t>
      </w:r>
      <w:r>
        <w:rPr>
          <w:rStyle w:val="normaltextrun"/>
        </w:rPr>
        <w:t>e</w:t>
      </w:r>
      <w:r w:rsidRPr="004E1F01">
        <w:rPr>
          <w:rStyle w:val="normaltextrun"/>
        </w:rPr>
        <w:t xml:space="preserve"> svijesti o pristupačnom turizmu</w:t>
      </w:r>
      <w:r>
        <w:rPr>
          <w:rStyle w:val="normaltextrun"/>
        </w:rPr>
        <w:t>)</w:t>
      </w:r>
      <w:r w:rsidRPr="004E1F01">
        <w:rPr>
          <w:rStyle w:val="normaltextrun"/>
        </w:rPr>
        <w:t xml:space="preserve"> uz ukupno osigurana sredstva od 59</w:t>
      </w:r>
      <w:r>
        <w:rPr>
          <w:rStyle w:val="normaltextrun"/>
        </w:rPr>
        <w:t>6.000</w:t>
      </w:r>
      <w:r w:rsidRPr="004E1F01">
        <w:rPr>
          <w:rStyle w:val="normaltextrun"/>
        </w:rPr>
        <w:t xml:space="preserve"> </w:t>
      </w:r>
      <w:r w:rsidRPr="004E1F01">
        <w:rPr>
          <w:rStyle w:val="normaltextrun"/>
        </w:rPr>
        <w:lastRenderedPageBreak/>
        <w:t>eura.</w:t>
      </w:r>
      <w:r>
        <w:rPr>
          <w:rStyle w:val="normaltextrun"/>
        </w:rPr>
        <w:t xml:space="preserve"> </w:t>
      </w:r>
      <w:r w:rsidRPr="00ED310A">
        <w:rPr>
          <w:rStyle w:val="normaltextrun"/>
        </w:rPr>
        <w:t xml:space="preserve">Proveden je program „Promocija i jačanje kompetencija strukovnih zanimanja za turizam“, usmjeren na srednje strukovne, umjetničke i mješovite škole diljem Hrvatske, u okviru kojeg učenici i nastavnici razvijaju projekte s naglaskom na prilagodbu turizma klimatskim promjenama i smanjenje utjecaja turizma na okoliš, pri čemu je u 2024. za </w:t>
      </w:r>
      <w:r>
        <w:rPr>
          <w:rStyle w:val="normaltextrun"/>
        </w:rPr>
        <w:t xml:space="preserve">provedbu </w:t>
      </w:r>
      <w:r w:rsidRPr="00ED310A">
        <w:rPr>
          <w:rStyle w:val="normaltextrun"/>
        </w:rPr>
        <w:t xml:space="preserve">projekata </w:t>
      </w:r>
      <w:r>
        <w:rPr>
          <w:rStyle w:val="normaltextrun"/>
        </w:rPr>
        <w:t>osigura</w:t>
      </w:r>
      <w:r w:rsidRPr="00ED310A">
        <w:rPr>
          <w:rStyle w:val="normaltextrun"/>
        </w:rPr>
        <w:t>no 236</w:t>
      </w:r>
      <w:r>
        <w:rPr>
          <w:rStyle w:val="normaltextrun"/>
        </w:rPr>
        <w:t>.000</w:t>
      </w:r>
      <w:r w:rsidRPr="00ED310A">
        <w:rPr>
          <w:rStyle w:val="normaltextrun"/>
        </w:rPr>
        <w:t xml:space="preserve"> eura</w:t>
      </w:r>
      <w:r>
        <w:rPr>
          <w:rStyle w:val="normaltextrun"/>
        </w:rPr>
        <w:t xml:space="preserve">. </w:t>
      </w:r>
      <w:r w:rsidRPr="00BE7305">
        <w:rPr>
          <w:rStyle w:val="normaltextrun"/>
        </w:rPr>
        <w:t>U suradnji s turističkim tvrtkama i obrtima</w:t>
      </w:r>
      <w:r>
        <w:rPr>
          <w:rStyle w:val="normaltextrun"/>
        </w:rPr>
        <w:t>, nastavljen je P</w:t>
      </w:r>
      <w:r w:rsidRPr="00BE7305">
        <w:rPr>
          <w:rStyle w:val="normaltextrun"/>
        </w:rPr>
        <w:t>rogram stipendiranja učenika i studenata za ugostiteljsko-turistička zanimanja</w:t>
      </w:r>
      <w:r>
        <w:rPr>
          <w:rStyle w:val="normaltextrun"/>
        </w:rPr>
        <w:t>,</w:t>
      </w:r>
      <w:r w:rsidRPr="00BE7305">
        <w:rPr>
          <w:rStyle w:val="normaltextrun"/>
        </w:rPr>
        <w:t xml:space="preserve"> s ciljem poticanja mladih na razvoj karijere u turizmu</w:t>
      </w:r>
      <w:r>
        <w:rPr>
          <w:rStyle w:val="normaltextrun"/>
        </w:rPr>
        <w:t xml:space="preserve">. </w:t>
      </w:r>
      <w:r w:rsidRPr="008B41DE">
        <w:rPr>
          <w:rStyle w:val="normaltextrun"/>
        </w:rPr>
        <w:t>Ukupno su tijekom 2024. isplaćene stipendije za 673 učenika i studenta za što je ukupno osigurano 990</w:t>
      </w:r>
      <w:r>
        <w:rPr>
          <w:rStyle w:val="normaltextrun"/>
        </w:rPr>
        <w:t>.000 eura</w:t>
      </w:r>
      <w:r w:rsidRPr="008B41DE">
        <w:rPr>
          <w:rStyle w:val="normaltextrun"/>
        </w:rPr>
        <w:t>.</w:t>
      </w:r>
      <w:r>
        <w:rPr>
          <w:rStyle w:val="normaltextrun"/>
        </w:rPr>
        <w:t xml:space="preserve"> Istovremeno,</w:t>
      </w:r>
      <w:r w:rsidRPr="00D46BEC">
        <w:rPr>
          <w:rStyle w:val="normaltextrun"/>
        </w:rPr>
        <w:t xml:space="preserve"> provodi se razvoj novih formalnih i neformalnih obrazovnih programa radi jačanja kapaciteta za otporan i održiv turizam, pri čemu je tijekom 2024. izrađeno 10 neformalnih</w:t>
      </w:r>
      <w:r>
        <w:rPr>
          <w:rStyle w:val="normaltextrun"/>
        </w:rPr>
        <w:t xml:space="preserve"> obrazovnih</w:t>
      </w:r>
      <w:r w:rsidRPr="00D46BEC">
        <w:rPr>
          <w:rStyle w:val="normaltextrun"/>
        </w:rPr>
        <w:t xml:space="preserve"> programa za odrasle</w:t>
      </w:r>
      <w:r>
        <w:rPr>
          <w:rStyle w:val="normaltextrun"/>
        </w:rPr>
        <w:t xml:space="preserve"> u</w:t>
      </w:r>
      <w:r w:rsidRPr="00D46BEC">
        <w:rPr>
          <w:rStyle w:val="normaltextrun"/>
        </w:rPr>
        <w:t xml:space="preserve"> turizmu, s ciljem ublažavanja nedostatka kvalificirane radne snage</w:t>
      </w:r>
      <w:r>
        <w:rPr>
          <w:rStyle w:val="normaltextrun"/>
        </w:rPr>
        <w:t xml:space="preserve"> i lakšeg </w:t>
      </w:r>
      <w:r w:rsidRPr="00D46BEC">
        <w:rPr>
          <w:rStyle w:val="normaltextrun"/>
        </w:rPr>
        <w:t>zapo</w:t>
      </w:r>
      <w:r>
        <w:rPr>
          <w:rStyle w:val="normaltextrun"/>
        </w:rPr>
        <w:t>šljavanja</w:t>
      </w:r>
      <w:r w:rsidRPr="00D46BEC">
        <w:rPr>
          <w:rStyle w:val="normaltextrun"/>
        </w:rPr>
        <w:t>.</w:t>
      </w:r>
      <w:r>
        <w:rPr>
          <w:rStyle w:val="normaltextrun"/>
        </w:rPr>
        <w:t xml:space="preserve"> </w:t>
      </w:r>
    </w:p>
    <w:p w14:paraId="562A48C3" w14:textId="77777777" w:rsidR="00FB178A" w:rsidRDefault="00FB178A" w:rsidP="00FB178A">
      <w:pPr>
        <w:pStyle w:val="paragraph"/>
        <w:spacing w:before="0" w:beforeAutospacing="0" w:after="0" w:afterAutospacing="0" w:line="276" w:lineRule="auto"/>
        <w:jc w:val="both"/>
        <w:textAlignment w:val="baseline"/>
        <w:rPr>
          <w:rStyle w:val="normaltextrun"/>
        </w:rPr>
      </w:pPr>
      <w:r w:rsidRPr="00411557">
        <w:rPr>
          <w:rStyle w:val="normaltextrun"/>
        </w:rPr>
        <w:t xml:space="preserve">Strukturne promjene u smještajnoj ponudi ključne su za ublažavanje </w:t>
      </w:r>
      <w:proofErr w:type="spellStart"/>
      <w:r w:rsidRPr="00411557">
        <w:rPr>
          <w:rStyle w:val="normaltextrun"/>
        </w:rPr>
        <w:t>sezonalnosti</w:t>
      </w:r>
      <w:proofErr w:type="spellEnd"/>
      <w:r w:rsidRPr="00411557">
        <w:rPr>
          <w:rStyle w:val="normaltextrun"/>
        </w:rPr>
        <w:t xml:space="preserve">, otvaranje cjelogodišnjih radnih mjesta te razvoj turističkih proizvoda visoke dodane vrijednosti. </w:t>
      </w:r>
      <w:r>
        <w:rPr>
          <w:rStyle w:val="normaltextrun"/>
        </w:rPr>
        <w:t>Tijekom</w:t>
      </w:r>
      <w:r w:rsidRPr="00411557">
        <w:rPr>
          <w:rStyle w:val="normaltextrun"/>
        </w:rPr>
        <w:t xml:space="preserve"> 2024. nastavljen je trend povećanja udjela hotela visoke kategorije u ukupnim </w:t>
      </w:r>
      <w:r>
        <w:rPr>
          <w:rStyle w:val="normaltextrun"/>
        </w:rPr>
        <w:t xml:space="preserve">smještajnim </w:t>
      </w:r>
      <w:r w:rsidRPr="00411557">
        <w:rPr>
          <w:rStyle w:val="normaltextrun"/>
        </w:rPr>
        <w:t>kapacitetima</w:t>
      </w:r>
      <w:r>
        <w:rPr>
          <w:rStyle w:val="normaltextrun"/>
        </w:rPr>
        <w:t xml:space="preserve"> te je</w:t>
      </w:r>
      <w:r w:rsidRPr="00411557">
        <w:rPr>
          <w:rStyle w:val="normaltextrun"/>
        </w:rPr>
        <w:t xml:space="preserve"> udio hotela kategorije 4 i 5 zvjezdica dosegnuo 57% </w:t>
      </w:r>
      <w:r>
        <w:rPr>
          <w:rStyle w:val="normaltextrun"/>
        </w:rPr>
        <w:t>hotelskih kapaciteta, dok je i</w:t>
      </w:r>
      <w:r w:rsidRPr="00411557">
        <w:rPr>
          <w:rStyle w:val="normaltextrun"/>
        </w:rPr>
        <w:t xml:space="preserve">stodobno </w:t>
      </w:r>
      <w:r>
        <w:rPr>
          <w:rStyle w:val="normaltextrun"/>
        </w:rPr>
        <w:t>za</w:t>
      </w:r>
      <w:r w:rsidRPr="00411557">
        <w:rPr>
          <w:rStyle w:val="normaltextrun"/>
        </w:rPr>
        <w:t>biljež</w:t>
      </w:r>
      <w:r>
        <w:rPr>
          <w:rStyle w:val="normaltextrun"/>
        </w:rPr>
        <w:t>en</w:t>
      </w:r>
      <w:r w:rsidRPr="00411557">
        <w:rPr>
          <w:rStyle w:val="normaltextrun"/>
        </w:rPr>
        <w:t xml:space="preserve"> pad udjela hotela </w:t>
      </w:r>
      <w:r>
        <w:rPr>
          <w:rStyle w:val="normaltextrun"/>
        </w:rPr>
        <w:t>kategorije</w:t>
      </w:r>
      <w:r w:rsidRPr="00411557">
        <w:rPr>
          <w:rStyle w:val="normaltextrun"/>
        </w:rPr>
        <w:t xml:space="preserve"> 2 i 3 zvjezdice</w:t>
      </w:r>
      <w:r>
        <w:rPr>
          <w:rStyle w:val="normaltextrun"/>
        </w:rPr>
        <w:t xml:space="preserve">. Istovremeno je porastao i udio hotelskih kapaciteta u ukupnim smještajnim kapacitetima na 14,6%. </w:t>
      </w:r>
      <w:r w:rsidRPr="006E76BA">
        <w:rPr>
          <w:rStyle w:val="normaltextrun"/>
        </w:rPr>
        <w:t xml:space="preserve">Navedeni trend potvrđuje postupnu tranziciju prema smještajnoj ponudi više kvalitete, pri čemu </w:t>
      </w:r>
      <w:r>
        <w:rPr>
          <w:rStyle w:val="normaltextrun"/>
        </w:rPr>
        <w:t xml:space="preserve">je vidljivo da </w:t>
      </w:r>
      <w:r w:rsidRPr="006E76BA">
        <w:rPr>
          <w:rStyle w:val="normaltextrun"/>
        </w:rPr>
        <w:t>ulaganja potaknuta nacionalnim programima i mjerama</w:t>
      </w:r>
      <w:r>
        <w:rPr>
          <w:rStyle w:val="normaltextrun"/>
        </w:rPr>
        <w:t xml:space="preserve"> za</w:t>
      </w:r>
      <w:r w:rsidRPr="0023292F">
        <w:rPr>
          <w:rStyle w:val="normaltextrun"/>
        </w:rPr>
        <w:t xml:space="preserve"> podizanje konkurentnosti,</w:t>
      </w:r>
      <w:r w:rsidRPr="006E76BA">
        <w:rPr>
          <w:rStyle w:val="normaltextrun"/>
        </w:rPr>
        <w:t xml:space="preserve"> doprinose modernizaciji objekata, uvođenju zelenih i digitalnih rješenja te podizanju standarda usluge</w:t>
      </w:r>
      <w:r>
        <w:rPr>
          <w:rStyle w:val="normaltextrun"/>
        </w:rPr>
        <w:t>.</w:t>
      </w:r>
      <w:r w:rsidRPr="006E76BA">
        <w:rPr>
          <w:rStyle w:val="normaltextrun"/>
        </w:rPr>
        <w:t xml:space="preserve"> </w:t>
      </w:r>
      <w:r>
        <w:rPr>
          <w:rStyle w:val="normaltextrun"/>
        </w:rPr>
        <w:t>Ov</w:t>
      </w:r>
      <w:r w:rsidRPr="006E76BA">
        <w:rPr>
          <w:rStyle w:val="normaltextrun"/>
        </w:rPr>
        <w:t xml:space="preserve">ime se jača konkurentnost hrvatskog turizma kroz </w:t>
      </w:r>
      <w:r>
        <w:rPr>
          <w:rStyle w:val="normaltextrun"/>
        </w:rPr>
        <w:t xml:space="preserve">povećanje </w:t>
      </w:r>
      <w:r w:rsidRPr="006E76BA">
        <w:rPr>
          <w:rStyle w:val="normaltextrun"/>
        </w:rPr>
        <w:t>ponud</w:t>
      </w:r>
      <w:r>
        <w:rPr>
          <w:rStyle w:val="normaltextrun"/>
        </w:rPr>
        <w:t>e</w:t>
      </w:r>
      <w:r w:rsidRPr="006E76BA">
        <w:rPr>
          <w:rStyle w:val="normaltextrun"/>
        </w:rPr>
        <w:t xml:space="preserve"> višeg </w:t>
      </w:r>
      <w:r>
        <w:rPr>
          <w:rStyle w:val="normaltextrun"/>
        </w:rPr>
        <w:t>standarda, čime se</w:t>
      </w:r>
      <w:r w:rsidRPr="006E76BA">
        <w:rPr>
          <w:rStyle w:val="normaltextrun"/>
        </w:rPr>
        <w:t xml:space="preserve"> privlači goste veće platežne moći i </w:t>
      </w:r>
      <w:r>
        <w:rPr>
          <w:rStyle w:val="normaltextrun"/>
        </w:rPr>
        <w:t>doprinosi</w:t>
      </w:r>
      <w:r w:rsidRPr="006E76BA">
        <w:rPr>
          <w:rStyle w:val="normaltextrun"/>
        </w:rPr>
        <w:t xml:space="preserve"> produljenj</w:t>
      </w:r>
      <w:r>
        <w:rPr>
          <w:rStyle w:val="normaltextrun"/>
        </w:rPr>
        <w:t>u</w:t>
      </w:r>
      <w:r w:rsidRPr="006E76BA">
        <w:rPr>
          <w:rStyle w:val="normaltextrun"/>
        </w:rPr>
        <w:t xml:space="preserve"> turističke sezone.</w:t>
      </w:r>
      <w:r>
        <w:rPr>
          <w:rStyle w:val="normaltextrun"/>
        </w:rPr>
        <w:t xml:space="preserve"> </w:t>
      </w:r>
      <w:r w:rsidRPr="006E76BA" w:rsidDel="00754218">
        <w:rPr>
          <w:rStyle w:val="normaltextrun"/>
        </w:rPr>
        <w:t xml:space="preserve"> </w:t>
      </w:r>
    </w:p>
    <w:p w14:paraId="2F364E63" w14:textId="77777777" w:rsidR="00FB178A" w:rsidRDefault="00FB178A" w:rsidP="00FB178A">
      <w:pPr>
        <w:pStyle w:val="paragraph"/>
        <w:spacing w:before="240" w:beforeAutospacing="0" w:after="240" w:afterAutospacing="0" w:line="276" w:lineRule="auto"/>
        <w:jc w:val="both"/>
        <w:textAlignment w:val="baseline"/>
      </w:pPr>
      <w:r w:rsidRPr="008E06B9">
        <w:t xml:space="preserve">Nastavljena su ulaganja u </w:t>
      </w:r>
      <w:r w:rsidRPr="0004221B">
        <w:rPr>
          <w:rStyle w:val="Strong"/>
          <w:b w:val="0"/>
          <w:bCs w:val="0"/>
        </w:rPr>
        <w:t>digitalizaciju poslovnih procesa</w:t>
      </w:r>
      <w:r w:rsidRPr="008E06B9">
        <w:t xml:space="preserve"> unutar javne uprave i turističkog sektora</w:t>
      </w:r>
      <w:r>
        <w:t xml:space="preserve">, s ciljem postizanja </w:t>
      </w:r>
      <w:r w:rsidRPr="008E06B9">
        <w:t>bolj</w:t>
      </w:r>
      <w:r>
        <w:t>e</w:t>
      </w:r>
      <w:r w:rsidRPr="008E06B9">
        <w:t xml:space="preserve"> i inovativn</w:t>
      </w:r>
      <w:r>
        <w:t>ije</w:t>
      </w:r>
      <w:r w:rsidRPr="008E06B9">
        <w:t xml:space="preserve"> upotreb</w:t>
      </w:r>
      <w:r>
        <w:t>e</w:t>
      </w:r>
      <w:r w:rsidRPr="008E06B9">
        <w:t xml:space="preserve"> podataka, smanjenj</w:t>
      </w:r>
      <w:r>
        <w:t>a</w:t>
      </w:r>
      <w:r w:rsidRPr="008E06B9">
        <w:t xml:space="preserve"> administrativnog opterećenja </w:t>
      </w:r>
      <w:r>
        <w:t>te</w:t>
      </w:r>
      <w:r w:rsidRPr="008E06B9">
        <w:t xml:space="preserve"> razvoj</w:t>
      </w:r>
      <w:r>
        <w:t>a</w:t>
      </w:r>
      <w:r w:rsidRPr="008E06B9">
        <w:t xml:space="preserve"> pametnog turizma. </w:t>
      </w:r>
      <w:r w:rsidRPr="007D51E4">
        <w:t xml:space="preserve">U </w:t>
      </w:r>
      <w:r>
        <w:t>okviru</w:t>
      </w:r>
      <w:r w:rsidRPr="007D51E4">
        <w:t xml:space="preserve"> poticanja inovacija i digitalne transformacije turizma, tijekom 2024. potpisano je 15 ugovora za </w:t>
      </w:r>
      <w:r>
        <w:t xml:space="preserve">provedbu </w:t>
      </w:r>
      <w:r w:rsidRPr="007D51E4">
        <w:t>projek</w:t>
      </w:r>
      <w:r>
        <w:t>a</w:t>
      </w:r>
      <w:r w:rsidRPr="007D51E4">
        <w:t>t</w:t>
      </w:r>
      <w:r>
        <w:t>a</w:t>
      </w:r>
      <w:r w:rsidRPr="007D51E4">
        <w:t xml:space="preserve"> istraživanja, razvoja i inovacija </w:t>
      </w:r>
      <w:r>
        <w:t xml:space="preserve">u turizmu, </w:t>
      </w:r>
      <w:r w:rsidRPr="007D51E4">
        <w:t>ukupne vrijednosti 11,9 milijuna eura</w:t>
      </w:r>
      <w:r>
        <w:t xml:space="preserve">. Projekti su usmjereni na </w:t>
      </w:r>
      <w:r w:rsidRPr="007D51E4">
        <w:t xml:space="preserve">razvoj novih proizvoda, usluga i poslovnih modela </w:t>
      </w:r>
      <w:r>
        <w:t>z</w:t>
      </w:r>
      <w:r w:rsidRPr="007D51E4">
        <w:t>a zelenu i digitalnu tranziciju</w:t>
      </w:r>
      <w:r>
        <w:t xml:space="preserve"> turističkog </w:t>
      </w:r>
      <w:r w:rsidRPr="007D51E4">
        <w:t>sektora te jačanje njegove konkurentnosti.</w:t>
      </w:r>
      <w:r>
        <w:t xml:space="preserve"> </w:t>
      </w:r>
      <w:r w:rsidRPr="0090531E">
        <w:t>Radi unaprjeđenja administrativnih procesa u turizmu, tijekom 2024. izrađene su tehničke specifikacije za nadogradnju sustava e</w:t>
      </w:r>
      <w:r>
        <w:t>-</w:t>
      </w:r>
      <w:r w:rsidRPr="0090531E">
        <w:t>Turizam, čime se stvaraju preduvjeti za uvođenje novih e-usluga koje će pojednostaviti i ubrzati postupke za građane i poduzetnike te smanjiti administrativn</w:t>
      </w:r>
      <w:r>
        <w:t xml:space="preserve">o opterećenje. </w:t>
      </w:r>
      <w:r w:rsidRPr="00C0097D">
        <w:t>Uz nadogradnju e-usluga, tijekom 2024. izrađene su tehničke specifikacije za nove digitalne alate za upravljanje turističkim destinacijama, praćenje pokazatelja održivosti i sustav poslovne inteligencije (BI)</w:t>
      </w:r>
      <w:r>
        <w:t>. N</w:t>
      </w:r>
      <w:r w:rsidRPr="00C0097D">
        <w:t>avedeni alati omogućit će optimizaciju turističkih tokova, učinkovitije upravljanje resursima te ublažavanje negativnih učinaka masovnog turizma, dok će BI sustav pružiti objedinjene podatke i analitičku podršku za donošenje odluka, uz očekivanu potpunu operativnost do</w:t>
      </w:r>
      <w:r>
        <w:t xml:space="preserve"> kraja</w:t>
      </w:r>
      <w:r w:rsidRPr="00C0097D">
        <w:t xml:space="preserve"> 2026.</w:t>
      </w:r>
      <w:r>
        <w:t xml:space="preserve"> godine.</w:t>
      </w:r>
    </w:p>
    <w:p w14:paraId="5169F4DF" w14:textId="77777777" w:rsidR="00FB178A" w:rsidRDefault="00FB178A" w:rsidP="00FB178A">
      <w:pPr>
        <w:pStyle w:val="paragraph"/>
        <w:spacing w:before="0" w:beforeAutospacing="0" w:after="240" w:afterAutospacing="0" w:line="276" w:lineRule="auto"/>
        <w:jc w:val="both"/>
        <w:textAlignment w:val="baseline"/>
        <w:rPr>
          <w:rStyle w:val="normaltextrun"/>
        </w:rPr>
      </w:pPr>
      <w:r w:rsidRPr="00B411DC">
        <w:rPr>
          <w:rStyle w:val="normaltextrun"/>
        </w:rPr>
        <w:t xml:space="preserve">S ciljem jačanja otpornosti turizma na klimatske promjene i smanjenja njegovog ugljičnog otiska, u 2024. </w:t>
      </w:r>
      <w:r>
        <w:rPr>
          <w:rStyle w:val="normaltextrun"/>
        </w:rPr>
        <w:t>su nastavljeni napori</w:t>
      </w:r>
      <w:r w:rsidRPr="00B411DC">
        <w:rPr>
          <w:rStyle w:val="normaltextrun"/>
        </w:rPr>
        <w:t xml:space="preserve"> usmjereni na održivi i klimatski odgovoran razvoj </w:t>
      </w:r>
      <w:r>
        <w:rPr>
          <w:rStyle w:val="normaltextrun"/>
        </w:rPr>
        <w:t>turizma</w:t>
      </w:r>
      <w:r w:rsidRPr="00B411DC">
        <w:rPr>
          <w:rStyle w:val="normaltextrun"/>
        </w:rPr>
        <w:t xml:space="preserve">. </w:t>
      </w:r>
      <w:r>
        <w:rPr>
          <w:rStyle w:val="normaltextrun"/>
        </w:rPr>
        <w:lastRenderedPageBreak/>
        <w:t>D</w:t>
      </w:r>
      <w:r w:rsidRPr="00E1007F">
        <w:rPr>
          <w:rStyle w:val="normaltextrun"/>
        </w:rPr>
        <w:t>odijel</w:t>
      </w:r>
      <w:r>
        <w:rPr>
          <w:rStyle w:val="normaltextrun"/>
        </w:rPr>
        <w:t>jeno</w:t>
      </w:r>
      <w:r w:rsidRPr="00E1007F">
        <w:rPr>
          <w:rStyle w:val="normaltextrun"/>
        </w:rPr>
        <w:t xml:space="preserve"> je 317 potpora </w:t>
      </w:r>
      <w:r>
        <w:rPr>
          <w:rStyle w:val="normaltextrun"/>
        </w:rPr>
        <w:t xml:space="preserve">male vrijednosti </w:t>
      </w:r>
      <w:r w:rsidRPr="00E1007F">
        <w:rPr>
          <w:rStyle w:val="normaltextrun"/>
        </w:rPr>
        <w:t>subjektima malog gospodarstva i obiteljskim poljoprivrednim gospodarstvima</w:t>
      </w:r>
      <w:r>
        <w:rPr>
          <w:rStyle w:val="normaltextrun"/>
        </w:rPr>
        <w:t xml:space="preserve"> u</w:t>
      </w:r>
      <w:r w:rsidRPr="00E1007F">
        <w:rPr>
          <w:rStyle w:val="normaltextrun"/>
        </w:rPr>
        <w:t xml:space="preserve"> ukupnom iznosu od 3,3 milijuna eura, </w:t>
      </w:r>
      <w:r>
        <w:rPr>
          <w:rStyle w:val="normaltextrun"/>
        </w:rPr>
        <w:t>z</w:t>
      </w:r>
      <w:r w:rsidRPr="00E1007F">
        <w:rPr>
          <w:rStyle w:val="normaltextrun"/>
        </w:rPr>
        <w:t>a razvoj održivih i inovativnih turističkih proizvoda, uvođenje okolišno prihvatljivih poslovnih praksi, poticanje kružnog gospodarstva te povećanje energetske učinkovitosti u turizmu.</w:t>
      </w:r>
      <w:r>
        <w:rPr>
          <w:rStyle w:val="normaltextrun"/>
        </w:rPr>
        <w:t xml:space="preserve"> N</w:t>
      </w:r>
      <w:r w:rsidRPr="00B411DC">
        <w:rPr>
          <w:rStyle w:val="normaltextrun"/>
        </w:rPr>
        <w:t>astav</w:t>
      </w:r>
      <w:r>
        <w:rPr>
          <w:rStyle w:val="normaltextrun"/>
        </w:rPr>
        <w:t>ljena</w:t>
      </w:r>
      <w:r w:rsidRPr="00B411DC">
        <w:rPr>
          <w:rStyle w:val="normaltextrun"/>
        </w:rPr>
        <w:t xml:space="preserve"> je provedb</w:t>
      </w:r>
      <w:r>
        <w:rPr>
          <w:rStyle w:val="normaltextrun"/>
        </w:rPr>
        <w:t>a</w:t>
      </w:r>
      <w:r w:rsidRPr="00B411DC">
        <w:rPr>
          <w:rStyle w:val="normaltextrun"/>
        </w:rPr>
        <w:t xml:space="preserve"> edukativnog programa „Jačanje otpornosti turizma na klimatske promjene“, pri čemu je tijekom 2024. održano pet radionica</w:t>
      </w:r>
      <w:r>
        <w:rPr>
          <w:rStyle w:val="normaltextrun"/>
        </w:rPr>
        <w:t xml:space="preserve"> o mogućnostima prilagodbe klimatskim promjenama na kojima je sudjelovalo</w:t>
      </w:r>
      <w:r w:rsidRPr="00B411DC">
        <w:rPr>
          <w:rStyle w:val="normaltextrun"/>
        </w:rPr>
        <w:t xml:space="preserve"> 275 </w:t>
      </w:r>
      <w:r>
        <w:rPr>
          <w:rStyle w:val="normaltextrun"/>
        </w:rPr>
        <w:t>turističkih djelatnika.</w:t>
      </w:r>
      <w:r w:rsidRPr="00B411DC">
        <w:rPr>
          <w:rStyle w:val="normaltextrun"/>
        </w:rPr>
        <w:t xml:space="preserve"> Istodobno, kroz javni poziv za razvoj javne turističke infrastrukture</w:t>
      </w:r>
      <w:r>
        <w:rPr>
          <w:rStyle w:val="normaltextrun"/>
        </w:rPr>
        <w:t xml:space="preserve"> usklađene s načelima održivog razvoja, iznosom od 945 000 eura</w:t>
      </w:r>
      <w:r w:rsidRPr="00B411DC">
        <w:rPr>
          <w:rStyle w:val="normaltextrun"/>
        </w:rPr>
        <w:t xml:space="preserve"> </w:t>
      </w:r>
      <w:r>
        <w:rPr>
          <w:rStyle w:val="normaltextrun"/>
        </w:rPr>
        <w:t>su</w:t>
      </w:r>
      <w:r w:rsidRPr="00B411DC">
        <w:rPr>
          <w:rStyle w:val="normaltextrun"/>
        </w:rPr>
        <w:t>financiran</w:t>
      </w:r>
      <w:r>
        <w:rPr>
          <w:rStyle w:val="normaltextrun"/>
        </w:rPr>
        <w:t>o je 14</w:t>
      </w:r>
      <w:r w:rsidRPr="00B411DC">
        <w:rPr>
          <w:rStyle w:val="normaltextrun"/>
        </w:rPr>
        <w:t xml:space="preserve"> projek</w:t>
      </w:r>
      <w:r>
        <w:rPr>
          <w:rStyle w:val="normaltextrun"/>
        </w:rPr>
        <w:t>a</w:t>
      </w:r>
      <w:r w:rsidRPr="00B411DC">
        <w:rPr>
          <w:rStyle w:val="normaltextrun"/>
        </w:rPr>
        <w:t>t</w:t>
      </w:r>
      <w:r>
        <w:rPr>
          <w:rStyle w:val="normaltextrun"/>
        </w:rPr>
        <w:t>a</w:t>
      </w:r>
      <w:r w:rsidRPr="00B411DC">
        <w:rPr>
          <w:rStyle w:val="normaltextrun"/>
        </w:rPr>
        <w:t xml:space="preserve"> koji doprinose </w:t>
      </w:r>
      <w:proofErr w:type="spellStart"/>
      <w:r w:rsidRPr="00B411DC">
        <w:rPr>
          <w:rStyle w:val="normaltextrun"/>
        </w:rPr>
        <w:t>dekarbonizaciji</w:t>
      </w:r>
      <w:proofErr w:type="spellEnd"/>
      <w:r w:rsidRPr="00B411DC">
        <w:rPr>
          <w:rStyle w:val="normaltextrun"/>
        </w:rPr>
        <w:t xml:space="preserve"> turizma</w:t>
      </w:r>
      <w:r>
        <w:rPr>
          <w:rStyle w:val="normaltextrun"/>
        </w:rPr>
        <w:t xml:space="preserve"> </w:t>
      </w:r>
      <w:r w:rsidRPr="00172954">
        <w:rPr>
          <w:rStyle w:val="normaltextrun"/>
        </w:rPr>
        <w:t>u</w:t>
      </w:r>
      <w:r>
        <w:rPr>
          <w:rStyle w:val="normaltextrun"/>
        </w:rPr>
        <w:t xml:space="preserve"> </w:t>
      </w:r>
      <w:r w:rsidRPr="00172954">
        <w:rPr>
          <w:rStyle w:val="normaltextrun"/>
        </w:rPr>
        <w:t>skla</w:t>
      </w:r>
      <w:r>
        <w:rPr>
          <w:rStyle w:val="normaltextrun"/>
        </w:rPr>
        <w:t xml:space="preserve">du </w:t>
      </w:r>
      <w:r w:rsidRPr="00172954">
        <w:rPr>
          <w:rStyle w:val="normaltextrun"/>
        </w:rPr>
        <w:t>s metodologijom EU za praćenje klimatskih mjer</w:t>
      </w:r>
      <w:r>
        <w:rPr>
          <w:rStyle w:val="normaltextrun"/>
        </w:rPr>
        <w:t>a</w:t>
      </w:r>
      <w:r w:rsidRPr="00B411DC">
        <w:rPr>
          <w:rStyle w:val="normaltextrun"/>
        </w:rPr>
        <w:t>. Dodatno, kroz inicijativu „Hrvatska prirodno tvoja“ zasađeno je 1.8</w:t>
      </w:r>
      <w:r>
        <w:rPr>
          <w:rStyle w:val="normaltextrun"/>
        </w:rPr>
        <w:t>00</w:t>
      </w:r>
      <w:r w:rsidRPr="00B411DC">
        <w:rPr>
          <w:rStyle w:val="normaltextrun"/>
        </w:rPr>
        <w:t xml:space="preserve"> sadnica</w:t>
      </w:r>
      <w:r w:rsidRPr="004537CC">
        <w:t xml:space="preserve"> </w:t>
      </w:r>
      <w:r w:rsidRPr="004537CC">
        <w:rPr>
          <w:rStyle w:val="normaltextrun"/>
        </w:rPr>
        <w:t>autohtonih</w:t>
      </w:r>
      <w:r>
        <w:rPr>
          <w:rStyle w:val="normaltextrun"/>
        </w:rPr>
        <w:t xml:space="preserve"> stabala</w:t>
      </w:r>
      <w:r w:rsidRPr="00B411DC">
        <w:rPr>
          <w:rStyle w:val="normaltextrun"/>
        </w:rPr>
        <w:t xml:space="preserve"> uz financijsku podršku od približno 126</w:t>
      </w:r>
      <w:r>
        <w:rPr>
          <w:rStyle w:val="normaltextrun"/>
        </w:rPr>
        <w:t>.000</w:t>
      </w:r>
      <w:r w:rsidRPr="00B411DC">
        <w:rPr>
          <w:rStyle w:val="normaltextrun"/>
        </w:rPr>
        <w:t xml:space="preserve"> eura, pridonoseći smanjenju emisija CO₂ i očuvanju prirodne baštine turističkih destinacija.</w:t>
      </w:r>
      <w:r>
        <w:rPr>
          <w:rStyle w:val="normaltextrun"/>
        </w:rPr>
        <w:t xml:space="preserve"> T</w:t>
      </w:r>
      <w:r w:rsidRPr="00FF79BD">
        <w:rPr>
          <w:rStyle w:val="normaltextrun"/>
        </w:rPr>
        <w:t xml:space="preserve">emeljem Sporazuma o dugoročnoj suradnji na razvoju i uređenju planinarske infrastrukture u funkciji turizma, </w:t>
      </w:r>
      <w:r>
        <w:rPr>
          <w:rStyle w:val="normaltextrun"/>
        </w:rPr>
        <w:t xml:space="preserve">u </w:t>
      </w:r>
      <w:r w:rsidRPr="00FF79BD">
        <w:rPr>
          <w:rStyle w:val="normaltextrun"/>
        </w:rPr>
        <w:t>2024. osigura</w:t>
      </w:r>
      <w:r>
        <w:rPr>
          <w:rStyle w:val="normaltextrun"/>
        </w:rPr>
        <w:t>no</w:t>
      </w:r>
      <w:r w:rsidRPr="00FF79BD">
        <w:rPr>
          <w:rStyle w:val="normaltextrun"/>
        </w:rPr>
        <w:t xml:space="preserve"> </w:t>
      </w:r>
      <w:r>
        <w:rPr>
          <w:rStyle w:val="normaltextrun"/>
        </w:rPr>
        <w:t xml:space="preserve">je </w:t>
      </w:r>
      <w:r w:rsidRPr="00FF79BD">
        <w:rPr>
          <w:rStyle w:val="normaltextrun"/>
        </w:rPr>
        <w:t>400</w:t>
      </w:r>
      <w:r>
        <w:rPr>
          <w:rStyle w:val="normaltextrun"/>
        </w:rPr>
        <w:t>.000</w:t>
      </w:r>
      <w:r w:rsidRPr="00FF79BD">
        <w:rPr>
          <w:rStyle w:val="normaltextrun"/>
        </w:rPr>
        <w:t xml:space="preserve"> eura za uređenje planinarskih staza i povezane infrastrukture</w:t>
      </w:r>
      <w:r>
        <w:rPr>
          <w:rStyle w:val="normaltextrun"/>
        </w:rPr>
        <w:t xml:space="preserve">, čime se </w:t>
      </w:r>
      <w:r w:rsidRPr="00FF79BD">
        <w:rPr>
          <w:rStyle w:val="normaltextrun"/>
        </w:rPr>
        <w:t>doprinos</w:t>
      </w:r>
      <w:r>
        <w:rPr>
          <w:rStyle w:val="normaltextrun"/>
        </w:rPr>
        <w:t>i</w:t>
      </w:r>
      <w:r w:rsidRPr="00FF79BD">
        <w:rPr>
          <w:rStyle w:val="normaltextrun"/>
        </w:rPr>
        <w:t xml:space="preserve"> </w:t>
      </w:r>
      <w:r>
        <w:rPr>
          <w:rStyle w:val="normaltextrun"/>
        </w:rPr>
        <w:t>poboljšanju</w:t>
      </w:r>
      <w:r w:rsidRPr="00FF79BD">
        <w:rPr>
          <w:rStyle w:val="normaltextrun"/>
        </w:rPr>
        <w:t xml:space="preserve"> turističke ponude</w:t>
      </w:r>
      <w:r>
        <w:rPr>
          <w:rStyle w:val="normaltextrun"/>
        </w:rPr>
        <w:t xml:space="preserve"> </w:t>
      </w:r>
      <w:r w:rsidRPr="00FF79BD">
        <w:rPr>
          <w:rStyle w:val="normaltextrun"/>
        </w:rPr>
        <w:t>i podizanju kvalitete infrastrukture.</w:t>
      </w:r>
    </w:p>
    <w:p w14:paraId="68E3DEBC" w14:textId="77777777" w:rsidR="00FB178A" w:rsidRDefault="00FB178A" w:rsidP="00FB178A">
      <w:pPr>
        <w:pStyle w:val="paragraph"/>
        <w:spacing w:before="0" w:beforeAutospacing="0" w:after="0" w:afterAutospacing="0" w:line="276" w:lineRule="auto"/>
        <w:jc w:val="both"/>
        <w:textAlignment w:val="baseline"/>
        <w:rPr>
          <w:rStyle w:val="normaltextrun"/>
        </w:rPr>
      </w:pPr>
      <w:r>
        <w:rPr>
          <w:rStyle w:val="normaltextrun"/>
        </w:rPr>
        <w:t>P</w:t>
      </w:r>
      <w:r w:rsidRPr="00781DEF">
        <w:rPr>
          <w:rStyle w:val="normaltextrun"/>
        </w:rPr>
        <w:t xml:space="preserve">ovećanje sigurnosti posjetitelja i </w:t>
      </w:r>
      <w:r>
        <w:rPr>
          <w:rStyle w:val="normaltextrun"/>
        </w:rPr>
        <w:t xml:space="preserve">jačanje </w:t>
      </w:r>
      <w:r w:rsidRPr="00781DEF">
        <w:rPr>
          <w:rStyle w:val="normaltextrun"/>
        </w:rPr>
        <w:t>otpornosti turističkog sektora na krizne situacije predstavlja jedan od prioriteta</w:t>
      </w:r>
      <w:r>
        <w:rPr>
          <w:rStyle w:val="normaltextrun"/>
        </w:rPr>
        <w:t xml:space="preserve"> razvoja održivog turizma</w:t>
      </w:r>
      <w:r w:rsidRPr="00781DEF">
        <w:rPr>
          <w:rStyle w:val="normaltextrun"/>
        </w:rPr>
        <w:t xml:space="preserve">, zbog čega se kontinuirano ulaže u jačanje hitnih službi i preventivnih mehanizama. </w:t>
      </w:r>
      <w:r w:rsidRPr="00D10934">
        <w:rPr>
          <w:rStyle w:val="normaltextrun"/>
        </w:rPr>
        <w:t xml:space="preserve">Radi osiguranja visokog stupnja zdravstvene sigurnosti posjetitelja </w:t>
      </w:r>
      <w:r w:rsidRPr="00781DEF">
        <w:rPr>
          <w:rStyle w:val="normaltextrun"/>
        </w:rPr>
        <w:t>sufinancira</w:t>
      </w:r>
      <w:r>
        <w:rPr>
          <w:rStyle w:val="normaltextrun"/>
        </w:rPr>
        <w:t>ni su</w:t>
      </w:r>
      <w:r w:rsidRPr="00781DEF">
        <w:rPr>
          <w:rStyle w:val="normaltextrun"/>
        </w:rPr>
        <w:t xml:space="preserve"> dodatn</w:t>
      </w:r>
      <w:r>
        <w:rPr>
          <w:rStyle w:val="normaltextrun"/>
        </w:rPr>
        <w:t>i</w:t>
      </w:r>
      <w:r w:rsidRPr="00781DEF">
        <w:rPr>
          <w:rStyle w:val="normaltextrun"/>
        </w:rPr>
        <w:t xml:space="preserve"> timov</w:t>
      </w:r>
      <w:r>
        <w:rPr>
          <w:rStyle w:val="normaltextrun"/>
        </w:rPr>
        <w:t>i</w:t>
      </w:r>
      <w:r w:rsidRPr="00781DEF">
        <w:rPr>
          <w:rStyle w:val="normaltextrun"/>
        </w:rPr>
        <w:t xml:space="preserve"> hitne medicinske pomoći tijekom turističke sezone, za što je </w:t>
      </w:r>
      <w:r>
        <w:rPr>
          <w:rStyle w:val="normaltextrun"/>
        </w:rPr>
        <w:t xml:space="preserve">tijekom </w:t>
      </w:r>
      <w:r w:rsidRPr="00781DEF">
        <w:rPr>
          <w:rStyle w:val="normaltextrun"/>
        </w:rPr>
        <w:t xml:space="preserve">2024. izdvojeno 340 </w:t>
      </w:r>
      <w:r>
        <w:rPr>
          <w:rStyle w:val="normaltextrun"/>
        </w:rPr>
        <w:t>000</w:t>
      </w:r>
      <w:r w:rsidRPr="00781DEF">
        <w:rPr>
          <w:rStyle w:val="normaltextrun"/>
        </w:rPr>
        <w:t xml:space="preserve"> eura. Istodobno, u suradnji s Hrvatskom gorskom službom spašavanja</w:t>
      </w:r>
      <w:r>
        <w:rPr>
          <w:rStyle w:val="normaltextrun"/>
        </w:rPr>
        <w:t xml:space="preserve"> (HGSS)</w:t>
      </w:r>
      <w:r w:rsidRPr="00781DEF">
        <w:rPr>
          <w:rStyle w:val="normaltextrun"/>
        </w:rPr>
        <w:t xml:space="preserve"> provode se aktivnosti za podizanje sigurnosti u teško dostupnim, ali turistički atraktivnim područjima, pri čemu je </w:t>
      </w:r>
      <w:r>
        <w:rPr>
          <w:rStyle w:val="normaltextrun"/>
        </w:rPr>
        <w:t xml:space="preserve">tijekom 2024. </w:t>
      </w:r>
      <w:r w:rsidRPr="00781DEF">
        <w:rPr>
          <w:rStyle w:val="normaltextrun"/>
        </w:rPr>
        <w:t xml:space="preserve">HGSS-u dodijeljeno 340 </w:t>
      </w:r>
      <w:r>
        <w:rPr>
          <w:rStyle w:val="normaltextrun"/>
        </w:rPr>
        <w:t>000</w:t>
      </w:r>
      <w:r w:rsidRPr="00781DEF">
        <w:rPr>
          <w:rStyle w:val="normaltextrun"/>
        </w:rPr>
        <w:t xml:space="preserve"> eura za označavanje i osiguravanje staza, </w:t>
      </w:r>
      <w:r>
        <w:rPr>
          <w:rStyle w:val="normaltextrun"/>
        </w:rPr>
        <w:t>dežurstva i akcije spasilačkih timova</w:t>
      </w:r>
      <w:r w:rsidRPr="00781DEF">
        <w:rPr>
          <w:rStyle w:val="normaltextrun"/>
        </w:rPr>
        <w:t xml:space="preserve">, obuke </w:t>
      </w:r>
      <w:r>
        <w:rPr>
          <w:rStyle w:val="normaltextrun"/>
        </w:rPr>
        <w:t xml:space="preserve">pilota </w:t>
      </w:r>
      <w:r w:rsidRPr="00781DEF">
        <w:rPr>
          <w:rStyle w:val="normaltextrun"/>
        </w:rPr>
        <w:t>i razvoj</w:t>
      </w:r>
      <w:r>
        <w:rPr>
          <w:rStyle w:val="normaltextrun"/>
        </w:rPr>
        <w:t xml:space="preserve"> aplikacije „Sigurne staze“</w:t>
      </w:r>
      <w:r w:rsidRPr="00781DEF">
        <w:rPr>
          <w:rStyle w:val="normaltextrun"/>
        </w:rPr>
        <w:t xml:space="preserve">. </w:t>
      </w:r>
      <w:r>
        <w:rPr>
          <w:rStyle w:val="normaltextrun"/>
        </w:rPr>
        <w:t>K</w:t>
      </w:r>
      <w:r w:rsidRPr="00D73B7B">
        <w:rPr>
          <w:rStyle w:val="normaltextrun"/>
        </w:rPr>
        <w:t xml:space="preserve">ao rezultat višegodišnjeg rada na promicanju </w:t>
      </w:r>
      <w:proofErr w:type="spellStart"/>
      <w:r w:rsidRPr="00D73B7B">
        <w:rPr>
          <w:rStyle w:val="normaltextrun"/>
        </w:rPr>
        <w:t>inkluzivnih</w:t>
      </w:r>
      <w:proofErr w:type="spellEnd"/>
      <w:r w:rsidRPr="00D73B7B">
        <w:rPr>
          <w:rStyle w:val="normaltextrun"/>
        </w:rPr>
        <w:t xml:space="preserve"> turističkih usluga</w:t>
      </w:r>
      <w:r>
        <w:rPr>
          <w:rStyle w:val="normaltextrun"/>
        </w:rPr>
        <w:t>,</w:t>
      </w:r>
      <w:r w:rsidRPr="00D73B7B">
        <w:rPr>
          <w:rStyle w:val="normaltextrun"/>
        </w:rPr>
        <w:t xml:space="preserve"> </w:t>
      </w:r>
      <w:r>
        <w:rPr>
          <w:rStyle w:val="normaltextrun"/>
        </w:rPr>
        <w:t>u</w:t>
      </w:r>
      <w:r w:rsidRPr="00DC5484">
        <w:rPr>
          <w:rStyle w:val="normaltextrun"/>
        </w:rPr>
        <w:t xml:space="preserve"> suradnji s udrugama osob</w:t>
      </w:r>
      <w:r>
        <w:rPr>
          <w:rStyle w:val="normaltextrun"/>
        </w:rPr>
        <w:t>a</w:t>
      </w:r>
      <w:r w:rsidRPr="00DC5484">
        <w:rPr>
          <w:rStyle w:val="normaltextrun"/>
        </w:rPr>
        <w:t xml:space="preserve"> s invaliditetom, </w:t>
      </w:r>
      <w:r>
        <w:rPr>
          <w:rStyle w:val="normaltextrun"/>
        </w:rPr>
        <w:t xml:space="preserve"> </w:t>
      </w:r>
      <w:r w:rsidRPr="00DC5484">
        <w:rPr>
          <w:rStyle w:val="normaltextrun"/>
        </w:rPr>
        <w:t>objav</w:t>
      </w:r>
      <w:r>
        <w:rPr>
          <w:rStyle w:val="normaltextrun"/>
        </w:rPr>
        <w:t>ljen je</w:t>
      </w:r>
      <w:r w:rsidRPr="00DC5484">
        <w:rPr>
          <w:rStyle w:val="normaltextrun"/>
        </w:rPr>
        <w:t xml:space="preserve"> priručnik </w:t>
      </w:r>
      <w:r>
        <w:rPr>
          <w:rStyle w:val="normaltextrun"/>
        </w:rPr>
        <w:t>„</w:t>
      </w:r>
      <w:r w:rsidRPr="00DC5484">
        <w:rPr>
          <w:rStyle w:val="normaltextrun"/>
        </w:rPr>
        <w:t>Pristupačan turizam</w:t>
      </w:r>
      <w:r>
        <w:rPr>
          <w:rStyle w:val="normaltextrun"/>
        </w:rPr>
        <w:t>“</w:t>
      </w:r>
      <w:r w:rsidRPr="00DC5484">
        <w:rPr>
          <w:rStyle w:val="normaltextrun"/>
        </w:rPr>
        <w:t xml:space="preserve"> i pripadajući video-materijal</w:t>
      </w:r>
      <w:r>
        <w:rPr>
          <w:rStyle w:val="normaltextrun"/>
        </w:rPr>
        <w:t xml:space="preserve">i te su </w:t>
      </w:r>
      <w:r w:rsidRPr="00DC5484">
        <w:rPr>
          <w:rStyle w:val="normaltextrun"/>
        </w:rPr>
        <w:t>održan</w:t>
      </w:r>
      <w:r>
        <w:rPr>
          <w:rStyle w:val="normaltextrun"/>
        </w:rPr>
        <w:t>e</w:t>
      </w:r>
      <w:r w:rsidRPr="00DC5484">
        <w:rPr>
          <w:rStyle w:val="normaltextrun"/>
        </w:rPr>
        <w:t xml:space="preserve">  regionaln</w:t>
      </w:r>
      <w:r>
        <w:rPr>
          <w:rStyle w:val="normaltextrun"/>
        </w:rPr>
        <w:t>e</w:t>
      </w:r>
      <w:r w:rsidRPr="00DC5484">
        <w:rPr>
          <w:rStyle w:val="normaltextrun"/>
        </w:rPr>
        <w:t xml:space="preserve"> radionic</w:t>
      </w:r>
      <w:r>
        <w:rPr>
          <w:rStyle w:val="normaltextrun"/>
        </w:rPr>
        <w:t>e</w:t>
      </w:r>
      <w:r w:rsidRPr="00DC5484">
        <w:rPr>
          <w:rStyle w:val="normaltextrun"/>
        </w:rPr>
        <w:t xml:space="preserve"> i konferencij</w:t>
      </w:r>
      <w:r>
        <w:rPr>
          <w:rStyle w:val="normaltextrun"/>
        </w:rPr>
        <w:t>a</w:t>
      </w:r>
      <w:r w:rsidRPr="00DC5484">
        <w:rPr>
          <w:rStyle w:val="normaltextrun"/>
        </w:rPr>
        <w:t xml:space="preserve"> o pristupačnom turi</w:t>
      </w:r>
      <w:r>
        <w:rPr>
          <w:rStyle w:val="normaltextrun"/>
        </w:rPr>
        <w:t>zmu</w:t>
      </w:r>
      <w:r w:rsidRPr="00DC5484">
        <w:rPr>
          <w:rStyle w:val="normaltextrun"/>
        </w:rPr>
        <w:t xml:space="preserve">, čime se dodatno jačaju kapaciteti za razvoj </w:t>
      </w:r>
      <w:proofErr w:type="spellStart"/>
      <w:r w:rsidRPr="00DC5484">
        <w:rPr>
          <w:rStyle w:val="normaltextrun"/>
        </w:rPr>
        <w:t>inkluzivne</w:t>
      </w:r>
      <w:proofErr w:type="spellEnd"/>
      <w:r w:rsidRPr="00DC5484">
        <w:rPr>
          <w:rStyle w:val="normaltextrun"/>
        </w:rPr>
        <w:t xml:space="preserve"> turističke ponude.</w:t>
      </w:r>
      <w:r>
        <w:rPr>
          <w:rStyle w:val="normaltextrun"/>
        </w:rPr>
        <w:t xml:space="preserve"> </w:t>
      </w:r>
      <w:r w:rsidRPr="00781DEF">
        <w:rPr>
          <w:rStyle w:val="normaltextrun"/>
        </w:rPr>
        <w:t>Ov</w:t>
      </w:r>
      <w:r>
        <w:rPr>
          <w:rStyle w:val="normaltextrun"/>
        </w:rPr>
        <w:t>im aktivnostima</w:t>
      </w:r>
      <w:r w:rsidRPr="00781DEF">
        <w:rPr>
          <w:rStyle w:val="normaltextrun"/>
        </w:rPr>
        <w:t xml:space="preserve"> doprinos</w:t>
      </w:r>
      <w:r>
        <w:rPr>
          <w:rStyle w:val="normaltextrun"/>
        </w:rPr>
        <w:t>i se</w:t>
      </w:r>
      <w:r w:rsidRPr="00781DEF">
        <w:rPr>
          <w:rStyle w:val="normaltextrun"/>
        </w:rPr>
        <w:t xml:space="preserve"> jačanju sigurnosnih standarda te potvrđuj</w:t>
      </w:r>
      <w:r>
        <w:rPr>
          <w:rStyle w:val="normaltextrun"/>
        </w:rPr>
        <w:t>e se</w:t>
      </w:r>
      <w:r w:rsidRPr="00781DEF">
        <w:rPr>
          <w:rStyle w:val="normaltextrun"/>
        </w:rPr>
        <w:t xml:space="preserve"> reputacij</w:t>
      </w:r>
      <w:r>
        <w:rPr>
          <w:rStyle w:val="normaltextrun"/>
        </w:rPr>
        <w:t>a</w:t>
      </w:r>
      <w:r w:rsidRPr="00781DEF">
        <w:rPr>
          <w:rStyle w:val="normaltextrun"/>
        </w:rPr>
        <w:t xml:space="preserve"> Hrvatske kao sigurne</w:t>
      </w:r>
      <w:r>
        <w:rPr>
          <w:rStyle w:val="normaltextrun"/>
        </w:rPr>
        <w:t xml:space="preserve">, </w:t>
      </w:r>
      <w:r w:rsidRPr="00781DEF">
        <w:rPr>
          <w:rStyle w:val="normaltextrun"/>
        </w:rPr>
        <w:t xml:space="preserve">odgovorne </w:t>
      </w:r>
      <w:r>
        <w:rPr>
          <w:rStyle w:val="normaltextrun"/>
        </w:rPr>
        <w:t xml:space="preserve">i </w:t>
      </w:r>
      <w:proofErr w:type="spellStart"/>
      <w:r>
        <w:rPr>
          <w:rStyle w:val="normaltextrun"/>
        </w:rPr>
        <w:t>inkluzivne</w:t>
      </w:r>
      <w:proofErr w:type="spellEnd"/>
      <w:r>
        <w:rPr>
          <w:rStyle w:val="normaltextrun"/>
        </w:rPr>
        <w:t xml:space="preserve"> </w:t>
      </w:r>
      <w:r w:rsidRPr="00781DEF">
        <w:rPr>
          <w:rStyle w:val="normaltextrun"/>
        </w:rPr>
        <w:t>turističke destinacije.</w:t>
      </w:r>
    </w:p>
    <w:p w14:paraId="08E4B654" w14:textId="77777777" w:rsidR="00FB178A" w:rsidRPr="00145379" w:rsidRDefault="00FB178A" w:rsidP="00FB178A">
      <w:pPr>
        <w:widowControl/>
        <w:autoSpaceDE/>
        <w:autoSpaceDN/>
        <w:spacing w:before="240" w:line="276" w:lineRule="auto"/>
        <w:ind w:firstLine="709"/>
        <w:jc w:val="both"/>
        <w:rPr>
          <w:rFonts w:eastAsia="Calibri"/>
          <w:b/>
          <w:bCs/>
          <w:kern w:val="2"/>
          <w:sz w:val="24"/>
          <w:szCs w:val="24"/>
        </w:rPr>
      </w:pPr>
      <w:r w:rsidRPr="00145379">
        <w:rPr>
          <w:rFonts w:eastAsia="Calibri"/>
          <w:b/>
          <w:bCs/>
          <w:kern w:val="2"/>
          <w:sz w:val="24"/>
          <w:szCs w:val="24"/>
        </w:rPr>
        <w:t>Poticanje razvoja kulture i medija</w:t>
      </w:r>
    </w:p>
    <w:p w14:paraId="49337ACC" w14:textId="77777777" w:rsidR="00FB178A" w:rsidRDefault="00FB178A" w:rsidP="00FB178A">
      <w:pPr>
        <w:widowControl/>
        <w:autoSpaceDE/>
        <w:autoSpaceDN/>
        <w:spacing w:before="240" w:after="240" w:line="276" w:lineRule="auto"/>
        <w:ind w:firstLine="720"/>
        <w:jc w:val="both"/>
        <w:rPr>
          <w:rFonts w:eastAsia="Calibri"/>
          <w:sz w:val="24"/>
          <w:szCs w:val="24"/>
        </w:rPr>
      </w:pPr>
      <w:r w:rsidRPr="000F2A5F">
        <w:rPr>
          <w:rFonts w:eastAsia="Calibri"/>
          <w:sz w:val="24"/>
          <w:szCs w:val="24"/>
        </w:rPr>
        <w:t xml:space="preserve">Sektor kulture i medija </w:t>
      </w:r>
      <w:r>
        <w:rPr>
          <w:rFonts w:eastAsia="Calibri"/>
          <w:sz w:val="24"/>
          <w:szCs w:val="24"/>
        </w:rPr>
        <w:t xml:space="preserve">je </w:t>
      </w:r>
      <w:r w:rsidRPr="000F2A5F">
        <w:rPr>
          <w:rFonts w:eastAsia="Calibri"/>
          <w:sz w:val="24"/>
          <w:szCs w:val="24"/>
        </w:rPr>
        <w:t xml:space="preserve">tijekom 2024. nastavio značajno doprinositi društvenom razvoju i kulturnoj vitalnosti Hrvatske kroz provedbu </w:t>
      </w:r>
      <w:r>
        <w:rPr>
          <w:rFonts w:eastAsia="Calibri"/>
          <w:sz w:val="24"/>
          <w:szCs w:val="24"/>
        </w:rPr>
        <w:t xml:space="preserve">redovnih </w:t>
      </w:r>
      <w:r w:rsidRPr="000F2A5F">
        <w:rPr>
          <w:rFonts w:eastAsia="Calibri"/>
          <w:sz w:val="24"/>
          <w:szCs w:val="24"/>
        </w:rPr>
        <w:t xml:space="preserve">programskih i administrativnih aktivnosti te </w:t>
      </w:r>
      <w:r>
        <w:rPr>
          <w:rFonts w:eastAsia="Calibri"/>
          <w:sz w:val="24"/>
          <w:szCs w:val="24"/>
        </w:rPr>
        <w:t xml:space="preserve">poticanje </w:t>
      </w:r>
      <w:r w:rsidRPr="000F2A5F">
        <w:rPr>
          <w:rFonts w:eastAsia="Calibri"/>
          <w:sz w:val="24"/>
          <w:szCs w:val="24"/>
        </w:rPr>
        <w:t>sustavno</w:t>
      </w:r>
      <w:r>
        <w:rPr>
          <w:rFonts w:eastAsia="Calibri"/>
          <w:sz w:val="24"/>
          <w:szCs w:val="24"/>
        </w:rPr>
        <w:t>g</w:t>
      </w:r>
      <w:r w:rsidRPr="000F2A5F">
        <w:rPr>
          <w:rFonts w:eastAsia="Calibri"/>
          <w:sz w:val="24"/>
          <w:szCs w:val="24"/>
        </w:rPr>
        <w:t xml:space="preserve"> jačanj</w:t>
      </w:r>
      <w:r>
        <w:rPr>
          <w:rFonts w:eastAsia="Calibri"/>
          <w:sz w:val="24"/>
          <w:szCs w:val="24"/>
        </w:rPr>
        <w:t>a</w:t>
      </w:r>
      <w:r w:rsidRPr="000F2A5F">
        <w:rPr>
          <w:rFonts w:eastAsia="Calibri"/>
          <w:sz w:val="24"/>
          <w:szCs w:val="24"/>
        </w:rPr>
        <w:t xml:space="preserve"> kulturne infrastrukture, produkcije i dostupnosti kulturnih sadržaja. U okviru Programa javnih potreba u kulturi Republike Hrvatske </w:t>
      </w:r>
      <w:r>
        <w:rPr>
          <w:rFonts w:eastAsia="Calibri"/>
          <w:sz w:val="24"/>
          <w:szCs w:val="24"/>
        </w:rPr>
        <w:t xml:space="preserve">za 2024. godinu </w:t>
      </w:r>
      <w:r w:rsidRPr="000F2A5F">
        <w:rPr>
          <w:rFonts w:eastAsia="Calibri"/>
          <w:sz w:val="24"/>
          <w:szCs w:val="24"/>
        </w:rPr>
        <w:t xml:space="preserve">osigurano je i isplaćeno 48,5 milijuna eura za redovni javni poziv te dodatnih 9,1 milijun eura za posebne programe, čime je omogućena </w:t>
      </w:r>
      <w:r>
        <w:rPr>
          <w:rFonts w:eastAsia="Calibri"/>
          <w:sz w:val="24"/>
          <w:szCs w:val="24"/>
        </w:rPr>
        <w:t>provedba</w:t>
      </w:r>
      <w:r w:rsidRPr="000F2A5F">
        <w:rPr>
          <w:rFonts w:eastAsia="Calibri"/>
          <w:sz w:val="24"/>
          <w:szCs w:val="24"/>
        </w:rPr>
        <w:t xml:space="preserve"> širokog spektra projekata u području umjetničkog stvaralaštva, kulturne baštine, knjige i nakladništva, muzejske, arhivske i glazbeno-scenske djelatnosti te međunarodne kulturne suradnje. U području audiovizualne djelatnosti, Hrvatsk</w:t>
      </w:r>
      <w:r>
        <w:rPr>
          <w:rFonts w:eastAsia="Calibri"/>
          <w:sz w:val="24"/>
          <w:szCs w:val="24"/>
        </w:rPr>
        <w:t>om</w:t>
      </w:r>
      <w:r w:rsidRPr="000F2A5F">
        <w:rPr>
          <w:rFonts w:eastAsia="Calibri"/>
          <w:sz w:val="24"/>
          <w:szCs w:val="24"/>
        </w:rPr>
        <w:t xml:space="preserve"> audiovizualn</w:t>
      </w:r>
      <w:r>
        <w:rPr>
          <w:rFonts w:eastAsia="Calibri"/>
          <w:sz w:val="24"/>
          <w:szCs w:val="24"/>
        </w:rPr>
        <w:t>om</w:t>
      </w:r>
      <w:r w:rsidRPr="000F2A5F">
        <w:rPr>
          <w:rFonts w:eastAsia="Calibri"/>
          <w:sz w:val="24"/>
          <w:szCs w:val="24"/>
        </w:rPr>
        <w:t xml:space="preserve"> centr</w:t>
      </w:r>
      <w:r>
        <w:rPr>
          <w:rFonts w:eastAsia="Calibri"/>
          <w:sz w:val="24"/>
          <w:szCs w:val="24"/>
        </w:rPr>
        <w:t>u osigurano je 9</w:t>
      </w:r>
      <w:r w:rsidRPr="000F2A5F">
        <w:rPr>
          <w:rFonts w:eastAsia="Calibri"/>
          <w:sz w:val="24"/>
          <w:szCs w:val="24"/>
        </w:rPr>
        <w:t xml:space="preserve">,8 milijuna eura za potporu filmskoj i audiovizualnoj </w:t>
      </w:r>
      <w:r w:rsidRPr="000F2A5F">
        <w:rPr>
          <w:rFonts w:eastAsia="Calibri"/>
          <w:sz w:val="24"/>
          <w:szCs w:val="24"/>
        </w:rPr>
        <w:lastRenderedPageBreak/>
        <w:t xml:space="preserve">produkciji, dok je za program poticanja ulaganja u proizvodnju audiovizualnih djela osigurano dodatnih 8,3 milijuna eura, čime je nastavljen rast </w:t>
      </w:r>
      <w:r>
        <w:rPr>
          <w:rFonts w:eastAsia="Calibri"/>
          <w:sz w:val="24"/>
          <w:szCs w:val="24"/>
        </w:rPr>
        <w:t xml:space="preserve">potpora </w:t>
      </w:r>
      <w:r w:rsidRPr="000F2A5F">
        <w:rPr>
          <w:rFonts w:eastAsia="Calibri"/>
          <w:sz w:val="24"/>
          <w:szCs w:val="24"/>
        </w:rPr>
        <w:t>sektor</w:t>
      </w:r>
      <w:r>
        <w:rPr>
          <w:rFonts w:eastAsia="Calibri"/>
          <w:sz w:val="24"/>
          <w:szCs w:val="24"/>
        </w:rPr>
        <w:t>u</w:t>
      </w:r>
      <w:r w:rsidRPr="000F2A5F">
        <w:rPr>
          <w:rFonts w:eastAsia="Calibri"/>
          <w:sz w:val="24"/>
          <w:szCs w:val="24"/>
        </w:rPr>
        <w:t xml:space="preserve"> koji doprinosi nacionalnoj kulturnoj prepoznatljivosti i gospodarskom učinku kroz razvoj kreativnih industrija.</w:t>
      </w:r>
      <w:r>
        <w:rPr>
          <w:rFonts w:eastAsia="Calibri"/>
          <w:sz w:val="24"/>
          <w:szCs w:val="24"/>
        </w:rPr>
        <w:t xml:space="preserve"> Za rad</w:t>
      </w:r>
      <w:r w:rsidRPr="000F2A5F">
        <w:rPr>
          <w:rFonts w:eastAsia="Calibri"/>
          <w:sz w:val="24"/>
          <w:szCs w:val="24"/>
        </w:rPr>
        <w:t xml:space="preserve"> Agencije za elektroničke medije </w:t>
      </w:r>
      <w:r>
        <w:rPr>
          <w:rFonts w:eastAsia="Calibri"/>
          <w:sz w:val="24"/>
          <w:szCs w:val="24"/>
        </w:rPr>
        <w:t>osigurano</w:t>
      </w:r>
      <w:r w:rsidRPr="000F2A5F">
        <w:rPr>
          <w:rFonts w:eastAsia="Calibri"/>
          <w:sz w:val="24"/>
          <w:szCs w:val="24"/>
        </w:rPr>
        <w:t xml:space="preserve"> </w:t>
      </w:r>
      <w:r>
        <w:rPr>
          <w:rFonts w:eastAsia="Calibri"/>
          <w:sz w:val="24"/>
          <w:szCs w:val="24"/>
        </w:rPr>
        <w:t xml:space="preserve">je </w:t>
      </w:r>
      <w:r w:rsidRPr="000F2A5F">
        <w:rPr>
          <w:rFonts w:eastAsia="Calibri"/>
          <w:sz w:val="24"/>
          <w:szCs w:val="24"/>
        </w:rPr>
        <w:t xml:space="preserve">5 milijuna eura, čime su osigurani uvjeti za jačanje medijskog pluralizma, lokalnog i neprofitnog novinarstva te digitalne transformacije medijskog sektora. Programi Hrvatskog restauratorskog zavoda i Međunarodnog centra za podvodnu arheologiju financirani su s ukupno 8 milijuna eura, čime je osnažena zaštita, obnova i interpretacija kulturne baštine, uključujući i one podvodne, koja predstavlja jedinstvenu sastavnicu nacionalnog identiteta i turističke ponude. Dodatno, u okviru europskog programa Kreativna Europa </w:t>
      </w:r>
      <w:r>
        <w:rPr>
          <w:rFonts w:eastAsia="Calibri"/>
          <w:sz w:val="24"/>
          <w:szCs w:val="24"/>
        </w:rPr>
        <w:t>-</w:t>
      </w:r>
      <w:r w:rsidRPr="000F2A5F">
        <w:rPr>
          <w:rFonts w:eastAsia="Calibri"/>
          <w:sz w:val="24"/>
          <w:szCs w:val="24"/>
        </w:rPr>
        <w:t xml:space="preserve"> potprogram Kultura</w:t>
      </w:r>
      <w:r>
        <w:rPr>
          <w:rFonts w:eastAsia="Calibri"/>
          <w:sz w:val="24"/>
          <w:szCs w:val="24"/>
        </w:rPr>
        <w:t>,</w:t>
      </w:r>
      <w:r w:rsidRPr="000F2A5F">
        <w:rPr>
          <w:rFonts w:eastAsia="Calibri"/>
          <w:sz w:val="24"/>
          <w:szCs w:val="24"/>
        </w:rPr>
        <w:t xml:space="preserve"> odobreno je 280 </w:t>
      </w:r>
      <w:r>
        <w:rPr>
          <w:rFonts w:eastAsia="Calibri"/>
          <w:sz w:val="24"/>
          <w:szCs w:val="24"/>
        </w:rPr>
        <w:t>000</w:t>
      </w:r>
      <w:r w:rsidRPr="000F2A5F">
        <w:rPr>
          <w:rFonts w:eastAsia="Calibri"/>
          <w:sz w:val="24"/>
          <w:szCs w:val="24"/>
        </w:rPr>
        <w:t xml:space="preserve"> eura za sufinanciranje projekata hrvatskih organizacija, dok je putem poziva Zaklade Kultura nova dodijeljeno 2,5 milijuna eura za jačanje suvremene kulture i nezavisnog umjetničkog stvaralaštva.</w:t>
      </w:r>
    </w:p>
    <w:p w14:paraId="56FACC7C" w14:textId="77777777" w:rsidR="00FB178A" w:rsidRPr="0097666E" w:rsidRDefault="00FB178A" w:rsidP="00FB178A">
      <w:pPr>
        <w:widowControl/>
        <w:autoSpaceDE/>
        <w:autoSpaceDN/>
        <w:spacing w:after="240" w:line="276" w:lineRule="auto"/>
        <w:jc w:val="both"/>
        <w:rPr>
          <w:rFonts w:eastAsia="Calibri"/>
          <w:sz w:val="24"/>
          <w:szCs w:val="24"/>
        </w:rPr>
      </w:pPr>
      <w:r w:rsidRPr="0097666E">
        <w:rPr>
          <w:rFonts w:eastAsia="Calibri"/>
          <w:sz w:val="24"/>
          <w:szCs w:val="24"/>
        </w:rPr>
        <w:t xml:space="preserve">U </w:t>
      </w:r>
      <w:r>
        <w:rPr>
          <w:rFonts w:eastAsia="Calibri"/>
          <w:sz w:val="24"/>
          <w:szCs w:val="24"/>
        </w:rPr>
        <w:t xml:space="preserve">skladu s redovitim programskim financiranjem, uz potporu sredstava iz NPOO-a nastavljene su </w:t>
      </w:r>
      <w:r w:rsidRPr="0097666E">
        <w:rPr>
          <w:rFonts w:eastAsia="Calibri"/>
          <w:sz w:val="24"/>
          <w:szCs w:val="24"/>
        </w:rPr>
        <w:t xml:space="preserve">aktivnosti </w:t>
      </w:r>
      <w:r>
        <w:rPr>
          <w:rFonts w:eastAsia="Calibri"/>
          <w:sz w:val="24"/>
          <w:szCs w:val="24"/>
        </w:rPr>
        <w:t xml:space="preserve">na </w:t>
      </w:r>
      <w:r w:rsidRPr="00FB1ABB">
        <w:rPr>
          <w:rFonts w:eastAsia="Calibri"/>
          <w:sz w:val="24"/>
          <w:szCs w:val="24"/>
        </w:rPr>
        <w:t>modernizaciji kulturnih i medijskih djelatnosti, povećanju njihove otpornosti i poticanju inovativnih modela rada</w:t>
      </w:r>
      <w:r w:rsidRPr="0097666E">
        <w:rPr>
          <w:rFonts w:eastAsia="Calibri"/>
          <w:sz w:val="24"/>
          <w:szCs w:val="24"/>
        </w:rPr>
        <w:t xml:space="preserve">. U </w:t>
      </w:r>
      <w:r>
        <w:rPr>
          <w:rFonts w:eastAsia="Calibri"/>
          <w:sz w:val="24"/>
          <w:szCs w:val="24"/>
        </w:rPr>
        <w:t>okviru</w:t>
      </w:r>
      <w:r w:rsidRPr="0097666E">
        <w:rPr>
          <w:rFonts w:eastAsia="Calibri"/>
          <w:sz w:val="24"/>
          <w:szCs w:val="24"/>
        </w:rPr>
        <w:t xml:space="preserve"> </w:t>
      </w:r>
      <w:r>
        <w:rPr>
          <w:rFonts w:eastAsia="Calibri"/>
          <w:sz w:val="24"/>
          <w:szCs w:val="24"/>
        </w:rPr>
        <w:t xml:space="preserve">NPOO </w:t>
      </w:r>
      <w:r w:rsidRPr="0097666E">
        <w:rPr>
          <w:rFonts w:eastAsia="Calibri"/>
          <w:sz w:val="24"/>
          <w:szCs w:val="24"/>
        </w:rPr>
        <w:t xml:space="preserve">investicije </w:t>
      </w:r>
      <w:r>
        <w:rPr>
          <w:rFonts w:eastAsia="Calibri"/>
          <w:sz w:val="24"/>
          <w:szCs w:val="24"/>
        </w:rPr>
        <w:t>„</w:t>
      </w:r>
      <w:r w:rsidRPr="0097666E">
        <w:rPr>
          <w:rFonts w:eastAsia="Calibri"/>
          <w:sz w:val="24"/>
          <w:szCs w:val="24"/>
        </w:rPr>
        <w:t>Transformacija i jačanje konkurentnosti kulturnih i kreativnih industrija</w:t>
      </w:r>
      <w:r>
        <w:rPr>
          <w:rFonts w:eastAsia="Calibri"/>
          <w:sz w:val="24"/>
          <w:szCs w:val="24"/>
        </w:rPr>
        <w:t>“</w:t>
      </w:r>
      <w:r w:rsidRPr="0097666E">
        <w:rPr>
          <w:rFonts w:eastAsia="Calibri"/>
          <w:sz w:val="24"/>
          <w:szCs w:val="24"/>
        </w:rPr>
        <w:t xml:space="preserve"> </w:t>
      </w:r>
      <w:r w:rsidRPr="00B91C14">
        <w:rPr>
          <w:rFonts w:eastAsia="Calibri"/>
          <w:sz w:val="24"/>
          <w:szCs w:val="24"/>
        </w:rPr>
        <w:t xml:space="preserve">(ref.br: C.1.1.1.R6-I1) </w:t>
      </w:r>
      <w:r>
        <w:rPr>
          <w:rFonts w:eastAsia="Calibri"/>
          <w:sz w:val="24"/>
          <w:szCs w:val="24"/>
        </w:rPr>
        <w:t xml:space="preserve">tijekom 2024. </w:t>
      </w:r>
      <w:r w:rsidRPr="0097666E">
        <w:rPr>
          <w:rFonts w:eastAsia="Calibri"/>
          <w:sz w:val="24"/>
          <w:szCs w:val="24"/>
        </w:rPr>
        <w:t>proveden je poziv za dodjelu bespovratnih sredstava ukupne vrijednosti 33,18 milijuna eura, usmjeren na jačanje</w:t>
      </w:r>
      <w:r w:rsidRPr="00131FFE">
        <w:rPr>
          <w:rFonts w:eastAsia="Calibri"/>
          <w:sz w:val="24"/>
          <w:szCs w:val="24"/>
        </w:rPr>
        <w:t xml:space="preserve"> kapaciteta kulturnih i kreativnih industrija za poslovanje na jedinstvenom digitalnom tržištu u skladu s novim regulatornim i zakonodavnim okvirom te za razvoj novih inovativnih procesa, proizvoda i usluga što će doprinijeti kulturnoj i medijskoj raznolikosti i pluralizmu</w:t>
      </w:r>
      <w:r w:rsidRPr="0097666E">
        <w:rPr>
          <w:rFonts w:eastAsia="Calibri"/>
          <w:sz w:val="24"/>
          <w:szCs w:val="24"/>
        </w:rPr>
        <w:t xml:space="preserve">. Poziv je bio otvoren u privremenom modalitetu te podijeljen u dvije grupe: Grupa A, u okviru koje su se dodjeljivale državne potpore i potpore male vrijednosti, i Grupa B, u kojoj su se dodjeljivale potpore male vrijednosti. </w:t>
      </w:r>
      <w:r w:rsidRPr="00131FFE">
        <w:rPr>
          <w:rFonts w:eastAsia="Calibri"/>
          <w:sz w:val="24"/>
          <w:szCs w:val="24"/>
        </w:rPr>
        <w:t>Pozivom se omogućilo mikro, malim i srednjim poduzećima uvođenje novih tehnologija u poslovne modele i proizvodne procese, kao i provedba svih aktivnosti koje su preduvjet za kvalitetnu digitalnu transformaciju s ciljem optimizacije, povećanja kvalitete te time i konkurentnosti kulturno umjetničkog i kreativnog proizvoda i usluga na globalnom digitalnom tržištu.</w:t>
      </w:r>
    </w:p>
    <w:p w14:paraId="6E838BDC" w14:textId="77777777" w:rsidR="00FB178A" w:rsidRDefault="00FB178A" w:rsidP="00FB178A">
      <w:pPr>
        <w:widowControl/>
        <w:autoSpaceDE/>
        <w:autoSpaceDN/>
        <w:spacing w:after="240" w:line="276" w:lineRule="auto"/>
        <w:jc w:val="both"/>
        <w:rPr>
          <w:rFonts w:eastAsia="Calibri"/>
          <w:sz w:val="24"/>
          <w:szCs w:val="24"/>
        </w:rPr>
      </w:pPr>
      <w:r w:rsidRPr="0097666E">
        <w:rPr>
          <w:rFonts w:eastAsia="Calibri"/>
          <w:sz w:val="24"/>
          <w:szCs w:val="24"/>
        </w:rPr>
        <w:t xml:space="preserve">U području </w:t>
      </w:r>
      <w:r>
        <w:rPr>
          <w:rFonts w:eastAsia="Calibri"/>
          <w:sz w:val="24"/>
          <w:szCs w:val="24"/>
        </w:rPr>
        <w:t xml:space="preserve">jačanja </w:t>
      </w:r>
      <w:r w:rsidRPr="0097666E">
        <w:rPr>
          <w:rFonts w:eastAsia="Calibri"/>
          <w:sz w:val="24"/>
          <w:szCs w:val="24"/>
        </w:rPr>
        <w:t>medija, u okviru</w:t>
      </w:r>
      <w:r>
        <w:rPr>
          <w:rFonts w:eastAsia="Calibri"/>
          <w:sz w:val="24"/>
          <w:szCs w:val="24"/>
        </w:rPr>
        <w:t xml:space="preserve"> NPOO</w:t>
      </w:r>
      <w:r w:rsidRPr="0097666E">
        <w:rPr>
          <w:rFonts w:eastAsia="Calibri"/>
          <w:sz w:val="24"/>
          <w:szCs w:val="24"/>
        </w:rPr>
        <w:t xml:space="preserve"> investicije </w:t>
      </w:r>
      <w:r>
        <w:rPr>
          <w:rFonts w:eastAsia="Calibri"/>
          <w:sz w:val="24"/>
          <w:szCs w:val="24"/>
        </w:rPr>
        <w:t>„</w:t>
      </w:r>
      <w:r w:rsidRPr="0097666E">
        <w:rPr>
          <w:rFonts w:eastAsia="Calibri"/>
          <w:sz w:val="24"/>
          <w:szCs w:val="24"/>
        </w:rPr>
        <w:t>Uspostava provjere medijskih činjenica i sustava javne objave podataka</w:t>
      </w:r>
      <w:r>
        <w:rPr>
          <w:rFonts w:eastAsia="Calibri"/>
          <w:sz w:val="24"/>
          <w:szCs w:val="24"/>
        </w:rPr>
        <w:t xml:space="preserve">“ </w:t>
      </w:r>
      <w:r w:rsidRPr="00E91E80">
        <w:rPr>
          <w:rFonts w:eastAsia="Calibri"/>
          <w:sz w:val="24"/>
          <w:szCs w:val="24"/>
        </w:rPr>
        <w:t>(ref.br: C1.1.1.R6-I2)</w:t>
      </w:r>
      <w:r w:rsidRPr="0097666E">
        <w:rPr>
          <w:rFonts w:eastAsia="Calibri"/>
          <w:sz w:val="24"/>
          <w:szCs w:val="24"/>
        </w:rPr>
        <w:t xml:space="preserve">, </w:t>
      </w:r>
      <w:r>
        <w:rPr>
          <w:rFonts w:eastAsia="Calibri"/>
          <w:sz w:val="24"/>
          <w:szCs w:val="24"/>
        </w:rPr>
        <w:t xml:space="preserve">tijekom 2024. </w:t>
      </w:r>
      <w:r w:rsidRPr="0097666E">
        <w:rPr>
          <w:rFonts w:eastAsia="Calibri"/>
          <w:sz w:val="24"/>
          <w:szCs w:val="24"/>
        </w:rPr>
        <w:t xml:space="preserve">uspostavljene su dvije ključne digitalne platforme koje doprinose jačanju transparentnosti, vjerodostojnosti i profesionalnih standarda. Pokrenuta je platforma </w:t>
      </w:r>
      <w:r>
        <w:rPr>
          <w:rFonts w:eastAsia="Calibri"/>
          <w:sz w:val="24"/>
          <w:szCs w:val="24"/>
        </w:rPr>
        <w:t>„</w:t>
      </w:r>
      <w:r w:rsidRPr="0097666E">
        <w:rPr>
          <w:rFonts w:eastAsia="Calibri"/>
          <w:sz w:val="24"/>
          <w:szCs w:val="24"/>
        </w:rPr>
        <w:t>Točno tako</w:t>
      </w:r>
      <w:r>
        <w:rPr>
          <w:rStyle w:val="FootnoteReference"/>
          <w:rFonts w:eastAsia="Calibri"/>
          <w:sz w:val="24"/>
          <w:szCs w:val="24"/>
        </w:rPr>
        <w:footnoteReference w:id="5"/>
      </w:r>
      <w:r>
        <w:rPr>
          <w:rFonts w:eastAsia="Calibri"/>
          <w:sz w:val="24"/>
          <w:szCs w:val="24"/>
        </w:rPr>
        <w:t>“</w:t>
      </w:r>
      <w:r w:rsidRPr="0097666E">
        <w:rPr>
          <w:rFonts w:eastAsia="Calibri"/>
          <w:sz w:val="24"/>
          <w:szCs w:val="24"/>
        </w:rPr>
        <w:t xml:space="preserve">, koja objedinjuje rezultate projekata provjere činjenica, omogućujući razmjenu podataka, znanja i alata te služeći kao referentni izvor za medije, istraživače i druge zainteresirane dionike posvećene točnom i odgovornom izvještavanju. Također je uspostavljena platforma </w:t>
      </w:r>
      <w:r>
        <w:rPr>
          <w:rFonts w:eastAsia="Calibri"/>
          <w:sz w:val="24"/>
          <w:szCs w:val="24"/>
        </w:rPr>
        <w:t>„</w:t>
      </w:r>
      <w:r w:rsidRPr="0097666E">
        <w:rPr>
          <w:rFonts w:eastAsia="Calibri"/>
          <w:sz w:val="24"/>
          <w:szCs w:val="24"/>
        </w:rPr>
        <w:t>Vlasništvo i financiranje medija</w:t>
      </w:r>
      <w:r>
        <w:rPr>
          <w:rStyle w:val="FootnoteReference"/>
          <w:rFonts w:eastAsia="Calibri"/>
          <w:sz w:val="24"/>
          <w:szCs w:val="24"/>
        </w:rPr>
        <w:footnoteReference w:id="6"/>
      </w:r>
      <w:r>
        <w:rPr>
          <w:rFonts w:eastAsia="Calibri"/>
          <w:sz w:val="24"/>
          <w:szCs w:val="24"/>
        </w:rPr>
        <w:t>“</w:t>
      </w:r>
      <w:r w:rsidRPr="0097666E">
        <w:rPr>
          <w:rFonts w:eastAsia="Calibri"/>
          <w:sz w:val="24"/>
          <w:szCs w:val="24"/>
        </w:rPr>
        <w:t xml:space="preserve">, digitalni sustav za javnu objavu podataka o vlasničkim strukturama medija i izvorima </w:t>
      </w:r>
      <w:r w:rsidRPr="0097666E">
        <w:rPr>
          <w:rFonts w:eastAsia="Calibri"/>
          <w:sz w:val="24"/>
          <w:szCs w:val="24"/>
        </w:rPr>
        <w:lastRenderedPageBreak/>
        <w:t>njihova financiranja, čime se osigurava viša razina transparentnosti i jača povjerenje javnosti u rad medijskog sektora.</w:t>
      </w:r>
    </w:p>
    <w:p w14:paraId="47995675" w14:textId="77777777" w:rsidR="00FB178A" w:rsidRDefault="00FB178A" w:rsidP="00FB178A">
      <w:pPr>
        <w:spacing w:after="240" w:line="276" w:lineRule="auto"/>
        <w:jc w:val="both"/>
        <w:rPr>
          <w:rFonts w:eastAsia="Calibri"/>
          <w:sz w:val="24"/>
        </w:rPr>
      </w:pPr>
      <w:r w:rsidRPr="00D00A27">
        <w:rPr>
          <w:rFonts w:eastAsia="Calibri"/>
          <w:sz w:val="24"/>
        </w:rPr>
        <w:t xml:space="preserve">U okviru </w:t>
      </w:r>
      <w:r>
        <w:rPr>
          <w:rFonts w:eastAsia="Calibri"/>
          <w:sz w:val="24"/>
        </w:rPr>
        <w:t xml:space="preserve">NPOO </w:t>
      </w:r>
      <w:r w:rsidRPr="00D00A27">
        <w:rPr>
          <w:rFonts w:eastAsia="Calibri"/>
          <w:sz w:val="24"/>
        </w:rPr>
        <w:t xml:space="preserve">investicije </w:t>
      </w:r>
      <w:r>
        <w:rPr>
          <w:rFonts w:eastAsia="Calibri"/>
          <w:sz w:val="24"/>
        </w:rPr>
        <w:t>„</w:t>
      </w:r>
      <w:r w:rsidRPr="00D00A27">
        <w:rPr>
          <w:rFonts w:eastAsia="Calibri"/>
          <w:sz w:val="24"/>
        </w:rPr>
        <w:t>Uspostava digitalne infrastrukture i usluga javne uprave</w:t>
      </w:r>
      <w:r>
        <w:rPr>
          <w:rFonts w:eastAsia="Calibri"/>
          <w:sz w:val="24"/>
        </w:rPr>
        <w:t xml:space="preserve">“ (ref.br: </w:t>
      </w:r>
      <w:r w:rsidRPr="00D00A27">
        <w:rPr>
          <w:rFonts w:eastAsia="Calibri"/>
          <w:sz w:val="24"/>
        </w:rPr>
        <w:t>C2.2.R3</w:t>
      </w:r>
      <w:r>
        <w:rPr>
          <w:rFonts w:eastAsia="Calibri"/>
          <w:sz w:val="24"/>
        </w:rPr>
        <w:t>-</w:t>
      </w:r>
      <w:r w:rsidRPr="00D00A27">
        <w:rPr>
          <w:rFonts w:eastAsia="Calibri"/>
          <w:sz w:val="24"/>
        </w:rPr>
        <w:t>I1</w:t>
      </w:r>
      <w:r>
        <w:rPr>
          <w:rFonts w:eastAsia="Calibri"/>
          <w:sz w:val="24"/>
        </w:rPr>
        <w:t>)</w:t>
      </w:r>
      <w:r w:rsidRPr="00D00A27">
        <w:rPr>
          <w:rFonts w:eastAsia="Calibri"/>
          <w:sz w:val="24"/>
        </w:rPr>
        <w:t>, provedena je uspostava suvremenog digitalnog sustava konzervatorskih podloga kao dijela Informacijskog sustava kulturne baštine</w:t>
      </w:r>
      <w:r>
        <w:rPr>
          <w:rFonts w:eastAsia="Calibri"/>
          <w:sz w:val="24"/>
        </w:rPr>
        <w:t xml:space="preserve"> Republike Hrvatske „TEUTA“</w:t>
      </w:r>
      <w:r w:rsidRPr="00D00A27">
        <w:rPr>
          <w:rFonts w:eastAsia="Calibri"/>
          <w:sz w:val="24"/>
        </w:rPr>
        <w:t xml:space="preserve">, čime je osiguran važan iskorak u digitalnoj transformaciji zaštite kulturnih dobara. </w:t>
      </w:r>
      <w:r w:rsidRPr="00A12239">
        <w:rPr>
          <w:rFonts w:eastAsia="Calibri"/>
          <w:sz w:val="24"/>
        </w:rPr>
        <w:t>Temeljem sustava konzervatorskih podloga uspostavljena je i nova elektronička usluga „e-Konzervatorska lokacijska obavijest</w:t>
      </w:r>
      <w:r>
        <w:rPr>
          <w:rStyle w:val="FootnoteReference"/>
          <w:rFonts w:eastAsia="Calibri"/>
          <w:sz w:val="24"/>
        </w:rPr>
        <w:footnoteReference w:id="7"/>
      </w:r>
      <w:r>
        <w:rPr>
          <w:rFonts w:eastAsia="Calibri"/>
          <w:sz w:val="24"/>
        </w:rPr>
        <w:t xml:space="preserve">“ koja </w:t>
      </w:r>
      <w:r w:rsidRPr="00A12239">
        <w:rPr>
          <w:rFonts w:eastAsia="Calibri"/>
          <w:sz w:val="24"/>
        </w:rPr>
        <w:t>omogućuje građanima, projektantima, investitorima, jedinicama lokalne i područne (regionalne) samouprave te drugim zainteresiranim korisnicima elektroničko podnošenje zahtjeva i izdavanje konzervatorske lokacijske obavijesti za pojedinu katastarsku česticu ili lokaciju. Ovim se omogućava dosljedna i učinkovita razmjena podataka o zaštićenoj (nepokretnoj) kulturnoj baštini, te se izravno doprinosi pravnoj sigurnosti i transparentnosti postupanja nadležne konzervatorske službe.</w:t>
      </w:r>
      <w:r>
        <w:rPr>
          <w:rFonts w:eastAsia="Calibri"/>
          <w:sz w:val="24"/>
        </w:rPr>
        <w:t xml:space="preserve"> Nastavljen je rad na</w:t>
      </w:r>
      <w:r w:rsidRPr="00D00A27">
        <w:rPr>
          <w:rFonts w:eastAsia="Calibri"/>
          <w:sz w:val="24"/>
        </w:rPr>
        <w:t xml:space="preserve"> modul</w:t>
      </w:r>
      <w:r>
        <w:rPr>
          <w:rFonts w:eastAsia="Calibri"/>
          <w:sz w:val="24"/>
        </w:rPr>
        <w:t>u</w:t>
      </w:r>
      <w:r w:rsidRPr="00D00A27">
        <w:rPr>
          <w:rFonts w:eastAsia="Calibri"/>
          <w:sz w:val="24"/>
        </w:rPr>
        <w:t xml:space="preserve"> e-Konzervatorska podloga</w:t>
      </w:r>
      <w:r>
        <w:rPr>
          <w:rFonts w:eastAsia="Calibri"/>
          <w:sz w:val="24"/>
        </w:rPr>
        <w:t xml:space="preserve"> te su p</w:t>
      </w:r>
      <w:r w:rsidRPr="00D00A27">
        <w:rPr>
          <w:rFonts w:eastAsia="Calibri"/>
          <w:sz w:val="24"/>
        </w:rPr>
        <w:t>roveden</w:t>
      </w:r>
      <w:r>
        <w:rPr>
          <w:rFonts w:eastAsia="Calibri"/>
          <w:sz w:val="24"/>
        </w:rPr>
        <w:t>i</w:t>
      </w:r>
      <w:r w:rsidRPr="00D00A27">
        <w:rPr>
          <w:rFonts w:eastAsia="Calibri"/>
          <w:sz w:val="24"/>
        </w:rPr>
        <w:t xml:space="preserve"> postup</w:t>
      </w:r>
      <w:r>
        <w:rPr>
          <w:rFonts w:eastAsia="Calibri"/>
          <w:sz w:val="24"/>
        </w:rPr>
        <w:t>ci</w:t>
      </w:r>
      <w:r w:rsidRPr="00D00A27">
        <w:rPr>
          <w:rFonts w:eastAsia="Calibri"/>
          <w:sz w:val="24"/>
        </w:rPr>
        <w:t xml:space="preserve"> javne nabave ukupne vrijednosti 6,3 milijuna eura</w:t>
      </w:r>
      <w:r>
        <w:rPr>
          <w:rFonts w:eastAsia="Calibri"/>
          <w:sz w:val="24"/>
        </w:rPr>
        <w:t xml:space="preserve"> bez poreza na dodanu vrijednost </w:t>
      </w:r>
      <w:r w:rsidRPr="00D00A27">
        <w:rPr>
          <w:rFonts w:eastAsia="Calibri"/>
          <w:sz w:val="24"/>
        </w:rPr>
        <w:t>za izradu 90 digitalnih, javno dostupnih konzervatorskih podloga kulturno-povijesnih cjelina, uključujući i lokalitete uvrštene na UNESCO-ov Popis svjetske baštine</w:t>
      </w:r>
      <w:r>
        <w:rPr>
          <w:rFonts w:eastAsia="Calibri"/>
          <w:sz w:val="24"/>
        </w:rPr>
        <w:t>. D</w:t>
      </w:r>
      <w:r w:rsidRPr="00D00A27">
        <w:rPr>
          <w:rFonts w:eastAsia="Calibri"/>
          <w:sz w:val="24"/>
        </w:rPr>
        <w:t>o kraja 2024. izrađeno je i usvojeno 27 podloga, dok s</w:t>
      </w:r>
      <w:r>
        <w:rPr>
          <w:rFonts w:eastAsia="Calibri"/>
          <w:sz w:val="24"/>
        </w:rPr>
        <w:t>u</w:t>
      </w:r>
      <w:r w:rsidRPr="00D00A27">
        <w:rPr>
          <w:rFonts w:eastAsia="Calibri"/>
          <w:sz w:val="24"/>
        </w:rPr>
        <w:t xml:space="preserve"> preostale u visokoj fazi dovršetka </w:t>
      </w:r>
      <w:r>
        <w:rPr>
          <w:rFonts w:eastAsia="Calibri"/>
          <w:sz w:val="24"/>
        </w:rPr>
        <w:t>te se planira njihovo</w:t>
      </w:r>
      <w:r w:rsidRPr="00D00A27">
        <w:rPr>
          <w:rFonts w:eastAsia="Calibri"/>
          <w:sz w:val="24"/>
        </w:rPr>
        <w:t xml:space="preserve"> postupno usvajan</w:t>
      </w:r>
      <w:r>
        <w:rPr>
          <w:rFonts w:eastAsia="Calibri"/>
          <w:sz w:val="24"/>
        </w:rPr>
        <w:t>j</w:t>
      </w:r>
      <w:r w:rsidRPr="00D00A27">
        <w:rPr>
          <w:rFonts w:eastAsia="Calibri"/>
          <w:sz w:val="24"/>
        </w:rPr>
        <w:t>e do travnja 2026. godine.</w:t>
      </w:r>
      <w:r>
        <w:rPr>
          <w:rFonts w:eastAsia="Calibri"/>
          <w:sz w:val="24"/>
        </w:rPr>
        <w:t xml:space="preserve"> Nadalje, u</w:t>
      </w:r>
      <w:r w:rsidRPr="00D00A27">
        <w:rPr>
          <w:rFonts w:eastAsia="Calibri"/>
          <w:sz w:val="24"/>
        </w:rPr>
        <w:t xml:space="preserve"> </w:t>
      </w:r>
      <w:r>
        <w:rPr>
          <w:rFonts w:eastAsia="Calibri"/>
          <w:sz w:val="24"/>
        </w:rPr>
        <w:t>okviru NPOO</w:t>
      </w:r>
      <w:r w:rsidRPr="00D00A27">
        <w:rPr>
          <w:rFonts w:eastAsia="Calibri"/>
          <w:sz w:val="24"/>
        </w:rPr>
        <w:t xml:space="preserve"> investicije </w:t>
      </w:r>
      <w:r>
        <w:rPr>
          <w:rFonts w:eastAsia="Calibri"/>
          <w:sz w:val="24"/>
        </w:rPr>
        <w:t>„</w:t>
      </w:r>
      <w:r w:rsidRPr="00D00A27">
        <w:rPr>
          <w:rFonts w:eastAsia="Calibri"/>
          <w:sz w:val="24"/>
        </w:rPr>
        <w:t>Unaprjeđenje digitalne infrastrukture i usluga javnog sektora</w:t>
      </w:r>
      <w:r>
        <w:rPr>
          <w:rFonts w:eastAsia="Calibri"/>
          <w:sz w:val="24"/>
        </w:rPr>
        <w:t xml:space="preserve">“ </w:t>
      </w:r>
      <w:r w:rsidRPr="00DE3E0A">
        <w:rPr>
          <w:rFonts w:eastAsia="Calibri"/>
          <w:sz w:val="24"/>
        </w:rPr>
        <w:t>(ref.br: C2.2. R3-I2)</w:t>
      </w:r>
      <w:r w:rsidRPr="00D00A27">
        <w:rPr>
          <w:rFonts w:eastAsia="Calibri"/>
          <w:sz w:val="24"/>
        </w:rPr>
        <w:t>, nastavljen je razvoj Nacionalnog arhivskog informacijskog sustava, uključujući uspostavu digitalnog repozitorija za pohranu digitaliziranog gradiva i pripadajućih e-usluga te početak registracije korisnika za rad u sustavu. Paralelno se provode postupci javne nabave za jačanje spremišnih kapaciteta područnih državnih arhiva, čime se unapređuje dugoročna zaštita dokumentacijske baštine i dostupnost arhivskog gradiva.</w:t>
      </w:r>
      <w:r>
        <w:rPr>
          <w:rFonts w:eastAsia="Calibri"/>
          <w:sz w:val="24"/>
        </w:rPr>
        <w:t xml:space="preserve"> </w:t>
      </w:r>
      <w:r w:rsidRPr="00D00A27">
        <w:rPr>
          <w:rFonts w:eastAsia="Calibri"/>
          <w:sz w:val="24"/>
        </w:rPr>
        <w:t xml:space="preserve">Dodatno, u okviru </w:t>
      </w:r>
      <w:r>
        <w:rPr>
          <w:rFonts w:eastAsia="Calibri"/>
          <w:sz w:val="24"/>
        </w:rPr>
        <w:t xml:space="preserve">NPOO </w:t>
      </w:r>
      <w:r w:rsidRPr="00D00A27">
        <w:rPr>
          <w:rFonts w:eastAsia="Calibri"/>
          <w:sz w:val="24"/>
        </w:rPr>
        <w:t xml:space="preserve">investicije </w:t>
      </w:r>
      <w:r>
        <w:rPr>
          <w:rFonts w:eastAsia="Calibri"/>
          <w:sz w:val="24"/>
        </w:rPr>
        <w:t>„</w:t>
      </w:r>
      <w:r w:rsidRPr="00D00A27">
        <w:rPr>
          <w:rFonts w:eastAsia="Calibri"/>
          <w:sz w:val="24"/>
        </w:rPr>
        <w:t>Energetska obnova zgrada sa statusom kulturnog dobra</w:t>
      </w:r>
      <w:r>
        <w:rPr>
          <w:rFonts w:eastAsia="Calibri"/>
          <w:sz w:val="24"/>
        </w:rPr>
        <w:t xml:space="preserve">“ (ref.br: </w:t>
      </w:r>
      <w:r w:rsidRPr="00D00A27">
        <w:rPr>
          <w:rFonts w:eastAsia="Calibri"/>
          <w:sz w:val="24"/>
        </w:rPr>
        <w:t>C6.1. R1-I3</w:t>
      </w:r>
      <w:r>
        <w:rPr>
          <w:rFonts w:eastAsia="Calibri"/>
          <w:sz w:val="24"/>
        </w:rPr>
        <w:t>)</w:t>
      </w:r>
      <w:r w:rsidRPr="00D00A27">
        <w:rPr>
          <w:rFonts w:eastAsia="Calibri"/>
          <w:sz w:val="24"/>
        </w:rPr>
        <w:t>, ugovoreno je 3</w:t>
      </w:r>
      <w:r>
        <w:rPr>
          <w:rFonts w:eastAsia="Calibri"/>
          <w:sz w:val="24"/>
        </w:rPr>
        <w:t>6</w:t>
      </w:r>
      <w:r w:rsidRPr="00D00A27">
        <w:rPr>
          <w:rFonts w:eastAsia="Calibri"/>
          <w:sz w:val="24"/>
        </w:rPr>
        <w:t xml:space="preserve"> projekata ukupne vrijednosti</w:t>
      </w:r>
      <w:r>
        <w:rPr>
          <w:rFonts w:eastAsia="Calibri"/>
          <w:sz w:val="24"/>
        </w:rPr>
        <w:t xml:space="preserve"> bespovratnih sredstava</w:t>
      </w:r>
      <w:r w:rsidRPr="00D00A27">
        <w:rPr>
          <w:rFonts w:eastAsia="Calibri"/>
          <w:sz w:val="24"/>
        </w:rPr>
        <w:t xml:space="preserve"> 43,</w:t>
      </w:r>
      <w:r>
        <w:rPr>
          <w:rFonts w:eastAsia="Calibri"/>
          <w:sz w:val="24"/>
        </w:rPr>
        <w:t>5</w:t>
      </w:r>
      <w:r w:rsidRPr="00D00A27">
        <w:rPr>
          <w:rFonts w:eastAsia="Calibri"/>
          <w:sz w:val="24"/>
        </w:rPr>
        <w:t xml:space="preserve"> milijun</w:t>
      </w:r>
      <w:r>
        <w:rPr>
          <w:rFonts w:eastAsia="Calibri"/>
          <w:sz w:val="24"/>
        </w:rPr>
        <w:t>a</w:t>
      </w:r>
      <w:r w:rsidRPr="00D00A27">
        <w:rPr>
          <w:rFonts w:eastAsia="Calibri"/>
          <w:sz w:val="24"/>
        </w:rPr>
        <w:t xml:space="preserve"> eura, čime se osigurava održiva obnova zaštićenih objekata i njihova dugoročna arhitektonska, funkcionalna i energetska vrijednost. </w:t>
      </w:r>
      <w:r>
        <w:rPr>
          <w:rFonts w:eastAsia="Calibri"/>
          <w:sz w:val="24"/>
        </w:rPr>
        <w:t xml:space="preserve">Ulaganja koja se provode uz potporu sredstava iz NPOO-a </w:t>
      </w:r>
      <w:r w:rsidRPr="00D00A27">
        <w:rPr>
          <w:rFonts w:eastAsia="Calibri"/>
          <w:sz w:val="24"/>
        </w:rPr>
        <w:t>zn</w:t>
      </w:r>
      <w:r>
        <w:rPr>
          <w:rFonts w:eastAsia="Calibri"/>
          <w:sz w:val="24"/>
        </w:rPr>
        <w:t>ačajno</w:t>
      </w:r>
      <w:r w:rsidRPr="00D00A27">
        <w:rPr>
          <w:rFonts w:eastAsia="Calibri"/>
          <w:sz w:val="24"/>
        </w:rPr>
        <w:t xml:space="preserve"> doprinos</w:t>
      </w:r>
      <w:r>
        <w:rPr>
          <w:rFonts w:eastAsia="Calibri"/>
          <w:sz w:val="24"/>
        </w:rPr>
        <w:t>e</w:t>
      </w:r>
      <w:r w:rsidRPr="00D00A27">
        <w:rPr>
          <w:rFonts w:eastAsia="Calibri"/>
          <w:sz w:val="24"/>
        </w:rPr>
        <w:t xml:space="preserve"> modernizaciji sustava upravljanja kulturnom baštinom, povećanju dostupnosti i sigurnosti podataka te osiguravanju održivog korištenja i očuvanja kulturnih dobara.</w:t>
      </w:r>
      <w:r>
        <w:rPr>
          <w:rFonts w:eastAsia="Calibri"/>
          <w:sz w:val="24"/>
        </w:rPr>
        <w:t xml:space="preserve"> </w:t>
      </w:r>
      <w:r w:rsidRPr="00414CCF">
        <w:rPr>
          <w:sz w:val="24"/>
          <w:szCs w:val="24"/>
        </w:rPr>
        <w:t xml:space="preserve">U 2024. također je nastavljen </w:t>
      </w:r>
      <w:r w:rsidRPr="00CB732B">
        <w:rPr>
          <w:rFonts w:eastAsia="Calibri"/>
          <w:sz w:val="24"/>
          <w:szCs w:val="24"/>
        </w:rPr>
        <w:t>rad na održavanju i nadogradnji infrastrukture za digitalizaciju kulturne baštine te je na portalu „</w:t>
      </w:r>
      <w:proofErr w:type="spellStart"/>
      <w:r w:rsidRPr="00CB732B">
        <w:rPr>
          <w:rFonts w:eastAsia="Calibri"/>
          <w:sz w:val="24"/>
          <w:szCs w:val="24"/>
        </w:rPr>
        <w:t>eKultura</w:t>
      </w:r>
      <w:proofErr w:type="spellEnd"/>
      <w:r>
        <w:rPr>
          <w:rStyle w:val="FootnoteReference"/>
          <w:rFonts w:eastAsia="Calibri"/>
          <w:sz w:val="24"/>
          <w:szCs w:val="24"/>
        </w:rPr>
        <w:footnoteReference w:id="8"/>
      </w:r>
      <w:r w:rsidRPr="00CB732B">
        <w:rPr>
          <w:rFonts w:eastAsia="Calibri"/>
          <w:sz w:val="24"/>
          <w:szCs w:val="24"/>
        </w:rPr>
        <w:t xml:space="preserve">“ vidljivo 310.592 objekta kulturne baštine. Sustav </w:t>
      </w:r>
      <w:proofErr w:type="spellStart"/>
      <w:r w:rsidRPr="00CB732B">
        <w:rPr>
          <w:rFonts w:eastAsia="Calibri"/>
          <w:sz w:val="24"/>
          <w:szCs w:val="24"/>
        </w:rPr>
        <w:t>eKultura</w:t>
      </w:r>
      <w:proofErr w:type="spellEnd"/>
      <w:r w:rsidRPr="00CB732B">
        <w:rPr>
          <w:rFonts w:eastAsia="Calibri"/>
          <w:sz w:val="24"/>
          <w:szCs w:val="24"/>
        </w:rPr>
        <w:t xml:space="preserve"> zaprimio je od institucija 62.058 informacijskih paketa koji uključuju 1.756.784 datoteka građe kulturne baštine, </w:t>
      </w:r>
      <w:r>
        <w:rPr>
          <w:rFonts w:eastAsia="Calibri"/>
          <w:sz w:val="24"/>
          <w:szCs w:val="24"/>
        </w:rPr>
        <w:t xml:space="preserve">a </w:t>
      </w:r>
      <w:r w:rsidRPr="00CB732B">
        <w:rPr>
          <w:rFonts w:eastAsia="Calibri"/>
          <w:sz w:val="24"/>
          <w:szCs w:val="24"/>
        </w:rPr>
        <w:t>registrirano je 1.127 novih NIAS korisnika.</w:t>
      </w:r>
      <w:r>
        <w:rPr>
          <w:rFonts w:eastAsia="Calibri"/>
          <w:sz w:val="24"/>
          <w:szCs w:val="24"/>
        </w:rPr>
        <w:t xml:space="preserve"> </w:t>
      </w:r>
    </w:p>
    <w:p w14:paraId="609690C2" w14:textId="77777777" w:rsidR="00FB178A" w:rsidRPr="0004221B" w:rsidRDefault="00FB178A" w:rsidP="00FB178A">
      <w:pPr>
        <w:spacing w:line="276" w:lineRule="auto"/>
        <w:jc w:val="both"/>
        <w:rPr>
          <w:rFonts w:eastAsia="Calibri"/>
          <w:sz w:val="24"/>
        </w:rPr>
      </w:pPr>
      <w:r w:rsidRPr="00567A5E">
        <w:rPr>
          <w:rFonts w:eastAsia="Calibri"/>
          <w:sz w:val="24"/>
        </w:rPr>
        <w:t>Za sanaciju šteta na kulturnoj baštini uzrokovanih potresima iz 2020., sredstva F</w:t>
      </w:r>
      <w:r>
        <w:rPr>
          <w:rFonts w:eastAsia="Calibri"/>
          <w:sz w:val="24"/>
        </w:rPr>
        <w:t>onda solidarnosti Europske unije</w:t>
      </w:r>
      <w:r w:rsidRPr="00567A5E">
        <w:rPr>
          <w:rFonts w:eastAsia="Calibri"/>
          <w:sz w:val="24"/>
        </w:rPr>
        <w:t xml:space="preserve"> bila su dostupna do 30. lipnja 202</w:t>
      </w:r>
      <w:r>
        <w:rPr>
          <w:rFonts w:eastAsia="Calibri"/>
          <w:sz w:val="24"/>
        </w:rPr>
        <w:t>3.</w:t>
      </w:r>
      <w:r w:rsidRPr="00F9044B">
        <w:rPr>
          <w:rFonts w:cstheme="minorBidi"/>
          <w:sz w:val="24"/>
          <w:lang w:val="en-US"/>
        </w:rPr>
        <w:t xml:space="preserve"> </w:t>
      </w:r>
      <w:r>
        <w:rPr>
          <w:rFonts w:cstheme="minorBidi"/>
          <w:sz w:val="24"/>
          <w:lang w:val="en-US"/>
        </w:rPr>
        <w:t>U</w:t>
      </w:r>
      <w:r w:rsidRPr="008564C7">
        <w:rPr>
          <w:rFonts w:eastAsia="Calibri"/>
          <w:sz w:val="24"/>
        </w:rPr>
        <w:t>govoren je 291 projekt, pri čemu je ukupna vrijednost ugovora iznosila 1,65 milijardi eura, od čega je iz Fonda solidarnosti isplaćeno 447,6 milijuna eura, iz državnog proračuna dodatnih 295 milijuna eura te 336,8 milijuna eura iz NPOO-</w:t>
      </w:r>
      <w:r w:rsidRPr="008564C7">
        <w:rPr>
          <w:rFonts w:eastAsia="Calibri"/>
          <w:sz w:val="24"/>
        </w:rPr>
        <w:lastRenderedPageBreak/>
        <w:t>a. Do kraja 202</w:t>
      </w:r>
      <w:r>
        <w:rPr>
          <w:rFonts w:eastAsia="Calibri"/>
          <w:sz w:val="24"/>
        </w:rPr>
        <w:t>4</w:t>
      </w:r>
      <w:r w:rsidRPr="008564C7">
        <w:rPr>
          <w:rFonts w:eastAsia="Calibri"/>
          <w:sz w:val="24"/>
        </w:rPr>
        <w:t xml:space="preserve">. završeno je </w:t>
      </w:r>
      <w:r>
        <w:rPr>
          <w:rFonts w:eastAsia="Calibri"/>
          <w:sz w:val="24"/>
        </w:rPr>
        <w:t xml:space="preserve">147 </w:t>
      </w:r>
      <w:r w:rsidRPr="008564C7">
        <w:rPr>
          <w:rFonts w:eastAsia="Calibri"/>
          <w:sz w:val="24"/>
        </w:rPr>
        <w:t xml:space="preserve">projekata sanacije šteta, čime je ostvaren značajan napredak u obnovi kulturne baštine. Nastavak i stabilnost procesa obnove osigurani su uz potporu NPOO-a, kroz investiciju C7.2. I2 - Obnova zgrada oštećenih u potresu s energetskom obnovom. Za cjelovitu i energetsku obnovu zaštićenih kulturnih dobara iz NPOO-a </w:t>
      </w:r>
      <w:r>
        <w:rPr>
          <w:rFonts w:eastAsia="Calibri"/>
          <w:sz w:val="24"/>
        </w:rPr>
        <w:t>predviđeno je 780</w:t>
      </w:r>
      <w:r w:rsidRPr="008564C7">
        <w:rPr>
          <w:rFonts w:eastAsia="Calibri"/>
          <w:sz w:val="24"/>
        </w:rPr>
        <w:t xml:space="preserve"> milijuna eura. U okviru investicije ugovoreno je </w:t>
      </w:r>
      <w:r>
        <w:rPr>
          <w:rFonts w:eastAsia="Calibri"/>
          <w:sz w:val="24"/>
        </w:rPr>
        <w:t>100</w:t>
      </w:r>
      <w:r w:rsidRPr="008564C7">
        <w:rPr>
          <w:rFonts w:eastAsia="Calibri"/>
          <w:sz w:val="24"/>
        </w:rPr>
        <w:t xml:space="preserve"> projekata</w:t>
      </w:r>
      <w:r>
        <w:rPr>
          <w:rFonts w:eastAsia="Calibri"/>
          <w:sz w:val="24"/>
        </w:rPr>
        <w:t xml:space="preserve"> u</w:t>
      </w:r>
      <w:r w:rsidRPr="00A4457F">
        <w:rPr>
          <w:rFonts w:eastAsia="Calibri"/>
          <w:sz w:val="24"/>
        </w:rPr>
        <w:t>kupne vrijednosti 782,4 milijuna eura</w:t>
      </w:r>
      <w:r w:rsidRPr="008564C7">
        <w:rPr>
          <w:rFonts w:eastAsia="Calibri"/>
          <w:sz w:val="24"/>
        </w:rPr>
        <w:t>, od čega je do kraja 202</w:t>
      </w:r>
      <w:r>
        <w:rPr>
          <w:rFonts w:eastAsia="Calibri"/>
          <w:sz w:val="24"/>
        </w:rPr>
        <w:t>4</w:t>
      </w:r>
      <w:r w:rsidRPr="008564C7">
        <w:rPr>
          <w:rFonts w:eastAsia="Calibri"/>
          <w:sz w:val="24"/>
        </w:rPr>
        <w:t>. isplaćeno</w:t>
      </w:r>
      <w:r>
        <w:rPr>
          <w:rFonts w:eastAsia="Calibri"/>
          <w:sz w:val="24"/>
        </w:rPr>
        <w:t xml:space="preserve"> 151</w:t>
      </w:r>
      <w:r w:rsidRPr="008564C7">
        <w:rPr>
          <w:rFonts w:eastAsia="Calibri"/>
          <w:sz w:val="24"/>
        </w:rPr>
        <w:t>,</w:t>
      </w:r>
      <w:r>
        <w:rPr>
          <w:rFonts w:eastAsia="Calibri"/>
          <w:sz w:val="24"/>
        </w:rPr>
        <w:t>1</w:t>
      </w:r>
      <w:r w:rsidRPr="008564C7">
        <w:rPr>
          <w:rFonts w:eastAsia="Calibri"/>
          <w:sz w:val="24"/>
        </w:rPr>
        <w:t xml:space="preserve"> milijun eura, čime je osiguran kontinuitet u provedbi najopsežnijih i najsloženijih obnova kulturne baštine u novijoj hrvatskoj povijesti, uz istodobno jačanje njezine dugoročne održivosti, sigurnosti i dostupnosti javnosti.</w:t>
      </w:r>
    </w:p>
    <w:p w14:paraId="0B3C3C8B" w14:textId="77777777" w:rsidR="00FB178A" w:rsidRPr="00081672" w:rsidRDefault="00FB178A" w:rsidP="00FB178A">
      <w:pPr>
        <w:spacing w:line="276" w:lineRule="auto"/>
        <w:jc w:val="both"/>
        <w:rPr>
          <w:rFonts w:eastAsia="Calibri"/>
          <w:b/>
          <w:bCs/>
          <w:kern w:val="2"/>
          <w:sz w:val="24"/>
          <w:szCs w:val="24"/>
        </w:rPr>
      </w:pPr>
    </w:p>
    <w:p w14:paraId="20EB60B6" w14:textId="77777777" w:rsidR="00FB178A" w:rsidRPr="00081672" w:rsidRDefault="00FB178A" w:rsidP="00FB178A">
      <w:pPr>
        <w:spacing w:line="276" w:lineRule="auto"/>
        <w:rPr>
          <w:rFonts w:eastAsia="Calibri"/>
          <w:b/>
          <w:bCs/>
          <w:kern w:val="2"/>
          <w:sz w:val="24"/>
          <w:szCs w:val="24"/>
        </w:rPr>
      </w:pPr>
      <w:r w:rsidRPr="00081672">
        <w:rPr>
          <w:rFonts w:eastAsia="Calibri"/>
          <w:b/>
          <w:bCs/>
          <w:kern w:val="2"/>
          <w:sz w:val="24"/>
          <w:szCs w:val="24"/>
        </w:rPr>
        <w:br w:type="page"/>
      </w:r>
    </w:p>
    <w:p w14:paraId="00E9F326" w14:textId="77777777" w:rsidR="00FB178A" w:rsidRPr="00E459D3" w:rsidRDefault="00FB178A" w:rsidP="00FB178A">
      <w:pPr>
        <w:pStyle w:val="Heading2"/>
        <w:spacing w:after="240" w:line="276" w:lineRule="auto"/>
        <w:rPr>
          <w:sz w:val="24"/>
          <w:szCs w:val="24"/>
        </w:rPr>
      </w:pPr>
      <w:bookmarkStart w:id="58" w:name="_Toc133420940"/>
      <w:bookmarkStart w:id="59" w:name="_Toc223002926"/>
      <w:r>
        <w:rPr>
          <w:sz w:val="24"/>
          <w:szCs w:val="24"/>
        </w:rPr>
        <w:lastRenderedPageBreak/>
        <w:t xml:space="preserve">2. </w:t>
      </w:r>
      <w:r w:rsidRPr="00E459D3">
        <w:rPr>
          <w:sz w:val="24"/>
          <w:szCs w:val="24"/>
        </w:rPr>
        <w:t>Obrazovani i zaposleni ljudi</w:t>
      </w:r>
      <w:bookmarkEnd w:id="58"/>
      <w:bookmarkEnd w:id="59"/>
    </w:p>
    <w:p w14:paraId="2A21A1CB" w14:textId="77777777" w:rsidR="00FB178A" w:rsidRPr="00E459D3" w:rsidRDefault="00FB178A" w:rsidP="00FB178A">
      <w:pPr>
        <w:pStyle w:val="Heading3"/>
        <w:rPr>
          <w:szCs w:val="24"/>
        </w:rPr>
      </w:pPr>
      <w:bookmarkStart w:id="60" w:name="_Toc130784352"/>
      <w:bookmarkStart w:id="61" w:name="_Toc223002927"/>
      <w:r w:rsidRPr="00E459D3">
        <w:rPr>
          <w:szCs w:val="24"/>
        </w:rPr>
        <w:t>2.1. Ostvarene vrijednosti pokazatelja uspješnosti</w:t>
      </w:r>
      <w:bookmarkEnd w:id="60"/>
      <w:bookmarkEnd w:id="61"/>
      <w:r w:rsidRPr="00E459D3">
        <w:rPr>
          <w:szCs w:val="24"/>
        </w:rPr>
        <w:t xml:space="preserve"> </w:t>
      </w:r>
    </w:p>
    <w:tbl>
      <w:tblPr>
        <w:tblStyle w:val="Reetkatablice1"/>
        <w:tblW w:w="9217" w:type="dxa"/>
        <w:jc w:val="center"/>
        <w:tblInd w:w="0" w:type="dxa"/>
        <w:tblBorders>
          <w:top w:val="dotted" w:sz="2" w:space="0" w:color="auto"/>
          <w:left w:val="dotted" w:sz="2" w:space="0" w:color="auto"/>
          <w:bottom w:val="dotted" w:sz="2" w:space="0" w:color="auto"/>
          <w:right w:val="dotted" w:sz="2" w:space="0" w:color="auto"/>
          <w:insideH w:val="dotted" w:sz="2" w:space="0" w:color="auto"/>
        </w:tblBorders>
        <w:shd w:val="clear" w:color="auto" w:fill="FFFFFF" w:themeFill="background1"/>
        <w:tblLayout w:type="fixed"/>
        <w:tblLook w:val="04A0" w:firstRow="1" w:lastRow="0" w:firstColumn="1" w:lastColumn="0" w:noHBand="0" w:noVBand="1"/>
      </w:tblPr>
      <w:tblGrid>
        <w:gridCol w:w="2549"/>
        <w:gridCol w:w="2268"/>
        <w:gridCol w:w="1843"/>
        <w:gridCol w:w="2557"/>
      </w:tblGrid>
      <w:tr w:rsidR="00FB178A" w:rsidRPr="00145379" w14:paraId="6E805F1A" w14:textId="77777777" w:rsidTr="009E18ED">
        <w:trPr>
          <w:trHeight w:val="784"/>
          <w:tblHeader/>
          <w:jc w:val="center"/>
        </w:trPr>
        <w:tc>
          <w:tcPr>
            <w:tcW w:w="2549" w:type="dxa"/>
            <w:tcBorders>
              <w:right w:val="dotted" w:sz="2" w:space="0" w:color="auto"/>
            </w:tcBorders>
            <w:shd w:val="clear" w:color="auto" w:fill="B6DDE8" w:themeFill="accent5" w:themeFillTint="66"/>
            <w:vAlign w:val="center"/>
          </w:tcPr>
          <w:p w14:paraId="6748A9EF" w14:textId="77777777" w:rsidR="00FB178A" w:rsidRPr="00145379" w:rsidRDefault="00FB178A" w:rsidP="009E18ED">
            <w:pPr>
              <w:spacing w:line="276" w:lineRule="auto"/>
              <w:jc w:val="center"/>
              <w:rPr>
                <w:b/>
                <w:bCs/>
                <w:color w:val="000000" w:themeColor="text1"/>
                <w:sz w:val="24"/>
                <w:szCs w:val="24"/>
              </w:rPr>
            </w:pPr>
            <w:r w:rsidRPr="00145379">
              <w:rPr>
                <w:b/>
                <w:bCs/>
                <w:color w:val="000000" w:themeColor="text1"/>
                <w:sz w:val="24"/>
                <w:szCs w:val="24"/>
              </w:rPr>
              <w:t>Pokazatelj uspješnosti</w:t>
            </w:r>
          </w:p>
        </w:tc>
        <w:tc>
          <w:tcPr>
            <w:tcW w:w="2268" w:type="dxa"/>
            <w:tcBorders>
              <w:left w:val="dotted" w:sz="2" w:space="0" w:color="auto"/>
              <w:right w:val="dotted" w:sz="2" w:space="0" w:color="auto"/>
            </w:tcBorders>
            <w:shd w:val="clear" w:color="auto" w:fill="B6DDE8" w:themeFill="accent5" w:themeFillTint="66"/>
            <w:vAlign w:val="center"/>
          </w:tcPr>
          <w:p w14:paraId="69AC1C36" w14:textId="77777777" w:rsidR="00FB178A" w:rsidRPr="00145379" w:rsidRDefault="00FB178A" w:rsidP="009E18ED">
            <w:pPr>
              <w:spacing w:line="276" w:lineRule="auto"/>
              <w:jc w:val="center"/>
              <w:rPr>
                <w:b/>
                <w:bCs/>
                <w:color w:val="000000" w:themeColor="text1"/>
                <w:sz w:val="24"/>
                <w:szCs w:val="24"/>
              </w:rPr>
            </w:pPr>
            <w:r w:rsidRPr="00145379">
              <w:rPr>
                <w:b/>
                <w:bCs/>
                <w:color w:val="000000" w:themeColor="text1"/>
                <w:sz w:val="24"/>
                <w:szCs w:val="24"/>
              </w:rPr>
              <w:t xml:space="preserve">Početna </w:t>
            </w:r>
          </w:p>
          <w:p w14:paraId="0AC338CF" w14:textId="77777777" w:rsidR="00FB178A" w:rsidRPr="00145379" w:rsidRDefault="00FB178A" w:rsidP="009E18ED">
            <w:pPr>
              <w:spacing w:line="276" w:lineRule="auto"/>
              <w:jc w:val="center"/>
              <w:rPr>
                <w:b/>
                <w:bCs/>
                <w:color w:val="000000" w:themeColor="text1"/>
                <w:sz w:val="24"/>
                <w:szCs w:val="24"/>
              </w:rPr>
            </w:pPr>
            <w:r w:rsidRPr="00145379">
              <w:rPr>
                <w:b/>
                <w:bCs/>
                <w:color w:val="000000" w:themeColor="text1"/>
                <w:sz w:val="24"/>
                <w:szCs w:val="24"/>
              </w:rPr>
              <w:t>vrijednost</w:t>
            </w:r>
          </w:p>
        </w:tc>
        <w:tc>
          <w:tcPr>
            <w:tcW w:w="1843" w:type="dxa"/>
            <w:tcBorders>
              <w:left w:val="dotted" w:sz="2" w:space="0" w:color="auto"/>
              <w:right w:val="dotted" w:sz="2" w:space="0" w:color="auto"/>
            </w:tcBorders>
            <w:shd w:val="clear" w:color="auto" w:fill="B6DDE8" w:themeFill="accent5" w:themeFillTint="66"/>
            <w:vAlign w:val="center"/>
          </w:tcPr>
          <w:p w14:paraId="7E6713F8" w14:textId="77777777" w:rsidR="00FB178A" w:rsidRPr="00145379" w:rsidRDefault="00FB178A" w:rsidP="009E18ED">
            <w:pPr>
              <w:spacing w:line="276" w:lineRule="auto"/>
              <w:jc w:val="center"/>
              <w:rPr>
                <w:b/>
                <w:bCs/>
                <w:color w:val="000000" w:themeColor="text1"/>
                <w:sz w:val="24"/>
                <w:szCs w:val="24"/>
              </w:rPr>
            </w:pPr>
            <w:r w:rsidRPr="00145379">
              <w:rPr>
                <w:b/>
                <w:bCs/>
                <w:color w:val="000000" w:themeColor="text1"/>
                <w:sz w:val="24"/>
                <w:szCs w:val="24"/>
              </w:rPr>
              <w:t xml:space="preserve">Ciljna </w:t>
            </w:r>
          </w:p>
          <w:p w14:paraId="537608D4" w14:textId="77777777" w:rsidR="00FB178A" w:rsidRPr="00145379" w:rsidRDefault="00FB178A" w:rsidP="009E18ED">
            <w:pPr>
              <w:spacing w:line="276" w:lineRule="auto"/>
              <w:jc w:val="center"/>
              <w:rPr>
                <w:b/>
                <w:bCs/>
                <w:color w:val="000000" w:themeColor="text1"/>
                <w:sz w:val="24"/>
                <w:szCs w:val="24"/>
              </w:rPr>
            </w:pPr>
            <w:r w:rsidRPr="00145379">
              <w:rPr>
                <w:b/>
                <w:bCs/>
                <w:color w:val="000000" w:themeColor="text1"/>
                <w:sz w:val="24"/>
                <w:szCs w:val="24"/>
              </w:rPr>
              <w:t>vrijednost</w:t>
            </w:r>
          </w:p>
        </w:tc>
        <w:tc>
          <w:tcPr>
            <w:tcW w:w="2557" w:type="dxa"/>
            <w:tcBorders>
              <w:left w:val="dotted" w:sz="2" w:space="0" w:color="auto"/>
            </w:tcBorders>
            <w:shd w:val="clear" w:color="auto" w:fill="B6DDE8" w:themeFill="accent5" w:themeFillTint="66"/>
            <w:vAlign w:val="center"/>
          </w:tcPr>
          <w:p w14:paraId="723D910B" w14:textId="77777777" w:rsidR="00FB178A" w:rsidRPr="00145379" w:rsidRDefault="00FB178A" w:rsidP="009E18ED">
            <w:pPr>
              <w:spacing w:line="276" w:lineRule="auto"/>
              <w:ind w:left="-83"/>
              <w:jc w:val="center"/>
              <w:rPr>
                <w:b/>
                <w:bCs/>
                <w:color w:val="000000" w:themeColor="text1"/>
                <w:sz w:val="24"/>
                <w:szCs w:val="24"/>
              </w:rPr>
            </w:pPr>
            <w:r w:rsidRPr="00145379">
              <w:rPr>
                <w:b/>
                <w:bCs/>
                <w:color w:val="000000" w:themeColor="text1"/>
                <w:sz w:val="24"/>
                <w:szCs w:val="24"/>
              </w:rPr>
              <w:t xml:space="preserve">Ostvarena </w:t>
            </w:r>
          </w:p>
          <w:p w14:paraId="3EF23FA4" w14:textId="77777777" w:rsidR="00FB178A" w:rsidRPr="00145379" w:rsidRDefault="00FB178A" w:rsidP="009E18ED">
            <w:pPr>
              <w:spacing w:line="276" w:lineRule="auto"/>
              <w:ind w:left="-83"/>
              <w:jc w:val="center"/>
              <w:rPr>
                <w:b/>
                <w:bCs/>
                <w:color w:val="000000" w:themeColor="text1"/>
                <w:sz w:val="24"/>
                <w:szCs w:val="24"/>
              </w:rPr>
            </w:pPr>
            <w:r w:rsidRPr="00145379">
              <w:rPr>
                <w:b/>
                <w:bCs/>
                <w:color w:val="000000" w:themeColor="text1"/>
                <w:sz w:val="24"/>
                <w:szCs w:val="24"/>
              </w:rPr>
              <w:t>vrijednost</w:t>
            </w:r>
          </w:p>
        </w:tc>
      </w:tr>
      <w:tr w:rsidR="00FB178A" w:rsidRPr="00145379" w14:paraId="2DD2D622" w14:textId="77777777" w:rsidTr="009E18ED">
        <w:trPr>
          <w:trHeight w:val="1460"/>
          <w:jc w:val="center"/>
        </w:trPr>
        <w:tc>
          <w:tcPr>
            <w:tcW w:w="2549" w:type="dxa"/>
            <w:shd w:val="clear" w:color="auto" w:fill="FFFFFF" w:themeFill="background1"/>
            <w:vAlign w:val="center"/>
          </w:tcPr>
          <w:p w14:paraId="4DCD5132" w14:textId="77777777" w:rsidR="00FB178A" w:rsidRPr="00145379" w:rsidRDefault="00FB178A" w:rsidP="009E18ED">
            <w:pPr>
              <w:spacing w:line="276" w:lineRule="auto"/>
              <w:ind w:left="142"/>
              <w:rPr>
                <w:color w:val="000000" w:themeColor="text1"/>
                <w:sz w:val="24"/>
                <w:szCs w:val="24"/>
              </w:rPr>
            </w:pPr>
            <w:r w:rsidRPr="00145379">
              <w:rPr>
                <w:color w:val="000000" w:themeColor="text1"/>
                <w:sz w:val="24"/>
                <w:szCs w:val="24"/>
              </w:rPr>
              <w:t>PISA - Program međunarodne procjene znanja i vještina učenika</w:t>
            </w:r>
          </w:p>
        </w:tc>
        <w:tc>
          <w:tcPr>
            <w:tcW w:w="2268" w:type="dxa"/>
            <w:shd w:val="clear" w:color="auto" w:fill="DAEEF3" w:themeFill="accent5" w:themeFillTint="33"/>
            <w:vAlign w:val="center"/>
          </w:tcPr>
          <w:p w14:paraId="58B0C29B" w14:textId="77777777" w:rsidR="00FB178A" w:rsidRPr="00145379" w:rsidRDefault="00FB178A" w:rsidP="009E18ED">
            <w:pPr>
              <w:spacing w:line="276" w:lineRule="auto"/>
              <w:jc w:val="center"/>
              <w:rPr>
                <w:color w:val="000000" w:themeColor="text1"/>
                <w:sz w:val="24"/>
                <w:szCs w:val="24"/>
              </w:rPr>
            </w:pPr>
            <w:r w:rsidRPr="00145379">
              <w:rPr>
                <w:color w:val="000000" w:themeColor="text1"/>
                <w:sz w:val="24"/>
                <w:szCs w:val="24"/>
              </w:rPr>
              <w:t>479 bodova (čitalačka pismenost) (2018.)</w:t>
            </w:r>
          </w:p>
        </w:tc>
        <w:tc>
          <w:tcPr>
            <w:tcW w:w="1843" w:type="dxa"/>
            <w:shd w:val="clear" w:color="auto" w:fill="FFFFFF" w:themeFill="background1"/>
            <w:vAlign w:val="center"/>
          </w:tcPr>
          <w:p w14:paraId="10268D2D" w14:textId="77777777" w:rsidR="00FB178A" w:rsidRPr="00145379" w:rsidRDefault="00FB178A" w:rsidP="009E18ED">
            <w:pPr>
              <w:spacing w:line="276" w:lineRule="auto"/>
              <w:jc w:val="center"/>
              <w:rPr>
                <w:color w:val="000000" w:themeColor="text1"/>
                <w:sz w:val="24"/>
                <w:szCs w:val="24"/>
              </w:rPr>
            </w:pPr>
            <w:r w:rsidRPr="00145379">
              <w:rPr>
                <w:color w:val="000000" w:themeColor="text1"/>
                <w:sz w:val="24"/>
                <w:szCs w:val="24"/>
              </w:rPr>
              <w:t xml:space="preserve">Dostići prosjek zemalja OECD-a </w:t>
            </w:r>
          </w:p>
        </w:tc>
        <w:tc>
          <w:tcPr>
            <w:tcW w:w="2557" w:type="dxa"/>
            <w:shd w:val="clear" w:color="auto" w:fill="DAEEF3" w:themeFill="accent5" w:themeFillTint="33"/>
            <w:vAlign w:val="center"/>
          </w:tcPr>
          <w:p w14:paraId="3202BB29" w14:textId="77777777" w:rsidR="00FB178A" w:rsidRPr="00145379" w:rsidRDefault="00FB178A" w:rsidP="009E18ED">
            <w:pPr>
              <w:spacing w:line="276" w:lineRule="auto"/>
              <w:ind w:left="-83"/>
              <w:jc w:val="center"/>
              <w:rPr>
                <w:color w:val="000000" w:themeColor="text1"/>
                <w:sz w:val="24"/>
                <w:szCs w:val="24"/>
              </w:rPr>
            </w:pPr>
            <w:r>
              <w:rPr>
                <w:color w:val="000000" w:themeColor="text1"/>
                <w:sz w:val="24"/>
                <w:szCs w:val="24"/>
              </w:rPr>
              <w:t>Nisu dostupni podaci</w:t>
            </w:r>
          </w:p>
        </w:tc>
      </w:tr>
      <w:tr w:rsidR="00FB178A" w:rsidRPr="00145379" w14:paraId="6C2BC885" w14:textId="77777777" w:rsidTr="009E18ED">
        <w:trPr>
          <w:trHeight w:val="1136"/>
          <w:jc w:val="center"/>
        </w:trPr>
        <w:tc>
          <w:tcPr>
            <w:tcW w:w="2549" w:type="dxa"/>
            <w:tcBorders>
              <w:top w:val="dotted" w:sz="2" w:space="0" w:color="auto"/>
              <w:left w:val="dotted" w:sz="2" w:space="0" w:color="auto"/>
              <w:bottom w:val="dotted" w:sz="2" w:space="0" w:color="auto"/>
              <w:right w:val="dotted" w:sz="2" w:space="0" w:color="auto"/>
            </w:tcBorders>
            <w:shd w:val="clear" w:color="auto" w:fill="F2F2F2" w:themeFill="background1" w:themeFillShade="F2"/>
            <w:vAlign w:val="center"/>
          </w:tcPr>
          <w:p w14:paraId="0C6D9FB6" w14:textId="77777777" w:rsidR="00FB178A" w:rsidRPr="0092229A" w:rsidRDefault="00FB178A" w:rsidP="009E18ED">
            <w:pPr>
              <w:spacing w:line="276" w:lineRule="auto"/>
              <w:ind w:left="142"/>
              <w:rPr>
                <w:i/>
                <w:color w:val="000000" w:themeColor="text1"/>
                <w:sz w:val="20"/>
                <w:szCs w:val="20"/>
              </w:rPr>
            </w:pPr>
            <w:r w:rsidRPr="0092229A">
              <w:rPr>
                <w:i/>
                <w:color w:val="000000" w:themeColor="text1"/>
                <w:sz w:val="20"/>
                <w:szCs w:val="20"/>
              </w:rPr>
              <w:t>Obuhvat djece od 4 godine do početka obveznog obrazovanja (predškolski odgoj)</w:t>
            </w:r>
          </w:p>
        </w:tc>
        <w:tc>
          <w:tcPr>
            <w:tcW w:w="2268" w:type="dxa"/>
            <w:tcBorders>
              <w:top w:val="dotted" w:sz="2" w:space="0" w:color="auto"/>
              <w:left w:val="dotted" w:sz="2" w:space="0" w:color="auto"/>
              <w:bottom w:val="dotted" w:sz="2" w:space="0" w:color="auto"/>
              <w:right w:val="dotted" w:sz="2" w:space="0" w:color="auto"/>
            </w:tcBorders>
            <w:shd w:val="clear" w:color="auto" w:fill="F2F2F2" w:themeFill="background1" w:themeFillShade="F2"/>
            <w:vAlign w:val="center"/>
          </w:tcPr>
          <w:p w14:paraId="6494B5EC" w14:textId="77777777" w:rsidR="00FB178A" w:rsidRPr="0092229A" w:rsidRDefault="00FB178A" w:rsidP="009E18ED">
            <w:pPr>
              <w:spacing w:line="276" w:lineRule="auto"/>
              <w:jc w:val="center"/>
              <w:rPr>
                <w:i/>
                <w:color w:val="000000" w:themeColor="text1"/>
                <w:sz w:val="20"/>
                <w:szCs w:val="20"/>
              </w:rPr>
            </w:pPr>
            <w:r w:rsidRPr="0092229A">
              <w:rPr>
                <w:i/>
                <w:color w:val="000000" w:themeColor="text1"/>
                <w:sz w:val="20"/>
                <w:szCs w:val="20"/>
              </w:rPr>
              <w:t>83% (2019.)</w:t>
            </w:r>
          </w:p>
        </w:tc>
        <w:tc>
          <w:tcPr>
            <w:tcW w:w="1843" w:type="dxa"/>
            <w:tcBorders>
              <w:top w:val="dotted" w:sz="2" w:space="0" w:color="auto"/>
              <w:left w:val="dotted" w:sz="2" w:space="0" w:color="auto"/>
              <w:bottom w:val="dotted" w:sz="2" w:space="0" w:color="auto"/>
              <w:right w:val="dotted" w:sz="2" w:space="0" w:color="auto"/>
            </w:tcBorders>
            <w:shd w:val="clear" w:color="auto" w:fill="F2F2F2" w:themeFill="background1" w:themeFillShade="F2"/>
            <w:vAlign w:val="center"/>
          </w:tcPr>
          <w:p w14:paraId="38141067" w14:textId="77777777" w:rsidR="00FB178A" w:rsidRPr="00B44EB7" w:rsidRDefault="00FB178A" w:rsidP="009E18ED">
            <w:pPr>
              <w:spacing w:line="276" w:lineRule="auto"/>
              <w:jc w:val="center"/>
              <w:rPr>
                <w:i/>
                <w:color w:val="000000" w:themeColor="text1"/>
                <w:sz w:val="20"/>
                <w:szCs w:val="20"/>
              </w:rPr>
            </w:pPr>
            <w:r w:rsidRPr="0092229A">
              <w:rPr>
                <w:i/>
                <w:color w:val="000000" w:themeColor="text1"/>
                <w:sz w:val="20"/>
                <w:szCs w:val="20"/>
              </w:rPr>
              <w:t>&gt; 97%</w:t>
            </w:r>
          </w:p>
        </w:tc>
        <w:tc>
          <w:tcPr>
            <w:tcW w:w="2557" w:type="dxa"/>
            <w:tcBorders>
              <w:top w:val="dotted" w:sz="2" w:space="0" w:color="auto"/>
              <w:left w:val="dotted" w:sz="2" w:space="0" w:color="auto"/>
              <w:bottom w:val="dotted" w:sz="2" w:space="0" w:color="auto"/>
              <w:right w:val="dotted" w:sz="2" w:space="0" w:color="auto"/>
            </w:tcBorders>
            <w:shd w:val="clear" w:color="auto" w:fill="F2F2F2" w:themeFill="background1" w:themeFillShade="F2"/>
            <w:vAlign w:val="center"/>
          </w:tcPr>
          <w:p w14:paraId="74C607F2" w14:textId="77777777" w:rsidR="00FB178A" w:rsidRPr="005C091F" w:rsidRDefault="00FB178A" w:rsidP="009E18ED">
            <w:pPr>
              <w:spacing w:line="276" w:lineRule="auto"/>
              <w:ind w:left="-83"/>
              <w:jc w:val="center"/>
              <w:rPr>
                <w:b/>
                <w:bCs/>
                <w:i/>
                <w:color w:val="000000" w:themeColor="text1"/>
                <w:sz w:val="20"/>
                <w:szCs w:val="20"/>
              </w:rPr>
            </w:pPr>
            <w:r w:rsidRPr="000C1770">
              <w:rPr>
                <w:color w:val="000000" w:themeColor="text1"/>
                <w:sz w:val="24"/>
                <w:szCs w:val="24"/>
              </w:rPr>
              <w:t>Nisu dostupni podaci</w:t>
            </w:r>
          </w:p>
        </w:tc>
      </w:tr>
      <w:tr w:rsidR="00FB178A" w:rsidRPr="00145379" w14:paraId="56DDAEDB" w14:textId="77777777" w:rsidTr="009E18ED">
        <w:trPr>
          <w:trHeight w:val="1136"/>
          <w:jc w:val="center"/>
        </w:trPr>
        <w:tc>
          <w:tcPr>
            <w:tcW w:w="2549" w:type="dxa"/>
            <w:shd w:val="clear" w:color="auto" w:fill="FFFFFF" w:themeFill="background1"/>
            <w:vAlign w:val="center"/>
          </w:tcPr>
          <w:p w14:paraId="66B88F06" w14:textId="77777777" w:rsidR="00FB178A" w:rsidRPr="008A4EFD" w:rsidRDefault="00FB178A" w:rsidP="009E18ED">
            <w:pPr>
              <w:spacing w:line="276" w:lineRule="auto"/>
              <w:ind w:left="142"/>
              <w:rPr>
                <w:color w:val="000000" w:themeColor="text1"/>
                <w:sz w:val="24"/>
                <w:szCs w:val="24"/>
              </w:rPr>
            </w:pPr>
            <w:r w:rsidRPr="008A4EFD">
              <w:rPr>
                <w:color w:val="000000" w:themeColor="text1"/>
                <w:sz w:val="24"/>
                <w:szCs w:val="24"/>
              </w:rPr>
              <w:t>Obuhvat djece od 3 godine do početka obveznog obrazovanja (predškolski odgoj)</w:t>
            </w:r>
            <w:r w:rsidRPr="008A4EFD">
              <w:rPr>
                <w:rStyle w:val="FootnoteReference"/>
                <w:color w:val="000000" w:themeColor="text1"/>
                <w:sz w:val="24"/>
                <w:szCs w:val="24"/>
              </w:rPr>
              <w:footnoteReference w:id="9"/>
            </w:r>
          </w:p>
        </w:tc>
        <w:tc>
          <w:tcPr>
            <w:tcW w:w="2268" w:type="dxa"/>
            <w:shd w:val="clear" w:color="auto" w:fill="DAEEF3" w:themeFill="accent5" w:themeFillTint="33"/>
            <w:vAlign w:val="center"/>
          </w:tcPr>
          <w:p w14:paraId="5153CAFF" w14:textId="77777777" w:rsidR="00FB178A" w:rsidRPr="008A4EFD" w:rsidRDefault="00FB178A" w:rsidP="009E18ED">
            <w:pPr>
              <w:spacing w:line="276" w:lineRule="auto"/>
              <w:jc w:val="center"/>
              <w:rPr>
                <w:color w:val="000000" w:themeColor="text1"/>
                <w:sz w:val="24"/>
                <w:szCs w:val="24"/>
              </w:rPr>
            </w:pPr>
            <w:r w:rsidRPr="008A4EFD">
              <w:rPr>
                <w:color w:val="000000" w:themeColor="text1"/>
                <w:sz w:val="24"/>
                <w:szCs w:val="24"/>
              </w:rPr>
              <w:t>81,6% (2019.)</w:t>
            </w:r>
          </w:p>
        </w:tc>
        <w:tc>
          <w:tcPr>
            <w:tcW w:w="1843" w:type="dxa"/>
            <w:shd w:val="clear" w:color="auto" w:fill="FFFFFF" w:themeFill="background1"/>
            <w:vAlign w:val="center"/>
          </w:tcPr>
          <w:p w14:paraId="169F6F1B" w14:textId="77777777" w:rsidR="00FB178A" w:rsidRPr="008A4EFD" w:rsidRDefault="00FB178A" w:rsidP="009E18ED">
            <w:pPr>
              <w:spacing w:line="276" w:lineRule="auto"/>
              <w:jc w:val="center"/>
              <w:rPr>
                <w:color w:val="000000" w:themeColor="text1"/>
                <w:sz w:val="24"/>
                <w:szCs w:val="24"/>
              </w:rPr>
            </w:pPr>
            <w:r w:rsidRPr="008A4EFD">
              <w:rPr>
                <w:color w:val="000000" w:themeColor="text1"/>
                <w:sz w:val="24"/>
                <w:szCs w:val="24"/>
              </w:rPr>
              <w:t>&gt; 97%</w:t>
            </w:r>
          </w:p>
        </w:tc>
        <w:tc>
          <w:tcPr>
            <w:tcW w:w="2557" w:type="dxa"/>
            <w:shd w:val="clear" w:color="auto" w:fill="DAEEF3" w:themeFill="accent5" w:themeFillTint="33"/>
            <w:vAlign w:val="center"/>
          </w:tcPr>
          <w:p w14:paraId="7D7629CF" w14:textId="77777777" w:rsidR="00FB178A" w:rsidRDefault="00FB178A" w:rsidP="009E18ED">
            <w:pPr>
              <w:spacing w:line="276" w:lineRule="auto"/>
              <w:ind w:left="-83"/>
              <w:jc w:val="center"/>
              <w:rPr>
                <w:color w:val="000000" w:themeColor="text1"/>
                <w:sz w:val="24"/>
                <w:szCs w:val="24"/>
              </w:rPr>
            </w:pPr>
            <w:r>
              <w:rPr>
                <w:color w:val="000000" w:themeColor="text1"/>
                <w:sz w:val="24"/>
                <w:szCs w:val="24"/>
              </w:rPr>
              <w:t>88,2%</w:t>
            </w:r>
          </w:p>
          <w:p w14:paraId="392EE395" w14:textId="77777777" w:rsidR="00FB178A" w:rsidRPr="008A4EFD" w:rsidRDefault="00FB178A" w:rsidP="009E18ED">
            <w:pPr>
              <w:spacing w:line="276" w:lineRule="auto"/>
              <w:ind w:left="-83"/>
              <w:jc w:val="center"/>
              <w:rPr>
                <w:color w:val="000000" w:themeColor="text1"/>
                <w:sz w:val="24"/>
                <w:szCs w:val="24"/>
              </w:rPr>
            </w:pPr>
            <w:r>
              <w:rPr>
                <w:color w:val="000000" w:themeColor="text1"/>
                <w:sz w:val="24"/>
                <w:szCs w:val="24"/>
              </w:rPr>
              <w:t>(2024.)</w:t>
            </w:r>
          </w:p>
        </w:tc>
      </w:tr>
      <w:tr w:rsidR="00FB178A" w:rsidRPr="00145379" w14:paraId="7654DBAB" w14:textId="77777777" w:rsidTr="009E18ED">
        <w:trPr>
          <w:jc w:val="center"/>
        </w:trPr>
        <w:tc>
          <w:tcPr>
            <w:tcW w:w="2549" w:type="dxa"/>
            <w:shd w:val="clear" w:color="auto" w:fill="FFFFFF" w:themeFill="background1"/>
            <w:vAlign w:val="center"/>
          </w:tcPr>
          <w:p w14:paraId="1189FEB3" w14:textId="77777777" w:rsidR="00FB178A" w:rsidRPr="00145379" w:rsidRDefault="00FB178A" w:rsidP="009E18ED">
            <w:pPr>
              <w:spacing w:line="276" w:lineRule="auto"/>
              <w:ind w:left="142"/>
              <w:rPr>
                <w:color w:val="000000" w:themeColor="text1"/>
                <w:sz w:val="24"/>
                <w:szCs w:val="24"/>
              </w:rPr>
            </w:pPr>
            <w:r w:rsidRPr="00145379">
              <w:rPr>
                <w:color w:val="000000" w:themeColor="text1"/>
                <w:sz w:val="24"/>
                <w:szCs w:val="24"/>
              </w:rPr>
              <w:t>Duljina vremena kojeg učenici provode u nastavnom procesu (primarno i sekundarno obrazovanje)</w:t>
            </w:r>
          </w:p>
        </w:tc>
        <w:tc>
          <w:tcPr>
            <w:tcW w:w="2268" w:type="dxa"/>
            <w:shd w:val="clear" w:color="auto" w:fill="DAEEF3" w:themeFill="accent5" w:themeFillTint="33"/>
            <w:vAlign w:val="center"/>
          </w:tcPr>
          <w:p w14:paraId="75FCC528" w14:textId="77777777" w:rsidR="00FB178A" w:rsidRPr="00B44EB7" w:rsidRDefault="00FB178A" w:rsidP="009E18ED">
            <w:pPr>
              <w:spacing w:line="276" w:lineRule="auto"/>
              <w:jc w:val="center"/>
              <w:rPr>
                <w:color w:val="000000" w:themeColor="text1"/>
              </w:rPr>
            </w:pPr>
            <w:r w:rsidRPr="00B44EB7">
              <w:rPr>
                <w:color w:val="000000" w:themeColor="text1"/>
              </w:rPr>
              <w:t>Primarno obrazovanje: 1890 sati</w:t>
            </w:r>
          </w:p>
          <w:p w14:paraId="7D248F35" w14:textId="77777777" w:rsidR="00FB178A" w:rsidRPr="00B44EB7" w:rsidRDefault="00FB178A" w:rsidP="009E18ED">
            <w:pPr>
              <w:spacing w:line="276" w:lineRule="auto"/>
              <w:jc w:val="center"/>
              <w:rPr>
                <w:color w:val="000000" w:themeColor="text1"/>
              </w:rPr>
            </w:pPr>
            <w:r w:rsidRPr="00B44EB7">
              <w:rPr>
                <w:color w:val="000000" w:themeColor="text1"/>
              </w:rPr>
              <w:t>Niže sekundarno obrazovanje: 2651 sat (2019.)</w:t>
            </w:r>
          </w:p>
        </w:tc>
        <w:tc>
          <w:tcPr>
            <w:tcW w:w="1843" w:type="dxa"/>
            <w:shd w:val="clear" w:color="auto" w:fill="FFFFFF" w:themeFill="background1"/>
            <w:vAlign w:val="center"/>
          </w:tcPr>
          <w:p w14:paraId="7E96D1DF" w14:textId="77777777" w:rsidR="00FB178A" w:rsidRPr="00B44EB7" w:rsidRDefault="00FB178A" w:rsidP="009E18ED">
            <w:pPr>
              <w:spacing w:line="276" w:lineRule="auto"/>
              <w:jc w:val="center"/>
              <w:rPr>
                <w:color w:val="000000" w:themeColor="text1"/>
              </w:rPr>
            </w:pPr>
            <w:r w:rsidRPr="00B44EB7">
              <w:rPr>
                <w:color w:val="000000" w:themeColor="text1"/>
              </w:rPr>
              <w:t xml:space="preserve">Dostići prosjek </w:t>
            </w:r>
          </w:p>
          <w:p w14:paraId="7AFE4E52" w14:textId="77777777" w:rsidR="00FB178A" w:rsidRPr="00B44EB7" w:rsidRDefault="00FB178A" w:rsidP="009E18ED">
            <w:pPr>
              <w:spacing w:line="276" w:lineRule="auto"/>
              <w:jc w:val="center"/>
              <w:rPr>
                <w:color w:val="000000" w:themeColor="text1"/>
              </w:rPr>
            </w:pPr>
            <w:r w:rsidRPr="00B44EB7">
              <w:rPr>
                <w:color w:val="000000" w:themeColor="text1"/>
              </w:rPr>
              <w:t>EU-a</w:t>
            </w:r>
          </w:p>
        </w:tc>
        <w:tc>
          <w:tcPr>
            <w:tcW w:w="2557" w:type="dxa"/>
            <w:shd w:val="clear" w:color="auto" w:fill="DAEEF3" w:themeFill="accent5" w:themeFillTint="33"/>
            <w:vAlign w:val="center"/>
          </w:tcPr>
          <w:p w14:paraId="090F98CD" w14:textId="77777777" w:rsidR="00FB178A" w:rsidRPr="006B5B07" w:rsidRDefault="00FB178A" w:rsidP="009E18ED">
            <w:pPr>
              <w:spacing w:line="276" w:lineRule="auto"/>
              <w:jc w:val="center"/>
              <w:rPr>
                <w:color w:val="000000" w:themeColor="text1"/>
                <w:sz w:val="24"/>
                <w:szCs w:val="24"/>
              </w:rPr>
            </w:pPr>
            <w:r w:rsidRPr="006B5B07">
              <w:rPr>
                <w:color w:val="000000" w:themeColor="text1"/>
                <w:sz w:val="24"/>
                <w:szCs w:val="24"/>
              </w:rPr>
              <w:t>Primarno obrazovanje: 1890 sati</w:t>
            </w:r>
          </w:p>
          <w:p w14:paraId="3665B170" w14:textId="77777777" w:rsidR="00FB178A" w:rsidRPr="008655BA" w:rsidRDefault="00FB178A" w:rsidP="009E18ED">
            <w:pPr>
              <w:spacing w:before="240" w:after="160" w:line="276" w:lineRule="auto"/>
              <w:ind w:left="139"/>
              <w:contextualSpacing/>
              <w:jc w:val="center"/>
              <w:rPr>
                <w:color w:val="000000" w:themeColor="text1"/>
                <w:sz w:val="24"/>
                <w:szCs w:val="24"/>
              </w:rPr>
            </w:pPr>
            <w:r w:rsidRPr="006B5B07">
              <w:rPr>
                <w:color w:val="000000" w:themeColor="text1"/>
                <w:sz w:val="24"/>
                <w:szCs w:val="24"/>
              </w:rPr>
              <w:t xml:space="preserve">Niže sekundarno obrazovanje: 2651 sat </w:t>
            </w:r>
          </w:p>
        </w:tc>
      </w:tr>
      <w:tr w:rsidR="00FB178A" w:rsidRPr="00145379" w14:paraId="60050ADE" w14:textId="77777777" w:rsidTr="009E18ED">
        <w:trPr>
          <w:trHeight w:val="667"/>
          <w:jc w:val="center"/>
        </w:trPr>
        <w:tc>
          <w:tcPr>
            <w:tcW w:w="2549" w:type="dxa"/>
            <w:shd w:val="clear" w:color="auto" w:fill="FFFFFF" w:themeFill="background1"/>
            <w:vAlign w:val="center"/>
          </w:tcPr>
          <w:p w14:paraId="307C21FD" w14:textId="77777777" w:rsidR="00FB178A" w:rsidRPr="00145379" w:rsidRDefault="00FB178A" w:rsidP="009E18ED">
            <w:pPr>
              <w:spacing w:line="276" w:lineRule="auto"/>
              <w:ind w:left="142"/>
              <w:rPr>
                <w:color w:val="000000" w:themeColor="text1"/>
                <w:sz w:val="24"/>
                <w:szCs w:val="24"/>
              </w:rPr>
            </w:pPr>
            <w:r w:rsidRPr="00145379">
              <w:rPr>
                <w:color w:val="000000" w:themeColor="text1"/>
                <w:sz w:val="24"/>
                <w:szCs w:val="24"/>
              </w:rPr>
              <w:t>Postotak visokoobrazovanih u dobnoj skupini 30-34</w:t>
            </w:r>
          </w:p>
        </w:tc>
        <w:tc>
          <w:tcPr>
            <w:tcW w:w="2268" w:type="dxa"/>
            <w:shd w:val="clear" w:color="auto" w:fill="DAEEF3" w:themeFill="accent5" w:themeFillTint="33"/>
            <w:vAlign w:val="center"/>
          </w:tcPr>
          <w:p w14:paraId="2530ABEC" w14:textId="77777777" w:rsidR="00FB178A" w:rsidRPr="00145379" w:rsidRDefault="00FB178A" w:rsidP="009E18ED">
            <w:pPr>
              <w:spacing w:line="276" w:lineRule="auto"/>
              <w:jc w:val="center"/>
              <w:rPr>
                <w:color w:val="000000" w:themeColor="text1"/>
                <w:sz w:val="24"/>
                <w:szCs w:val="24"/>
              </w:rPr>
            </w:pPr>
            <w:r w:rsidRPr="00145379">
              <w:rPr>
                <w:color w:val="000000" w:themeColor="text1"/>
                <w:sz w:val="24"/>
                <w:szCs w:val="24"/>
              </w:rPr>
              <w:t>33,1% (2019.)</w:t>
            </w:r>
          </w:p>
        </w:tc>
        <w:tc>
          <w:tcPr>
            <w:tcW w:w="1843" w:type="dxa"/>
            <w:shd w:val="clear" w:color="auto" w:fill="FFFFFF" w:themeFill="background1"/>
            <w:vAlign w:val="center"/>
          </w:tcPr>
          <w:p w14:paraId="57403B60" w14:textId="77777777" w:rsidR="00FB178A" w:rsidRPr="00145379" w:rsidRDefault="00FB178A" w:rsidP="009E18ED">
            <w:pPr>
              <w:spacing w:line="276" w:lineRule="auto"/>
              <w:jc w:val="center"/>
              <w:rPr>
                <w:color w:val="000000" w:themeColor="text1"/>
                <w:sz w:val="24"/>
                <w:szCs w:val="24"/>
              </w:rPr>
            </w:pPr>
            <w:r w:rsidRPr="00145379">
              <w:rPr>
                <w:color w:val="000000" w:themeColor="text1"/>
                <w:sz w:val="24"/>
                <w:szCs w:val="24"/>
              </w:rPr>
              <w:t>Dostići prosjek EU-a</w:t>
            </w:r>
          </w:p>
        </w:tc>
        <w:tc>
          <w:tcPr>
            <w:tcW w:w="2557" w:type="dxa"/>
            <w:shd w:val="clear" w:color="auto" w:fill="DAEEF3" w:themeFill="accent5" w:themeFillTint="33"/>
            <w:vAlign w:val="center"/>
          </w:tcPr>
          <w:p w14:paraId="5632A605" w14:textId="77777777" w:rsidR="00FB178A" w:rsidRDefault="00FB178A" w:rsidP="009E18ED">
            <w:pPr>
              <w:spacing w:line="276" w:lineRule="auto"/>
              <w:ind w:left="-83"/>
              <w:jc w:val="center"/>
              <w:rPr>
                <w:color w:val="000000" w:themeColor="text1"/>
                <w:sz w:val="24"/>
                <w:szCs w:val="24"/>
              </w:rPr>
            </w:pPr>
            <w:r>
              <w:rPr>
                <w:color w:val="000000" w:themeColor="text1"/>
                <w:sz w:val="24"/>
                <w:szCs w:val="24"/>
              </w:rPr>
              <w:t>40,7%</w:t>
            </w:r>
          </w:p>
          <w:p w14:paraId="7017E6FA" w14:textId="77777777" w:rsidR="00FB178A" w:rsidRPr="00145379" w:rsidRDefault="00FB178A" w:rsidP="009E18ED">
            <w:pPr>
              <w:spacing w:line="276" w:lineRule="auto"/>
              <w:ind w:left="-83"/>
              <w:jc w:val="center"/>
              <w:rPr>
                <w:color w:val="000000" w:themeColor="text1"/>
                <w:sz w:val="24"/>
                <w:szCs w:val="24"/>
              </w:rPr>
            </w:pPr>
            <w:r>
              <w:rPr>
                <w:color w:val="000000" w:themeColor="text1"/>
                <w:sz w:val="24"/>
                <w:szCs w:val="24"/>
              </w:rPr>
              <w:t>(2024.)</w:t>
            </w:r>
          </w:p>
        </w:tc>
      </w:tr>
      <w:tr w:rsidR="00FB178A" w:rsidRPr="00145379" w14:paraId="4D41F487" w14:textId="77777777" w:rsidTr="009E18ED">
        <w:trPr>
          <w:trHeight w:val="625"/>
          <w:jc w:val="center"/>
        </w:trPr>
        <w:tc>
          <w:tcPr>
            <w:tcW w:w="2549" w:type="dxa"/>
            <w:shd w:val="clear" w:color="auto" w:fill="FFFFFF" w:themeFill="background1"/>
            <w:vAlign w:val="center"/>
          </w:tcPr>
          <w:p w14:paraId="3C7EBED7" w14:textId="77777777" w:rsidR="00FB178A" w:rsidRPr="00145379" w:rsidRDefault="00FB178A" w:rsidP="009E18ED">
            <w:pPr>
              <w:spacing w:line="276" w:lineRule="auto"/>
              <w:ind w:left="142"/>
              <w:rPr>
                <w:color w:val="000000" w:themeColor="text1"/>
                <w:sz w:val="24"/>
                <w:szCs w:val="24"/>
              </w:rPr>
            </w:pPr>
            <w:r w:rsidRPr="00145379">
              <w:rPr>
                <w:color w:val="000000" w:themeColor="text1"/>
                <w:sz w:val="24"/>
                <w:szCs w:val="24"/>
              </w:rPr>
              <w:t>Stopa sudjelovanja odraslih u cjeloživotnom obrazovanju (dobna skupina 25-64)</w:t>
            </w:r>
          </w:p>
        </w:tc>
        <w:tc>
          <w:tcPr>
            <w:tcW w:w="2268" w:type="dxa"/>
            <w:shd w:val="clear" w:color="auto" w:fill="DAEEF3" w:themeFill="accent5" w:themeFillTint="33"/>
            <w:vAlign w:val="center"/>
          </w:tcPr>
          <w:p w14:paraId="656C0FED" w14:textId="77777777" w:rsidR="00FB178A" w:rsidRPr="00145379" w:rsidRDefault="00FB178A" w:rsidP="009E18ED">
            <w:pPr>
              <w:spacing w:line="276" w:lineRule="auto"/>
              <w:jc w:val="center"/>
              <w:rPr>
                <w:color w:val="000000" w:themeColor="text1"/>
                <w:sz w:val="24"/>
                <w:szCs w:val="24"/>
              </w:rPr>
            </w:pPr>
            <w:r w:rsidRPr="00145379">
              <w:rPr>
                <w:color w:val="000000" w:themeColor="text1"/>
                <w:sz w:val="24"/>
                <w:szCs w:val="24"/>
              </w:rPr>
              <w:t>3,5% (2019.)</w:t>
            </w:r>
          </w:p>
        </w:tc>
        <w:tc>
          <w:tcPr>
            <w:tcW w:w="1843" w:type="dxa"/>
            <w:shd w:val="clear" w:color="auto" w:fill="FFFFFF" w:themeFill="background1"/>
            <w:vAlign w:val="center"/>
          </w:tcPr>
          <w:p w14:paraId="7DABDE6C" w14:textId="77777777" w:rsidR="00FB178A" w:rsidRPr="00145379" w:rsidRDefault="00FB178A" w:rsidP="009E18ED">
            <w:pPr>
              <w:spacing w:line="276" w:lineRule="auto"/>
              <w:jc w:val="center"/>
              <w:rPr>
                <w:color w:val="000000" w:themeColor="text1"/>
                <w:sz w:val="24"/>
                <w:szCs w:val="24"/>
              </w:rPr>
            </w:pPr>
            <w:r w:rsidRPr="00145379">
              <w:rPr>
                <w:color w:val="000000" w:themeColor="text1"/>
                <w:sz w:val="24"/>
                <w:szCs w:val="24"/>
              </w:rPr>
              <w:t>Dostići prosjek EU-a</w:t>
            </w:r>
          </w:p>
        </w:tc>
        <w:tc>
          <w:tcPr>
            <w:tcW w:w="2557" w:type="dxa"/>
            <w:shd w:val="clear" w:color="auto" w:fill="DAEEF3" w:themeFill="accent5" w:themeFillTint="33"/>
            <w:vAlign w:val="center"/>
          </w:tcPr>
          <w:p w14:paraId="4580C195" w14:textId="77777777" w:rsidR="00FB178A" w:rsidRDefault="00FB178A" w:rsidP="009E18ED">
            <w:pPr>
              <w:spacing w:line="276" w:lineRule="auto"/>
              <w:ind w:left="-83"/>
              <w:jc w:val="center"/>
              <w:rPr>
                <w:color w:val="000000" w:themeColor="text1"/>
                <w:sz w:val="24"/>
                <w:szCs w:val="24"/>
              </w:rPr>
            </w:pPr>
            <w:r>
              <w:rPr>
                <w:color w:val="000000" w:themeColor="text1"/>
                <w:sz w:val="24"/>
                <w:szCs w:val="24"/>
              </w:rPr>
              <w:t xml:space="preserve">6,6% </w:t>
            </w:r>
          </w:p>
          <w:p w14:paraId="778F3DC7" w14:textId="77777777" w:rsidR="00FB178A" w:rsidRPr="00145379" w:rsidRDefault="00FB178A" w:rsidP="009E18ED">
            <w:pPr>
              <w:spacing w:line="276" w:lineRule="auto"/>
              <w:ind w:left="-83"/>
              <w:jc w:val="center"/>
              <w:rPr>
                <w:color w:val="000000" w:themeColor="text1"/>
                <w:sz w:val="24"/>
                <w:szCs w:val="24"/>
              </w:rPr>
            </w:pPr>
            <w:r>
              <w:rPr>
                <w:color w:val="000000" w:themeColor="text1"/>
                <w:sz w:val="24"/>
                <w:szCs w:val="24"/>
              </w:rPr>
              <w:t>(2024.)</w:t>
            </w:r>
          </w:p>
        </w:tc>
      </w:tr>
      <w:tr w:rsidR="00FB178A" w:rsidRPr="00145379" w14:paraId="11721F94" w14:textId="77777777" w:rsidTr="009E18ED">
        <w:trPr>
          <w:trHeight w:val="1104"/>
          <w:jc w:val="center"/>
        </w:trPr>
        <w:tc>
          <w:tcPr>
            <w:tcW w:w="2549" w:type="dxa"/>
            <w:shd w:val="clear" w:color="auto" w:fill="FFFFFF" w:themeFill="background1"/>
            <w:vAlign w:val="center"/>
          </w:tcPr>
          <w:p w14:paraId="764EB4FC" w14:textId="77777777" w:rsidR="00FB178A" w:rsidRPr="00145379" w:rsidRDefault="00FB178A" w:rsidP="009E18ED">
            <w:pPr>
              <w:spacing w:line="276" w:lineRule="auto"/>
              <w:ind w:left="142"/>
              <w:rPr>
                <w:color w:val="000000" w:themeColor="text1"/>
                <w:sz w:val="24"/>
                <w:szCs w:val="24"/>
              </w:rPr>
            </w:pPr>
            <w:r w:rsidRPr="00145379">
              <w:rPr>
                <w:color w:val="000000" w:themeColor="text1"/>
                <w:sz w:val="24"/>
                <w:szCs w:val="24"/>
              </w:rPr>
              <w:t>Stopa zaposlenosti (dobna skupina 20-64 godine)</w:t>
            </w:r>
          </w:p>
        </w:tc>
        <w:tc>
          <w:tcPr>
            <w:tcW w:w="2268" w:type="dxa"/>
            <w:shd w:val="clear" w:color="auto" w:fill="DAEEF3" w:themeFill="accent5" w:themeFillTint="33"/>
            <w:vAlign w:val="center"/>
          </w:tcPr>
          <w:p w14:paraId="44820E80" w14:textId="77777777" w:rsidR="00FB178A" w:rsidRPr="00145379" w:rsidRDefault="00FB178A" w:rsidP="009E18ED">
            <w:pPr>
              <w:spacing w:line="276" w:lineRule="auto"/>
              <w:jc w:val="center"/>
              <w:rPr>
                <w:color w:val="000000" w:themeColor="text1"/>
                <w:sz w:val="24"/>
                <w:szCs w:val="24"/>
              </w:rPr>
            </w:pPr>
            <w:r w:rsidRPr="00145379">
              <w:rPr>
                <w:color w:val="000000" w:themeColor="text1"/>
                <w:sz w:val="24"/>
                <w:szCs w:val="24"/>
              </w:rPr>
              <w:t>66,7% (2019.)</w:t>
            </w:r>
          </w:p>
        </w:tc>
        <w:tc>
          <w:tcPr>
            <w:tcW w:w="1843" w:type="dxa"/>
            <w:shd w:val="clear" w:color="auto" w:fill="FFFFFF" w:themeFill="background1"/>
            <w:vAlign w:val="center"/>
          </w:tcPr>
          <w:p w14:paraId="4C730E27" w14:textId="77777777" w:rsidR="00FB178A" w:rsidRPr="00145379" w:rsidRDefault="00FB178A" w:rsidP="009E18ED">
            <w:pPr>
              <w:spacing w:line="276" w:lineRule="auto"/>
              <w:jc w:val="center"/>
              <w:rPr>
                <w:color w:val="000000" w:themeColor="text1"/>
                <w:sz w:val="24"/>
                <w:szCs w:val="24"/>
              </w:rPr>
            </w:pPr>
            <w:r w:rsidRPr="00145379">
              <w:rPr>
                <w:color w:val="000000" w:themeColor="text1"/>
                <w:sz w:val="24"/>
                <w:szCs w:val="24"/>
              </w:rPr>
              <w:t>75%</w:t>
            </w:r>
          </w:p>
        </w:tc>
        <w:tc>
          <w:tcPr>
            <w:tcW w:w="2557" w:type="dxa"/>
            <w:shd w:val="clear" w:color="auto" w:fill="DAEEF3" w:themeFill="accent5" w:themeFillTint="33"/>
            <w:vAlign w:val="center"/>
          </w:tcPr>
          <w:p w14:paraId="74F2DD35" w14:textId="77777777" w:rsidR="00FB178A" w:rsidRDefault="00FB178A" w:rsidP="009E18ED">
            <w:pPr>
              <w:spacing w:line="276" w:lineRule="auto"/>
              <w:ind w:left="-83"/>
              <w:jc w:val="center"/>
              <w:rPr>
                <w:color w:val="000000" w:themeColor="text1"/>
                <w:sz w:val="24"/>
                <w:szCs w:val="24"/>
              </w:rPr>
            </w:pPr>
            <w:r>
              <w:rPr>
                <w:color w:val="000000" w:themeColor="text1"/>
                <w:sz w:val="24"/>
                <w:szCs w:val="24"/>
              </w:rPr>
              <w:t>73,6%</w:t>
            </w:r>
          </w:p>
          <w:p w14:paraId="241D41CD" w14:textId="77777777" w:rsidR="00FB178A" w:rsidRPr="00145379" w:rsidRDefault="00FB178A" w:rsidP="009E18ED">
            <w:pPr>
              <w:spacing w:line="276" w:lineRule="auto"/>
              <w:ind w:left="-83"/>
              <w:jc w:val="center"/>
              <w:rPr>
                <w:color w:val="000000" w:themeColor="text1"/>
                <w:sz w:val="24"/>
                <w:szCs w:val="24"/>
              </w:rPr>
            </w:pPr>
            <w:r>
              <w:rPr>
                <w:color w:val="000000" w:themeColor="text1"/>
                <w:sz w:val="24"/>
                <w:szCs w:val="24"/>
              </w:rPr>
              <w:t>(2024.)</w:t>
            </w:r>
          </w:p>
        </w:tc>
      </w:tr>
      <w:tr w:rsidR="00FB178A" w:rsidRPr="00145379" w14:paraId="03F7E692" w14:textId="77777777" w:rsidTr="009E18ED">
        <w:trPr>
          <w:jc w:val="center"/>
        </w:trPr>
        <w:tc>
          <w:tcPr>
            <w:tcW w:w="2549" w:type="dxa"/>
            <w:shd w:val="clear" w:color="auto" w:fill="FFFFFF" w:themeFill="background1"/>
            <w:vAlign w:val="center"/>
          </w:tcPr>
          <w:p w14:paraId="62323CE4" w14:textId="77777777" w:rsidR="00FB178A" w:rsidRPr="00145379" w:rsidRDefault="00FB178A" w:rsidP="009E18ED">
            <w:pPr>
              <w:spacing w:line="276" w:lineRule="auto"/>
              <w:rPr>
                <w:color w:val="000000" w:themeColor="text1"/>
                <w:sz w:val="24"/>
                <w:szCs w:val="24"/>
              </w:rPr>
            </w:pPr>
            <w:r w:rsidRPr="00145379">
              <w:rPr>
                <w:color w:val="000000" w:themeColor="text1"/>
                <w:sz w:val="24"/>
                <w:szCs w:val="24"/>
              </w:rPr>
              <w:lastRenderedPageBreak/>
              <w:t>Udio privremeno zaposlenih u ukupno zaposlenima (ugovori na određeno vrijeme)</w:t>
            </w:r>
          </w:p>
        </w:tc>
        <w:tc>
          <w:tcPr>
            <w:tcW w:w="2268" w:type="dxa"/>
            <w:shd w:val="clear" w:color="auto" w:fill="DAEEF3" w:themeFill="accent5" w:themeFillTint="33"/>
            <w:vAlign w:val="center"/>
          </w:tcPr>
          <w:p w14:paraId="3C56E5A6" w14:textId="77777777" w:rsidR="00FB178A" w:rsidRPr="00145379" w:rsidRDefault="00FB178A" w:rsidP="009E18ED">
            <w:pPr>
              <w:spacing w:line="276" w:lineRule="auto"/>
              <w:jc w:val="center"/>
              <w:rPr>
                <w:color w:val="000000" w:themeColor="text1"/>
                <w:sz w:val="24"/>
                <w:szCs w:val="24"/>
              </w:rPr>
            </w:pPr>
            <w:r w:rsidRPr="00145379">
              <w:rPr>
                <w:color w:val="000000" w:themeColor="text1"/>
                <w:sz w:val="24"/>
                <w:szCs w:val="24"/>
              </w:rPr>
              <w:t>18,1% (2019.)</w:t>
            </w:r>
          </w:p>
        </w:tc>
        <w:tc>
          <w:tcPr>
            <w:tcW w:w="1843" w:type="dxa"/>
            <w:shd w:val="clear" w:color="auto" w:fill="FFFFFF" w:themeFill="background1"/>
            <w:vAlign w:val="center"/>
          </w:tcPr>
          <w:p w14:paraId="6CB4DD94" w14:textId="77777777" w:rsidR="00FB178A" w:rsidRPr="00145379" w:rsidRDefault="00FB178A" w:rsidP="009E18ED">
            <w:pPr>
              <w:spacing w:line="276" w:lineRule="auto"/>
              <w:jc w:val="center"/>
              <w:rPr>
                <w:color w:val="000000" w:themeColor="text1"/>
                <w:sz w:val="24"/>
                <w:szCs w:val="24"/>
              </w:rPr>
            </w:pPr>
            <w:r w:rsidRPr="00145379">
              <w:rPr>
                <w:color w:val="000000" w:themeColor="text1"/>
                <w:sz w:val="24"/>
                <w:szCs w:val="24"/>
              </w:rPr>
              <w:t>15%</w:t>
            </w:r>
          </w:p>
        </w:tc>
        <w:tc>
          <w:tcPr>
            <w:tcW w:w="2557" w:type="dxa"/>
            <w:shd w:val="clear" w:color="auto" w:fill="DAEEF3" w:themeFill="accent5" w:themeFillTint="33"/>
            <w:vAlign w:val="center"/>
          </w:tcPr>
          <w:p w14:paraId="71A57385" w14:textId="77777777" w:rsidR="00FB178A" w:rsidRDefault="00FB178A" w:rsidP="009E18ED">
            <w:pPr>
              <w:spacing w:line="276" w:lineRule="auto"/>
              <w:ind w:left="-83"/>
              <w:jc w:val="center"/>
              <w:rPr>
                <w:color w:val="000000" w:themeColor="text1"/>
                <w:sz w:val="24"/>
                <w:szCs w:val="24"/>
              </w:rPr>
            </w:pPr>
            <w:r>
              <w:rPr>
                <w:color w:val="000000" w:themeColor="text1"/>
                <w:sz w:val="24"/>
                <w:szCs w:val="24"/>
              </w:rPr>
              <w:t>9%</w:t>
            </w:r>
          </w:p>
          <w:p w14:paraId="734D9FC9" w14:textId="77777777" w:rsidR="00FB178A" w:rsidRPr="00145379" w:rsidRDefault="00FB178A" w:rsidP="009E18ED">
            <w:pPr>
              <w:spacing w:line="276" w:lineRule="auto"/>
              <w:ind w:left="-83"/>
              <w:jc w:val="center"/>
              <w:rPr>
                <w:color w:val="000000" w:themeColor="text1"/>
                <w:sz w:val="24"/>
                <w:szCs w:val="24"/>
              </w:rPr>
            </w:pPr>
            <w:r>
              <w:rPr>
                <w:color w:val="000000" w:themeColor="text1"/>
                <w:sz w:val="24"/>
                <w:szCs w:val="24"/>
              </w:rPr>
              <w:t>(2024.)</w:t>
            </w:r>
          </w:p>
        </w:tc>
      </w:tr>
    </w:tbl>
    <w:p w14:paraId="58552EF4" w14:textId="77777777" w:rsidR="00FB178A" w:rsidRPr="00145379" w:rsidRDefault="00FB178A" w:rsidP="00FB178A">
      <w:pPr>
        <w:rPr>
          <w:sz w:val="24"/>
          <w:szCs w:val="24"/>
        </w:rPr>
      </w:pPr>
      <w:bookmarkStart w:id="62" w:name="_Toc130784354"/>
    </w:p>
    <w:p w14:paraId="56F71E28" w14:textId="77777777" w:rsidR="00FB178A" w:rsidRPr="00145379" w:rsidRDefault="00FB178A" w:rsidP="00FB178A">
      <w:pPr>
        <w:pStyle w:val="Heading3"/>
        <w:rPr>
          <w:color w:val="000000" w:themeColor="text1"/>
        </w:rPr>
      </w:pPr>
      <w:bookmarkStart w:id="63" w:name="_Toc223002928"/>
      <w:bookmarkEnd w:id="62"/>
      <w:r w:rsidRPr="00145379">
        <w:t>2.2. Opis napretka u provedbi strateškog cilja Obrazovani i zaposleni ljudi</w:t>
      </w:r>
      <w:bookmarkEnd w:id="63"/>
    </w:p>
    <w:p w14:paraId="614CC45D" w14:textId="77777777" w:rsidR="00FB178A" w:rsidRPr="0077143F" w:rsidRDefault="00FB178A" w:rsidP="00FB178A">
      <w:pPr>
        <w:spacing w:after="240" w:line="276" w:lineRule="auto"/>
        <w:ind w:firstLine="709"/>
        <w:jc w:val="both"/>
        <w:rPr>
          <w:b/>
          <w:bCs/>
          <w:color w:val="000000" w:themeColor="text1"/>
          <w:sz w:val="24"/>
          <w:szCs w:val="24"/>
        </w:rPr>
      </w:pPr>
      <w:r w:rsidRPr="0077143F">
        <w:rPr>
          <w:b/>
          <w:bCs/>
          <w:color w:val="000000" w:themeColor="text1"/>
          <w:sz w:val="24"/>
          <w:szCs w:val="24"/>
        </w:rPr>
        <w:t>Pristupačnost ranog i predškolskog odgoja i obrazovanja</w:t>
      </w:r>
    </w:p>
    <w:p w14:paraId="591609D6" w14:textId="77777777" w:rsidR="00FB178A" w:rsidRPr="00760071" w:rsidRDefault="00FB178A" w:rsidP="00FB178A">
      <w:pPr>
        <w:spacing w:after="240" w:line="276" w:lineRule="auto"/>
        <w:ind w:firstLine="709"/>
        <w:jc w:val="both"/>
        <w:rPr>
          <w:color w:val="000000" w:themeColor="text1"/>
          <w:sz w:val="24"/>
          <w:szCs w:val="24"/>
        </w:rPr>
      </w:pPr>
      <w:r w:rsidRPr="00C84578">
        <w:rPr>
          <w:color w:val="000000" w:themeColor="text1"/>
          <w:sz w:val="24"/>
          <w:szCs w:val="24"/>
        </w:rPr>
        <w:t>Tijekom pedagoške godine 2024./2025. nastavljen je napredak u povećanju kapaciteta i dostupnosti ranog i predškolskog odgoja i obrazovanja, što predstavlja jedan od ključnih preduvjeta za osiguravanje jednakih mogućnosti u pristupu odgojno-obrazovnim uslugama za svu djecu.</w:t>
      </w:r>
      <w:r>
        <w:rPr>
          <w:color w:val="000000" w:themeColor="text1"/>
          <w:sz w:val="24"/>
          <w:szCs w:val="24"/>
        </w:rPr>
        <w:t xml:space="preserve"> </w:t>
      </w:r>
      <w:r w:rsidRPr="00C84578">
        <w:rPr>
          <w:color w:val="000000" w:themeColor="text1"/>
          <w:sz w:val="24"/>
          <w:szCs w:val="24"/>
        </w:rPr>
        <w:t>U skladu s Nacionalnim planom razvoja sustava obrazovanja za razdoblje do 2027. godine, poseban je naglasak stavljen na daljnje jačanje kapaciteta vrtićke mreže, podizanje kvalitete programa i smanjenje nejednakosti u pristupu među regijama.</w:t>
      </w:r>
      <w:r>
        <w:rPr>
          <w:color w:val="000000" w:themeColor="text1"/>
          <w:sz w:val="24"/>
          <w:szCs w:val="24"/>
        </w:rPr>
        <w:t xml:space="preserve"> </w:t>
      </w:r>
      <w:r w:rsidRPr="00C84578">
        <w:rPr>
          <w:color w:val="000000" w:themeColor="text1"/>
          <w:sz w:val="24"/>
          <w:szCs w:val="24"/>
        </w:rPr>
        <w:t>Broj ustanova (dječjih vrtića i osnovnih škola), kao i drugih izvoditelja programa ranog i predškolskog odgoja i obrazovanja, tijekom pedagoške godine 2024./2025. je povećan za 10, istovremeno je broj odgojno-obrazovnih skupina značajno porastao s 7.297 na 7.529, što znači da su otvorene 232 nove skupine, dok je ukupan broj djece koja redovno pohađaju vrtiće povećan sa 142.388 na 146.209  djece, što je za 3.821 dijete više u odnosu na prethodnu pedagošku godinu.</w:t>
      </w:r>
      <w:r>
        <w:rPr>
          <w:color w:val="000000" w:themeColor="text1"/>
          <w:sz w:val="24"/>
          <w:szCs w:val="24"/>
        </w:rPr>
        <w:t xml:space="preserve"> </w:t>
      </w:r>
      <w:r>
        <w:rPr>
          <w:sz w:val="24"/>
          <w:szCs w:val="24"/>
        </w:rPr>
        <w:t>Prema podacima DZS-a nekim od programa predškolskog odgoja i obrazovanja tijekom pedagoške godine 2024./2025. bilo je obuhvaćeno 157.365 djece, odnosno 2,71% više u odnosu na pedagošku godinu 2023./2024. (153.212 djece). Istovremeno, za 6,4% je porastao broj zaposlenih u ustanovama koje ostvaruju programe predškolskog odgoja, na ukupno 28.090 zaposlenih u pedagoškoj godini 2024./2025. u odnosu na 26.397 zaposlenih u pedagoškoj godini 2023./2024.</w:t>
      </w:r>
    </w:p>
    <w:p w14:paraId="3D843FB8" w14:textId="77777777" w:rsidR="00FB178A" w:rsidRDefault="00FB178A" w:rsidP="00FB178A">
      <w:pPr>
        <w:spacing w:after="240" w:line="276" w:lineRule="auto"/>
        <w:jc w:val="both"/>
        <w:rPr>
          <w:color w:val="000000" w:themeColor="text1"/>
          <w:sz w:val="24"/>
          <w:szCs w:val="24"/>
        </w:rPr>
      </w:pPr>
      <w:r w:rsidRPr="00D20A62">
        <w:rPr>
          <w:sz w:val="24"/>
          <w:szCs w:val="24"/>
        </w:rPr>
        <w:t>S ciljem otvaranja novih 22.500 upisnih mjesta u ustanovama koje provode rani i predškolski odgoj i obrazovanje te doprinosa postizanju ciljanog obuhvata djece ranim i predškolskim odgojem i obrazovanjem od 96% do 2030.</w:t>
      </w:r>
      <w:r>
        <w:rPr>
          <w:sz w:val="24"/>
          <w:szCs w:val="24"/>
        </w:rPr>
        <w:t>,</w:t>
      </w:r>
      <w:r w:rsidRPr="00D10D6D" w:rsidDel="00B23EDE">
        <w:rPr>
          <w:sz w:val="24"/>
          <w:szCs w:val="24"/>
        </w:rPr>
        <w:t xml:space="preserve"> </w:t>
      </w:r>
      <w:r w:rsidRPr="0004221B">
        <w:rPr>
          <w:color w:val="000000" w:themeColor="text1"/>
          <w:sz w:val="24"/>
          <w:szCs w:val="24"/>
        </w:rPr>
        <w:t>nastavljena je provedba infrastrukturn</w:t>
      </w:r>
      <w:r>
        <w:rPr>
          <w:color w:val="000000" w:themeColor="text1"/>
          <w:sz w:val="24"/>
          <w:szCs w:val="24"/>
        </w:rPr>
        <w:t>ih</w:t>
      </w:r>
      <w:r w:rsidRPr="0004221B">
        <w:rPr>
          <w:color w:val="000000" w:themeColor="text1"/>
          <w:sz w:val="24"/>
          <w:szCs w:val="24"/>
        </w:rPr>
        <w:t xml:space="preserve"> ulaganja u </w:t>
      </w:r>
      <w:r>
        <w:rPr>
          <w:color w:val="000000" w:themeColor="text1"/>
          <w:sz w:val="24"/>
          <w:szCs w:val="24"/>
        </w:rPr>
        <w:t xml:space="preserve">objekte dječjih </w:t>
      </w:r>
      <w:r w:rsidRPr="00AB5576">
        <w:rPr>
          <w:color w:val="000000" w:themeColor="text1"/>
          <w:sz w:val="24"/>
          <w:szCs w:val="24"/>
        </w:rPr>
        <w:t>vrtić</w:t>
      </w:r>
      <w:r>
        <w:rPr>
          <w:color w:val="000000" w:themeColor="text1"/>
          <w:sz w:val="24"/>
          <w:szCs w:val="24"/>
        </w:rPr>
        <w:t>a</w:t>
      </w:r>
      <w:r w:rsidRPr="0004221B">
        <w:rPr>
          <w:color w:val="000000" w:themeColor="text1"/>
          <w:sz w:val="24"/>
          <w:szCs w:val="24"/>
        </w:rPr>
        <w:t>.</w:t>
      </w:r>
      <w:r>
        <w:rPr>
          <w:color w:val="000000" w:themeColor="text1"/>
          <w:sz w:val="24"/>
          <w:szCs w:val="24"/>
        </w:rPr>
        <w:t xml:space="preserve"> </w:t>
      </w:r>
      <w:r w:rsidRPr="00F45F18">
        <w:rPr>
          <w:color w:val="000000" w:themeColor="text1"/>
          <w:sz w:val="24"/>
          <w:szCs w:val="24"/>
        </w:rPr>
        <w:t>U okviru NPOO investicije „</w:t>
      </w:r>
      <w:r w:rsidRPr="0004221B">
        <w:rPr>
          <w:sz w:val="24"/>
          <w:szCs w:val="24"/>
        </w:rPr>
        <w:t xml:space="preserve">Izgradnja, dogradnja, rekonstrukcija i opremanje predškolskih ustanova“ (ref.br: C3.1.R1-I1) nastavljena je provedba infrastrukturnih ulaganja s ciljem povećanja stope sudjelovanja djece predškolske dobi u ranom i predškolskom odgoju i obrazovanju. </w:t>
      </w:r>
      <w:r>
        <w:rPr>
          <w:sz w:val="24"/>
          <w:szCs w:val="24"/>
        </w:rPr>
        <w:t>U</w:t>
      </w:r>
      <w:r w:rsidRPr="00F45F18">
        <w:rPr>
          <w:color w:val="000000" w:themeColor="text1"/>
          <w:sz w:val="24"/>
          <w:szCs w:val="24"/>
        </w:rPr>
        <w:t xml:space="preserve"> provedbi je </w:t>
      </w:r>
      <w:r>
        <w:rPr>
          <w:color w:val="000000" w:themeColor="text1"/>
          <w:sz w:val="24"/>
          <w:szCs w:val="24"/>
        </w:rPr>
        <w:t xml:space="preserve">ukupno </w:t>
      </w:r>
      <w:r w:rsidRPr="00F45F18">
        <w:rPr>
          <w:color w:val="000000" w:themeColor="text1"/>
          <w:sz w:val="24"/>
          <w:szCs w:val="24"/>
        </w:rPr>
        <w:t>345</w:t>
      </w:r>
      <w:r>
        <w:rPr>
          <w:color w:val="000000" w:themeColor="text1"/>
          <w:sz w:val="24"/>
          <w:szCs w:val="24"/>
        </w:rPr>
        <w:t xml:space="preserve"> projekata i</w:t>
      </w:r>
      <w:r w:rsidRPr="0063346E">
        <w:rPr>
          <w:color w:val="000000" w:themeColor="text1"/>
          <w:sz w:val="24"/>
          <w:szCs w:val="24"/>
        </w:rPr>
        <w:t>zgradnj</w:t>
      </w:r>
      <w:r>
        <w:rPr>
          <w:color w:val="000000" w:themeColor="text1"/>
          <w:sz w:val="24"/>
          <w:szCs w:val="24"/>
        </w:rPr>
        <w:t>e</w:t>
      </w:r>
      <w:r w:rsidRPr="0063346E">
        <w:rPr>
          <w:color w:val="000000" w:themeColor="text1"/>
          <w:sz w:val="24"/>
          <w:szCs w:val="24"/>
        </w:rPr>
        <w:t>, dogradnj</w:t>
      </w:r>
      <w:r>
        <w:rPr>
          <w:color w:val="000000" w:themeColor="text1"/>
          <w:sz w:val="24"/>
          <w:szCs w:val="24"/>
        </w:rPr>
        <w:t>e</w:t>
      </w:r>
      <w:r w:rsidRPr="0063346E">
        <w:rPr>
          <w:color w:val="000000" w:themeColor="text1"/>
          <w:sz w:val="24"/>
          <w:szCs w:val="24"/>
        </w:rPr>
        <w:t>, rekonstrukcij</w:t>
      </w:r>
      <w:r>
        <w:rPr>
          <w:color w:val="000000" w:themeColor="text1"/>
          <w:sz w:val="24"/>
          <w:szCs w:val="24"/>
        </w:rPr>
        <w:t>e</w:t>
      </w:r>
      <w:r w:rsidRPr="0063346E">
        <w:rPr>
          <w:color w:val="000000" w:themeColor="text1"/>
          <w:sz w:val="24"/>
          <w:szCs w:val="24"/>
        </w:rPr>
        <w:t xml:space="preserve"> i opremanj</w:t>
      </w:r>
      <w:r>
        <w:rPr>
          <w:color w:val="000000" w:themeColor="text1"/>
          <w:sz w:val="24"/>
          <w:szCs w:val="24"/>
        </w:rPr>
        <w:t>a</w:t>
      </w:r>
      <w:r w:rsidRPr="0063346E">
        <w:rPr>
          <w:color w:val="000000" w:themeColor="text1"/>
          <w:sz w:val="24"/>
          <w:szCs w:val="24"/>
        </w:rPr>
        <w:t xml:space="preserve"> predškolskih ustanova</w:t>
      </w:r>
      <w:r>
        <w:rPr>
          <w:color w:val="000000" w:themeColor="text1"/>
          <w:sz w:val="24"/>
          <w:szCs w:val="24"/>
        </w:rPr>
        <w:t>,</w:t>
      </w:r>
      <w:r w:rsidRPr="00F45F18">
        <w:rPr>
          <w:color w:val="000000" w:themeColor="text1"/>
          <w:sz w:val="24"/>
          <w:szCs w:val="24"/>
        </w:rPr>
        <w:t xml:space="preserve"> ugovor</w:t>
      </w:r>
      <w:r>
        <w:rPr>
          <w:color w:val="000000" w:themeColor="text1"/>
          <w:sz w:val="24"/>
          <w:szCs w:val="24"/>
        </w:rPr>
        <w:t>enih</w:t>
      </w:r>
      <w:r w:rsidRPr="00F45F18">
        <w:rPr>
          <w:color w:val="000000" w:themeColor="text1"/>
          <w:sz w:val="24"/>
          <w:szCs w:val="24"/>
        </w:rPr>
        <w:t xml:space="preserve"> u </w:t>
      </w:r>
      <w:r>
        <w:rPr>
          <w:color w:val="000000" w:themeColor="text1"/>
          <w:sz w:val="24"/>
          <w:szCs w:val="24"/>
        </w:rPr>
        <w:t>okviru</w:t>
      </w:r>
      <w:r w:rsidRPr="00F45F18">
        <w:rPr>
          <w:color w:val="000000" w:themeColor="text1"/>
          <w:sz w:val="24"/>
          <w:szCs w:val="24"/>
        </w:rPr>
        <w:t xml:space="preserve"> Poziva </w:t>
      </w:r>
      <w:r>
        <w:rPr>
          <w:color w:val="000000" w:themeColor="text1"/>
          <w:sz w:val="24"/>
          <w:szCs w:val="24"/>
        </w:rPr>
        <w:t>„</w:t>
      </w:r>
      <w:r w:rsidRPr="00F45F18">
        <w:rPr>
          <w:color w:val="000000" w:themeColor="text1"/>
          <w:sz w:val="24"/>
          <w:szCs w:val="24"/>
        </w:rPr>
        <w:t xml:space="preserve">Izgradnja, dogradnja, rekonstrukcija i opremanje predškolskih ustanova, </w:t>
      </w:r>
      <w:r>
        <w:rPr>
          <w:color w:val="000000" w:themeColor="text1"/>
          <w:sz w:val="24"/>
          <w:szCs w:val="24"/>
        </w:rPr>
        <w:t>1. i 2.</w:t>
      </w:r>
      <w:r w:rsidRPr="00F45F18">
        <w:rPr>
          <w:color w:val="000000" w:themeColor="text1"/>
          <w:sz w:val="24"/>
          <w:szCs w:val="24"/>
        </w:rPr>
        <w:t xml:space="preserve"> poziv</w:t>
      </w:r>
      <w:r>
        <w:rPr>
          <w:color w:val="000000" w:themeColor="text1"/>
          <w:sz w:val="24"/>
          <w:szCs w:val="24"/>
        </w:rPr>
        <w:t xml:space="preserve">“  te je tijekom 2024. korisnicima u okviru Poziva isplaćeno 46,3 milijuna eura </w:t>
      </w:r>
      <w:r w:rsidRPr="00F45F18">
        <w:rPr>
          <w:color w:val="000000" w:themeColor="text1"/>
          <w:sz w:val="24"/>
          <w:szCs w:val="24"/>
        </w:rPr>
        <w:t xml:space="preserve">bespovratnih sredstava. </w:t>
      </w:r>
      <w:r>
        <w:rPr>
          <w:color w:val="000000" w:themeColor="text1"/>
          <w:sz w:val="24"/>
          <w:szCs w:val="24"/>
        </w:rPr>
        <w:t>Nadalje, u</w:t>
      </w:r>
      <w:r w:rsidRPr="0004221B">
        <w:rPr>
          <w:color w:val="000000" w:themeColor="text1"/>
          <w:sz w:val="24"/>
          <w:szCs w:val="24"/>
        </w:rPr>
        <w:t xml:space="preserve"> svibnju 2024. objavljen je Poziv</w:t>
      </w:r>
      <w:r>
        <w:rPr>
          <w:color w:val="000000" w:themeColor="text1"/>
          <w:sz w:val="24"/>
          <w:szCs w:val="24"/>
        </w:rPr>
        <w:t xml:space="preserve"> „</w:t>
      </w:r>
      <w:r w:rsidRPr="0004221B">
        <w:rPr>
          <w:color w:val="000000" w:themeColor="text1"/>
          <w:sz w:val="24"/>
          <w:szCs w:val="24"/>
        </w:rPr>
        <w:t xml:space="preserve">Osiguravanje infrastrukturnih uvjeta za </w:t>
      </w:r>
      <w:r w:rsidRPr="002F036F">
        <w:rPr>
          <w:color w:val="000000" w:themeColor="text1"/>
          <w:sz w:val="24"/>
          <w:szCs w:val="24"/>
        </w:rPr>
        <w:t>povećanje</w:t>
      </w:r>
      <w:r w:rsidRPr="0004221B">
        <w:rPr>
          <w:color w:val="000000" w:themeColor="text1"/>
          <w:sz w:val="24"/>
          <w:szCs w:val="24"/>
        </w:rPr>
        <w:t xml:space="preserve"> dostupnosti</w:t>
      </w:r>
      <w:r>
        <w:rPr>
          <w:color w:val="000000" w:themeColor="text1"/>
          <w:sz w:val="24"/>
          <w:szCs w:val="24"/>
        </w:rPr>
        <w:t xml:space="preserve"> </w:t>
      </w:r>
      <w:r w:rsidRPr="0004221B">
        <w:rPr>
          <w:color w:val="000000" w:themeColor="text1"/>
          <w:sz w:val="24"/>
          <w:szCs w:val="24"/>
        </w:rPr>
        <w:t xml:space="preserve">ranog i </w:t>
      </w:r>
      <w:r w:rsidRPr="002F036F">
        <w:rPr>
          <w:color w:val="000000" w:themeColor="text1"/>
          <w:sz w:val="24"/>
          <w:szCs w:val="24"/>
        </w:rPr>
        <w:t>predškolskog</w:t>
      </w:r>
      <w:r w:rsidRPr="0004221B">
        <w:rPr>
          <w:color w:val="000000" w:themeColor="text1"/>
          <w:sz w:val="24"/>
          <w:szCs w:val="24"/>
        </w:rPr>
        <w:t xml:space="preserve"> odgoja i obrazovanja</w:t>
      </w:r>
      <w:r>
        <w:rPr>
          <w:color w:val="000000" w:themeColor="text1"/>
          <w:sz w:val="24"/>
          <w:szCs w:val="24"/>
        </w:rPr>
        <w:t>“, vrijedan</w:t>
      </w:r>
      <w:r w:rsidRPr="00456706">
        <w:rPr>
          <w:color w:val="000000" w:themeColor="text1"/>
          <w:sz w:val="24"/>
          <w:szCs w:val="24"/>
        </w:rPr>
        <w:t xml:space="preserve"> više od 45 milijuna eura bespovratnih sredstava iz PKK 2021.-2027.</w:t>
      </w:r>
      <w:r w:rsidRPr="0004221B">
        <w:rPr>
          <w:color w:val="000000" w:themeColor="text1"/>
          <w:sz w:val="24"/>
          <w:szCs w:val="24"/>
        </w:rPr>
        <w:t xml:space="preserve"> </w:t>
      </w:r>
      <w:r>
        <w:rPr>
          <w:color w:val="000000" w:themeColor="text1"/>
          <w:sz w:val="24"/>
          <w:szCs w:val="24"/>
        </w:rPr>
        <w:t>U</w:t>
      </w:r>
      <w:r w:rsidRPr="0004221B">
        <w:rPr>
          <w:color w:val="000000" w:themeColor="text1"/>
          <w:sz w:val="24"/>
          <w:szCs w:val="24"/>
        </w:rPr>
        <w:t>govaranje</w:t>
      </w:r>
      <w:r>
        <w:rPr>
          <w:color w:val="000000" w:themeColor="text1"/>
          <w:sz w:val="24"/>
          <w:szCs w:val="24"/>
        </w:rPr>
        <w:t xml:space="preserve"> zaprimljenih projekata se</w:t>
      </w:r>
      <w:r w:rsidRPr="0004221B">
        <w:rPr>
          <w:color w:val="000000" w:themeColor="text1"/>
          <w:sz w:val="24"/>
          <w:szCs w:val="24"/>
        </w:rPr>
        <w:t xml:space="preserve"> </w:t>
      </w:r>
      <w:r w:rsidRPr="002F036F">
        <w:rPr>
          <w:color w:val="000000" w:themeColor="text1"/>
          <w:sz w:val="24"/>
          <w:szCs w:val="24"/>
        </w:rPr>
        <w:t>očekuje</w:t>
      </w:r>
      <w:r w:rsidRPr="0004221B">
        <w:rPr>
          <w:color w:val="000000" w:themeColor="text1"/>
          <w:sz w:val="24"/>
          <w:szCs w:val="24"/>
        </w:rPr>
        <w:t xml:space="preserve"> </w:t>
      </w:r>
      <w:r>
        <w:rPr>
          <w:color w:val="000000" w:themeColor="text1"/>
          <w:sz w:val="24"/>
          <w:szCs w:val="24"/>
        </w:rPr>
        <w:t xml:space="preserve">u </w:t>
      </w:r>
      <w:r w:rsidRPr="0004221B">
        <w:rPr>
          <w:color w:val="000000" w:themeColor="text1"/>
          <w:sz w:val="24"/>
          <w:szCs w:val="24"/>
        </w:rPr>
        <w:t>2025.</w:t>
      </w:r>
      <w:r>
        <w:rPr>
          <w:color w:val="000000" w:themeColor="text1"/>
          <w:sz w:val="24"/>
          <w:szCs w:val="24"/>
        </w:rPr>
        <w:t xml:space="preserve"> godini,</w:t>
      </w:r>
      <w:r w:rsidRPr="0004221B">
        <w:rPr>
          <w:color w:val="000000" w:themeColor="text1"/>
          <w:sz w:val="24"/>
          <w:szCs w:val="24"/>
        </w:rPr>
        <w:t xml:space="preserve"> </w:t>
      </w:r>
      <w:r>
        <w:rPr>
          <w:color w:val="000000" w:themeColor="text1"/>
          <w:sz w:val="24"/>
          <w:szCs w:val="24"/>
        </w:rPr>
        <w:t>a</w:t>
      </w:r>
      <w:r w:rsidRPr="00C55D73">
        <w:rPr>
          <w:color w:val="000000" w:themeColor="text1"/>
          <w:sz w:val="24"/>
          <w:szCs w:val="24"/>
        </w:rPr>
        <w:t xml:space="preserve"> </w:t>
      </w:r>
      <w:r>
        <w:rPr>
          <w:color w:val="000000" w:themeColor="text1"/>
          <w:sz w:val="24"/>
          <w:szCs w:val="24"/>
        </w:rPr>
        <w:t xml:space="preserve">osigurana su i dodatna proračunska </w:t>
      </w:r>
      <w:r>
        <w:rPr>
          <w:color w:val="000000" w:themeColor="text1"/>
          <w:sz w:val="24"/>
          <w:szCs w:val="24"/>
        </w:rPr>
        <w:lastRenderedPageBreak/>
        <w:t>sredstva za</w:t>
      </w:r>
      <w:r w:rsidRPr="0004221B">
        <w:rPr>
          <w:color w:val="000000" w:themeColor="text1"/>
          <w:sz w:val="24"/>
          <w:szCs w:val="24"/>
        </w:rPr>
        <w:t xml:space="preserve"> dodjelu</w:t>
      </w:r>
      <w:r>
        <w:rPr>
          <w:color w:val="000000" w:themeColor="text1"/>
          <w:sz w:val="24"/>
          <w:szCs w:val="24"/>
        </w:rPr>
        <w:t xml:space="preserve"> slabije razvijenim </w:t>
      </w:r>
      <w:r w:rsidRPr="0004221B">
        <w:rPr>
          <w:color w:val="000000" w:themeColor="text1"/>
          <w:sz w:val="24"/>
          <w:szCs w:val="24"/>
        </w:rPr>
        <w:t>jedinicama lokalne samouprave</w:t>
      </w:r>
      <w:r>
        <w:rPr>
          <w:color w:val="000000" w:themeColor="text1"/>
          <w:sz w:val="24"/>
          <w:szCs w:val="24"/>
        </w:rPr>
        <w:t>,</w:t>
      </w:r>
      <w:r w:rsidRPr="0004221B">
        <w:rPr>
          <w:color w:val="000000" w:themeColor="text1"/>
          <w:sz w:val="24"/>
          <w:szCs w:val="24"/>
        </w:rPr>
        <w:t xml:space="preserve"> </w:t>
      </w:r>
      <w:r>
        <w:rPr>
          <w:color w:val="000000" w:themeColor="text1"/>
          <w:sz w:val="24"/>
          <w:szCs w:val="24"/>
        </w:rPr>
        <w:t>radi osiguravanja</w:t>
      </w:r>
      <w:r w:rsidRPr="0004221B">
        <w:rPr>
          <w:color w:val="000000" w:themeColor="text1"/>
          <w:sz w:val="24"/>
          <w:szCs w:val="24"/>
        </w:rPr>
        <w:t xml:space="preserve"> zavr</w:t>
      </w:r>
      <w:r>
        <w:rPr>
          <w:color w:val="000000" w:themeColor="text1"/>
          <w:sz w:val="24"/>
          <w:szCs w:val="24"/>
        </w:rPr>
        <w:t>š</w:t>
      </w:r>
      <w:r w:rsidRPr="0004221B">
        <w:rPr>
          <w:color w:val="000000" w:themeColor="text1"/>
          <w:sz w:val="24"/>
          <w:szCs w:val="24"/>
        </w:rPr>
        <w:t>etk</w:t>
      </w:r>
      <w:r>
        <w:rPr>
          <w:color w:val="000000" w:themeColor="text1"/>
          <w:sz w:val="24"/>
          <w:szCs w:val="24"/>
        </w:rPr>
        <w:t>a ranije pokrenutih</w:t>
      </w:r>
      <w:r w:rsidRPr="0004221B">
        <w:rPr>
          <w:color w:val="000000" w:themeColor="text1"/>
          <w:sz w:val="24"/>
          <w:szCs w:val="24"/>
        </w:rPr>
        <w:t xml:space="preserve"> infrastrukturnih </w:t>
      </w:r>
      <w:r>
        <w:rPr>
          <w:color w:val="000000" w:themeColor="text1"/>
          <w:sz w:val="24"/>
          <w:szCs w:val="24"/>
        </w:rPr>
        <w:t>projekata ulaganja u objekte predškolskih ustanova</w:t>
      </w:r>
      <w:r w:rsidRPr="0004221B">
        <w:rPr>
          <w:color w:val="000000" w:themeColor="text1"/>
          <w:sz w:val="24"/>
          <w:szCs w:val="24"/>
        </w:rPr>
        <w:t>.</w:t>
      </w:r>
      <w:r>
        <w:rPr>
          <w:color w:val="000000" w:themeColor="text1"/>
          <w:sz w:val="24"/>
          <w:szCs w:val="24"/>
        </w:rPr>
        <w:t xml:space="preserve"> </w:t>
      </w:r>
    </w:p>
    <w:p w14:paraId="158D3BAE" w14:textId="77777777" w:rsidR="00FB178A" w:rsidRDefault="00FB178A" w:rsidP="00FB178A">
      <w:pPr>
        <w:spacing w:after="240" w:line="276" w:lineRule="auto"/>
        <w:jc w:val="both"/>
        <w:rPr>
          <w:color w:val="000000" w:themeColor="text1"/>
          <w:sz w:val="24"/>
          <w:szCs w:val="24"/>
        </w:rPr>
      </w:pPr>
      <w:r>
        <w:rPr>
          <w:color w:val="000000" w:themeColor="text1"/>
          <w:sz w:val="24"/>
          <w:szCs w:val="24"/>
        </w:rPr>
        <w:t>Radi jačanja fiskalne održivosti sustava predškolskog odgoja i obrazovanja, u</w:t>
      </w:r>
      <w:r w:rsidRPr="0004221B">
        <w:rPr>
          <w:color w:val="000000" w:themeColor="text1"/>
          <w:sz w:val="24"/>
          <w:szCs w:val="24"/>
        </w:rPr>
        <w:t xml:space="preserve"> </w:t>
      </w:r>
      <w:r>
        <w:rPr>
          <w:color w:val="000000" w:themeColor="text1"/>
          <w:sz w:val="24"/>
          <w:szCs w:val="24"/>
        </w:rPr>
        <w:t>skladu s</w:t>
      </w:r>
      <w:r w:rsidRPr="0004221B">
        <w:rPr>
          <w:color w:val="000000" w:themeColor="text1"/>
          <w:sz w:val="24"/>
          <w:szCs w:val="24"/>
        </w:rPr>
        <w:t xml:space="preserve"> Uredb</w:t>
      </w:r>
      <w:r>
        <w:rPr>
          <w:color w:val="000000" w:themeColor="text1"/>
          <w:sz w:val="24"/>
          <w:szCs w:val="24"/>
        </w:rPr>
        <w:t>om</w:t>
      </w:r>
      <w:r w:rsidRPr="0004221B">
        <w:rPr>
          <w:color w:val="000000" w:themeColor="text1"/>
          <w:sz w:val="24"/>
          <w:szCs w:val="24"/>
        </w:rPr>
        <w:t xml:space="preserve"> o kriterijima i mjerilima za </w:t>
      </w:r>
      <w:r w:rsidRPr="002F036F">
        <w:rPr>
          <w:color w:val="000000" w:themeColor="text1"/>
          <w:sz w:val="24"/>
          <w:szCs w:val="24"/>
        </w:rPr>
        <w:t>utvrđivanje</w:t>
      </w:r>
      <w:r w:rsidRPr="0004221B">
        <w:rPr>
          <w:color w:val="000000" w:themeColor="text1"/>
          <w:sz w:val="24"/>
          <w:szCs w:val="24"/>
        </w:rPr>
        <w:t xml:space="preserve"> iznosa sredstva za</w:t>
      </w:r>
      <w:r>
        <w:rPr>
          <w:color w:val="000000" w:themeColor="text1"/>
          <w:sz w:val="24"/>
          <w:szCs w:val="24"/>
        </w:rPr>
        <w:t xml:space="preserve"> </w:t>
      </w:r>
      <w:r w:rsidRPr="0004221B">
        <w:rPr>
          <w:color w:val="000000" w:themeColor="text1"/>
          <w:sz w:val="24"/>
          <w:szCs w:val="24"/>
        </w:rPr>
        <w:t xml:space="preserve">fiskalnu </w:t>
      </w:r>
      <w:r w:rsidRPr="002F036F">
        <w:rPr>
          <w:color w:val="000000" w:themeColor="text1"/>
          <w:sz w:val="24"/>
          <w:szCs w:val="24"/>
        </w:rPr>
        <w:t>održivost</w:t>
      </w:r>
      <w:r w:rsidRPr="0004221B">
        <w:rPr>
          <w:color w:val="000000" w:themeColor="text1"/>
          <w:sz w:val="24"/>
          <w:szCs w:val="24"/>
        </w:rPr>
        <w:t xml:space="preserve"> </w:t>
      </w:r>
      <w:r w:rsidRPr="002F036F">
        <w:rPr>
          <w:color w:val="000000" w:themeColor="text1"/>
          <w:sz w:val="24"/>
          <w:szCs w:val="24"/>
        </w:rPr>
        <w:t>dječjih</w:t>
      </w:r>
      <w:r w:rsidRPr="0004221B">
        <w:rPr>
          <w:color w:val="000000" w:themeColor="text1"/>
          <w:sz w:val="24"/>
          <w:szCs w:val="24"/>
        </w:rPr>
        <w:t xml:space="preserve"> </w:t>
      </w:r>
      <w:r w:rsidRPr="002F036F">
        <w:rPr>
          <w:color w:val="000000" w:themeColor="text1"/>
          <w:sz w:val="24"/>
          <w:szCs w:val="24"/>
        </w:rPr>
        <w:t>vrtića</w:t>
      </w:r>
      <w:r>
        <w:rPr>
          <w:color w:val="000000" w:themeColor="text1"/>
          <w:sz w:val="24"/>
          <w:szCs w:val="24"/>
        </w:rPr>
        <w:t xml:space="preserve"> („Narodne novine“, broj 109/23.),</w:t>
      </w:r>
      <w:r w:rsidRPr="0004221B">
        <w:rPr>
          <w:color w:val="000000" w:themeColor="text1"/>
          <w:sz w:val="24"/>
          <w:szCs w:val="24"/>
        </w:rPr>
        <w:t xml:space="preserve"> </w:t>
      </w:r>
      <w:r w:rsidRPr="00B23F9E">
        <w:rPr>
          <w:color w:val="000000" w:themeColor="text1"/>
          <w:sz w:val="24"/>
          <w:szCs w:val="24"/>
        </w:rPr>
        <w:t>Vlada</w:t>
      </w:r>
      <w:r>
        <w:rPr>
          <w:color w:val="000000" w:themeColor="text1"/>
          <w:sz w:val="24"/>
          <w:szCs w:val="24"/>
        </w:rPr>
        <w:t xml:space="preserve"> Republike Hrvatske</w:t>
      </w:r>
      <w:r w:rsidRPr="00B23F9E">
        <w:rPr>
          <w:color w:val="000000" w:themeColor="text1"/>
          <w:sz w:val="24"/>
          <w:szCs w:val="24"/>
        </w:rPr>
        <w:t xml:space="preserve"> je donijela Odluku o dodjeli sredstava za fiskalnu održivost dječjih vrtića za pedagošku godinu 2023./2024. te potom i za pedagošku godinu 2024./2025. </w:t>
      </w:r>
      <w:r>
        <w:rPr>
          <w:color w:val="000000" w:themeColor="text1"/>
          <w:sz w:val="24"/>
          <w:szCs w:val="24"/>
        </w:rPr>
        <w:t>Temeljem</w:t>
      </w:r>
      <w:r w:rsidRPr="00B23F9E">
        <w:rPr>
          <w:color w:val="000000" w:themeColor="text1"/>
          <w:sz w:val="24"/>
          <w:szCs w:val="24"/>
        </w:rPr>
        <w:t xml:space="preserve"> </w:t>
      </w:r>
      <w:r>
        <w:rPr>
          <w:color w:val="000000" w:themeColor="text1"/>
          <w:sz w:val="24"/>
          <w:szCs w:val="24"/>
        </w:rPr>
        <w:t xml:space="preserve">navedenih odluka Vlade </w:t>
      </w:r>
      <w:r>
        <w:rPr>
          <w:color w:val="000000"/>
          <w:kern w:val="2"/>
          <w:sz w:val="24"/>
          <w:lang w:eastAsia="hr-HR"/>
          <w14:ligatures w14:val="standardContextual"/>
        </w:rPr>
        <w:t>Republike Hrvatske</w:t>
      </w:r>
      <w:r>
        <w:rPr>
          <w:color w:val="000000" w:themeColor="text1"/>
          <w:sz w:val="24"/>
          <w:szCs w:val="24"/>
        </w:rPr>
        <w:t>,</w:t>
      </w:r>
      <w:r w:rsidRPr="00B23F9E">
        <w:rPr>
          <w:color w:val="000000" w:themeColor="text1"/>
          <w:sz w:val="24"/>
          <w:szCs w:val="24"/>
        </w:rPr>
        <w:t xml:space="preserve"> sredstva </w:t>
      </w:r>
      <w:r>
        <w:rPr>
          <w:color w:val="000000" w:themeColor="text1"/>
          <w:sz w:val="24"/>
          <w:szCs w:val="24"/>
        </w:rPr>
        <w:t xml:space="preserve">za jačanje fiskalne održivosti </w:t>
      </w:r>
      <w:r w:rsidRPr="00B23F9E">
        <w:rPr>
          <w:color w:val="000000" w:themeColor="text1"/>
          <w:sz w:val="24"/>
          <w:szCs w:val="24"/>
        </w:rPr>
        <w:t>os</w:t>
      </w:r>
      <w:r>
        <w:rPr>
          <w:color w:val="000000" w:themeColor="text1"/>
          <w:sz w:val="24"/>
          <w:szCs w:val="24"/>
        </w:rPr>
        <w:t xml:space="preserve">igurana su za </w:t>
      </w:r>
      <w:r w:rsidRPr="00B23F9E">
        <w:rPr>
          <w:color w:val="000000" w:themeColor="text1"/>
          <w:sz w:val="24"/>
          <w:szCs w:val="24"/>
        </w:rPr>
        <w:t>432 jedinice lokalne samouprave</w:t>
      </w:r>
      <w:r>
        <w:rPr>
          <w:color w:val="000000" w:themeColor="text1"/>
          <w:sz w:val="24"/>
          <w:szCs w:val="24"/>
        </w:rPr>
        <w:t>,</w:t>
      </w:r>
      <w:r w:rsidRPr="00B23F9E">
        <w:rPr>
          <w:color w:val="000000" w:themeColor="text1"/>
          <w:sz w:val="24"/>
          <w:szCs w:val="24"/>
        </w:rPr>
        <w:t xml:space="preserve"> kao dodatni izvor financiranja </w:t>
      </w:r>
      <w:r w:rsidRPr="006977F2">
        <w:rPr>
          <w:color w:val="000000" w:themeColor="text1"/>
          <w:sz w:val="24"/>
          <w:szCs w:val="24"/>
        </w:rPr>
        <w:t>ranog i predškolskog odgoja i obrazovanja</w:t>
      </w:r>
      <w:r w:rsidRPr="00B23F9E">
        <w:rPr>
          <w:color w:val="000000" w:themeColor="text1"/>
          <w:sz w:val="24"/>
          <w:szCs w:val="24"/>
        </w:rPr>
        <w:t xml:space="preserve"> u javnim </w:t>
      </w:r>
      <w:r>
        <w:rPr>
          <w:color w:val="000000" w:themeColor="text1"/>
          <w:sz w:val="24"/>
          <w:szCs w:val="24"/>
        </w:rPr>
        <w:t xml:space="preserve">i privatnim </w:t>
      </w:r>
      <w:r w:rsidRPr="00B23F9E">
        <w:rPr>
          <w:color w:val="000000" w:themeColor="text1"/>
          <w:sz w:val="24"/>
          <w:szCs w:val="24"/>
        </w:rPr>
        <w:t>vrtićima</w:t>
      </w:r>
      <w:r>
        <w:rPr>
          <w:color w:val="000000" w:themeColor="text1"/>
          <w:sz w:val="24"/>
          <w:szCs w:val="24"/>
        </w:rPr>
        <w:t xml:space="preserve">. Ukupno je </w:t>
      </w:r>
      <w:r w:rsidRPr="00637FCC">
        <w:rPr>
          <w:color w:val="000000" w:themeColor="text1"/>
          <w:sz w:val="24"/>
          <w:szCs w:val="24"/>
        </w:rPr>
        <w:t xml:space="preserve">tijekom 2024. </w:t>
      </w:r>
      <w:r>
        <w:rPr>
          <w:color w:val="000000" w:themeColor="text1"/>
          <w:sz w:val="24"/>
          <w:szCs w:val="24"/>
        </w:rPr>
        <w:t xml:space="preserve">za jačanje fiskalne održivosti ranog i predškolskog odgoja i obrazovanja jedinicama lokalne samouprave osigurano 79,56 milijuna eura, čime se doprinosi povećanju </w:t>
      </w:r>
      <w:r w:rsidRPr="0004221B">
        <w:rPr>
          <w:color w:val="000000" w:themeColor="text1"/>
          <w:sz w:val="24"/>
          <w:szCs w:val="24"/>
        </w:rPr>
        <w:t>dostupnost</w:t>
      </w:r>
      <w:r>
        <w:rPr>
          <w:color w:val="000000" w:themeColor="text1"/>
          <w:sz w:val="24"/>
          <w:szCs w:val="24"/>
        </w:rPr>
        <w:t>i</w:t>
      </w:r>
      <w:r w:rsidRPr="0004221B">
        <w:rPr>
          <w:color w:val="000000" w:themeColor="text1"/>
          <w:sz w:val="24"/>
          <w:szCs w:val="24"/>
        </w:rPr>
        <w:t xml:space="preserve">, </w:t>
      </w:r>
      <w:r w:rsidRPr="00AA22AB">
        <w:rPr>
          <w:color w:val="000000" w:themeColor="text1"/>
          <w:sz w:val="24"/>
          <w:szCs w:val="24"/>
        </w:rPr>
        <w:t>održivost</w:t>
      </w:r>
      <w:r>
        <w:rPr>
          <w:color w:val="000000" w:themeColor="text1"/>
          <w:sz w:val="24"/>
          <w:szCs w:val="24"/>
        </w:rPr>
        <w:t>i</w:t>
      </w:r>
      <w:r w:rsidRPr="0004221B">
        <w:rPr>
          <w:color w:val="000000" w:themeColor="text1"/>
          <w:sz w:val="24"/>
          <w:szCs w:val="24"/>
        </w:rPr>
        <w:t xml:space="preserve"> i</w:t>
      </w:r>
      <w:r>
        <w:rPr>
          <w:color w:val="000000" w:themeColor="text1"/>
          <w:sz w:val="24"/>
          <w:szCs w:val="24"/>
        </w:rPr>
        <w:t xml:space="preserve"> </w:t>
      </w:r>
      <w:r w:rsidRPr="002F036F">
        <w:rPr>
          <w:color w:val="000000" w:themeColor="text1"/>
          <w:sz w:val="24"/>
          <w:szCs w:val="24"/>
        </w:rPr>
        <w:t>priuštiv</w:t>
      </w:r>
      <w:r>
        <w:rPr>
          <w:color w:val="000000" w:themeColor="text1"/>
          <w:sz w:val="24"/>
          <w:szCs w:val="24"/>
        </w:rPr>
        <w:t>osti</w:t>
      </w:r>
      <w:r w:rsidRPr="0004221B">
        <w:rPr>
          <w:color w:val="000000" w:themeColor="text1"/>
          <w:sz w:val="24"/>
          <w:szCs w:val="24"/>
        </w:rPr>
        <w:t xml:space="preserve"> ranog i pred</w:t>
      </w:r>
      <w:r>
        <w:rPr>
          <w:color w:val="000000" w:themeColor="text1"/>
          <w:sz w:val="24"/>
          <w:szCs w:val="24"/>
        </w:rPr>
        <w:t>š</w:t>
      </w:r>
      <w:r w:rsidRPr="0004221B">
        <w:rPr>
          <w:color w:val="000000" w:themeColor="text1"/>
          <w:sz w:val="24"/>
          <w:szCs w:val="24"/>
        </w:rPr>
        <w:t>kolskog odgoja i obrazovanja</w:t>
      </w:r>
      <w:r>
        <w:rPr>
          <w:color w:val="000000" w:themeColor="text1"/>
          <w:sz w:val="24"/>
          <w:szCs w:val="24"/>
        </w:rPr>
        <w:t xml:space="preserve"> u Hrvatskoj</w:t>
      </w:r>
      <w:r w:rsidRPr="0004221B">
        <w:rPr>
          <w:color w:val="000000" w:themeColor="text1"/>
          <w:sz w:val="24"/>
          <w:szCs w:val="24"/>
        </w:rPr>
        <w:t>.</w:t>
      </w:r>
      <w:r>
        <w:rPr>
          <w:color w:val="000000" w:themeColor="text1"/>
          <w:sz w:val="24"/>
          <w:szCs w:val="24"/>
        </w:rPr>
        <w:t xml:space="preserve"> </w:t>
      </w:r>
    </w:p>
    <w:p w14:paraId="663740C6" w14:textId="77777777" w:rsidR="00FB178A" w:rsidRDefault="00FB178A" w:rsidP="00FB178A">
      <w:pPr>
        <w:spacing w:after="240" w:line="276" w:lineRule="auto"/>
        <w:jc w:val="both"/>
        <w:rPr>
          <w:color w:val="000000" w:themeColor="text1"/>
          <w:sz w:val="24"/>
          <w:szCs w:val="24"/>
        </w:rPr>
      </w:pPr>
      <w:r>
        <w:rPr>
          <w:color w:val="000000" w:themeColor="text1"/>
          <w:sz w:val="24"/>
          <w:szCs w:val="24"/>
        </w:rPr>
        <w:t>U okviru napora na povećanju obuhvata djece, p</w:t>
      </w:r>
      <w:r w:rsidRPr="003C7B03">
        <w:rPr>
          <w:color w:val="000000" w:themeColor="text1"/>
          <w:sz w:val="24"/>
          <w:szCs w:val="24"/>
        </w:rPr>
        <w:t>oseban naglasak u 2024. stavljen je na po</w:t>
      </w:r>
      <w:r>
        <w:rPr>
          <w:color w:val="000000" w:themeColor="text1"/>
          <w:sz w:val="24"/>
          <w:szCs w:val="24"/>
        </w:rPr>
        <w:t>ticanje</w:t>
      </w:r>
      <w:r w:rsidRPr="003C7B03">
        <w:rPr>
          <w:color w:val="000000" w:themeColor="text1"/>
          <w:sz w:val="24"/>
          <w:szCs w:val="24"/>
        </w:rPr>
        <w:t xml:space="preserve"> uključivanja djece iz ranjivih skupina u programe ranog i predškolskog odgoja i obrazovanja, kako bi se osigurale jednake mogućnosti za sv</w:t>
      </w:r>
      <w:r>
        <w:rPr>
          <w:color w:val="000000" w:themeColor="text1"/>
          <w:sz w:val="24"/>
          <w:szCs w:val="24"/>
        </w:rPr>
        <w:t>u djecu</w:t>
      </w:r>
      <w:r w:rsidRPr="003C7B03">
        <w:rPr>
          <w:color w:val="000000" w:themeColor="text1"/>
          <w:sz w:val="24"/>
          <w:szCs w:val="24"/>
        </w:rPr>
        <w:t>. U okviru Programa Učinkoviti ljudski potencijali 2021.</w:t>
      </w:r>
      <w:r>
        <w:rPr>
          <w:color w:val="000000" w:themeColor="text1"/>
          <w:sz w:val="24"/>
          <w:szCs w:val="24"/>
        </w:rPr>
        <w:t>-</w:t>
      </w:r>
      <w:r w:rsidRPr="003C7B03">
        <w:rPr>
          <w:color w:val="000000" w:themeColor="text1"/>
          <w:sz w:val="24"/>
          <w:szCs w:val="24"/>
        </w:rPr>
        <w:t xml:space="preserve">2027. za tu je svrhu osigurano 60 milijuna eura, čime se omogućuje provedba mjera usmjerenih na poboljšanje dostupnosti i uklanjanje socioekonomskih barijera za sudjelovanje u predškolskim programima. Istodobno, iz državnog su proračuna sufinancirani programi javnih potreba u području ranog i predškolskog odgoja, uključujući programe za djecu s teškoćama u razvoju, darovitu djecu, djecu pripadnike nacionalnih manjina te djecu koja pohađaju program </w:t>
      </w:r>
      <w:proofErr w:type="spellStart"/>
      <w:r w:rsidRPr="003C7B03">
        <w:rPr>
          <w:color w:val="000000" w:themeColor="text1"/>
          <w:sz w:val="24"/>
          <w:szCs w:val="24"/>
        </w:rPr>
        <w:t>predškole</w:t>
      </w:r>
      <w:proofErr w:type="spellEnd"/>
      <w:r w:rsidRPr="003C7B03">
        <w:rPr>
          <w:color w:val="000000" w:themeColor="text1"/>
          <w:sz w:val="24"/>
          <w:szCs w:val="24"/>
        </w:rPr>
        <w:t xml:space="preserve">. Tijekom 2024. godine isplaćeno je 1,9 milijuna eura za 7.794 djece s teškoćama, 0,35 milijuna eura za 2.346 darovite djece, 0,26 milijuna eura za 2.771 dijete pripadnika nacionalnih manjina te 1,1 milijun eura za 31.744 djece polaznika programa </w:t>
      </w:r>
      <w:proofErr w:type="spellStart"/>
      <w:r w:rsidRPr="003C7B03">
        <w:rPr>
          <w:color w:val="000000" w:themeColor="text1"/>
          <w:sz w:val="24"/>
          <w:szCs w:val="24"/>
        </w:rPr>
        <w:t>predškole</w:t>
      </w:r>
      <w:proofErr w:type="spellEnd"/>
      <w:r w:rsidRPr="003C7B03">
        <w:rPr>
          <w:color w:val="000000" w:themeColor="text1"/>
          <w:sz w:val="24"/>
          <w:szCs w:val="24"/>
        </w:rPr>
        <w:t xml:space="preserve">, čime se dodatno osigurava </w:t>
      </w:r>
      <w:proofErr w:type="spellStart"/>
      <w:r w:rsidRPr="003C7B03">
        <w:rPr>
          <w:color w:val="000000" w:themeColor="text1"/>
          <w:sz w:val="24"/>
          <w:szCs w:val="24"/>
        </w:rPr>
        <w:t>inkluzivnost</w:t>
      </w:r>
      <w:proofErr w:type="spellEnd"/>
      <w:r w:rsidRPr="003C7B03">
        <w:rPr>
          <w:color w:val="000000" w:themeColor="text1"/>
          <w:sz w:val="24"/>
          <w:szCs w:val="24"/>
        </w:rPr>
        <w:t xml:space="preserve">, </w:t>
      </w:r>
      <w:proofErr w:type="spellStart"/>
      <w:r w:rsidRPr="003C7B03">
        <w:rPr>
          <w:color w:val="000000" w:themeColor="text1"/>
          <w:sz w:val="24"/>
          <w:szCs w:val="24"/>
        </w:rPr>
        <w:t>priuštivost</w:t>
      </w:r>
      <w:proofErr w:type="spellEnd"/>
      <w:r w:rsidRPr="003C7B03">
        <w:rPr>
          <w:color w:val="000000" w:themeColor="text1"/>
          <w:sz w:val="24"/>
          <w:szCs w:val="24"/>
        </w:rPr>
        <w:t xml:space="preserve"> i dostupnost predškolskog odgoja na nacionalnoj razini.</w:t>
      </w:r>
    </w:p>
    <w:p w14:paraId="70BCDF77" w14:textId="77777777" w:rsidR="00FB178A" w:rsidRPr="0004221B" w:rsidRDefault="00FB178A" w:rsidP="00FB178A">
      <w:pPr>
        <w:spacing w:after="240" w:line="276" w:lineRule="auto"/>
        <w:jc w:val="both"/>
        <w:rPr>
          <w:color w:val="000000" w:themeColor="text1"/>
          <w:sz w:val="24"/>
          <w:szCs w:val="24"/>
        </w:rPr>
      </w:pPr>
      <w:r w:rsidRPr="001C175F">
        <w:rPr>
          <w:color w:val="000000" w:themeColor="text1"/>
          <w:sz w:val="24"/>
          <w:szCs w:val="24"/>
        </w:rPr>
        <w:t xml:space="preserve">Uz znatna infrastrukturna ulaganja u predškolske ustanove, tijekom 2024. nastavljene su </w:t>
      </w:r>
      <w:r>
        <w:rPr>
          <w:color w:val="000000" w:themeColor="text1"/>
          <w:sz w:val="24"/>
          <w:szCs w:val="24"/>
        </w:rPr>
        <w:t xml:space="preserve">aktivnosti </w:t>
      </w:r>
      <w:r w:rsidRPr="001C175F">
        <w:rPr>
          <w:color w:val="000000" w:themeColor="text1"/>
          <w:sz w:val="24"/>
          <w:szCs w:val="24"/>
        </w:rPr>
        <w:t>na unapređenj</w:t>
      </w:r>
      <w:r>
        <w:rPr>
          <w:color w:val="000000" w:themeColor="text1"/>
          <w:sz w:val="24"/>
          <w:szCs w:val="24"/>
        </w:rPr>
        <w:t>u</w:t>
      </w:r>
      <w:r w:rsidRPr="001C175F">
        <w:rPr>
          <w:color w:val="000000" w:themeColor="text1"/>
          <w:sz w:val="24"/>
          <w:szCs w:val="24"/>
        </w:rPr>
        <w:t xml:space="preserve"> normativnog okvira i jačanj</w:t>
      </w:r>
      <w:r>
        <w:rPr>
          <w:color w:val="000000" w:themeColor="text1"/>
          <w:sz w:val="24"/>
          <w:szCs w:val="24"/>
        </w:rPr>
        <w:t>u</w:t>
      </w:r>
      <w:r w:rsidRPr="001C175F">
        <w:rPr>
          <w:color w:val="000000" w:themeColor="text1"/>
          <w:sz w:val="24"/>
          <w:szCs w:val="24"/>
        </w:rPr>
        <w:t xml:space="preserve"> kvalitete ranog i predškolskog odgoja i obrazovanja. S ciljem modernizacije sustava i povećanja kvalitete obveznog programa </w:t>
      </w:r>
      <w:proofErr w:type="spellStart"/>
      <w:r w:rsidRPr="001C175F">
        <w:rPr>
          <w:color w:val="000000" w:themeColor="text1"/>
          <w:sz w:val="24"/>
          <w:szCs w:val="24"/>
        </w:rPr>
        <w:t>predškole</w:t>
      </w:r>
      <w:proofErr w:type="spellEnd"/>
      <w:r>
        <w:rPr>
          <w:color w:val="000000" w:themeColor="text1"/>
          <w:sz w:val="24"/>
          <w:szCs w:val="24"/>
        </w:rPr>
        <w:t xml:space="preserve"> </w:t>
      </w:r>
      <w:r w:rsidRPr="002C7ADC">
        <w:rPr>
          <w:color w:val="000000" w:themeColor="text1"/>
          <w:sz w:val="24"/>
          <w:szCs w:val="24"/>
        </w:rPr>
        <w:t xml:space="preserve">izrađeni su nacrti prijedloga Nacionalnog </w:t>
      </w:r>
      <w:proofErr w:type="spellStart"/>
      <w:r w:rsidRPr="002C7ADC">
        <w:rPr>
          <w:color w:val="000000" w:themeColor="text1"/>
          <w:sz w:val="24"/>
          <w:szCs w:val="24"/>
        </w:rPr>
        <w:t>kurikula</w:t>
      </w:r>
      <w:proofErr w:type="spellEnd"/>
      <w:r w:rsidRPr="002C7ADC">
        <w:rPr>
          <w:color w:val="000000" w:themeColor="text1"/>
          <w:sz w:val="24"/>
          <w:szCs w:val="24"/>
        </w:rPr>
        <w:t xml:space="preserve"> za rani i predškolski odgoj i obrazovanje i Nacionalnog </w:t>
      </w:r>
      <w:proofErr w:type="spellStart"/>
      <w:r w:rsidRPr="002C7ADC">
        <w:rPr>
          <w:color w:val="000000" w:themeColor="text1"/>
          <w:sz w:val="24"/>
          <w:szCs w:val="24"/>
        </w:rPr>
        <w:t>kurikula</w:t>
      </w:r>
      <w:proofErr w:type="spellEnd"/>
      <w:r w:rsidRPr="002C7ADC">
        <w:rPr>
          <w:color w:val="000000" w:themeColor="text1"/>
          <w:sz w:val="24"/>
          <w:szCs w:val="24"/>
        </w:rPr>
        <w:t xml:space="preserve"> </w:t>
      </w:r>
      <w:proofErr w:type="spellStart"/>
      <w:r w:rsidRPr="002C7ADC">
        <w:rPr>
          <w:color w:val="000000" w:themeColor="text1"/>
          <w:sz w:val="24"/>
          <w:szCs w:val="24"/>
        </w:rPr>
        <w:t>predškole</w:t>
      </w:r>
      <w:proofErr w:type="spellEnd"/>
      <w:r w:rsidRPr="002C7ADC">
        <w:rPr>
          <w:color w:val="000000" w:themeColor="text1"/>
          <w:sz w:val="24"/>
          <w:szCs w:val="24"/>
        </w:rPr>
        <w:t xml:space="preserve">. Za Nacionalni </w:t>
      </w:r>
      <w:proofErr w:type="spellStart"/>
      <w:r w:rsidRPr="002C7ADC">
        <w:rPr>
          <w:color w:val="000000" w:themeColor="text1"/>
          <w:sz w:val="24"/>
          <w:szCs w:val="24"/>
        </w:rPr>
        <w:t>kurikul</w:t>
      </w:r>
      <w:proofErr w:type="spellEnd"/>
      <w:r w:rsidRPr="002C7ADC">
        <w:rPr>
          <w:color w:val="000000" w:themeColor="text1"/>
          <w:sz w:val="24"/>
          <w:szCs w:val="24"/>
        </w:rPr>
        <w:t xml:space="preserve"> </w:t>
      </w:r>
      <w:proofErr w:type="spellStart"/>
      <w:r w:rsidRPr="002C7ADC">
        <w:rPr>
          <w:color w:val="000000" w:themeColor="text1"/>
          <w:sz w:val="24"/>
          <w:szCs w:val="24"/>
        </w:rPr>
        <w:t>predškole</w:t>
      </w:r>
      <w:proofErr w:type="spellEnd"/>
      <w:r w:rsidRPr="002C7ADC">
        <w:rPr>
          <w:color w:val="000000" w:themeColor="text1"/>
          <w:sz w:val="24"/>
          <w:szCs w:val="24"/>
        </w:rPr>
        <w:t xml:space="preserve"> tijekom 2024. godine provedeno je javno savjetovanje, nakon čega je tekst </w:t>
      </w:r>
      <w:r>
        <w:rPr>
          <w:color w:val="000000" w:themeColor="text1"/>
          <w:sz w:val="24"/>
          <w:szCs w:val="24"/>
        </w:rPr>
        <w:t>N</w:t>
      </w:r>
      <w:r w:rsidRPr="002C7ADC">
        <w:rPr>
          <w:color w:val="000000" w:themeColor="text1"/>
          <w:sz w:val="24"/>
          <w:szCs w:val="24"/>
        </w:rPr>
        <w:t xml:space="preserve">acrta dorađen. Na </w:t>
      </w:r>
      <w:r>
        <w:rPr>
          <w:color w:val="000000" w:themeColor="text1"/>
          <w:sz w:val="24"/>
          <w:szCs w:val="24"/>
        </w:rPr>
        <w:t>N</w:t>
      </w:r>
      <w:r w:rsidRPr="002C7ADC">
        <w:rPr>
          <w:color w:val="000000" w:themeColor="text1"/>
          <w:sz w:val="24"/>
          <w:szCs w:val="24"/>
        </w:rPr>
        <w:t xml:space="preserve">acrtu Nacionalnog </w:t>
      </w:r>
      <w:proofErr w:type="spellStart"/>
      <w:r w:rsidRPr="002C7ADC">
        <w:rPr>
          <w:color w:val="000000" w:themeColor="text1"/>
          <w:sz w:val="24"/>
          <w:szCs w:val="24"/>
        </w:rPr>
        <w:t>kurikula</w:t>
      </w:r>
      <w:proofErr w:type="spellEnd"/>
      <w:r w:rsidRPr="002C7ADC">
        <w:rPr>
          <w:color w:val="000000" w:themeColor="text1"/>
          <w:sz w:val="24"/>
          <w:szCs w:val="24"/>
        </w:rPr>
        <w:t xml:space="preserve"> za rani i predškolski odgoj i obrazovanje nastavljen je rad kako bi bio spreman za postupak javnog savjetovanja. </w:t>
      </w:r>
      <w:r>
        <w:rPr>
          <w:color w:val="000000" w:themeColor="text1"/>
          <w:sz w:val="24"/>
          <w:szCs w:val="24"/>
        </w:rPr>
        <w:t>Nadalje, s</w:t>
      </w:r>
      <w:r w:rsidRPr="00B30153">
        <w:rPr>
          <w:color w:val="000000" w:themeColor="text1"/>
          <w:sz w:val="24"/>
          <w:szCs w:val="24"/>
        </w:rPr>
        <w:t xml:space="preserve"> cilj</w:t>
      </w:r>
      <w:r>
        <w:rPr>
          <w:color w:val="000000" w:themeColor="text1"/>
          <w:sz w:val="24"/>
          <w:szCs w:val="24"/>
        </w:rPr>
        <w:t>em</w:t>
      </w:r>
      <w:r w:rsidRPr="00B30153">
        <w:rPr>
          <w:color w:val="000000" w:themeColor="text1"/>
          <w:sz w:val="24"/>
          <w:szCs w:val="24"/>
        </w:rPr>
        <w:t xml:space="preserve"> rješavanja strukturnog nedostatka odgojitelja u dječjim vrtićima, a isto</w:t>
      </w:r>
      <w:r>
        <w:rPr>
          <w:color w:val="000000" w:themeColor="text1"/>
          <w:sz w:val="24"/>
          <w:szCs w:val="24"/>
        </w:rPr>
        <w:t>vremeno</w:t>
      </w:r>
      <w:r w:rsidRPr="00B30153">
        <w:rPr>
          <w:color w:val="000000" w:themeColor="text1"/>
          <w:sz w:val="24"/>
          <w:szCs w:val="24"/>
        </w:rPr>
        <w:t xml:space="preserve"> i </w:t>
      </w:r>
      <w:r>
        <w:rPr>
          <w:color w:val="000000" w:themeColor="text1"/>
          <w:sz w:val="24"/>
          <w:szCs w:val="24"/>
        </w:rPr>
        <w:t xml:space="preserve">rješavanja </w:t>
      </w:r>
      <w:r w:rsidRPr="00B30153">
        <w:rPr>
          <w:color w:val="000000" w:themeColor="text1"/>
          <w:sz w:val="24"/>
          <w:szCs w:val="24"/>
        </w:rPr>
        <w:t>manjka radnih mjesta za učitelje razredne nastave, izmjenama zakonodavnog okvira uvedena je mogućnost zapošljavanja učitelja razredne nastave na radnim mjestima odgojitelja</w:t>
      </w:r>
      <w:r>
        <w:rPr>
          <w:color w:val="000000" w:themeColor="text1"/>
          <w:sz w:val="24"/>
          <w:szCs w:val="24"/>
        </w:rPr>
        <w:t>,</w:t>
      </w:r>
      <w:r w:rsidRPr="00B30153">
        <w:rPr>
          <w:color w:val="000000" w:themeColor="text1"/>
          <w:sz w:val="24"/>
          <w:szCs w:val="24"/>
        </w:rPr>
        <w:t xml:space="preserve"> uz obvezu stjecanja odgovarajuće kvalifikacije u roku od dvije godine. Za pr</w:t>
      </w:r>
      <w:r>
        <w:rPr>
          <w:color w:val="000000" w:themeColor="text1"/>
          <w:sz w:val="24"/>
          <w:szCs w:val="24"/>
        </w:rPr>
        <w:t>imjenu</w:t>
      </w:r>
      <w:r w:rsidRPr="00B30153">
        <w:rPr>
          <w:color w:val="000000" w:themeColor="text1"/>
          <w:sz w:val="24"/>
          <w:szCs w:val="24"/>
        </w:rPr>
        <w:t xml:space="preserve"> ove </w:t>
      </w:r>
      <w:r>
        <w:rPr>
          <w:color w:val="000000" w:themeColor="text1"/>
          <w:sz w:val="24"/>
          <w:szCs w:val="24"/>
        </w:rPr>
        <w:t>mogućnosti,</w:t>
      </w:r>
      <w:r w:rsidRPr="00B30153">
        <w:rPr>
          <w:color w:val="000000" w:themeColor="text1"/>
          <w:sz w:val="24"/>
          <w:szCs w:val="24"/>
        </w:rPr>
        <w:t xml:space="preserve"> tijekom 2024. dovršene su ključne pretpostavke Hrvatskog kvalifikacijskog okvira</w:t>
      </w:r>
      <w:r>
        <w:rPr>
          <w:color w:val="000000" w:themeColor="text1"/>
          <w:sz w:val="24"/>
          <w:szCs w:val="24"/>
        </w:rPr>
        <w:t xml:space="preserve"> (u daljnjem tekstu: HKO), </w:t>
      </w:r>
      <w:r w:rsidRPr="00B30153">
        <w:rPr>
          <w:color w:val="000000" w:themeColor="text1"/>
          <w:sz w:val="24"/>
          <w:szCs w:val="24"/>
        </w:rPr>
        <w:t>standard zanimanja odgojitelja</w:t>
      </w:r>
      <w:r>
        <w:rPr>
          <w:color w:val="000000" w:themeColor="text1"/>
          <w:sz w:val="24"/>
          <w:szCs w:val="24"/>
        </w:rPr>
        <w:t xml:space="preserve"> i standard </w:t>
      </w:r>
      <w:r w:rsidRPr="00A15784">
        <w:rPr>
          <w:color w:val="000000" w:themeColor="text1"/>
          <w:sz w:val="24"/>
          <w:szCs w:val="24"/>
        </w:rPr>
        <w:t xml:space="preserve">kvalifikacije Sveučilišni </w:t>
      </w:r>
      <w:proofErr w:type="spellStart"/>
      <w:r w:rsidRPr="00A15784">
        <w:rPr>
          <w:color w:val="000000" w:themeColor="text1"/>
          <w:sz w:val="24"/>
          <w:szCs w:val="24"/>
        </w:rPr>
        <w:t>prvostupnik</w:t>
      </w:r>
      <w:proofErr w:type="spellEnd"/>
      <w:r w:rsidRPr="00A15784">
        <w:rPr>
          <w:color w:val="000000" w:themeColor="text1"/>
          <w:sz w:val="24"/>
          <w:szCs w:val="24"/>
        </w:rPr>
        <w:t>/prvostupnica ranog i predškolskog odgoja i obrazovanja</w:t>
      </w:r>
      <w:r>
        <w:rPr>
          <w:color w:val="000000" w:themeColor="text1"/>
          <w:sz w:val="24"/>
          <w:szCs w:val="24"/>
        </w:rPr>
        <w:t xml:space="preserve"> upisani su</w:t>
      </w:r>
      <w:r w:rsidRPr="00B30153">
        <w:rPr>
          <w:color w:val="000000" w:themeColor="text1"/>
          <w:sz w:val="24"/>
          <w:szCs w:val="24"/>
        </w:rPr>
        <w:t xml:space="preserve"> u Registar HKO-a</w:t>
      </w:r>
      <w:r>
        <w:rPr>
          <w:color w:val="000000" w:themeColor="text1"/>
          <w:sz w:val="24"/>
          <w:szCs w:val="24"/>
        </w:rPr>
        <w:t>. I</w:t>
      </w:r>
      <w:r w:rsidRPr="004D5112">
        <w:rPr>
          <w:color w:val="000000" w:themeColor="text1"/>
          <w:sz w:val="24"/>
          <w:szCs w:val="24"/>
        </w:rPr>
        <w:t xml:space="preserve">stodobno su izrađeni i u Registar HKO-a upisani programi </w:t>
      </w:r>
      <w:r w:rsidRPr="004D5112">
        <w:rPr>
          <w:color w:val="000000" w:themeColor="text1"/>
          <w:sz w:val="24"/>
          <w:szCs w:val="24"/>
        </w:rPr>
        <w:lastRenderedPageBreak/>
        <w:t>prekvalifikacije i dokvalifikacije učitelja, koji se od akademske godine 2024./2025. provode u Osijeku, Splitu i Zadru, uz mogućnost financiranja putem vaučera Hrvatskog zavoda za zapošljavanje, dok su dodatni programi u Zagrebu i Rijeci u završnoj fazi odobravanja.</w:t>
      </w:r>
      <w:r>
        <w:rPr>
          <w:color w:val="000000" w:themeColor="text1"/>
          <w:sz w:val="24"/>
          <w:szCs w:val="24"/>
        </w:rPr>
        <w:t xml:space="preserve"> </w:t>
      </w:r>
    </w:p>
    <w:p w14:paraId="18D5DBE2" w14:textId="77777777" w:rsidR="00FB178A" w:rsidRDefault="00FB178A" w:rsidP="00FB178A">
      <w:pPr>
        <w:ind w:firstLine="709"/>
        <w:jc w:val="both"/>
        <w:rPr>
          <w:b/>
          <w:bCs/>
          <w:color w:val="000000" w:themeColor="text1"/>
          <w:sz w:val="24"/>
          <w:szCs w:val="24"/>
        </w:rPr>
      </w:pPr>
      <w:r w:rsidRPr="00145379">
        <w:rPr>
          <w:b/>
          <w:bCs/>
          <w:color w:val="000000" w:themeColor="text1"/>
          <w:sz w:val="24"/>
          <w:szCs w:val="24"/>
        </w:rPr>
        <w:t>Stjecanje i razvoj temeljnih i strukovnih kompetencija</w:t>
      </w:r>
    </w:p>
    <w:p w14:paraId="5F61261F" w14:textId="77777777" w:rsidR="00FB178A" w:rsidRDefault="00FB178A" w:rsidP="00FB178A">
      <w:pPr>
        <w:rPr>
          <w:b/>
          <w:bCs/>
          <w:color w:val="000000" w:themeColor="text1"/>
          <w:sz w:val="24"/>
          <w:szCs w:val="24"/>
        </w:rPr>
      </w:pPr>
    </w:p>
    <w:p w14:paraId="2D0055DE" w14:textId="77777777" w:rsidR="00FB178A" w:rsidRDefault="00FB178A" w:rsidP="00FB178A">
      <w:pPr>
        <w:widowControl/>
        <w:adjustRightInd w:val="0"/>
        <w:spacing w:line="276" w:lineRule="auto"/>
        <w:ind w:firstLine="720"/>
        <w:jc w:val="both"/>
        <w:rPr>
          <w:rFonts w:eastAsiaTheme="minorHAnsi"/>
          <w:sz w:val="24"/>
          <w:szCs w:val="24"/>
        </w:rPr>
      </w:pPr>
      <w:r w:rsidRPr="00D76026">
        <w:rPr>
          <w:rFonts w:eastAsiaTheme="minorHAnsi"/>
          <w:sz w:val="24"/>
          <w:szCs w:val="24"/>
        </w:rPr>
        <w:t xml:space="preserve">U 2024. nastavljen je </w:t>
      </w:r>
      <w:r>
        <w:rPr>
          <w:rFonts w:eastAsiaTheme="minorHAnsi"/>
          <w:sz w:val="24"/>
          <w:szCs w:val="24"/>
        </w:rPr>
        <w:t>napredak</w:t>
      </w:r>
      <w:r w:rsidRPr="00D76026">
        <w:rPr>
          <w:rFonts w:eastAsiaTheme="minorHAnsi"/>
          <w:sz w:val="24"/>
          <w:szCs w:val="24"/>
        </w:rPr>
        <w:t xml:space="preserve"> prema podizanju kvalitete i pravednosti obrazovnog sustava, s posebnim naglaskom na jačanje temeljnih i strukovnih kompetencija učenika kao ključnom preduvjetu za razvoj buduće konkurentnosti i otpornosti društva. Proveden</w:t>
      </w:r>
      <w:r>
        <w:rPr>
          <w:rFonts w:eastAsiaTheme="minorHAnsi"/>
          <w:sz w:val="24"/>
          <w:szCs w:val="24"/>
        </w:rPr>
        <w:t>i su napori</w:t>
      </w:r>
      <w:r w:rsidRPr="00D76026">
        <w:rPr>
          <w:rFonts w:eastAsiaTheme="minorHAnsi"/>
          <w:sz w:val="24"/>
          <w:szCs w:val="24"/>
        </w:rPr>
        <w:t xml:space="preserve">, uz znatna infrastrukturna ulaganja i modernizaciju </w:t>
      </w:r>
      <w:proofErr w:type="spellStart"/>
      <w:r w:rsidRPr="00D76026">
        <w:rPr>
          <w:rFonts w:eastAsiaTheme="minorHAnsi"/>
          <w:sz w:val="24"/>
          <w:szCs w:val="24"/>
        </w:rPr>
        <w:t>kurikula</w:t>
      </w:r>
      <w:proofErr w:type="spellEnd"/>
      <w:r w:rsidRPr="00D76026">
        <w:rPr>
          <w:rFonts w:eastAsiaTheme="minorHAnsi"/>
          <w:sz w:val="24"/>
          <w:szCs w:val="24"/>
        </w:rPr>
        <w:t>, usmjeren</w:t>
      </w:r>
      <w:r>
        <w:rPr>
          <w:rFonts w:eastAsiaTheme="minorHAnsi"/>
          <w:sz w:val="24"/>
          <w:szCs w:val="24"/>
        </w:rPr>
        <w:t xml:space="preserve">i </w:t>
      </w:r>
      <w:r w:rsidRPr="00D76026">
        <w:rPr>
          <w:rFonts w:eastAsiaTheme="minorHAnsi"/>
          <w:sz w:val="24"/>
          <w:szCs w:val="24"/>
        </w:rPr>
        <w:t xml:space="preserve">stvaranju </w:t>
      </w:r>
      <w:proofErr w:type="spellStart"/>
      <w:r w:rsidRPr="00D76026">
        <w:rPr>
          <w:rFonts w:eastAsiaTheme="minorHAnsi"/>
          <w:sz w:val="24"/>
          <w:szCs w:val="24"/>
        </w:rPr>
        <w:t>uključivog</w:t>
      </w:r>
      <w:proofErr w:type="spellEnd"/>
      <w:r w:rsidRPr="00D76026">
        <w:rPr>
          <w:rFonts w:eastAsiaTheme="minorHAnsi"/>
          <w:sz w:val="24"/>
          <w:szCs w:val="24"/>
        </w:rPr>
        <w:t xml:space="preserve">, učinkovitog i suvremenog obrazovnog okruženja koje jednako podupire razvoj svakog </w:t>
      </w:r>
      <w:r>
        <w:rPr>
          <w:rFonts w:eastAsiaTheme="minorHAnsi"/>
          <w:sz w:val="24"/>
          <w:szCs w:val="24"/>
        </w:rPr>
        <w:t>učenika</w:t>
      </w:r>
      <w:r w:rsidRPr="00D76026">
        <w:rPr>
          <w:rFonts w:eastAsiaTheme="minorHAnsi"/>
          <w:sz w:val="24"/>
          <w:szCs w:val="24"/>
        </w:rPr>
        <w:t>.</w:t>
      </w:r>
    </w:p>
    <w:p w14:paraId="00EB00FD" w14:textId="77777777" w:rsidR="00FB178A" w:rsidRDefault="00FB178A" w:rsidP="00FB178A">
      <w:pPr>
        <w:widowControl/>
        <w:adjustRightInd w:val="0"/>
        <w:spacing w:line="276" w:lineRule="auto"/>
        <w:jc w:val="both"/>
        <w:rPr>
          <w:rFonts w:eastAsiaTheme="minorHAnsi"/>
          <w:sz w:val="24"/>
          <w:szCs w:val="24"/>
        </w:rPr>
      </w:pPr>
    </w:p>
    <w:p w14:paraId="5291AD7F" w14:textId="77777777" w:rsidR="00FB178A" w:rsidRDefault="00FB178A" w:rsidP="00FB178A">
      <w:pPr>
        <w:widowControl/>
        <w:adjustRightInd w:val="0"/>
        <w:spacing w:after="240" w:line="276" w:lineRule="auto"/>
        <w:jc w:val="both"/>
        <w:rPr>
          <w:rFonts w:eastAsiaTheme="minorHAnsi"/>
          <w:sz w:val="24"/>
          <w:szCs w:val="24"/>
        </w:rPr>
      </w:pPr>
      <w:r w:rsidRPr="0004221B">
        <w:rPr>
          <w:rFonts w:eastAsiaTheme="minorHAnsi"/>
          <w:sz w:val="24"/>
          <w:szCs w:val="24"/>
        </w:rPr>
        <w:t>U školskoj godini 2024./2025.</w:t>
      </w:r>
      <w:r>
        <w:rPr>
          <w:rFonts w:eastAsiaTheme="minorHAnsi"/>
          <w:sz w:val="24"/>
          <w:szCs w:val="24"/>
        </w:rPr>
        <w:t xml:space="preserve"> nastavljena je p</w:t>
      </w:r>
      <w:r w:rsidRPr="00D6512F">
        <w:rPr>
          <w:rFonts w:eastAsiaTheme="minorHAnsi"/>
          <w:sz w:val="24"/>
          <w:szCs w:val="24"/>
        </w:rPr>
        <w:t>rovedba eksperimentalnog programa „Osnovna škola kao cjelodnevna škola“ u 62 osnovne škole, uz sustavnu stručnu i organizacijsku podršku učiteljima, stručnim suradnicima i roditeljima te intenzivno praćenje učinaka u području organizacije nastave, učeničkog funkcioniranja i kvalitete školskog okruženja.</w:t>
      </w:r>
      <w:r>
        <w:rPr>
          <w:rFonts w:eastAsiaTheme="minorHAnsi"/>
          <w:sz w:val="24"/>
          <w:szCs w:val="24"/>
        </w:rPr>
        <w:t xml:space="preserve"> </w:t>
      </w:r>
      <w:r w:rsidRPr="0004735E">
        <w:rPr>
          <w:rFonts w:eastAsiaTheme="minorHAnsi"/>
          <w:sz w:val="24"/>
          <w:szCs w:val="24"/>
        </w:rPr>
        <w:t>T</w:t>
      </w:r>
      <w:r>
        <w:rPr>
          <w:rFonts w:eastAsiaTheme="minorHAnsi"/>
          <w:sz w:val="24"/>
          <w:szCs w:val="24"/>
        </w:rPr>
        <w:t>emeljem</w:t>
      </w:r>
      <w:r w:rsidRPr="0004735E">
        <w:rPr>
          <w:rFonts w:eastAsiaTheme="minorHAnsi"/>
          <w:sz w:val="24"/>
          <w:szCs w:val="24"/>
        </w:rPr>
        <w:t xml:space="preserve"> terenskih obilazaka škola uključenih u provedbu </w:t>
      </w:r>
      <w:r>
        <w:rPr>
          <w:rFonts w:eastAsiaTheme="minorHAnsi"/>
          <w:sz w:val="24"/>
          <w:szCs w:val="24"/>
        </w:rPr>
        <w:t xml:space="preserve">programa </w:t>
      </w:r>
      <w:r w:rsidRPr="0004735E">
        <w:rPr>
          <w:rFonts w:eastAsiaTheme="minorHAnsi"/>
          <w:sz w:val="24"/>
          <w:szCs w:val="24"/>
        </w:rPr>
        <w:t>cjelodnevne škole te kroz fokus grupe s učiteljima, stručnim suradnicima i roditeljima</w:t>
      </w:r>
      <w:r>
        <w:rPr>
          <w:rFonts w:eastAsiaTheme="minorHAnsi"/>
          <w:sz w:val="24"/>
          <w:szCs w:val="24"/>
        </w:rPr>
        <w:t>, provedene tijekom 2024.,</w:t>
      </w:r>
      <w:r w:rsidRPr="0004735E">
        <w:rPr>
          <w:rFonts w:eastAsiaTheme="minorHAnsi"/>
          <w:sz w:val="24"/>
          <w:szCs w:val="24"/>
        </w:rPr>
        <w:t xml:space="preserve"> potvrđeni su pozitivni učinci programa na svakodnevni život učenika. Uočen je značajan pad potrebe za dodatnom podrškom u učenju izvan škole, budući da učenici više nastavnih i vježbovnih aktivnosti obavljaju u okviru školskog dana. Istodobno su im dostupniji i sadržajno kvalitetniji izvannastavni i izvanškolski programi, što doprinosi razvoju njihovih interesa i socijalnih vještina. Školsko ozračje ocijenjeno je poticajnijim i stabilnijim, s vidljivim poboljšanjima u organizaciji dnevnih obveza učenika, kao i unaprijeđenim prehrambenim navikama i razinom tjelesne aktivnosti. Ovi nalazi potvrđuju da model cjelodnevne škole ima značajan potencijal za trajne obrazovne, socijalne i zdravstvene koristi za učenike.</w:t>
      </w:r>
      <w:r>
        <w:rPr>
          <w:rFonts w:eastAsiaTheme="minorHAnsi"/>
          <w:sz w:val="24"/>
          <w:szCs w:val="24"/>
        </w:rPr>
        <w:t xml:space="preserve"> Z</w:t>
      </w:r>
      <w:r w:rsidRPr="0004221B">
        <w:rPr>
          <w:rFonts w:eastAsiaTheme="minorHAnsi"/>
          <w:sz w:val="24"/>
          <w:szCs w:val="24"/>
        </w:rPr>
        <w:t>a eksperimentalnu provedbu programa osigurana su sredstva za izvannastavne (B</w:t>
      </w:r>
      <w:r>
        <w:rPr>
          <w:rFonts w:eastAsiaTheme="minorHAnsi"/>
          <w:sz w:val="24"/>
          <w:szCs w:val="24"/>
        </w:rPr>
        <w:t>1</w:t>
      </w:r>
      <w:r w:rsidRPr="0004221B">
        <w:rPr>
          <w:rFonts w:eastAsiaTheme="minorHAnsi"/>
          <w:sz w:val="24"/>
          <w:szCs w:val="24"/>
        </w:rPr>
        <w:t>)</w:t>
      </w:r>
      <w:r>
        <w:rPr>
          <w:rFonts w:eastAsiaTheme="minorHAnsi"/>
          <w:sz w:val="24"/>
          <w:szCs w:val="24"/>
        </w:rPr>
        <w:t xml:space="preserve"> </w:t>
      </w:r>
      <w:r w:rsidRPr="0004221B">
        <w:rPr>
          <w:rFonts w:eastAsiaTheme="minorHAnsi"/>
          <w:sz w:val="24"/>
          <w:szCs w:val="24"/>
        </w:rPr>
        <w:t>i</w:t>
      </w:r>
      <w:r>
        <w:rPr>
          <w:rFonts w:eastAsiaTheme="minorHAnsi"/>
          <w:sz w:val="24"/>
          <w:szCs w:val="24"/>
        </w:rPr>
        <w:t xml:space="preserve"> </w:t>
      </w:r>
      <w:r w:rsidRPr="0004221B">
        <w:rPr>
          <w:rFonts w:eastAsiaTheme="minorHAnsi"/>
          <w:sz w:val="24"/>
          <w:szCs w:val="24"/>
        </w:rPr>
        <w:t>izvanškolske aktivnosti (B2), prehranu i prijevoz učenika, besplatne udžbenike, dodatne oblike plaćanja</w:t>
      </w:r>
      <w:r>
        <w:rPr>
          <w:rFonts w:eastAsiaTheme="minorHAnsi"/>
          <w:sz w:val="24"/>
          <w:szCs w:val="24"/>
        </w:rPr>
        <w:t xml:space="preserve"> </w:t>
      </w:r>
      <w:r w:rsidRPr="0004221B">
        <w:rPr>
          <w:rFonts w:eastAsiaTheme="minorHAnsi"/>
          <w:sz w:val="24"/>
          <w:szCs w:val="24"/>
        </w:rPr>
        <w:t xml:space="preserve">nastavnika, stručnih suradnika i administrativnog osoblja i ostale operativne troškove </w:t>
      </w:r>
      <w:r w:rsidRPr="00F00571">
        <w:rPr>
          <w:rFonts w:eastAsiaTheme="minorHAnsi"/>
          <w:sz w:val="24"/>
          <w:szCs w:val="24"/>
        </w:rPr>
        <w:t>š</w:t>
      </w:r>
      <w:r w:rsidRPr="0004221B">
        <w:rPr>
          <w:rFonts w:eastAsiaTheme="minorHAnsi"/>
          <w:sz w:val="24"/>
          <w:szCs w:val="24"/>
        </w:rPr>
        <w:t>kola.</w:t>
      </w:r>
    </w:p>
    <w:p w14:paraId="39B9B4D5" w14:textId="77777777" w:rsidR="00FB178A" w:rsidRPr="0004221B" w:rsidRDefault="00FB178A" w:rsidP="00FB178A">
      <w:pPr>
        <w:widowControl/>
        <w:adjustRightInd w:val="0"/>
        <w:spacing w:line="276" w:lineRule="auto"/>
        <w:jc w:val="both"/>
        <w:rPr>
          <w:rFonts w:eastAsiaTheme="minorHAnsi"/>
          <w:sz w:val="24"/>
          <w:szCs w:val="24"/>
        </w:rPr>
      </w:pPr>
      <w:r w:rsidRPr="00352278">
        <w:rPr>
          <w:rFonts w:eastAsiaTheme="minorHAnsi"/>
          <w:sz w:val="24"/>
          <w:szCs w:val="24"/>
        </w:rPr>
        <w:t>Istodobno, uz potporu sredstava u okviru NPOO</w:t>
      </w:r>
      <w:r>
        <w:rPr>
          <w:rFonts w:eastAsiaTheme="minorHAnsi"/>
          <w:sz w:val="24"/>
          <w:szCs w:val="24"/>
        </w:rPr>
        <w:t xml:space="preserve">-a </w:t>
      </w:r>
      <w:r w:rsidRPr="00352278">
        <w:rPr>
          <w:rFonts w:eastAsiaTheme="minorHAnsi"/>
          <w:sz w:val="24"/>
          <w:szCs w:val="24"/>
        </w:rPr>
        <w:t>te zajma Svjetske banke</w:t>
      </w:r>
      <w:r>
        <w:rPr>
          <w:rFonts w:eastAsiaTheme="minorHAnsi"/>
          <w:sz w:val="24"/>
          <w:szCs w:val="24"/>
        </w:rPr>
        <w:t xml:space="preserve"> za provedbu</w:t>
      </w:r>
      <w:r w:rsidRPr="00E01901">
        <w:rPr>
          <w:sz w:val="24"/>
          <w:szCs w:val="24"/>
        </w:rPr>
        <w:t xml:space="preserve"> Projekta „OPU Obrazovanje“,</w:t>
      </w:r>
      <w:r w:rsidRPr="00352278">
        <w:rPr>
          <w:rFonts w:eastAsiaTheme="minorHAnsi"/>
          <w:sz w:val="24"/>
          <w:szCs w:val="24"/>
        </w:rPr>
        <w:t xml:space="preserve"> nastavljena je provedba značajnih infrastrukturn</w:t>
      </w:r>
      <w:r>
        <w:rPr>
          <w:rFonts w:eastAsiaTheme="minorHAnsi"/>
          <w:sz w:val="24"/>
          <w:szCs w:val="24"/>
        </w:rPr>
        <w:t>ih</w:t>
      </w:r>
      <w:r w:rsidRPr="00352278">
        <w:rPr>
          <w:rFonts w:eastAsiaTheme="minorHAnsi"/>
          <w:sz w:val="24"/>
          <w:szCs w:val="24"/>
        </w:rPr>
        <w:t xml:space="preserve"> ulaganja u osnovnoškolske ustanove radi stvaranja prostorno-materijalnih uvjeta za </w:t>
      </w:r>
      <w:proofErr w:type="spellStart"/>
      <w:r w:rsidRPr="00352278">
        <w:rPr>
          <w:rFonts w:eastAsiaTheme="minorHAnsi"/>
          <w:sz w:val="24"/>
          <w:szCs w:val="24"/>
        </w:rPr>
        <w:t>jednosmjenski</w:t>
      </w:r>
      <w:proofErr w:type="spellEnd"/>
      <w:r w:rsidRPr="00352278">
        <w:rPr>
          <w:rFonts w:eastAsiaTheme="minorHAnsi"/>
          <w:sz w:val="24"/>
          <w:szCs w:val="24"/>
        </w:rPr>
        <w:t xml:space="preserve"> rad i produljeni boravak učenika.</w:t>
      </w:r>
      <w:r>
        <w:rPr>
          <w:rFonts w:eastAsiaTheme="minorHAnsi"/>
          <w:sz w:val="24"/>
          <w:szCs w:val="24"/>
        </w:rPr>
        <w:t xml:space="preserve"> U </w:t>
      </w:r>
      <w:r w:rsidRPr="00131B8A">
        <w:rPr>
          <w:rFonts w:eastAsiaTheme="minorHAnsi"/>
          <w:sz w:val="24"/>
          <w:szCs w:val="24"/>
        </w:rPr>
        <w:t>svibnj</w:t>
      </w:r>
      <w:r>
        <w:rPr>
          <w:rFonts w:eastAsiaTheme="minorHAnsi"/>
          <w:sz w:val="24"/>
          <w:szCs w:val="24"/>
        </w:rPr>
        <w:t>u</w:t>
      </w:r>
      <w:r w:rsidRPr="00131B8A">
        <w:rPr>
          <w:rFonts w:eastAsiaTheme="minorHAnsi"/>
          <w:sz w:val="24"/>
          <w:szCs w:val="24"/>
        </w:rPr>
        <w:t xml:space="preserve"> 2024. objav</w:t>
      </w:r>
      <w:r>
        <w:rPr>
          <w:rFonts w:eastAsiaTheme="minorHAnsi"/>
          <w:sz w:val="24"/>
          <w:szCs w:val="24"/>
        </w:rPr>
        <w:t>ljene su</w:t>
      </w:r>
      <w:r w:rsidRPr="00131B8A">
        <w:rPr>
          <w:rFonts w:eastAsiaTheme="minorHAnsi"/>
          <w:sz w:val="24"/>
          <w:szCs w:val="24"/>
        </w:rPr>
        <w:t xml:space="preserve"> izmjene</w:t>
      </w:r>
      <w:r>
        <w:rPr>
          <w:rFonts w:eastAsiaTheme="minorHAnsi"/>
          <w:sz w:val="24"/>
          <w:szCs w:val="24"/>
        </w:rPr>
        <w:t xml:space="preserve"> </w:t>
      </w:r>
      <w:r w:rsidRPr="00131B8A">
        <w:rPr>
          <w:rFonts w:eastAsiaTheme="minorHAnsi"/>
          <w:sz w:val="24"/>
          <w:szCs w:val="24"/>
        </w:rPr>
        <w:t xml:space="preserve">poziva </w:t>
      </w:r>
      <w:r>
        <w:rPr>
          <w:rFonts w:eastAsiaTheme="minorHAnsi"/>
          <w:sz w:val="24"/>
          <w:szCs w:val="24"/>
        </w:rPr>
        <w:t xml:space="preserve">u okviru </w:t>
      </w:r>
      <w:r w:rsidRPr="00131B8A">
        <w:rPr>
          <w:rFonts w:eastAsiaTheme="minorHAnsi"/>
          <w:sz w:val="24"/>
          <w:szCs w:val="24"/>
        </w:rPr>
        <w:t>NPOO</w:t>
      </w:r>
      <w:r>
        <w:rPr>
          <w:rFonts w:eastAsiaTheme="minorHAnsi"/>
          <w:sz w:val="24"/>
          <w:szCs w:val="24"/>
        </w:rPr>
        <w:t xml:space="preserve"> </w:t>
      </w:r>
      <w:r w:rsidRPr="00131B8A">
        <w:rPr>
          <w:rFonts w:eastAsiaTheme="minorHAnsi"/>
          <w:sz w:val="24"/>
          <w:szCs w:val="24"/>
        </w:rPr>
        <w:t>investicij</w:t>
      </w:r>
      <w:r>
        <w:rPr>
          <w:rFonts w:eastAsiaTheme="minorHAnsi"/>
          <w:sz w:val="24"/>
          <w:szCs w:val="24"/>
        </w:rPr>
        <w:t xml:space="preserve">e </w:t>
      </w:r>
      <w:r w:rsidRPr="00131B8A">
        <w:rPr>
          <w:rFonts w:eastAsiaTheme="minorHAnsi"/>
          <w:sz w:val="24"/>
          <w:szCs w:val="24"/>
        </w:rPr>
        <w:t>„Izgradnja, dogradnja, rekonstrukcija i opremanje osnovnih škola za potrebe jednosmjenskog rada i cjelodnevne škole“</w:t>
      </w:r>
      <w:r w:rsidRPr="00D320A6">
        <w:rPr>
          <w:rFonts w:eastAsiaTheme="minorHAnsi"/>
          <w:sz w:val="24"/>
          <w:szCs w:val="24"/>
        </w:rPr>
        <w:t xml:space="preserve"> </w:t>
      </w:r>
      <w:r>
        <w:rPr>
          <w:rFonts w:eastAsiaTheme="minorHAnsi"/>
          <w:sz w:val="24"/>
          <w:szCs w:val="24"/>
        </w:rPr>
        <w:t>(</w:t>
      </w:r>
      <w:r w:rsidRPr="00131B8A">
        <w:rPr>
          <w:rFonts w:eastAsiaTheme="minorHAnsi"/>
          <w:sz w:val="24"/>
          <w:szCs w:val="24"/>
        </w:rPr>
        <w:t>C3.1.R1-I2</w:t>
      </w:r>
      <w:r>
        <w:rPr>
          <w:rFonts w:eastAsiaTheme="minorHAnsi"/>
          <w:sz w:val="24"/>
          <w:szCs w:val="24"/>
        </w:rPr>
        <w:t>)</w:t>
      </w:r>
      <w:r w:rsidRPr="00131B8A">
        <w:rPr>
          <w:rFonts w:eastAsiaTheme="minorHAnsi"/>
          <w:sz w:val="24"/>
          <w:szCs w:val="24"/>
        </w:rPr>
        <w:t xml:space="preserve">, </w:t>
      </w:r>
      <w:r>
        <w:rPr>
          <w:rFonts w:eastAsiaTheme="minorHAnsi"/>
          <w:sz w:val="24"/>
          <w:szCs w:val="24"/>
        </w:rPr>
        <w:t>kojima</w:t>
      </w:r>
      <w:r w:rsidRPr="00131B8A">
        <w:rPr>
          <w:rFonts w:eastAsiaTheme="minorHAnsi"/>
          <w:sz w:val="24"/>
          <w:szCs w:val="24"/>
        </w:rPr>
        <w:t xml:space="preserve"> je ukupna alokacija bespovratnih sredstava </w:t>
      </w:r>
      <w:r>
        <w:rPr>
          <w:rFonts w:eastAsiaTheme="minorHAnsi"/>
          <w:sz w:val="24"/>
          <w:szCs w:val="24"/>
        </w:rPr>
        <w:t xml:space="preserve">poziva, s izvornih 302,6 milijuna eura značajno </w:t>
      </w:r>
      <w:r w:rsidRPr="00131B8A">
        <w:rPr>
          <w:rFonts w:eastAsiaTheme="minorHAnsi"/>
          <w:sz w:val="24"/>
          <w:szCs w:val="24"/>
        </w:rPr>
        <w:t xml:space="preserve">povećana na 1,302 milijarde eura. Revidirani poziv </w:t>
      </w:r>
      <w:r>
        <w:rPr>
          <w:rFonts w:eastAsiaTheme="minorHAnsi"/>
          <w:sz w:val="24"/>
          <w:szCs w:val="24"/>
        </w:rPr>
        <w:t>podijeljen</w:t>
      </w:r>
      <w:r w:rsidRPr="00131B8A">
        <w:rPr>
          <w:rFonts w:eastAsiaTheme="minorHAnsi"/>
          <w:sz w:val="24"/>
          <w:szCs w:val="24"/>
        </w:rPr>
        <w:t xml:space="preserve"> je u dvije grupe: Grupa 1 </w:t>
      </w:r>
      <w:r>
        <w:rPr>
          <w:rFonts w:eastAsiaTheme="minorHAnsi"/>
          <w:sz w:val="24"/>
          <w:szCs w:val="24"/>
        </w:rPr>
        <w:t>(alokacija</w:t>
      </w:r>
      <w:r w:rsidRPr="004C1FAE">
        <w:rPr>
          <w:rFonts w:eastAsiaTheme="minorHAnsi"/>
          <w:sz w:val="24"/>
          <w:szCs w:val="24"/>
        </w:rPr>
        <w:t xml:space="preserve"> 871,73 milijuna eura</w:t>
      </w:r>
      <w:r>
        <w:rPr>
          <w:rFonts w:eastAsiaTheme="minorHAnsi"/>
          <w:sz w:val="24"/>
          <w:szCs w:val="24"/>
        </w:rPr>
        <w:t>)</w:t>
      </w:r>
      <w:r w:rsidRPr="004C1FAE">
        <w:rPr>
          <w:rFonts w:eastAsiaTheme="minorHAnsi"/>
          <w:sz w:val="24"/>
          <w:szCs w:val="24"/>
        </w:rPr>
        <w:t xml:space="preserve"> </w:t>
      </w:r>
      <w:r>
        <w:rPr>
          <w:rFonts w:eastAsiaTheme="minorHAnsi"/>
          <w:sz w:val="24"/>
          <w:szCs w:val="24"/>
        </w:rPr>
        <w:t>odnosi se na</w:t>
      </w:r>
      <w:r w:rsidRPr="00131B8A">
        <w:rPr>
          <w:rFonts w:eastAsiaTheme="minorHAnsi"/>
          <w:sz w:val="24"/>
          <w:szCs w:val="24"/>
        </w:rPr>
        <w:t xml:space="preserve"> izgradnj</w:t>
      </w:r>
      <w:r>
        <w:rPr>
          <w:rFonts w:eastAsiaTheme="minorHAnsi"/>
          <w:sz w:val="24"/>
          <w:szCs w:val="24"/>
        </w:rPr>
        <w:t>u</w:t>
      </w:r>
      <w:r w:rsidRPr="00131B8A">
        <w:rPr>
          <w:rFonts w:eastAsiaTheme="minorHAnsi"/>
          <w:sz w:val="24"/>
          <w:szCs w:val="24"/>
        </w:rPr>
        <w:t>, rekonstrukcij</w:t>
      </w:r>
      <w:r>
        <w:rPr>
          <w:rFonts w:eastAsiaTheme="minorHAnsi"/>
          <w:sz w:val="24"/>
          <w:szCs w:val="24"/>
        </w:rPr>
        <w:t>u</w:t>
      </w:r>
      <w:r w:rsidRPr="00131B8A">
        <w:rPr>
          <w:rFonts w:eastAsiaTheme="minorHAnsi"/>
          <w:sz w:val="24"/>
          <w:szCs w:val="24"/>
        </w:rPr>
        <w:t xml:space="preserve"> i opremanje osnovnih škola za potrebe jednosmjenskog rada i </w:t>
      </w:r>
      <w:r>
        <w:rPr>
          <w:rFonts w:eastAsiaTheme="minorHAnsi"/>
          <w:sz w:val="24"/>
          <w:szCs w:val="24"/>
        </w:rPr>
        <w:t xml:space="preserve">programa </w:t>
      </w:r>
      <w:r w:rsidRPr="00131B8A">
        <w:rPr>
          <w:rFonts w:eastAsiaTheme="minorHAnsi"/>
          <w:sz w:val="24"/>
          <w:szCs w:val="24"/>
        </w:rPr>
        <w:t xml:space="preserve">cjelodnevne škole te Grupa 2 </w:t>
      </w:r>
      <w:r>
        <w:rPr>
          <w:rFonts w:eastAsiaTheme="minorHAnsi"/>
          <w:sz w:val="24"/>
          <w:szCs w:val="24"/>
        </w:rPr>
        <w:t>(</w:t>
      </w:r>
      <w:r w:rsidRPr="00131B8A">
        <w:rPr>
          <w:rFonts w:eastAsiaTheme="minorHAnsi"/>
          <w:sz w:val="24"/>
          <w:szCs w:val="24"/>
        </w:rPr>
        <w:t>alokacij</w:t>
      </w:r>
      <w:r>
        <w:rPr>
          <w:rFonts w:eastAsiaTheme="minorHAnsi"/>
          <w:sz w:val="24"/>
          <w:szCs w:val="24"/>
        </w:rPr>
        <w:t>a</w:t>
      </w:r>
      <w:r w:rsidRPr="00131B8A">
        <w:rPr>
          <w:rFonts w:eastAsiaTheme="minorHAnsi"/>
          <w:sz w:val="24"/>
          <w:szCs w:val="24"/>
        </w:rPr>
        <w:t xml:space="preserve"> od 430,88 milijuna eura</w:t>
      </w:r>
      <w:r>
        <w:rPr>
          <w:rFonts w:eastAsiaTheme="minorHAnsi"/>
          <w:sz w:val="24"/>
          <w:szCs w:val="24"/>
        </w:rPr>
        <w:t>)</w:t>
      </w:r>
      <w:r w:rsidRPr="00131B8A">
        <w:rPr>
          <w:rFonts w:eastAsiaTheme="minorHAnsi"/>
          <w:sz w:val="24"/>
          <w:szCs w:val="24"/>
        </w:rPr>
        <w:t xml:space="preserve"> </w:t>
      </w:r>
      <w:r>
        <w:rPr>
          <w:rFonts w:eastAsiaTheme="minorHAnsi"/>
          <w:sz w:val="24"/>
          <w:szCs w:val="24"/>
        </w:rPr>
        <w:t>odnosi se na i</w:t>
      </w:r>
      <w:r w:rsidRPr="00131B8A">
        <w:rPr>
          <w:rFonts w:eastAsiaTheme="minorHAnsi"/>
          <w:sz w:val="24"/>
          <w:szCs w:val="24"/>
        </w:rPr>
        <w:t>zgradnj</w:t>
      </w:r>
      <w:r>
        <w:rPr>
          <w:rFonts w:eastAsiaTheme="minorHAnsi"/>
          <w:sz w:val="24"/>
          <w:szCs w:val="24"/>
        </w:rPr>
        <w:t>u</w:t>
      </w:r>
      <w:r w:rsidRPr="00131B8A">
        <w:rPr>
          <w:rFonts w:eastAsiaTheme="minorHAnsi"/>
          <w:sz w:val="24"/>
          <w:szCs w:val="24"/>
        </w:rPr>
        <w:t xml:space="preserve"> i opremanje školskih sportskih dvorana za potrebe cjelodnevne škole. </w:t>
      </w:r>
      <w:r w:rsidRPr="002419DA">
        <w:rPr>
          <w:rFonts w:eastAsiaTheme="minorHAnsi"/>
          <w:sz w:val="24"/>
          <w:szCs w:val="24"/>
        </w:rPr>
        <w:t xml:space="preserve">Poziv je otvoren do 31. ožujka 2025., a projektni </w:t>
      </w:r>
      <w:r>
        <w:rPr>
          <w:rFonts w:eastAsiaTheme="minorHAnsi"/>
          <w:sz w:val="24"/>
          <w:szCs w:val="24"/>
        </w:rPr>
        <w:t xml:space="preserve">su </w:t>
      </w:r>
      <w:r w:rsidRPr="002419DA">
        <w:rPr>
          <w:rFonts w:eastAsiaTheme="minorHAnsi"/>
          <w:sz w:val="24"/>
          <w:szCs w:val="24"/>
        </w:rPr>
        <w:t>se prijedlozi za</w:t>
      </w:r>
      <w:r>
        <w:rPr>
          <w:rFonts w:eastAsiaTheme="minorHAnsi"/>
          <w:sz w:val="24"/>
          <w:szCs w:val="24"/>
        </w:rPr>
        <w:t xml:space="preserve"> obje grupe za</w:t>
      </w:r>
      <w:r w:rsidRPr="002419DA">
        <w:rPr>
          <w:rFonts w:eastAsiaTheme="minorHAnsi"/>
          <w:sz w:val="24"/>
          <w:szCs w:val="24"/>
        </w:rPr>
        <w:t>prima</w:t>
      </w:r>
      <w:r>
        <w:rPr>
          <w:rFonts w:eastAsiaTheme="minorHAnsi"/>
          <w:sz w:val="24"/>
          <w:szCs w:val="24"/>
        </w:rPr>
        <w:t>li</w:t>
      </w:r>
      <w:r w:rsidRPr="002419DA">
        <w:rPr>
          <w:rFonts w:eastAsiaTheme="minorHAnsi"/>
          <w:sz w:val="24"/>
          <w:szCs w:val="24"/>
        </w:rPr>
        <w:t xml:space="preserve"> i evaluira</w:t>
      </w:r>
      <w:r>
        <w:rPr>
          <w:rFonts w:eastAsiaTheme="minorHAnsi"/>
          <w:sz w:val="24"/>
          <w:szCs w:val="24"/>
        </w:rPr>
        <w:t>li</w:t>
      </w:r>
      <w:r w:rsidRPr="002419DA">
        <w:rPr>
          <w:rFonts w:eastAsiaTheme="minorHAnsi"/>
          <w:sz w:val="24"/>
          <w:szCs w:val="24"/>
        </w:rPr>
        <w:t xml:space="preserve"> kontinuirano</w:t>
      </w:r>
      <w:r>
        <w:rPr>
          <w:rFonts w:eastAsiaTheme="minorHAnsi"/>
          <w:sz w:val="24"/>
          <w:szCs w:val="24"/>
        </w:rPr>
        <w:t xml:space="preserve"> tijekom </w:t>
      </w:r>
      <w:r>
        <w:rPr>
          <w:rFonts w:eastAsiaTheme="minorHAnsi"/>
          <w:sz w:val="24"/>
          <w:szCs w:val="24"/>
        </w:rPr>
        <w:lastRenderedPageBreak/>
        <w:t>2024. godine.</w:t>
      </w:r>
      <w:r w:rsidRPr="002419DA">
        <w:rPr>
          <w:rFonts w:eastAsiaTheme="minorHAnsi"/>
          <w:sz w:val="24"/>
          <w:szCs w:val="24"/>
        </w:rPr>
        <w:t xml:space="preserve"> </w:t>
      </w:r>
      <w:r>
        <w:rPr>
          <w:rFonts w:eastAsiaTheme="minorHAnsi"/>
          <w:sz w:val="24"/>
          <w:szCs w:val="24"/>
        </w:rPr>
        <w:t>Do kraja</w:t>
      </w:r>
      <w:r w:rsidRPr="002419DA">
        <w:rPr>
          <w:rFonts w:eastAsiaTheme="minorHAnsi"/>
          <w:sz w:val="24"/>
          <w:szCs w:val="24"/>
        </w:rPr>
        <w:t xml:space="preserve"> 2024. doneseno je devet odluka o financiranju u vrijednosti </w:t>
      </w:r>
      <w:r>
        <w:rPr>
          <w:rFonts w:eastAsiaTheme="minorHAnsi"/>
          <w:sz w:val="24"/>
          <w:szCs w:val="24"/>
        </w:rPr>
        <w:t xml:space="preserve">281,29 </w:t>
      </w:r>
      <w:r w:rsidRPr="002419DA">
        <w:rPr>
          <w:rFonts w:eastAsiaTheme="minorHAnsi"/>
          <w:sz w:val="24"/>
          <w:szCs w:val="24"/>
        </w:rPr>
        <w:t>milijuna eura te je potpisano 39 ugovora o sufinanciranju. Ukupna vrijednost ugovorenih bespovratnih sredstava</w:t>
      </w:r>
      <w:r>
        <w:rPr>
          <w:rFonts w:eastAsiaTheme="minorHAnsi"/>
          <w:sz w:val="24"/>
          <w:szCs w:val="24"/>
        </w:rPr>
        <w:t xml:space="preserve"> iz NPOO-a </w:t>
      </w:r>
      <w:r w:rsidRPr="002419DA">
        <w:rPr>
          <w:rFonts w:eastAsiaTheme="minorHAnsi"/>
          <w:sz w:val="24"/>
          <w:szCs w:val="24"/>
        </w:rPr>
        <w:t>za širenje mreže jednosmjenskog rada i postupno uvođenje modela cjelodnevne škole u već</w:t>
      </w:r>
      <w:r>
        <w:rPr>
          <w:rFonts w:eastAsiaTheme="minorHAnsi"/>
          <w:sz w:val="24"/>
          <w:szCs w:val="24"/>
        </w:rPr>
        <w:t>i</w:t>
      </w:r>
      <w:r w:rsidRPr="002419DA">
        <w:rPr>
          <w:rFonts w:eastAsiaTheme="minorHAnsi"/>
          <w:sz w:val="24"/>
          <w:szCs w:val="24"/>
        </w:rPr>
        <w:t xml:space="preserve"> broj osnovnih škola </w:t>
      </w:r>
      <w:r>
        <w:rPr>
          <w:rFonts w:eastAsiaTheme="minorHAnsi"/>
          <w:sz w:val="24"/>
          <w:szCs w:val="24"/>
        </w:rPr>
        <w:t xml:space="preserve">do kraja 2024. </w:t>
      </w:r>
      <w:r w:rsidRPr="002419DA">
        <w:rPr>
          <w:rFonts w:eastAsiaTheme="minorHAnsi"/>
          <w:sz w:val="24"/>
          <w:szCs w:val="24"/>
        </w:rPr>
        <w:t>iznosi</w:t>
      </w:r>
      <w:r>
        <w:rPr>
          <w:rFonts w:eastAsiaTheme="minorHAnsi"/>
          <w:sz w:val="24"/>
          <w:szCs w:val="24"/>
        </w:rPr>
        <w:t xml:space="preserve">la je </w:t>
      </w:r>
      <w:r w:rsidRPr="002419DA">
        <w:rPr>
          <w:rFonts w:eastAsiaTheme="minorHAnsi"/>
          <w:sz w:val="24"/>
          <w:szCs w:val="24"/>
        </w:rPr>
        <w:t>222,16 milijuna eura.</w:t>
      </w:r>
      <w:r>
        <w:rPr>
          <w:rFonts w:eastAsiaTheme="minorHAnsi"/>
          <w:sz w:val="24"/>
          <w:szCs w:val="24"/>
        </w:rPr>
        <w:t xml:space="preserve"> U okviru zajma Svjetske banke </w:t>
      </w:r>
      <w:r w:rsidRPr="00031CDE">
        <w:rPr>
          <w:rFonts w:eastAsiaTheme="minorHAnsi"/>
          <w:sz w:val="24"/>
          <w:szCs w:val="24"/>
        </w:rPr>
        <w:t xml:space="preserve">za infrastrukturna ulaganja u </w:t>
      </w:r>
      <w:r>
        <w:rPr>
          <w:rFonts w:eastAsiaTheme="minorHAnsi"/>
          <w:sz w:val="24"/>
          <w:szCs w:val="24"/>
        </w:rPr>
        <w:t xml:space="preserve">62 osnovne </w:t>
      </w:r>
      <w:r w:rsidRPr="00031CDE">
        <w:rPr>
          <w:rFonts w:eastAsiaTheme="minorHAnsi"/>
          <w:sz w:val="24"/>
          <w:szCs w:val="24"/>
        </w:rPr>
        <w:t xml:space="preserve">škole uključene u </w:t>
      </w:r>
      <w:r>
        <w:rPr>
          <w:rFonts w:eastAsiaTheme="minorHAnsi"/>
          <w:sz w:val="24"/>
          <w:szCs w:val="24"/>
        </w:rPr>
        <w:t xml:space="preserve">Eksperimentalni </w:t>
      </w:r>
      <w:r w:rsidRPr="00031CDE">
        <w:rPr>
          <w:rFonts w:eastAsiaTheme="minorHAnsi"/>
          <w:sz w:val="24"/>
          <w:szCs w:val="24"/>
        </w:rPr>
        <w:t xml:space="preserve">program </w:t>
      </w:r>
      <w:r>
        <w:rPr>
          <w:rFonts w:eastAsiaTheme="minorHAnsi"/>
          <w:sz w:val="24"/>
          <w:szCs w:val="24"/>
        </w:rPr>
        <w:t xml:space="preserve">„Osnovna škola kao </w:t>
      </w:r>
      <w:r w:rsidRPr="00031CDE">
        <w:rPr>
          <w:rFonts w:eastAsiaTheme="minorHAnsi"/>
          <w:sz w:val="24"/>
          <w:szCs w:val="24"/>
        </w:rPr>
        <w:t>cjelodnevn</w:t>
      </w:r>
      <w:r>
        <w:rPr>
          <w:rFonts w:eastAsiaTheme="minorHAnsi"/>
          <w:sz w:val="24"/>
          <w:szCs w:val="24"/>
        </w:rPr>
        <w:t>a</w:t>
      </w:r>
      <w:r w:rsidRPr="00031CDE">
        <w:rPr>
          <w:rFonts w:eastAsiaTheme="minorHAnsi"/>
          <w:sz w:val="24"/>
          <w:szCs w:val="24"/>
        </w:rPr>
        <w:t xml:space="preserve"> škol</w:t>
      </w:r>
      <w:r>
        <w:rPr>
          <w:rFonts w:eastAsiaTheme="minorHAnsi"/>
          <w:sz w:val="24"/>
          <w:szCs w:val="24"/>
        </w:rPr>
        <w:t>a“</w:t>
      </w:r>
      <w:r w:rsidRPr="00031CDE">
        <w:rPr>
          <w:rFonts w:eastAsiaTheme="minorHAnsi"/>
          <w:sz w:val="24"/>
          <w:szCs w:val="24"/>
        </w:rPr>
        <w:t xml:space="preserve"> ugovoreno je ukupno 17</w:t>
      </w:r>
      <w:r>
        <w:rPr>
          <w:rFonts w:eastAsiaTheme="minorHAnsi"/>
          <w:sz w:val="24"/>
          <w:szCs w:val="24"/>
        </w:rPr>
        <w:t>,</w:t>
      </w:r>
      <w:r w:rsidRPr="00031CDE">
        <w:rPr>
          <w:rFonts w:eastAsiaTheme="minorHAnsi"/>
          <w:sz w:val="24"/>
          <w:szCs w:val="24"/>
        </w:rPr>
        <w:t>98</w:t>
      </w:r>
      <w:r>
        <w:rPr>
          <w:rFonts w:eastAsiaTheme="minorHAnsi"/>
          <w:sz w:val="24"/>
          <w:szCs w:val="24"/>
        </w:rPr>
        <w:t xml:space="preserve"> milijuna eura (</w:t>
      </w:r>
      <w:r w:rsidRPr="00031CDE">
        <w:rPr>
          <w:rFonts w:eastAsiaTheme="minorHAnsi"/>
          <w:sz w:val="24"/>
          <w:szCs w:val="24"/>
        </w:rPr>
        <w:t>71,92% ukupnog iznosa zajma</w:t>
      </w:r>
      <w:r>
        <w:rPr>
          <w:rFonts w:eastAsiaTheme="minorHAnsi"/>
          <w:sz w:val="24"/>
          <w:szCs w:val="24"/>
        </w:rPr>
        <w:t>), o</w:t>
      </w:r>
      <w:r w:rsidRPr="00031CDE">
        <w:rPr>
          <w:rFonts w:eastAsiaTheme="minorHAnsi"/>
          <w:sz w:val="24"/>
          <w:szCs w:val="24"/>
        </w:rPr>
        <w:t>d</w:t>
      </w:r>
      <w:r>
        <w:rPr>
          <w:rFonts w:eastAsiaTheme="minorHAnsi"/>
          <w:sz w:val="24"/>
          <w:szCs w:val="24"/>
        </w:rPr>
        <w:t xml:space="preserve"> čega je </w:t>
      </w:r>
      <w:r w:rsidRPr="00031CDE">
        <w:rPr>
          <w:rFonts w:eastAsiaTheme="minorHAnsi"/>
          <w:sz w:val="24"/>
          <w:szCs w:val="24"/>
        </w:rPr>
        <w:t xml:space="preserve">do kraja 2024. realizirano ulaganja u vrijednosti </w:t>
      </w:r>
      <w:r>
        <w:rPr>
          <w:rFonts w:eastAsiaTheme="minorHAnsi"/>
          <w:sz w:val="24"/>
          <w:szCs w:val="24"/>
        </w:rPr>
        <w:t xml:space="preserve">od </w:t>
      </w:r>
      <w:r w:rsidRPr="00031CDE">
        <w:rPr>
          <w:rFonts w:eastAsiaTheme="minorHAnsi"/>
          <w:sz w:val="24"/>
          <w:szCs w:val="24"/>
        </w:rPr>
        <w:t>11</w:t>
      </w:r>
      <w:r>
        <w:rPr>
          <w:rFonts w:eastAsiaTheme="minorHAnsi"/>
          <w:sz w:val="24"/>
          <w:szCs w:val="24"/>
        </w:rPr>
        <w:t>,</w:t>
      </w:r>
      <w:r w:rsidRPr="00031CDE">
        <w:rPr>
          <w:rFonts w:eastAsiaTheme="minorHAnsi"/>
          <w:sz w:val="24"/>
          <w:szCs w:val="24"/>
        </w:rPr>
        <w:t>17</w:t>
      </w:r>
      <w:r>
        <w:rPr>
          <w:rFonts w:eastAsiaTheme="minorHAnsi"/>
          <w:sz w:val="24"/>
          <w:szCs w:val="24"/>
        </w:rPr>
        <w:t xml:space="preserve"> milijuna</w:t>
      </w:r>
      <w:r w:rsidRPr="00031CDE">
        <w:rPr>
          <w:rFonts w:eastAsiaTheme="minorHAnsi"/>
          <w:sz w:val="24"/>
          <w:szCs w:val="24"/>
        </w:rPr>
        <w:t xml:space="preserve"> eura, odnosno 62,15% ugovorenih sredstava. </w:t>
      </w:r>
      <w:r>
        <w:rPr>
          <w:rFonts w:eastAsiaTheme="minorHAnsi"/>
          <w:sz w:val="24"/>
          <w:szCs w:val="24"/>
        </w:rPr>
        <w:t>Ugovorena</w:t>
      </w:r>
      <w:r w:rsidRPr="00031CDE">
        <w:rPr>
          <w:rFonts w:eastAsiaTheme="minorHAnsi"/>
          <w:sz w:val="24"/>
          <w:szCs w:val="24"/>
        </w:rPr>
        <w:t xml:space="preserve"> ulaganja obuhvaćaju širok raspon aktivnosti usmjerenih na prilagodbu školskih prostora novom modelu organizacije rada, uključujući proširenje i opremanje školskih kuhinja i blagovaonica, dodatno uređenje i opremanje prostora za boravak učenika, učionica, kabineta i praktikuma, kao i prostora namijenjenih profesionalnom radu učitelja, čime se stvaraju nužni preduvjeti za kvalitetnu provedbu cjelodnevnog boravka učenika u školi.</w:t>
      </w:r>
    </w:p>
    <w:p w14:paraId="245B3090" w14:textId="77777777" w:rsidR="00FB178A" w:rsidRPr="0004221B" w:rsidRDefault="00FB178A" w:rsidP="00FB178A">
      <w:pPr>
        <w:spacing w:before="240" w:after="120" w:line="276" w:lineRule="auto"/>
        <w:jc w:val="both"/>
        <w:rPr>
          <w:rFonts w:eastAsiaTheme="minorHAnsi"/>
          <w:sz w:val="24"/>
          <w:szCs w:val="24"/>
        </w:rPr>
      </w:pPr>
      <w:r>
        <w:rPr>
          <w:rFonts w:eastAsiaTheme="minorHAnsi"/>
          <w:sz w:val="24"/>
          <w:szCs w:val="24"/>
        </w:rPr>
        <w:t>Tijekom 2024.</w:t>
      </w:r>
      <w:r w:rsidRPr="0004221B">
        <w:rPr>
          <w:rFonts w:eastAsiaTheme="minorHAnsi"/>
          <w:sz w:val="24"/>
          <w:szCs w:val="24"/>
        </w:rPr>
        <w:t xml:space="preserve"> intenzivirane su aktivnosti na modernizaciji strukovnog obrazovanja s ciljem</w:t>
      </w:r>
      <w:r>
        <w:rPr>
          <w:rFonts w:eastAsiaTheme="minorHAnsi"/>
          <w:sz w:val="24"/>
          <w:szCs w:val="24"/>
        </w:rPr>
        <w:t xml:space="preserve"> jačanja</w:t>
      </w:r>
      <w:r w:rsidRPr="0004221B">
        <w:rPr>
          <w:rFonts w:eastAsiaTheme="minorHAnsi"/>
          <w:sz w:val="24"/>
          <w:szCs w:val="24"/>
        </w:rPr>
        <w:t xml:space="preserve"> njegove privlačnosti među učenicima i usklađivanja obrazovnih programa s aktualnim</w:t>
      </w:r>
      <w:r>
        <w:rPr>
          <w:rFonts w:eastAsiaTheme="minorHAnsi"/>
          <w:sz w:val="24"/>
          <w:szCs w:val="24"/>
        </w:rPr>
        <w:t xml:space="preserve"> </w:t>
      </w:r>
      <w:r w:rsidRPr="0004221B">
        <w:rPr>
          <w:rFonts w:eastAsiaTheme="minorHAnsi"/>
          <w:sz w:val="24"/>
          <w:szCs w:val="24"/>
        </w:rPr>
        <w:t>potrebama tr</w:t>
      </w:r>
      <w:r>
        <w:rPr>
          <w:rFonts w:eastAsiaTheme="minorHAnsi"/>
          <w:sz w:val="24"/>
          <w:szCs w:val="24"/>
        </w:rPr>
        <w:t>ž</w:t>
      </w:r>
      <w:r w:rsidRPr="0004221B">
        <w:rPr>
          <w:rFonts w:eastAsiaTheme="minorHAnsi"/>
          <w:sz w:val="24"/>
          <w:szCs w:val="24"/>
        </w:rPr>
        <w:t>i</w:t>
      </w:r>
      <w:r>
        <w:rPr>
          <w:rFonts w:eastAsiaTheme="minorHAnsi"/>
          <w:sz w:val="24"/>
          <w:szCs w:val="24"/>
        </w:rPr>
        <w:t>š</w:t>
      </w:r>
      <w:r w:rsidRPr="0004221B">
        <w:rPr>
          <w:rFonts w:eastAsiaTheme="minorHAnsi"/>
          <w:sz w:val="24"/>
          <w:szCs w:val="24"/>
        </w:rPr>
        <w:t>ta rada. Umjesto dosadašnjeg paralelnog provođenja različitih modela (klasičnog,</w:t>
      </w:r>
      <w:r>
        <w:rPr>
          <w:rFonts w:eastAsiaTheme="minorHAnsi"/>
          <w:sz w:val="24"/>
          <w:szCs w:val="24"/>
        </w:rPr>
        <w:t xml:space="preserve"> </w:t>
      </w:r>
      <w:r w:rsidRPr="0004221B">
        <w:rPr>
          <w:rFonts w:eastAsiaTheme="minorHAnsi"/>
          <w:sz w:val="24"/>
          <w:szCs w:val="24"/>
        </w:rPr>
        <w:t>dualnog, JMO), uvodi se objedinjeni model obrazovanja za isto</w:t>
      </w:r>
      <w:r>
        <w:rPr>
          <w:rFonts w:eastAsiaTheme="minorHAnsi"/>
          <w:sz w:val="24"/>
          <w:szCs w:val="24"/>
        </w:rPr>
        <w:t xml:space="preserve"> </w:t>
      </w:r>
      <w:r w:rsidRPr="0004221B">
        <w:rPr>
          <w:rFonts w:eastAsiaTheme="minorHAnsi"/>
          <w:sz w:val="24"/>
          <w:szCs w:val="24"/>
        </w:rPr>
        <w:t>zanimanje, čime se pojednostavljuje</w:t>
      </w:r>
      <w:r>
        <w:rPr>
          <w:rFonts w:eastAsiaTheme="minorHAnsi"/>
          <w:sz w:val="24"/>
          <w:szCs w:val="24"/>
        </w:rPr>
        <w:t xml:space="preserve"> </w:t>
      </w:r>
      <w:r w:rsidRPr="0004221B">
        <w:rPr>
          <w:rFonts w:eastAsiaTheme="minorHAnsi"/>
          <w:sz w:val="24"/>
          <w:szCs w:val="24"/>
        </w:rPr>
        <w:t>sustav i smanjuje broj programa, a povećava njegova učinkovitost i jasnoća.</w:t>
      </w:r>
      <w:r>
        <w:rPr>
          <w:rFonts w:eastAsiaTheme="minorHAnsi"/>
          <w:sz w:val="24"/>
          <w:szCs w:val="24"/>
        </w:rPr>
        <w:t xml:space="preserve"> </w:t>
      </w:r>
      <w:r w:rsidRPr="0004221B">
        <w:rPr>
          <w:rFonts w:eastAsiaTheme="minorHAnsi"/>
          <w:sz w:val="24"/>
          <w:szCs w:val="24"/>
        </w:rPr>
        <w:t xml:space="preserve">Izrađeni su suvremeni strukovni </w:t>
      </w:r>
      <w:proofErr w:type="spellStart"/>
      <w:r w:rsidRPr="0004221B">
        <w:rPr>
          <w:rFonts w:eastAsiaTheme="minorHAnsi"/>
          <w:sz w:val="24"/>
          <w:szCs w:val="24"/>
        </w:rPr>
        <w:t>kurikul</w:t>
      </w:r>
      <w:r>
        <w:rPr>
          <w:rFonts w:eastAsiaTheme="minorHAnsi"/>
          <w:sz w:val="24"/>
          <w:szCs w:val="24"/>
        </w:rPr>
        <w:t>umi</w:t>
      </w:r>
      <w:proofErr w:type="spellEnd"/>
      <w:r w:rsidRPr="0004221B">
        <w:rPr>
          <w:rFonts w:eastAsiaTheme="minorHAnsi"/>
          <w:sz w:val="24"/>
          <w:szCs w:val="24"/>
        </w:rPr>
        <w:t xml:space="preserve"> koji omogućuju veću</w:t>
      </w:r>
      <w:r>
        <w:rPr>
          <w:rFonts w:eastAsiaTheme="minorHAnsi"/>
          <w:sz w:val="24"/>
          <w:szCs w:val="24"/>
        </w:rPr>
        <w:t xml:space="preserve"> </w:t>
      </w:r>
      <w:r w:rsidRPr="0004221B">
        <w:rPr>
          <w:rFonts w:eastAsiaTheme="minorHAnsi"/>
          <w:sz w:val="24"/>
          <w:szCs w:val="24"/>
        </w:rPr>
        <w:t>fleksibilnost u organizaciji nastave, više</w:t>
      </w:r>
      <w:r>
        <w:rPr>
          <w:rFonts w:eastAsiaTheme="minorHAnsi"/>
          <w:sz w:val="24"/>
          <w:szCs w:val="24"/>
        </w:rPr>
        <w:t xml:space="preserve"> </w:t>
      </w:r>
      <w:r w:rsidRPr="0004221B">
        <w:rPr>
          <w:rFonts w:eastAsiaTheme="minorHAnsi"/>
          <w:sz w:val="24"/>
          <w:szCs w:val="24"/>
        </w:rPr>
        <w:t>mogućnosti izbora za učenike i nastavničku kreativnost u oblikovanju obrazovnog procesa. Time se</w:t>
      </w:r>
      <w:r>
        <w:rPr>
          <w:rFonts w:eastAsiaTheme="minorHAnsi"/>
          <w:sz w:val="24"/>
          <w:szCs w:val="24"/>
        </w:rPr>
        <w:t xml:space="preserve"> </w:t>
      </w:r>
      <w:r w:rsidRPr="0004221B">
        <w:rPr>
          <w:rFonts w:eastAsiaTheme="minorHAnsi"/>
          <w:sz w:val="24"/>
          <w:szCs w:val="24"/>
        </w:rPr>
        <w:t>školama pruža prilika za jače profiliranje i prepoznatljivost na lokalnoj, regionalnoj i nacionalnoj razini.</w:t>
      </w:r>
      <w:r>
        <w:rPr>
          <w:rFonts w:eastAsiaTheme="minorHAnsi"/>
          <w:sz w:val="24"/>
          <w:szCs w:val="24"/>
        </w:rPr>
        <w:t xml:space="preserve"> </w:t>
      </w:r>
      <w:r w:rsidRPr="004063BA">
        <w:rPr>
          <w:rFonts w:eastAsiaTheme="minorHAnsi"/>
          <w:sz w:val="24"/>
          <w:szCs w:val="24"/>
        </w:rPr>
        <w:t>Završetkom uspostave 26 regionalnih centara kompetentnosti u 25 strukovnih škola u 2023.</w:t>
      </w:r>
      <w:r>
        <w:rPr>
          <w:rFonts w:eastAsiaTheme="minorHAnsi"/>
          <w:sz w:val="24"/>
          <w:szCs w:val="24"/>
        </w:rPr>
        <w:t xml:space="preserve"> </w:t>
      </w:r>
      <w:r w:rsidRPr="004063BA">
        <w:rPr>
          <w:rFonts w:eastAsiaTheme="minorHAnsi"/>
          <w:sz w:val="24"/>
          <w:szCs w:val="24"/>
        </w:rPr>
        <w:t>zaokruženo je najveće infrastrukturno i programsko ulaganje u sustav strukovnog obrazovanja u Hrvatskoj, ukupne vrijednosti v</w:t>
      </w:r>
      <w:r>
        <w:rPr>
          <w:rFonts w:eastAsiaTheme="minorHAnsi"/>
          <w:sz w:val="24"/>
          <w:szCs w:val="24"/>
        </w:rPr>
        <w:t>eće</w:t>
      </w:r>
      <w:r w:rsidRPr="004063BA">
        <w:rPr>
          <w:rFonts w:eastAsiaTheme="minorHAnsi"/>
          <w:sz w:val="24"/>
          <w:szCs w:val="24"/>
        </w:rPr>
        <w:t xml:space="preserve"> od 260 milijuna eura </w:t>
      </w:r>
      <w:r>
        <w:rPr>
          <w:rFonts w:eastAsiaTheme="minorHAnsi"/>
          <w:sz w:val="24"/>
          <w:szCs w:val="24"/>
        </w:rPr>
        <w:t xml:space="preserve">sredstava </w:t>
      </w:r>
      <w:r w:rsidRPr="004063BA">
        <w:rPr>
          <w:rFonts w:eastAsiaTheme="minorHAnsi"/>
          <w:sz w:val="24"/>
          <w:szCs w:val="24"/>
        </w:rPr>
        <w:t>iz EU fondova.</w:t>
      </w:r>
      <w:r>
        <w:rPr>
          <w:rFonts w:eastAsiaTheme="minorHAnsi"/>
          <w:sz w:val="24"/>
          <w:szCs w:val="24"/>
        </w:rPr>
        <w:t xml:space="preserve"> C</w:t>
      </w:r>
      <w:r w:rsidRPr="006963F4">
        <w:rPr>
          <w:rFonts w:eastAsiaTheme="minorHAnsi"/>
          <w:sz w:val="24"/>
          <w:szCs w:val="24"/>
        </w:rPr>
        <w:t xml:space="preserve">entri </w:t>
      </w:r>
      <w:r>
        <w:rPr>
          <w:rFonts w:eastAsiaTheme="minorHAnsi"/>
          <w:sz w:val="24"/>
          <w:szCs w:val="24"/>
        </w:rPr>
        <w:t xml:space="preserve">kompetentnosti su </w:t>
      </w:r>
      <w:r w:rsidRPr="006963F4">
        <w:rPr>
          <w:rFonts w:eastAsiaTheme="minorHAnsi"/>
          <w:sz w:val="24"/>
          <w:szCs w:val="24"/>
        </w:rPr>
        <w:t xml:space="preserve">tijekom 2024. </w:t>
      </w:r>
      <w:r>
        <w:rPr>
          <w:rFonts w:eastAsiaTheme="minorHAnsi"/>
          <w:sz w:val="24"/>
          <w:szCs w:val="24"/>
        </w:rPr>
        <w:t xml:space="preserve">počeli </w:t>
      </w:r>
      <w:r w:rsidRPr="006963F4">
        <w:rPr>
          <w:rFonts w:eastAsiaTheme="minorHAnsi"/>
          <w:sz w:val="24"/>
          <w:szCs w:val="24"/>
        </w:rPr>
        <w:t>preuzima</w:t>
      </w:r>
      <w:r>
        <w:rPr>
          <w:rFonts w:eastAsiaTheme="minorHAnsi"/>
          <w:sz w:val="24"/>
          <w:szCs w:val="24"/>
        </w:rPr>
        <w:t>ti</w:t>
      </w:r>
      <w:r w:rsidRPr="006963F4">
        <w:rPr>
          <w:rFonts w:eastAsiaTheme="minorHAnsi"/>
          <w:sz w:val="24"/>
          <w:szCs w:val="24"/>
        </w:rPr>
        <w:t xml:space="preserve"> sve aktivniju ulogu nositelja promjena</w:t>
      </w:r>
      <w:r>
        <w:rPr>
          <w:rFonts w:eastAsiaTheme="minorHAnsi"/>
          <w:sz w:val="24"/>
          <w:szCs w:val="24"/>
        </w:rPr>
        <w:t xml:space="preserve"> na tržištu rada</w:t>
      </w:r>
      <w:r w:rsidRPr="006963F4">
        <w:rPr>
          <w:rFonts w:eastAsiaTheme="minorHAnsi"/>
          <w:sz w:val="24"/>
          <w:szCs w:val="24"/>
        </w:rPr>
        <w:t xml:space="preserve">, nudeći napredne programe osposobljavanja, suvremenu opremu, </w:t>
      </w:r>
      <w:r>
        <w:rPr>
          <w:rFonts w:eastAsiaTheme="minorHAnsi"/>
          <w:sz w:val="24"/>
          <w:szCs w:val="24"/>
        </w:rPr>
        <w:t>bolju</w:t>
      </w:r>
      <w:r w:rsidRPr="006963F4">
        <w:rPr>
          <w:rFonts w:eastAsiaTheme="minorHAnsi"/>
          <w:sz w:val="24"/>
          <w:szCs w:val="24"/>
        </w:rPr>
        <w:t xml:space="preserve"> suradnju s poslodavcima i jačanje kapaciteta nastavnika, čime doprinose podizanju kvalitete, relevantnosti i inovativnosti strukovnog obrazovanja.</w:t>
      </w:r>
      <w:r>
        <w:rPr>
          <w:rFonts w:eastAsiaTheme="minorHAnsi"/>
          <w:sz w:val="24"/>
          <w:szCs w:val="24"/>
        </w:rPr>
        <w:t xml:space="preserve"> </w:t>
      </w:r>
      <w:r w:rsidRPr="0004221B">
        <w:rPr>
          <w:rFonts w:eastAsiaTheme="minorHAnsi"/>
          <w:sz w:val="24"/>
          <w:szCs w:val="24"/>
        </w:rPr>
        <w:t xml:space="preserve">Očekuje se da </w:t>
      </w:r>
      <w:r>
        <w:rPr>
          <w:rFonts w:eastAsiaTheme="minorHAnsi"/>
          <w:sz w:val="24"/>
          <w:szCs w:val="24"/>
        </w:rPr>
        <w:t>ć</w:t>
      </w:r>
      <w:r w:rsidRPr="0004221B">
        <w:rPr>
          <w:rFonts w:eastAsiaTheme="minorHAnsi"/>
          <w:sz w:val="24"/>
          <w:szCs w:val="24"/>
        </w:rPr>
        <w:t>e njihovo djelovanje dugoročno pridonijeti jačanju</w:t>
      </w:r>
      <w:r>
        <w:rPr>
          <w:rFonts w:eastAsiaTheme="minorHAnsi"/>
          <w:sz w:val="24"/>
          <w:szCs w:val="24"/>
        </w:rPr>
        <w:t xml:space="preserve"> </w:t>
      </w:r>
      <w:r w:rsidRPr="0004221B">
        <w:rPr>
          <w:rFonts w:eastAsiaTheme="minorHAnsi"/>
          <w:sz w:val="24"/>
          <w:szCs w:val="24"/>
        </w:rPr>
        <w:t>kapaciteta sustava strukovnog obrazovanja i osposobljavanja, s ciljem poticanja gospodarskog rasta, tehnološkog napretka i ravnomjernog regionalnog razvoja.</w:t>
      </w:r>
    </w:p>
    <w:p w14:paraId="5962CE57" w14:textId="77777777" w:rsidR="00FB178A" w:rsidRDefault="00FB178A" w:rsidP="00FB178A">
      <w:pPr>
        <w:spacing w:before="240" w:after="240" w:line="276" w:lineRule="auto"/>
        <w:ind w:firstLine="709"/>
        <w:jc w:val="both"/>
        <w:rPr>
          <w:b/>
          <w:bCs/>
          <w:color w:val="000000" w:themeColor="text1"/>
          <w:sz w:val="24"/>
          <w:szCs w:val="24"/>
        </w:rPr>
      </w:pPr>
      <w:r w:rsidRPr="00145379">
        <w:rPr>
          <w:b/>
          <w:bCs/>
          <w:color w:val="000000" w:themeColor="text1"/>
          <w:sz w:val="24"/>
          <w:szCs w:val="24"/>
        </w:rPr>
        <w:t>Unaprjeđenje visokog obrazovanja</w:t>
      </w:r>
    </w:p>
    <w:p w14:paraId="3E92CB21" w14:textId="77777777" w:rsidR="00FB178A" w:rsidRPr="008A7447" w:rsidRDefault="00FB178A" w:rsidP="00FB178A">
      <w:pPr>
        <w:widowControl/>
        <w:adjustRightInd w:val="0"/>
        <w:spacing w:after="240" w:line="276" w:lineRule="auto"/>
        <w:ind w:firstLine="709"/>
        <w:jc w:val="both"/>
        <w:rPr>
          <w:rFonts w:eastAsiaTheme="minorHAnsi"/>
          <w:sz w:val="24"/>
          <w:szCs w:val="24"/>
        </w:rPr>
      </w:pPr>
      <w:r>
        <w:rPr>
          <w:rFonts w:eastAsiaTheme="minorHAnsi"/>
          <w:sz w:val="24"/>
          <w:szCs w:val="24"/>
        </w:rPr>
        <w:t xml:space="preserve">Tijekom 2024. nastavljeno je </w:t>
      </w:r>
      <w:r w:rsidRPr="008A7447">
        <w:rPr>
          <w:rFonts w:eastAsiaTheme="minorHAnsi"/>
          <w:sz w:val="24"/>
          <w:szCs w:val="24"/>
        </w:rPr>
        <w:t>jačanj</w:t>
      </w:r>
      <w:r>
        <w:rPr>
          <w:rFonts w:eastAsiaTheme="minorHAnsi"/>
          <w:sz w:val="24"/>
          <w:szCs w:val="24"/>
        </w:rPr>
        <w:t>e</w:t>
      </w:r>
      <w:r w:rsidRPr="008A7447">
        <w:rPr>
          <w:rFonts w:eastAsiaTheme="minorHAnsi"/>
          <w:sz w:val="24"/>
          <w:szCs w:val="24"/>
        </w:rPr>
        <w:t xml:space="preserve"> kvalitete, relevantnosti i usklađenosti visokog obrazovanja s potrebama gospodarstva i društva</w:t>
      </w:r>
      <w:r>
        <w:rPr>
          <w:rFonts w:eastAsiaTheme="minorHAnsi"/>
          <w:sz w:val="24"/>
          <w:szCs w:val="24"/>
        </w:rPr>
        <w:t xml:space="preserve"> te se</w:t>
      </w:r>
      <w:r w:rsidRPr="008A7447">
        <w:rPr>
          <w:rFonts w:eastAsiaTheme="minorHAnsi"/>
          <w:sz w:val="24"/>
          <w:szCs w:val="24"/>
        </w:rPr>
        <w:t xml:space="preserve"> </w:t>
      </w:r>
      <w:r>
        <w:rPr>
          <w:rFonts w:eastAsiaTheme="minorHAnsi"/>
          <w:sz w:val="24"/>
          <w:szCs w:val="24"/>
        </w:rPr>
        <w:t>o</w:t>
      </w:r>
      <w:r w:rsidRPr="00A213CA">
        <w:rPr>
          <w:rFonts w:eastAsiaTheme="minorHAnsi"/>
          <w:sz w:val="24"/>
          <w:szCs w:val="24"/>
        </w:rPr>
        <w:t xml:space="preserve">stvareni napredak odražava i u ključnim pokazateljima. Udio visokoobrazovanih osoba u dobnoj skupini </w:t>
      </w:r>
      <w:r>
        <w:rPr>
          <w:rFonts w:eastAsiaTheme="minorHAnsi"/>
          <w:sz w:val="24"/>
          <w:szCs w:val="24"/>
        </w:rPr>
        <w:t xml:space="preserve">od </w:t>
      </w:r>
      <w:r w:rsidRPr="00A213CA">
        <w:rPr>
          <w:rFonts w:eastAsiaTheme="minorHAnsi"/>
          <w:sz w:val="24"/>
          <w:szCs w:val="24"/>
        </w:rPr>
        <w:t>30</w:t>
      </w:r>
      <w:r>
        <w:rPr>
          <w:rFonts w:eastAsiaTheme="minorHAnsi"/>
          <w:sz w:val="24"/>
          <w:szCs w:val="24"/>
        </w:rPr>
        <w:t xml:space="preserve"> do </w:t>
      </w:r>
      <w:r w:rsidRPr="00A213CA">
        <w:rPr>
          <w:rFonts w:eastAsiaTheme="minorHAnsi"/>
          <w:sz w:val="24"/>
          <w:szCs w:val="24"/>
        </w:rPr>
        <w:t>34 godine u 2024.  dosegnuo je 40,7% (39,1% u 2023.), čime se</w:t>
      </w:r>
      <w:r>
        <w:rPr>
          <w:rFonts w:eastAsiaTheme="minorHAnsi"/>
          <w:sz w:val="24"/>
          <w:szCs w:val="24"/>
        </w:rPr>
        <w:t xml:space="preserve"> nastavlja trend kontinuiranog rasta udjela visokoobrazovanih te se </w:t>
      </w:r>
      <w:r w:rsidRPr="00A213CA">
        <w:rPr>
          <w:rFonts w:eastAsiaTheme="minorHAnsi"/>
          <w:sz w:val="24"/>
          <w:szCs w:val="24"/>
        </w:rPr>
        <w:t>potvrđuje stabilan rast obrazovne razine stanovništva i doprinos sustava visokog obrazovanja jačanju konkurentnosti radne snage društvenom i gospodarskom razvoju.</w:t>
      </w:r>
      <w:r>
        <w:rPr>
          <w:rFonts w:eastAsiaTheme="minorHAnsi"/>
          <w:sz w:val="24"/>
          <w:szCs w:val="24"/>
        </w:rPr>
        <w:t xml:space="preserve"> U izvještajnom razdoblju je o</w:t>
      </w:r>
      <w:r w:rsidRPr="008A7447">
        <w:rPr>
          <w:rFonts w:eastAsiaTheme="minorHAnsi"/>
          <w:sz w:val="24"/>
          <w:szCs w:val="24"/>
        </w:rPr>
        <w:t>stvaren značajan napredak u primjeni HKO</w:t>
      </w:r>
      <w:r>
        <w:rPr>
          <w:rFonts w:eastAsiaTheme="minorHAnsi"/>
          <w:sz w:val="24"/>
          <w:szCs w:val="24"/>
        </w:rPr>
        <w:t>-a</w:t>
      </w:r>
      <w:r w:rsidRPr="008A7447">
        <w:rPr>
          <w:rFonts w:eastAsiaTheme="minorHAnsi"/>
          <w:sz w:val="24"/>
          <w:szCs w:val="24"/>
        </w:rPr>
        <w:t xml:space="preserve"> kao ključnog instrumenta </w:t>
      </w:r>
      <w:r w:rsidRPr="008A7447">
        <w:rPr>
          <w:rFonts w:eastAsiaTheme="minorHAnsi"/>
          <w:sz w:val="24"/>
          <w:szCs w:val="24"/>
        </w:rPr>
        <w:lastRenderedPageBreak/>
        <w:t xml:space="preserve">za standardizaciju kvalifikacija i unapređenje kvalitete studijskih programa. </w:t>
      </w:r>
      <w:r>
        <w:rPr>
          <w:rFonts w:eastAsiaTheme="minorHAnsi"/>
          <w:sz w:val="24"/>
          <w:szCs w:val="24"/>
        </w:rPr>
        <w:t xml:space="preserve">Nastavljen je </w:t>
      </w:r>
      <w:r w:rsidRPr="008A7447">
        <w:rPr>
          <w:rFonts w:eastAsiaTheme="minorHAnsi"/>
          <w:sz w:val="24"/>
          <w:szCs w:val="24"/>
        </w:rPr>
        <w:t>upis novih standarda kvalifikacija i skupova ishoda učenja u Registar HKO-a</w:t>
      </w:r>
      <w:r>
        <w:rPr>
          <w:rFonts w:eastAsiaTheme="minorHAnsi"/>
          <w:sz w:val="24"/>
          <w:szCs w:val="24"/>
        </w:rPr>
        <w:t xml:space="preserve"> te su</w:t>
      </w:r>
      <w:r w:rsidRPr="008A7447">
        <w:rPr>
          <w:rFonts w:eastAsiaTheme="minorHAnsi"/>
          <w:sz w:val="24"/>
          <w:szCs w:val="24"/>
        </w:rPr>
        <w:t xml:space="preserve"> tijekom 2024. upisan</w:t>
      </w:r>
      <w:r>
        <w:rPr>
          <w:rFonts w:eastAsiaTheme="minorHAnsi"/>
          <w:sz w:val="24"/>
          <w:szCs w:val="24"/>
        </w:rPr>
        <w:t>a</w:t>
      </w:r>
      <w:r w:rsidRPr="008A7447">
        <w:rPr>
          <w:rFonts w:eastAsiaTheme="minorHAnsi"/>
          <w:sz w:val="24"/>
          <w:szCs w:val="24"/>
        </w:rPr>
        <w:t xml:space="preserve"> 32 dodatn</w:t>
      </w:r>
      <w:r>
        <w:rPr>
          <w:rFonts w:eastAsiaTheme="minorHAnsi"/>
          <w:sz w:val="24"/>
          <w:szCs w:val="24"/>
        </w:rPr>
        <w:t>a</w:t>
      </w:r>
      <w:r w:rsidRPr="008A7447">
        <w:rPr>
          <w:rFonts w:eastAsiaTheme="minorHAnsi"/>
          <w:sz w:val="24"/>
          <w:szCs w:val="24"/>
        </w:rPr>
        <w:t xml:space="preserve"> standarda kvalifikacija u visokom obrazovanju, čime </w:t>
      </w:r>
      <w:r>
        <w:rPr>
          <w:rFonts w:eastAsiaTheme="minorHAnsi"/>
          <w:sz w:val="24"/>
          <w:szCs w:val="24"/>
        </w:rPr>
        <w:t>s</w:t>
      </w:r>
      <w:r w:rsidRPr="008A7447">
        <w:rPr>
          <w:rFonts w:eastAsiaTheme="minorHAnsi"/>
          <w:sz w:val="24"/>
          <w:szCs w:val="24"/>
        </w:rPr>
        <w:t xml:space="preserve">e omogućava sustavniji razvoj studijskih programa temeljen na jasno definiranim kompetencijama i potrebama tržišta rada. Postupak stjecanja dopusnice za izvođenje studijskih programa standardiziran je za sve vrste visokih učilišta te uključuje obveznu provjeru njihove usklađenosti sa standardima kvalifikacija i relevantnim potrebama tržišta rada. Slijedom toga, tijekom 2024. izrađene su </w:t>
      </w:r>
      <w:r>
        <w:rPr>
          <w:rFonts w:eastAsiaTheme="minorHAnsi"/>
          <w:sz w:val="24"/>
          <w:szCs w:val="24"/>
        </w:rPr>
        <w:t>S</w:t>
      </w:r>
      <w:r w:rsidRPr="008A7447">
        <w:rPr>
          <w:rFonts w:eastAsiaTheme="minorHAnsi"/>
          <w:sz w:val="24"/>
          <w:szCs w:val="24"/>
        </w:rPr>
        <w:t>mjernice za usklađivanje studijskih programa s HKO-om, čime se dodatno unapređuje metodološka podrška visokim učilištima.</w:t>
      </w:r>
      <w:r>
        <w:rPr>
          <w:rFonts w:eastAsiaTheme="minorHAnsi"/>
          <w:sz w:val="24"/>
          <w:szCs w:val="24"/>
        </w:rPr>
        <w:t xml:space="preserve"> </w:t>
      </w:r>
    </w:p>
    <w:p w14:paraId="20877D91" w14:textId="77777777" w:rsidR="00FB178A" w:rsidRDefault="00FB178A" w:rsidP="00FB178A">
      <w:pPr>
        <w:widowControl/>
        <w:adjustRightInd w:val="0"/>
        <w:spacing w:after="240" w:line="276" w:lineRule="auto"/>
        <w:jc w:val="both"/>
        <w:rPr>
          <w:rFonts w:eastAsiaTheme="minorHAnsi"/>
          <w:sz w:val="24"/>
          <w:szCs w:val="24"/>
        </w:rPr>
      </w:pPr>
      <w:r w:rsidRPr="0078129F">
        <w:rPr>
          <w:rFonts w:eastAsiaTheme="minorHAnsi"/>
          <w:sz w:val="24"/>
          <w:szCs w:val="24"/>
        </w:rPr>
        <w:t>U okviru projekta e-Sveučilišta tijekom 2024. nastavljen je intenzivan razvoj digitalne infrastrukture visokog obrazovanja, s posebnim naglaskom na uspostavu Informacijskog sustava evidencija u visokom obrazovanju (</w:t>
      </w:r>
      <w:proofErr w:type="spellStart"/>
      <w:r w:rsidRPr="0078129F">
        <w:rPr>
          <w:rFonts w:eastAsiaTheme="minorHAnsi"/>
          <w:sz w:val="24"/>
          <w:szCs w:val="24"/>
        </w:rPr>
        <w:t>ISeVO</w:t>
      </w:r>
      <w:proofErr w:type="spellEnd"/>
      <w:r>
        <w:rPr>
          <w:rStyle w:val="FootnoteReference"/>
          <w:rFonts w:eastAsiaTheme="minorHAnsi"/>
          <w:sz w:val="24"/>
          <w:szCs w:val="24"/>
        </w:rPr>
        <w:footnoteReference w:id="10"/>
      </w:r>
      <w:r w:rsidRPr="0078129F">
        <w:rPr>
          <w:rFonts w:eastAsiaTheme="minorHAnsi"/>
          <w:sz w:val="24"/>
          <w:szCs w:val="24"/>
        </w:rPr>
        <w:t>). Sustavno se unaprjeđuje Digitalni registar diploma, u koji su visoka učilišta, uz izdavanje digitalnih diploma za sve završene studije nakon 1. siječnja 202</w:t>
      </w:r>
      <w:r>
        <w:rPr>
          <w:rFonts w:eastAsiaTheme="minorHAnsi"/>
          <w:sz w:val="24"/>
          <w:szCs w:val="24"/>
        </w:rPr>
        <w:t>4</w:t>
      </w:r>
      <w:r w:rsidRPr="0078129F">
        <w:rPr>
          <w:rFonts w:eastAsiaTheme="minorHAnsi"/>
          <w:sz w:val="24"/>
          <w:szCs w:val="24"/>
        </w:rPr>
        <w:t>., nastavila unositi i povijesne podatke o diplomama stečenima u razdoblju od 1984. do 2023.</w:t>
      </w:r>
      <w:r>
        <w:rPr>
          <w:rFonts w:eastAsiaTheme="minorHAnsi"/>
          <w:sz w:val="24"/>
          <w:szCs w:val="24"/>
        </w:rPr>
        <w:t xml:space="preserve"> čime je</w:t>
      </w:r>
      <w:r w:rsidRPr="0078129F">
        <w:rPr>
          <w:rFonts w:eastAsiaTheme="minorHAnsi"/>
          <w:sz w:val="24"/>
          <w:szCs w:val="24"/>
        </w:rPr>
        <w:t xml:space="preserve"> osigurana cjelovita digitalizirana evidencija diploma, uz uspostavljenu javno dostupnu uslugu provjere </w:t>
      </w:r>
      <w:r>
        <w:rPr>
          <w:rFonts w:eastAsiaTheme="minorHAnsi"/>
          <w:sz w:val="24"/>
          <w:szCs w:val="24"/>
        </w:rPr>
        <w:t xml:space="preserve">njihove </w:t>
      </w:r>
      <w:r w:rsidRPr="0078129F">
        <w:rPr>
          <w:rFonts w:eastAsiaTheme="minorHAnsi"/>
          <w:sz w:val="24"/>
          <w:szCs w:val="24"/>
        </w:rPr>
        <w:t xml:space="preserve">vjerodostojnosti. Paralelno </w:t>
      </w:r>
      <w:r>
        <w:rPr>
          <w:rFonts w:eastAsiaTheme="minorHAnsi"/>
          <w:sz w:val="24"/>
          <w:szCs w:val="24"/>
        </w:rPr>
        <w:t>je nastavljen rad na</w:t>
      </w:r>
      <w:r w:rsidRPr="0078129F">
        <w:rPr>
          <w:rFonts w:eastAsiaTheme="minorHAnsi"/>
          <w:sz w:val="24"/>
          <w:szCs w:val="24"/>
        </w:rPr>
        <w:t xml:space="preserve"> Informacijsk</w:t>
      </w:r>
      <w:r>
        <w:rPr>
          <w:rFonts w:eastAsiaTheme="minorHAnsi"/>
          <w:sz w:val="24"/>
          <w:szCs w:val="24"/>
        </w:rPr>
        <w:t>om</w:t>
      </w:r>
      <w:r w:rsidRPr="0078129F">
        <w:rPr>
          <w:rFonts w:eastAsiaTheme="minorHAnsi"/>
          <w:sz w:val="24"/>
          <w:szCs w:val="24"/>
        </w:rPr>
        <w:t xml:space="preserve"> sustav</w:t>
      </w:r>
      <w:r>
        <w:rPr>
          <w:rFonts w:eastAsiaTheme="minorHAnsi"/>
          <w:sz w:val="24"/>
          <w:szCs w:val="24"/>
        </w:rPr>
        <w:t>u</w:t>
      </w:r>
      <w:r w:rsidRPr="0078129F">
        <w:rPr>
          <w:rFonts w:eastAsiaTheme="minorHAnsi"/>
          <w:sz w:val="24"/>
          <w:szCs w:val="24"/>
        </w:rPr>
        <w:t xml:space="preserve"> Evidencije studenata, čijom će se uspostavom dodatno unaprijediti kvaliteta i transparentnost podataka u </w:t>
      </w:r>
      <w:r>
        <w:rPr>
          <w:rFonts w:eastAsiaTheme="minorHAnsi"/>
          <w:sz w:val="24"/>
          <w:szCs w:val="24"/>
        </w:rPr>
        <w:t xml:space="preserve">sustavu </w:t>
      </w:r>
      <w:r w:rsidRPr="0078129F">
        <w:rPr>
          <w:rFonts w:eastAsiaTheme="minorHAnsi"/>
          <w:sz w:val="24"/>
          <w:szCs w:val="24"/>
        </w:rPr>
        <w:t>visoko</w:t>
      </w:r>
      <w:r>
        <w:rPr>
          <w:rFonts w:eastAsiaTheme="minorHAnsi"/>
          <w:sz w:val="24"/>
          <w:szCs w:val="24"/>
        </w:rPr>
        <w:t>g</w:t>
      </w:r>
      <w:r w:rsidRPr="0078129F">
        <w:rPr>
          <w:rFonts w:eastAsiaTheme="minorHAnsi"/>
          <w:sz w:val="24"/>
          <w:szCs w:val="24"/>
        </w:rPr>
        <w:t xml:space="preserve"> obrazovanj</w:t>
      </w:r>
      <w:r>
        <w:rPr>
          <w:rFonts w:eastAsiaTheme="minorHAnsi"/>
          <w:sz w:val="24"/>
          <w:szCs w:val="24"/>
        </w:rPr>
        <w:t>a</w:t>
      </w:r>
      <w:r w:rsidRPr="0078129F">
        <w:rPr>
          <w:rFonts w:eastAsiaTheme="minorHAnsi"/>
          <w:sz w:val="24"/>
          <w:szCs w:val="24"/>
        </w:rPr>
        <w:t>.</w:t>
      </w:r>
    </w:p>
    <w:p w14:paraId="08E8EF95" w14:textId="77777777" w:rsidR="00FB178A" w:rsidRDefault="00FB178A" w:rsidP="00FB178A">
      <w:pPr>
        <w:widowControl/>
        <w:adjustRightInd w:val="0"/>
        <w:spacing w:after="240" w:line="276" w:lineRule="auto"/>
        <w:jc w:val="both"/>
        <w:rPr>
          <w:rFonts w:eastAsiaTheme="minorHAnsi"/>
          <w:sz w:val="24"/>
          <w:szCs w:val="24"/>
        </w:rPr>
      </w:pPr>
      <w:r>
        <w:rPr>
          <w:rFonts w:eastAsiaTheme="minorHAnsi"/>
          <w:sz w:val="24"/>
          <w:szCs w:val="24"/>
        </w:rPr>
        <w:t>N</w:t>
      </w:r>
      <w:r w:rsidRPr="002179E4">
        <w:rPr>
          <w:rFonts w:eastAsiaTheme="minorHAnsi"/>
          <w:sz w:val="24"/>
          <w:szCs w:val="24"/>
        </w:rPr>
        <w:t>astavljeno je snažno poticanje internacionalizacije visokog obrazovanja, uz daljnji rast broja studijskih programa na stranim jezicima</w:t>
      </w:r>
      <w:r>
        <w:rPr>
          <w:rFonts w:eastAsiaTheme="minorHAnsi"/>
          <w:sz w:val="24"/>
          <w:szCs w:val="24"/>
        </w:rPr>
        <w:t xml:space="preserve"> te je krajem 2024.</w:t>
      </w:r>
      <w:r w:rsidRPr="002179E4">
        <w:rPr>
          <w:rFonts w:eastAsiaTheme="minorHAnsi"/>
          <w:sz w:val="24"/>
          <w:szCs w:val="24"/>
        </w:rPr>
        <w:t xml:space="preserve"> </w:t>
      </w:r>
      <w:r w:rsidRPr="00D61998">
        <w:rPr>
          <w:rFonts w:eastAsiaTheme="minorHAnsi"/>
          <w:sz w:val="24"/>
          <w:szCs w:val="24"/>
        </w:rPr>
        <w:t>u Upisnik</w:t>
      </w:r>
      <w:r>
        <w:rPr>
          <w:rFonts w:eastAsiaTheme="minorHAnsi"/>
          <w:sz w:val="24"/>
          <w:szCs w:val="24"/>
        </w:rPr>
        <w:t>u</w:t>
      </w:r>
      <w:r w:rsidRPr="00D61998">
        <w:rPr>
          <w:rFonts w:eastAsiaTheme="minorHAnsi"/>
          <w:sz w:val="24"/>
          <w:szCs w:val="24"/>
        </w:rPr>
        <w:t xml:space="preserve"> studijskih programa </w:t>
      </w:r>
      <w:r>
        <w:rPr>
          <w:rFonts w:eastAsiaTheme="minorHAnsi"/>
          <w:sz w:val="24"/>
          <w:szCs w:val="24"/>
        </w:rPr>
        <w:t xml:space="preserve">bilo </w:t>
      </w:r>
      <w:r w:rsidRPr="002179E4">
        <w:rPr>
          <w:rFonts w:eastAsiaTheme="minorHAnsi"/>
          <w:sz w:val="24"/>
          <w:szCs w:val="24"/>
        </w:rPr>
        <w:t xml:space="preserve">ukupno 148 </w:t>
      </w:r>
      <w:r>
        <w:rPr>
          <w:rFonts w:eastAsiaTheme="minorHAnsi"/>
          <w:sz w:val="24"/>
          <w:szCs w:val="24"/>
        </w:rPr>
        <w:t xml:space="preserve">upisanih </w:t>
      </w:r>
      <w:r w:rsidRPr="002179E4">
        <w:rPr>
          <w:rFonts w:eastAsiaTheme="minorHAnsi"/>
          <w:sz w:val="24"/>
          <w:szCs w:val="24"/>
        </w:rPr>
        <w:t xml:space="preserve">akreditiranih studija. Broj stranih studenata koji pohađaju cjelovite studije u Hrvatskoj također raste, što potvrđuje veću privlačnost hrvatskih visokih učilišta. </w:t>
      </w:r>
      <w:r>
        <w:rPr>
          <w:rFonts w:eastAsiaTheme="minorHAnsi"/>
          <w:sz w:val="24"/>
          <w:szCs w:val="24"/>
        </w:rPr>
        <w:t>P</w:t>
      </w:r>
      <w:r w:rsidRPr="00E460D4">
        <w:rPr>
          <w:rFonts w:eastAsiaTheme="minorHAnsi"/>
          <w:sz w:val="24"/>
          <w:szCs w:val="24"/>
        </w:rPr>
        <w:t>rov</w:t>
      </w:r>
      <w:r>
        <w:rPr>
          <w:rFonts w:eastAsiaTheme="minorHAnsi"/>
          <w:sz w:val="24"/>
          <w:szCs w:val="24"/>
        </w:rPr>
        <w:t>eden j</w:t>
      </w:r>
      <w:r w:rsidRPr="00E460D4">
        <w:rPr>
          <w:rFonts w:eastAsiaTheme="minorHAnsi"/>
          <w:sz w:val="24"/>
          <w:szCs w:val="24"/>
        </w:rPr>
        <w:t xml:space="preserve">e </w:t>
      </w:r>
      <w:proofErr w:type="spellStart"/>
      <w:r w:rsidRPr="00E460D4">
        <w:rPr>
          <w:rFonts w:eastAsiaTheme="minorHAnsi"/>
          <w:sz w:val="24"/>
          <w:szCs w:val="24"/>
        </w:rPr>
        <w:t>Erasmus</w:t>
      </w:r>
      <w:proofErr w:type="spellEnd"/>
      <w:r w:rsidRPr="00E460D4">
        <w:rPr>
          <w:rFonts w:eastAsiaTheme="minorHAnsi"/>
          <w:sz w:val="24"/>
          <w:szCs w:val="24"/>
        </w:rPr>
        <w:t xml:space="preserve">+ poziv za sudjelovanje visokih učilišta u transnacionalnim </w:t>
      </w:r>
      <w:proofErr w:type="spellStart"/>
      <w:r w:rsidRPr="00E460D4">
        <w:rPr>
          <w:rFonts w:eastAsiaTheme="minorHAnsi"/>
          <w:sz w:val="24"/>
          <w:szCs w:val="24"/>
        </w:rPr>
        <w:t>Erasmus</w:t>
      </w:r>
      <w:proofErr w:type="spellEnd"/>
      <w:r w:rsidRPr="00E460D4">
        <w:rPr>
          <w:rFonts w:eastAsiaTheme="minorHAnsi"/>
          <w:sz w:val="24"/>
          <w:szCs w:val="24"/>
        </w:rPr>
        <w:t>+ projektima, s ciljem modernizacije i razvoja inovativnosti visokih učilišta</w:t>
      </w:r>
      <w:r>
        <w:rPr>
          <w:rFonts w:eastAsiaTheme="minorHAnsi"/>
          <w:sz w:val="24"/>
          <w:szCs w:val="24"/>
        </w:rPr>
        <w:t xml:space="preserve">, u kojem je tijekom 2024. u </w:t>
      </w:r>
      <w:r w:rsidRPr="00E460D4">
        <w:rPr>
          <w:rFonts w:eastAsiaTheme="minorHAnsi"/>
          <w:sz w:val="24"/>
          <w:szCs w:val="24"/>
        </w:rPr>
        <w:t xml:space="preserve">aktivnostima mobilnosti sudjelovalo 912 studenata </w:t>
      </w:r>
      <w:r>
        <w:rPr>
          <w:rFonts w:eastAsiaTheme="minorHAnsi"/>
          <w:sz w:val="24"/>
          <w:szCs w:val="24"/>
        </w:rPr>
        <w:t>te</w:t>
      </w:r>
      <w:r w:rsidRPr="00E460D4">
        <w:rPr>
          <w:rFonts w:eastAsiaTheme="minorHAnsi"/>
          <w:sz w:val="24"/>
          <w:szCs w:val="24"/>
        </w:rPr>
        <w:t xml:space="preserve"> 546 nastavnog i nenastavnog osoblja</w:t>
      </w:r>
      <w:r>
        <w:rPr>
          <w:rFonts w:eastAsiaTheme="minorHAnsi"/>
          <w:sz w:val="24"/>
          <w:szCs w:val="24"/>
        </w:rPr>
        <w:t xml:space="preserve">. </w:t>
      </w:r>
    </w:p>
    <w:p w14:paraId="6B3BDAAD" w14:textId="77777777" w:rsidR="00FB178A" w:rsidRDefault="00FB178A" w:rsidP="00FB178A">
      <w:pPr>
        <w:widowControl/>
        <w:adjustRightInd w:val="0"/>
        <w:spacing w:after="240" w:line="276" w:lineRule="auto"/>
        <w:jc w:val="both"/>
        <w:rPr>
          <w:rFonts w:eastAsiaTheme="minorHAnsi"/>
          <w:sz w:val="24"/>
          <w:szCs w:val="24"/>
        </w:rPr>
      </w:pPr>
      <w:r>
        <w:rPr>
          <w:rFonts w:eastAsiaTheme="minorHAnsi"/>
          <w:sz w:val="24"/>
          <w:szCs w:val="24"/>
        </w:rPr>
        <w:t>Nastavljene su a</w:t>
      </w:r>
      <w:r w:rsidRPr="002179E4">
        <w:rPr>
          <w:rFonts w:eastAsiaTheme="minorHAnsi"/>
          <w:sz w:val="24"/>
          <w:szCs w:val="24"/>
        </w:rPr>
        <w:t xml:space="preserve">ktivnosti usmjerene na uklanjanje administrativnih prepreka za upis i boravak stranih studenata, osobito kroz unaprjeđenje postupaka izdavanja viza i privremenog boravka, kao i kroz međunarodnu promociju pod </w:t>
      </w:r>
      <w:r>
        <w:rPr>
          <w:rFonts w:eastAsiaTheme="minorHAnsi"/>
          <w:sz w:val="24"/>
          <w:szCs w:val="24"/>
        </w:rPr>
        <w:t>inicijativom</w:t>
      </w:r>
      <w:r w:rsidRPr="002179E4">
        <w:rPr>
          <w:rFonts w:eastAsiaTheme="minorHAnsi"/>
          <w:sz w:val="24"/>
          <w:szCs w:val="24"/>
        </w:rPr>
        <w:t xml:space="preserve"> </w:t>
      </w:r>
      <w:r>
        <w:rPr>
          <w:rFonts w:eastAsiaTheme="minorHAnsi"/>
          <w:sz w:val="24"/>
          <w:szCs w:val="24"/>
        </w:rPr>
        <w:t>„</w:t>
      </w:r>
      <w:proofErr w:type="spellStart"/>
      <w:r w:rsidRPr="0004221B">
        <w:rPr>
          <w:rFonts w:eastAsiaTheme="minorHAnsi"/>
          <w:i/>
          <w:iCs/>
          <w:sz w:val="24"/>
          <w:szCs w:val="24"/>
        </w:rPr>
        <w:t>Study</w:t>
      </w:r>
      <w:proofErr w:type="spellEnd"/>
      <w:r w:rsidRPr="0004221B">
        <w:rPr>
          <w:rFonts w:eastAsiaTheme="minorHAnsi"/>
          <w:i/>
          <w:iCs/>
          <w:sz w:val="24"/>
          <w:szCs w:val="24"/>
        </w:rPr>
        <w:t xml:space="preserve"> </w:t>
      </w:r>
      <w:proofErr w:type="spellStart"/>
      <w:r w:rsidRPr="0004221B">
        <w:rPr>
          <w:rFonts w:eastAsiaTheme="minorHAnsi"/>
          <w:i/>
          <w:iCs/>
          <w:sz w:val="24"/>
          <w:szCs w:val="24"/>
        </w:rPr>
        <w:t>in</w:t>
      </w:r>
      <w:proofErr w:type="spellEnd"/>
      <w:r w:rsidRPr="0004221B">
        <w:rPr>
          <w:rFonts w:eastAsiaTheme="minorHAnsi"/>
          <w:i/>
          <w:iCs/>
          <w:sz w:val="24"/>
          <w:szCs w:val="24"/>
        </w:rPr>
        <w:t xml:space="preserve"> Croatia</w:t>
      </w:r>
      <w:r>
        <w:rPr>
          <w:rFonts w:eastAsiaTheme="minorHAnsi"/>
          <w:sz w:val="24"/>
          <w:szCs w:val="24"/>
        </w:rPr>
        <w:t>“</w:t>
      </w:r>
      <w:r w:rsidRPr="002179E4">
        <w:rPr>
          <w:rFonts w:eastAsiaTheme="minorHAnsi"/>
          <w:sz w:val="24"/>
          <w:szCs w:val="24"/>
        </w:rPr>
        <w:t>.</w:t>
      </w:r>
      <w:r>
        <w:rPr>
          <w:rFonts w:eastAsiaTheme="minorHAnsi"/>
          <w:sz w:val="24"/>
          <w:szCs w:val="24"/>
        </w:rPr>
        <w:t xml:space="preserve"> </w:t>
      </w:r>
      <w:r w:rsidRPr="00C52786">
        <w:rPr>
          <w:rFonts w:eastAsiaTheme="minorHAnsi"/>
          <w:sz w:val="24"/>
          <w:szCs w:val="24"/>
        </w:rPr>
        <w:t>Dodatni iskorak u internacionalizaciji ostvaren je uključivanjem još dvaju hrvatskih visokih učilišta</w:t>
      </w:r>
      <w:r>
        <w:rPr>
          <w:rFonts w:eastAsiaTheme="minorHAnsi"/>
          <w:sz w:val="24"/>
          <w:szCs w:val="24"/>
        </w:rPr>
        <w:t>,</w:t>
      </w:r>
      <w:r w:rsidRPr="00C52786">
        <w:rPr>
          <w:rFonts w:eastAsiaTheme="minorHAnsi"/>
          <w:sz w:val="24"/>
          <w:szCs w:val="24"/>
        </w:rPr>
        <w:t xml:space="preserve"> Sveučilišta u Dubrovniku i Zagrebačke škole ekonomije i managementa</w:t>
      </w:r>
      <w:r>
        <w:rPr>
          <w:rFonts w:eastAsiaTheme="minorHAnsi"/>
          <w:sz w:val="24"/>
          <w:szCs w:val="24"/>
        </w:rPr>
        <w:t>,</w:t>
      </w:r>
      <w:r w:rsidRPr="00C52786">
        <w:rPr>
          <w:rFonts w:eastAsiaTheme="minorHAnsi"/>
          <w:sz w:val="24"/>
          <w:szCs w:val="24"/>
        </w:rPr>
        <w:t xml:space="preserve"> u alijanse</w:t>
      </w:r>
      <w:r>
        <w:rPr>
          <w:rFonts w:eastAsiaTheme="minorHAnsi"/>
          <w:sz w:val="24"/>
          <w:szCs w:val="24"/>
        </w:rPr>
        <w:t xml:space="preserve"> europskih sveučilišta</w:t>
      </w:r>
      <w:r w:rsidRPr="00C52786">
        <w:rPr>
          <w:rFonts w:eastAsiaTheme="minorHAnsi"/>
          <w:sz w:val="24"/>
          <w:szCs w:val="24"/>
        </w:rPr>
        <w:t xml:space="preserve">, čime se </w:t>
      </w:r>
      <w:r>
        <w:rPr>
          <w:rFonts w:eastAsiaTheme="minorHAnsi"/>
          <w:sz w:val="24"/>
          <w:szCs w:val="24"/>
        </w:rPr>
        <w:t xml:space="preserve">ukupni </w:t>
      </w:r>
      <w:r w:rsidRPr="00C52786">
        <w:rPr>
          <w:rFonts w:eastAsiaTheme="minorHAnsi"/>
          <w:sz w:val="24"/>
          <w:szCs w:val="24"/>
        </w:rPr>
        <w:t xml:space="preserve">broj hrvatskih članica povećao na </w:t>
      </w:r>
      <w:r>
        <w:rPr>
          <w:rFonts w:eastAsiaTheme="minorHAnsi"/>
          <w:sz w:val="24"/>
          <w:szCs w:val="24"/>
        </w:rPr>
        <w:t>devet</w:t>
      </w:r>
      <w:r w:rsidRPr="00C52786">
        <w:rPr>
          <w:rFonts w:eastAsiaTheme="minorHAnsi"/>
          <w:sz w:val="24"/>
          <w:szCs w:val="24"/>
        </w:rPr>
        <w:t>. Sudjelovanje u alijansama značajno doprinosi podizanju kvalitete studijskih programa, jačanju akademske mobilnosti, razvoju zajedničkih kurikul</w:t>
      </w:r>
      <w:r>
        <w:rPr>
          <w:rFonts w:eastAsiaTheme="minorHAnsi"/>
          <w:sz w:val="24"/>
          <w:szCs w:val="24"/>
        </w:rPr>
        <w:t>um</w:t>
      </w:r>
      <w:r w:rsidRPr="00C52786">
        <w:rPr>
          <w:rFonts w:eastAsiaTheme="minorHAnsi"/>
          <w:sz w:val="24"/>
          <w:szCs w:val="24"/>
        </w:rPr>
        <w:t>a te međunarodnoj prepoznatljivosti i konkurentnosti hrvatskog visokoobrazovnog sustava.</w:t>
      </w:r>
      <w:r>
        <w:rPr>
          <w:rFonts w:eastAsiaTheme="minorHAnsi"/>
          <w:sz w:val="24"/>
          <w:szCs w:val="24"/>
        </w:rPr>
        <w:t xml:space="preserve"> </w:t>
      </w:r>
    </w:p>
    <w:p w14:paraId="72411DD9" w14:textId="77777777" w:rsidR="00FB178A" w:rsidRPr="0004221B" w:rsidRDefault="00FB178A" w:rsidP="00FB178A">
      <w:pPr>
        <w:widowControl/>
        <w:adjustRightInd w:val="0"/>
        <w:spacing w:after="240" w:line="276" w:lineRule="auto"/>
        <w:jc w:val="both"/>
        <w:rPr>
          <w:rFonts w:eastAsiaTheme="minorHAnsi"/>
          <w:sz w:val="24"/>
          <w:szCs w:val="24"/>
        </w:rPr>
      </w:pPr>
      <w:r w:rsidRPr="0004221B">
        <w:rPr>
          <w:rFonts w:eastAsiaTheme="minorHAnsi"/>
          <w:sz w:val="24"/>
          <w:szCs w:val="24"/>
        </w:rPr>
        <w:t xml:space="preserve">Povećanju stope stjecanja </w:t>
      </w:r>
      <w:r>
        <w:rPr>
          <w:rFonts w:eastAsiaTheme="minorHAnsi"/>
          <w:sz w:val="24"/>
          <w:szCs w:val="24"/>
        </w:rPr>
        <w:t>visokog</w:t>
      </w:r>
      <w:r w:rsidRPr="0004221B">
        <w:rPr>
          <w:rFonts w:eastAsiaTheme="minorHAnsi"/>
          <w:sz w:val="24"/>
          <w:szCs w:val="24"/>
        </w:rPr>
        <w:t xml:space="preserve"> obrazovanja pridonos</w:t>
      </w:r>
      <w:r>
        <w:rPr>
          <w:rFonts w:eastAsiaTheme="minorHAnsi"/>
          <w:sz w:val="24"/>
          <w:szCs w:val="24"/>
        </w:rPr>
        <w:t>i se dodjelama</w:t>
      </w:r>
      <w:r w:rsidRPr="0004221B">
        <w:rPr>
          <w:rFonts w:eastAsiaTheme="minorHAnsi"/>
          <w:sz w:val="24"/>
          <w:szCs w:val="24"/>
        </w:rPr>
        <w:t xml:space="preserve"> državn</w:t>
      </w:r>
      <w:r>
        <w:rPr>
          <w:rFonts w:eastAsiaTheme="minorHAnsi"/>
          <w:sz w:val="24"/>
          <w:szCs w:val="24"/>
        </w:rPr>
        <w:t>ih</w:t>
      </w:r>
      <w:r w:rsidRPr="0004221B">
        <w:rPr>
          <w:rFonts w:eastAsiaTheme="minorHAnsi"/>
          <w:sz w:val="24"/>
          <w:szCs w:val="24"/>
        </w:rPr>
        <w:t xml:space="preserve"> stipendij</w:t>
      </w:r>
      <w:r>
        <w:rPr>
          <w:rFonts w:eastAsiaTheme="minorHAnsi"/>
          <w:sz w:val="24"/>
          <w:szCs w:val="24"/>
        </w:rPr>
        <w:t xml:space="preserve">a </w:t>
      </w:r>
      <w:r w:rsidRPr="0004221B">
        <w:rPr>
          <w:rFonts w:eastAsiaTheme="minorHAnsi"/>
          <w:sz w:val="24"/>
          <w:szCs w:val="24"/>
        </w:rPr>
        <w:t>na temelju socioekonomskog</w:t>
      </w:r>
      <w:r>
        <w:rPr>
          <w:rFonts w:eastAsiaTheme="minorHAnsi"/>
          <w:sz w:val="24"/>
          <w:szCs w:val="24"/>
        </w:rPr>
        <w:t xml:space="preserve"> </w:t>
      </w:r>
      <w:r w:rsidRPr="0004221B">
        <w:rPr>
          <w:rFonts w:eastAsiaTheme="minorHAnsi"/>
          <w:sz w:val="24"/>
          <w:szCs w:val="24"/>
        </w:rPr>
        <w:t>statusa</w:t>
      </w:r>
      <w:r>
        <w:rPr>
          <w:rFonts w:eastAsiaTheme="minorHAnsi"/>
          <w:sz w:val="24"/>
          <w:szCs w:val="24"/>
        </w:rPr>
        <w:t>,</w:t>
      </w:r>
      <w:r w:rsidRPr="0004221B">
        <w:rPr>
          <w:rFonts w:eastAsiaTheme="minorHAnsi"/>
          <w:sz w:val="24"/>
          <w:szCs w:val="24"/>
        </w:rPr>
        <w:t xml:space="preserve"> </w:t>
      </w:r>
      <w:r>
        <w:rPr>
          <w:rFonts w:eastAsiaTheme="minorHAnsi"/>
          <w:sz w:val="24"/>
          <w:szCs w:val="24"/>
        </w:rPr>
        <w:t>čime</w:t>
      </w:r>
      <w:r w:rsidRPr="0004221B">
        <w:rPr>
          <w:rFonts w:eastAsiaTheme="minorHAnsi"/>
          <w:sz w:val="24"/>
          <w:szCs w:val="24"/>
        </w:rPr>
        <w:t xml:space="preserve"> se povećava </w:t>
      </w:r>
      <w:r>
        <w:rPr>
          <w:rFonts w:eastAsiaTheme="minorHAnsi"/>
          <w:sz w:val="24"/>
          <w:szCs w:val="24"/>
        </w:rPr>
        <w:t>dostupnost</w:t>
      </w:r>
      <w:r w:rsidRPr="0004221B">
        <w:rPr>
          <w:rFonts w:eastAsiaTheme="minorHAnsi"/>
          <w:sz w:val="24"/>
          <w:szCs w:val="24"/>
        </w:rPr>
        <w:t xml:space="preserve">, jednakost i završnost u visokom </w:t>
      </w:r>
      <w:r w:rsidRPr="0004221B">
        <w:rPr>
          <w:rFonts w:eastAsiaTheme="minorHAnsi"/>
          <w:sz w:val="24"/>
          <w:szCs w:val="24"/>
        </w:rPr>
        <w:lastRenderedPageBreak/>
        <w:t>obrazovanju.</w:t>
      </w:r>
      <w:r>
        <w:rPr>
          <w:rFonts w:eastAsiaTheme="minorHAnsi"/>
          <w:sz w:val="24"/>
          <w:szCs w:val="24"/>
        </w:rPr>
        <w:t xml:space="preserve"> </w:t>
      </w:r>
      <w:r w:rsidRPr="0004221B">
        <w:rPr>
          <w:rFonts w:eastAsiaTheme="minorHAnsi"/>
          <w:sz w:val="24"/>
          <w:szCs w:val="24"/>
        </w:rPr>
        <w:t>Sinergijom</w:t>
      </w:r>
      <w:r w:rsidRPr="00665688">
        <w:rPr>
          <w:rFonts w:eastAsiaTheme="minorHAnsi"/>
          <w:sz w:val="24"/>
          <w:szCs w:val="24"/>
        </w:rPr>
        <w:t xml:space="preserve"> </w:t>
      </w:r>
      <w:r w:rsidRPr="0004221B">
        <w:rPr>
          <w:rFonts w:eastAsiaTheme="minorHAnsi"/>
          <w:sz w:val="24"/>
          <w:szCs w:val="24"/>
        </w:rPr>
        <w:t>sredstava i</w:t>
      </w:r>
      <w:r>
        <w:rPr>
          <w:rFonts w:eastAsiaTheme="minorHAnsi"/>
          <w:sz w:val="24"/>
          <w:szCs w:val="24"/>
        </w:rPr>
        <w:t>z</w:t>
      </w:r>
      <w:r w:rsidRPr="0004221B">
        <w:rPr>
          <w:rFonts w:eastAsiaTheme="minorHAnsi"/>
          <w:sz w:val="24"/>
          <w:szCs w:val="24"/>
        </w:rPr>
        <w:t xml:space="preserve"> </w:t>
      </w:r>
      <w:r>
        <w:rPr>
          <w:rFonts w:eastAsiaTheme="minorHAnsi"/>
          <w:sz w:val="24"/>
          <w:szCs w:val="24"/>
        </w:rPr>
        <w:t>ESF+ i državnog proračuna, broj državnih stipendija</w:t>
      </w:r>
      <w:r w:rsidRPr="007D42FA">
        <w:rPr>
          <w:rFonts w:eastAsiaTheme="minorHAnsi"/>
        </w:rPr>
        <w:t xml:space="preserve"> </w:t>
      </w:r>
      <w:r>
        <w:t xml:space="preserve">za </w:t>
      </w:r>
      <w:r w:rsidRPr="007D42FA">
        <w:rPr>
          <w:rFonts w:eastAsiaTheme="minorHAnsi"/>
          <w:sz w:val="24"/>
          <w:szCs w:val="24"/>
        </w:rPr>
        <w:t>student</w:t>
      </w:r>
      <w:r>
        <w:rPr>
          <w:rFonts w:eastAsiaTheme="minorHAnsi"/>
          <w:sz w:val="24"/>
          <w:szCs w:val="24"/>
        </w:rPr>
        <w:t>e</w:t>
      </w:r>
      <w:r w:rsidRPr="007D42FA">
        <w:rPr>
          <w:rFonts w:eastAsiaTheme="minorHAnsi"/>
          <w:sz w:val="24"/>
          <w:szCs w:val="24"/>
        </w:rPr>
        <w:t xml:space="preserve"> nižega socioekonomskog statusa</w:t>
      </w:r>
      <w:r>
        <w:rPr>
          <w:rFonts w:eastAsiaTheme="minorHAnsi"/>
          <w:sz w:val="24"/>
          <w:szCs w:val="24"/>
        </w:rPr>
        <w:t xml:space="preserve"> je povećan s 10.000 na </w:t>
      </w:r>
      <w:r w:rsidRPr="0004221B">
        <w:rPr>
          <w:rFonts w:eastAsiaTheme="minorHAnsi"/>
          <w:sz w:val="24"/>
          <w:szCs w:val="24"/>
        </w:rPr>
        <w:t>12</w:t>
      </w:r>
      <w:r>
        <w:rPr>
          <w:rFonts w:eastAsiaTheme="minorHAnsi"/>
          <w:sz w:val="24"/>
          <w:szCs w:val="24"/>
        </w:rPr>
        <w:t>.</w:t>
      </w:r>
      <w:r w:rsidRPr="0004221B">
        <w:rPr>
          <w:rFonts w:eastAsiaTheme="minorHAnsi"/>
          <w:sz w:val="24"/>
          <w:szCs w:val="24"/>
        </w:rPr>
        <w:t xml:space="preserve">150 </w:t>
      </w:r>
      <w:r>
        <w:rPr>
          <w:rFonts w:eastAsiaTheme="minorHAnsi"/>
          <w:sz w:val="24"/>
          <w:szCs w:val="24"/>
        </w:rPr>
        <w:t>stipendija</w:t>
      </w:r>
      <w:r w:rsidRPr="0004221B">
        <w:rPr>
          <w:rFonts w:eastAsiaTheme="minorHAnsi"/>
          <w:sz w:val="24"/>
          <w:szCs w:val="24"/>
        </w:rPr>
        <w:t xml:space="preserve"> po akademskoj godini.</w:t>
      </w:r>
      <w:r>
        <w:rPr>
          <w:rFonts w:eastAsiaTheme="minorHAnsi"/>
          <w:sz w:val="24"/>
          <w:szCs w:val="24"/>
        </w:rPr>
        <w:t xml:space="preserve"> Istovremeno, </w:t>
      </w:r>
      <w:r w:rsidRPr="0004221B">
        <w:rPr>
          <w:rFonts w:eastAsiaTheme="minorHAnsi"/>
          <w:sz w:val="24"/>
          <w:szCs w:val="24"/>
        </w:rPr>
        <w:t xml:space="preserve">u okviru </w:t>
      </w:r>
      <w:r>
        <w:rPr>
          <w:rFonts w:eastAsiaTheme="minorHAnsi"/>
          <w:sz w:val="24"/>
          <w:szCs w:val="24"/>
        </w:rPr>
        <w:t xml:space="preserve">NPOO-a </w:t>
      </w:r>
      <w:r w:rsidRPr="0004221B">
        <w:rPr>
          <w:rFonts w:eastAsiaTheme="minorHAnsi"/>
          <w:sz w:val="24"/>
          <w:szCs w:val="24"/>
        </w:rPr>
        <w:t>osigurana su financijska</w:t>
      </w:r>
      <w:r>
        <w:rPr>
          <w:rFonts w:eastAsiaTheme="minorHAnsi"/>
          <w:sz w:val="24"/>
          <w:szCs w:val="24"/>
        </w:rPr>
        <w:t xml:space="preserve"> </w:t>
      </w:r>
      <w:r w:rsidRPr="0004221B">
        <w:rPr>
          <w:rFonts w:eastAsiaTheme="minorHAnsi"/>
          <w:sz w:val="24"/>
          <w:szCs w:val="24"/>
        </w:rPr>
        <w:t xml:space="preserve">sredstva za dodjelu državnih stipendija u </w:t>
      </w:r>
      <w:r>
        <w:rPr>
          <w:rFonts w:eastAsiaTheme="minorHAnsi"/>
          <w:sz w:val="24"/>
          <w:szCs w:val="24"/>
        </w:rPr>
        <w:t xml:space="preserve">prioritetnim </w:t>
      </w:r>
      <w:r w:rsidRPr="0004221B">
        <w:rPr>
          <w:rFonts w:eastAsiaTheme="minorHAnsi"/>
          <w:sz w:val="24"/>
          <w:szCs w:val="24"/>
        </w:rPr>
        <w:t>STEM</w:t>
      </w:r>
      <w:r>
        <w:rPr>
          <w:rFonts w:eastAsiaTheme="minorHAnsi"/>
          <w:sz w:val="24"/>
          <w:szCs w:val="24"/>
        </w:rPr>
        <w:t xml:space="preserve"> </w:t>
      </w:r>
      <w:r w:rsidRPr="0004221B">
        <w:rPr>
          <w:rFonts w:eastAsiaTheme="minorHAnsi"/>
          <w:sz w:val="24"/>
          <w:szCs w:val="24"/>
        </w:rPr>
        <w:t>područjima znanosti i</w:t>
      </w:r>
      <w:r>
        <w:rPr>
          <w:rFonts w:eastAsiaTheme="minorHAnsi"/>
          <w:sz w:val="24"/>
          <w:szCs w:val="24"/>
        </w:rPr>
        <w:t xml:space="preserve"> </w:t>
      </w:r>
      <w:r w:rsidRPr="0004221B">
        <w:rPr>
          <w:rFonts w:eastAsiaTheme="minorHAnsi"/>
          <w:sz w:val="24"/>
          <w:szCs w:val="24"/>
        </w:rPr>
        <w:t>deficitarnim STEM zanimanjima</w:t>
      </w:r>
      <w:r>
        <w:rPr>
          <w:rFonts w:eastAsiaTheme="minorHAnsi"/>
          <w:sz w:val="24"/>
          <w:szCs w:val="24"/>
        </w:rPr>
        <w:t>,</w:t>
      </w:r>
      <w:r w:rsidRPr="0004221B">
        <w:rPr>
          <w:rFonts w:eastAsiaTheme="minorHAnsi"/>
          <w:sz w:val="24"/>
          <w:szCs w:val="24"/>
        </w:rPr>
        <w:t xml:space="preserve"> kojima se povećava</w:t>
      </w:r>
      <w:r>
        <w:rPr>
          <w:rFonts w:eastAsiaTheme="minorHAnsi"/>
          <w:sz w:val="24"/>
          <w:szCs w:val="24"/>
        </w:rPr>
        <w:t xml:space="preserve"> dostupnost i</w:t>
      </w:r>
      <w:r w:rsidRPr="0004221B">
        <w:rPr>
          <w:rFonts w:eastAsiaTheme="minorHAnsi"/>
          <w:sz w:val="24"/>
          <w:szCs w:val="24"/>
        </w:rPr>
        <w:t xml:space="preserve"> završnost </w:t>
      </w:r>
      <w:r>
        <w:rPr>
          <w:rFonts w:eastAsiaTheme="minorHAnsi"/>
          <w:sz w:val="24"/>
          <w:szCs w:val="24"/>
        </w:rPr>
        <w:t>te</w:t>
      </w:r>
      <w:r w:rsidRPr="0004221B">
        <w:rPr>
          <w:rFonts w:eastAsiaTheme="minorHAnsi"/>
          <w:sz w:val="24"/>
          <w:szCs w:val="24"/>
        </w:rPr>
        <w:t xml:space="preserve"> osigurava usklađivanje obrazovanja s</w:t>
      </w:r>
      <w:r>
        <w:rPr>
          <w:rFonts w:eastAsiaTheme="minorHAnsi"/>
          <w:sz w:val="24"/>
          <w:szCs w:val="24"/>
        </w:rPr>
        <w:t xml:space="preserve"> </w:t>
      </w:r>
      <w:r w:rsidRPr="0004221B">
        <w:rPr>
          <w:rFonts w:eastAsiaTheme="minorHAnsi"/>
          <w:sz w:val="24"/>
          <w:szCs w:val="24"/>
        </w:rPr>
        <w:t>potrebama tržišta rada</w:t>
      </w:r>
      <w:r>
        <w:rPr>
          <w:rFonts w:eastAsiaTheme="minorHAnsi"/>
          <w:sz w:val="24"/>
          <w:szCs w:val="24"/>
        </w:rPr>
        <w:t>. Do kraja 2024. su u tri akademske godine iz NPOO dodijeljene</w:t>
      </w:r>
      <w:r w:rsidRPr="0004221B">
        <w:rPr>
          <w:rFonts w:eastAsiaTheme="minorHAnsi"/>
          <w:sz w:val="24"/>
          <w:szCs w:val="24"/>
        </w:rPr>
        <w:t xml:space="preserve"> </w:t>
      </w:r>
      <w:r>
        <w:rPr>
          <w:rFonts w:eastAsiaTheme="minorHAnsi"/>
          <w:sz w:val="24"/>
          <w:szCs w:val="24"/>
        </w:rPr>
        <w:t>4.254 stipendije u ukupnom iznosu od 15,37 milijuna eura, čime se izravno</w:t>
      </w:r>
      <w:r w:rsidRPr="0004221B">
        <w:rPr>
          <w:rFonts w:eastAsiaTheme="minorHAnsi"/>
          <w:sz w:val="24"/>
          <w:szCs w:val="24"/>
        </w:rPr>
        <w:t xml:space="preserve"> </w:t>
      </w:r>
      <w:r>
        <w:rPr>
          <w:rFonts w:eastAsiaTheme="minorHAnsi"/>
          <w:sz w:val="24"/>
          <w:szCs w:val="24"/>
        </w:rPr>
        <w:t xml:space="preserve">doprinosi </w:t>
      </w:r>
      <w:r w:rsidRPr="0004221B">
        <w:rPr>
          <w:rFonts w:eastAsiaTheme="minorHAnsi"/>
          <w:sz w:val="24"/>
          <w:szCs w:val="24"/>
        </w:rPr>
        <w:t>smanjenj</w:t>
      </w:r>
      <w:r>
        <w:rPr>
          <w:rFonts w:eastAsiaTheme="minorHAnsi"/>
          <w:sz w:val="24"/>
          <w:szCs w:val="24"/>
        </w:rPr>
        <w:t>u</w:t>
      </w:r>
      <w:r w:rsidRPr="0004221B">
        <w:rPr>
          <w:rFonts w:eastAsiaTheme="minorHAnsi"/>
          <w:sz w:val="24"/>
          <w:szCs w:val="24"/>
        </w:rPr>
        <w:t xml:space="preserve"> neusklađenosti između ponude rada i potražnje za</w:t>
      </w:r>
      <w:r>
        <w:rPr>
          <w:rFonts w:eastAsiaTheme="minorHAnsi"/>
          <w:sz w:val="24"/>
          <w:szCs w:val="24"/>
        </w:rPr>
        <w:t xml:space="preserve"> </w:t>
      </w:r>
      <w:r w:rsidRPr="0004221B">
        <w:rPr>
          <w:rFonts w:eastAsiaTheme="minorHAnsi"/>
          <w:sz w:val="24"/>
          <w:szCs w:val="24"/>
        </w:rPr>
        <w:t xml:space="preserve">radom. U skladu sa raspoloživim sredstvima </w:t>
      </w:r>
      <w:r>
        <w:rPr>
          <w:rFonts w:eastAsiaTheme="minorHAnsi"/>
          <w:sz w:val="24"/>
          <w:szCs w:val="24"/>
        </w:rPr>
        <w:t>u</w:t>
      </w:r>
      <w:r w:rsidRPr="003A050A">
        <w:rPr>
          <w:rFonts w:eastAsiaTheme="minorHAnsi"/>
          <w:sz w:val="24"/>
          <w:szCs w:val="24"/>
        </w:rPr>
        <w:t xml:space="preserve"> akademskoj godini 2024./2025. dod</w:t>
      </w:r>
      <w:r>
        <w:rPr>
          <w:rFonts w:eastAsiaTheme="minorHAnsi"/>
          <w:sz w:val="24"/>
          <w:szCs w:val="24"/>
        </w:rPr>
        <w:t>i</w:t>
      </w:r>
      <w:r w:rsidRPr="003A050A">
        <w:rPr>
          <w:rFonts w:eastAsiaTheme="minorHAnsi"/>
          <w:sz w:val="24"/>
          <w:szCs w:val="24"/>
        </w:rPr>
        <w:t>je</w:t>
      </w:r>
      <w:r>
        <w:rPr>
          <w:rFonts w:eastAsiaTheme="minorHAnsi"/>
          <w:sz w:val="24"/>
          <w:szCs w:val="24"/>
        </w:rPr>
        <w:t>ljene su</w:t>
      </w:r>
      <w:r w:rsidRPr="003A050A">
        <w:rPr>
          <w:rFonts w:eastAsiaTheme="minorHAnsi"/>
          <w:sz w:val="24"/>
          <w:szCs w:val="24"/>
        </w:rPr>
        <w:t xml:space="preserve"> </w:t>
      </w:r>
      <w:r>
        <w:rPr>
          <w:rFonts w:eastAsiaTheme="minorHAnsi"/>
          <w:sz w:val="24"/>
          <w:szCs w:val="24"/>
        </w:rPr>
        <w:t xml:space="preserve">i </w:t>
      </w:r>
      <w:r w:rsidRPr="003A050A">
        <w:rPr>
          <w:rFonts w:eastAsiaTheme="minorHAnsi"/>
          <w:sz w:val="24"/>
          <w:szCs w:val="24"/>
        </w:rPr>
        <w:t>državn</w:t>
      </w:r>
      <w:r>
        <w:rPr>
          <w:rFonts w:eastAsiaTheme="minorHAnsi"/>
          <w:sz w:val="24"/>
          <w:szCs w:val="24"/>
        </w:rPr>
        <w:t>e</w:t>
      </w:r>
      <w:r w:rsidRPr="003A050A">
        <w:rPr>
          <w:rFonts w:eastAsiaTheme="minorHAnsi"/>
          <w:sz w:val="24"/>
          <w:szCs w:val="24"/>
        </w:rPr>
        <w:t xml:space="preserve"> STEM stipendij</w:t>
      </w:r>
      <w:r>
        <w:rPr>
          <w:rFonts w:eastAsiaTheme="minorHAnsi"/>
          <w:sz w:val="24"/>
          <w:szCs w:val="24"/>
        </w:rPr>
        <w:t>e</w:t>
      </w:r>
      <w:r w:rsidRPr="003A050A">
        <w:rPr>
          <w:rFonts w:eastAsiaTheme="minorHAnsi"/>
          <w:sz w:val="24"/>
          <w:szCs w:val="24"/>
        </w:rPr>
        <w:t xml:space="preserve"> za 1</w:t>
      </w:r>
      <w:r>
        <w:rPr>
          <w:rFonts w:eastAsiaTheme="minorHAnsi"/>
          <w:sz w:val="24"/>
          <w:szCs w:val="24"/>
        </w:rPr>
        <w:t>.</w:t>
      </w:r>
      <w:r w:rsidRPr="003A050A">
        <w:rPr>
          <w:rFonts w:eastAsiaTheme="minorHAnsi"/>
          <w:sz w:val="24"/>
          <w:szCs w:val="24"/>
        </w:rPr>
        <w:t>50</w:t>
      </w:r>
      <w:r>
        <w:rPr>
          <w:rFonts w:eastAsiaTheme="minorHAnsi"/>
          <w:sz w:val="24"/>
          <w:szCs w:val="24"/>
        </w:rPr>
        <w:t>1</w:t>
      </w:r>
      <w:r w:rsidRPr="003A050A">
        <w:rPr>
          <w:rFonts w:eastAsiaTheme="minorHAnsi"/>
          <w:sz w:val="24"/>
          <w:szCs w:val="24"/>
        </w:rPr>
        <w:t xml:space="preserve"> studenta u prioritetnim STEM područjima znanosti.</w:t>
      </w:r>
      <w:r w:rsidRPr="003A050A" w:rsidDel="003A050A">
        <w:rPr>
          <w:rFonts w:eastAsiaTheme="minorHAnsi"/>
          <w:sz w:val="24"/>
          <w:szCs w:val="24"/>
        </w:rPr>
        <w:t xml:space="preserve"> </w:t>
      </w:r>
    </w:p>
    <w:p w14:paraId="4723098A" w14:textId="77777777" w:rsidR="00FB178A" w:rsidRDefault="00FB178A" w:rsidP="00FB178A">
      <w:pPr>
        <w:widowControl/>
        <w:adjustRightInd w:val="0"/>
        <w:spacing w:after="240" w:line="276" w:lineRule="auto"/>
        <w:jc w:val="both"/>
        <w:rPr>
          <w:rFonts w:eastAsiaTheme="minorHAnsi"/>
          <w:sz w:val="24"/>
          <w:szCs w:val="24"/>
        </w:rPr>
      </w:pPr>
      <w:r w:rsidRPr="00BC01C4">
        <w:rPr>
          <w:rFonts w:eastAsiaTheme="minorHAnsi"/>
          <w:sz w:val="24"/>
          <w:szCs w:val="24"/>
        </w:rPr>
        <w:t xml:space="preserve">Kako bi se unaprijedila socijalna dimenzija visokog obrazovanja i osigurali kvalitetniji uvjeti studiranja, tijekom 2024. </w:t>
      </w:r>
      <w:r>
        <w:rPr>
          <w:rFonts w:eastAsiaTheme="minorHAnsi"/>
          <w:sz w:val="24"/>
          <w:szCs w:val="24"/>
        </w:rPr>
        <w:t>nastavljeni</w:t>
      </w:r>
      <w:r w:rsidRPr="00BC01C4">
        <w:rPr>
          <w:rFonts w:eastAsiaTheme="minorHAnsi"/>
          <w:sz w:val="24"/>
          <w:szCs w:val="24"/>
        </w:rPr>
        <w:t xml:space="preserve"> su </w:t>
      </w:r>
      <w:r>
        <w:rPr>
          <w:rFonts w:eastAsiaTheme="minorHAnsi"/>
          <w:sz w:val="24"/>
          <w:szCs w:val="24"/>
        </w:rPr>
        <w:t>napori</w:t>
      </w:r>
      <w:r w:rsidRPr="00BC01C4">
        <w:rPr>
          <w:rFonts w:eastAsiaTheme="minorHAnsi"/>
          <w:sz w:val="24"/>
          <w:szCs w:val="24"/>
        </w:rPr>
        <w:t xml:space="preserve"> u </w:t>
      </w:r>
      <w:r>
        <w:rPr>
          <w:rFonts w:eastAsiaTheme="minorHAnsi"/>
          <w:sz w:val="24"/>
          <w:szCs w:val="24"/>
        </w:rPr>
        <w:t>unaprjeđenju</w:t>
      </w:r>
      <w:r w:rsidRPr="00BC01C4">
        <w:rPr>
          <w:rFonts w:eastAsiaTheme="minorHAnsi"/>
          <w:sz w:val="24"/>
          <w:szCs w:val="24"/>
        </w:rPr>
        <w:t xml:space="preserve"> studentskog standarda. Osiguran je nastavak subvencioniranog stanovanja u studentskim i učeničkim domovima za više od 15.000 studenata po akademskoj godini, uz povećanje mjesečne subvencije s 26,54 eura na 31,85 eura u akademskoj godini 2024./2025. Povećana je i kvota za subvencionirani smještaj kod privatnih stanodavaca u 15 gradova u kojima postoji izražen manjak kapaciteta studentskih domova, a iznos mjesečne subvencije iznosi 60</w:t>
      </w:r>
      <w:r>
        <w:rPr>
          <w:rFonts w:eastAsiaTheme="minorHAnsi"/>
          <w:sz w:val="24"/>
          <w:szCs w:val="24"/>
        </w:rPr>
        <w:t>,00</w:t>
      </w:r>
      <w:r w:rsidRPr="00BC01C4">
        <w:rPr>
          <w:rFonts w:eastAsiaTheme="minorHAnsi"/>
          <w:sz w:val="24"/>
          <w:szCs w:val="24"/>
        </w:rPr>
        <w:t xml:space="preserve"> </w:t>
      </w:r>
      <w:r>
        <w:rPr>
          <w:rFonts w:eastAsiaTheme="minorHAnsi"/>
          <w:sz w:val="24"/>
          <w:szCs w:val="24"/>
        </w:rPr>
        <w:t>eura</w:t>
      </w:r>
      <w:r w:rsidRPr="00BC01C4">
        <w:rPr>
          <w:rFonts w:eastAsiaTheme="minorHAnsi"/>
          <w:sz w:val="24"/>
          <w:szCs w:val="24"/>
        </w:rPr>
        <w:t xml:space="preserve">. Dodatno, </w:t>
      </w:r>
      <w:r>
        <w:rPr>
          <w:rFonts w:eastAsiaTheme="minorHAnsi"/>
          <w:sz w:val="24"/>
          <w:szCs w:val="24"/>
        </w:rPr>
        <w:t xml:space="preserve">u </w:t>
      </w:r>
      <w:r w:rsidRPr="00BC01C4">
        <w:rPr>
          <w:rFonts w:eastAsiaTheme="minorHAnsi"/>
          <w:sz w:val="24"/>
          <w:szCs w:val="24"/>
        </w:rPr>
        <w:t>prosinc</w:t>
      </w:r>
      <w:r>
        <w:rPr>
          <w:rFonts w:eastAsiaTheme="minorHAnsi"/>
          <w:sz w:val="24"/>
          <w:szCs w:val="24"/>
        </w:rPr>
        <w:t>u</w:t>
      </w:r>
      <w:r w:rsidRPr="00BC01C4">
        <w:rPr>
          <w:rFonts w:eastAsiaTheme="minorHAnsi"/>
          <w:sz w:val="24"/>
          <w:szCs w:val="24"/>
        </w:rPr>
        <w:t xml:space="preserve"> 2024. objavljen je poziv iz </w:t>
      </w:r>
      <w:r>
        <w:rPr>
          <w:rFonts w:eastAsiaTheme="minorHAnsi"/>
          <w:sz w:val="24"/>
          <w:szCs w:val="24"/>
        </w:rPr>
        <w:t>PKK 2021.-2027.</w:t>
      </w:r>
      <w:r w:rsidRPr="00BC01C4">
        <w:rPr>
          <w:rFonts w:eastAsiaTheme="minorHAnsi"/>
          <w:sz w:val="24"/>
          <w:szCs w:val="24"/>
        </w:rPr>
        <w:t xml:space="preserve"> za modernizaciju, unaprjeđenje i proširenje infrastrukture studentskog smještaja, </w:t>
      </w:r>
      <w:r>
        <w:rPr>
          <w:rFonts w:eastAsiaTheme="minorHAnsi"/>
          <w:sz w:val="24"/>
          <w:szCs w:val="24"/>
        </w:rPr>
        <w:t>čime će se o</w:t>
      </w:r>
      <w:r w:rsidRPr="00BC01C4">
        <w:rPr>
          <w:rFonts w:eastAsiaTheme="minorHAnsi"/>
          <w:sz w:val="24"/>
          <w:szCs w:val="24"/>
        </w:rPr>
        <w:t>moguć</w:t>
      </w:r>
      <w:r>
        <w:rPr>
          <w:rFonts w:eastAsiaTheme="minorHAnsi"/>
          <w:sz w:val="24"/>
          <w:szCs w:val="24"/>
        </w:rPr>
        <w:t>iti</w:t>
      </w:r>
      <w:r w:rsidRPr="00BC01C4">
        <w:rPr>
          <w:rFonts w:eastAsiaTheme="minorHAnsi"/>
          <w:sz w:val="24"/>
          <w:szCs w:val="24"/>
        </w:rPr>
        <w:t xml:space="preserve"> daljnje povećanja kapaciteta i podizanja kvalitete uvjeta stanovanja.</w:t>
      </w:r>
      <w:r>
        <w:rPr>
          <w:rFonts w:eastAsiaTheme="minorHAnsi"/>
          <w:sz w:val="24"/>
          <w:szCs w:val="24"/>
        </w:rPr>
        <w:t xml:space="preserve"> </w:t>
      </w:r>
      <w:r w:rsidRPr="009040DF">
        <w:rPr>
          <w:rFonts w:eastAsiaTheme="minorHAnsi"/>
          <w:sz w:val="24"/>
          <w:szCs w:val="24"/>
        </w:rPr>
        <w:t>U 2025., nakon provedene evaluacije, očekuje se donošenje Odluke o financiranju i potpisivanje ugovora o dodjeli bespovratnih sredstava</w:t>
      </w:r>
      <w:r>
        <w:rPr>
          <w:rFonts w:eastAsiaTheme="minorHAnsi"/>
          <w:sz w:val="24"/>
          <w:szCs w:val="24"/>
        </w:rPr>
        <w:t xml:space="preserve"> (</w:t>
      </w:r>
      <w:r w:rsidRPr="008F7BA4">
        <w:rPr>
          <w:rFonts w:eastAsiaTheme="minorHAnsi"/>
          <w:sz w:val="24"/>
          <w:szCs w:val="24"/>
        </w:rPr>
        <w:t xml:space="preserve">Odluka o financiranju donesena </w:t>
      </w:r>
      <w:r>
        <w:rPr>
          <w:rFonts w:eastAsiaTheme="minorHAnsi"/>
          <w:sz w:val="24"/>
          <w:szCs w:val="24"/>
        </w:rPr>
        <w:t xml:space="preserve">u </w:t>
      </w:r>
      <w:r w:rsidRPr="008F7BA4">
        <w:rPr>
          <w:rFonts w:eastAsiaTheme="minorHAnsi"/>
          <w:sz w:val="24"/>
          <w:szCs w:val="24"/>
        </w:rPr>
        <w:t>listopad</w:t>
      </w:r>
      <w:r>
        <w:rPr>
          <w:rFonts w:eastAsiaTheme="minorHAnsi"/>
          <w:sz w:val="24"/>
          <w:szCs w:val="24"/>
        </w:rPr>
        <w:t>u</w:t>
      </w:r>
      <w:r w:rsidRPr="008F7BA4">
        <w:rPr>
          <w:rFonts w:eastAsiaTheme="minorHAnsi"/>
          <w:sz w:val="24"/>
          <w:szCs w:val="24"/>
        </w:rPr>
        <w:t xml:space="preserve"> 2025. za </w:t>
      </w:r>
      <w:r>
        <w:rPr>
          <w:rFonts w:eastAsiaTheme="minorHAnsi"/>
          <w:sz w:val="24"/>
          <w:szCs w:val="24"/>
        </w:rPr>
        <w:t>sedam</w:t>
      </w:r>
      <w:r w:rsidRPr="008F7BA4">
        <w:rPr>
          <w:rFonts w:eastAsiaTheme="minorHAnsi"/>
          <w:sz w:val="24"/>
          <w:szCs w:val="24"/>
        </w:rPr>
        <w:t xml:space="preserve"> projektnih prijedloga ukupnih prihvatljivih troškova u iznosu od 130</w:t>
      </w:r>
      <w:r>
        <w:rPr>
          <w:rFonts w:eastAsiaTheme="minorHAnsi"/>
          <w:sz w:val="24"/>
          <w:szCs w:val="24"/>
        </w:rPr>
        <w:t>,9 milijuna</w:t>
      </w:r>
      <w:r w:rsidRPr="008F7BA4">
        <w:rPr>
          <w:rFonts w:eastAsiaTheme="minorHAnsi"/>
          <w:sz w:val="24"/>
          <w:szCs w:val="24"/>
        </w:rPr>
        <w:t xml:space="preserve"> eura, od kojih bespovratna sredstva iznose 103</w:t>
      </w:r>
      <w:r>
        <w:rPr>
          <w:rFonts w:eastAsiaTheme="minorHAnsi"/>
          <w:sz w:val="24"/>
          <w:szCs w:val="24"/>
        </w:rPr>
        <w:t>,3 milijuna</w:t>
      </w:r>
      <w:r w:rsidRPr="008F7BA4">
        <w:rPr>
          <w:rFonts w:eastAsiaTheme="minorHAnsi"/>
          <w:sz w:val="24"/>
          <w:szCs w:val="24"/>
        </w:rPr>
        <w:t xml:space="preserve"> eura</w:t>
      </w:r>
      <w:r>
        <w:rPr>
          <w:rFonts w:eastAsiaTheme="minorHAnsi"/>
          <w:sz w:val="24"/>
          <w:szCs w:val="24"/>
        </w:rPr>
        <w:t>)</w:t>
      </w:r>
      <w:r w:rsidRPr="009040DF">
        <w:rPr>
          <w:rFonts w:eastAsiaTheme="minorHAnsi"/>
          <w:sz w:val="24"/>
          <w:szCs w:val="24"/>
        </w:rPr>
        <w:t xml:space="preserve">. </w:t>
      </w:r>
      <w:r w:rsidRPr="009F70E6">
        <w:rPr>
          <w:rFonts w:eastAsiaTheme="minorHAnsi"/>
          <w:sz w:val="24"/>
          <w:szCs w:val="24"/>
        </w:rPr>
        <w:t xml:space="preserve">Vlada </w:t>
      </w:r>
      <w:r>
        <w:rPr>
          <w:color w:val="000000" w:themeColor="text1"/>
          <w:sz w:val="24"/>
          <w:szCs w:val="24"/>
        </w:rPr>
        <w:t>Republike Hrvatske</w:t>
      </w:r>
      <w:r w:rsidRPr="00B23F9E">
        <w:rPr>
          <w:color w:val="000000" w:themeColor="text1"/>
          <w:sz w:val="24"/>
          <w:szCs w:val="24"/>
        </w:rPr>
        <w:t xml:space="preserve"> </w:t>
      </w:r>
      <w:r>
        <w:rPr>
          <w:rFonts w:eastAsiaTheme="minorHAnsi"/>
          <w:sz w:val="24"/>
          <w:szCs w:val="24"/>
        </w:rPr>
        <w:t xml:space="preserve">je u </w:t>
      </w:r>
      <w:r w:rsidRPr="009F70E6">
        <w:rPr>
          <w:rFonts w:eastAsiaTheme="minorHAnsi"/>
          <w:sz w:val="24"/>
          <w:szCs w:val="24"/>
        </w:rPr>
        <w:t>rujn</w:t>
      </w:r>
      <w:r>
        <w:rPr>
          <w:rFonts w:eastAsiaTheme="minorHAnsi"/>
          <w:sz w:val="24"/>
          <w:szCs w:val="24"/>
        </w:rPr>
        <w:t>u</w:t>
      </w:r>
      <w:r w:rsidRPr="009F70E6">
        <w:rPr>
          <w:rFonts w:eastAsiaTheme="minorHAnsi"/>
          <w:sz w:val="24"/>
          <w:szCs w:val="24"/>
        </w:rPr>
        <w:t xml:space="preserve"> 2024. donijela Zaključak kojim </w:t>
      </w:r>
      <w:r>
        <w:rPr>
          <w:rFonts w:eastAsiaTheme="minorHAnsi"/>
          <w:sz w:val="24"/>
          <w:szCs w:val="24"/>
        </w:rPr>
        <w:t xml:space="preserve">se </w:t>
      </w:r>
      <w:r w:rsidRPr="009F70E6">
        <w:rPr>
          <w:rFonts w:eastAsiaTheme="minorHAnsi"/>
          <w:sz w:val="24"/>
          <w:szCs w:val="24"/>
        </w:rPr>
        <w:t>produlj</w:t>
      </w:r>
      <w:r>
        <w:rPr>
          <w:rFonts w:eastAsiaTheme="minorHAnsi"/>
          <w:sz w:val="24"/>
          <w:szCs w:val="24"/>
        </w:rPr>
        <w:t>uje</w:t>
      </w:r>
      <w:r w:rsidRPr="009F70E6">
        <w:rPr>
          <w:rFonts w:eastAsiaTheme="minorHAnsi"/>
          <w:sz w:val="24"/>
          <w:szCs w:val="24"/>
        </w:rPr>
        <w:t xml:space="preserve"> mjera potpore studentskim centrima za nabavu namirnica i energenata radi osiguranja održivog sustava studentske prehrane</w:t>
      </w:r>
      <w:r>
        <w:rPr>
          <w:rFonts w:eastAsiaTheme="minorHAnsi"/>
          <w:sz w:val="24"/>
          <w:szCs w:val="24"/>
        </w:rPr>
        <w:t xml:space="preserve"> do rujna 2025. te je</w:t>
      </w:r>
      <w:r w:rsidRPr="009F70E6">
        <w:rPr>
          <w:rFonts w:eastAsiaTheme="minorHAnsi"/>
          <w:sz w:val="24"/>
          <w:szCs w:val="24"/>
        </w:rPr>
        <w:t xml:space="preserve"> izmijenjen i Pravilnik o uvjetima i načinu ostvarivanja prava na pokriće troškova prehrane studenata</w:t>
      </w:r>
      <w:r>
        <w:rPr>
          <w:rFonts w:eastAsiaTheme="minorHAnsi"/>
          <w:sz w:val="24"/>
          <w:szCs w:val="24"/>
        </w:rPr>
        <w:t>. Time</w:t>
      </w:r>
      <w:r w:rsidRPr="009F70E6">
        <w:rPr>
          <w:rFonts w:eastAsiaTheme="minorHAnsi"/>
          <w:sz w:val="24"/>
          <w:szCs w:val="24"/>
        </w:rPr>
        <w:t xml:space="preserve"> je omogućeno povećanje subvencije cijena obroka iz Državnog proračuna za 20% tijekom </w:t>
      </w:r>
      <w:r>
        <w:rPr>
          <w:rFonts w:eastAsiaTheme="minorHAnsi"/>
          <w:sz w:val="24"/>
          <w:szCs w:val="24"/>
        </w:rPr>
        <w:t xml:space="preserve">akademske godine </w:t>
      </w:r>
      <w:r w:rsidRPr="009F70E6">
        <w:rPr>
          <w:rFonts w:eastAsiaTheme="minorHAnsi"/>
          <w:sz w:val="24"/>
          <w:szCs w:val="24"/>
        </w:rPr>
        <w:t>2024.</w:t>
      </w:r>
      <w:r>
        <w:rPr>
          <w:rFonts w:eastAsiaTheme="minorHAnsi"/>
          <w:sz w:val="24"/>
          <w:szCs w:val="24"/>
        </w:rPr>
        <w:t>/2025.</w:t>
      </w:r>
      <w:r w:rsidRPr="009F70E6">
        <w:rPr>
          <w:rFonts w:eastAsiaTheme="minorHAnsi"/>
          <w:sz w:val="24"/>
          <w:szCs w:val="24"/>
        </w:rPr>
        <w:t xml:space="preserve"> pri čemu je cijena studentskog meni-obroka ostala nepromijenjena od 2013. i iznosi 0,86 </w:t>
      </w:r>
      <w:r>
        <w:rPr>
          <w:rFonts w:eastAsiaTheme="minorHAnsi"/>
          <w:sz w:val="24"/>
          <w:szCs w:val="24"/>
        </w:rPr>
        <w:t>eura</w:t>
      </w:r>
      <w:r w:rsidRPr="009F70E6">
        <w:rPr>
          <w:rFonts w:eastAsiaTheme="minorHAnsi"/>
          <w:sz w:val="24"/>
          <w:szCs w:val="24"/>
        </w:rPr>
        <w:t>.</w:t>
      </w:r>
    </w:p>
    <w:p w14:paraId="2631C8C7" w14:textId="77777777" w:rsidR="00FB178A" w:rsidRDefault="00FB178A" w:rsidP="00FB178A">
      <w:pPr>
        <w:widowControl/>
        <w:adjustRightInd w:val="0"/>
        <w:spacing w:line="276" w:lineRule="auto"/>
        <w:jc w:val="both"/>
        <w:rPr>
          <w:rFonts w:eastAsiaTheme="minorHAnsi"/>
          <w:sz w:val="24"/>
          <w:szCs w:val="24"/>
        </w:rPr>
      </w:pPr>
      <w:r w:rsidRPr="000139DB">
        <w:rPr>
          <w:rFonts w:eastAsiaTheme="minorHAnsi"/>
          <w:sz w:val="24"/>
          <w:szCs w:val="24"/>
        </w:rPr>
        <w:t xml:space="preserve">U području digitalizacije studentskog života ostvaren je značajan iskorak kroz uvođenje </w:t>
      </w:r>
      <w:r>
        <w:rPr>
          <w:rFonts w:eastAsiaTheme="minorHAnsi"/>
          <w:sz w:val="24"/>
          <w:szCs w:val="24"/>
        </w:rPr>
        <w:t>D</w:t>
      </w:r>
      <w:r w:rsidRPr="000139DB">
        <w:rPr>
          <w:rFonts w:eastAsiaTheme="minorHAnsi"/>
          <w:sz w:val="24"/>
          <w:szCs w:val="24"/>
        </w:rPr>
        <w:t xml:space="preserve">igitalne studentske iskaznice pohranjene u mobilnu aplikaciju </w:t>
      </w:r>
      <w:proofErr w:type="spellStart"/>
      <w:r w:rsidRPr="000139DB">
        <w:rPr>
          <w:rFonts w:eastAsiaTheme="minorHAnsi"/>
          <w:sz w:val="24"/>
          <w:szCs w:val="24"/>
        </w:rPr>
        <w:t>Certilia</w:t>
      </w:r>
      <w:proofErr w:type="spellEnd"/>
      <w:r>
        <w:rPr>
          <w:rStyle w:val="FootnoteReference"/>
          <w:rFonts w:eastAsiaTheme="minorHAnsi"/>
          <w:sz w:val="24"/>
          <w:szCs w:val="24"/>
        </w:rPr>
        <w:footnoteReference w:id="11"/>
      </w:r>
      <w:r w:rsidRPr="000139DB">
        <w:rPr>
          <w:rFonts w:eastAsiaTheme="minorHAnsi"/>
          <w:sz w:val="24"/>
          <w:szCs w:val="24"/>
        </w:rPr>
        <w:t xml:space="preserve">, koja predstavlja novi standard digitalnog identiteta na razini države i usklađena je s Europskom studentskom iskaznicom (ESC). Hrvatska je prva država članica Europske unije koja studentima osigurava potpuno funkcionalnu ESC-usklađenu identifikacijsku ispravu, a tijekom 2024. nastavljene su aktivnosti na njezinu povezivanju s europskim ESC </w:t>
      </w:r>
      <w:proofErr w:type="spellStart"/>
      <w:r w:rsidRPr="000139DB">
        <w:rPr>
          <w:rFonts w:eastAsiaTheme="minorHAnsi"/>
          <w:sz w:val="24"/>
          <w:szCs w:val="24"/>
        </w:rPr>
        <w:t>Router</w:t>
      </w:r>
      <w:proofErr w:type="spellEnd"/>
      <w:r>
        <w:rPr>
          <w:rStyle w:val="FootnoteReference"/>
          <w:rFonts w:eastAsiaTheme="minorHAnsi"/>
          <w:sz w:val="24"/>
          <w:szCs w:val="24"/>
        </w:rPr>
        <w:footnoteReference w:id="12"/>
      </w:r>
      <w:r w:rsidRPr="000139DB">
        <w:rPr>
          <w:rFonts w:eastAsiaTheme="minorHAnsi"/>
          <w:sz w:val="24"/>
          <w:szCs w:val="24"/>
        </w:rPr>
        <w:t xml:space="preserve"> sustavom</w:t>
      </w:r>
      <w:r>
        <w:rPr>
          <w:rFonts w:eastAsiaTheme="minorHAnsi"/>
          <w:sz w:val="24"/>
          <w:szCs w:val="24"/>
        </w:rPr>
        <w:t xml:space="preserve">, </w:t>
      </w:r>
      <w:r w:rsidRPr="005B3C92">
        <w:rPr>
          <w:rFonts w:eastAsiaTheme="minorHAnsi"/>
          <w:sz w:val="24"/>
          <w:szCs w:val="24"/>
        </w:rPr>
        <w:t>centraliziranim europskim sustavom za razmjenu i provjeru podataka o studentskom statusu</w:t>
      </w:r>
      <w:r w:rsidRPr="000139DB">
        <w:rPr>
          <w:rFonts w:eastAsiaTheme="minorHAnsi"/>
          <w:sz w:val="24"/>
          <w:szCs w:val="24"/>
        </w:rPr>
        <w:t>.</w:t>
      </w:r>
      <w:r>
        <w:rPr>
          <w:rFonts w:eastAsiaTheme="minorHAnsi"/>
          <w:sz w:val="24"/>
          <w:szCs w:val="24"/>
        </w:rPr>
        <w:t xml:space="preserve"> </w:t>
      </w:r>
      <w:r w:rsidRPr="008C312C">
        <w:rPr>
          <w:rFonts w:eastAsiaTheme="minorHAnsi"/>
          <w:sz w:val="24"/>
          <w:szCs w:val="24"/>
        </w:rPr>
        <w:t xml:space="preserve">Integracija u ESC </w:t>
      </w:r>
      <w:proofErr w:type="spellStart"/>
      <w:r w:rsidRPr="008C312C">
        <w:rPr>
          <w:rFonts w:eastAsiaTheme="minorHAnsi"/>
          <w:sz w:val="24"/>
          <w:szCs w:val="24"/>
        </w:rPr>
        <w:t>Router</w:t>
      </w:r>
      <w:proofErr w:type="spellEnd"/>
      <w:r w:rsidRPr="008C312C">
        <w:rPr>
          <w:rFonts w:eastAsiaTheme="minorHAnsi"/>
          <w:sz w:val="24"/>
          <w:szCs w:val="24"/>
        </w:rPr>
        <w:t xml:space="preserve"> predstavlja </w:t>
      </w:r>
      <w:r>
        <w:rPr>
          <w:rFonts w:eastAsiaTheme="minorHAnsi"/>
          <w:sz w:val="24"/>
          <w:szCs w:val="24"/>
        </w:rPr>
        <w:lastRenderedPageBreak/>
        <w:t xml:space="preserve">značajan </w:t>
      </w:r>
      <w:r w:rsidRPr="008C312C">
        <w:rPr>
          <w:rFonts w:eastAsiaTheme="minorHAnsi"/>
          <w:sz w:val="24"/>
          <w:szCs w:val="24"/>
        </w:rPr>
        <w:t xml:space="preserve">korak prema potpunoj </w:t>
      </w:r>
      <w:proofErr w:type="spellStart"/>
      <w:r w:rsidRPr="008C312C">
        <w:rPr>
          <w:rFonts w:eastAsiaTheme="minorHAnsi"/>
          <w:sz w:val="24"/>
          <w:szCs w:val="24"/>
        </w:rPr>
        <w:t>interoperabilnosti</w:t>
      </w:r>
      <w:proofErr w:type="spellEnd"/>
      <w:r w:rsidRPr="008C312C">
        <w:rPr>
          <w:rFonts w:eastAsiaTheme="minorHAnsi"/>
          <w:sz w:val="24"/>
          <w:szCs w:val="24"/>
        </w:rPr>
        <w:t xml:space="preserve"> hrvatskog visokog obrazovanja u europskom obrazov</w:t>
      </w:r>
      <w:r>
        <w:rPr>
          <w:rFonts w:eastAsiaTheme="minorHAnsi"/>
          <w:sz w:val="24"/>
          <w:szCs w:val="24"/>
        </w:rPr>
        <w:t>nom prostoru</w:t>
      </w:r>
      <w:r w:rsidRPr="008C312C">
        <w:rPr>
          <w:rFonts w:eastAsiaTheme="minorHAnsi"/>
          <w:sz w:val="24"/>
          <w:szCs w:val="24"/>
        </w:rPr>
        <w:t xml:space="preserve"> te jačanju međunarodne mobilnosti studenata.</w:t>
      </w:r>
      <w:r w:rsidRPr="008C312C" w:rsidDel="002425FB">
        <w:rPr>
          <w:rFonts w:eastAsiaTheme="minorHAnsi"/>
          <w:sz w:val="24"/>
          <w:szCs w:val="24"/>
        </w:rPr>
        <w:t xml:space="preserve"> </w:t>
      </w:r>
    </w:p>
    <w:p w14:paraId="5EF0455F" w14:textId="77777777" w:rsidR="00FB178A" w:rsidRDefault="00FB178A" w:rsidP="00FB178A">
      <w:pPr>
        <w:widowControl/>
        <w:adjustRightInd w:val="0"/>
        <w:spacing w:line="276" w:lineRule="auto"/>
        <w:ind w:firstLine="720"/>
        <w:jc w:val="both"/>
        <w:rPr>
          <w:rFonts w:eastAsiaTheme="minorHAnsi"/>
          <w:sz w:val="24"/>
          <w:szCs w:val="24"/>
        </w:rPr>
      </w:pPr>
    </w:p>
    <w:p w14:paraId="42A22780" w14:textId="77777777" w:rsidR="00FB178A" w:rsidRDefault="00FB178A" w:rsidP="00FB178A">
      <w:pPr>
        <w:widowControl/>
        <w:adjustRightInd w:val="0"/>
        <w:spacing w:line="276" w:lineRule="auto"/>
        <w:jc w:val="both"/>
        <w:rPr>
          <w:rFonts w:eastAsiaTheme="minorHAnsi"/>
          <w:sz w:val="24"/>
          <w:szCs w:val="24"/>
        </w:rPr>
      </w:pPr>
      <w:r w:rsidRPr="00F6013D">
        <w:rPr>
          <w:rFonts w:eastAsiaTheme="minorHAnsi"/>
          <w:sz w:val="24"/>
          <w:szCs w:val="24"/>
        </w:rPr>
        <w:t xml:space="preserve">S ciljem </w:t>
      </w:r>
      <w:r>
        <w:rPr>
          <w:rFonts w:eastAsiaTheme="minorHAnsi"/>
          <w:sz w:val="24"/>
          <w:szCs w:val="24"/>
        </w:rPr>
        <w:t>osiguravanja</w:t>
      </w:r>
      <w:r w:rsidRPr="00F6013D">
        <w:rPr>
          <w:rFonts w:eastAsiaTheme="minorHAnsi"/>
          <w:sz w:val="24"/>
          <w:szCs w:val="24"/>
        </w:rPr>
        <w:t xml:space="preserve"> jednakih mogućnosti, nastavljeno je </w:t>
      </w:r>
      <w:r>
        <w:rPr>
          <w:rFonts w:eastAsiaTheme="minorHAnsi"/>
          <w:sz w:val="24"/>
          <w:szCs w:val="24"/>
        </w:rPr>
        <w:t>pružanje</w:t>
      </w:r>
      <w:r w:rsidRPr="00F6013D">
        <w:rPr>
          <w:rFonts w:eastAsiaTheme="minorHAnsi"/>
          <w:sz w:val="24"/>
          <w:szCs w:val="24"/>
        </w:rPr>
        <w:t xml:space="preserve"> financijske potpore studentima s invaliditetom, pri čemu mjesečni iznos potpore za pokriće troškova prijevoza iznosi 250 eura. Od akademske godine 2023./2024. uvedena je i elektronička prijava za ostvarivanje ove potpore, čime je pojednostavljen pristup pravu i smanjeno administrativno opterećenje studenata. Sve navedene aktivnosti potvrđuju kontinuirani napredak u podizanju kvalitete studentskog standarda, jačanju socijalne uključenosti te modernizaciji usluga u visokom obrazovanju.</w:t>
      </w:r>
    </w:p>
    <w:p w14:paraId="61D2391B" w14:textId="77777777" w:rsidR="00FB178A" w:rsidRPr="0004221B" w:rsidRDefault="00FB178A" w:rsidP="00FB178A">
      <w:pPr>
        <w:widowControl/>
        <w:adjustRightInd w:val="0"/>
        <w:spacing w:line="276" w:lineRule="auto"/>
        <w:ind w:firstLine="720"/>
        <w:jc w:val="both"/>
        <w:rPr>
          <w:rFonts w:eastAsiaTheme="minorHAnsi"/>
          <w:sz w:val="24"/>
          <w:szCs w:val="24"/>
        </w:rPr>
      </w:pPr>
    </w:p>
    <w:p w14:paraId="58E5B851" w14:textId="77777777" w:rsidR="00FB178A" w:rsidRPr="0004221B" w:rsidRDefault="00FB178A" w:rsidP="00FB178A">
      <w:pPr>
        <w:widowControl/>
        <w:adjustRightInd w:val="0"/>
        <w:spacing w:line="276" w:lineRule="auto"/>
        <w:ind w:firstLine="709"/>
        <w:rPr>
          <w:rFonts w:eastAsiaTheme="minorHAnsi"/>
          <w:b/>
          <w:bCs/>
          <w:sz w:val="24"/>
          <w:szCs w:val="24"/>
        </w:rPr>
      </w:pPr>
      <w:r w:rsidRPr="0004221B">
        <w:rPr>
          <w:rFonts w:eastAsiaTheme="minorHAnsi"/>
          <w:b/>
          <w:bCs/>
          <w:sz w:val="24"/>
          <w:szCs w:val="24"/>
        </w:rPr>
        <w:t>Usklađeno i perspektivno tržište rada</w:t>
      </w:r>
    </w:p>
    <w:p w14:paraId="7FDCF0C3" w14:textId="77777777" w:rsidR="00FB178A" w:rsidRDefault="00FB178A" w:rsidP="00FB178A">
      <w:pPr>
        <w:widowControl/>
        <w:adjustRightInd w:val="0"/>
        <w:spacing w:before="240" w:after="240" w:line="276" w:lineRule="auto"/>
        <w:ind w:firstLine="720"/>
        <w:jc w:val="both"/>
        <w:rPr>
          <w:rFonts w:eastAsiaTheme="minorHAnsi"/>
          <w:sz w:val="24"/>
          <w:szCs w:val="24"/>
        </w:rPr>
      </w:pPr>
      <w:r w:rsidRPr="008A146C">
        <w:rPr>
          <w:rFonts w:eastAsiaTheme="minorHAnsi"/>
          <w:sz w:val="24"/>
          <w:szCs w:val="24"/>
        </w:rPr>
        <w:t>Pokazatelji tržišta rada i u 2024. nastav</w:t>
      </w:r>
      <w:r>
        <w:rPr>
          <w:rFonts w:eastAsiaTheme="minorHAnsi"/>
          <w:sz w:val="24"/>
          <w:szCs w:val="24"/>
        </w:rPr>
        <w:t>ili su</w:t>
      </w:r>
      <w:r w:rsidRPr="008A146C">
        <w:rPr>
          <w:rFonts w:eastAsiaTheme="minorHAnsi"/>
          <w:sz w:val="24"/>
          <w:szCs w:val="24"/>
        </w:rPr>
        <w:t xml:space="preserve"> pokazivati izvrsne rezultate. </w:t>
      </w:r>
      <w:r w:rsidRPr="00CB732F">
        <w:rPr>
          <w:rFonts w:eastAsiaTheme="minorHAnsi"/>
          <w:sz w:val="24"/>
          <w:szCs w:val="24"/>
        </w:rPr>
        <w:t>Ubrzan gospodarski rast u 2024. pridonio je porastu broja zaposlenih kao i snažnom rastu plaća. Prema podacima D</w:t>
      </w:r>
      <w:r>
        <w:rPr>
          <w:rFonts w:eastAsiaTheme="minorHAnsi"/>
          <w:sz w:val="24"/>
          <w:szCs w:val="24"/>
        </w:rPr>
        <w:t>ZS-a</w:t>
      </w:r>
      <w:r w:rsidRPr="00CB732F">
        <w:rPr>
          <w:rFonts w:eastAsiaTheme="minorHAnsi"/>
          <w:sz w:val="24"/>
          <w:szCs w:val="24"/>
        </w:rPr>
        <w:t xml:space="preserve">, za razdoblje od siječnja do prosinca 2024. prosječna mjesečna bruto plaća po zaposlenome u pravnim osobama Republike Hrvatske u odnosu na isto razdoblje prethodne godine </w:t>
      </w:r>
      <w:r>
        <w:rPr>
          <w:rFonts w:eastAsiaTheme="minorHAnsi"/>
          <w:sz w:val="24"/>
          <w:szCs w:val="24"/>
        </w:rPr>
        <w:t xml:space="preserve">bila je </w:t>
      </w:r>
      <w:r w:rsidRPr="00CB732F">
        <w:rPr>
          <w:rFonts w:eastAsiaTheme="minorHAnsi"/>
          <w:sz w:val="24"/>
          <w:szCs w:val="24"/>
        </w:rPr>
        <w:t>nominalno viša za 15%</w:t>
      </w:r>
      <w:r>
        <w:rPr>
          <w:rFonts w:eastAsiaTheme="minorHAnsi"/>
          <w:sz w:val="24"/>
          <w:szCs w:val="24"/>
        </w:rPr>
        <w:t xml:space="preserve"> i iznosila je 1.821 euro</w:t>
      </w:r>
      <w:r w:rsidRPr="00CB732F">
        <w:rPr>
          <w:rFonts w:eastAsiaTheme="minorHAnsi"/>
          <w:sz w:val="24"/>
          <w:szCs w:val="24"/>
        </w:rPr>
        <w:t xml:space="preserve">, dok je broj zaposlenih u istom razdoblju porastao za </w:t>
      </w:r>
      <w:r>
        <w:rPr>
          <w:rFonts w:eastAsiaTheme="minorHAnsi"/>
          <w:sz w:val="24"/>
          <w:szCs w:val="24"/>
        </w:rPr>
        <w:t>3,4</w:t>
      </w:r>
      <w:r w:rsidRPr="00CB732F">
        <w:rPr>
          <w:rFonts w:eastAsiaTheme="minorHAnsi"/>
          <w:sz w:val="24"/>
          <w:szCs w:val="24"/>
        </w:rPr>
        <w:t>%.</w:t>
      </w:r>
      <w:r>
        <w:rPr>
          <w:rFonts w:eastAsiaTheme="minorHAnsi"/>
          <w:sz w:val="24"/>
          <w:szCs w:val="24"/>
        </w:rPr>
        <w:t xml:space="preserve"> </w:t>
      </w:r>
      <w:r w:rsidRPr="008A146C">
        <w:rPr>
          <w:rFonts w:eastAsiaTheme="minorHAnsi"/>
          <w:sz w:val="24"/>
          <w:szCs w:val="24"/>
        </w:rPr>
        <w:t>Prema podacima Hrvatskog zavoda za zapošljavanje</w:t>
      </w:r>
      <w:r>
        <w:rPr>
          <w:rFonts w:eastAsiaTheme="minorHAnsi"/>
          <w:sz w:val="24"/>
          <w:szCs w:val="24"/>
        </w:rPr>
        <w:t xml:space="preserve"> (HZZ)</w:t>
      </w:r>
      <w:r w:rsidRPr="008A146C">
        <w:rPr>
          <w:rFonts w:eastAsiaTheme="minorHAnsi"/>
          <w:sz w:val="24"/>
          <w:szCs w:val="24"/>
        </w:rPr>
        <w:t>, prosječni broj nezaposlenih osoba u 2024. iznosio je 95.299 osoba</w:t>
      </w:r>
      <w:r>
        <w:rPr>
          <w:rFonts w:eastAsiaTheme="minorHAnsi"/>
          <w:sz w:val="24"/>
          <w:szCs w:val="24"/>
        </w:rPr>
        <w:t>,</w:t>
      </w:r>
      <w:r w:rsidRPr="008A146C">
        <w:rPr>
          <w:rFonts w:eastAsiaTheme="minorHAnsi"/>
          <w:sz w:val="24"/>
          <w:szCs w:val="24"/>
        </w:rPr>
        <w:t xml:space="preserve"> što </w:t>
      </w:r>
      <w:r>
        <w:rPr>
          <w:rFonts w:eastAsiaTheme="minorHAnsi"/>
          <w:sz w:val="24"/>
          <w:szCs w:val="24"/>
        </w:rPr>
        <w:t>predstavlja</w:t>
      </w:r>
      <w:r w:rsidRPr="008A146C">
        <w:rPr>
          <w:rFonts w:eastAsiaTheme="minorHAnsi"/>
          <w:sz w:val="24"/>
          <w:szCs w:val="24"/>
        </w:rPr>
        <w:t xml:space="preserve"> smanjenje </w:t>
      </w:r>
      <w:r>
        <w:rPr>
          <w:rFonts w:eastAsiaTheme="minorHAnsi"/>
          <w:sz w:val="24"/>
          <w:szCs w:val="24"/>
        </w:rPr>
        <w:t xml:space="preserve">za </w:t>
      </w:r>
      <w:r w:rsidRPr="008A146C">
        <w:rPr>
          <w:rFonts w:eastAsiaTheme="minorHAnsi"/>
          <w:sz w:val="24"/>
          <w:szCs w:val="24"/>
        </w:rPr>
        <w:t xml:space="preserve">13.622 osobe u odnosu na 2023. godinu. Istovremeno, prema podacima Hrvatskog zavoda za mirovinsko osiguranje, prosječni broj osiguranika u 2024. iznosio </w:t>
      </w:r>
      <w:r>
        <w:rPr>
          <w:rFonts w:eastAsiaTheme="minorHAnsi"/>
          <w:sz w:val="24"/>
          <w:szCs w:val="24"/>
        </w:rPr>
        <w:t xml:space="preserve">je </w:t>
      </w:r>
      <w:r w:rsidRPr="008A146C">
        <w:rPr>
          <w:rFonts w:eastAsiaTheme="minorHAnsi"/>
          <w:sz w:val="24"/>
          <w:szCs w:val="24"/>
        </w:rPr>
        <w:t>1.707.303 osoba</w:t>
      </w:r>
      <w:r>
        <w:rPr>
          <w:rFonts w:eastAsiaTheme="minorHAnsi"/>
          <w:sz w:val="24"/>
          <w:szCs w:val="24"/>
        </w:rPr>
        <w:t xml:space="preserve"> te je</w:t>
      </w:r>
      <w:r w:rsidRPr="008A146C">
        <w:rPr>
          <w:rFonts w:eastAsiaTheme="minorHAnsi"/>
          <w:sz w:val="24"/>
          <w:szCs w:val="24"/>
        </w:rPr>
        <w:t xml:space="preserve"> poveća</w:t>
      </w:r>
      <w:r>
        <w:rPr>
          <w:rFonts w:eastAsiaTheme="minorHAnsi"/>
          <w:sz w:val="24"/>
          <w:szCs w:val="24"/>
        </w:rPr>
        <w:t>n</w:t>
      </w:r>
      <w:r w:rsidRPr="008A146C">
        <w:rPr>
          <w:rFonts w:eastAsiaTheme="minorHAnsi"/>
          <w:sz w:val="24"/>
          <w:szCs w:val="24"/>
        </w:rPr>
        <w:t xml:space="preserve"> za gotovo 55</w:t>
      </w:r>
      <w:r>
        <w:rPr>
          <w:rFonts w:eastAsiaTheme="minorHAnsi"/>
          <w:sz w:val="24"/>
          <w:szCs w:val="24"/>
        </w:rPr>
        <w:t>.000</w:t>
      </w:r>
      <w:r w:rsidRPr="008A146C">
        <w:rPr>
          <w:rFonts w:eastAsiaTheme="minorHAnsi"/>
          <w:sz w:val="24"/>
          <w:szCs w:val="24"/>
        </w:rPr>
        <w:t xml:space="preserve"> u odnosu na 2023. godinu.</w:t>
      </w:r>
      <w:r>
        <w:rPr>
          <w:rFonts w:eastAsiaTheme="minorHAnsi"/>
          <w:sz w:val="24"/>
          <w:szCs w:val="24"/>
        </w:rPr>
        <w:t xml:space="preserve"> </w:t>
      </w:r>
      <w:r w:rsidRPr="008A146C">
        <w:rPr>
          <w:rFonts w:eastAsiaTheme="minorHAnsi"/>
          <w:sz w:val="24"/>
          <w:szCs w:val="24"/>
        </w:rPr>
        <w:t xml:space="preserve">Stopa zaposlenosti </w:t>
      </w:r>
      <w:r>
        <w:rPr>
          <w:rFonts w:eastAsiaTheme="minorHAnsi"/>
          <w:sz w:val="24"/>
          <w:szCs w:val="24"/>
        </w:rPr>
        <w:t xml:space="preserve">u dobnoj skupini </w:t>
      </w:r>
      <w:r w:rsidRPr="008A146C">
        <w:rPr>
          <w:rFonts w:eastAsiaTheme="minorHAnsi"/>
          <w:sz w:val="24"/>
          <w:szCs w:val="24"/>
        </w:rPr>
        <w:t>20</w:t>
      </w:r>
      <w:r>
        <w:rPr>
          <w:rFonts w:eastAsiaTheme="minorHAnsi"/>
          <w:sz w:val="24"/>
          <w:szCs w:val="24"/>
        </w:rPr>
        <w:t xml:space="preserve"> </w:t>
      </w:r>
      <w:r w:rsidRPr="008A146C">
        <w:rPr>
          <w:rFonts w:eastAsiaTheme="minorHAnsi"/>
          <w:sz w:val="24"/>
          <w:szCs w:val="24"/>
        </w:rPr>
        <w:t>-</w:t>
      </w:r>
      <w:r>
        <w:rPr>
          <w:rFonts w:eastAsiaTheme="minorHAnsi"/>
          <w:sz w:val="24"/>
          <w:szCs w:val="24"/>
        </w:rPr>
        <w:t xml:space="preserve"> </w:t>
      </w:r>
      <w:r w:rsidRPr="008A146C">
        <w:rPr>
          <w:rFonts w:eastAsiaTheme="minorHAnsi"/>
          <w:sz w:val="24"/>
          <w:szCs w:val="24"/>
        </w:rPr>
        <w:t xml:space="preserve">64 u </w:t>
      </w:r>
      <w:r>
        <w:rPr>
          <w:rFonts w:eastAsiaTheme="minorHAnsi"/>
          <w:sz w:val="24"/>
          <w:szCs w:val="24"/>
        </w:rPr>
        <w:t>Hrvatskoj je</w:t>
      </w:r>
      <w:r w:rsidRPr="008A146C">
        <w:rPr>
          <w:rFonts w:eastAsiaTheme="minorHAnsi"/>
          <w:sz w:val="24"/>
          <w:szCs w:val="24"/>
        </w:rPr>
        <w:t xml:space="preserve"> za 2024. iznosila 73,6% te je bila za 2,</w:t>
      </w:r>
      <w:r>
        <w:rPr>
          <w:rFonts w:eastAsiaTheme="minorHAnsi"/>
          <w:sz w:val="24"/>
          <w:szCs w:val="24"/>
        </w:rPr>
        <w:t>8</w:t>
      </w:r>
      <w:r w:rsidRPr="008A146C">
        <w:rPr>
          <w:rFonts w:eastAsiaTheme="minorHAnsi"/>
          <w:sz w:val="24"/>
          <w:szCs w:val="24"/>
        </w:rPr>
        <w:t xml:space="preserve"> postotn</w:t>
      </w:r>
      <w:r>
        <w:rPr>
          <w:rFonts w:eastAsiaTheme="minorHAnsi"/>
          <w:sz w:val="24"/>
          <w:szCs w:val="24"/>
        </w:rPr>
        <w:t>ih</w:t>
      </w:r>
      <w:r w:rsidRPr="008A146C">
        <w:rPr>
          <w:rFonts w:eastAsiaTheme="minorHAnsi"/>
          <w:sz w:val="24"/>
          <w:szCs w:val="24"/>
        </w:rPr>
        <w:t xml:space="preserve"> bod</w:t>
      </w:r>
      <w:r>
        <w:rPr>
          <w:rFonts w:eastAsiaTheme="minorHAnsi"/>
          <w:sz w:val="24"/>
          <w:szCs w:val="24"/>
        </w:rPr>
        <w:t>ova</w:t>
      </w:r>
      <w:r w:rsidRPr="008A146C">
        <w:rPr>
          <w:rFonts w:eastAsiaTheme="minorHAnsi"/>
          <w:sz w:val="24"/>
          <w:szCs w:val="24"/>
        </w:rPr>
        <w:t xml:space="preserve"> </w:t>
      </w:r>
      <w:r>
        <w:rPr>
          <w:rFonts w:eastAsiaTheme="minorHAnsi"/>
          <w:sz w:val="24"/>
          <w:szCs w:val="24"/>
        </w:rPr>
        <w:t xml:space="preserve">viša u odnosu na 2023. (70,8%). Istovremeno, </w:t>
      </w:r>
      <w:r w:rsidRPr="008A146C">
        <w:rPr>
          <w:rFonts w:eastAsiaTheme="minorHAnsi"/>
          <w:sz w:val="24"/>
          <w:szCs w:val="24"/>
        </w:rPr>
        <w:t xml:space="preserve"> </w:t>
      </w:r>
      <w:r>
        <w:rPr>
          <w:rFonts w:eastAsiaTheme="minorHAnsi"/>
          <w:sz w:val="24"/>
          <w:szCs w:val="24"/>
        </w:rPr>
        <w:t xml:space="preserve">razlika </w:t>
      </w:r>
      <w:r w:rsidRPr="008A146C">
        <w:rPr>
          <w:rFonts w:eastAsiaTheme="minorHAnsi"/>
          <w:sz w:val="24"/>
          <w:szCs w:val="24"/>
        </w:rPr>
        <w:t>u odnosu na</w:t>
      </w:r>
      <w:r>
        <w:rPr>
          <w:rFonts w:eastAsiaTheme="minorHAnsi"/>
          <w:sz w:val="24"/>
          <w:szCs w:val="24"/>
        </w:rPr>
        <w:t xml:space="preserve"> prosjek</w:t>
      </w:r>
      <w:r w:rsidRPr="008A146C">
        <w:rPr>
          <w:rFonts w:eastAsiaTheme="minorHAnsi"/>
          <w:sz w:val="24"/>
          <w:szCs w:val="24"/>
        </w:rPr>
        <w:t xml:space="preserve"> EU</w:t>
      </w:r>
      <w:r>
        <w:rPr>
          <w:rFonts w:eastAsiaTheme="minorHAnsi"/>
          <w:sz w:val="24"/>
          <w:szCs w:val="24"/>
        </w:rPr>
        <w:t xml:space="preserve">-a je tijekom 2024. iznosila 2,2% (EU 75,8%) te se </w:t>
      </w:r>
      <w:r w:rsidRPr="008A146C">
        <w:rPr>
          <w:rFonts w:eastAsiaTheme="minorHAnsi"/>
          <w:sz w:val="24"/>
          <w:szCs w:val="24"/>
        </w:rPr>
        <w:t xml:space="preserve"> </w:t>
      </w:r>
      <w:r>
        <w:rPr>
          <w:rFonts w:eastAsiaTheme="minorHAnsi"/>
          <w:sz w:val="24"/>
          <w:szCs w:val="24"/>
        </w:rPr>
        <w:t>prepolovila</w:t>
      </w:r>
      <w:r w:rsidRPr="008A146C">
        <w:rPr>
          <w:rFonts w:eastAsiaTheme="minorHAnsi"/>
          <w:sz w:val="24"/>
          <w:szCs w:val="24"/>
        </w:rPr>
        <w:t xml:space="preserve"> u odnosu na </w:t>
      </w:r>
      <w:r>
        <w:rPr>
          <w:rFonts w:eastAsiaTheme="minorHAnsi"/>
          <w:sz w:val="24"/>
          <w:szCs w:val="24"/>
        </w:rPr>
        <w:t xml:space="preserve">razliku iz </w:t>
      </w:r>
      <w:r w:rsidRPr="008A146C">
        <w:rPr>
          <w:rFonts w:eastAsiaTheme="minorHAnsi"/>
          <w:sz w:val="24"/>
          <w:szCs w:val="24"/>
        </w:rPr>
        <w:t>2023.</w:t>
      </w:r>
      <w:r>
        <w:rPr>
          <w:rFonts w:eastAsiaTheme="minorHAnsi"/>
          <w:sz w:val="24"/>
          <w:szCs w:val="24"/>
        </w:rPr>
        <w:t xml:space="preserve"> (4,5%)</w:t>
      </w:r>
      <w:r w:rsidRPr="008A146C">
        <w:rPr>
          <w:rFonts w:eastAsiaTheme="minorHAnsi"/>
          <w:sz w:val="24"/>
          <w:szCs w:val="24"/>
        </w:rPr>
        <w:t xml:space="preserve">. </w:t>
      </w:r>
      <w:r w:rsidRPr="0025303D">
        <w:rPr>
          <w:rFonts w:eastAsiaTheme="minorHAnsi"/>
          <w:sz w:val="24"/>
          <w:szCs w:val="24"/>
        </w:rPr>
        <w:t xml:space="preserve">Prema evidenciji </w:t>
      </w:r>
      <w:r>
        <w:rPr>
          <w:rFonts w:eastAsiaTheme="minorHAnsi"/>
          <w:sz w:val="24"/>
          <w:szCs w:val="24"/>
        </w:rPr>
        <w:t>H</w:t>
      </w:r>
      <w:r w:rsidRPr="0025303D">
        <w:rPr>
          <w:rFonts w:eastAsiaTheme="minorHAnsi"/>
          <w:sz w:val="24"/>
          <w:szCs w:val="24"/>
        </w:rPr>
        <w:t>ZZ-a</w:t>
      </w:r>
      <w:r>
        <w:rPr>
          <w:rFonts w:eastAsiaTheme="minorHAnsi"/>
          <w:sz w:val="24"/>
          <w:szCs w:val="24"/>
        </w:rPr>
        <w:t>, tijekom</w:t>
      </w:r>
      <w:r w:rsidRPr="0025303D">
        <w:rPr>
          <w:rFonts w:eastAsiaTheme="minorHAnsi"/>
          <w:sz w:val="24"/>
          <w:szCs w:val="24"/>
        </w:rPr>
        <w:t xml:space="preserve"> 2024. zaposleno je 4.399 osoba s invaliditetom, što predstavlja porast od 20,7% u odnosu na 2023., dok je istodobno u Očevidniku zaposlenih osoba s invaliditetom na dan 31. prosinca 2024. evidentirano 19.328 zaposlenih osoba, odnosno 15,6% više nego </w:t>
      </w:r>
      <w:r>
        <w:rPr>
          <w:rFonts w:eastAsiaTheme="minorHAnsi"/>
          <w:sz w:val="24"/>
          <w:szCs w:val="24"/>
        </w:rPr>
        <w:t>u 2023.</w:t>
      </w:r>
      <w:r w:rsidRPr="0025303D">
        <w:rPr>
          <w:rFonts w:eastAsiaTheme="minorHAnsi"/>
          <w:sz w:val="24"/>
          <w:szCs w:val="24"/>
        </w:rPr>
        <w:t xml:space="preserve"> </w:t>
      </w:r>
      <w:r>
        <w:rPr>
          <w:rFonts w:eastAsiaTheme="minorHAnsi"/>
          <w:sz w:val="24"/>
          <w:szCs w:val="24"/>
        </w:rPr>
        <w:t>godini</w:t>
      </w:r>
      <w:r w:rsidRPr="0025303D">
        <w:rPr>
          <w:rFonts w:eastAsiaTheme="minorHAnsi"/>
          <w:sz w:val="24"/>
          <w:szCs w:val="24"/>
        </w:rPr>
        <w:t>.</w:t>
      </w:r>
    </w:p>
    <w:p w14:paraId="5A0D53E9" w14:textId="77777777" w:rsidR="00FB178A" w:rsidRDefault="00FB178A" w:rsidP="00FB178A">
      <w:pPr>
        <w:widowControl/>
        <w:adjustRightInd w:val="0"/>
        <w:spacing w:after="240" w:line="276" w:lineRule="auto"/>
        <w:jc w:val="both"/>
        <w:rPr>
          <w:rFonts w:eastAsiaTheme="minorHAnsi"/>
          <w:sz w:val="24"/>
          <w:szCs w:val="24"/>
        </w:rPr>
      </w:pPr>
      <w:r w:rsidRPr="004147BB">
        <w:rPr>
          <w:rFonts w:eastAsiaTheme="minorHAnsi"/>
          <w:sz w:val="24"/>
          <w:szCs w:val="24"/>
        </w:rPr>
        <w:t xml:space="preserve">Tijekom 2024. </w:t>
      </w:r>
      <w:r>
        <w:rPr>
          <w:rFonts w:eastAsiaTheme="minorHAnsi"/>
          <w:sz w:val="24"/>
          <w:szCs w:val="24"/>
        </w:rPr>
        <w:t>nastavljeni su napori i reformski procesi</w:t>
      </w:r>
      <w:r w:rsidRPr="004147BB">
        <w:rPr>
          <w:rFonts w:eastAsiaTheme="minorHAnsi"/>
          <w:sz w:val="24"/>
          <w:szCs w:val="24"/>
        </w:rPr>
        <w:t xml:space="preserve"> usmjeren</w:t>
      </w:r>
      <w:r>
        <w:rPr>
          <w:rFonts w:eastAsiaTheme="minorHAnsi"/>
          <w:sz w:val="24"/>
          <w:szCs w:val="24"/>
        </w:rPr>
        <w:t>i prema</w:t>
      </w:r>
      <w:r w:rsidRPr="004147BB">
        <w:rPr>
          <w:rFonts w:eastAsiaTheme="minorHAnsi"/>
          <w:sz w:val="24"/>
          <w:szCs w:val="24"/>
        </w:rPr>
        <w:t xml:space="preserve"> jačanju povezanosti obrazovnog sustava s tržištem rada i povećanju </w:t>
      </w:r>
      <w:proofErr w:type="spellStart"/>
      <w:r w:rsidRPr="004147BB">
        <w:rPr>
          <w:rFonts w:eastAsiaTheme="minorHAnsi"/>
          <w:sz w:val="24"/>
          <w:szCs w:val="24"/>
        </w:rPr>
        <w:t>zapošljivosti</w:t>
      </w:r>
      <w:proofErr w:type="spellEnd"/>
      <w:r w:rsidRPr="004147BB">
        <w:rPr>
          <w:rFonts w:eastAsiaTheme="minorHAnsi"/>
          <w:sz w:val="24"/>
          <w:szCs w:val="24"/>
        </w:rPr>
        <w:t xml:space="preserve"> osoba svih dobi. </w:t>
      </w:r>
      <w:r w:rsidRPr="000D249E">
        <w:rPr>
          <w:rFonts w:eastAsiaTheme="minorHAnsi"/>
          <w:sz w:val="24"/>
          <w:szCs w:val="24"/>
        </w:rPr>
        <w:t>Trendovi sudjelovanja odraslih u učenj</w:t>
      </w:r>
      <w:r>
        <w:rPr>
          <w:rFonts w:eastAsiaTheme="minorHAnsi"/>
          <w:sz w:val="24"/>
          <w:szCs w:val="24"/>
        </w:rPr>
        <w:t xml:space="preserve">u nastavljaju </w:t>
      </w:r>
      <w:r w:rsidRPr="000D249E">
        <w:rPr>
          <w:rFonts w:eastAsiaTheme="minorHAnsi"/>
          <w:sz w:val="24"/>
          <w:szCs w:val="24"/>
        </w:rPr>
        <w:t>pokaz</w:t>
      </w:r>
      <w:r>
        <w:rPr>
          <w:rFonts w:eastAsiaTheme="minorHAnsi"/>
          <w:sz w:val="24"/>
          <w:szCs w:val="24"/>
        </w:rPr>
        <w:t xml:space="preserve">ivati </w:t>
      </w:r>
      <w:r w:rsidRPr="000D249E">
        <w:rPr>
          <w:rFonts w:eastAsiaTheme="minorHAnsi"/>
          <w:sz w:val="24"/>
          <w:szCs w:val="24"/>
        </w:rPr>
        <w:t>pozitivn</w:t>
      </w:r>
      <w:r>
        <w:rPr>
          <w:rFonts w:eastAsiaTheme="minorHAnsi"/>
          <w:sz w:val="24"/>
          <w:szCs w:val="24"/>
        </w:rPr>
        <w:t>e</w:t>
      </w:r>
      <w:r w:rsidRPr="000D249E">
        <w:rPr>
          <w:rFonts w:eastAsiaTheme="minorHAnsi"/>
          <w:sz w:val="24"/>
          <w:szCs w:val="24"/>
        </w:rPr>
        <w:t xml:space="preserve"> pomak</w:t>
      </w:r>
      <w:r>
        <w:rPr>
          <w:rFonts w:eastAsiaTheme="minorHAnsi"/>
          <w:sz w:val="24"/>
          <w:szCs w:val="24"/>
        </w:rPr>
        <w:t>e</w:t>
      </w:r>
      <w:r w:rsidRPr="000D249E">
        <w:rPr>
          <w:rFonts w:eastAsiaTheme="minorHAnsi"/>
          <w:sz w:val="24"/>
          <w:szCs w:val="24"/>
        </w:rPr>
        <w:t xml:space="preserve">, uključujući rast stope sudjelovanja u učenju </w:t>
      </w:r>
      <w:r>
        <w:rPr>
          <w:rFonts w:eastAsiaTheme="minorHAnsi"/>
          <w:sz w:val="24"/>
          <w:szCs w:val="24"/>
        </w:rPr>
        <w:t xml:space="preserve">na </w:t>
      </w:r>
      <w:r w:rsidRPr="000D249E">
        <w:rPr>
          <w:rFonts w:eastAsiaTheme="minorHAnsi"/>
          <w:sz w:val="24"/>
          <w:szCs w:val="24"/>
        </w:rPr>
        <w:t>6,6% u 2024.</w:t>
      </w:r>
      <w:r>
        <w:rPr>
          <w:rFonts w:eastAsiaTheme="minorHAnsi"/>
          <w:sz w:val="24"/>
          <w:szCs w:val="24"/>
        </w:rPr>
        <w:t xml:space="preserve"> (6,3% u 2023.)</w:t>
      </w:r>
      <w:r w:rsidRPr="000D249E">
        <w:rPr>
          <w:rFonts w:eastAsiaTheme="minorHAnsi"/>
          <w:sz w:val="24"/>
          <w:szCs w:val="24"/>
        </w:rPr>
        <w:t xml:space="preserve"> te stabilan porast broja polaznika i dostupnih </w:t>
      </w:r>
      <w:r>
        <w:rPr>
          <w:rFonts w:eastAsiaTheme="minorHAnsi"/>
          <w:sz w:val="24"/>
          <w:szCs w:val="24"/>
        </w:rPr>
        <w:t xml:space="preserve">obrazovnih </w:t>
      </w:r>
      <w:r w:rsidRPr="000D249E">
        <w:rPr>
          <w:rFonts w:eastAsiaTheme="minorHAnsi"/>
          <w:sz w:val="24"/>
          <w:szCs w:val="24"/>
        </w:rPr>
        <w:t xml:space="preserve">programa u sustavu vaučera. </w:t>
      </w:r>
      <w:r>
        <w:rPr>
          <w:rFonts w:eastAsiaTheme="minorHAnsi"/>
          <w:sz w:val="24"/>
          <w:szCs w:val="24"/>
        </w:rPr>
        <w:t>S</w:t>
      </w:r>
      <w:r w:rsidRPr="005B679B">
        <w:rPr>
          <w:rFonts w:eastAsiaTheme="minorHAnsi"/>
          <w:sz w:val="24"/>
          <w:szCs w:val="24"/>
        </w:rPr>
        <w:t xml:space="preserve"> ciljem podizanja kvalitete obrazovanja i povećanja obuhvata odraslih osoba koje sudjeluju u cjeloživotnom učenju </w:t>
      </w:r>
      <w:r>
        <w:rPr>
          <w:rFonts w:eastAsiaTheme="minorHAnsi"/>
          <w:sz w:val="24"/>
          <w:szCs w:val="24"/>
        </w:rPr>
        <w:t>tijekom 2024. nastavljeni su r</w:t>
      </w:r>
      <w:r w:rsidRPr="00522297">
        <w:rPr>
          <w:rFonts w:eastAsiaTheme="minorHAnsi"/>
          <w:sz w:val="24"/>
          <w:szCs w:val="24"/>
        </w:rPr>
        <w:t xml:space="preserve">eformski procesi u području obrazovanja u skladu s </w:t>
      </w:r>
      <w:r>
        <w:rPr>
          <w:rFonts w:eastAsiaTheme="minorHAnsi"/>
          <w:sz w:val="24"/>
          <w:szCs w:val="24"/>
        </w:rPr>
        <w:t xml:space="preserve">odredbama </w:t>
      </w:r>
      <w:r w:rsidRPr="00522297">
        <w:rPr>
          <w:rFonts w:eastAsiaTheme="minorHAnsi"/>
          <w:sz w:val="24"/>
          <w:szCs w:val="24"/>
        </w:rPr>
        <w:t>Zakon</w:t>
      </w:r>
      <w:r>
        <w:rPr>
          <w:rFonts w:eastAsiaTheme="minorHAnsi"/>
          <w:sz w:val="24"/>
          <w:szCs w:val="24"/>
        </w:rPr>
        <w:t>a</w:t>
      </w:r>
      <w:r w:rsidRPr="00522297">
        <w:rPr>
          <w:rFonts w:eastAsiaTheme="minorHAnsi"/>
          <w:sz w:val="24"/>
          <w:szCs w:val="24"/>
        </w:rPr>
        <w:t xml:space="preserve"> o obrazovanju odraslih</w:t>
      </w:r>
      <w:r>
        <w:rPr>
          <w:rFonts w:eastAsiaTheme="minorHAnsi"/>
          <w:sz w:val="24"/>
          <w:szCs w:val="24"/>
        </w:rPr>
        <w:t xml:space="preserve"> („Narodne novine“, broj 144/21.)</w:t>
      </w:r>
      <w:r w:rsidRPr="00522297">
        <w:rPr>
          <w:rFonts w:eastAsiaTheme="minorHAnsi"/>
          <w:sz w:val="24"/>
          <w:szCs w:val="24"/>
        </w:rPr>
        <w:t xml:space="preserve">. U svrhu poticanja većeg uključivanja odraslih u obrazovanje </w:t>
      </w:r>
      <w:r w:rsidRPr="004F091F">
        <w:rPr>
          <w:rFonts w:eastAsiaTheme="minorHAnsi"/>
          <w:sz w:val="24"/>
          <w:szCs w:val="24"/>
        </w:rPr>
        <w:t xml:space="preserve">u svibnju 2024. </w:t>
      </w:r>
      <w:r>
        <w:rPr>
          <w:rFonts w:eastAsiaTheme="minorHAnsi"/>
          <w:sz w:val="24"/>
          <w:szCs w:val="24"/>
        </w:rPr>
        <w:t>usvojen je</w:t>
      </w:r>
      <w:r w:rsidRPr="004F091F">
        <w:rPr>
          <w:rFonts w:eastAsiaTheme="minorHAnsi"/>
          <w:sz w:val="24"/>
          <w:szCs w:val="24"/>
        </w:rPr>
        <w:t xml:space="preserve"> Pravilnik o načinu prijave i provođenju vrednovanja prethodnog učenja</w:t>
      </w:r>
      <w:r>
        <w:rPr>
          <w:rFonts w:eastAsiaTheme="minorHAnsi"/>
          <w:sz w:val="24"/>
          <w:szCs w:val="24"/>
        </w:rPr>
        <w:t xml:space="preserve"> („Narodne novine“, broj</w:t>
      </w:r>
      <w:r w:rsidRPr="00DC451F">
        <w:rPr>
          <w:rFonts w:eastAsiaTheme="minorHAnsi"/>
          <w:sz w:val="24"/>
          <w:szCs w:val="24"/>
        </w:rPr>
        <w:t xml:space="preserve"> 79/24</w:t>
      </w:r>
      <w:r>
        <w:rPr>
          <w:rFonts w:eastAsiaTheme="minorHAnsi"/>
          <w:sz w:val="24"/>
          <w:szCs w:val="24"/>
        </w:rPr>
        <w:t>.), čime je</w:t>
      </w:r>
      <w:r w:rsidRPr="002C1416">
        <w:rPr>
          <w:rFonts w:eastAsiaTheme="minorHAnsi"/>
          <w:sz w:val="24"/>
          <w:szCs w:val="24"/>
        </w:rPr>
        <w:t xml:space="preserve"> </w:t>
      </w:r>
      <w:r>
        <w:rPr>
          <w:rFonts w:eastAsiaTheme="minorHAnsi"/>
          <w:sz w:val="24"/>
          <w:szCs w:val="24"/>
        </w:rPr>
        <w:t>proveden</w:t>
      </w:r>
      <w:r w:rsidRPr="002C1416">
        <w:rPr>
          <w:rFonts w:eastAsiaTheme="minorHAnsi"/>
          <w:sz w:val="24"/>
          <w:szCs w:val="24"/>
        </w:rPr>
        <w:t xml:space="preserve"> ključni korak za razvoj sustava priznavanja prethodnog učenj</w:t>
      </w:r>
      <w:r>
        <w:rPr>
          <w:rFonts w:eastAsiaTheme="minorHAnsi"/>
          <w:sz w:val="24"/>
          <w:szCs w:val="24"/>
        </w:rPr>
        <w:t xml:space="preserve">a kroz </w:t>
      </w:r>
      <w:r w:rsidRPr="00522297">
        <w:rPr>
          <w:rFonts w:eastAsiaTheme="minorHAnsi"/>
          <w:sz w:val="24"/>
          <w:szCs w:val="24"/>
        </w:rPr>
        <w:t>priznavanj</w:t>
      </w:r>
      <w:r>
        <w:rPr>
          <w:rFonts w:eastAsiaTheme="minorHAnsi"/>
          <w:sz w:val="24"/>
          <w:szCs w:val="24"/>
        </w:rPr>
        <w:t xml:space="preserve">e </w:t>
      </w:r>
      <w:r w:rsidRPr="00522297">
        <w:rPr>
          <w:rFonts w:eastAsiaTheme="minorHAnsi"/>
          <w:sz w:val="24"/>
          <w:szCs w:val="24"/>
        </w:rPr>
        <w:t xml:space="preserve">kompetencija stečenih neformalnim i </w:t>
      </w:r>
      <w:proofErr w:type="spellStart"/>
      <w:r w:rsidRPr="00522297">
        <w:rPr>
          <w:rFonts w:eastAsiaTheme="minorHAnsi"/>
          <w:sz w:val="24"/>
          <w:szCs w:val="24"/>
        </w:rPr>
        <w:t>informalnim</w:t>
      </w:r>
      <w:proofErr w:type="spellEnd"/>
      <w:r w:rsidRPr="00522297">
        <w:rPr>
          <w:rFonts w:eastAsiaTheme="minorHAnsi"/>
          <w:sz w:val="24"/>
          <w:szCs w:val="24"/>
        </w:rPr>
        <w:t xml:space="preserve"> učenjem</w:t>
      </w:r>
      <w:r>
        <w:rPr>
          <w:rFonts w:eastAsiaTheme="minorHAnsi"/>
          <w:sz w:val="24"/>
          <w:szCs w:val="24"/>
        </w:rPr>
        <w:t>.</w:t>
      </w:r>
      <w:r w:rsidRPr="00522297">
        <w:rPr>
          <w:rFonts w:eastAsiaTheme="minorHAnsi"/>
          <w:sz w:val="24"/>
          <w:szCs w:val="24"/>
        </w:rPr>
        <w:t xml:space="preserve"> </w:t>
      </w:r>
      <w:r w:rsidRPr="000A1CDB">
        <w:rPr>
          <w:rFonts w:eastAsiaTheme="minorHAnsi"/>
          <w:sz w:val="24"/>
          <w:szCs w:val="24"/>
        </w:rPr>
        <w:t xml:space="preserve">Kao dodatnu potporu ustanovama za obrazovanje odraslih, tijekom 2024. izrađeni su Metodologija za vrednovanje prethodnog učenja, zajedno s pripadajućim Vodičem za ustanove te Obrascem za </w:t>
      </w:r>
      <w:r w:rsidRPr="000A1CDB">
        <w:rPr>
          <w:rFonts w:eastAsiaTheme="minorHAnsi"/>
          <w:sz w:val="24"/>
          <w:szCs w:val="24"/>
        </w:rPr>
        <w:lastRenderedPageBreak/>
        <w:t xml:space="preserve">izradu programa vrednovanja, čime je osiguran jasan i standardiziran okvir za provedbu postupaka stjecanja </w:t>
      </w:r>
      <w:proofErr w:type="spellStart"/>
      <w:r w:rsidRPr="000A1CDB">
        <w:rPr>
          <w:rFonts w:eastAsiaTheme="minorHAnsi"/>
          <w:sz w:val="24"/>
          <w:szCs w:val="24"/>
        </w:rPr>
        <w:t>mikrokvalifikacija</w:t>
      </w:r>
      <w:proofErr w:type="spellEnd"/>
      <w:r w:rsidRPr="000A1CDB">
        <w:rPr>
          <w:rFonts w:eastAsiaTheme="minorHAnsi"/>
          <w:sz w:val="24"/>
          <w:szCs w:val="24"/>
        </w:rPr>
        <w:t xml:space="preserve">, djelomičnih i cjelovitih kvalifikacija. </w:t>
      </w:r>
      <w:r>
        <w:rPr>
          <w:rFonts w:eastAsiaTheme="minorHAnsi"/>
          <w:sz w:val="24"/>
          <w:szCs w:val="24"/>
        </w:rPr>
        <w:t>Do kraja 2024. izdano je</w:t>
      </w:r>
      <w:r w:rsidRPr="00B8629E">
        <w:rPr>
          <w:rFonts w:eastAsiaTheme="minorHAnsi"/>
          <w:sz w:val="24"/>
          <w:szCs w:val="24"/>
        </w:rPr>
        <w:t xml:space="preserve"> stručno mišljenje za gotovo </w:t>
      </w:r>
      <w:r>
        <w:rPr>
          <w:rFonts w:eastAsiaTheme="minorHAnsi"/>
          <w:sz w:val="24"/>
          <w:szCs w:val="24"/>
        </w:rPr>
        <w:t>2.000</w:t>
      </w:r>
      <w:r w:rsidRPr="00B8629E">
        <w:rPr>
          <w:rFonts w:eastAsiaTheme="minorHAnsi"/>
          <w:sz w:val="24"/>
          <w:szCs w:val="24"/>
        </w:rPr>
        <w:t xml:space="preserve"> programa obrazovanja, od čega najveći udio čine </w:t>
      </w:r>
      <w:proofErr w:type="spellStart"/>
      <w:r w:rsidRPr="00B8629E">
        <w:rPr>
          <w:rFonts w:eastAsiaTheme="minorHAnsi"/>
          <w:sz w:val="24"/>
          <w:szCs w:val="24"/>
        </w:rPr>
        <w:t>mikrokvalifikacije</w:t>
      </w:r>
      <w:proofErr w:type="spellEnd"/>
      <w:r w:rsidRPr="00B8629E">
        <w:rPr>
          <w:rFonts w:eastAsiaTheme="minorHAnsi"/>
          <w:sz w:val="24"/>
          <w:szCs w:val="24"/>
        </w:rPr>
        <w:t xml:space="preserve"> i djelomične kvalifikacije u području digitalnih i zelenih vještina, </w:t>
      </w:r>
      <w:r>
        <w:rPr>
          <w:rFonts w:eastAsiaTheme="minorHAnsi"/>
          <w:sz w:val="24"/>
          <w:szCs w:val="24"/>
        </w:rPr>
        <w:t>što</w:t>
      </w:r>
      <w:r w:rsidRPr="00B8629E">
        <w:rPr>
          <w:rFonts w:eastAsiaTheme="minorHAnsi"/>
          <w:sz w:val="24"/>
          <w:szCs w:val="24"/>
        </w:rPr>
        <w:t xml:space="preserve"> potvrđuje snažnu usmjerenost sustava</w:t>
      </w:r>
      <w:r>
        <w:rPr>
          <w:rFonts w:eastAsiaTheme="minorHAnsi"/>
          <w:sz w:val="24"/>
          <w:szCs w:val="24"/>
        </w:rPr>
        <w:t xml:space="preserve"> obrazovanja odraslih</w:t>
      </w:r>
      <w:r w:rsidRPr="00B8629E">
        <w:rPr>
          <w:rFonts w:eastAsiaTheme="minorHAnsi"/>
          <w:sz w:val="24"/>
          <w:szCs w:val="24"/>
        </w:rPr>
        <w:t xml:space="preserve"> na potrebe gospodarstva i tranzicijske prioritete.</w:t>
      </w:r>
      <w:r>
        <w:rPr>
          <w:rFonts w:eastAsiaTheme="minorHAnsi"/>
          <w:sz w:val="24"/>
          <w:szCs w:val="24"/>
        </w:rPr>
        <w:t xml:space="preserve"> Također, t</w:t>
      </w:r>
      <w:r w:rsidRPr="00211C6E">
        <w:rPr>
          <w:rFonts w:eastAsiaTheme="minorHAnsi"/>
          <w:sz w:val="24"/>
          <w:szCs w:val="24"/>
        </w:rPr>
        <w:t xml:space="preserve">ijekom 2024. pozitivno su vrednovana i u Registar HKO-a upisana 23 </w:t>
      </w:r>
      <w:r>
        <w:rPr>
          <w:rFonts w:eastAsiaTheme="minorHAnsi"/>
          <w:sz w:val="24"/>
          <w:szCs w:val="24"/>
        </w:rPr>
        <w:t xml:space="preserve">nova </w:t>
      </w:r>
      <w:r w:rsidRPr="00211C6E">
        <w:rPr>
          <w:rFonts w:eastAsiaTheme="minorHAnsi"/>
          <w:sz w:val="24"/>
          <w:szCs w:val="24"/>
        </w:rPr>
        <w:t xml:space="preserve">programa cjeloživotnog učenja na razini visokog obrazovanja, </w:t>
      </w:r>
      <w:r>
        <w:rPr>
          <w:rFonts w:eastAsiaTheme="minorHAnsi"/>
          <w:sz w:val="24"/>
          <w:szCs w:val="24"/>
        </w:rPr>
        <w:t>čime se</w:t>
      </w:r>
      <w:r w:rsidRPr="00211C6E">
        <w:rPr>
          <w:rFonts w:eastAsiaTheme="minorHAnsi"/>
          <w:sz w:val="24"/>
          <w:szCs w:val="24"/>
        </w:rPr>
        <w:t xml:space="preserve"> potvrđuje rastuć</w:t>
      </w:r>
      <w:r>
        <w:rPr>
          <w:rFonts w:eastAsiaTheme="minorHAnsi"/>
          <w:sz w:val="24"/>
          <w:szCs w:val="24"/>
        </w:rPr>
        <w:t>a</w:t>
      </w:r>
      <w:r w:rsidRPr="00211C6E">
        <w:rPr>
          <w:rFonts w:eastAsiaTheme="minorHAnsi"/>
          <w:sz w:val="24"/>
          <w:szCs w:val="24"/>
        </w:rPr>
        <w:t xml:space="preserve"> ulogu sveučilišta i veleučilišta u razvoju sustava cjeloživotnog učenja.</w:t>
      </w:r>
      <w:r>
        <w:rPr>
          <w:rFonts w:eastAsiaTheme="minorHAnsi"/>
          <w:sz w:val="24"/>
          <w:szCs w:val="24"/>
        </w:rPr>
        <w:t xml:space="preserve"> Istovremeno, nastavljeni su napori na</w:t>
      </w:r>
      <w:r w:rsidRPr="00522297">
        <w:rPr>
          <w:rFonts w:eastAsiaTheme="minorHAnsi"/>
          <w:sz w:val="24"/>
          <w:szCs w:val="24"/>
        </w:rPr>
        <w:t xml:space="preserve"> razv</w:t>
      </w:r>
      <w:r>
        <w:rPr>
          <w:rFonts w:eastAsiaTheme="minorHAnsi"/>
          <w:sz w:val="24"/>
          <w:szCs w:val="24"/>
        </w:rPr>
        <w:t>oju</w:t>
      </w:r>
      <w:r w:rsidRPr="00522297">
        <w:rPr>
          <w:rFonts w:eastAsiaTheme="minorHAnsi"/>
          <w:sz w:val="24"/>
          <w:szCs w:val="24"/>
        </w:rPr>
        <w:t xml:space="preserve"> alat</w:t>
      </w:r>
      <w:r>
        <w:rPr>
          <w:rFonts w:eastAsiaTheme="minorHAnsi"/>
          <w:sz w:val="24"/>
          <w:szCs w:val="24"/>
        </w:rPr>
        <w:t>a</w:t>
      </w:r>
      <w:r w:rsidRPr="00522297">
        <w:rPr>
          <w:rFonts w:eastAsiaTheme="minorHAnsi"/>
          <w:sz w:val="24"/>
          <w:szCs w:val="24"/>
        </w:rPr>
        <w:t xml:space="preserve"> za priznavanje postojećih vještina, modularni</w:t>
      </w:r>
      <w:r>
        <w:rPr>
          <w:rFonts w:eastAsiaTheme="minorHAnsi"/>
          <w:sz w:val="24"/>
          <w:szCs w:val="24"/>
        </w:rPr>
        <w:t>h</w:t>
      </w:r>
      <w:r w:rsidRPr="00522297">
        <w:rPr>
          <w:rFonts w:eastAsiaTheme="minorHAnsi"/>
          <w:sz w:val="24"/>
          <w:szCs w:val="24"/>
        </w:rPr>
        <w:t xml:space="preserve"> obrazovni</w:t>
      </w:r>
      <w:r>
        <w:rPr>
          <w:rFonts w:eastAsiaTheme="minorHAnsi"/>
          <w:sz w:val="24"/>
          <w:szCs w:val="24"/>
        </w:rPr>
        <w:t>h</w:t>
      </w:r>
      <w:r w:rsidRPr="00522297">
        <w:rPr>
          <w:rFonts w:eastAsiaTheme="minorHAnsi"/>
          <w:sz w:val="24"/>
          <w:szCs w:val="24"/>
        </w:rPr>
        <w:t xml:space="preserve"> program</w:t>
      </w:r>
      <w:r>
        <w:rPr>
          <w:rFonts w:eastAsiaTheme="minorHAnsi"/>
          <w:sz w:val="24"/>
          <w:szCs w:val="24"/>
        </w:rPr>
        <w:t>a</w:t>
      </w:r>
      <w:r w:rsidRPr="00522297">
        <w:rPr>
          <w:rFonts w:eastAsiaTheme="minorHAnsi"/>
          <w:sz w:val="24"/>
          <w:szCs w:val="24"/>
        </w:rPr>
        <w:t xml:space="preserve"> te program</w:t>
      </w:r>
      <w:r>
        <w:rPr>
          <w:rFonts w:eastAsiaTheme="minorHAnsi"/>
          <w:sz w:val="24"/>
          <w:szCs w:val="24"/>
        </w:rPr>
        <w:t>a</w:t>
      </w:r>
      <w:r w:rsidRPr="00522297">
        <w:rPr>
          <w:rFonts w:eastAsiaTheme="minorHAnsi"/>
          <w:sz w:val="24"/>
          <w:szCs w:val="24"/>
        </w:rPr>
        <w:t xml:space="preserve"> namijenjeni</w:t>
      </w:r>
      <w:r>
        <w:rPr>
          <w:rFonts w:eastAsiaTheme="minorHAnsi"/>
          <w:sz w:val="24"/>
          <w:szCs w:val="24"/>
        </w:rPr>
        <w:t>h</w:t>
      </w:r>
      <w:r w:rsidRPr="00522297">
        <w:rPr>
          <w:rFonts w:eastAsiaTheme="minorHAnsi"/>
          <w:sz w:val="24"/>
          <w:szCs w:val="24"/>
        </w:rPr>
        <w:t xml:space="preserve"> priznavanju kvalifikacija radnika imigranata kako bi njihov ulazak na tržište rada bio brži i učinkovitiji.</w:t>
      </w:r>
      <w:r>
        <w:rPr>
          <w:rFonts w:eastAsiaTheme="minorHAnsi"/>
          <w:sz w:val="24"/>
          <w:szCs w:val="24"/>
        </w:rPr>
        <w:t xml:space="preserve"> </w:t>
      </w:r>
      <w:r w:rsidRPr="000B6D2B">
        <w:rPr>
          <w:rFonts w:eastAsiaTheme="minorHAnsi"/>
          <w:sz w:val="24"/>
          <w:szCs w:val="24"/>
        </w:rPr>
        <w:t xml:space="preserve">Nastavljena je i snažna promocija cjeloživotnog učenja kroz nacionalnu kampanju </w:t>
      </w:r>
      <w:r>
        <w:rPr>
          <w:rFonts w:eastAsiaTheme="minorHAnsi"/>
          <w:sz w:val="24"/>
          <w:szCs w:val="24"/>
        </w:rPr>
        <w:t>„</w:t>
      </w:r>
      <w:r w:rsidRPr="000B6D2B">
        <w:rPr>
          <w:rFonts w:eastAsiaTheme="minorHAnsi"/>
          <w:sz w:val="24"/>
          <w:szCs w:val="24"/>
        </w:rPr>
        <w:t>Tjedan cjeloživotnog učenja</w:t>
      </w:r>
      <w:r>
        <w:rPr>
          <w:rFonts w:eastAsiaTheme="minorHAnsi"/>
          <w:sz w:val="24"/>
          <w:szCs w:val="24"/>
        </w:rPr>
        <w:t>“</w:t>
      </w:r>
      <w:r w:rsidRPr="000B6D2B">
        <w:rPr>
          <w:rFonts w:eastAsiaTheme="minorHAnsi"/>
          <w:sz w:val="24"/>
          <w:szCs w:val="24"/>
        </w:rPr>
        <w:t xml:space="preserve">, koja je </w:t>
      </w:r>
      <w:r>
        <w:rPr>
          <w:rFonts w:eastAsiaTheme="minorHAnsi"/>
          <w:sz w:val="24"/>
          <w:szCs w:val="24"/>
        </w:rPr>
        <w:t xml:space="preserve">tijekom </w:t>
      </w:r>
      <w:r w:rsidRPr="000B6D2B">
        <w:rPr>
          <w:rFonts w:eastAsiaTheme="minorHAnsi"/>
          <w:sz w:val="24"/>
          <w:szCs w:val="24"/>
        </w:rPr>
        <w:t>2024. okupila više od 700 institucija i ponudila više od 7</w:t>
      </w:r>
      <w:r>
        <w:rPr>
          <w:rFonts w:eastAsiaTheme="minorHAnsi"/>
          <w:sz w:val="24"/>
          <w:szCs w:val="24"/>
        </w:rPr>
        <w:t>20</w:t>
      </w:r>
      <w:r w:rsidRPr="000B6D2B">
        <w:rPr>
          <w:rFonts w:eastAsiaTheme="minorHAnsi"/>
          <w:sz w:val="24"/>
          <w:szCs w:val="24"/>
        </w:rPr>
        <w:t xml:space="preserve"> događanja diljem Hrvatske, čime je dodatno učvršćena svijest javnosti o važnosti stalnog razvoja kompetencija.</w:t>
      </w:r>
      <w:r>
        <w:rPr>
          <w:rFonts w:eastAsiaTheme="minorHAnsi"/>
          <w:sz w:val="24"/>
          <w:szCs w:val="24"/>
        </w:rPr>
        <w:t xml:space="preserve"> </w:t>
      </w:r>
      <w:r w:rsidRPr="00786BF3">
        <w:rPr>
          <w:rFonts w:eastAsiaTheme="minorHAnsi"/>
          <w:sz w:val="24"/>
          <w:szCs w:val="24"/>
        </w:rPr>
        <w:t>Ovim aktivnostima dodatno se jača kultura učenja, potiče uključivanje različitih skupina građana u procese obrazovanja te se doprinosi razvoju društva temeljenog na znanju.</w:t>
      </w:r>
    </w:p>
    <w:p w14:paraId="4C590136" w14:textId="77777777" w:rsidR="00FB178A" w:rsidRDefault="00FB178A" w:rsidP="00FB178A">
      <w:pPr>
        <w:widowControl/>
        <w:adjustRightInd w:val="0"/>
        <w:spacing w:line="276" w:lineRule="auto"/>
        <w:jc w:val="both"/>
        <w:rPr>
          <w:rFonts w:eastAsiaTheme="minorHAnsi"/>
          <w:sz w:val="24"/>
          <w:szCs w:val="24"/>
        </w:rPr>
      </w:pPr>
      <w:r>
        <w:rPr>
          <w:rFonts w:eastAsiaTheme="minorHAnsi"/>
          <w:sz w:val="24"/>
          <w:szCs w:val="24"/>
        </w:rPr>
        <w:t>R</w:t>
      </w:r>
      <w:r w:rsidRPr="00DF3845">
        <w:rPr>
          <w:rFonts w:eastAsiaTheme="minorHAnsi"/>
          <w:sz w:val="24"/>
          <w:szCs w:val="24"/>
        </w:rPr>
        <w:t xml:space="preserve">ezultati istraživanja </w:t>
      </w:r>
      <w:r w:rsidRPr="0049234A">
        <w:rPr>
          <w:rFonts w:eastAsiaTheme="minorHAnsi"/>
          <w:sz w:val="24"/>
          <w:szCs w:val="24"/>
        </w:rPr>
        <w:t>PIAAC</w:t>
      </w:r>
      <w:r>
        <w:rPr>
          <w:rStyle w:val="FootnoteReference"/>
          <w:rFonts w:eastAsiaTheme="minorHAnsi"/>
          <w:sz w:val="24"/>
          <w:szCs w:val="24"/>
        </w:rPr>
        <w:footnoteReference w:id="13"/>
      </w:r>
      <w:r w:rsidRPr="0049234A">
        <w:rPr>
          <w:rFonts w:eastAsiaTheme="minorHAnsi"/>
          <w:sz w:val="24"/>
          <w:szCs w:val="24"/>
        </w:rPr>
        <w:t xml:space="preserve"> </w:t>
      </w:r>
      <w:r w:rsidRPr="00DF3845">
        <w:rPr>
          <w:rFonts w:eastAsiaTheme="minorHAnsi"/>
          <w:sz w:val="24"/>
          <w:szCs w:val="24"/>
        </w:rPr>
        <w:t>2023</w:t>
      </w:r>
      <w:r>
        <w:rPr>
          <w:rFonts w:eastAsiaTheme="minorHAnsi"/>
          <w:sz w:val="24"/>
          <w:szCs w:val="24"/>
        </w:rPr>
        <w:t>.,</w:t>
      </w:r>
      <w:r w:rsidRPr="00DF3845">
        <w:rPr>
          <w:rFonts w:eastAsiaTheme="minorHAnsi"/>
          <w:sz w:val="24"/>
          <w:szCs w:val="24"/>
        </w:rPr>
        <w:t xml:space="preserve"> </w:t>
      </w:r>
      <w:r>
        <w:rPr>
          <w:rFonts w:eastAsiaTheme="minorHAnsi"/>
          <w:sz w:val="24"/>
          <w:szCs w:val="24"/>
        </w:rPr>
        <w:t xml:space="preserve">objavljeni u 2024., </w:t>
      </w:r>
      <w:r w:rsidRPr="00DF3845">
        <w:rPr>
          <w:rFonts w:eastAsiaTheme="minorHAnsi"/>
          <w:sz w:val="24"/>
          <w:szCs w:val="24"/>
        </w:rPr>
        <w:t xml:space="preserve">pružaju </w:t>
      </w:r>
      <w:r>
        <w:rPr>
          <w:rFonts w:eastAsiaTheme="minorHAnsi"/>
          <w:sz w:val="24"/>
          <w:szCs w:val="24"/>
        </w:rPr>
        <w:t xml:space="preserve">cjelovit </w:t>
      </w:r>
      <w:r w:rsidRPr="00DF3845">
        <w:rPr>
          <w:rFonts w:eastAsiaTheme="minorHAnsi"/>
          <w:sz w:val="24"/>
          <w:szCs w:val="24"/>
        </w:rPr>
        <w:t xml:space="preserve">uvid u razinu temeljnih vještina odrasle populacije u Hrvatskoj </w:t>
      </w:r>
      <w:r w:rsidRPr="00B55F74">
        <w:rPr>
          <w:rFonts w:eastAsiaTheme="minorHAnsi"/>
          <w:sz w:val="24"/>
          <w:szCs w:val="24"/>
        </w:rPr>
        <w:t>te njihovu povezanost s položajem na tržištu rada</w:t>
      </w:r>
      <w:r w:rsidRPr="00DF3845">
        <w:rPr>
          <w:rFonts w:eastAsiaTheme="minorHAnsi"/>
          <w:sz w:val="24"/>
          <w:szCs w:val="24"/>
        </w:rPr>
        <w:t xml:space="preserve">. </w:t>
      </w:r>
      <w:r>
        <w:rPr>
          <w:rFonts w:eastAsiaTheme="minorHAnsi"/>
          <w:sz w:val="24"/>
          <w:szCs w:val="24"/>
        </w:rPr>
        <w:t xml:space="preserve">Odrasla populacija u </w:t>
      </w:r>
      <w:r w:rsidRPr="00DF3845">
        <w:rPr>
          <w:rFonts w:eastAsiaTheme="minorHAnsi"/>
          <w:sz w:val="24"/>
          <w:szCs w:val="24"/>
        </w:rPr>
        <w:t>Hrvatsk</w:t>
      </w:r>
      <w:r>
        <w:rPr>
          <w:rFonts w:eastAsiaTheme="minorHAnsi"/>
          <w:sz w:val="24"/>
          <w:szCs w:val="24"/>
        </w:rPr>
        <w:t>oj prema</w:t>
      </w:r>
      <w:r w:rsidRPr="00DF3845">
        <w:rPr>
          <w:rFonts w:eastAsiaTheme="minorHAnsi"/>
          <w:sz w:val="24"/>
          <w:szCs w:val="24"/>
        </w:rPr>
        <w:t xml:space="preserve"> čitalačkoj i matematičkoj pismenosti ostvaruje 254 boda u obje domene, što je ispod prosjeka zemalja OECD-a</w:t>
      </w:r>
      <w:r>
        <w:rPr>
          <w:rFonts w:eastAsiaTheme="minorHAnsi"/>
          <w:sz w:val="24"/>
          <w:szCs w:val="24"/>
        </w:rPr>
        <w:t xml:space="preserve"> (260 bodova - čitalačka pismenost; 263 boda - matematička pismenost)</w:t>
      </w:r>
      <w:r w:rsidRPr="00DF3845">
        <w:rPr>
          <w:rFonts w:eastAsiaTheme="minorHAnsi"/>
          <w:sz w:val="24"/>
          <w:szCs w:val="24"/>
        </w:rPr>
        <w:t>, ali uz stabilan položaj u sredini poretka</w:t>
      </w:r>
      <w:r>
        <w:rPr>
          <w:rFonts w:eastAsiaTheme="minorHAnsi"/>
          <w:sz w:val="24"/>
          <w:szCs w:val="24"/>
        </w:rPr>
        <w:t xml:space="preserve"> zemalja sudionica</w:t>
      </w:r>
      <w:r w:rsidRPr="00DF3845">
        <w:rPr>
          <w:rFonts w:eastAsiaTheme="minorHAnsi"/>
          <w:sz w:val="24"/>
          <w:szCs w:val="24"/>
        </w:rPr>
        <w:t xml:space="preserve">. </w:t>
      </w:r>
      <w:r>
        <w:rPr>
          <w:rFonts w:eastAsiaTheme="minorHAnsi"/>
          <w:sz w:val="24"/>
          <w:szCs w:val="24"/>
        </w:rPr>
        <w:t>S druge strane,</w:t>
      </w:r>
      <w:r w:rsidRPr="00DF3845">
        <w:rPr>
          <w:rFonts w:eastAsiaTheme="minorHAnsi"/>
          <w:sz w:val="24"/>
          <w:szCs w:val="24"/>
        </w:rPr>
        <w:t xml:space="preserve"> </w:t>
      </w:r>
      <w:r>
        <w:rPr>
          <w:rFonts w:eastAsiaTheme="minorHAnsi"/>
          <w:sz w:val="24"/>
          <w:szCs w:val="24"/>
        </w:rPr>
        <w:t xml:space="preserve">u Hrvatskoj </w:t>
      </w:r>
      <w:r w:rsidRPr="00DF3845">
        <w:rPr>
          <w:rFonts w:eastAsiaTheme="minorHAnsi"/>
          <w:sz w:val="24"/>
          <w:szCs w:val="24"/>
        </w:rPr>
        <w:t xml:space="preserve">oko polovice odrasle populacije postiže </w:t>
      </w:r>
      <w:r>
        <w:rPr>
          <w:rFonts w:eastAsiaTheme="minorHAnsi"/>
          <w:sz w:val="24"/>
          <w:szCs w:val="24"/>
        </w:rPr>
        <w:t xml:space="preserve">slabije </w:t>
      </w:r>
      <w:r w:rsidRPr="00DF3845">
        <w:rPr>
          <w:rFonts w:eastAsiaTheme="minorHAnsi"/>
          <w:sz w:val="24"/>
          <w:szCs w:val="24"/>
        </w:rPr>
        <w:t>rezultate</w:t>
      </w:r>
      <w:r>
        <w:rPr>
          <w:rFonts w:eastAsiaTheme="minorHAnsi"/>
          <w:sz w:val="24"/>
          <w:szCs w:val="24"/>
        </w:rPr>
        <w:t xml:space="preserve"> u čitalačkoj i matematičkoj pismenosti</w:t>
      </w:r>
      <w:r w:rsidRPr="00DF3845">
        <w:rPr>
          <w:rFonts w:eastAsiaTheme="minorHAnsi"/>
          <w:sz w:val="24"/>
          <w:szCs w:val="24"/>
        </w:rPr>
        <w:t xml:space="preserve">, što ukazuje na znatne potrebe za dodatnim razvojem osnovnih vještina, osobito u kontekstu ubrzanih tehnoloških i strukturnih promjena na tržištu rada. </w:t>
      </w:r>
      <w:r w:rsidRPr="00DD6D56">
        <w:rPr>
          <w:rFonts w:eastAsiaTheme="minorHAnsi"/>
          <w:sz w:val="24"/>
          <w:szCs w:val="24"/>
        </w:rPr>
        <w:t>Rezultati u domeni prilagodljivosti u rješavanju problema</w:t>
      </w:r>
      <w:r>
        <w:rPr>
          <w:rFonts w:eastAsiaTheme="minorHAnsi"/>
          <w:sz w:val="24"/>
          <w:szCs w:val="24"/>
        </w:rPr>
        <w:t xml:space="preserve"> (RH - 235; OECD - 251)</w:t>
      </w:r>
      <w:r w:rsidRPr="00DD6D56">
        <w:rPr>
          <w:rFonts w:eastAsiaTheme="minorHAnsi"/>
          <w:sz w:val="24"/>
          <w:szCs w:val="24"/>
        </w:rPr>
        <w:t xml:space="preserve">, </w:t>
      </w:r>
      <w:r>
        <w:rPr>
          <w:rFonts w:eastAsiaTheme="minorHAnsi"/>
          <w:sz w:val="24"/>
          <w:szCs w:val="24"/>
        </w:rPr>
        <w:t>prema</w:t>
      </w:r>
      <w:r w:rsidRPr="00DD6D56">
        <w:rPr>
          <w:rFonts w:eastAsiaTheme="minorHAnsi"/>
          <w:sz w:val="24"/>
          <w:szCs w:val="24"/>
        </w:rPr>
        <w:t xml:space="preserve"> koj</w:t>
      </w:r>
      <w:r>
        <w:rPr>
          <w:rFonts w:eastAsiaTheme="minorHAnsi"/>
          <w:sz w:val="24"/>
          <w:szCs w:val="24"/>
        </w:rPr>
        <w:t>ima</w:t>
      </w:r>
      <w:r w:rsidRPr="00DD6D56">
        <w:rPr>
          <w:rFonts w:eastAsiaTheme="minorHAnsi"/>
          <w:sz w:val="24"/>
          <w:szCs w:val="24"/>
        </w:rPr>
        <w:t xml:space="preserve"> 38,7% </w:t>
      </w:r>
      <w:r>
        <w:rPr>
          <w:rFonts w:eastAsiaTheme="minorHAnsi"/>
          <w:sz w:val="24"/>
          <w:szCs w:val="24"/>
        </w:rPr>
        <w:t>građana u Hrvatskoj</w:t>
      </w:r>
      <w:r w:rsidRPr="00DD6D56">
        <w:rPr>
          <w:rFonts w:eastAsiaTheme="minorHAnsi"/>
          <w:sz w:val="24"/>
          <w:szCs w:val="24"/>
        </w:rPr>
        <w:t xml:space="preserve"> postiže nizak rezultat</w:t>
      </w:r>
      <w:r>
        <w:rPr>
          <w:rFonts w:eastAsiaTheme="minorHAnsi"/>
          <w:sz w:val="24"/>
          <w:szCs w:val="24"/>
        </w:rPr>
        <w:t>,</w:t>
      </w:r>
      <w:r w:rsidRPr="00DD6D56">
        <w:rPr>
          <w:rFonts w:eastAsiaTheme="minorHAnsi"/>
          <w:sz w:val="24"/>
          <w:szCs w:val="24"/>
        </w:rPr>
        <w:t xml:space="preserve"> u usporedbi s 29,28% građana na razini OECD-a, jasno potvrđuju potrebu za snažnijim razvojem digitalnih i problemskih vještina ključnih za konkurentnost radne snage.</w:t>
      </w:r>
      <w:r>
        <w:rPr>
          <w:rFonts w:eastAsiaTheme="minorHAnsi"/>
          <w:sz w:val="24"/>
          <w:szCs w:val="24"/>
        </w:rPr>
        <w:t xml:space="preserve"> </w:t>
      </w:r>
      <w:r w:rsidRPr="0049234A">
        <w:rPr>
          <w:rFonts w:eastAsiaTheme="minorHAnsi"/>
          <w:sz w:val="24"/>
          <w:szCs w:val="24"/>
        </w:rPr>
        <w:t xml:space="preserve">Povećanje postignuća u </w:t>
      </w:r>
      <w:r>
        <w:rPr>
          <w:rFonts w:eastAsiaTheme="minorHAnsi"/>
          <w:sz w:val="24"/>
          <w:szCs w:val="24"/>
        </w:rPr>
        <w:t>jednoj od temeljnih vještina</w:t>
      </w:r>
      <w:r w:rsidRPr="0049234A">
        <w:rPr>
          <w:rFonts w:eastAsiaTheme="minorHAnsi"/>
          <w:sz w:val="24"/>
          <w:szCs w:val="24"/>
        </w:rPr>
        <w:t xml:space="preserve"> za jednu standardnu devijaciju</w:t>
      </w:r>
      <w:r>
        <w:rPr>
          <w:rFonts w:eastAsiaTheme="minorHAnsi"/>
          <w:sz w:val="24"/>
          <w:szCs w:val="24"/>
        </w:rPr>
        <w:t>,</w:t>
      </w:r>
      <w:r w:rsidRPr="0049234A">
        <w:rPr>
          <w:rFonts w:eastAsiaTheme="minorHAnsi"/>
          <w:sz w:val="24"/>
          <w:szCs w:val="24"/>
        </w:rPr>
        <w:t xml:space="preserve"> povezano je s 4% većom vjerojatnošću uključivanja na tržište rada te sa 7,4% višim plaćama među zaposlenima, što potvrđuje da ulaganje u razvoj vještina ima snažne učinke na </w:t>
      </w:r>
      <w:proofErr w:type="spellStart"/>
      <w:r w:rsidRPr="0049234A">
        <w:rPr>
          <w:rFonts w:eastAsiaTheme="minorHAnsi"/>
          <w:sz w:val="24"/>
          <w:szCs w:val="24"/>
        </w:rPr>
        <w:t>zapošljivost</w:t>
      </w:r>
      <w:proofErr w:type="spellEnd"/>
      <w:r w:rsidRPr="0049234A">
        <w:rPr>
          <w:rFonts w:eastAsiaTheme="minorHAnsi"/>
          <w:sz w:val="24"/>
          <w:szCs w:val="24"/>
        </w:rPr>
        <w:t xml:space="preserve"> i produktivnost radne snag</w:t>
      </w:r>
      <w:r>
        <w:rPr>
          <w:rFonts w:eastAsiaTheme="minorHAnsi"/>
          <w:sz w:val="24"/>
          <w:szCs w:val="24"/>
        </w:rPr>
        <w:t>e.</w:t>
      </w:r>
    </w:p>
    <w:p w14:paraId="0D906038" w14:textId="77777777" w:rsidR="00FB178A" w:rsidRDefault="00FB178A" w:rsidP="00FB178A">
      <w:pPr>
        <w:widowControl/>
        <w:adjustRightInd w:val="0"/>
        <w:spacing w:line="276" w:lineRule="auto"/>
        <w:rPr>
          <w:rFonts w:eastAsiaTheme="minorHAnsi"/>
          <w:sz w:val="24"/>
          <w:szCs w:val="24"/>
        </w:rPr>
      </w:pPr>
    </w:p>
    <w:p w14:paraId="76C7F186" w14:textId="77777777" w:rsidR="00FB178A" w:rsidRDefault="00FB178A" w:rsidP="00FB178A">
      <w:pPr>
        <w:widowControl/>
        <w:adjustRightInd w:val="0"/>
        <w:spacing w:after="240" w:line="276" w:lineRule="auto"/>
        <w:jc w:val="both"/>
        <w:rPr>
          <w:rFonts w:eastAsiaTheme="minorHAnsi"/>
          <w:sz w:val="24"/>
          <w:szCs w:val="24"/>
        </w:rPr>
      </w:pPr>
      <w:r w:rsidRPr="00A63711">
        <w:rPr>
          <w:rFonts w:eastAsiaTheme="minorHAnsi"/>
          <w:sz w:val="24"/>
          <w:szCs w:val="24"/>
        </w:rPr>
        <w:t xml:space="preserve">Tijekom 2024. nastavljena je provedba mjera aktivne politike zapošljavanja s ciljem povećanja sudjelovanja nezaposlenih osoba na tržištu rada i jačanja njihove </w:t>
      </w:r>
      <w:proofErr w:type="spellStart"/>
      <w:r w:rsidRPr="00A63711">
        <w:rPr>
          <w:rFonts w:eastAsiaTheme="minorHAnsi"/>
          <w:sz w:val="24"/>
          <w:szCs w:val="24"/>
        </w:rPr>
        <w:t>zapošljivosti</w:t>
      </w:r>
      <w:proofErr w:type="spellEnd"/>
      <w:r w:rsidRPr="00A63711">
        <w:rPr>
          <w:rFonts w:eastAsiaTheme="minorHAnsi"/>
          <w:sz w:val="24"/>
          <w:szCs w:val="24"/>
        </w:rPr>
        <w:t xml:space="preserve">. Posebna pozornost </w:t>
      </w:r>
      <w:r>
        <w:rPr>
          <w:rFonts w:eastAsiaTheme="minorHAnsi"/>
          <w:sz w:val="24"/>
          <w:szCs w:val="24"/>
        </w:rPr>
        <w:t xml:space="preserve">pri provedbi mjera je </w:t>
      </w:r>
      <w:r w:rsidRPr="00A63711">
        <w:rPr>
          <w:rFonts w:eastAsiaTheme="minorHAnsi"/>
          <w:sz w:val="24"/>
          <w:szCs w:val="24"/>
        </w:rPr>
        <w:t xml:space="preserve">usmjerena skupinama u nepovoljnom položaju, osobito mladima, osobama s invaliditetom i dugotrajno nezaposlenima, za koje su osigurani ciljano usmjereni programi potpore. </w:t>
      </w:r>
      <w:r>
        <w:rPr>
          <w:rFonts w:eastAsiaTheme="minorHAnsi"/>
          <w:sz w:val="24"/>
          <w:szCs w:val="24"/>
        </w:rPr>
        <w:t>M</w:t>
      </w:r>
      <w:r w:rsidRPr="00A4007E">
        <w:rPr>
          <w:rFonts w:eastAsiaTheme="minorHAnsi"/>
          <w:sz w:val="24"/>
          <w:szCs w:val="24"/>
        </w:rPr>
        <w:t>jer</w:t>
      </w:r>
      <w:r>
        <w:rPr>
          <w:rFonts w:eastAsiaTheme="minorHAnsi"/>
          <w:sz w:val="24"/>
          <w:szCs w:val="24"/>
        </w:rPr>
        <w:t>ama</w:t>
      </w:r>
      <w:r w:rsidRPr="00A4007E">
        <w:rPr>
          <w:rFonts w:eastAsiaTheme="minorHAnsi"/>
          <w:sz w:val="24"/>
          <w:szCs w:val="24"/>
        </w:rPr>
        <w:t xml:space="preserve"> aktivne politike zapošljavanja </w:t>
      </w:r>
      <w:r>
        <w:rPr>
          <w:rFonts w:eastAsiaTheme="minorHAnsi"/>
          <w:sz w:val="24"/>
          <w:szCs w:val="24"/>
        </w:rPr>
        <w:t xml:space="preserve">je obuhvaćeno 12 programa u koje je </w:t>
      </w:r>
      <w:r w:rsidRPr="006C4F94">
        <w:rPr>
          <w:rFonts w:eastAsiaTheme="minorHAnsi"/>
          <w:sz w:val="24"/>
          <w:szCs w:val="24"/>
        </w:rPr>
        <w:t xml:space="preserve">tijekom 2024. </w:t>
      </w:r>
      <w:r>
        <w:rPr>
          <w:rFonts w:eastAsiaTheme="minorHAnsi"/>
          <w:sz w:val="24"/>
          <w:szCs w:val="24"/>
        </w:rPr>
        <w:t xml:space="preserve">bilo uključeno </w:t>
      </w:r>
      <w:r w:rsidRPr="00A4007E">
        <w:rPr>
          <w:rFonts w:eastAsiaTheme="minorHAnsi"/>
          <w:sz w:val="24"/>
          <w:szCs w:val="24"/>
        </w:rPr>
        <w:t>ukupno 41.73</w:t>
      </w:r>
      <w:r>
        <w:rPr>
          <w:rFonts w:eastAsiaTheme="minorHAnsi"/>
          <w:sz w:val="24"/>
          <w:szCs w:val="24"/>
        </w:rPr>
        <w:t>1</w:t>
      </w:r>
      <w:r w:rsidRPr="00A4007E">
        <w:rPr>
          <w:rFonts w:eastAsiaTheme="minorHAnsi"/>
          <w:sz w:val="24"/>
          <w:szCs w:val="24"/>
        </w:rPr>
        <w:t xml:space="preserve"> osoba, </w:t>
      </w:r>
      <w:r>
        <w:rPr>
          <w:rFonts w:eastAsiaTheme="minorHAnsi"/>
          <w:sz w:val="24"/>
          <w:szCs w:val="24"/>
        </w:rPr>
        <w:t>za što su</w:t>
      </w:r>
      <w:r w:rsidRPr="00A4007E">
        <w:rPr>
          <w:rFonts w:eastAsiaTheme="minorHAnsi"/>
          <w:sz w:val="24"/>
          <w:szCs w:val="24"/>
        </w:rPr>
        <w:t xml:space="preserve"> ukupn</w:t>
      </w:r>
      <w:r>
        <w:rPr>
          <w:rFonts w:eastAsiaTheme="minorHAnsi"/>
          <w:sz w:val="24"/>
          <w:szCs w:val="24"/>
        </w:rPr>
        <w:t>o</w:t>
      </w:r>
      <w:r w:rsidRPr="00A4007E">
        <w:rPr>
          <w:rFonts w:eastAsiaTheme="minorHAnsi"/>
          <w:sz w:val="24"/>
          <w:szCs w:val="24"/>
        </w:rPr>
        <w:t xml:space="preserve"> </w:t>
      </w:r>
      <w:r>
        <w:rPr>
          <w:rFonts w:eastAsiaTheme="minorHAnsi"/>
          <w:sz w:val="24"/>
          <w:szCs w:val="24"/>
        </w:rPr>
        <w:t xml:space="preserve">osigurana </w:t>
      </w:r>
      <w:r w:rsidRPr="00A4007E">
        <w:rPr>
          <w:rFonts w:eastAsiaTheme="minorHAnsi"/>
          <w:sz w:val="24"/>
          <w:szCs w:val="24"/>
        </w:rPr>
        <w:t xml:space="preserve">sredstva u </w:t>
      </w:r>
      <w:r>
        <w:rPr>
          <w:rFonts w:eastAsiaTheme="minorHAnsi"/>
          <w:sz w:val="24"/>
          <w:szCs w:val="24"/>
        </w:rPr>
        <w:t xml:space="preserve">iznosu </w:t>
      </w:r>
      <w:r w:rsidRPr="00A4007E">
        <w:rPr>
          <w:rFonts w:eastAsiaTheme="minorHAnsi"/>
          <w:sz w:val="24"/>
          <w:szCs w:val="24"/>
        </w:rPr>
        <w:t xml:space="preserve">od gotovo </w:t>
      </w:r>
      <w:r w:rsidRPr="00A4007E">
        <w:rPr>
          <w:rFonts w:eastAsiaTheme="minorHAnsi"/>
          <w:sz w:val="24"/>
          <w:szCs w:val="24"/>
        </w:rPr>
        <w:lastRenderedPageBreak/>
        <w:t xml:space="preserve">180 milijuna eura. </w:t>
      </w:r>
      <w:r>
        <w:rPr>
          <w:rFonts w:eastAsiaTheme="minorHAnsi"/>
          <w:sz w:val="24"/>
          <w:szCs w:val="24"/>
        </w:rPr>
        <w:t>P</w:t>
      </w:r>
      <w:r w:rsidRPr="00A4007E">
        <w:rPr>
          <w:rFonts w:eastAsiaTheme="minorHAnsi"/>
          <w:sz w:val="24"/>
          <w:szCs w:val="24"/>
        </w:rPr>
        <w:t>rogram</w:t>
      </w:r>
      <w:r>
        <w:rPr>
          <w:rFonts w:eastAsiaTheme="minorHAnsi"/>
          <w:sz w:val="24"/>
          <w:szCs w:val="24"/>
        </w:rPr>
        <w:t>i su</w:t>
      </w:r>
      <w:r w:rsidRPr="00A4007E">
        <w:rPr>
          <w:rFonts w:eastAsiaTheme="minorHAnsi"/>
          <w:sz w:val="24"/>
          <w:szCs w:val="24"/>
        </w:rPr>
        <w:t xml:space="preserve"> usmjereni na zapošljavanje, samozapošljavanje te dodatno i cjeloživotno obrazovanje, </w:t>
      </w:r>
      <w:r>
        <w:rPr>
          <w:rFonts w:eastAsiaTheme="minorHAnsi"/>
          <w:sz w:val="24"/>
          <w:szCs w:val="24"/>
        </w:rPr>
        <w:t xml:space="preserve">a njihovom provedbom korisnicima je </w:t>
      </w:r>
      <w:r w:rsidRPr="00A63711">
        <w:rPr>
          <w:rFonts w:eastAsiaTheme="minorHAnsi"/>
          <w:sz w:val="24"/>
          <w:szCs w:val="24"/>
        </w:rPr>
        <w:t xml:space="preserve">omogućeno stjecanje novih kompetencija potrebnih za ulazak ili ostanak na tržištu rada, dok </w:t>
      </w:r>
      <w:r>
        <w:rPr>
          <w:rFonts w:eastAsiaTheme="minorHAnsi"/>
          <w:sz w:val="24"/>
          <w:szCs w:val="24"/>
        </w:rPr>
        <w:t xml:space="preserve">je </w:t>
      </w:r>
      <w:r w:rsidRPr="00A63711">
        <w:rPr>
          <w:rFonts w:eastAsiaTheme="minorHAnsi"/>
          <w:sz w:val="24"/>
          <w:szCs w:val="24"/>
        </w:rPr>
        <w:t>poslodavci</w:t>
      </w:r>
      <w:r>
        <w:rPr>
          <w:rFonts w:eastAsiaTheme="minorHAnsi"/>
          <w:sz w:val="24"/>
          <w:szCs w:val="24"/>
        </w:rPr>
        <w:t>ma omogućeno</w:t>
      </w:r>
      <w:r w:rsidRPr="00A63711">
        <w:rPr>
          <w:rFonts w:eastAsiaTheme="minorHAnsi"/>
          <w:sz w:val="24"/>
          <w:szCs w:val="24"/>
        </w:rPr>
        <w:t xml:space="preserve"> zapošljava</w:t>
      </w:r>
      <w:r>
        <w:rPr>
          <w:rFonts w:eastAsiaTheme="minorHAnsi"/>
          <w:sz w:val="24"/>
          <w:szCs w:val="24"/>
        </w:rPr>
        <w:t>nje</w:t>
      </w:r>
      <w:r w:rsidRPr="00A63711">
        <w:rPr>
          <w:rFonts w:eastAsiaTheme="minorHAnsi"/>
          <w:sz w:val="24"/>
          <w:szCs w:val="24"/>
        </w:rPr>
        <w:t xml:space="preserve"> radnik</w:t>
      </w:r>
      <w:r>
        <w:rPr>
          <w:rFonts w:eastAsiaTheme="minorHAnsi"/>
          <w:sz w:val="24"/>
          <w:szCs w:val="24"/>
        </w:rPr>
        <w:t>a</w:t>
      </w:r>
      <w:r w:rsidRPr="00A63711">
        <w:rPr>
          <w:rFonts w:eastAsiaTheme="minorHAnsi"/>
          <w:sz w:val="24"/>
          <w:szCs w:val="24"/>
        </w:rPr>
        <w:t xml:space="preserve"> s vještinama koje odgovaraju </w:t>
      </w:r>
      <w:r>
        <w:rPr>
          <w:rFonts w:eastAsiaTheme="minorHAnsi"/>
          <w:sz w:val="24"/>
          <w:szCs w:val="24"/>
        </w:rPr>
        <w:t xml:space="preserve">njihovim </w:t>
      </w:r>
      <w:r w:rsidRPr="00A63711">
        <w:rPr>
          <w:rFonts w:eastAsiaTheme="minorHAnsi"/>
          <w:sz w:val="24"/>
          <w:szCs w:val="24"/>
        </w:rPr>
        <w:t>stvarnim potrebama.</w:t>
      </w:r>
      <w:r>
        <w:rPr>
          <w:rFonts w:eastAsiaTheme="minorHAnsi"/>
          <w:sz w:val="24"/>
          <w:szCs w:val="24"/>
        </w:rPr>
        <w:t xml:space="preserve"> </w:t>
      </w:r>
      <w:r w:rsidRPr="00403F26">
        <w:rPr>
          <w:rFonts w:eastAsiaTheme="minorHAnsi"/>
          <w:sz w:val="24"/>
          <w:szCs w:val="24"/>
        </w:rPr>
        <w:t xml:space="preserve">Poseban naglasak stavljen je na jačanje </w:t>
      </w:r>
      <w:proofErr w:type="spellStart"/>
      <w:r w:rsidRPr="00403F26">
        <w:rPr>
          <w:rFonts w:eastAsiaTheme="minorHAnsi"/>
          <w:sz w:val="24"/>
          <w:szCs w:val="24"/>
        </w:rPr>
        <w:t>zapošljivosti</w:t>
      </w:r>
      <w:proofErr w:type="spellEnd"/>
      <w:r w:rsidRPr="00403F26">
        <w:rPr>
          <w:rFonts w:eastAsiaTheme="minorHAnsi"/>
          <w:sz w:val="24"/>
          <w:szCs w:val="24"/>
        </w:rPr>
        <w:t xml:space="preserve"> osoba koje se nalaze u izrazito nepovoljnom položaju na tržištu rada, poput dugotrajno nezaposlenih osoba, osoba s invaliditetom i osoba bez završene srednje škole. U tu svrhu provodi se program Posao+, namijenjen upravo skupinama kojima je za uspješnu radnu i socijalnu integraciju potreban kombinirani pristup i višestruke mjere potpore. Kroz potporu za zapošljavanje osoba uključenih u program Posao+ financira se </w:t>
      </w:r>
      <w:r>
        <w:rPr>
          <w:rFonts w:eastAsiaTheme="minorHAnsi"/>
          <w:sz w:val="24"/>
          <w:szCs w:val="24"/>
        </w:rPr>
        <w:t>puni iznos</w:t>
      </w:r>
      <w:r w:rsidRPr="00403F26">
        <w:rPr>
          <w:rFonts w:eastAsiaTheme="minorHAnsi"/>
          <w:sz w:val="24"/>
          <w:szCs w:val="24"/>
        </w:rPr>
        <w:t xml:space="preserve"> troška plaće do 12 mjeseci, odnosno </w:t>
      </w:r>
      <w:r>
        <w:rPr>
          <w:rFonts w:eastAsiaTheme="minorHAnsi"/>
          <w:sz w:val="24"/>
          <w:szCs w:val="24"/>
        </w:rPr>
        <w:t>najviše</w:t>
      </w:r>
      <w:r w:rsidRPr="00403F26">
        <w:rPr>
          <w:rFonts w:eastAsiaTheme="minorHAnsi"/>
          <w:sz w:val="24"/>
          <w:szCs w:val="24"/>
        </w:rPr>
        <w:t xml:space="preserve"> 24 mjeseca za osobe koje su prethodno sudjelovale u Aktivacijskom programu HZZ-a ili u usluzi socijalnog mentorstva. </w:t>
      </w:r>
      <w:r>
        <w:rPr>
          <w:rFonts w:eastAsiaTheme="minorHAnsi"/>
          <w:sz w:val="24"/>
          <w:szCs w:val="24"/>
        </w:rPr>
        <w:t>Tijekom 2024. u</w:t>
      </w:r>
      <w:r w:rsidRPr="00F204C5">
        <w:rPr>
          <w:rFonts w:eastAsiaTheme="minorHAnsi"/>
          <w:sz w:val="24"/>
          <w:szCs w:val="24"/>
        </w:rPr>
        <w:t xml:space="preserve"> mjere aktivne politike zapošljavanja uključen</w:t>
      </w:r>
      <w:r>
        <w:rPr>
          <w:rFonts w:eastAsiaTheme="minorHAnsi"/>
          <w:sz w:val="24"/>
          <w:szCs w:val="24"/>
        </w:rPr>
        <w:t>e su</w:t>
      </w:r>
      <w:r w:rsidRPr="00F204C5">
        <w:rPr>
          <w:rFonts w:eastAsiaTheme="minorHAnsi"/>
          <w:sz w:val="24"/>
          <w:szCs w:val="24"/>
        </w:rPr>
        <w:t xml:space="preserve"> </w:t>
      </w:r>
      <w:r>
        <w:rPr>
          <w:rFonts w:eastAsiaTheme="minorHAnsi"/>
          <w:sz w:val="24"/>
          <w:szCs w:val="24"/>
        </w:rPr>
        <w:t xml:space="preserve">i </w:t>
      </w:r>
      <w:r w:rsidRPr="00F204C5">
        <w:rPr>
          <w:rFonts w:eastAsiaTheme="minorHAnsi"/>
          <w:sz w:val="24"/>
          <w:szCs w:val="24"/>
        </w:rPr>
        <w:t>2.3</w:t>
      </w:r>
      <w:r>
        <w:rPr>
          <w:rFonts w:eastAsiaTheme="minorHAnsi"/>
          <w:sz w:val="24"/>
          <w:szCs w:val="24"/>
        </w:rPr>
        <w:t>6</w:t>
      </w:r>
      <w:r w:rsidRPr="00F204C5">
        <w:rPr>
          <w:rFonts w:eastAsiaTheme="minorHAnsi"/>
          <w:sz w:val="24"/>
          <w:szCs w:val="24"/>
        </w:rPr>
        <w:t>4 osobe s invaliditetom, što u odnosu na 2023.</w:t>
      </w:r>
      <w:r>
        <w:rPr>
          <w:rFonts w:eastAsiaTheme="minorHAnsi"/>
          <w:sz w:val="24"/>
          <w:szCs w:val="24"/>
        </w:rPr>
        <w:t xml:space="preserve"> predstavlja</w:t>
      </w:r>
      <w:r w:rsidRPr="00F204C5">
        <w:rPr>
          <w:rFonts w:eastAsiaTheme="minorHAnsi"/>
          <w:sz w:val="24"/>
          <w:szCs w:val="24"/>
        </w:rPr>
        <w:t xml:space="preserve">  povećanje </w:t>
      </w:r>
      <w:r>
        <w:rPr>
          <w:rFonts w:eastAsiaTheme="minorHAnsi"/>
          <w:sz w:val="24"/>
          <w:szCs w:val="24"/>
        </w:rPr>
        <w:t>od</w:t>
      </w:r>
      <w:r w:rsidRPr="00F204C5">
        <w:rPr>
          <w:rFonts w:eastAsiaTheme="minorHAnsi"/>
          <w:sz w:val="24"/>
          <w:szCs w:val="24"/>
        </w:rPr>
        <w:t xml:space="preserve"> 44,7%, </w:t>
      </w:r>
      <w:r>
        <w:rPr>
          <w:rFonts w:eastAsiaTheme="minorHAnsi"/>
          <w:sz w:val="24"/>
          <w:szCs w:val="24"/>
        </w:rPr>
        <w:t>z</w:t>
      </w:r>
      <w:r w:rsidRPr="00F204C5">
        <w:rPr>
          <w:rFonts w:eastAsiaTheme="minorHAnsi"/>
          <w:sz w:val="24"/>
          <w:szCs w:val="24"/>
        </w:rPr>
        <w:t xml:space="preserve">a </w:t>
      </w:r>
      <w:r>
        <w:rPr>
          <w:rFonts w:eastAsiaTheme="minorHAnsi"/>
          <w:sz w:val="24"/>
          <w:szCs w:val="24"/>
        </w:rPr>
        <w:t xml:space="preserve">što je </w:t>
      </w:r>
      <w:r w:rsidRPr="00F204C5">
        <w:rPr>
          <w:rFonts w:eastAsiaTheme="minorHAnsi"/>
          <w:sz w:val="24"/>
          <w:szCs w:val="24"/>
        </w:rPr>
        <w:t xml:space="preserve">izdvojeno 8 milijuna eura. </w:t>
      </w:r>
      <w:r>
        <w:rPr>
          <w:rFonts w:eastAsiaTheme="minorHAnsi"/>
          <w:sz w:val="24"/>
          <w:szCs w:val="24"/>
        </w:rPr>
        <w:t>Istovremeno, p</w:t>
      </w:r>
      <w:r w:rsidRPr="00F204C5">
        <w:rPr>
          <w:rFonts w:eastAsiaTheme="minorHAnsi"/>
          <w:sz w:val="24"/>
          <w:szCs w:val="24"/>
        </w:rPr>
        <w:t xml:space="preserve">oticaje Zavoda za vještačenje, profesionalnu rehabilitaciju i zapošljavanje osoba s invaliditetom </w:t>
      </w:r>
      <w:r>
        <w:rPr>
          <w:rFonts w:eastAsiaTheme="minorHAnsi"/>
          <w:sz w:val="24"/>
          <w:szCs w:val="24"/>
        </w:rPr>
        <w:t>tijekom 2024. is</w:t>
      </w:r>
      <w:r w:rsidRPr="00F204C5">
        <w:rPr>
          <w:rFonts w:eastAsiaTheme="minorHAnsi"/>
          <w:sz w:val="24"/>
          <w:szCs w:val="24"/>
        </w:rPr>
        <w:t>koristilo je 1.098 poslodavaca za</w:t>
      </w:r>
      <w:r>
        <w:rPr>
          <w:rFonts w:eastAsiaTheme="minorHAnsi"/>
          <w:sz w:val="24"/>
          <w:szCs w:val="24"/>
        </w:rPr>
        <w:t xml:space="preserve"> zapošljavanje</w:t>
      </w:r>
      <w:r w:rsidRPr="00F204C5">
        <w:rPr>
          <w:rFonts w:eastAsiaTheme="minorHAnsi"/>
          <w:sz w:val="24"/>
          <w:szCs w:val="24"/>
        </w:rPr>
        <w:t xml:space="preserve"> 3.53</w:t>
      </w:r>
      <w:r>
        <w:rPr>
          <w:rFonts w:eastAsiaTheme="minorHAnsi"/>
          <w:sz w:val="24"/>
          <w:szCs w:val="24"/>
        </w:rPr>
        <w:t>7</w:t>
      </w:r>
      <w:r w:rsidRPr="00F204C5">
        <w:rPr>
          <w:rFonts w:eastAsiaTheme="minorHAnsi"/>
          <w:sz w:val="24"/>
          <w:szCs w:val="24"/>
        </w:rPr>
        <w:t xml:space="preserve"> osob</w:t>
      </w:r>
      <w:r>
        <w:rPr>
          <w:rFonts w:eastAsiaTheme="minorHAnsi"/>
          <w:sz w:val="24"/>
          <w:szCs w:val="24"/>
        </w:rPr>
        <w:t>a</w:t>
      </w:r>
      <w:r w:rsidRPr="00F204C5">
        <w:rPr>
          <w:rFonts w:eastAsiaTheme="minorHAnsi"/>
          <w:sz w:val="24"/>
          <w:szCs w:val="24"/>
        </w:rPr>
        <w:t xml:space="preserve"> s invaliditetom</w:t>
      </w:r>
      <w:r>
        <w:rPr>
          <w:rFonts w:eastAsiaTheme="minorHAnsi"/>
          <w:sz w:val="24"/>
          <w:szCs w:val="24"/>
        </w:rPr>
        <w:t xml:space="preserve">, za što je </w:t>
      </w:r>
      <w:r w:rsidRPr="00F204C5">
        <w:rPr>
          <w:rFonts w:eastAsiaTheme="minorHAnsi"/>
          <w:sz w:val="24"/>
          <w:szCs w:val="24"/>
        </w:rPr>
        <w:t xml:space="preserve">izdvojeno </w:t>
      </w:r>
      <w:r>
        <w:rPr>
          <w:rFonts w:eastAsiaTheme="minorHAnsi"/>
          <w:sz w:val="24"/>
          <w:szCs w:val="24"/>
        </w:rPr>
        <w:t>ukupno</w:t>
      </w:r>
      <w:r w:rsidRPr="00F204C5">
        <w:rPr>
          <w:rFonts w:eastAsiaTheme="minorHAnsi"/>
          <w:sz w:val="24"/>
          <w:szCs w:val="24"/>
        </w:rPr>
        <w:t xml:space="preserve"> 20 milijuna eura.</w:t>
      </w:r>
      <w:r w:rsidRPr="00AA2B5E">
        <w:t xml:space="preserve"> </w:t>
      </w:r>
      <w:r w:rsidRPr="00AA2B5E">
        <w:rPr>
          <w:rFonts w:eastAsiaTheme="minorHAnsi"/>
          <w:sz w:val="24"/>
          <w:szCs w:val="24"/>
        </w:rPr>
        <w:t xml:space="preserve">Ovakav pristup dodatno jača </w:t>
      </w:r>
      <w:proofErr w:type="spellStart"/>
      <w:r w:rsidRPr="00AA2B5E">
        <w:rPr>
          <w:rFonts w:eastAsiaTheme="minorHAnsi"/>
          <w:sz w:val="24"/>
          <w:szCs w:val="24"/>
        </w:rPr>
        <w:t>inkluzivnost</w:t>
      </w:r>
      <w:proofErr w:type="spellEnd"/>
      <w:r w:rsidRPr="00AA2B5E">
        <w:rPr>
          <w:rFonts w:eastAsiaTheme="minorHAnsi"/>
          <w:sz w:val="24"/>
          <w:szCs w:val="24"/>
        </w:rPr>
        <w:t xml:space="preserve"> tržišta rada </w:t>
      </w:r>
      <w:r>
        <w:rPr>
          <w:rFonts w:eastAsiaTheme="minorHAnsi"/>
          <w:sz w:val="24"/>
          <w:szCs w:val="24"/>
        </w:rPr>
        <w:t xml:space="preserve">te olakšava uključivanje i </w:t>
      </w:r>
      <w:r w:rsidRPr="00AA2B5E">
        <w:rPr>
          <w:rFonts w:eastAsiaTheme="minorHAnsi"/>
          <w:sz w:val="24"/>
          <w:szCs w:val="24"/>
        </w:rPr>
        <w:t>ubrzava povratak ranjivih skupina u svijet rada.</w:t>
      </w:r>
    </w:p>
    <w:p w14:paraId="6F898FD2" w14:textId="77777777" w:rsidR="00FB178A" w:rsidRPr="00E40A1F" w:rsidRDefault="00FB178A" w:rsidP="00FB178A">
      <w:pPr>
        <w:spacing w:line="276" w:lineRule="auto"/>
        <w:jc w:val="both"/>
        <w:rPr>
          <w:b/>
          <w:color w:val="000000" w:themeColor="text1"/>
          <w:sz w:val="24"/>
          <w:szCs w:val="24"/>
        </w:rPr>
      </w:pPr>
      <w:r w:rsidRPr="00E40A1F">
        <w:rPr>
          <w:rFonts w:eastAsiaTheme="minorEastAsia"/>
          <w:sz w:val="24"/>
          <w:szCs w:val="24"/>
        </w:rPr>
        <w:t>Nastavljeno je ulaganje u jačanje kompetencija radne snage kroz provedbu obrazovanja za stjecanje kompetencija traženih na tržištu rada putem sustava vaučera za obrazovanje, financiranog kroz NPOO u ukupnom iznosu od 60 milijuna eura. NPOO-om je predviđeno uključivanje ukupno 40.000 korisnika u programe obrazovanja odraslih, s fokusom na uključivanje ranjivih skupina, kojima se ovim instrumentom pruža brži i učinkovitiji pristup relevantnim kompetencijama. Provedba sustava vaučera je u 2024. pokazala vrlo dobre rezultate te veliki interes korisnika, kao i pružatelja usluga - ustanova za obrazovanje odraslih, uključujući visoka učilišta, pučka otvorena učilišta, udruge, poslodavce i druge prihvatljive pružatelje. Na kraju 2024. u bazi pružatelja usluga obrazovanja putem sustava vaučera bilo je upisano 226 pružatelja obrazovanja, koji su nudili ukupno 1.834 programa obrazovanja usklađena s HKO-om. Tijekom 2024. u obrazovanje je kroz ovaj sustav bilo uključeno ukupno 14.060 nezaposlenih i zaposlenih osoba, od čega 16% u programe stjecanja vještina za zelenu tranziciju, 45% u programe stjecanja vještina za digitalnu transformaciju te 39% u programe stjecanja drugih vještina potrebnih na tržištu rada. Sveukupno je od uspostave ovog</w:t>
      </w:r>
      <w:r>
        <w:rPr>
          <w:rFonts w:eastAsiaTheme="minorEastAsia"/>
          <w:sz w:val="24"/>
          <w:szCs w:val="24"/>
        </w:rPr>
        <w:t>a</w:t>
      </w:r>
      <w:r w:rsidRPr="00E40A1F">
        <w:rPr>
          <w:rFonts w:eastAsiaTheme="minorEastAsia"/>
          <w:sz w:val="24"/>
          <w:szCs w:val="24"/>
        </w:rPr>
        <w:t xml:space="preserve"> mehanizma financiranja obrazovanja odraslih u travnju 2022., do kraja 2024., korisnicima dodijeljeno 30.625 zahtjeva za dodjelu vaučera. Sustav vaučera je tijekom 2024. dodatno proširen na programe koji omogućuju i stjecanje drugih vještina za kojima se pokazuje potreba na tržištu rada, a financiraju se iz ESF+, čime se osigurava stabilan nastavak ulaganja u razvoj radne snage i povećanje njezine prilagodljivosti potrebama tržišta rada. Od travnja 2024. je u cilju jačanja integracije stranih radnika na domaćem tržištu rada kroz sustav vaučera omogućeno sufinanciranje učenja hrvatskog jezika za strane radnike zaposlene u ključnim sektorima. </w:t>
      </w:r>
      <w:r w:rsidRPr="00E40A1F">
        <w:rPr>
          <w:b/>
          <w:color w:val="000000" w:themeColor="text1"/>
          <w:sz w:val="24"/>
          <w:szCs w:val="24"/>
        </w:rPr>
        <w:br w:type="page"/>
      </w:r>
    </w:p>
    <w:p w14:paraId="0B5F6C18" w14:textId="77777777" w:rsidR="00FB178A" w:rsidRPr="00A111C7" w:rsidRDefault="00FB178A" w:rsidP="00FB178A">
      <w:pPr>
        <w:pStyle w:val="Heading2"/>
        <w:spacing w:after="240"/>
        <w:rPr>
          <w:sz w:val="24"/>
          <w:szCs w:val="24"/>
        </w:rPr>
      </w:pPr>
      <w:bookmarkStart w:id="64" w:name="_Toc223002929"/>
      <w:bookmarkStart w:id="65" w:name="_Hlk102557924"/>
      <w:r w:rsidRPr="00A111C7">
        <w:rPr>
          <w:sz w:val="24"/>
          <w:szCs w:val="24"/>
        </w:rPr>
        <w:lastRenderedPageBreak/>
        <w:t>3. Učinkovito i djelotvorno pravosuđe, javna uprava i upravljanje državnom imovinom</w:t>
      </w:r>
      <w:bookmarkEnd w:id="64"/>
    </w:p>
    <w:p w14:paraId="66C2917C" w14:textId="77777777" w:rsidR="00FB178A" w:rsidRPr="00A111C7" w:rsidRDefault="00FB178A" w:rsidP="00FB178A">
      <w:pPr>
        <w:pStyle w:val="Heading3"/>
        <w:rPr>
          <w:szCs w:val="24"/>
        </w:rPr>
      </w:pPr>
      <w:bookmarkStart w:id="66" w:name="_Toc223002930"/>
      <w:bookmarkEnd w:id="65"/>
      <w:r w:rsidRPr="00A111C7">
        <w:rPr>
          <w:szCs w:val="24"/>
        </w:rPr>
        <w:t>3.1. Ostvarene vrijednosti pokazatelja uspješnosti</w:t>
      </w:r>
      <w:bookmarkEnd w:id="66"/>
      <w:r w:rsidRPr="00A111C7">
        <w:rPr>
          <w:szCs w:val="24"/>
        </w:rPr>
        <w:t xml:space="preserve"> </w:t>
      </w:r>
    </w:p>
    <w:tbl>
      <w:tblPr>
        <w:tblStyle w:val="TableGrid"/>
        <w:tblW w:w="9488" w:type="dxa"/>
        <w:tblInd w:w="0" w:type="dxa"/>
        <w:tblLayout w:type="fixed"/>
        <w:tblLook w:val="04A0" w:firstRow="1" w:lastRow="0" w:firstColumn="1" w:lastColumn="0" w:noHBand="0" w:noVBand="1"/>
      </w:tblPr>
      <w:tblGrid>
        <w:gridCol w:w="3109"/>
        <w:gridCol w:w="2126"/>
        <w:gridCol w:w="1860"/>
        <w:gridCol w:w="2393"/>
      </w:tblGrid>
      <w:tr w:rsidR="00FB178A" w:rsidRPr="00145379" w14:paraId="468489F9" w14:textId="77777777" w:rsidTr="009E18ED">
        <w:trPr>
          <w:trHeight w:val="300"/>
        </w:trPr>
        <w:tc>
          <w:tcPr>
            <w:tcW w:w="3109" w:type="dxa"/>
            <w:tcBorders>
              <w:top w:val="dotted" w:sz="8" w:space="0" w:color="auto"/>
              <w:left w:val="dotted" w:sz="8" w:space="0" w:color="auto"/>
              <w:bottom w:val="dotted" w:sz="8" w:space="0" w:color="auto"/>
              <w:right w:val="dotted" w:sz="8" w:space="0" w:color="auto"/>
            </w:tcBorders>
            <w:shd w:val="clear" w:color="auto" w:fill="B6DDE8" w:themeFill="accent5" w:themeFillTint="66"/>
            <w:tcMar>
              <w:left w:w="108" w:type="dxa"/>
              <w:right w:w="108" w:type="dxa"/>
            </w:tcMar>
            <w:vAlign w:val="center"/>
          </w:tcPr>
          <w:p w14:paraId="515427CC" w14:textId="77777777" w:rsidR="00FB178A" w:rsidRPr="00145379" w:rsidRDefault="00FB178A" w:rsidP="009E18ED">
            <w:pPr>
              <w:spacing w:line="276" w:lineRule="auto"/>
              <w:jc w:val="center"/>
              <w:rPr>
                <w:sz w:val="24"/>
                <w:szCs w:val="24"/>
              </w:rPr>
            </w:pPr>
            <w:r w:rsidRPr="00145379">
              <w:rPr>
                <w:b/>
                <w:bCs/>
                <w:color w:val="000000" w:themeColor="text1"/>
                <w:sz w:val="24"/>
                <w:szCs w:val="24"/>
              </w:rPr>
              <w:t>Pokazatelj uspješnosti</w:t>
            </w:r>
          </w:p>
        </w:tc>
        <w:tc>
          <w:tcPr>
            <w:tcW w:w="2126" w:type="dxa"/>
            <w:tcBorders>
              <w:top w:val="dotted" w:sz="8" w:space="0" w:color="auto"/>
              <w:left w:val="dotted" w:sz="8" w:space="0" w:color="auto"/>
              <w:bottom w:val="dotted" w:sz="8" w:space="0" w:color="auto"/>
              <w:right w:val="dotted" w:sz="8" w:space="0" w:color="auto"/>
            </w:tcBorders>
            <w:shd w:val="clear" w:color="auto" w:fill="B6DDE8" w:themeFill="accent5" w:themeFillTint="66"/>
            <w:tcMar>
              <w:left w:w="108" w:type="dxa"/>
              <w:right w:w="108" w:type="dxa"/>
            </w:tcMar>
            <w:vAlign w:val="center"/>
          </w:tcPr>
          <w:p w14:paraId="2487B093" w14:textId="77777777" w:rsidR="00FB178A" w:rsidRPr="00145379" w:rsidRDefault="00FB178A" w:rsidP="009E18ED">
            <w:pPr>
              <w:spacing w:line="276" w:lineRule="auto"/>
              <w:jc w:val="center"/>
              <w:rPr>
                <w:sz w:val="24"/>
                <w:szCs w:val="24"/>
              </w:rPr>
            </w:pPr>
            <w:r w:rsidRPr="00145379">
              <w:rPr>
                <w:b/>
                <w:bCs/>
                <w:color w:val="000000" w:themeColor="text1"/>
                <w:sz w:val="24"/>
                <w:szCs w:val="24"/>
              </w:rPr>
              <w:t xml:space="preserve">Početna </w:t>
            </w:r>
          </w:p>
          <w:p w14:paraId="048DCDB9" w14:textId="77777777" w:rsidR="00FB178A" w:rsidRPr="00145379" w:rsidRDefault="00FB178A" w:rsidP="009E18ED">
            <w:pPr>
              <w:spacing w:line="276" w:lineRule="auto"/>
              <w:jc w:val="center"/>
              <w:rPr>
                <w:sz w:val="24"/>
                <w:szCs w:val="24"/>
              </w:rPr>
            </w:pPr>
            <w:r w:rsidRPr="00145379">
              <w:rPr>
                <w:b/>
                <w:bCs/>
                <w:color w:val="000000" w:themeColor="text1"/>
                <w:sz w:val="24"/>
                <w:szCs w:val="24"/>
              </w:rPr>
              <w:t>vrijednost</w:t>
            </w:r>
          </w:p>
        </w:tc>
        <w:tc>
          <w:tcPr>
            <w:tcW w:w="1860" w:type="dxa"/>
            <w:tcBorders>
              <w:top w:val="dotted" w:sz="8" w:space="0" w:color="auto"/>
              <w:left w:val="dotted" w:sz="8" w:space="0" w:color="auto"/>
              <w:bottom w:val="dotted" w:sz="8" w:space="0" w:color="auto"/>
              <w:right w:val="dotted" w:sz="8" w:space="0" w:color="auto"/>
            </w:tcBorders>
            <w:shd w:val="clear" w:color="auto" w:fill="B6DDE8" w:themeFill="accent5" w:themeFillTint="66"/>
            <w:tcMar>
              <w:left w:w="108" w:type="dxa"/>
              <w:right w:w="108" w:type="dxa"/>
            </w:tcMar>
            <w:vAlign w:val="center"/>
          </w:tcPr>
          <w:p w14:paraId="4F19EF46" w14:textId="77777777" w:rsidR="00FB178A" w:rsidRPr="00145379" w:rsidRDefault="00FB178A" w:rsidP="009E18ED">
            <w:pPr>
              <w:spacing w:line="276" w:lineRule="auto"/>
              <w:jc w:val="center"/>
              <w:rPr>
                <w:sz w:val="24"/>
                <w:szCs w:val="24"/>
              </w:rPr>
            </w:pPr>
            <w:r w:rsidRPr="00145379">
              <w:rPr>
                <w:b/>
                <w:bCs/>
                <w:color w:val="000000" w:themeColor="text1"/>
                <w:sz w:val="24"/>
                <w:szCs w:val="24"/>
              </w:rPr>
              <w:t>Ciljna vrijednost</w:t>
            </w:r>
          </w:p>
        </w:tc>
        <w:tc>
          <w:tcPr>
            <w:tcW w:w="2393" w:type="dxa"/>
            <w:tcBorders>
              <w:top w:val="dotted" w:sz="8" w:space="0" w:color="auto"/>
              <w:left w:val="dotted" w:sz="8" w:space="0" w:color="auto"/>
              <w:bottom w:val="dotted" w:sz="8" w:space="0" w:color="auto"/>
              <w:right w:val="dotted" w:sz="8" w:space="0" w:color="auto"/>
            </w:tcBorders>
            <w:shd w:val="clear" w:color="auto" w:fill="B6DDE8" w:themeFill="accent5" w:themeFillTint="66"/>
            <w:tcMar>
              <w:left w:w="108" w:type="dxa"/>
              <w:right w:w="108" w:type="dxa"/>
            </w:tcMar>
            <w:vAlign w:val="center"/>
          </w:tcPr>
          <w:p w14:paraId="30FD2BB2" w14:textId="77777777" w:rsidR="00FB178A" w:rsidRPr="00145379" w:rsidRDefault="00FB178A" w:rsidP="009E18ED">
            <w:pPr>
              <w:spacing w:line="276" w:lineRule="auto"/>
              <w:jc w:val="center"/>
              <w:rPr>
                <w:sz w:val="24"/>
                <w:szCs w:val="24"/>
              </w:rPr>
            </w:pPr>
            <w:r w:rsidRPr="00145379">
              <w:rPr>
                <w:b/>
                <w:bCs/>
                <w:color w:val="000000" w:themeColor="text1"/>
                <w:sz w:val="24"/>
                <w:szCs w:val="24"/>
              </w:rPr>
              <w:t xml:space="preserve">Ostvarena </w:t>
            </w:r>
          </w:p>
          <w:p w14:paraId="7B820847" w14:textId="77777777" w:rsidR="00FB178A" w:rsidRPr="00145379" w:rsidRDefault="00FB178A" w:rsidP="009E18ED">
            <w:pPr>
              <w:spacing w:line="276" w:lineRule="auto"/>
              <w:jc w:val="center"/>
              <w:rPr>
                <w:sz w:val="24"/>
                <w:szCs w:val="24"/>
              </w:rPr>
            </w:pPr>
            <w:r w:rsidRPr="00145379">
              <w:rPr>
                <w:b/>
                <w:bCs/>
                <w:color w:val="000000" w:themeColor="text1"/>
                <w:sz w:val="24"/>
                <w:szCs w:val="24"/>
              </w:rPr>
              <w:t>vrijednost</w:t>
            </w:r>
          </w:p>
        </w:tc>
      </w:tr>
      <w:tr w:rsidR="00FB178A" w:rsidRPr="00145379" w14:paraId="34CE9FFB" w14:textId="77777777" w:rsidTr="009E18ED">
        <w:trPr>
          <w:trHeight w:val="1146"/>
        </w:trPr>
        <w:tc>
          <w:tcPr>
            <w:tcW w:w="3109" w:type="dxa"/>
            <w:tcBorders>
              <w:top w:val="dotted" w:sz="8" w:space="0" w:color="auto"/>
              <w:left w:val="dotted" w:sz="8" w:space="0" w:color="auto"/>
              <w:bottom w:val="dotted" w:sz="8" w:space="0" w:color="auto"/>
              <w:right w:val="nil"/>
            </w:tcBorders>
            <w:tcMar>
              <w:left w:w="108" w:type="dxa"/>
              <w:right w:w="108" w:type="dxa"/>
            </w:tcMar>
            <w:vAlign w:val="center"/>
          </w:tcPr>
          <w:p w14:paraId="65ADEACC" w14:textId="77777777" w:rsidR="00FB178A" w:rsidRPr="00145379" w:rsidRDefault="00FB178A" w:rsidP="009E18ED">
            <w:pPr>
              <w:spacing w:line="276" w:lineRule="auto"/>
              <w:rPr>
                <w:sz w:val="24"/>
                <w:szCs w:val="24"/>
              </w:rPr>
            </w:pPr>
            <w:r w:rsidRPr="00145379">
              <w:rPr>
                <w:color w:val="000000" w:themeColor="text1"/>
                <w:sz w:val="24"/>
                <w:szCs w:val="24"/>
              </w:rPr>
              <w:t>Pokazatelj vremena rješavanja prvostupanjskih parničnih i trgovačkih predmeta</w:t>
            </w:r>
          </w:p>
        </w:tc>
        <w:tc>
          <w:tcPr>
            <w:tcW w:w="2126" w:type="dxa"/>
            <w:tcBorders>
              <w:top w:val="dotted" w:sz="8" w:space="0" w:color="auto"/>
              <w:left w:val="nil"/>
              <w:bottom w:val="dotted" w:sz="8" w:space="0" w:color="auto"/>
              <w:right w:val="nil"/>
            </w:tcBorders>
            <w:shd w:val="clear" w:color="auto" w:fill="DAEEF3" w:themeFill="accent5" w:themeFillTint="33"/>
            <w:tcMar>
              <w:left w:w="108" w:type="dxa"/>
              <w:right w:w="108" w:type="dxa"/>
            </w:tcMar>
            <w:vAlign w:val="center"/>
          </w:tcPr>
          <w:p w14:paraId="5C15900A" w14:textId="77777777" w:rsidR="00FB178A" w:rsidRPr="00145379" w:rsidRDefault="00FB178A" w:rsidP="009E18ED">
            <w:pPr>
              <w:spacing w:line="276" w:lineRule="auto"/>
              <w:jc w:val="center"/>
              <w:rPr>
                <w:sz w:val="24"/>
                <w:szCs w:val="24"/>
              </w:rPr>
            </w:pPr>
            <w:r w:rsidRPr="00145379">
              <w:rPr>
                <w:color w:val="000000" w:themeColor="text1"/>
                <w:sz w:val="24"/>
                <w:szCs w:val="24"/>
              </w:rPr>
              <w:t>374 dana (2018.)</w:t>
            </w:r>
          </w:p>
        </w:tc>
        <w:tc>
          <w:tcPr>
            <w:tcW w:w="1860" w:type="dxa"/>
            <w:tcBorders>
              <w:top w:val="dotted" w:sz="8" w:space="0" w:color="auto"/>
              <w:left w:val="nil"/>
              <w:bottom w:val="dotted" w:sz="8" w:space="0" w:color="auto"/>
              <w:right w:val="nil"/>
            </w:tcBorders>
            <w:tcMar>
              <w:left w:w="108" w:type="dxa"/>
              <w:right w:w="108" w:type="dxa"/>
            </w:tcMar>
            <w:vAlign w:val="center"/>
          </w:tcPr>
          <w:p w14:paraId="4243BA1B" w14:textId="77777777" w:rsidR="00FB178A" w:rsidRPr="00145379" w:rsidRDefault="00FB178A" w:rsidP="009E18ED">
            <w:pPr>
              <w:spacing w:line="276" w:lineRule="auto"/>
              <w:jc w:val="center"/>
              <w:rPr>
                <w:sz w:val="24"/>
                <w:szCs w:val="24"/>
              </w:rPr>
            </w:pPr>
            <w:r w:rsidRPr="00145379">
              <w:rPr>
                <w:color w:val="000000" w:themeColor="text1"/>
                <w:sz w:val="24"/>
                <w:szCs w:val="24"/>
              </w:rPr>
              <w:t>250 dana</w:t>
            </w:r>
          </w:p>
        </w:tc>
        <w:tc>
          <w:tcPr>
            <w:tcW w:w="2393" w:type="dxa"/>
            <w:tcBorders>
              <w:top w:val="dotted" w:sz="8" w:space="0" w:color="auto"/>
              <w:left w:val="nil"/>
              <w:bottom w:val="dotted" w:sz="8" w:space="0" w:color="auto"/>
              <w:right w:val="dotted" w:sz="8" w:space="0" w:color="auto"/>
            </w:tcBorders>
            <w:shd w:val="clear" w:color="auto" w:fill="DAEEF3" w:themeFill="accent5" w:themeFillTint="33"/>
            <w:tcMar>
              <w:left w:w="108" w:type="dxa"/>
              <w:right w:w="108" w:type="dxa"/>
            </w:tcMar>
            <w:vAlign w:val="center"/>
          </w:tcPr>
          <w:p w14:paraId="3B477BEB" w14:textId="77777777" w:rsidR="00FB178A" w:rsidRDefault="00FB178A" w:rsidP="009E18ED">
            <w:pPr>
              <w:spacing w:line="276" w:lineRule="auto"/>
              <w:jc w:val="center"/>
              <w:rPr>
                <w:sz w:val="24"/>
                <w:szCs w:val="24"/>
              </w:rPr>
            </w:pPr>
            <w:r>
              <w:rPr>
                <w:sz w:val="24"/>
                <w:szCs w:val="24"/>
              </w:rPr>
              <w:t xml:space="preserve">469 dana </w:t>
            </w:r>
          </w:p>
          <w:p w14:paraId="4069C59B" w14:textId="77777777" w:rsidR="00FB178A" w:rsidRPr="00145379" w:rsidRDefault="00FB178A" w:rsidP="009E18ED">
            <w:pPr>
              <w:spacing w:line="276" w:lineRule="auto"/>
              <w:jc w:val="center"/>
              <w:rPr>
                <w:sz w:val="24"/>
                <w:szCs w:val="24"/>
              </w:rPr>
            </w:pPr>
            <w:r>
              <w:rPr>
                <w:sz w:val="24"/>
                <w:szCs w:val="24"/>
              </w:rPr>
              <w:t>(2024.)</w:t>
            </w:r>
          </w:p>
        </w:tc>
      </w:tr>
      <w:tr w:rsidR="00FB178A" w:rsidRPr="00145379" w14:paraId="22563E4D" w14:textId="77777777" w:rsidTr="009E18ED">
        <w:trPr>
          <w:trHeight w:val="964"/>
        </w:trPr>
        <w:tc>
          <w:tcPr>
            <w:tcW w:w="3109" w:type="dxa"/>
            <w:tcBorders>
              <w:top w:val="dotted" w:sz="8" w:space="0" w:color="auto"/>
              <w:left w:val="dotted" w:sz="8" w:space="0" w:color="auto"/>
              <w:bottom w:val="dotted" w:sz="8" w:space="0" w:color="auto"/>
              <w:right w:val="nil"/>
            </w:tcBorders>
            <w:shd w:val="clear" w:color="auto" w:fill="F2F2F2" w:themeFill="background1" w:themeFillShade="F2"/>
            <w:tcMar>
              <w:left w:w="108" w:type="dxa"/>
              <w:right w:w="108" w:type="dxa"/>
            </w:tcMar>
            <w:vAlign w:val="center"/>
          </w:tcPr>
          <w:p w14:paraId="75DC1D66" w14:textId="77777777" w:rsidR="00FB178A" w:rsidRPr="00145379" w:rsidRDefault="00FB178A" w:rsidP="009E18ED">
            <w:pPr>
              <w:spacing w:line="276" w:lineRule="auto"/>
              <w:rPr>
                <w:i/>
                <w:color w:val="000000" w:themeColor="text1"/>
                <w:sz w:val="24"/>
                <w:szCs w:val="24"/>
              </w:rPr>
            </w:pPr>
            <w:r w:rsidRPr="00145379">
              <w:rPr>
                <w:i/>
                <w:color w:val="000000" w:themeColor="text1"/>
                <w:sz w:val="24"/>
                <w:szCs w:val="24"/>
              </w:rPr>
              <w:t>Indeks globalne konkurentnosti (GCI)</w:t>
            </w:r>
          </w:p>
          <w:p w14:paraId="1860BB42" w14:textId="77777777" w:rsidR="00FB178A" w:rsidRPr="00145379" w:rsidRDefault="00FB178A" w:rsidP="009E18ED">
            <w:pPr>
              <w:spacing w:line="276" w:lineRule="auto"/>
              <w:rPr>
                <w:i/>
                <w:color w:val="000000" w:themeColor="text1"/>
                <w:sz w:val="24"/>
                <w:szCs w:val="24"/>
              </w:rPr>
            </w:pPr>
            <w:r w:rsidRPr="00145379">
              <w:rPr>
                <w:i/>
                <w:color w:val="000000" w:themeColor="text1"/>
                <w:sz w:val="24"/>
                <w:szCs w:val="24"/>
              </w:rPr>
              <w:t xml:space="preserve"> - Stup 1. „Institucije” </w:t>
            </w:r>
          </w:p>
        </w:tc>
        <w:tc>
          <w:tcPr>
            <w:tcW w:w="2126" w:type="dxa"/>
            <w:tcBorders>
              <w:top w:val="dotted" w:sz="8" w:space="0" w:color="auto"/>
              <w:left w:val="nil"/>
              <w:bottom w:val="dotted" w:sz="8" w:space="0" w:color="auto"/>
              <w:right w:val="nil"/>
            </w:tcBorders>
            <w:shd w:val="clear" w:color="auto" w:fill="F2F2F2" w:themeFill="background1" w:themeFillShade="F2"/>
            <w:tcMar>
              <w:left w:w="108" w:type="dxa"/>
              <w:right w:w="108" w:type="dxa"/>
            </w:tcMar>
            <w:vAlign w:val="center"/>
          </w:tcPr>
          <w:p w14:paraId="51FC875A" w14:textId="77777777" w:rsidR="00FB178A" w:rsidRPr="00145379" w:rsidRDefault="00FB178A" w:rsidP="009E18ED">
            <w:pPr>
              <w:spacing w:line="276" w:lineRule="auto"/>
              <w:jc w:val="center"/>
              <w:rPr>
                <w:i/>
                <w:color w:val="000000" w:themeColor="text1"/>
                <w:sz w:val="24"/>
                <w:szCs w:val="24"/>
              </w:rPr>
            </w:pPr>
            <w:r w:rsidRPr="00145379">
              <w:rPr>
                <w:i/>
                <w:color w:val="000000" w:themeColor="text1"/>
                <w:sz w:val="24"/>
                <w:szCs w:val="24"/>
              </w:rPr>
              <w:t>77. mjesto (2019.)</w:t>
            </w:r>
          </w:p>
        </w:tc>
        <w:tc>
          <w:tcPr>
            <w:tcW w:w="1860" w:type="dxa"/>
            <w:tcBorders>
              <w:top w:val="dotted" w:sz="8" w:space="0" w:color="auto"/>
              <w:left w:val="nil"/>
              <w:bottom w:val="dotted" w:sz="8" w:space="0" w:color="auto"/>
              <w:right w:val="nil"/>
            </w:tcBorders>
            <w:shd w:val="clear" w:color="auto" w:fill="F2F2F2" w:themeFill="background1" w:themeFillShade="F2"/>
            <w:tcMar>
              <w:left w:w="108" w:type="dxa"/>
              <w:right w:w="108" w:type="dxa"/>
            </w:tcMar>
            <w:vAlign w:val="center"/>
          </w:tcPr>
          <w:p w14:paraId="5FE16042" w14:textId="77777777" w:rsidR="00FB178A" w:rsidRPr="00145379" w:rsidRDefault="00FB178A" w:rsidP="009E18ED">
            <w:pPr>
              <w:spacing w:line="276" w:lineRule="auto"/>
              <w:jc w:val="center"/>
              <w:rPr>
                <w:i/>
                <w:color w:val="000000" w:themeColor="text1"/>
                <w:sz w:val="24"/>
                <w:szCs w:val="24"/>
              </w:rPr>
            </w:pPr>
            <w:r w:rsidRPr="00145379">
              <w:rPr>
                <w:i/>
                <w:color w:val="000000" w:themeColor="text1"/>
                <w:sz w:val="24"/>
                <w:szCs w:val="24"/>
              </w:rPr>
              <w:t>&lt; 60. mjesta</w:t>
            </w:r>
          </w:p>
        </w:tc>
        <w:tc>
          <w:tcPr>
            <w:tcW w:w="2393" w:type="dxa"/>
            <w:tcBorders>
              <w:top w:val="dotted" w:sz="8" w:space="0" w:color="auto"/>
              <w:left w:val="nil"/>
              <w:bottom w:val="dotted" w:sz="8" w:space="0" w:color="auto"/>
              <w:right w:val="dotted" w:sz="8" w:space="0" w:color="auto"/>
            </w:tcBorders>
            <w:shd w:val="clear" w:color="auto" w:fill="F2F2F2" w:themeFill="background1" w:themeFillShade="F2"/>
            <w:tcMar>
              <w:left w:w="108" w:type="dxa"/>
              <w:right w:w="108" w:type="dxa"/>
            </w:tcMar>
            <w:vAlign w:val="center"/>
          </w:tcPr>
          <w:p w14:paraId="6436B8A3" w14:textId="77777777" w:rsidR="00FB178A" w:rsidRPr="00B44EB7" w:rsidRDefault="00FB178A" w:rsidP="009E18ED">
            <w:pPr>
              <w:spacing w:line="276" w:lineRule="auto"/>
              <w:jc w:val="center"/>
              <w:rPr>
                <w:i/>
                <w:sz w:val="24"/>
                <w:szCs w:val="24"/>
                <w:vertAlign w:val="superscript"/>
              </w:rPr>
            </w:pPr>
            <w:r>
              <w:rPr>
                <w:i/>
                <w:sz w:val="32"/>
                <w:szCs w:val="32"/>
                <w:vertAlign w:val="superscript"/>
              </w:rPr>
              <w:t>Nisu dostupni podaci za 2024.</w:t>
            </w:r>
          </w:p>
        </w:tc>
      </w:tr>
      <w:tr w:rsidR="00FB178A" w:rsidRPr="00145379" w14:paraId="34D0DAEA" w14:textId="77777777" w:rsidTr="009E18ED">
        <w:trPr>
          <w:trHeight w:val="1125"/>
        </w:trPr>
        <w:tc>
          <w:tcPr>
            <w:tcW w:w="3109" w:type="dxa"/>
            <w:tcBorders>
              <w:top w:val="dotted" w:sz="8" w:space="0" w:color="auto"/>
              <w:left w:val="dotted" w:sz="8" w:space="0" w:color="auto"/>
              <w:bottom w:val="dotted" w:sz="8" w:space="0" w:color="auto"/>
              <w:right w:val="nil"/>
            </w:tcBorders>
            <w:tcMar>
              <w:left w:w="108" w:type="dxa"/>
              <w:right w:w="108" w:type="dxa"/>
            </w:tcMar>
            <w:vAlign w:val="center"/>
          </w:tcPr>
          <w:p w14:paraId="61A0D7D4" w14:textId="77777777" w:rsidR="00FB178A" w:rsidRPr="00145379" w:rsidRDefault="00FB178A" w:rsidP="009E18ED">
            <w:pPr>
              <w:spacing w:line="276" w:lineRule="auto"/>
              <w:rPr>
                <w:sz w:val="24"/>
                <w:szCs w:val="24"/>
              </w:rPr>
            </w:pPr>
            <w:r w:rsidRPr="00145379">
              <w:rPr>
                <w:b/>
                <w:bCs/>
                <w:color w:val="000000" w:themeColor="text1"/>
                <w:sz w:val="24"/>
                <w:szCs w:val="24"/>
              </w:rPr>
              <w:t>Poredak na ljestvici globalne konkurentnosti (WCR, IMD), kategorija Djelotvornost javne uprave</w:t>
            </w:r>
          </w:p>
        </w:tc>
        <w:tc>
          <w:tcPr>
            <w:tcW w:w="2126" w:type="dxa"/>
            <w:tcBorders>
              <w:top w:val="dotted" w:sz="8" w:space="0" w:color="auto"/>
              <w:left w:val="nil"/>
              <w:bottom w:val="dotted" w:sz="8" w:space="0" w:color="auto"/>
              <w:right w:val="nil"/>
            </w:tcBorders>
            <w:shd w:val="clear" w:color="auto" w:fill="DAEEF3" w:themeFill="accent5" w:themeFillTint="33"/>
            <w:tcMar>
              <w:left w:w="108" w:type="dxa"/>
              <w:right w:w="108" w:type="dxa"/>
            </w:tcMar>
            <w:vAlign w:val="center"/>
          </w:tcPr>
          <w:p w14:paraId="7284C145" w14:textId="77777777" w:rsidR="00FB178A" w:rsidRPr="00145379" w:rsidRDefault="00FB178A" w:rsidP="009E18ED">
            <w:pPr>
              <w:spacing w:line="276" w:lineRule="auto"/>
              <w:jc w:val="center"/>
              <w:rPr>
                <w:sz w:val="24"/>
                <w:szCs w:val="24"/>
              </w:rPr>
            </w:pPr>
            <w:r w:rsidRPr="00145379">
              <w:rPr>
                <w:b/>
                <w:bCs/>
                <w:color w:val="000000" w:themeColor="text1"/>
                <w:sz w:val="24"/>
                <w:szCs w:val="24"/>
              </w:rPr>
              <w:t>59. mjesto (2020.)</w:t>
            </w:r>
          </w:p>
        </w:tc>
        <w:tc>
          <w:tcPr>
            <w:tcW w:w="1860" w:type="dxa"/>
            <w:tcBorders>
              <w:top w:val="dotted" w:sz="8" w:space="0" w:color="auto"/>
              <w:left w:val="nil"/>
              <w:bottom w:val="dotted" w:sz="8" w:space="0" w:color="auto"/>
              <w:right w:val="nil"/>
            </w:tcBorders>
            <w:tcMar>
              <w:left w:w="108" w:type="dxa"/>
              <w:right w:w="108" w:type="dxa"/>
            </w:tcMar>
            <w:vAlign w:val="center"/>
          </w:tcPr>
          <w:p w14:paraId="69F76B6D" w14:textId="77777777" w:rsidR="00FB178A" w:rsidRPr="00145379" w:rsidRDefault="00FB178A" w:rsidP="009E18ED">
            <w:pPr>
              <w:spacing w:line="276" w:lineRule="auto"/>
              <w:jc w:val="center"/>
              <w:rPr>
                <w:sz w:val="24"/>
                <w:szCs w:val="24"/>
              </w:rPr>
            </w:pPr>
            <w:r w:rsidRPr="00145379">
              <w:rPr>
                <w:b/>
                <w:bCs/>
                <w:color w:val="000000" w:themeColor="text1"/>
                <w:sz w:val="24"/>
                <w:szCs w:val="24"/>
              </w:rPr>
              <w:t>n/p</w:t>
            </w:r>
          </w:p>
        </w:tc>
        <w:tc>
          <w:tcPr>
            <w:tcW w:w="2393" w:type="dxa"/>
            <w:tcBorders>
              <w:top w:val="dotted" w:sz="8" w:space="0" w:color="auto"/>
              <w:left w:val="nil"/>
              <w:bottom w:val="dotted" w:sz="8" w:space="0" w:color="auto"/>
              <w:right w:val="dotted" w:sz="8" w:space="0" w:color="auto"/>
            </w:tcBorders>
            <w:shd w:val="clear" w:color="auto" w:fill="DAEEF3" w:themeFill="accent5" w:themeFillTint="33"/>
            <w:tcMar>
              <w:left w:w="108" w:type="dxa"/>
              <w:right w:w="108" w:type="dxa"/>
            </w:tcMar>
            <w:vAlign w:val="center"/>
          </w:tcPr>
          <w:p w14:paraId="53E11C13" w14:textId="77777777" w:rsidR="00FB178A" w:rsidRDefault="00FB178A" w:rsidP="009E18ED">
            <w:pPr>
              <w:spacing w:line="276" w:lineRule="auto"/>
              <w:jc w:val="center"/>
              <w:rPr>
                <w:sz w:val="24"/>
                <w:szCs w:val="24"/>
              </w:rPr>
            </w:pPr>
            <w:r>
              <w:rPr>
                <w:sz w:val="24"/>
                <w:szCs w:val="24"/>
              </w:rPr>
              <w:t xml:space="preserve">47. mjesto </w:t>
            </w:r>
          </w:p>
          <w:p w14:paraId="7DFED8D2" w14:textId="77777777" w:rsidR="00FB178A" w:rsidRPr="00145379" w:rsidRDefault="00FB178A" w:rsidP="009E18ED">
            <w:pPr>
              <w:spacing w:line="276" w:lineRule="auto"/>
              <w:jc w:val="center"/>
              <w:rPr>
                <w:sz w:val="24"/>
                <w:szCs w:val="24"/>
              </w:rPr>
            </w:pPr>
            <w:r>
              <w:rPr>
                <w:sz w:val="24"/>
                <w:szCs w:val="24"/>
              </w:rPr>
              <w:t>(2024.)</w:t>
            </w:r>
          </w:p>
        </w:tc>
      </w:tr>
    </w:tbl>
    <w:p w14:paraId="4B6B08C4" w14:textId="77777777" w:rsidR="00FB178A" w:rsidRPr="00145379" w:rsidRDefault="00FB178A" w:rsidP="00FB178A">
      <w:pPr>
        <w:spacing w:line="276" w:lineRule="auto"/>
        <w:jc w:val="both"/>
        <w:rPr>
          <w:color w:val="000000" w:themeColor="text1"/>
          <w:sz w:val="24"/>
          <w:szCs w:val="24"/>
        </w:rPr>
      </w:pPr>
      <w:r w:rsidRPr="00145379">
        <w:rPr>
          <w:sz w:val="24"/>
          <w:szCs w:val="24"/>
        </w:rPr>
        <w:t xml:space="preserve"> </w:t>
      </w:r>
    </w:p>
    <w:p w14:paraId="643C2529" w14:textId="77777777" w:rsidR="00FB178A" w:rsidRPr="00C93385" w:rsidRDefault="00FB178A" w:rsidP="00FB178A">
      <w:pPr>
        <w:pStyle w:val="Heading3"/>
      </w:pPr>
      <w:bookmarkStart w:id="67" w:name="_Toc223002931"/>
      <w:r w:rsidRPr="0004221B">
        <w:t>3.2. Opis napretka u provedbi strateškog cilja Učinkovito i djelotvorno pravosuđe, javna uprava i upravljanje državnom imovinom</w:t>
      </w:r>
      <w:bookmarkEnd w:id="67"/>
      <w:r w:rsidRPr="0004221B">
        <w:t xml:space="preserve"> </w:t>
      </w:r>
    </w:p>
    <w:p w14:paraId="726A8D8D" w14:textId="77777777" w:rsidR="00FB178A" w:rsidRPr="00145379" w:rsidRDefault="00FB178A" w:rsidP="00FB178A">
      <w:pPr>
        <w:spacing w:before="240" w:after="240" w:line="276" w:lineRule="auto"/>
        <w:ind w:firstLine="720"/>
        <w:jc w:val="both"/>
        <w:rPr>
          <w:b/>
          <w:bCs/>
          <w:sz w:val="24"/>
          <w:szCs w:val="24"/>
        </w:rPr>
      </w:pPr>
      <w:r w:rsidRPr="00145379">
        <w:rPr>
          <w:b/>
          <w:bCs/>
          <w:sz w:val="24"/>
          <w:szCs w:val="24"/>
        </w:rPr>
        <w:t>Učinkovito i djelotvorno pravosuđe</w:t>
      </w:r>
    </w:p>
    <w:p w14:paraId="7CC55D7E" w14:textId="77777777" w:rsidR="00FB178A" w:rsidRDefault="00FB178A" w:rsidP="00FB178A">
      <w:pPr>
        <w:spacing w:after="240" w:line="276" w:lineRule="auto"/>
        <w:ind w:firstLine="709"/>
        <w:jc w:val="both"/>
        <w:rPr>
          <w:color w:val="000000"/>
          <w:kern w:val="2"/>
          <w:sz w:val="24"/>
          <w:szCs w:val="24"/>
          <w:lang w:eastAsia="hr-HR"/>
          <w14:ligatures w14:val="standardContextual"/>
        </w:rPr>
      </w:pPr>
      <w:r w:rsidRPr="00B5220E">
        <w:rPr>
          <w:color w:val="000000"/>
          <w:kern w:val="2"/>
          <w:sz w:val="24"/>
          <w:szCs w:val="24"/>
          <w:lang w:eastAsia="hr-HR"/>
          <w14:ligatures w14:val="standardContextual"/>
        </w:rPr>
        <w:t xml:space="preserve">Tijekom 2024. pravosuđe u Hrvatskoj se borilo s otklanjanjem posljedica događaja iz 2023. (mjere upozorenja sudaca i štrajk sudskih službenika), koji su uzrokovali poteškoće u redovnom radu i otežali učinkovito funkcioniranje pravosudnog sustava. </w:t>
      </w:r>
      <w:r>
        <w:rPr>
          <w:color w:val="000000"/>
          <w:kern w:val="2"/>
          <w:sz w:val="24"/>
          <w:szCs w:val="24"/>
          <w:lang w:eastAsia="hr-HR"/>
          <w14:ligatures w14:val="standardContextual"/>
        </w:rPr>
        <w:t>Tijekom 2024. n</w:t>
      </w:r>
      <w:r w:rsidRPr="00B5220E">
        <w:rPr>
          <w:color w:val="000000"/>
          <w:kern w:val="2"/>
          <w:sz w:val="24"/>
          <w:szCs w:val="24"/>
          <w:lang w:eastAsia="hr-HR"/>
          <w14:ligatures w14:val="standardContextual"/>
        </w:rPr>
        <w:t xml:space="preserve">astavljena je provedba </w:t>
      </w:r>
      <w:r>
        <w:rPr>
          <w:color w:val="000000"/>
          <w:kern w:val="2"/>
          <w:sz w:val="24"/>
          <w:szCs w:val="24"/>
          <w:lang w:eastAsia="hr-HR"/>
          <w14:ligatures w14:val="standardContextual"/>
        </w:rPr>
        <w:t xml:space="preserve">reformskih mjera u okviru </w:t>
      </w:r>
      <w:r w:rsidRPr="00B5220E">
        <w:rPr>
          <w:color w:val="000000"/>
          <w:kern w:val="2"/>
          <w:sz w:val="24"/>
          <w:szCs w:val="24"/>
          <w:lang w:eastAsia="hr-HR"/>
          <w14:ligatures w14:val="standardContextual"/>
        </w:rPr>
        <w:t>Nacionalnog plana razvoja pravosudnog sustava za razdoblje od 2022. do 2027.</w:t>
      </w:r>
      <w:r>
        <w:rPr>
          <w:color w:val="000000"/>
          <w:kern w:val="2"/>
          <w:sz w:val="24"/>
          <w:szCs w:val="24"/>
          <w:lang w:eastAsia="hr-HR"/>
          <w14:ligatures w14:val="standardContextual"/>
        </w:rPr>
        <w:t xml:space="preserve">, čime se </w:t>
      </w:r>
      <w:r w:rsidRPr="00B5220E">
        <w:rPr>
          <w:color w:val="000000"/>
          <w:kern w:val="2"/>
          <w:sz w:val="24"/>
          <w:szCs w:val="24"/>
          <w:lang w:eastAsia="hr-HR"/>
          <w14:ligatures w14:val="standardContextual"/>
        </w:rPr>
        <w:t>doprinijel</w:t>
      </w:r>
      <w:r>
        <w:rPr>
          <w:color w:val="000000"/>
          <w:kern w:val="2"/>
          <w:sz w:val="24"/>
          <w:szCs w:val="24"/>
          <w:lang w:eastAsia="hr-HR"/>
          <w14:ligatures w14:val="standardContextual"/>
        </w:rPr>
        <w:t>o</w:t>
      </w:r>
      <w:r w:rsidRPr="00B5220E">
        <w:rPr>
          <w:color w:val="000000"/>
          <w:kern w:val="2"/>
          <w:sz w:val="24"/>
          <w:szCs w:val="24"/>
          <w:lang w:eastAsia="hr-HR"/>
          <w14:ligatures w14:val="standardContextual"/>
        </w:rPr>
        <w:t xml:space="preserve"> smanjenju prosječnog vremena trajanja prvostupanjskih građanskih i trgovačkih predmeta u 2024. u odnosu na 2023. (s 541 na 469 dana). Osim smanjenja trajanja prvostupanjskih građanskih i trgovačkih predmeta nastavio se pozitivan trend smanjenja broja neriješenih predmeta koji je na kraju 2024. iznosio </w:t>
      </w:r>
      <w:r w:rsidRPr="00B5220E">
        <w:rPr>
          <w:color w:val="000000"/>
          <w:kern w:val="2"/>
          <w:sz w:val="24"/>
          <w:szCs w:val="24"/>
          <w:lang w:eastAsia="en-GB"/>
          <w14:ligatures w14:val="standardContextual"/>
        </w:rPr>
        <w:t>445.978 (</w:t>
      </w:r>
      <w:r w:rsidRPr="00B5220E">
        <w:rPr>
          <w:color w:val="000000"/>
          <w:kern w:val="2"/>
          <w:sz w:val="24"/>
          <w:szCs w:val="24"/>
          <w:lang w:eastAsia="hr-HR"/>
          <w14:ligatures w14:val="standardContextual"/>
        </w:rPr>
        <w:t>459.447 u 2023.</w:t>
      </w:r>
      <w:r>
        <w:rPr>
          <w:color w:val="000000"/>
          <w:kern w:val="2"/>
          <w:sz w:val="24"/>
          <w:szCs w:val="24"/>
          <w:lang w:eastAsia="hr-HR"/>
          <w14:ligatures w14:val="standardContextual"/>
        </w:rPr>
        <w:t xml:space="preserve"> godini</w:t>
      </w:r>
      <w:r w:rsidRPr="00B5220E">
        <w:rPr>
          <w:color w:val="000000"/>
          <w:kern w:val="2"/>
          <w:sz w:val="24"/>
          <w:szCs w:val="24"/>
          <w:lang w:eastAsia="hr-HR"/>
          <w14:ligatures w14:val="standardContextual"/>
        </w:rPr>
        <w:t>). Također, zabilježeno je smanjenje udjela predmeta starijih od tri godine u ukupnom broju neriješenih predmeta koji je iznosio 20% u odnosu na 26% u 2023.</w:t>
      </w:r>
      <w:r>
        <w:rPr>
          <w:color w:val="000000"/>
          <w:kern w:val="2"/>
          <w:sz w:val="24"/>
          <w:szCs w:val="24"/>
          <w:lang w:eastAsia="hr-HR"/>
          <w14:ligatures w14:val="standardContextual"/>
        </w:rPr>
        <w:t xml:space="preserve"> godini.</w:t>
      </w:r>
    </w:p>
    <w:p w14:paraId="3AA0B3F8" w14:textId="77777777" w:rsidR="00FB178A" w:rsidRPr="00B5220E" w:rsidRDefault="00FB178A" w:rsidP="00FB178A">
      <w:pPr>
        <w:spacing w:after="240" w:line="276" w:lineRule="auto"/>
        <w:jc w:val="both"/>
        <w:rPr>
          <w:color w:val="000000"/>
          <w:kern w:val="2"/>
          <w:sz w:val="24"/>
          <w:szCs w:val="24"/>
          <w:lang w:eastAsia="hr-HR"/>
          <w14:ligatures w14:val="standardContextual"/>
        </w:rPr>
      </w:pPr>
      <w:r w:rsidRPr="00B5220E">
        <w:rPr>
          <w:color w:val="000000"/>
          <w:kern w:val="2"/>
          <w:sz w:val="24"/>
          <w:szCs w:val="24"/>
          <w:lang w:eastAsia="hr-HR"/>
          <w14:ligatures w14:val="standardContextual"/>
        </w:rPr>
        <w:t>Tijekom 2024. ostvaren</w:t>
      </w:r>
      <w:r>
        <w:rPr>
          <w:color w:val="000000"/>
          <w:kern w:val="2"/>
          <w:sz w:val="24"/>
          <w:szCs w:val="24"/>
          <w:lang w:eastAsia="hr-HR"/>
          <w14:ligatures w14:val="standardContextual"/>
        </w:rPr>
        <w:t xml:space="preserve">i su pozitivni pomaci </w:t>
      </w:r>
      <w:r w:rsidRPr="00B5220E">
        <w:rPr>
          <w:color w:val="000000"/>
          <w:kern w:val="2"/>
          <w:sz w:val="24"/>
          <w:szCs w:val="24"/>
          <w:lang w:eastAsia="hr-HR"/>
          <w14:ligatures w14:val="standardContextual"/>
        </w:rPr>
        <w:t xml:space="preserve">u jačanju transparentnosti i pravne sigurnosti, uz rast udjela potvrđenih prvostupanjskih odluka na višem sudu koji je za kaznene predmete porastao na 75% (74% u 2023.), dok je </w:t>
      </w:r>
      <w:r>
        <w:rPr>
          <w:color w:val="000000"/>
          <w:kern w:val="2"/>
          <w:sz w:val="24"/>
          <w:szCs w:val="24"/>
          <w:lang w:eastAsia="hr-HR"/>
          <w14:ligatures w14:val="standardContextual"/>
        </w:rPr>
        <w:t xml:space="preserve">istodobno </w:t>
      </w:r>
      <w:r w:rsidRPr="00B5220E">
        <w:rPr>
          <w:color w:val="000000"/>
          <w:kern w:val="2"/>
          <w:sz w:val="24"/>
          <w:szCs w:val="24"/>
          <w:lang w:eastAsia="hr-HR"/>
          <w14:ligatures w14:val="standardContextual"/>
        </w:rPr>
        <w:t xml:space="preserve">za građanske predmete </w:t>
      </w:r>
      <w:r>
        <w:rPr>
          <w:color w:val="000000"/>
          <w:kern w:val="2"/>
          <w:sz w:val="24"/>
          <w:szCs w:val="24"/>
          <w:lang w:eastAsia="hr-HR"/>
          <w14:ligatures w14:val="standardContextual"/>
        </w:rPr>
        <w:t>zabilježeno blago</w:t>
      </w:r>
      <w:r w:rsidRPr="00B5220E">
        <w:rPr>
          <w:color w:val="000000"/>
          <w:kern w:val="2"/>
          <w:sz w:val="24"/>
          <w:szCs w:val="24"/>
          <w:lang w:eastAsia="hr-HR"/>
          <w14:ligatures w14:val="standardContextual"/>
        </w:rPr>
        <w:t xml:space="preserve"> smanjenj</w:t>
      </w:r>
      <w:r>
        <w:rPr>
          <w:color w:val="000000"/>
          <w:kern w:val="2"/>
          <w:sz w:val="24"/>
          <w:szCs w:val="24"/>
          <w:lang w:eastAsia="hr-HR"/>
          <w14:ligatures w14:val="standardContextual"/>
        </w:rPr>
        <w:t>e</w:t>
      </w:r>
      <w:r w:rsidRPr="00B5220E">
        <w:rPr>
          <w:color w:val="000000"/>
          <w:kern w:val="2"/>
          <w:sz w:val="24"/>
          <w:szCs w:val="24"/>
          <w:lang w:eastAsia="hr-HR"/>
          <w14:ligatures w14:val="standardContextual"/>
        </w:rPr>
        <w:t xml:space="preserve"> </w:t>
      </w:r>
      <w:r>
        <w:rPr>
          <w:color w:val="000000"/>
          <w:kern w:val="2"/>
          <w:sz w:val="24"/>
          <w:szCs w:val="24"/>
          <w:lang w:eastAsia="hr-HR"/>
          <w14:ligatures w14:val="standardContextual"/>
        </w:rPr>
        <w:t xml:space="preserve">potvrđenih odluka </w:t>
      </w:r>
      <w:r w:rsidRPr="00B5220E">
        <w:rPr>
          <w:color w:val="000000"/>
          <w:kern w:val="2"/>
          <w:sz w:val="24"/>
          <w:szCs w:val="24"/>
          <w:lang w:eastAsia="hr-HR"/>
          <w14:ligatures w14:val="standardContextual"/>
        </w:rPr>
        <w:t>na 57% (60% u 2023.</w:t>
      </w:r>
      <w:r>
        <w:rPr>
          <w:color w:val="000000"/>
          <w:kern w:val="2"/>
          <w:sz w:val="24"/>
          <w:szCs w:val="24"/>
          <w:lang w:eastAsia="hr-HR"/>
          <w14:ligatures w14:val="standardContextual"/>
        </w:rPr>
        <w:t xml:space="preserve"> godini</w:t>
      </w:r>
      <w:r w:rsidRPr="00B5220E">
        <w:rPr>
          <w:color w:val="000000"/>
          <w:kern w:val="2"/>
          <w:sz w:val="24"/>
          <w:szCs w:val="24"/>
          <w:lang w:eastAsia="hr-HR"/>
          <w14:ligatures w14:val="standardContextual"/>
        </w:rPr>
        <w:t xml:space="preserve">). </w:t>
      </w:r>
      <w:r>
        <w:rPr>
          <w:color w:val="000000"/>
          <w:kern w:val="2"/>
          <w:sz w:val="24"/>
          <w:szCs w:val="24"/>
          <w:lang w:eastAsia="hr-HR"/>
          <w14:ligatures w14:val="standardContextual"/>
        </w:rPr>
        <w:t>Značajan</w:t>
      </w:r>
      <w:r w:rsidRPr="00B5220E">
        <w:rPr>
          <w:color w:val="000000"/>
          <w:kern w:val="2"/>
          <w:sz w:val="24"/>
          <w:szCs w:val="24"/>
          <w:lang w:eastAsia="hr-HR"/>
          <w14:ligatures w14:val="standardContextual"/>
        </w:rPr>
        <w:t xml:space="preserve"> napredak je </w:t>
      </w:r>
      <w:r>
        <w:rPr>
          <w:color w:val="000000"/>
          <w:kern w:val="2"/>
          <w:sz w:val="24"/>
          <w:szCs w:val="24"/>
          <w:lang w:eastAsia="hr-HR"/>
          <w14:ligatures w14:val="standardContextual"/>
        </w:rPr>
        <w:t>zabilježen</w:t>
      </w:r>
      <w:r w:rsidRPr="00B5220E">
        <w:rPr>
          <w:color w:val="000000"/>
          <w:kern w:val="2"/>
          <w:sz w:val="24"/>
          <w:szCs w:val="24"/>
          <w:lang w:eastAsia="hr-HR"/>
          <w14:ligatures w14:val="standardContextual"/>
        </w:rPr>
        <w:t xml:space="preserve"> u jačanju administrativnih kapaciteta te je 96,69% pravosudnih dužnosnika i službenika (80,25% u 2023.) završilo neki od programa stručnog usavršavanja, kao i 63% službenika zatvorskog i </w:t>
      </w:r>
      <w:proofErr w:type="spellStart"/>
      <w:r w:rsidRPr="00B5220E">
        <w:rPr>
          <w:color w:val="000000"/>
          <w:kern w:val="2"/>
          <w:sz w:val="24"/>
          <w:szCs w:val="24"/>
          <w:lang w:eastAsia="hr-HR"/>
          <w14:ligatures w14:val="standardContextual"/>
        </w:rPr>
        <w:t>probacijskog</w:t>
      </w:r>
      <w:proofErr w:type="spellEnd"/>
      <w:r w:rsidRPr="00B5220E">
        <w:rPr>
          <w:color w:val="000000"/>
          <w:kern w:val="2"/>
          <w:sz w:val="24"/>
          <w:szCs w:val="24"/>
          <w:lang w:eastAsia="hr-HR"/>
          <w14:ligatures w14:val="standardContextual"/>
        </w:rPr>
        <w:t xml:space="preserve"> sustava (50% u 2023.</w:t>
      </w:r>
      <w:r>
        <w:rPr>
          <w:color w:val="000000"/>
          <w:kern w:val="2"/>
          <w:sz w:val="24"/>
          <w:szCs w:val="24"/>
          <w:lang w:eastAsia="hr-HR"/>
          <w14:ligatures w14:val="standardContextual"/>
        </w:rPr>
        <w:t xml:space="preserve"> godini</w:t>
      </w:r>
      <w:r w:rsidRPr="00B5220E">
        <w:rPr>
          <w:color w:val="000000"/>
          <w:kern w:val="2"/>
          <w:sz w:val="24"/>
          <w:szCs w:val="24"/>
          <w:lang w:eastAsia="hr-HR"/>
          <w14:ligatures w14:val="standardContextual"/>
        </w:rPr>
        <w:t>).</w:t>
      </w:r>
      <w:r w:rsidRPr="00165603">
        <w:rPr>
          <w:color w:val="000000"/>
          <w:kern w:val="2"/>
          <w:sz w:val="24"/>
          <w:szCs w:val="24"/>
          <w:lang w:eastAsia="hr-HR"/>
          <w14:ligatures w14:val="standardContextual"/>
        </w:rPr>
        <w:t xml:space="preserve"> Pravosudna akademija je u 2024. organizirala ukupno 565 obrazovnih aktivnosti, što je 26 više nego prethodne godine. Program inicijalne izobrazbe uspješno </w:t>
      </w:r>
      <w:r w:rsidRPr="00165603">
        <w:rPr>
          <w:color w:val="000000"/>
          <w:kern w:val="2"/>
          <w:sz w:val="24"/>
          <w:szCs w:val="24"/>
          <w:lang w:eastAsia="hr-HR"/>
          <w14:ligatures w14:val="standardContextual"/>
        </w:rPr>
        <w:lastRenderedPageBreak/>
        <w:t xml:space="preserve">je dovršilo 34 vježbenika, a 209 polaznika završilo je Državnu školu za pravosudne dužnosnike. U okviru cjeloživotnog stručnog usavršavanja održane su 444 aktivnosti za 8.752 polaznika, uz najviše sudionika iz redova sudaca. U edukacije su uključeni i savjetnici, državni odvjetnici, službenici te ostali stručnjaci. Najviše aktivnosti obuhvaćalo je kazneno i građansko pravo, a značajan broj odnosio se i na trgovačko i prekršajno pravo. </w:t>
      </w:r>
      <w:r>
        <w:rPr>
          <w:color w:val="000000"/>
          <w:kern w:val="2"/>
          <w:sz w:val="24"/>
          <w:szCs w:val="24"/>
          <w:lang w:eastAsia="hr-HR"/>
          <w14:ligatures w14:val="standardContextual"/>
        </w:rPr>
        <w:t>Dodatno, z</w:t>
      </w:r>
      <w:r w:rsidRPr="00B5220E">
        <w:rPr>
          <w:color w:val="000000"/>
          <w:kern w:val="2"/>
          <w:sz w:val="24"/>
          <w:szCs w:val="24"/>
          <w:lang w:eastAsia="hr-HR"/>
          <w14:ligatures w14:val="standardContextual"/>
        </w:rPr>
        <w:t xml:space="preserve">abilježeno je </w:t>
      </w:r>
      <w:r>
        <w:rPr>
          <w:color w:val="000000"/>
          <w:kern w:val="2"/>
          <w:sz w:val="24"/>
          <w:szCs w:val="24"/>
          <w:lang w:eastAsia="hr-HR"/>
          <w14:ligatures w14:val="standardContextual"/>
        </w:rPr>
        <w:t xml:space="preserve">blago </w:t>
      </w:r>
      <w:r w:rsidRPr="00B5220E">
        <w:rPr>
          <w:color w:val="000000"/>
          <w:kern w:val="2"/>
          <w:sz w:val="24"/>
          <w:szCs w:val="24"/>
          <w:lang w:eastAsia="hr-HR"/>
          <w14:ligatures w14:val="standardContextual"/>
        </w:rPr>
        <w:t>smanjenje razine osposobljenosti pravosudnih dužnosnika i službenika za digitalnu transformaciju koji je u 2024. smanjen na razinu od 9,35% (10,40% u 2023.</w:t>
      </w:r>
      <w:r>
        <w:rPr>
          <w:color w:val="000000"/>
          <w:kern w:val="2"/>
          <w:sz w:val="24"/>
          <w:szCs w:val="24"/>
          <w:lang w:eastAsia="hr-HR"/>
          <w14:ligatures w14:val="standardContextual"/>
        </w:rPr>
        <w:t xml:space="preserve"> godini</w:t>
      </w:r>
      <w:r w:rsidRPr="00B5220E">
        <w:rPr>
          <w:color w:val="000000"/>
          <w:kern w:val="2"/>
          <w:sz w:val="24"/>
          <w:szCs w:val="24"/>
          <w:lang w:eastAsia="hr-HR"/>
          <w14:ligatures w14:val="standardContextual"/>
        </w:rPr>
        <w:t>). Modernizacija pravosudne infrastrukture i provedba ulaganja u infrastrukturu</w:t>
      </w:r>
      <w:r>
        <w:rPr>
          <w:color w:val="000000"/>
          <w:kern w:val="2"/>
          <w:sz w:val="24"/>
          <w:szCs w:val="24"/>
          <w:lang w:eastAsia="hr-HR"/>
          <w14:ligatures w14:val="standardContextual"/>
        </w:rPr>
        <w:t>,</w:t>
      </w:r>
      <w:r w:rsidRPr="00B5220E">
        <w:rPr>
          <w:color w:val="000000"/>
          <w:kern w:val="2"/>
          <w:sz w:val="24"/>
          <w:szCs w:val="24"/>
          <w:lang w:eastAsia="hr-HR"/>
          <w14:ligatures w14:val="standardContextual"/>
        </w:rPr>
        <w:t xml:space="preserve"> </w:t>
      </w:r>
      <w:r>
        <w:rPr>
          <w:color w:val="000000"/>
          <w:kern w:val="2"/>
          <w:sz w:val="24"/>
          <w:szCs w:val="24"/>
          <w:lang w:eastAsia="hr-HR"/>
          <w14:ligatures w14:val="standardContextual"/>
        </w:rPr>
        <w:t>s ciljem</w:t>
      </w:r>
      <w:r w:rsidRPr="00B5220E">
        <w:rPr>
          <w:color w:val="000000"/>
          <w:kern w:val="2"/>
          <w:sz w:val="24"/>
          <w:szCs w:val="24"/>
          <w:lang w:eastAsia="hr-HR"/>
          <w14:ligatures w14:val="standardContextual"/>
        </w:rPr>
        <w:t xml:space="preserve"> poboljšanja uvjeta u zatvorskom i </w:t>
      </w:r>
      <w:proofErr w:type="spellStart"/>
      <w:r w:rsidRPr="00B5220E">
        <w:rPr>
          <w:color w:val="000000"/>
          <w:kern w:val="2"/>
          <w:sz w:val="24"/>
          <w:szCs w:val="24"/>
          <w:lang w:eastAsia="hr-HR"/>
          <w14:ligatures w14:val="standardContextual"/>
        </w:rPr>
        <w:t>probacijskom</w:t>
      </w:r>
      <w:proofErr w:type="spellEnd"/>
      <w:r w:rsidRPr="00B5220E">
        <w:rPr>
          <w:color w:val="000000"/>
          <w:kern w:val="2"/>
          <w:sz w:val="24"/>
          <w:szCs w:val="24"/>
          <w:lang w:eastAsia="hr-HR"/>
          <w14:ligatures w14:val="standardContextual"/>
        </w:rPr>
        <w:t xml:space="preserve"> sustavu</w:t>
      </w:r>
      <w:r>
        <w:rPr>
          <w:color w:val="000000"/>
          <w:kern w:val="2"/>
          <w:sz w:val="24"/>
          <w:szCs w:val="24"/>
          <w:lang w:eastAsia="hr-HR"/>
          <w14:ligatures w14:val="standardContextual"/>
        </w:rPr>
        <w:t>,</w:t>
      </w:r>
      <w:r w:rsidRPr="00B5220E">
        <w:rPr>
          <w:color w:val="000000"/>
          <w:kern w:val="2"/>
          <w:sz w:val="24"/>
          <w:szCs w:val="24"/>
          <w:lang w:eastAsia="hr-HR"/>
          <w14:ligatures w14:val="standardContextual"/>
        </w:rPr>
        <w:t xml:space="preserve"> također se nastavlja uspješno provoditi, uz povećanje ulaganja od 442% u odnosu na 2020. </w:t>
      </w:r>
      <w:r>
        <w:rPr>
          <w:color w:val="000000"/>
          <w:kern w:val="2"/>
          <w:sz w:val="24"/>
          <w:szCs w:val="24"/>
          <w:lang w:eastAsia="hr-HR"/>
          <w14:ligatures w14:val="standardContextual"/>
        </w:rPr>
        <w:t xml:space="preserve">godinu </w:t>
      </w:r>
      <w:r w:rsidRPr="00B5220E">
        <w:rPr>
          <w:color w:val="000000"/>
          <w:kern w:val="2"/>
          <w:sz w:val="24"/>
          <w:szCs w:val="24"/>
          <w:lang w:eastAsia="hr-HR"/>
          <w14:ligatures w14:val="standardContextual"/>
        </w:rPr>
        <w:t>(220% u 2023.</w:t>
      </w:r>
      <w:r>
        <w:rPr>
          <w:color w:val="000000"/>
          <w:kern w:val="2"/>
          <w:sz w:val="24"/>
          <w:szCs w:val="24"/>
          <w:lang w:eastAsia="hr-HR"/>
          <w14:ligatures w14:val="standardContextual"/>
        </w:rPr>
        <w:t xml:space="preserve"> godini</w:t>
      </w:r>
      <w:r w:rsidRPr="00B5220E">
        <w:rPr>
          <w:color w:val="000000"/>
          <w:kern w:val="2"/>
          <w:sz w:val="24"/>
          <w:szCs w:val="24"/>
          <w:lang w:eastAsia="hr-HR"/>
          <w14:ligatures w14:val="standardContextual"/>
        </w:rPr>
        <w:t xml:space="preserve">). </w:t>
      </w:r>
    </w:p>
    <w:p w14:paraId="4224FB0C" w14:textId="77777777" w:rsidR="00FB178A" w:rsidRPr="00B5220E" w:rsidRDefault="00FB178A" w:rsidP="00FB178A">
      <w:pPr>
        <w:widowControl/>
        <w:autoSpaceDE/>
        <w:autoSpaceDN/>
        <w:spacing w:line="276" w:lineRule="auto"/>
        <w:jc w:val="both"/>
        <w:rPr>
          <w:color w:val="000000"/>
          <w:kern w:val="2"/>
          <w:sz w:val="24"/>
          <w:szCs w:val="24"/>
          <w:lang w:eastAsia="hr-HR"/>
          <w14:ligatures w14:val="standardContextual"/>
        </w:rPr>
      </w:pPr>
      <w:r>
        <w:rPr>
          <w:color w:val="000000"/>
          <w:kern w:val="2"/>
          <w:sz w:val="24"/>
          <w:szCs w:val="24"/>
          <w:lang w:eastAsia="hr-HR"/>
          <w14:ligatures w14:val="standardContextual"/>
        </w:rPr>
        <w:t>Nadalje, t</w:t>
      </w:r>
      <w:r w:rsidRPr="00B5220E">
        <w:rPr>
          <w:color w:val="000000"/>
          <w:kern w:val="2"/>
          <w:sz w:val="24"/>
          <w:szCs w:val="24"/>
          <w:lang w:eastAsia="hr-HR"/>
          <w14:ligatures w14:val="standardContextual"/>
        </w:rPr>
        <w:t>ijekom 2024. provedene su daljnje zakonodavne i institucionalne reforme u pravosudnom sustavu. U ožujku 2024. donesen je Zakon o dostavi sudskih pismena (</w:t>
      </w:r>
      <w:r>
        <w:rPr>
          <w:color w:val="000000"/>
          <w:kern w:val="2"/>
          <w:sz w:val="24"/>
          <w:szCs w:val="24"/>
          <w:lang w:eastAsia="hr-HR"/>
          <w14:ligatures w14:val="standardContextual"/>
        </w:rPr>
        <w:t xml:space="preserve">„Narodne novine“, broj </w:t>
      </w:r>
      <w:r w:rsidRPr="00B5220E">
        <w:rPr>
          <w:color w:val="000000"/>
          <w:kern w:val="2"/>
          <w:sz w:val="24"/>
          <w:szCs w:val="24"/>
          <w:lang w:eastAsia="hr-HR"/>
          <w14:ligatures w14:val="standardContextual"/>
        </w:rPr>
        <w:t>36/24</w:t>
      </w:r>
      <w:r>
        <w:rPr>
          <w:color w:val="000000"/>
          <w:kern w:val="2"/>
          <w:sz w:val="24"/>
          <w:szCs w:val="24"/>
          <w:lang w:eastAsia="hr-HR"/>
          <w14:ligatures w14:val="standardContextual"/>
        </w:rPr>
        <w:t>.</w:t>
      </w:r>
      <w:r w:rsidRPr="00B5220E">
        <w:rPr>
          <w:color w:val="000000"/>
          <w:kern w:val="2"/>
          <w:sz w:val="24"/>
          <w:szCs w:val="24"/>
          <w:lang w:eastAsia="hr-HR"/>
          <w14:ligatures w14:val="standardContextual"/>
        </w:rPr>
        <w:t xml:space="preserve">). Cilj donošenja Zakona je povećanje učinkovitosti instituta dostave s obzirom da je uredna i zakonita dostava sudskih pismena temeljni procesni imperativ. Zakonom se pristupilo cjelovitom uređenju instituta odnosno standardiziranju, pojednostavljenju i ujednačavanju pravila o dostavi u svim sudskim postupcima. Zakon je stupio na snagu 1. siječnja 2025., ali će se do usklađenja temeljnih procesnih zakona s ovim Zakonom postupci dostave provoditi sukladno navedenim zakonima. U cilju rasterećenja sudova i olakšanja postupaka osnivanja trgovačkih društava, stupile su na snagu odredbe Zakona </w:t>
      </w:r>
      <w:r>
        <w:rPr>
          <w:color w:val="000000"/>
          <w:kern w:val="2"/>
          <w:sz w:val="24"/>
          <w:szCs w:val="24"/>
          <w:lang w:eastAsia="hr-HR"/>
          <w14:ligatures w14:val="standardContextual"/>
        </w:rPr>
        <w:t xml:space="preserve">o izmjenama i dopuna Zakona </w:t>
      </w:r>
      <w:r w:rsidRPr="00B5220E">
        <w:rPr>
          <w:color w:val="000000"/>
          <w:kern w:val="2"/>
          <w:sz w:val="24"/>
          <w:szCs w:val="24"/>
          <w:lang w:eastAsia="hr-HR"/>
          <w14:ligatures w14:val="standardContextual"/>
        </w:rPr>
        <w:t>o sudskom registru (</w:t>
      </w:r>
      <w:r>
        <w:rPr>
          <w:color w:val="000000"/>
          <w:kern w:val="2"/>
          <w:sz w:val="24"/>
          <w:szCs w:val="24"/>
          <w:lang w:eastAsia="hr-HR"/>
          <w14:ligatures w14:val="standardContextual"/>
        </w:rPr>
        <w:t>„Narodne novine“, broj</w:t>
      </w:r>
      <w:r w:rsidRPr="00B5220E">
        <w:rPr>
          <w:color w:val="000000"/>
          <w:kern w:val="2"/>
          <w:sz w:val="24"/>
          <w:szCs w:val="24"/>
          <w:lang w:eastAsia="hr-HR"/>
          <w14:ligatures w14:val="standardContextual"/>
        </w:rPr>
        <w:t xml:space="preserve"> 123/23</w:t>
      </w:r>
      <w:r>
        <w:rPr>
          <w:color w:val="000000"/>
          <w:kern w:val="2"/>
          <w:sz w:val="24"/>
          <w:szCs w:val="24"/>
          <w:lang w:eastAsia="hr-HR"/>
          <w14:ligatures w14:val="standardContextual"/>
        </w:rPr>
        <w:t>.</w:t>
      </w:r>
      <w:r w:rsidRPr="00B5220E">
        <w:rPr>
          <w:color w:val="000000"/>
          <w:kern w:val="2"/>
          <w:sz w:val="24"/>
          <w:szCs w:val="24"/>
          <w:lang w:eastAsia="hr-HR"/>
          <w14:ligatures w14:val="standardContextual"/>
        </w:rPr>
        <w:t>) kojima se ukida obveza dostave izjava o nepostojanju dugovanja, zahvaljujući automatskoj razmjeni podataka s Poreznom upravom. U 2024. stupi</w:t>
      </w:r>
      <w:r>
        <w:rPr>
          <w:color w:val="000000"/>
          <w:kern w:val="2"/>
          <w:sz w:val="24"/>
          <w:szCs w:val="24"/>
          <w:lang w:eastAsia="hr-HR"/>
          <w14:ligatures w14:val="standardContextual"/>
        </w:rPr>
        <w:t>o</w:t>
      </w:r>
      <w:r w:rsidRPr="00B5220E">
        <w:rPr>
          <w:color w:val="000000"/>
          <w:kern w:val="2"/>
          <w:sz w:val="24"/>
          <w:szCs w:val="24"/>
          <w:lang w:eastAsia="hr-HR"/>
          <w14:ligatures w14:val="standardContextual"/>
        </w:rPr>
        <w:t xml:space="preserve"> </w:t>
      </w:r>
      <w:r>
        <w:rPr>
          <w:color w:val="000000"/>
          <w:kern w:val="2"/>
          <w:sz w:val="24"/>
          <w:szCs w:val="24"/>
          <w:lang w:eastAsia="hr-HR"/>
          <w14:ligatures w14:val="standardContextual"/>
        </w:rPr>
        <w:t>je</w:t>
      </w:r>
      <w:r w:rsidRPr="00B5220E">
        <w:rPr>
          <w:color w:val="000000"/>
          <w:kern w:val="2"/>
          <w:sz w:val="24"/>
          <w:szCs w:val="24"/>
          <w:lang w:eastAsia="hr-HR"/>
          <w14:ligatures w14:val="standardContextual"/>
        </w:rPr>
        <w:t xml:space="preserve"> na snagu i </w:t>
      </w:r>
      <w:r>
        <w:rPr>
          <w:color w:val="000000"/>
          <w:kern w:val="2"/>
          <w:sz w:val="24"/>
          <w:szCs w:val="24"/>
          <w:lang w:eastAsia="hr-HR"/>
          <w14:ligatures w14:val="standardContextual"/>
        </w:rPr>
        <w:t xml:space="preserve">Zakon o </w:t>
      </w:r>
      <w:r w:rsidRPr="00B5220E">
        <w:rPr>
          <w:color w:val="000000"/>
          <w:kern w:val="2"/>
          <w:sz w:val="24"/>
          <w:szCs w:val="24"/>
          <w:lang w:eastAsia="hr-HR"/>
          <w14:ligatures w14:val="standardContextual"/>
        </w:rPr>
        <w:t>izmjen</w:t>
      </w:r>
      <w:r>
        <w:rPr>
          <w:color w:val="000000"/>
          <w:kern w:val="2"/>
          <w:sz w:val="24"/>
          <w:szCs w:val="24"/>
          <w:lang w:eastAsia="hr-HR"/>
          <w14:ligatures w14:val="standardContextual"/>
        </w:rPr>
        <w:t>ama i dopunama</w:t>
      </w:r>
      <w:r w:rsidRPr="00B5220E">
        <w:rPr>
          <w:color w:val="000000"/>
          <w:kern w:val="2"/>
          <w:sz w:val="24"/>
          <w:szCs w:val="24"/>
          <w:lang w:eastAsia="hr-HR"/>
          <w14:ligatures w14:val="standardContextual"/>
        </w:rPr>
        <w:t xml:space="preserve"> Zakona o parničnom postupku (</w:t>
      </w:r>
      <w:r>
        <w:rPr>
          <w:color w:val="000000"/>
          <w:kern w:val="2"/>
          <w:sz w:val="24"/>
          <w:szCs w:val="24"/>
          <w:lang w:eastAsia="hr-HR"/>
          <w14:ligatures w14:val="standardContextual"/>
        </w:rPr>
        <w:t>„Narodne novine“, broj</w:t>
      </w:r>
      <w:r w:rsidRPr="00B5220E">
        <w:rPr>
          <w:color w:val="000000"/>
          <w:kern w:val="2"/>
          <w:sz w:val="24"/>
          <w:szCs w:val="24"/>
          <w:lang w:eastAsia="hr-HR"/>
          <w14:ligatures w14:val="standardContextual"/>
        </w:rPr>
        <w:t xml:space="preserve"> 155/23</w:t>
      </w:r>
      <w:r>
        <w:rPr>
          <w:color w:val="000000"/>
          <w:kern w:val="2"/>
          <w:sz w:val="24"/>
          <w:szCs w:val="24"/>
          <w:lang w:eastAsia="hr-HR"/>
          <w14:ligatures w14:val="standardContextual"/>
        </w:rPr>
        <w:t>.</w:t>
      </w:r>
      <w:r w:rsidRPr="00B5220E">
        <w:rPr>
          <w:color w:val="000000"/>
          <w:kern w:val="2"/>
          <w:sz w:val="24"/>
          <w:szCs w:val="24"/>
          <w:lang w:eastAsia="hr-HR"/>
          <w14:ligatures w14:val="standardContextual"/>
        </w:rPr>
        <w:t>) kojima je provedeno usklađivanje s novim Zakonom o mirnom rješavanju sporova</w:t>
      </w:r>
      <w:r>
        <w:rPr>
          <w:color w:val="000000"/>
          <w:kern w:val="2"/>
          <w:sz w:val="24"/>
          <w:szCs w:val="24"/>
          <w:lang w:eastAsia="hr-HR"/>
          <w14:ligatures w14:val="standardContextual"/>
        </w:rPr>
        <w:t xml:space="preserve"> („Narodne novine“, broj 67/23.)</w:t>
      </w:r>
      <w:r w:rsidRPr="00B5220E">
        <w:rPr>
          <w:color w:val="000000"/>
          <w:kern w:val="2"/>
          <w:sz w:val="24"/>
          <w:szCs w:val="24"/>
          <w:lang w:eastAsia="hr-HR"/>
          <w14:ligatures w14:val="standardContextual"/>
        </w:rPr>
        <w:t>.</w:t>
      </w:r>
    </w:p>
    <w:p w14:paraId="1FBFDFEA" w14:textId="77777777" w:rsidR="00FB178A" w:rsidRPr="00B5220E" w:rsidRDefault="00FB178A" w:rsidP="00FB178A">
      <w:pPr>
        <w:widowControl/>
        <w:autoSpaceDE/>
        <w:autoSpaceDN/>
        <w:spacing w:line="276" w:lineRule="auto"/>
        <w:jc w:val="both"/>
        <w:rPr>
          <w:color w:val="000000"/>
          <w:kern w:val="2"/>
          <w:sz w:val="24"/>
          <w:lang w:eastAsia="en-GB"/>
          <w14:ligatures w14:val="standardContextual"/>
        </w:rPr>
      </w:pPr>
    </w:p>
    <w:p w14:paraId="1EFDE4B5" w14:textId="77777777" w:rsidR="00FB178A" w:rsidRPr="0004221B" w:rsidRDefault="00FB178A" w:rsidP="00FB178A">
      <w:pPr>
        <w:widowControl/>
        <w:autoSpaceDE/>
        <w:autoSpaceDN/>
        <w:spacing w:after="227" w:line="276" w:lineRule="auto"/>
        <w:ind w:left="-15"/>
        <w:jc w:val="both"/>
        <w:rPr>
          <w:color w:val="000000"/>
          <w:kern w:val="2"/>
          <w:sz w:val="24"/>
          <w:szCs w:val="24"/>
          <w:lang w:eastAsia="hr-HR"/>
          <w14:ligatures w14:val="standardContextual"/>
        </w:rPr>
      </w:pPr>
      <w:r w:rsidRPr="003E3A2D">
        <w:rPr>
          <w:color w:val="000000"/>
          <w:kern w:val="2"/>
          <w:sz w:val="24"/>
          <w:szCs w:val="24"/>
          <w:lang w:eastAsia="hr-HR"/>
          <w14:ligatures w14:val="standardContextual"/>
        </w:rPr>
        <w:t xml:space="preserve">Zakonom o izmjenama i dopunama Zakona o sudovima („Narodne novine“, broj 36/24.) iz 2024. </w:t>
      </w:r>
      <w:r>
        <w:rPr>
          <w:color w:val="000000"/>
          <w:kern w:val="2"/>
          <w:sz w:val="24"/>
          <w:szCs w:val="24"/>
          <w:lang w:eastAsia="hr-HR"/>
          <w14:ligatures w14:val="standardContextual"/>
        </w:rPr>
        <w:t>r</w:t>
      </w:r>
      <w:r w:rsidRPr="0004221B">
        <w:rPr>
          <w:color w:val="000000"/>
          <w:kern w:val="2"/>
          <w:sz w:val="24"/>
          <w:szCs w:val="24"/>
          <w:lang w:eastAsia="hr-HR"/>
          <w14:ligatures w14:val="standardContextual"/>
        </w:rPr>
        <w:t>evidiran</w:t>
      </w:r>
      <w:r>
        <w:rPr>
          <w:color w:val="000000"/>
          <w:kern w:val="2"/>
          <w:sz w:val="24"/>
          <w:szCs w:val="24"/>
          <w:lang w:eastAsia="hr-HR"/>
          <w14:ligatures w14:val="standardContextual"/>
        </w:rPr>
        <w:t xml:space="preserve"> je</w:t>
      </w:r>
      <w:r w:rsidRPr="0004221B">
        <w:rPr>
          <w:color w:val="000000"/>
          <w:kern w:val="2"/>
          <w:sz w:val="24"/>
          <w:szCs w:val="24"/>
          <w:lang w:eastAsia="hr-HR"/>
          <w14:ligatures w14:val="standardContextual"/>
        </w:rPr>
        <w:t xml:space="preserve"> Zakon o sudovima </w:t>
      </w:r>
      <w:r>
        <w:rPr>
          <w:color w:val="000000"/>
          <w:kern w:val="2"/>
          <w:sz w:val="24"/>
          <w:szCs w:val="24"/>
          <w:lang w:eastAsia="hr-HR"/>
          <w14:ligatures w14:val="standardContextual"/>
        </w:rPr>
        <w:t xml:space="preserve">kojim je </w:t>
      </w:r>
      <w:r w:rsidRPr="0004221B">
        <w:rPr>
          <w:color w:val="000000"/>
          <w:kern w:val="2"/>
          <w:sz w:val="24"/>
          <w:szCs w:val="24"/>
          <w:lang w:eastAsia="hr-HR"/>
          <w14:ligatures w14:val="standardContextual"/>
        </w:rPr>
        <w:t>propisa</w:t>
      </w:r>
      <w:r>
        <w:rPr>
          <w:color w:val="000000"/>
          <w:kern w:val="2"/>
          <w:sz w:val="24"/>
          <w:szCs w:val="24"/>
          <w:lang w:eastAsia="hr-HR"/>
          <w14:ligatures w14:val="standardContextual"/>
        </w:rPr>
        <w:t>na</w:t>
      </w:r>
      <w:r w:rsidRPr="0004221B">
        <w:rPr>
          <w:color w:val="000000"/>
          <w:kern w:val="2"/>
          <w:sz w:val="24"/>
          <w:szCs w:val="24"/>
          <w:lang w:eastAsia="hr-HR"/>
          <w14:ligatures w14:val="standardContextual"/>
        </w:rPr>
        <w:t xml:space="preserve"> obvez</w:t>
      </w:r>
      <w:r>
        <w:rPr>
          <w:color w:val="000000"/>
          <w:kern w:val="2"/>
          <w:sz w:val="24"/>
          <w:szCs w:val="24"/>
          <w:lang w:eastAsia="hr-HR"/>
          <w14:ligatures w14:val="standardContextual"/>
        </w:rPr>
        <w:t>a</w:t>
      </w:r>
      <w:r w:rsidRPr="0004221B">
        <w:rPr>
          <w:color w:val="000000"/>
          <w:kern w:val="2"/>
          <w:sz w:val="24"/>
          <w:szCs w:val="24"/>
          <w:lang w:eastAsia="hr-HR"/>
          <w14:ligatures w14:val="standardContextual"/>
        </w:rPr>
        <w:t xml:space="preserve">  javne objave svih sudskih odluka</w:t>
      </w:r>
      <w:r>
        <w:rPr>
          <w:color w:val="000000"/>
          <w:kern w:val="2"/>
          <w:sz w:val="24"/>
          <w:szCs w:val="24"/>
          <w:lang w:eastAsia="hr-HR"/>
          <w14:ligatures w14:val="standardContextual"/>
        </w:rPr>
        <w:t>, čime</w:t>
      </w:r>
      <w:r w:rsidRPr="0004221B">
        <w:rPr>
          <w:color w:val="000000"/>
          <w:kern w:val="2"/>
          <w:sz w:val="24"/>
          <w:szCs w:val="24"/>
          <w:lang w:eastAsia="hr-HR"/>
          <w14:ligatures w14:val="standardContextual"/>
        </w:rPr>
        <w:t xml:space="preserve"> se </w:t>
      </w:r>
      <w:r>
        <w:rPr>
          <w:color w:val="000000"/>
          <w:kern w:val="2"/>
          <w:sz w:val="24"/>
          <w:szCs w:val="24"/>
          <w:lang w:eastAsia="hr-HR"/>
          <w14:ligatures w14:val="standardContextual"/>
        </w:rPr>
        <w:t xml:space="preserve">sudski </w:t>
      </w:r>
      <w:r w:rsidRPr="0004221B">
        <w:rPr>
          <w:color w:val="000000"/>
          <w:kern w:val="2"/>
          <w:sz w:val="24"/>
          <w:szCs w:val="24"/>
          <w:lang w:eastAsia="hr-HR"/>
          <w14:ligatures w14:val="standardContextual"/>
        </w:rPr>
        <w:t xml:space="preserve">postupak dovršava na posebnoj mrežnoj stranici uz prethodnu </w:t>
      </w:r>
      <w:proofErr w:type="spellStart"/>
      <w:r w:rsidRPr="0004221B">
        <w:rPr>
          <w:color w:val="000000"/>
          <w:kern w:val="2"/>
          <w:sz w:val="24"/>
          <w:szCs w:val="24"/>
          <w:lang w:eastAsia="hr-HR"/>
          <w14:ligatures w14:val="standardContextual"/>
        </w:rPr>
        <w:t>anonimizaciju</w:t>
      </w:r>
      <w:proofErr w:type="spellEnd"/>
      <w:r w:rsidRPr="0004221B">
        <w:rPr>
          <w:color w:val="000000"/>
          <w:kern w:val="2"/>
          <w:sz w:val="24"/>
          <w:szCs w:val="24"/>
          <w:lang w:eastAsia="hr-HR"/>
          <w14:ligatures w14:val="standardContextual"/>
        </w:rPr>
        <w:t xml:space="preserve"> i poštivanje pravila o zaštiti osobnih podataka</w:t>
      </w:r>
      <w:r>
        <w:rPr>
          <w:color w:val="000000"/>
          <w:kern w:val="2"/>
          <w:sz w:val="24"/>
          <w:szCs w:val="24"/>
          <w:lang w:eastAsia="hr-HR"/>
          <w14:ligatures w14:val="standardContextual"/>
        </w:rPr>
        <w:t xml:space="preserve">, a u </w:t>
      </w:r>
      <w:r w:rsidRPr="00A63CED">
        <w:rPr>
          <w:color w:val="000000"/>
          <w:kern w:val="2"/>
          <w:sz w:val="24"/>
          <w:szCs w:val="24"/>
          <w:lang w:eastAsia="hr-HR"/>
          <w14:ligatures w14:val="standardContextual"/>
        </w:rPr>
        <w:t xml:space="preserve">okviru NPOO-a razvijen je sustav za automatsku </w:t>
      </w:r>
      <w:proofErr w:type="spellStart"/>
      <w:r w:rsidRPr="00A63CED">
        <w:rPr>
          <w:color w:val="000000"/>
          <w:kern w:val="2"/>
          <w:sz w:val="24"/>
          <w:szCs w:val="24"/>
          <w:lang w:eastAsia="hr-HR"/>
          <w14:ligatures w14:val="standardContextual"/>
        </w:rPr>
        <w:t>anonimizaciju</w:t>
      </w:r>
      <w:proofErr w:type="spellEnd"/>
      <w:r w:rsidRPr="00A63CED">
        <w:rPr>
          <w:color w:val="000000"/>
          <w:kern w:val="2"/>
          <w:sz w:val="24"/>
          <w:szCs w:val="24"/>
          <w:lang w:eastAsia="hr-HR"/>
          <w14:ligatures w14:val="standardContextual"/>
        </w:rPr>
        <w:t xml:space="preserve"> i javnu objavu sudskih odluka (ANON), povezan sa sustavom e-Spis. Sustav omogućuje </w:t>
      </w:r>
      <w:proofErr w:type="spellStart"/>
      <w:r w:rsidRPr="00A63CED">
        <w:rPr>
          <w:color w:val="000000"/>
          <w:kern w:val="2"/>
          <w:sz w:val="24"/>
          <w:szCs w:val="24"/>
          <w:lang w:eastAsia="hr-HR"/>
          <w14:ligatures w14:val="standardContextual"/>
        </w:rPr>
        <w:t>anonimiziranu</w:t>
      </w:r>
      <w:proofErr w:type="spellEnd"/>
      <w:r w:rsidRPr="00A63CED">
        <w:rPr>
          <w:color w:val="000000"/>
          <w:kern w:val="2"/>
          <w:sz w:val="24"/>
          <w:szCs w:val="24"/>
          <w:lang w:eastAsia="hr-HR"/>
          <w14:ligatures w14:val="standardContextual"/>
        </w:rPr>
        <w:t xml:space="preserve"> objavu odluka na javnom portalu s naprednim mogućnostima pretraživanja, uz poštivanje pravila zaštite osobnih podataka. </w:t>
      </w:r>
      <w:r>
        <w:rPr>
          <w:color w:val="000000"/>
          <w:kern w:val="2"/>
          <w:sz w:val="24"/>
          <w:szCs w:val="24"/>
          <w:lang w:eastAsia="hr-HR"/>
          <w14:ligatures w14:val="standardContextual"/>
        </w:rPr>
        <w:t>Na taj način ispunjena je o</w:t>
      </w:r>
      <w:r w:rsidRPr="00A63CED">
        <w:rPr>
          <w:color w:val="000000"/>
          <w:kern w:val="2"/>
          <w:sz w:val="24"/>
          <w:szCs w:val="24"/>
          <w:lang w:eastAsia="hr-HR"/>
          <w14:ligatures w14:val="standardContextual"/>
        </w:rPr>
        <w:t xml:space="preserve">bveza objave </w:t>
      </w:r>
      <w:proofErr w:type="spellStart"/>
      <w:r w:rsidRPr="00A63CED">
        <w:rPr>
          <w:color w:val="000000"/>
          <w:kern w:val="2"/>
          <w:sz w:val="24"/>
          <w:szCs w:val="24"/>
          <w:lang w:eastAsia="hr-HR"/>
          <w14:ligatures w14:val="standardContextual"/>
        </w:rPr>
        <w:t>anonimiziranih</w:t>
      </w:r>
      <w:proofErr w:type="spellEnd"/>
      <w:r w:rsidRPr="00A63CED">
        <w:rPr>
          <w:color w:val="000000"/>
          <w:kern w:val="2"/>
          <w:sz w:val="24"/>
          <w:szCs w:val="24"/>
          <w:lang w:eastAsia="hr-HR"/>
          <w14:ligatures w14:val="standardContextual"/>
        </w:rPr>
        <w:t xml:space="preserve"> odluka </w:t>
      </w:r>
      <w:r>
        <w:rPr>
          <w:color w:val="000000"/>
          <w:kern w:val="2"/>
          <w:sz w:val="24"/>
          <w:szCs w:val="24"/>
          <w:lang w:eastAsia="hr-HR"/>
          <w14:ligatures w14:val="standardContextual"/>
        </w:rPr>
        <w:t xml:space="preserve">koja je </w:t>
      </w:r>
      <w:r w:rsidRPr="00A63CED">
        <w:rPr>
          <w:color w:val="000000"/>
          <w:kern w:val="2"/>
          <w:sz w:val="24"/>
          <w:szCs w:val="24"/>
          <w:lang w:eastAsia="hr-HR"/>
          <w14:ligatures w14:val="standardContextual"/>
        </w:rPr>
        <w:t>u primjeni od 1. siječnja 2025.</w:t>
      </w:r>
      <w:r>
        <w:rPr>
          <w:color w:val="000000"/>
          <w:kern w:val="2"/>
          <w:sz w:val="24"/>
          <w:szCs w:val="24"/>
          <w:lang w:eastAsia="hr-HR"/>
          <w14:ligatures w14:val="standardContextual"/>
        </w:rPr>
        <w:t xml:space="preserve">, a sve s </w:t>
      </w:r>
      <w:r w:rsidRPr="00A63CED">
        <w:rPr>
          <w:color w:val="000000"/>
          <w:kern w:val="2"/>
          <w:sz w:val="24"/>
          <w:szCs w:val="24"/>
          <w:lang w:eastAsia="hr-HR"/>
          <w14:ligatures w14:val="standardContextual"/>
        </w:rPr>
        <w:t>cilj</w:t>
      </w:r>
      <w:r>
        <w:rPr>
          <w:color w:val="000000"/>
          <w:kern w:val="2"/>
          <w:sz w:val="24"/>
          <w:szCs w:val="24"/>
          <w:lang w:eastAsia="hr-HR"/>
          <w14:ligatures w14:val="standardContextual"/>
        </w:rPr>
        <w:t>em</w:t>
      </w:r>
      <w:r w:rsidRPr="00A63CED">
        <w:rPr>
          <w:color w:val="000000"/>
          <w:kern w:val="2"/>
          <w:sz w:val="24"/>
          <w:szCs w:val="24"/>
          <w:lang w:eastAsia="hr-HR"/>
          <w14:ligatures w14:val="standardContextual"/>
        </w:rPr>
        <w:t xml:space="preserve"> povećanja transparentnosti rada sudova i dostupnosti sudske prakse</w:t>
      </w:r>
      <w:r>
        <w:rPr>
          <w:color w:val="000000"/>
          <w:kern w:val="2"/>
          <w:sz w:val="24"/>
          <w:szCs w:val="24"/>
          <w:lang w:eastAsia="hr-HR"/>
          <w14:ligatures w14:val="standardContextual"/>
        </w:rPr>
        <w:t xml:space="preserve">. Navedenim se </w:t>
      </w:r>
      <w:r w:rsidRPr="0004221B">
        <w:rPr>
          <w:color w:val="000000"/>
          <w:kern w:val="2"/>
          <w:sz w:val="24"/>
          <w:szCs w:val="24"/>
          <w:lang w:eastAsia="hr-HR"/>
          <w14:ligatures w14:val="standardContextual"/>
        </w:rPr>
        <w:t>omogućava</w:t>
      </w:r>
      <w:r>
        <w:rPr>
          <w:color w:val="000000"/>
          <w:kern w:val="2"/>
          <w:sz w:val="24"/>
          <w:szCs w:val="24"/>
          <w:lang w:eastAsia="hr-HR"/>
          <w14:ligatures w14:val="standardContextual"/>
        </w:rPr>
        <w:t xml:space="preserve"> </w:t>
      </w:r>
      <w:r w:rsidRPr="0004221B">
        <w:rPr>
          <w:color w:val="000000"/>
          <w:kern w:val="2"/>
          <w:sz w:val="24"/>
          <w:szCs w:val="24"/>
          <w:lang w:eastAsia="hr-HR"/>
          <w14:ligatures w14:val="standardContextual"/>
        </w:rPr>
        <w:t>kontinuiran</w:t>
      </w:r>
      <w:r>
        <w:rPr>
          <w:color w:val="000000"/>
          <w:kern w:val="2"/>
          <w:sz w:val="24"/>
          <w:szCs w:val="24"/>
          <w:lang w:eastAsia="hr-HR"/>
          <w14:ligatures w14:val="standardContextual"/>
        </w:rPr>
        <w:t>i</w:t>
      </w:r>
      <w:r w:rsidRPr="0004221B">
        <w:rPr>
          <w:color w:val="000000"/>
          <w:kern w:val="2"/>
          <w:sz w:val="24"/>
          <w:szCs w:val="24"/>
          <w:lang w:eastAsia="hr-HR"/>
          <w14:ligatures w14:val="standardContextual"/>
        </w:rPr>
        <w:t xml:space="preserve"> pristup informacijama o radu sudova te jača povjerenj</w:t>
      </w:r>
      <w:r>
        <w:rPr>
          <w:color w:val="000000"/>
          <w:kern w:val="2"/>
          <w:sz w:val="24"/>
          <w:szCs w:val="24"/>
          <w:lang w:eastAsia="hr-HR"/>
          <w14:ligatures w14:val="standardContextual"/>
        </w:rPr>
        <w:t>e</w:t>
      </w:r>
      <w:r w:rsidRPr="0004221B">
        <w:rPr>
          <w:color w:val="000000"/>
          <w:kern w:val="2"/>
          <w:sz w:val="24"/>
          <w:szCs w:val="24"/>
          <w:lang w:eastAsia="hr-HR"/>
          <w14:ligatures w14:val="standardContextual"/>
        </w:rPr>
        <w:t xml:space="preserve"> javnosti u sudbenu vlast. U predmetima nasilja u obitelji propisuje se obveza redovitog pohađanja stručnog usavršavanja sudaca iz ovog područja,</w:t>
      </w:r>
      <w:r>
        <w:rPr>
          <w:color w:val="000000"/>
          <w:kern w:val="2"/>
          <w:sz w:val="24"/>
          <w:szCs w:val="24"/>
          <w:lang w:eastAsia="hr-HR"/>
          <w14:ligatures w14:val="standardContextual"/>
        </w:rPr>
        <w:t xml:space="preserve"> a</w:t>
      </w:r>
      <w:r w:rsidRPr="0004221B">
        <w:rPr>
          <w:color w:val="000000"/>
          <w:kern w:val="2"/>
          <w:sz w:val="24"/>
          <w:szCs w:val="24"/>
          <w:lang w:eastAsia="hr-HR"/>
          <w14:ligatures w14:val="standardContextual"/>
        </w:rPr>
        <w:t xml:space="preserve"> za </w:t>
      </w:r>
      <w:r>
        <w:rPr>
          <w:color w:val="000000"/>
          <w:kern w:val="2"/>
          <w:sz w:val="24"/>
          <w:szCs w:val="24"/>
          <w:lang w:eastAsia="hr-HR"/>
          <w14:ligatures w14:val="standardContextual"/>
        </w:rPr>
        <w:t>istu se smatra</w:t>
      </w:r>
      <w:r w:rsidRPr="0004221B">
        <w:rPr>
          <w:color w:val="000000"/>
          <w:kern w:val="2"/>
          <w:sz w:val="24"/>
          <w:szCs w:val="24"/>
          <w:lang w:eastAsia="hr-HR"/>
          <w14:ligatures w14:val="standardContextual"/>
        </w:rPr>
        <w:t xml:space="preserve"> da će doprinijeti učinkovitijoj i kvalitetnijoj pravnoj zaštiti na ovom području. </w:t>
      </w:r>
      <w:r>
        <w:rPr>
          <w:color w:val="000000"/>
          <w:kern w:val="2"/>
          <w:sz w:val="24"/>
          <w:szCs w:val="24"/>
          <w:lang w:eastAsia="hr-HR"/>
          <w14:ligatures w14:val="standardContextual"/>
        </w:rPr>
        <w:t>Istodobno</w:t>
      </w:r>
      <w:r w:rsidRPr="0004221B">
        <w:rPr>
          <w:color w:val="000000"/>
          <w:kern w:val="2"/>
          <w:sz w:val="24"/>
          <w:szCs w:val="24"/>
          <w:lang w:eastAsia="hr-HR"/>
          <w14:ligatures w14:val="standardContextual"/>
        </w:rPr>
        <w:t>, povećanje</w:t>
      </w:r>
      <w:r>
        <w:rPr>
          <w:color w:val="000000"/>
          <w:kern w:val="2"/>
          <w:sz w:val="24"/>
          <w:szCs w:val="24"/>
          <w:lang w:eastAsia="hr-HR"/>
          <w14:ligatures w14:val="standardContextual"/>
        </w:rPr>
        <w:t>m</w:t>
      </w:r>
      <w:r w:rsidRPr="0004221B">
        <w:rPr>
          <w:color w:val="000000"/>
          <w:kern w:val="2"/>
          <w:sz w:val="24"/>
          <w:szCs w:val="24"/>
          <w:lang w:eastAsia="hr-HR"/>
          <w14:ligatures w14:val="standardContextual"/>
        </w:rPr>
        <w:t xml:space="preserve"> plaća i materijalnih prava sudaca</w:t>
      </w:r>
      <w:r>
        <w:rPr>
          <w:color w:val="000000"/>
          <w:kern w:val="2"/>
          <w:sz w:val="24"/>
          <w:szCs w:val="24"/>
          <w:lang w:eastAsia="hr-HR"/>
          <w14:ligatures w14:val="standardContextual"/>
        </w:rPr>
        <w:t>,</w:t>
      </w:r>
      <w:r w:rsidRPr="0004221B">
        <w:rPr>
          <w:color w:val="000000"/>
          <w:kern w:val="2"/>
          <w:sz w:val="24"/>
          <w:szCs w:val="24"/>
          <w:lang w:eastAsia="hr-HR"/>
          <w14:ligatures w14:val="standardContextual"/>
        </w:rPr>
        <w:t xml:space="preserve"> uključujući višu osnovicu i koeficijente kroz</w:t>
      </w:r>
      <w:r>
        <w:rPr>
          <w:color w:val="000000"/>
          <w:kern w:val="2"/>
          <w:sz w:val="24"/>
          <w:szCs w:val="24"/>
          <w:lang w:eastAsia="hr-HR"/>
          <w14:ligatures w14:val="standardContextual"/>
        </w:rPr>
        <w:t xml:space="preserve"> Zakon o</w:t>
      </w:r>
      <w:r w:rsidRPr="0004221B">
        <w:rPr>
          <w:color w:val="000000"/>
          <w:kern w:val="2"/>
          <w:sz w:val="24"/>
          <w:szCs w:val="24"/>
          <w:lang w:eastAsia="hr-HR"/>
          <w14:ligatures w14:val="standardContextual"/>
        </w:rPr>
        <w:t xml:space="preserve"> izmjen</w:t>
      </w:r>
      <w:r>
        <w:rPr>
          <w:color w:val="000000"/>
          <w:kern w:val="2"/>
          <w:sz w:val="24"/>
          <w:szCs w:val="24"/>
          <w:lang w:eastAsia="hr-HR"/>
          <w14:ligatures w14:val="standardContextual"/>
        </w:rPr>
        <w:t>ama</w:t>
      </w:r>
      <w:r w:rsidRPr="0004221B">
        <w:rPr>
          <w:color w:val="000000"/>
          <w:kern w:val="2"/>
          <w:sz w:val="24"/>
          <w:szCs w:val="24"/>
          <w:lang w:eastAsia="hr-HR"/>
          <w14:ligatures w14:val="standardContextual"/>
        </w:rPr>
        <w:t xml:space="preserve"> Zakona o plaći i drugim materijalnim pravima pravosudnih </w:t>
      </w:r>
      <w:r w:rsidRPr="0004221B">
        <w:rPr>
          <w:color w:val="000000"/>
          <w:kern w:val="2"/>
          <w:sz w:val="24"/>
          <w:szCs w:val="24"/>
          <w:lang w:eastAsia="hr-HR"/>
          <w14:ligatures w14:val="standardContextual"/>
        </w:rPr>
        <w:lastRenderedPageBreak/>
        <w:t>dužnosnika (</w:t>
      </w:r>
      <w:r>
        <w:rPr>
          <w:color w:val="000000"/>
          <w:kern w:val="2"/>
          <w:sz w:val="24"/>
          <w:szCs w:val="24"/>
          <w:lang w:eastAsia="hr-HR"/>
          <w14:ligatures w14:val="standardContextual"/>
        </w:rPr>
        <w:t xml:space="preserve">„Narodne novine“, broj </w:t>
      </w:r>
      <w:r w:rsidRPr="0004221B">
        <w:rPr>
          <w:color w:val="000000"/>
          <w:kern w:val="2"/>
          <w:sz w:val="24"/>
          <w:szCs w:val="24"/>
          <w:lang w:eastAsia="hr-HR"/>
          <w14:ligatures w14:val="standardContextual"/>
        </w:rPr>
        <w:t>35/24</w:t>
      </w:r>
      <w:r>
        <w:rPr>
          <w:color w:val="000000"/>
          <w:kern w:val="2"/>
          <w:sz w:val="24"/>
          <w:szCs w:val="24"/>
          <w:lang w:eastAsia="hr-HR"/>
          <w14:ligatures w14:val="standardContextual"/>
        </w:rPr>
        <w:t>.</w:t>
      </w:r>
      <w:r w:rsidRPr="0004221B">
        <w:rPr>
          <w:color w:val="000000"/>
          <w:kern w:val="2"/>
          <w:sz w:val="24"/>
          <w:szCs w:val="24"/>
          <w:lang w:eastAsia="hr-HR"/>
          <w14:ligatures w14:val="standardContextual"/>
        </w:rPr>
        <w:t xml:space="preserve">) </w:t>
      </w:r>
      <w:r>
        <w:rPr>
          <w:color w:val="000000"/>
          <w:kern w:val="2"/>
          <w:sz w:val="24"/>
          <w:szCs w:val="24"/>
          <w:lang w:eastAsia="hr-HR"/>
          <w14:ligatures w14:val="standardContextual"/>
        </w:rPr>
        <w:t>ciljano se</w:t>
      </w:r>
      <w:r w:rsidRPr="0004221B">
        <w:rPr>
          <w:color w:val="000000"/>
          <w:kern w:val="2"/>
          <w:sz w:val="24"/>
          <w:szCs w:val="24"/>
          <w:lang w:eastAsia="hr-HR"/>
          <w14:ligatures w14:val="standardContextual"/>
        </w:rPr>
        <w:t xml:space="preserve"> podi</w:t>
      </w:r>
      <w:r>
        <w:rPr>
          <w:color w:val="000000"/>
          <w:kern w:val="2"/>
          <w:sz w:val="24"/>
          <w:szCs w:val="24"/>
          <w:lang w:eastAsia="hr-HR"/>
          <w14:ligatures w14:val="standardContextual"/>
        </w:rPr>
        <w:t xml:space="preserve">že </w:t>
      </w:r>
      <w:r w:rsidRPr="0004221B">
        <w:rPr>
          <w:color w:val="000000"/>
          <w:kern w:val="2"/>
          <w:sz w:val="24"/>
          <w:szCs w:val="24"/>
          <w:lang w:eastAsia="hr-HR"/>
          <w14:ligatures w14:val="standardContextual"/>
        </w:rPr>
        <w:t>motivacij</w:t>
      </w:r>
      <w:r>
        <w:rPr>
          <w:color w:val="000000"/>
          <w:kern w:val="2"/>
          <w:sz w:val="24"/>
          <w:szCs w:val="24"/>
          <w:lang w:eastAsia="hr-HR"/>
          <w14:ligatures w14:val="standardContextual"/>
        </w:rPr>
        <w:t>a</w:t>
      </w:r>
      <w:r w:rsidRPr="0004221B">
        <w:rPr>
          <w:color w:val="000000"/>
          <w:kern w:val="2"/>
          <w:sz w:val="24"/>
          <w:szCs w:val="24"/>
          <w:lang w:eastAsia="hr-HR"/>
          <w14:ligatures w14:val="standardContextual"/>
        </w:rPr>
        <w:t xml:space="preserve"> sudskog kadra </w:t>
      </w:r>
      <w:r>
        <w:rPr>
          <w:color w:val="000000"/>
          <w:kern w:val="2"/>
          <w:sz w:val="24"/>
          <w:szCs w:val="24"/>
          <w:lang w:eastAsia="hr-HR"/>
          <w14:ligatures w14:val="standardContextual"/>
        </w:rPr>
        <w:t>radi</w:t>
      </w:r>
      <w:r w:rsidRPr="0004221B">
        <w:rPr>
          <w:color w:val="000000"/>
          <w:kern w:val="2"/>
          <w:sz w:val="24"/>
          <w:szCs w:val="24"/>
          <w:lang w:eastAsia="hr-HR"/>
          <w14:ligatures w14:val="standardContextual"/>
        </w:rPr>
        <w:t xml:space="preserve"> smanjenj</w:t>
      </w:r>
      <w:r>
        <w:rPr>
          <w:color w:val="000000"/>
          <w:kern w:val="2"/>
          <w:sz w:val="24"/>
          <w:szCs w:val="24"/>
          <w:lang w:eastAsia="hr-HR"/>
          <w14:ligatures w14:val="standardContextual"/>
        </w:rPr>
        <w:t>a</w:t>
      </w:r>
      <w:r w:rsidRPr="0004221B">
        <w:rPr>
          <w:color w:val="000000"/>
          <w:kern w:val="2"/>
          <w:sz w:val="24"/>
          <w:szCs w:val="24"/>
          <w:lang w:eastAsia="hr-HR"/>
          <w14:ligatures w14:val="standardContextual"/>
        </w:rPr>
        <w:t xml:space="preserve"> broja zaostalih predmeta, posebno na općinskim i županijskim sudovima.</w:t>
      </w:r>
    </w:p>
    <w:p w14:paraId="0D3BBF49" w14:textId="77777777" w:rsidR="00FB178A" w:rsidRPr="0004221B" w:rsidRDefault="00FB178A" w:rsidP="00FB178A">
      <w:pPr>
        <w:widowControl/>
        <w:autoSpaceDE/>
        <w:autoSpaceDN/>
        <w:spacing w:after="227" w:line="276" w:lineRule="auto"/>
        <w:ind w:left="-15"/>
        <w:jc w:val="both"/>
        <w:rPr>
          <w:color w:val="000000"/>
          <w:kern w:val="2"/>
          <w:sz w:val="24"/>
          <w:szCs w:val="24"/>
          <w:lang w:eastAsia="hr-HR"/>
          <w14:ligatures w14:val="standardContextual"/>
        </w:rPr>
      </w:pPr>
      <w:r w:rsidRPr="0004221B">
        <w:rPr>
          <w:color w:val="000000"/>
          <w:kern w:val="2"/>
          <w:sz w:val="24"/>
          <w:szCs w:val="24"/>
          <w:lang w:eastAsia="hr-HR"/>
          <w14:ligatures w14:val="standardContextual"/>
        </w:rPr>
        <w:t>Poticaj rješavanju predmeta u većem broju (osobito „starih“ predmeta)</w:t>
      </w:r>
      <w:r>
        <w:rPr>
          <w:color w:val="000000"/>
          <w:kern w:val="2"/>
          <w:sz w:val="24"/>
          <w:szCs w:val="24"/>
          <w:lang w:eastAsia="hr-HR"/>
          <w14:ligatures w14:val="standardContextual"/>
        </w:rPr>
        <w:t xml:space="preserve"> </w:t>
      </w:r>
      <w:r w:rsidRPr="0004221B">
        <w:rPr>
          <w:color w:val="000000"/>
          <w:kern w:val="2"/>
          <w:sz w:val="24"/>
          <w:szCs w:val="24"/>
          <w:lang w:eastAsia="hr-HR"/>
          <w14:ligatures w14:val="standardContextual"/>
        </w:rPr>
        <w:t xml:space="preserve">nastavljen je praćenjem rješavanja predmeta na sudovima pomoću akcijskih planova. Akcijski planovi za poboljšanje učinkovitosti rada sudova u 2024. doneseni su za svako pravosudno područje s naglaskom na rad općinskih i županijskih sudova. Cilj akcijskih planova je povećanje broja riješenih predmeta sukladno pokazateljima učinkovitosti u </w:t>
      </w:r>
      <w:r>
        <w:rPr>
          <w:color w:val="000000"/>
          <w:kern w:val="2"/>
          <w:sz w:val="24"/>
          <w:szCs w:val="24"/>
          <w:lang w:eastAsia="hr-HR"/>
          <w14:ligatures w14:val="standardContextual"/>
        </w:rPr>
        <w:t xml:space="preserve">pojedinoj </w:t>
      </w:r>
      <w:r w:rsidRPr="0004221B">
        <w:rPr>
          <w:color w:val="000000"/>
          <w:kern w:val="2"/>
          <w:sz w:val="24"/>
          <w:szCs w:val="24"/>
          <w:lang w:eastAsia="hr-HR"/>
          <w14:ligatures w14:val="standardContextual"/>
        </w:rPr>
        <w:t>vrsti predmeta, intenzivnije rješavanje predmeta koji se u sudovima vode preko sedam godina i posebno praćenje i rješavanje kaznenih predmeta</w:t>
      </w:r>
      <w:r>
        <w:rPr>
          <w:color w:val="000000"/>
          <w:kern w:val="2"/>
          <w:sz w:val="24"/>
          <w:szCs w:val="24"/>
          <w:lang w:eastAsia="hr-HR"/>
          <w14:ligatures w14:val="standardContextual"/>
        </w:rPr>
        <w:t>,</w:t>
      </w:r>
      <w:r w:rsidRPr="0004221B">
        <w:rPr>
          <w:color w:val="000000"/>
          <w:kern w:val="2"/>
          <w:sz w:val="24"/>
          <w:szCs w:val="24"/>
          <w:lang w:eastAsia="hr-HR"/>
          <w14:ligatures w14:val="standardContextual"/>
        </w:rPr>
        <w:t xml:space="preserve"> kojima u narednom razdoblju od tri godine prijeti nastupanje zastare. Izvršavanje akcijskih planova se prati na tromjesečnoj razini, u suradnji s predsjednicima sudova</w:t>
      </w:r>
      <w:r>
        <w:rPr>
          <w:color w:val="000000"/>
          <w:kern w:val="2"/>
          <w:sz w:val="24"/>
          <w:szCs w:val="24"/>
          <w:lang w:eastAsia="hr-HR"/>
          <w14:ligatures w14:val="standardContextual"/>
        </w:rPr>
        <w:t>,</w:t>
      </w:r>
      <w:r w:rsidRPr="0004221B">
        <w:rPr>
          <w:color w:val="000000"/>
          <w:kern w:val="2"/>
          <w:sz w:val="24"/>
          <w:szCs w:val="24"/>
          <w:lang w:eastAsia="hr-HR"/>
          <w14:ligatures w14:val="standardContextual"/>
        </w:rPr>
        <w:t xml:space="preserve"> te se utvrđuju subjektivni i objektivni razlozi za eventualno neispunjenje ciljeva utvrđenih akcijskim planovima. Kao rezultat provedbe akcijskih planova, broj neriješenih predmeta starijih od sedam godina na općinskim i županijskim sudovima je u 2024. smanjen za 25% te je uspješno riješeno 66% predmeta kojima je prijetio protek </w:t>
      </w:r>
      <w:proofErr w:type="spellStart"/>
      <w:r w:rsidRPr="0004221B">
        <w:rPr>
          <w:color w:val="000000"/>
          <w:kern w:val="2"/>
          <w:sz w:val="24"/>
          <w:szCs w:val="24"/>
          <w:lang w:eastAsia="hr-HR"/>
          <w14:ligatures w14:val="standardContextual"/>
        </w:rPr>
        <w:t>zastarnog</w:t>
      </w:r>
      <w:proofErr w:type="spellEnd"/>
      <w:r w:rsidRPr="0004221B">
        <w:rPr>
          <w:color w:val="000000"/>
          <w:kern w:val="2"/>
          <w:sz w:val="24"/>
          <w:szCs w:val="24"/>
          <w:lang w:eastAsia="hr-HR"/>
          <w14:ligatures w14:val="standardContextual"/>
        </w:rPr>
        <w:t xml:space="preserve"> roka. </w:t>
      </w:r>
    </w:p>
    <w:p w14:paraId="48260A97" w14:textId="77777777" w:rsidR="00FB178A" w:rsidRPr="0004221B" w:rsidRDefault="00FB178A" w:rsidP="00FB178A">
      <w:pPr>
        <w:widowControl/>
        <w:autoSpaceDE/>
        <w:autoSpaceDN/>
        <w:spacing w:after="227" w:line="276" w:lineRule="auto"/>
        <w:ind w:left="-15"/>
        <w:jc w:val="both"/>
        <w:rPr>
          <w:color w:val="000000"/>
          <w:kern w:val="2"/>
          <w:sz w:val="24"/>
          <w:szCs w:val="24"/>
          <w:lang w:eastAsia="hr-HR"/>
          <w14:ligatures w14:val="standardContextual"/>
        </w:rPr>
      </w:pPr>
      <w:r w:rsidRPr="0004221B">
        <w:rPr>
          <w:color w:val="000000"/>
          <w:kern w:val="2"/>
          <w:sz w:val="24"/>
          <w:szCs w:val="24"/>
          <w:lang w:eastAsia="hr-HR"/>
          <w14:ligatures w14:val="standardContextual"/>
        </w:rPr>
        <w:t xml:space="preserve">Također, s ciljem poboljšanja učinkovitosti, u 2024. je nastavljena primjena novih Okvirnih mjerila za rad sudaca. Okvirnim mjerilima za rad sudaca propisuje se broj odluka koje je sudac dužan donijeti u redovitom radnom vremenu tijekom kalendarske godine, a primjena je rezultirala smanjenjem broja neriješenih predmeta u različitim vrstama sudova. Prema podacima za 2024. </w:t>
      </w:r>
      <w:r>
        <w:rPr>
          <w:color w:val="000000"/>
          <w:kern w:val="2"/>
          <w:sz w:val="24"/>
          <w:szCs w:val="24"/>
          <w:lang w:eastAsia="hr-HR"/>
          <w14:ligatures w14:val="standardContextual"/>
        </w:rPr>
        <w:t xml:space="preserve">za 7,92% je </w:t>
      </w:r>
      <w:r w:rsidRPr="0004221B">
        <w:rPr>
          <w:color w:val="000000"/>
          <w:kern w:val="2"/>
          <w:sz w:val="24"/>
          <w:szCs w:val="24"/>
          <w:lang w:eastAsia="hr-HR"/>
          <w14:ligatures w14:val="standardContextual"/>
        </w:rPr>
        <w:t xml:space="preserve">smanjen broj neriješenih </w:t>
      </w:r>
      <w:r>
        <w:rPr>
          <w:color w:val="000000"/>
          <w:kern w:val="2"/>
          <w:sz w:val="24"/>
          <w:szCs w:val="24"/>
          <w:lang w:eastAsia="hr-HR"/>
          <w14:ligatures w14:val="standardContextual"/>
        </w:rPr>
        <w:t xml:space="preserve">građanskih </w:t>
      </w:r>
      <w:r w:rsidRPr="0004221B">
        <w:rPr>
          <w:color w:val="000000"/>
          <w:kern w:val="2"/>
          <w:sz w:val="24"/>
          <w:szCs w:val="24"/>
          <w:lang w:eastAsia="hr-HR"/>
          <w14:ligatures w14:val="standardContextual"/>
        </w:rPr>
        <w:t>predmeta na općinskim sudovima (</w:t>
      </w:r>
      <w:r w:rsidRPr="009B62C1">
        <w:rPr>
          <w:color w:val="000000"/>
          <w:kern w:val="2"/>
          <w:sz w:val="24"/>
          <w:szCs w:val="24"/>
          <w:lang w:eastAsia="hr-HR"/>
          <w14:ligatures w14:val="standardContextual"/>
        </w:rPr>
        <w:t xml:space="preserve">213.600 predmeta na kraju 2024. </w:t>
      </w:r>
      <w:r>
        <w:rPr>
          <w:color w:val="000000"/>
          <w:kern w:val="2"/>
          <w:sz w:val="24"/>
          <w:szCs w:val="24"/>
          <w:lang w:eastAsia="hr-HR"/>
          <w14:ligatures w14:val="standardContextual"/>
        </w:rPr>
        <w:t xml:space="preserve">u odnosu na </w:t>
      </w:r>
      <w:r w:rsidRPr="0004221B">
        <w:rPr>
          <w:color w:val="000000"/>
          <w:kern w:val="2"/>
          <w:sz w:val="24"/>
          <w:szCs w:val="24"/>
          <w:lang w:eastAsia="hr-HR"/>
          <w14:ligatures w14:val="standardContextual"/>
        </w:rPr>
        <w:t>231.980 na kraju 2023.</w:t>
      </w:r>
      <w:r>
        <w:rPr>
          <w:color w:val="000000"/>
          <w:kern w:val="2"/>
          <w:sz w:val="24"/>
          <w:szCs w:val="24"/>
          <w:lang w:eastAsia="hr-HR"/>
          <w14:ligatures w14:val="standardContextual"/>
        </w:rPr>
        <w:t>), dok je</w:t>
      </w:r>
      <w:r w:rsidRPr="0004221B">
        <w:rPr>
          <w:color w:val="000000"/>
          <w:kern w:val="2"/>
          <w:sz w:val="24"/>
          <w:szCs w:val="24"/>
          <w:lang w:eastAsia="hr-HR"/>
          <w14:ligatures w14:val="standardContextual"/>
        </w:rPr>
        <w:t xml:space="preserve"> na trgovačkim sudovima </w:t>
      </w:r>
      <w:r>
        <w:rPr>
          <w:color w:val="000000"/>
          <w:kern w:val="2"/>
          <w:sz w:val="24"/>
          <w:szCs w:val="24"/>
          <w:lang w:eastAsia="hr-HR"/>
          <w14:ligatures w14:val="standardContextual"/>
        </w:rPr>
        <w:t>broj neriješenih predmeta smanjen za 6,36% (</w:t>
      </w:r>
      <w:r w:rsidRPr="00192C61">
        <w:rPr>
          <w:color w:val="000000"/>
          <w:kern w:val="2"/>
          <w:sz w:val="24"/>
          <w:szCs w:val="24"/>
          <w:lang w:eastAsia="hr-HR"/>
          <w14:ligatures w14:val="standardContextual"/>
        </w:rPr>
        <w:t>15.395 predmeta na kraju 2024.</w:t>
      </w:r>
      <w:r>
        <w:rPr>
          <w:color w:val="000000"/>
          <w:kern w:val="2"/>
          <w:sz w:val="24"/>
          <w:szCs w:val="24"/>
          <w:lang w:eastAsia="hr-HR"/>
          <w14:ligatures w14:val="standardContextual"/>
        </w:rPr>
        <w:t xml:space="preserve"> u odnosu na</w:t>
      </w:r>
      <w:r w:rsidRPr="0004221B">
        <w:rPr>
          <w:color w:val="000000"/>
          <w:kern w:val="2"/>
          <w:sz w:val="24"/>
          <w:szCs w:val="24"/>
          <w:lang w:eastAsia="hr-HR"/>
          <w14:ligatures w14:val="standardContextual"/>
        </w:rPr>
        <w:t xml:space="preserve"> 16.440 na kraju 2023.</w:t>
      </w:r>
      <w:r>
        <w:rPr>
          <w:color w:val="000000"/>
          <w:kern w:val="2"/>
          <w:sz w:val="24"/>
          <w:szCs w:val="24"/>
          <w:lang w:eastAsia="hr-HR"/>
          <w14:ligatures w14:val="standardContextual"/>
        </w:rPr>
        <w:t xml:space="preserve"> godine). Istovremeno </w:t>
      </w:r>
      <w:r w:rsidRPr="0004221B">
        <w:rPr>
          <w:color w:val="000000"/>
          <w:kern w:val="2"/>
          <w:sz w:val="24"/>
          <w:szCs w:val="24"/>
          <w:lang w:eastAsia="hr-HR"/>
          <w14:ligatures w14:val="standardContextual"/>
        </w:rPr>
        <w:t>smanjen</w:t>
      </w:r>
      <w:r>
        <w:rPr>
          <w:color w:val="000000"/>
          <w:kern w:val="2"/>
          <w:sz w:val="24"/>
          <w:szCs w:val="24"/>
          <w:lang w:eastAsia="hr-HR"/>
          <w14:ligatures w14:val="standardContextual"/>
        </w:rPr>
        <w:t xml:space="preserve"> je i</w:t>
      </w:r>
      <w:r w:rsidRPr="0004221B">
        <w:rPr>
          <w:color w:val="000000"/>
          <w:kern w:val="2"/>
          <w:sz w:val="24"/>
          <w:szCs w:val="24"/>
          <w:lang w:eastAsia="hr-HR"/>
          <w14:ligatures w14:val="standardContextual"/>
        </w:rPr>
        <w:t xml:space="preserve"> broj </w:t>
      </w:r>
      <w:r>
        <w:rPr>
          <w:color w:val="000000"/>
          <w:kern w:val="2"/>
          <w:sz w:val="24"/>
          <w:szCs w:val="24"/>
          <w:lang w:eastAsia="hr-HR"/>
          <w14:ligatures w14:val="standardContextual"/>
        </w:rPr>
        <w:t xml:space="preserve">neriješenih </w:t>
      </w:r>
      <w:r w:rsidRPr="0004221B">
        <w:rPr>
          <w:color w:val="000000"/>
          <w:kern w:val="2"/>
          <w:sz w:val="24"/>
          <w:szCs w:val="24"/>
          <w:lang w:eastAsia="hr-HR"/>
          <w14:ligatures w14:val="standardContextual"/>
        </w:rPr>
        <w:t xml:space="preserve">stečajnih predmeta </w:t>
      </w:r>
      <w:r>
        <w:rPr>
          <w:color w:val="000000"/>
          <w:kern w:val="2"/>
          <w:sz w:val="24"/>
          <w:szCs w:val="24"/>
          <w:lang w:eastAsia="hr-HR"/>
          <w14:ligatures w14:val="standardContextual"/>
        </w:rPr>
        <w:t>za 12,4% (</w:t>
      </w:r>
      <w:r w:rsidRPr="00F8619F">
        <w:rPr>
          <w:color w:val="000000"/>
          <w:kern w:val="2"/>
          <w:sz w:val="24"/>
          <w:szCs w:val="24"/>
          <w:lang w:eastAsia="hr-HR"/>
          <w14:ligatures w14:val="standardContextual"/>
        </w:rPr>
        <w:t xml:space="preserve">4.504 predmeta na kraju 2024. </w:t>
      </w:r>
      <w:r>
        <w:rPr>
          <w:color w:val="000000"/>
          <w:kern w:val="2"/>
          <w:sz w:val="24"/>
          <w:szCs w:val="24"/>
          <w:lang w:eastAsia="hr-HR"/>
          <w14:ligatures w14:val="standardContextual"/>
        </w:rPr>
        <w:t xml:space="preserve">u odnosu na </w:t>
      </w:r>
      <w:r w:rsidRPr="0004221B">
        <w:rPr>
          <w:color w:val="000000"/>
          <w:kern w:val="2"/>
          <w:sz w:val="24"/>
          <w:szCs w:val="24"/>
          <w:lang w:eastAsia="hr-HR"/>
          <w14:ligatures w14:val="standardContextual"/>
        </w:rPr>
        <w:t>5.141 na kraju 2023.</w:t>
      </w:r>
      <w:r>
        <w:rPr>
          <w:color w:val="000000"/>
          <w:kern w:val="2"/>
          <w:sz w:val="24"/>
          <w:szCs w:val="24"/>
          <w:lang w:eastAsia="hr-HR"/>
          <w14:ligatures w14:val="standardContextual"/>
        </w:rPr>
        <w:t xml:space="preserve"> godine)</w:t>
      </w:r>
      <w:r w:rsidRPr="0004221B">
        <w:rPr>
          <w:color w:val="000000"/>
          <w:kern w:val="2"/>
          <w:sz w:val="24"/>
          <w:szCs w:val="24"/>
          <w:lang w:eastAsia="hr-HR"/>
          <w14:ligatures w14:val="standardContextual"/>
        </w:rPr>
        <w:t xml:space="preserve">. </w:t>
      </w:r>
      <w:r>
        <w:rPr>
          <w:color w:val="000000"/>
          <w:kern w:val="2"/>
          <w:sz w:val="24"/>
          <w:szCs w:val="24"/>
          <w:lang w:eastAsia="hr-HR"/>
          <w14:ligatures w14:val="standardContextual"/>
        </w:rPr>
        <w:t>Također, p</w:t>
      </w:r>
      <w:r w:rsidRPr="0004221B">
        <w:rPr>
          <w:color w:val="000000"/>
          <w:kern w:val="2"/>
          <w:sz w:val="24"/>
          <w:szCs w:val="24"/>
          <w:lang w:eastAsia="hr-HR"/>
          <w14:ligatures w14:val="standardContextual"/>
        </w:rPr>
        <w:t>rim</w:t>
      </w:r>
      <w:r>
        <w:rPr>
          <w:color w:val="000000"/>
          <w:kern w:val="2"/>
          <w:sz w:val="24"/>
          <w:szCs w:val="24"/>
          <w:lang w:eastAsia="hr-HR"/>
          <w14:ligatures w14:val="standardContextual"/>
        </w:rPr>
        <w:t>i</w:t>
      </w:r>
      <w:r w:rsidRPr="0004221B">
        <w:rPr>
          <w:color w:val="000000"/>
          <w:kern w:val="2"/>
          <w:sz w:val="24"/>
          <w:szCs w:val="24"/>
          <w:lang w:eastAsia="hr-HR"/>
          <w14:ligatures w14:val="standardContextual"/>
        </w:rPr>
        <w:t>jeć</w:t>
      </w:r>
      <w:r>
        <w:rPr>
          <w:color w:val="000000"/>
          <w:kern w:val="2"/>
          <w:sz w:val="24"/>
          <w:szCs w:val="24"/>
          <w:lang w:eastAsia="hr-HR"/>
          <w14:ligatures w14:val="standardContextual"/>
        </w:rPr>
        <w:t>eno je</w:t>
      </w:r>
      <w:r w:rsidRPr="0004221B">
        <w:rPr>
          <w:color w:val="000000"/>
          <w:kern w:val="2"/>
          <w:sz w:val="24"/>
          <w:szCs w:val="24"/>
          <w:lang w:eastAsia="hr-HR"/>
          <w14:ligatures w14:val="standardContextual"/>
        </w:rPr>
        <w:t xml:space="preserve"> povećanje broja riješenih predmeta </w:t>
      </w:r>
      <w:r>
        <w:rPr>
          <w:color w:val="000000"/>
          <w:kern w:val="2"/>
          <w:sz w:val="24"/>
          <w:szCs w:val="24"/>
          <w:lang w:eastAsia="hr-HR"/>
          <w14:ligatures w14:val="standardContextual"/>
        </w:rPr>
        <w:t>z</w:t>
      </w:r>
      <w:r w:rsidRPr="0004221B">
        <w:rPr>
          <w:color w:val="000000"/>
          <w:kern w:val="2"/>
          <w:sz w:val="24"/>
          <w:szCs w:val="24"/>
          <w:lang w:eastAsia="hr-HR"/>
          <w14:ligatures w14:val="standardContextual"/>
        </w:rPr>
        <w:t xml:space="preserve">a </w:t>
      </w:r>
      <w:r>
        <w:rPr>
          <w:color w:val="000000"/>
          <w:kern w:val="2"/>
          <w:sz w:val="24"/>
          <w:szCs w:val="24"/>
          <w:lang w:eastAsia="hr-HR"/>
          <w14:ligatures w14:val="standardContextual"/>
        </w:rPr>
        <w:t xml:space="preserve">8% tijekom 2024. na 604.589, u odnosu na </w:t>
      </w:r>
      <w:r w:rsidRPr="0004221B">
        <w:rPr>
          <w:color w:val="000000"/>
          <w:kern w:val="2"/>
          <w:sz w:val="24"/>
          <w:szCs w:val="24"/>
          <w:lang w:eastAsia="hr-HR"/>
          <w14:ligatures w14:val="standardContextual"/>
        </w:rPr>
        <w:t xml:space="preserve">559.823 </w:t>
      </w:r>
      <w:r>
        <w:rPr>
          <w:color w:val="000000"/>
          <w:kern w:val="2"/>
          <w:sz w:val="24"/>
          <w:szCs w:val="24"/>
          <w:lang w:eastAsia="hr-HR"/>
          <w14:ligatures w14:val="standardContextual"/>
        </w:rPr>
        <w:t xml:space="preserve">riješenih predmeta </w:t>
      </w:r>
      <w:r w:rsidRPr="0004221B">
        <w:rPr>
          <w:color w:val="000000"/>
          <w:kern w:val="2"/>
          <w:sz w:val="24"/>
          <w:szCs w:val="24"/>
          <w:lang w:eastAsia="hr-HR"/>
          <w14:ligatures w14:val="standardContextual"/>
        </w:rPr>
        <w:t xml:space="preserve">tijekom 2023. </w:t>
      </w:r>
      <w:r>
        <w:rPr>
          <w:color w:val="000000"/>
          <w:kern w:val="2"/>
          <w:sz w:val="24"/>
          <w:szCs w:val="24"/>
          <w:lang w:eastAsia="hr-HR"/>
          <w14:ligatures w14:val="standardContextual"/>
        </w:rPr>
        <w:t>godine</w:t>
      </w:r>
      <w:r w:rsidRPr="0004221B">
        <w:rPr>
          <w:color w:val="000000"/>
          <w:kern w:val="2"/>
          <w:sz w:val="24"/>
          <w:szCs w:val="24"/>
          <w:lang w:eastAsia="hr-HR"/>
          <w14:ligatures w14:val="standardContextual"/>
        </w:rPr>
        <w:t>. Dodatno, na svim vrstama sudova</w:t>
      </w:r>
      <w:r>
        <w:rPr>
          <w:color w:val="000000"/>
          <w:kern w:val="2"/>
          <w:sz w:val="24"/>
          <w:szCs w:val="24"/>
          <w:lang w:eastAsia="hr-HR"/>
          <w14:ligatures w14:val="standardContextual"/>
        </w:rPr>
        <w:t xml:space="preserve"> (</w:t>
      </w:r>
      <w:r w:rsidRPr="008C0B68">
        <w:rPr>
          <w:color w:val="000000"/>
          <w:kern w:val="2"/>
          <w:sz w:val="24"/>
          <w:szCs w:val="24"/>
          <w:lang w:eastAsia="hr-HR"/>
          <w14:ligatures w14:val="standardContextual"/>
        </w:rPr>
        <w:t>općinskim, trgovačkim</w:t>
      </w:r>
      <w:r>
        <w:rPr>
          <w:color w:val="000000"/>
          <w:kern w:val="2"/>
          <w:sz w:val="24"/>
          <w:szCs w:val="24"/>
          <w:lang w:eastAsia="hr-HR"/>
          <w14:ligatures w14:val="standardContextual"/>
        </w:rPr>
        <w:t xml:space="preserve"> i </w:t>
      </w:r>
      <w:r w:rsidRPr="008C0B68">
        <w:rPr>
          <w:color w:val="000000"/>
          <w:kern w:val="2"/>
          <w:sz w:val="24"/>
          <w:szCs w:val="24"/>
          <w:lang w:eastAsia="hr-HR"/>
          <w14:ligatures w14:val="standardContextual"/>
        </w:rPr>
        <w:t xml:space="preserve">županijskim sudovima </w:t>
      </w:r>
      <w:r>
        <w:rPr>
          <w:color w:val="000000"/>
          <w:kern w:val="2"/>
          <w:sz w:val="24"/>
          <w:szCs w:val="24"/>
          <w:lang w:eastAsia="hr-HR"/>
          <w14:ligatures w14:val="standardContextual"/>
        </w:rPr>
        <w:t>te</w:t>
      </w:r>
      <w:r w:rsidRPr="008C0B68">
        <w:rPr>
          <w:color w:val="000000"/>
          <w:kern w:val="2"/>
          <w:sz w:val="24"/>
          <w:szCs w:val="24"/>
          <w:lang w:eastAsia="hr-HR"/>
          <w14:ligatures w14:val="standardContextual"/>
        </w:rPr>
        <w:t xml:space="preserve"> Visokom trgovačkom sudu</w:t>
      </w:r>
      <w:r>
        <w:rPr>
          <w:color w:val="000000"/>
          <w:kern w:val="2"/>
          <w:sz w:val="24"/>
          <w:szCs w:val="24"/>
          <w:lang w:eastAsia="hr-HR"/>
          <w14:ligatures w14:val="standardContextual"/>
        </w:rPr>
        <w:t>)</w:t>
      </w:r>
      <w:r w:rsidRPr="0004221B">
        <w:rPr>
          <w:color w:val="000000"/>
          <w:kern w:val="2"/>
          <w:sz w:val="24"/>
          <w:szCs w:val="24"/>
          <w:lang w:eastAsia="hr-HR"/>
          <w14:ligatures w14:val="standardContextual"/>
        </w:rPr>
        <w:t xml:space="preserve"> ostvareni su značajno bolji rezultati u smanjenju broja neriješenih predmeta starijih od </w:t>
      </w:r>
      <w:r>
        <w:rPr>
          <w:color w:val="000000"/>
          <w:kern w:val="2"/>
          <w:sz w:val="24"/>
          <w:szCs w:val="24"/>
          <w:lang w:eastAsia="hr-HR"/>
          <w14:ligatures w14:val="standardContextual"/>
        </w:rPr>
        <w:t>pet</w:t>
      </w:r>
      <w:r w:rsidRPr="0004221B">
        <w:rPr>
          <w:color w:val="000000"/>
          <w:kern w:val="2"/>
          <w:sz w:val="24"/>
          <w:szCs w:val="24"/>
          <w:lang w:eastAsia="hr-HR"/>
          <w14:ligatures w14:val="standardContextual"/>
        </w:rPr>
        <w:t xml:space="preserve"> godina te je na kraju 2024. u odnosu na 2023. njihov ukupan broj smanjen za 24</w:t>
      </w:r>
      <w:r>
        <w:rPr>
          <w:color w:val="000000"/>
          <w:kern w:val="2"/>
          <w:sz w:val="24"/>
          <w:szCs w:val="24"/>
          <w:lang w:eastAsia="hr-HR"/>
          <w14:ligatures w14:val="standardContextual"/>
        </w:rPr>
        <w:t>,4</w:t>
      </w:r>
      <w:r w:rsidRPr="0004221B">
        <w:rPr>
          <w:color w:val="000000"/>
          <w:kern w:val="2"/>
          <w:sz w:val="24"/>
          <w:szCs w:val="24"/>
          <w:lang w:eastAsia="hr-HR"/>
          <w14:ligatures w14:val="standardContextual"/>
        </w:rPr>
        <w:t>% (</w:t>
      </w:r>
      <w:r w:rsidRPr="006A45BA">
        <w:rPr>
          <w:color w:val="000000"/>
          <w:kern w:val="2"/>
          <w:sz w:val="24"/>
          <w:szCs w:val="24"/>
          <w:lang w:eastAsia="hr-HR"/>
          <w14:ligatures w14:val="standardContextual"/>
        </w:rPr>
        <w:t>47.817 neriješenih predmeta</w:t>
      </w:r>
      <w:r w:rsidRPr="006A45BA">
        <w:t xml:space="preserve"> </w:t>
      </w:r>
      <w:r w:rsidRPr="006A45BA">
        <w:rPr>
          <w:color w:val="000000"/>
          <w:kern w:val="2"/>
          <w:sz w:val="24"/>
          <w:szCs w:val="24"/>
          <w:lang w:eastAsia="hr-HR"/>
          <w14:ligatures w14:val="standardContextual"/>
        </w:rPr>
        <w:t xml:space="preserve">starijih od </w:t>
      </w:r>
      <w:r>
        <w:rPr>
          <w:color w:val="000000"/>
          <w:kern w:val="2"/>
          <w:sz w:val="24"/>
          <w:szCs w:val="24"/>
          <w:lang w:eastAsia="hr-HR"/>
          <w14:ligatures w14:val="standardContextual"/>
        </w:rPr>
        <w:t>pet</w:t>
      </w:r>
      <w:r w:rsidRPr="006A45BA">
        <w:rPr>
          <w:color w:val="000000"/>
          <w:kern w:val="2"/>
          <w:sz w:val="24"/>
          <w:szCs w:val="24"/>
          <w:lang w:eastAsia="hr-HR"/>
          <w14:ligatures w14:val="standardContextual"/>
        </w:rPr>
        <w:t xml:space="preserve"> godina na kraju 2024.</w:t>
      </w:r>
      <w:r>
        <w:rPr>
          <w:color w:val="000000"/>
          <w:kern w:val="2"/>
          <w:sz w:val="24"/>
          <w:szCs w:val="24"/>
          <w:lang w:eastAsia="hr-HR"/>
          <w14:ligatures w14:val="standardContextual"/>
        </w:rPr>
        <w:t xml:space="preserve"> u odnosu na </w:t>
      </w:r>
      <w:r w:rsidRPr="0004221B">
        <w:rPr>
          <w:color w:val="000000"/>
          <w:kern w:val="2"/>
          <w:sz w:val="24"/>
          <w:szCs w:val="24"/>
          <w:lang w:eastAsia="hr-HR"/>
          <w14:ligatures w14:val="standardContextual"/>
        </w:rPr>
        <w:t xml:space="preserve">63.253 neriješenih predmeta na </w:t>
      </w:r>
      <w:r>
        <w:rPr>
          <w:color w:val="000000"/>
          <w:kern w:val="2"/>
          <w:sz w:val="24"/>
          <w:szCs w:val="24"/>
          <w:lang w:eastAsia="hr-HR"/>
          <w14:ligatures w14:val="standardContextual"/>
        </w:rPr>
        <w:t xml:space="preserve">kraju 2023. godine). </w:t>
      </w:r>
    </w:p>
    <w:p w14:paraId="76713019" w14:textId="77777777" w:rsidR="00FB178A" w:rsidRPr="0004221B" w:rsidRDefault="00FB178A" w:rsidP="00FB178A">
      <w:pPr>
        <w:widowControl/>
        <w:autoSpaceDE/>
        <w:autoSpaceDN/>
        <w:spacing w:after="227" w:line="276" w:lineRule="auto"/>
        <w:ind w:left="-15"/>
        <w:jc w:val="both"/>
        <w:rPr>
          <w:color w:val="000000"/>
          <w:kern w:val="2"/>
          <w:sz w:val="24"/>
          <w:szCs w:val="24"/>
          <w:lang w:eastAsia="hr-HR"/>
          <w14:ligatures w14:val="standardContextual"/>
        </w:rPr>
      </w:pPr>
      <w:r>
        <w:rPr>
          <w:color w:val="000000"/>
          <w:kern w:val="2"/>
          <w:sz w:val="24"/>
          <w:szCs w:val="24"/>
          <w:lang w:eastAsia="hr-HR"/>
          <w14:ligatures w14:val="standardContextual"/>
        </w:rPr>
        <w:t>Radi</w:t>
      </w:r>
      <w:r w:rsidRPr="0004221B">
        <w:rPr>
          <w:color w:val="000000"/>
          <w:kern w:val="2"/>
          <w:sz w:val="24"/>
          <w:szCs w:val="24"/>
          <w:lang w:eastAsia="hr-HR"/>
          <w14:ligatures w14:val="standardContextual"/>
        </w:rPr>
        <w:t xml:space="preserve"> poticanja alternativnog rješavanja sporova, u okviru projekta </w:t>
      </w:r>
      <w:r>
        <w:rPr>
          <w:color w:val="000000"/>
          <w:kern w:val="2"/>
          <w:sz w:val="24"/>
          <w:szCs w:val="24"/>
          <w:lang w:eastAsia="hr-HR"/>
          <w14:ligatures w14:val="standardContextual"/>
        </w:rPr>
        <w:t>„</w:t>
      </w:r>
      <w:r w:rsidRPr="0004221B">
        <w:rPr>
          <w:color w:val="000000"/>
          <w:kern w:val="2"/>
          <w:sz w:val="24"/>
          <w:szCs w:val="24"/>
          <w:lang w:eastAsia="hr-HR"/>
          <w14:ligatures w14:val="standardContextual"/>
        </w:rPr>
        <w:t>Unaprjeđenje sustava sudskog mirenja</w:t>
      </w:r>
      <w:r>
        <w:rPr>
          <w:color w:val="000000"/>
          <w:kern w:val="2"/>
          <w:sz w:val="24"/>
          <w:szCs w:val="24"/>
          <w:lang w:eastAsia="hr-HR"/>
          <w14:ligatures w14:val="standardContextual"/>
        </w:rPr>
        <w:t>“</w:t>
      </w:r>
      <w:r w:rsidRPr="0004221B">
        <w:rPr>
          <w:color w:val="000000"/>
          <w:kern w:val="2"/>
          <w:sz w:val="24"/>
          <w:szCs w:val="24"/>
          <w:lang w:eastAsia="hr-HR"/>
          <w14:ligatures w14:val="standardContextual"/>
        </w:rPr>
        <w:t xml:space="preserve"> izrađeno je sociološko istraživanje razloga nedovoljn</w:t>
      </w:r>
      <w:r>
        <w:rPr>
          <w:color w:val="000000"/>
          <w:kern w:val="2"/>
          <w:sz w:val="24"/>
          <w:szCs w:val="24"/>
          <w:lang w:eastAsia="hr-HR"/>
          <w14:ligatures w14:val="standardContextual"/>
        </w:rPr>
        <w:t>og</w:t>
      </w:r>
      <w:r w:rsidRPr="0004221B">
        <w:rPr>
          <w:color w:val="000000"/>
          <w:kern w:val="2"/>
          <w:sz w:val="24"/>
          <w:szCs w:val="24"/>
          <w:lang w:eastAsia="hr-HR"/>
          <w14:ligatures w14:val="standardContextual"/>
        </w:rPr>
        <w:t xml:space="preserve"> korišten</w:t>
      </w:r>
      <w:r>
        <w:rPr>
          <w:color w:val="000000"/>
          <w:kern w:val="2"/>
          <w:sz w:val="24"/>
          <w:szCs w:val="24"/>
          <w:lang w:eastAsia="hr-HR"/>
          <w14:ligatures w14:val="standardContextual"/>
        </w:rPr>
        <w:t xml:space="preserve">ja </w:t>
      </w:r>
      <w:r w:rsidRPr="0004221B">
        <w:rPr>
          <w:color w:val="000000"/>
          <w:kern w:val="2"/>
          <w:sz w:val="24"/>
          <w:szCs w:val="24"/>
          <w:lang w:eastAsia="hr-HR"/>
          <w14:ligatures w14:val="standardContextual"/>
        </w:rPr>
        <w:t>i</w:t>
      </w:r>
      <w:r>
        <w:rPr>
          <w:color w:val="000000"/>
          <w:kern w:val="2"/>
          <w:sz w:val="24"/>
          <w:szCs w:val="24"/>
          <w:lang w:eastAsia="hr-HR"/>
          <w14:ligatures w14:val="standardContextual"/>
        </w:rPr>
        <w:t>nstituta</w:t>
      </w:r>
      <w:r w:rsidRPr="0004221B">
        <w:rPr>
          <w:color w:val="000000"/>
          <w:kern w:val="2"/>
          <w:sz w:val="24"/>
          <w:szCs w:val="24"/>
          <w:lang w:eastAsia="hr-HR"/>
          <w14:ligatures w14:val="standardContextual"/>
        </w:rPr>
        <w:t xml:space="preserve"> mirenja u Hrvatskoj </w:t>
      </w:r>
      <w:r>
        <w:rPr>
          <w:color w:val="000000"/>
          <w:kern w:val="2"/>
          <w:sz w:val="24"/>
          <w:szCs w:val="24"/>
          <w:lang w:eastAsia="hr-HR"/>
          <w14:ligatures w14:val="standardContextual"/>
        </w:rPr>
        <w:t>te je</w:t>
      </w:r>
      <w:r w:rsidRPr="0004221B">
        <w:rPr>
          <w:color w:val="000000"/>
          <w:kern w:val="2"/>
          <w:sz w:val="24"/>
          <w:szCs w:val="24"/>
          <w:lang w:eastAsia="hr-HR"/>
          <w14:ligatures w14:val="standardContextual"/>
        </w:rPr>
        <w:t xml:space="preserve"> provedeno osposobljavanje za izmiritelje za </w:t>
      </w:r>
      <w:r>
        <w:rPr>
          <w:color w:val="000000"/>
          <w:kern w:val="2"/>
          <w:sz w:val="24"/>
          <w:szCs w:val="24"/>
          <w:lang w:eastAsia="hr-HR"/>
          <w14:ligatures w14:val="standardContextual"/>
        </w:rPr>
        <w:t>više od</w:t>
      </w:r>
      <w:r w:rsidRPr="0004221B">
        <w:rPr>
          <w:color w:val="000000"/>
          <w:kern w:val="2"/>
          <w:sz w:val="24"/>
          <w:szCs w:val="24"/>
          <w:lang w:eastAsia="hr-HR"/>
          <w14:ligatures w14:val="standardContextual"/>
        </w:rPr>
        <w:t xml:space="preserve"> 500 osoba. Izrađena je komparativna analiza sustava mirenja u Hrvatskoj s </w:t>
      </w:r>
      <w:r>
        <w:rPr>
          <w:color w:val="000000"/>
          <w:kern w:val="2"/>
          <w:sz w:val="24"/>
          <w:szCs w:val="24"/>
          <w:lang w:eastAsia="hr-HR"/>
          <w14:ligatures w14:val="standardContextual"/>
        </w:rPr>
        <w:t>drugim</w:t>
      </w:r>
      <w:r w:rsidRPr="0004221B">
        <w:rPr>
          <w:color w:val="000000"/>
          <w:kern w:val="2"/>
          <w:sz w:val="24"/>
          <w:szCs w:val="24"/>
          <w:lang w:eastAsia="hr-HR"/>
          <w14:ligatures w14:val="standardContextual"/>
        </w:rPr>
        <w:t xml:space="preserve"> državama (Portugal, Norveška, Irska, Nizozemska) te je izrađen priručnik za sudsko mirenje</w:t>
      </w:r>
      <w:r>
        <w:rPr>
          <w:color w:val="000000"/>
          <w:kern w:val="2"/>
          <w:sz w:val="24"/>
          <w:szCs w:val="24"/>
          <w:lang w:eastAsia="hr-HR"/>
          <w14:ligatures w14:val="standardContextual"/>
        </w:rPr>
        <w:t>, a p</w:t>
      </w:r>
      <w:r w:rsidRPr="0004221B">
        <w:rPr>
          <w:color w:val="000000"/>
          <w:kern w:val="2"/>
          <w:sz w:val="24"/>
          <w:szCs w:val="24"/>
          <w:lang w:eastAsia="hr-HR"/>
          <w14:ligatures w14:val="standardContextual"/>
        </w:rPr>
        <w:t xml:space="preserve">rovedena je i promotivna kampanja. </w:t>
      </w:r>
      <w:r w:rsidRPr="0004221B">
        <w:rPr>
          <w:color w:val="000000" w:themeColor="text1"/>
          <w:sz w:val="24"/>
          <w:szCs w:val="24"/>
          <w:lang w:eastAsia="hr-HR"/>
        </w:rPr>
        <w:t>Nadalje, uz podršku Ministarstva vanjskih poslova Sjedinjenih Američkih Država u 2024. završena je provedba Programa izvrsnosti hrvatskih sudova čija je svrha poboljšanje učinkovitosti sudskih postupaka na građanskim i trgovačkim sudovima, posebice uvođenjem alata za aktivno upravljanje predmeta prema međunarodnom okviru za izvrsnost sudova (ICFE) koji je uveden na pilot sudove.</w:t>
      </w:r>
    </w:p>
    <w:p w14:paraId="6F4F28D7" w14:textId="77777777" w:rsidR="00FB178A" w:rsidRPr="0004221B" w:rsidRDefault="00FB178A" w:rsidP="00FB178A">
      <w:pPr>
        <w:widowControl/>
        <w:autoSpaceDE/>
        <w:autoSpaceDN/>
        <w:spacing w:after="227" w:line="276" w:lineRule="auto"/>
        <w:ind w:left="-15"/>
        <w:jc w:val="both"/>
        <w:rPr>
          <w:color w:val="000000"/>
          <w:kern w:val="2"/>
          <w:sz w:val="24"/>
          <w:szCs w:val="24"/>
          <w:lang w:eastAsia="hr-HR"/>
          <w14:ligatures w14:val="standardContextual"/>
        </w:rPr>
      </w:pPr>
      <w:r w:rsidRPr="0004221B">
        <w:rPr>
          <w:color w:val="000000" w:themeColor="text1"/>
          <w:sz w:val="24"/>
          <w:szCs w:val="24"/>
          <w:lang w:eastAsia="hr-HR"/>
        </w:rPr>
        <w:lastRenderedPageBreak/>
        <w:t xml:space="preserve">Tijekom 2024. pripremljene su izmjene zakona radi daljnjeg očuvanja i poboljšanja integriteta sudaca i državnih odvjetnika. Finalizirane su izmjene Zakona o državnom odvjetništvu kojima se ukida pravna osnova za periodične sigurnosne provjere svih državnih odvjetnika. </w:t>
      </w:r>
      <w:r>
        <w:rPr>
          <w:color w:val="000000" w:themeColor="text1"/>
          <w:sz w:val="24"/>
          <w:szCs w:val="24"/>
          <w:lang w:eastAsia="hr-HR"/>
        </w:rPr>
        <w:t>Tijekom 2024. u p</w:t>
      </w:r>
      <w:r w:rsidRPr="0004221B">
        <w:rPr>
          <w:color w:val="000000" w:themeColor="text1"/>
          <w:sz w:val="24"/>
          <w:szCs w:val="24"/>
          <w:lang w:eastAsia="hr-HR"/>
        </w:rPr>
        <w:t>riprem</w:t>
      </w:r>
      <w:r>
        <w:rPr>
          <w:color w:val="000000" w:themeColor="text1"/>
          <w:sz w:val="24"/>
          <w:szCs w:val="24"/>
          <w:lang w:eastAsia="hr-HR"/>
        </w:rPr>
        <w:t>i</w:t>
      </w:r>
      <w:r w:rsidRPr="0004221B">
        <w:rPr>
          <w:color w:val="000000" w:themeColor="text1"/>
          <w:sz w:val="24"/>
          <w:szCs w:val="24"/>
          <w:lang w:eastAsia="hr-HR"/>
        </w:rPr>
        <w:t xml:space="preserve"> s</w:t>
      </w:r>
      <w:r>
        <w:rPr>
          <w:color w:val="000000" w:themeColor="text1"/>
          <w:sz w:val="24"/>
          <w:szCs w:val="24"/>
          <w:lang w:eastAsia="hr-HR"/>
        </w:rPr>
        <w:t>u</w:t>
      </w:r>
      <w:r w:rsidRPr="0004221B">
        <w:rPr>
          <w:color w:val="000000" w:themeColor="text1"/>
          <w:sz w:val="24"/>
          <w:szCs w:val="24"/>
          <w:lang w:eastAsia="hr-HR"/>
        </w:rPr>
        <w:t xml:space="preserve"> </w:t>
      </w:r>
      <w:r>
        <w:rPr>
          <w:color w:val="000000" w:themeColor="text1"/>
          <w:sz w:val="24"/>
          <w:szCs w:val="24"/>
          <w:lang w:eastAsia="hr-HR"/>
        </w:rPr>
        <w:t xml:space="preserve">bile </w:t>
      </w:r>
      <w:r w:rsidRPr="0004221B">
        <w:rPr>
          <w:color w:val="000000" w:themeColor="text1"/>
          <w:sz w:val="24"/>
          <w:szCs w:val="24"/>
          <w:lang w:eastAsia="hr-HR"/>
        </w:rPr>
        <w:t>zakonodavne izmjene kojima će se sustav sudaca evidentičara uskladiti s pravom EU-a i zahtjevima koje je utvrdio Sud Europske unije</w:t>
      </w:r>
      <w:r>
        <w:rPr>
          <w:color w:val="000000" w:themeColor="text1"/>
          <w:sz w:val="24"/>
          <w:szCs w:val="24"/>
          <w:lang w:eastAsia="hr-HR"/>
        </w:rPr>
        <w:t xml:space="preserve"> (</w:t>
      </w:r>
      <w:r w:rsidRPr="007F4921">
        <w:rPr>
          <w:color w:val="000000" w:themeColor="text1"/>
          <w:sz w:val="24"/>
          <w:szCs w:val="24"/>
          <w:lang w:eastAsia="hr-HR"/>
        </w:rPr>
        <w:t>u listopadu 2025. sustav sudaca evidentičara usklađen je s pravom EU-a i zahtjevima koje je utvrdio Sud Europske unije</w:t>
      </w:r>
      <w:r>
        <w:rPr>
          <w:color w:val="000000" w:themeColor="text1"/>
          <w:sz w:val="24"/>
          <w:szCs w:val="24"/>
          <w:lang w:eastAsia="hr-HR"/>
        </w:rPr>
        <w:t>)</w:t>
      </w:r>
      <w:r w:rsidRPr="0004221B">
        <w:rPr>
          <w:color w:val="000000" w:themeColor="text1"/>
          <w:sz w:val="24"/>
          <w:szCs w:val="24"/>
          <w:lang w:eastAsia="hr-HR"/>
        </w:rPr>
        <w:t xml:space="preserve">. </w:t>
      </w:r>
    </w:p>
    <w:p w14:paraId="4ADEA063" w14:textId="77777777" w:rsidR="00FB178A" w:rsidRPr="0004221B" w:rsidRDefault="00FB178A" w:rsidP="00FB178A">
      <w:pPr>
        <w:widowControl/>
        <w:autoSpaceDE/>
        <w:autoSpaceDN/>
        <w:spacing w:after="227" w:line="276" w:lineRule="auto"/>
        <w:jc w:val="both"/>
        <w:rPr>
          <w:color w:val="000000"/>
          <w:kern w:val="2"/>
          <w:sz w:val="24"/>
          <w:szCs w:val="24"/>
          <w:lang w:eastAsia="hr-HR"/>
          <w14:ligatures w14:val="standardContextual"/>
        </w:rPr>
      </w:pPr>
      <w:r w:rsidRPr="0031634D">
        <w:rPr>
          <w:color w:val="000000" w:themeColor="text1"/>
          <w:sz w:val="24"/>
          <w:szCs w:val="24"/>
          <w:lang w:eastAsia="hr-HR"/>
        </w:rPr>
        <w:t>Napori na digitalizaciji pravosudnog sustava također napreduju te je sveukupno do kraja 2024. građanima bilo omogućeno korištenje 21 e-usluge pravosudnog sustava (18 e-usluga u 2023.</w:t>
      </w:r>
      <w:r>
        <w:rPr>
          <w:color w:val="000000" w:themeColor="text1"/>
          <w:sz w:val="24"/>
          <w:szCs w:val="24"/>
          <w:lang w:eastAsia="hr-HR"/>
        </w:rPr>
        <w:t xml:space="preserve"> godini</w:t>
      </w:r>
      <w:r w:rsidRPr="0031634D">
        <w:rPr>
          <w:color w:val="000000" w:themeColor="text1"/>
          <w:sz w:val="24"/>
          <w:szCs w:val="24"/>
          <w:lang w:eastAsia="hr-HR"/>
        </w:rPr>
        <w:t xml:space="preserve">). </w:t>
      </w:r>
      <w:r w:rsidRPr="0004221B">
        <w:rPr>
          <w:color w:val="000000" w:themeColor="text1"/>
          <w:sz w:val="24"/>
          <w:szCs w:val="24"/>
          <w:lang w:eastAsia="hr-HR"/>
        </w:rPr>
        <w:t>Tijekom 2024. nastavljene su aktivnosti u provedbi investicije unaprjeđenja sustava za upravljanje sudskim predmetima (</w:t>
      </w:r>
      <w:proofErr w:type="spellStart"/>
      <w:r w:rsidRPr="0004221B">
        <w:rPr>
          <w:color w:val="000000" w:themeColor="text1"/>
          <w:sz w:val="24"/>
          <w:szCs w:val="24"/>
          <w:lang w:eastAsia="hr-HR"/>
        </w:rPr>
        <w:t>eSpis</w:t>
      </w:r>
      <w:proofErr w:type="spellEnd"/>
      <w:r w:rsidRPr="0004221B">
        <w:rPr>
          <w:color w:val="000000" w:themeColor="text1"/>
          <w:sz w:val="24"/>
          <w:szCs w:val="24"/>
          <w:lang w:eastAsia="hr-HR"/>
        </w:rPr>
        <w:t>).</w:t>
      </w:r>
      <w:r>
        <w:rPr>
          <w:color w:val="000000" w:themeColor="text1"/>
          <w:sz w:val="24"/>
          <w:szCs w:val="24"/>
          <w:lang w:eastAsia="hr-HR"/>
        </w:rPr>
        <w:t xml:space="preserve"> P</w:t>
      </w:r>
      <w:r w:rsidRPr="0004221B">
        <w:rPr>
          <w:color w:val="000000" w:themeColor="text1"/>
          <w:sz w:val="24"/>
          <w:szCs w:val="24"/>
          <w:lang w:eastAsia="hr-HR"/>
        </w:rPr>
        <w:t xml:space="preserve">očetkom 2025. potpisan je dodatak ugovoru za unaprjeđenje sustava </w:t>
      </w:r>
      <w:proofErr w:type="spellStart"/>
      <w:r w:rsidRPr="0004221B">
        <w:rPr>
          <w:color w:val="000000" w:themeColor="text1"/>
          <w:sz w:val="24"/>
          <w:szCs w:val="24"/>
          <w:lang w:eastAsia="hr-HR"/>
        </w:rPr>
        <w:t>eSpis</w:t>
      </w:r>
      <w:proofErr w:type="spellEnd"/>
      <w:r w:rsidRPr="0004221B">
        <w:rPr>
          <w:color w:val="000000" w:themeColor="text1"/>
          <w:sz w:val="24"/>
          <w:szCs w:val="24"/>
          <w:lang w:eastAsia="hr-HR"/>
        </w:rPr>
        <w:t>,</w:t>
      </w:r>
      <w:r w:rsidRPr="09481A3F">
        <w:rPr>
          <w:color w:val="000000" w:themeColor="text1"/>
          <w:sz w:val="24"/>
          <w:szCs w:val="24"/>
          <w:lang w:eastAsia="hr-HR"/>
        </w:rPr>
        <w:t xml:space="preserve"> </w:t>
      </w:r>
      <w:r w:rsidRPr="0004221B">
        <w:rPr>
          <w:color w:val="000000" w:themeColor="text1"/>
          <w:sz w:val="24"/>
          <w:szCs w:val="24"/>
          <w:lang w:eastAsia="hr-HR"/>
        </w:rPr>
        <w:t>kako bi se osiguralo dovoljno vremena za optimizaciju performansi baze podataka na novoj CDU okolini. Izrađena je potpuno nova e-Komunikacija u kojoj su uzete u obzir sve tehničke preporuke i preporuke sa IT poslovne strane na temelju akcijskog plana Vijeća Europe. Napravljena je potrebna prilagodba e-Komunikacije za sustav e-Građani. Za korisnike, fizičke osobe, koji nisu obveznici e-Komunikacije, pri slanju pismena sa suda fizičkom poštom, šalje se u korisnički pretinac informacija o poslanom pismenu. Dio sustava je prebačen u CDU.</w:t>
      </w:r>
    </w:p>
    <w:p w14:paraId="59BBDF8A" w14:textId="77777777" w:rsidR="00FB178A" w:rsidRPr="00D23F49" w:rsidRDefault="00FB178A" w:rsidP="00FB178A">
      <w:pPr>
        <w:widowControl/>
        <w:autoSpaceDE/>
        <w:autoSpaceDN/>
        <w:spacing w:after="227" w:line="276" w:lineRule="auto"/>
        <w:ind w:left="-15"/>
        <w:jc w:val="both"/>
        <w:rPr>
          <w:color w:val="000000"/>
          <w:kern w:val="2"/>
          <w:sz w:val="24"/>
          <w:szCs w:val="24"/>
          <w:lang w:eastAsia="hr-HR"/>
          <w14:ligatures w14:val="standardContextual"/>
        </w:rPr>
      </w:pPr>
      <w:r w:rsidRPr="00D23F49">
        <w:rPr>
          <w:color w:val="000000"/>
          <w:kern w:val="2"/>
          <w:sz w:val="24"/>
          <w:szCs w:val="24"/>
          <w:lang w:eastAsia="hr-HR"/>
          <w14:ligatures w14:val="standardContextual"/>
        </w:rPr>
        <w:t>Sudovi i njihovi korisnici sve češće komuniciraju elektroničkim putem, što upućuje na napredak digitalizacije pravosudnog sustava. Istodobno, povećana uporaba elektroničke komunikacije pridonosi daljnjem razvoju i unaprjeđenju digitalnih rješenja. Tijekom 2024. digitalizirani su brojni elementi pravosudnog sustava. Povezan je sustav e-Komunikacija sa sustavima e-Građani i e-Ovlaštenja (za pravne osobe) kako bi se sudska pismena mogla primati preko sigurnog sandučića. Sustav je također poboljšan i dodane su mu nove funkcije. Povećano je korištenje sustava e-Komunikacije u 2024., uglavnom među profesionalnim korisnicima i poduzećima. Broj registriranih korisnika e-Komunikacije u 2024. je porastao na 90.009, što je povećanje od 5,2% u odnosu na 2023.</w:t>
      </w:r>
      <w:r>
        <w:rPr>
          <w:color w:val="000000"/>
          <w:kern w:val="2"/>
          <w:sz w:val="24"/>
          <w:szCs w:val="24"/>
          <w:lang w:eastAsia="hr-HR"/>
          <w14:ligatures w14:val="standardContextual"/>
        </w:rPr>
        <w:t xml:space="preserve"> godinu.</w:t>
      </w:r>
      <w:r w:rsidRPr="00D23F49">
        <w:rPr>
          <w:color w:val="000000"/>
          <w:kern w:val="2"/>
          <w:sz w:val="24"/>
          <w:szCs w:val="24"/>
          <w:lang w:eastAsia="hr-HR"/>
          <w14:ligatures w14:val="standardContextual"/>
        </w:rPr>
        <w:t xml:space="preserve"> Od registriranih korisnika najviše je porastao broj likvidatora od skoro 41% na ukupno 258, a zatim broj fizičkih osoba za 12%, na ukupno 14.886 korisnika.</w:t>
      </w:r>
    </w:p>
    <w:p w14:paraId="177B885A" w14:textId="77777777" w:rsidR="00FB178A" w:rsidRPr="007F4921" w:rsidRDefault="00FB178A" w:rsidP="00FB178A">
      <w:pPr>
        <w:widowControl/>
        <w:autoSpaceDE/>
        <w:autoSpaceDN/>
        <w:spacing w:after="227" w:line="276" w:lineRule="auto"/>
        <w:ind w:left="-15"/>
        <w:jc w:val="both"/>
        <w:rPr>
          <w:color w:val="000000"/>
          <w:kern w:val="2"/>
          <w:sz w:val="24"/>
          <w:szCs w:val="24"/>
          <w:lang w:eastAsia="hr-HR"/>
          <w14:ligatures w14:val="standardContextual"/>
        </w:rPr>
      </w:pPr>
      <w:r w:rsidRPr="00B5220E">
        <w:rPr>
          <w:color w:val="000000"/>
          <w:kern w:val="2"/>
          <w:sz w:val="24"/>
          <w:szCs w:val="24"/>
          <w:lang w:eastAsia="hr-HR"/>
          <w14:ligatures w14:val="standardContextual"/>
        </w:rPr>
        <w:t xml:space="preserve">Temeljem Ugovora za Unaprjeđenje informacijskog sustava zemljišnih knjiga i katastra u okviru </w:t>
      </w:r>
      <w:r>
        <w:rPr>
          <w:color w:val="000000"/>
          <w:kern w:val="2"/>
          <w:sz w:val="24"/>
          <w:szCs w:val="24"/>
          <w:lang w:eastAsia="hr-HR"/>
          <w14:ligatures w14:val="standardContextual"/>
        </w:rPr>
        <w:t>NPOO-a</w:t>
      </w:r>
      <w:r w:rsidRPr="00B5220E">
        <w:rPr>
          <w:color w:val="000000"/>
          <w:kern w:val="2"/>
          <w:sz w:val="24"/>
          <w:szCs w:val="24"/>
          <w:lang w:eastAsia="hr-HR"/>
          <w14:ligatures w14:val="standardContextual"/>
        </w:rPr>
        <w:t xml:space="preserve"> iz 2022. </w:t>
      </w:r>
      <w:r>
        <w:rPr>
          <w:color w:val="000000"/>
          <w:kern w:val="2"/>
          <w:sz w:val="24"/>
          <w:szCs w:val="24"/>
          <w:lang w:eastAsia="hr-HR"/>
          <w14:ligatures w14:val="standardContextual"/>
        </w:rPr>
        <w:t xml:space="preserve">nastavljena je </w:t>
      </w:r>
      <w:r w:rsidRPr="00B5220E">
        <w:rPr>
          <w:color w:val="000000"/>
          <w:kern w:val="2"/>
          <w:sz w:val="24"/>
          <w:szCs w:val="24"/>
          <w:lang w:eastAsia="hr-HR"/>
          <w14:ligatures w14:val="standardContextual"/>
        </w:rPr>
        <w:t>prov</w:t>
      </w:r>
      <w:r>
        <w:rPr>
          <w:color w:val="000000"/>
          <w:kern w:val="2"/>
          <w:sz w:val="24"/>
          <w:szCs w:val="24"/>
          <w:lang w:eastAsia="hr-HR"/>
          <w14:ligatures w14:val="standardContextual"/>
        </w:rPr>
        <w:t>e</w:t>
      </w:r>
      <w:r w:rsidRPr="00B5220E">
        <w:rPr>
          <w:color w:val="000000"/>
          <w:kern w:val="2"/>
          <w:sz w:val="24"/>
          <w:szCs w:val="24"/>
          <w:lang w:eastAsia="hr-HR"/>
          <w14:ligatures w14:val="standardContextual"/>
        </w:rPr>
        <w:t>d</w:t>
      </w:r>
      <w:r>
        <w:rPr>
          <w:color w:val="000000"/>
          <w:kern w:val="2"/>
          <w:sz w:val="24"/>
          <w:szCs w:val="24"/>
          <w:lang w:eastAsia="hr-HR"/>
          <w14:ligatures w14:val="standardContextual"/>
        </w:rPr>
        <w:t>ba</w:t>
      </w:r>
      <w:r w:rsidRPr="00B5220E">
        <w:rPr>
          <w:color w:val="000000"/>
          <w:kern w:val="2"/>
          <w:sz w:val="24"/>
          <w:szCs w:val="24"/>
          <w:lang w:eastAsia="hr-HR"/>
          <w14:ligatures w14:val="standardContextual"/>
        </w:rPr>
        <w:t xml:space="preserve"> postupk</w:t>
      </w:r>
      <w:r>
        <w:rPr>
          <w:color w:val="000000"/>
          <w:kern w:val="2"/>
          <w:sz w:val="24"/>
          <w:szCs w:val="24"/>
          <w:lang w:eastAsia="hr-HR"/>
          <w14:ligatures w14:val="standardContextual"/>
        </w:rPr>
        <w:t>a</w:t>
      </w:r>
      <w:r w:rsidRPr="00B5220E">
        <w:rPr>
          <w:color w:val="000000"/>
          <w:kern w:val="2"/>
          <w:sz w:val="24"/>
          <w:szCs w:val="24"/>
          <w:lang w:eastAsia="hr-HR"/>
          <w14:ligatures w14:val="standardContextual"/>
        </w:rPr>
        <w:t xml:space="preserve"> uspostave baze zemljišnih podataka (BZP). Uspostavljen</w:t>
      </w:r>
      <w:r>
        <w:rPr>
          <w:color w:val="000000"/>
          <w:kern w:val="2"/>
          <w:sz w:val="24"/>
          <w:szCs w:val="24"/>
          <w:lang w:eastAsia="hr-HR"/>
          <w14:ligatures w14:val="standardContextual"/>
        </w:rPr>
        <w:t>a</w:t>
      </w:r>
      <w:r w:rsidRPr="00B5220E">
        <w:rPr>
          <w:color w:val="000000"/>
          <w:kern w:val="2"/>
          <w:sz w:val="24"/>
          <w:szCs w:val="24"/>
          <w:lang w:eastAsia="hr-HR"/>
          <w14:ligatures w14:val="standardContextual"/>
        </w:rPr>
        <w:t xml:space="preserve"> je BZP za ukupno 725 katastarske općine</w:t>
      </w:r>
      <w:r>
        <w:rPr>
          <w:color w:val="000000"/>
          <w:kern w:val="2"/>
          <w:sz w:val="24"/>
          <w:szCs w:val="24"/>
          <w:lang w:eastAsia="hr-HR"/>
          <w14:ligatures w14:val="standardContextual"/>
        </w:rPr>
        <w:t xml:space="preserve"> </w:t>
      </w:r>
      <w:r w:rsidRPr="00B5220E">
        <w:rPr>
          <w:color w:val="000000"/>
          <w:kern w:val="2"/>
          <w:sz w:val="24"/>
          <w:szCs w:val="24"/>
          <w:lang w:eastAsia="hr-HR"/>
          <w14:ligatures w14:val="standardContextual"/>
        </w:rPr>
        <w:t xml:space="preserve">te se do kraja 2024. 16,18% svih </w:t>
      </w:r>
      <w:r>
        <w:rPr>
          <w:color w:val="000000"/>
          <w:kern w:val="2"/>
          <w:sz w:val="24"/>
          <w:szCs w:val="24"/>
          <w:lang w:eastAsia="hr-HR"/>
          <w14:ligatures w14:val="standardContextual"/>
        </w:rPr>
        <w:t>katastarskih čestica (</w:t>
      </w:r>
      <w:proofErr w:type="spellStart"/>
      <w:r w:rsidRPr="00B5220E">
        <w:rPr>
          <w:color w:val="000000"/>
          <w:kern w:val="2"/>
          <w:sz w:val="24"/>
          <w:szCs w:val="24"/>
          <w:lang w:eastAsia="hr-HR"/>
          <w14:ligatures w14:val="standardContextual"/>
        </w:rPr>
        <w:t>kčbr</w:t>
      </w:r>
      <w:proofErr w:type="spellEnd"/>
      <w:r w:rsidRPr="00B5220E">
        <w:rPr>
          <w:color w:val="000000"/>
          <w:kern w:val="2"/>
          <w:sz w:val="24"/>
          <w:szCs w:val="24"/>
          <w:lang w:eastAsia="hr-HR"/>
          <w14:ligatures w14:val="standardContextual"/>
        </w:rPr>
        <w:t>.</w:t>
      </w:r>
      <w:r>
        <w:rPr>
          <w:color w:val="000000"/>
          <w:kern w:val="2"/>
          <w:sz w:val="24"/>
          <w:szCs w:val="24"/>
          <w:lang w:eastAsia="hr-HR"/>
          <w14:ligatures w14:val="standardContextual"/>
        </w:rPr>
        <w:t>),</w:t>
      </w:r>
      <w:r w:rsidRPr="00B5220E">
        <w:rPr>
          <w:color w:val="000000"/>
          <w:kern w:val="2"/>
          <w:sz w:val="24"/>
          <w:szCs w:val="24"/>
          <w:lang w:eastAsia="hr-HR"/>
          <w14:ligatures w14:val="standardContextual"/>
        </w:rPr>
        <w:t xml:space="preserve"> </w:t>
      </w:r>
      <w:r w:rsidRPr="00CC0FCF">
        <w:rPr>
          <w:color w:val="000000"/>
          <w:kern w:val="2"/>
          <w:sz w:val="24"/>
          <w:szCs w:val="24"/>
          <w:lang w:eastAsia="hr-HR"/>
          <w14:ligatures w14:val="standardContextual"/>
        </w:rPr>
        <w:t>odnosno 21,98% ukupne površine Hrvatske</w:t>
      </w:r>
      <w:r>
        <w:rPr>
          <w:color w:val="000000"/>
          <w:kern w:val="2"/>
          <w:sz w:val="24"/>
          <w:szCs w:val="24"/>
          <w:lang w:eastAsia="hr-HR"/>
          <w14:ligatures w14:val="standardContextual"/>
        </w:rPr>
        <w:t>,</w:t>
      </w:r>
      <w:r w:rsidRPr="00CC0FCF">
        <w:rPr>
          <w:color w:val="000000"/>
          <w:kern w:val="2"/>
          <w:sz w:val="24"/>
          <w:szCs w:val="24"/>
          <w:lang w:eastAsia="hr-HR"/>
          <w14:ligatures w14:val="standardContextual"/>
        </w:rPr>
        <w:t xml:space="preserve"> </w:t>
      </w:r>
      <w:r w:rsidRPr="00B5220E">
        <w:rPr>
          <w:color w:val="000000"/>
          <w:kern w:val="2"/>
          <w:sz w:val="24"/>
          <w:szCs w:val="24"/>
          <w:lang w:eastAsia="hr-HR"/>
          <w14:ligatures w14:val="standardContextual"/>
        </w:rPr>
        <w:t xml:space="preserve">nalazilo u BZP. Do kraja ožujka 2025. planirana je nadogradnja koja će omogućiti bržu uspostavu BZP-a, a </w:t>
      </w:r>
      <w:r>
        <w:rPr>
          <w:color w:val="000000"/>
          <w:kern w:val="2"/>
          <w:sz w:val="24"/>
          <w:szCs w:val="24"/>
          <w:lang w:eastAsia="hr-HR"/>
          <w14:ligatures w14:val="standardContextual"/>
        </w:rPr>
        <w:t>izrad</w:t>
      </w:r>
      <w:r w:rsidRPr="00B5220E">
        <w:rPr>
          <w:color w:val="000000"/>
          <w:kern w:val="2"/>
          <w:sz w:val="24"/>
          <w:szCs w:val="24"/>
          <w:lang w:eastAsia="hr-HR"/>
          <w14:ligatures w14:val="standardContextual"/>
        </w:rPr>
        <w:t xml:space="preserve">it će se detaljan plan po katastarskim općinama </w:t>
      </w:r>
      <w:r>
        <w:rPr>
          <w:color w:val="000000"/>
          <w:kern w:val="2"/>
          <w:sz w:val="24"/>
          <w:szCs w:val="24"/>
          <w:lang w:eastAsia="hr-HR"/>
          <w14:ligatures w14:val="standardContextual"/>
        </w:rPr>
        <w:t>(k.o.)</w:t>
      </w:r>
      <w:r w:rsidRPr="00B5220E">
        <w:rPr>
          <w:color w:val="000000"/>
          <w:kern w:val="2"/>
          <w:sz w:val="24"/>
          <w:szCs w:val="24"/>
          <w:lang w:eastAsia="hr-HR"/>
          <w14:ligatures w14:val="standardContextual"/>
        </w:rPr>
        <w:t xml:space="preserve"> za uspostavu BZP po </w:t>
      </w:r>
      <w:proofErr w:type="spellStart"/>
      <w:r w:rsidRPr="00B5220E">
        <w:rPr>
          <w:color w:val="000000"/>
          <w:kern w:val="2"/>
          <w:sz w:val="24"/>
          <w:szCs w:val="24"/>
          <w:lang w:eastAsia="hr-HR"/>
          <w14:ligatures w14:val="standardContextual"/>
        </w:rPr>
        <w:t>kčbr</w:t>
      </w:r>
      <w:proofErr w:type="spellEnd"/>
      <w:r w:rsidRPr="00B5220E">
        <w:rPr>
          <w:color w:val="000000"/>
          <w:kern w:val="2"/>
          <w:sz w:val="24"/>
          <w:szCs w:val="24"/>
          <w:lang w:eastAsia="hr-HR"/>
          <w14:ligatures w14:val="standardContextual"/>
        </w:rPr>
        <w:t>.</w:t>
      </w:r>
      <w:r w:rsidRPr="007F4921">
        <w:rPr>
          <w:color w:val="000000"/>
          <w:kern w:val="2"/>
          <w:sz w:val="24"/>
          <w:szCs w:val="24"/>
          <w:lang w:eastAsia="hr-HR"/>
          <w14:ligatures w14:val="standardContextual"/>
        </w:rPr>
        <w:t xml:space="preserve"> </w:t>
      </w:r>
      <w:r>
        <w:rPr>
          <w:color w:val="000000"/>
          <w:kern w:val="2"/>
          <w:sz w:val="24"/>
          <w:szCs w:val="24"/>
          <w:lang w:eastAsia="hr-HR"/>
          <w14:ligatures w14:val="standardContextual"/>
        </w:rPr>
        <w:t xml:space="preserve">(nadogradnja je izvršena u </w:t>
      </w:r>
      <w:r w:rsidRPr="007F4921">
        <w:rPr>
          <w:color w:val="000000"/>
          <w:kern w:val="2"/>
          <w:sz w:val="24"/>
          <w:szCs w:val="24"/>
          <w:lang w:eastAsia="hr-HR"/>
          <w14:ligatures w14:val="standardContextual"/>
        </w:rPr>
        <w:t>2025.</w:t>
      </w:r>
      <w:r>
        <w:rPr>
          <w:color w:val="000000"/>
          <w:kern w:val="2"/>
          <w:sz w:val="24"/>
          <w:szCs w:val="24"/>
          <w:lang w:eastAsia="hr-HR"/>
          <w14:ligatures w14:val="standardContextual"/>
        </w:rPr>
        <w:t xml:space="preserve"> godini)</w:t>
      </w:r>
      <w:r w:rsidRPr="007F4921">
        <w:rPr>
          <w:color w:val="000000"/>
          <w:kern w:val="2"/>
          <w:sz w:val="24"/>
          <w:szCs w:val="24"/>
          <w:lang w:eastAsia="hr-HR"/>
          <w14:ligatures w14:val="standardContextual"/>
        </w:rPr>
        <w:t>.</w:t>
      </w:r>
    </w:p>
    <w:p w14:paraId="792AA8A7" w14:textId="77777777" w:rsidR="00FB178A" w:rsidRPr="00B5220E" w:rsidRDefault="00FB178A" w:rsidP="00FB178A">
      <w:pPr>
        <w:widowControl/>
        <w:autoSpaceDE/>
        <w:autoSpaceDN/>
        <w:spacing w:after="227" w:line="276" w:lineRule="auto"/>
        <w:ind w:left="-15"/>
        <w:jc w:val="both"/>
        <w:rPr>
          <w:color w:val="000000"/>
          <w:kern w:val="2"/>
          <w:sz w:val="24"/>
          <w:szCs w:val="24"/>
          <w:lang w:eastAsia="hr-HR"/>
          <w14:ligatures w14:val="standardContextual"/>
        </w:rPr>
      </w:pPr>
      <w:r w:rsidRPr="00B5220E">
        <w:rPr>
          <w:color w:val="000000"/>
          <w:kern w:val="2"/>
          <w:sz w:val="24"/>
          <w:szCs w:val="24"/>
          <w:lang w:eastAsia="hr-HR"/>
          <w14:ligatures w14:val="standardContextual"/>
        </w:rPr>
        <w:t>U studenom</w:t>
      </w:r>
      <w:r>
        <w:rPr>
          <w:color w:val="000000"/>
          <w:kern w:val="2"/>
          <w:sz w:val="24"/>
          <w:szCs w:val="24"/>
          <w:lang w:eastAsia="hr-HR"/>
          <w14:ligatures w14:val="standardContextual"/>
        </w:rPr>
        <w:t>e</w:t>
      </w:r>
      <w:r w:rsidRPr="00B5220E">
        <w:rPr>
          <w:color w:val="000000"/>
          <w:kern w:val="2"/>
          <w:sz w:val="24"/>
          <w:szCs w:val="24"/>
          <w:lang w:eastAsia="hr-HR"/>
          <w14:ligatures w14:val="standardContextual"/>
        </w:rPr>
        <w:t xml:space="preserve"> 2024. uveden </w:t>
      </w:r>
      <w:r>
        <w:rPr>
          <w:color w:val="000000"/>
          <w:kern w:val="2"/>
          <w:sz w:val="24"/>
          <w:szCs w:val="24"/>
          <w:lang w:eastAsia="hr-HR"/>
          <w14:ligatures w14:val="standardContextual"/>
        </w:rPr>
        <w:t xml:space="preserve">je </w:t>
      </w:r>
      <w:r w:rsidRPr="00B5220E">
        <w:rPr>
          <w:color w:val="000000"/>
          <w:kern w:val="2"/>
          <w:sz w:val="24"/>
          <w:szCs w:val="24"/>
          <w:lang w:eastAsia="hr-HR"/>
          <w14:ligatures w14:val="standardContextual"/>
        </w:rPr>
        <w:t>virtualni asistent za zemljišne knjige i katastar, koji korisnike vodi kroz funkcije i procedure, a planira ga se proširiti i na druge pravosudne usluge.</w:t>
      </w:r>
    </w:p>
    <w:p w14:paraId="74950534" w14:textId="77777777" w:rsidR="00FB178A" w:rsidRPr="00B5220E" w:rsidRDefault="00FB178A" w:rsidP="00FB178A">
      <w:pPr>
        <w:widowControl/>
        <w:autoSpaceDE/>
        <w:autoSpaceDN/>
        <w:spacing w:after="227" w:line="276" w:lineRule="auto"/>
        <w:ind w:left="-15"/>
        <w:jc w:val="both"/>
        <w:rPr>
          <w:color w:val="000000"/>
          <w:kern w:val="2"/>
          <w:sz w:val="24"/>
          <w:szCs w:val="24"/>
          <w:lang w:eastAsia="hr-HR"/>
          <w14:ligatures w14:val="standardContextual"/>
        </w:rPr>
      </w:pPr>
      <w:r w:rsidRPr="0004221B">
        <w:rPr>
          <w:color w:val="000000"/>
          <w:kern w:val="2"/>
          <w:sz w:val="24"/>
          <w:szCs w:val="24"/>
          <w:lang w:eastAsia="hr-HR"/>
          <w14:ligatures w14:val="standardContextual"/>
        </w:rPr>
        <w:t xml:space="preserve">U tijeku je i provedba projekta „Trgovački sudovi bez papira“, financiranog iz Instrumenta tehničke pomoći EK (TSI). Projekt je usmjeren na razvoj metodologije za prijelaz s papirnatog na </w:t>
      </w:r>
      <w:r w:rsidRPr="0004221B">
        <w:rPr>
          <w:color w:val="000000"/>
          <w:kern w:val="2"/>
          <w:sz w:val="24"/>
          <w:szCs w:val="24"/>
          <w:lang w:eastAsia="hr-HR"/>
          <w14:ligatures w14:val="standardContextual"/>
        </w:rPr>
        <w:lastRenderedPageBreak/>
        <w:t>potpuno digitalno poslovanje trgovačkih sudova (provodi se p</w:t>
      </w:r>
      <w:r>
        <w:rPr>
          <w:color w:val="000000"/>
          <w:kern w:val="2"/>
          <w:sz w:val="24"/>
          <w:szCs w:val="24"/>
          <w:lang w:eastAsia="hr-HR"/>
          <w14:ligatures w14:val="standardContextual"/>
        </w:rPr>
        <w:t>robna primjena</w:t>
      </w:r>
      <w:r w:rsidRPr="0004221B">
        <w:rPr>
          <w:color w:val="000000"/>
          <w:kern w:val="2"/>
          <w:sz w:val="24"/>
          <w:szCs w:val="24"/>
          <w:lang w:eastAsia="hr-HR"/>
          <w14:ligatures w14:val="standardContextual"/>
        </w:rPr>
        <w:t xml:space="preserve"> na trgovačkim sudovima u Dubrovniku, Splitu, Varaždinu i Zagrebu), što je ključno za optimizaciju resursa, smanjenje trajanja sudskih postupaka i smanjenje zaostataka. </w:t>
      </w:r>
      <w:r w:rsidRPr="00B5220E">
        <w:rPr>
          <w:color w:val="000000"/>
          <w:kern w:val="2"/>
          <w:sz w:val="24"/>
          <w:szCs w:val="24"/>
          <w:lang w:eastAsia="hr-HR"/>
          <w14:ligatures w14:val="standardContextual"/>
        </w:rPr>
        <w:t xml:space="preserve">U okviru NPOO investicije </w:t>
      </w:r>
      <w:r>
        <w:rPr>
          <w:color w:val="000000"/>
          <w:kern w:val="2"/>
          <w:sz w:val="24"/>
          <w:szCs w:val="24"/>
          <w:lang w:eastAsia="hr-HR"/>
          <w14:ligatures w14:val="standardContextual"/>
        </w:rPr>
        <w:t>„</w:t>
      </w:r>
      <w:r w:rsidRPr="00B5220E">
        <w:rPr>
          <w:color w:val="000000"/>
          <w:kern w:val="2"/>
          <w:sz w:val="24"/>
          <w:szCs w:val="24"/>
          <w:lang w:eastAsia="hr-HR"/>
          <w14:ligatures w14:val="standardContextual"/>
        </w:rPr>
        <w:t>Stabilna i otporna IT infrastruktura informacijskog sustava pravosuđa</w:t>
      </w:r>
      <w:r>
        <w:rPr>
          <w:color w:val="000000"/>
          <w:kern w:val="2"/>
          <w:sz w:val="24"/>
          <w:szCs w:val="24"/>
          <w:lang w:eastAsia="hr-HR"/>
          <w14:ligatures w14:val="standardContextual"/>
        </w:rPr>
        <w:t>“</w:t>
      </w:r>
      <w:r w:rsidRPr="0004221B">
        <w:rPr>
          <w:color w:val="000000"/>
          <w:kern w:val="2"/>
          <w:sz w:val="24"/>
          <w:szCs w:val="24"/>
          <w:lang w:eastAsia="hr-HR"/>
          <w14:ligatures w14:val="standardContextual"/>
        </w:rPr>
        <w:t xml:space="preserve"> </w:t>
      </w:r>
      <w:r w:rsidRPr="00B5220E">
        <w:rPr>
          <w:color w:val="000000"/>
          <w:kern w:val="2"/>
          <w:sz w:val="24"/>
          <w:szCs w:val="24"/>
          <w:lang w:eastAsia="hr-HR"/>
          <w14:ligatures w14:val="standardContextual"/>
        </w:rPr>
        <w:t>proveden je postupak javne nabave za Uslugu izrade prijedloga arhitekture mreže i podizanja sigurnosti sustava. Prihvaćen je Plan za nadogradnju i optimizaciju infrastrukture IKT-a u svim pravosudnim tijelima, čime je završena 1. faza. Temeljem Plana, provedeni su postupci javnog savjetovanja za obje investicije (mreža i sigurnost) te se priprema postupak javne nabave.</w:t>
      </w:r>
    </w:p>
    <w:p w14:paraId="13F58385" w14:textId="77777777" w:rsidR="00FB178A" w:rsidRPr="0004221B" w:rsidRDefault="00FB178A" w:rsidP="00FB178A">
      <w:pPr>
        <w:widowControl/>
        <w:autoSpaceDE/>
        <w:autoSpaceDN/>
        <w:spacing w:after="227" w:line="276" w:lineRule="auto"/>
        <w:ind w:left="-15"/>
        <w:jc w:val="both"/>
        <w:rPr>
          <w:color w:val="000000"/>
          <w:kern w:val="2"/>
          <w:sz w:val="24"/>
          <w:szCs w:val="24"/>
          <w:lang w:eastAsia="hr-HR"/>
          <w14:ligatures w14:val="standardContextual"/>
        </w:rPr>
      </w:pPr>
      <w:r w:rsidRPr="00B5220E">
        <w:rPr>
          <w:color w:val="000000"/>
          <w:kern w:val="2"/>
          <w:sz w:val="24"/>
          <w:szCs w:val="24"/>
          <w:lang w:eastAsia="hr-HR"/>
          <w14:ligatures w14:val="standardContextual"/>
        </w:rPr>
        <w:t>Vezano uz ulaganja u infrastrukturu u okviru projekta Projektiranje i provedbu projekta Trga pravde u Zagrebu za poboljšanje pristupa</w:t>
      </w:r>
      <w:r w:rsidRPr="0004221B">
        <w:rPr>
          <w:color w:val="000000"/>
          <w:kern w:val="2"/>
          <w:sz w:val="24"/>
          <w:szCs w:val="24"/>
          <w:lang w:eastAsia="hr-HR"/>
          <w14:ligatures w14:val="standardContextual"/>
        </w:rPr>
        <w:t xml:space="preserve"> </w:t>
      </w:r>
      <w:r w:rsidRPr="00B5220E">
        <w:rPr>
          <w:color w:val="000000"/>
          <w:kern w:val="2"/>
          <w:sz w:val="24"/>
          <w:szCs w:val="24"/>
          <w:lang w:eastAsia="hr-HR"/>
          <w14:ligatures w14:val="standardContextual"/>
        </w:rPr>
        <w:t>pravosuđu i učinkovitost trgovačkih postupaka i upravnih sporova,</w:t>
      </w:r>
      <w:r w:rsidRPr="0004221B">
        <w:rPr>
          <w:color w:val="000000"/>
          <w:kern w:val="2"/>
          <w:sz w:val="24"/>
          <w:szCs w:val="24"/>
          <w:lang w:eastAsia="hr-HR"/>
          <w14:ligatures w14:val="standardContextual"/>
        </w:rPr>
        <w:t xml:space="preserve"> </w:t>
      </w:r>
      <w:r w:rsidRPr="00B5220E">
        <w:rPr>
          <w:color w:val="000000"/>
          <w:kern w:val="2"/>
          <w:sz w:val="24"/>
          <w:szCs w:val="24"/>
          <w:lang w:eastAsia="hr-HR"/>
          <w14:ligatures w14:val="standardContextual"/>
        </w:rPr>
        <w:t>u siječnju 2024. donesena je Odluka o odabiru ponude za izvođenje radova te je ishođena građevinska dozvola. U travnju 2024. započeli su radovi na izgradnji nove zgrade na Trgu pravde. Završen je značajan infrastrukturni projekt energetske obnove 20 zgrada pravosudnih i kaznenih tijela koji je financiran iz NPOO-a. Za svih 20 objekata su ishođeni energetski certifikati.</w:t>
      </w:r>
      <w:r w:rsidRPr="0004221B">
        <w:rPr>
          <w:color w:val="000000"/>
          <w:kern w:val="2"/>
          <w:sz w:val="24"/>
          <w:szCs w:val="24"/>
          <w:lang w:eastAsia="hr-HR"/>
          <w14:ligatures w14:val="standardContextual"/>
        </w:rPr>
        <w:t xml:space="preserve"> Projekt unapređenja infrastrukture i uvjeta rada u postojećim </w:t>
      </w:r>
      <w:proofErr w:type="spellStart"/>
      <w:r w:rsidRPr="0004221B">
        <w:rPr>
          <w:color w:val="000000"/>
          <w:kern w:val="2"/>
          <w:sz w:val="24"/>
          <w:szCs w:val="24"/>
          <w:lang w:eastAsia="hr-HR"/>
          <w14:ligatures w14:val="standardContextual"/>
        </w:rPr>
        <w:t>probacijskim</w:t>
      </w:r>
      <w:proofErr w:type="spellEnd"/>
      <w:r w:rsidRPr="0004221B">
        <w:rPr>
          <w:color w:val="000000"/>
          <w:kern w:val="2"/>
          <w:sz w:val="24"/>
          <w:szCs w:val="24"/>
          <w:lang w:eastAsia="hr-HR"/>
          <w14:ligatures w14:val="standardContextual"/>
        </w:rPr>
        <w:t xml:space="preserve"> uredima, unapređenje alata za provođenje mjera </w:t>
      </w:r>
      <w:proofErr w:type="spellStart"/>
      <w:r w:rsidRPr="0004221B">
        <w:rPr>
          <w:color w:val="000000"/>
          <w:kern w:val="2"/>
          <w:sz w:val="24"/>
          <w:szCs w:val="24"/>
          <w:lang w:eastAsia="hr-HR"/>
          <w14:ligatures w14:val="standardContextual"/>
        </w:rPr>
        <w:t>probacije</w:t>
      </w:r>
      <w:proofErr w:type="spellEnd"/>
      <w:r w:rsidRPr="0004221B">
        <w:rPr>
          <w:color w:val="000000"/>
          <w:kern w:val="2"/>
          <w:sz w:val="24"/>
          <w:szCs w:val="24"/>
          <w:lang w:eastAsia="hr-HR"/>
          <w14:ligatures w14:val="standardContextual"/>
        </w:rPr>
        <w:t xml:space="preserve"> te jačanje suradnje zatvorskog i </w:t>
      </w:r>
      <w:proofErr w:type="spellStart"/>
      <w:r w:rsidRPr="0004221B">
        <w:rPr>
          <w:color w:val="000000"/>
          <w:kern w:val="2"/>
          <w:sz w:val="24"/>
          <w:szCs w:val="24"/>
          <w:lang w:eastAsia="hr-HR"/>
          <w14:ligatures w14:val="standardContextual"/>
        </w:rPr>
        <w:t>probacijskog</w:t>
      </w:r>
      <w:proofErr w:type="spellEnd"/>
      <w:r w:rsidRPr="0004221B">
        <w:rPr>
          <w:color w:val="000000"/>
          <w:kern w:val="2"/>
          <w:sz w:val="24"/>
          <w:szCs w:val="24"/>
          <w:lang w:eastAsia="hr-HR"/>
          <w14:ligatures w14:val="standardContextual"/>
        </w:rPr>
        <w:t xml:space="preserve"> sustava je završen u travnju 2024. i u okviru njega uspješno su realizirane sve projektne aktivnosti (uveden elektronički nadzor, unaprijeđeni materijalno-tehnički uvjeti u </w:t>
      </w:r>
      <w:proofErr w:type="spellStart"/>
      <w:r w:rsidRPr="0004221B">
        <w:rPr>
          <w:color w:val="000000"/>
          <w:kern w:val="2"/>
          <w:sz w:val="24"/>
          <w:szCs w:val="24"/>
          <w:lang w:eastAsia="hr-HR"/>
          <w14:ligatures w14:val="standardContextual"/>
        </w:rPr>
        <w:t>probacijskim</w:t>
      </w:r>
      <w:proofErr w:type="spellEnd"/>
      <w:r w:rsidRPr="0004221B">
        <w:rPr>
          <w:color w:val="000000"/>
          <w:kern w:val="2"/>
          <w:sz w:val="24"/>
          <w:szCs w:val="24"/>
          <w:lang w:eastAsia="hr-HR"/>
          <w14:ligatures w14:val="standardContextual"/>
        </w:rPr>
        <w:t xml:space="preserve"> uredima kroz izvođenje građevinskih radova, nabava potrebite opreme i namještaja, unaprijeđeni alati za rad </w:t>
      </w:r>
      <w:proofErr w:type="spellStart"/>
      <w:r w:rsidRPr="0004221B">
        <w:rPr>
          <w:color w:val="000000"/>
          <w:kern w:val="2"/>
          <w:sz w:val="24"/>
          <w:szCs w:val="24"/>
          <w:lang w:eastAsia="hr-HR"/>
          <w14:ligatures w14:val="standardContextual"/>
        </w:rPr>
        <w:t>probacijske</w:t>
      </w:r>
      <w:proofErr w:type="spellEnd"/>
      <w:r w:rsidRPr="0004221B">
        <w:rPr>
          <w:color w:val="000000"/>
          <w:kern w:val="2"/>
          <w:sz w:val="24"/>
          <w:szCs w:val="24"/>
          <w:lang w:eastAsia="hr-HR"/>
          <w14:ligatures w14:val="standardContextual"/>
        </w:rPr>
        <w:t xml:space="preserve"> službe, unaprijeđena suradnja zatvorskog i </w:t>
      </w:r>
      <w:proofErr w:type="spellStart"/>
      <w:r w:rsidRPr="0004221B">
        <w:rPr>
          <w:color w:val="000000"/>
          <w:kern w:val="2"/>
          <w:sz w:val="24"/>
          <w:szCs w:val="24"/>
          <w:lang w:eastAsia="hr-HR"/>
          <w14:ligatures w14:val="standardContextual"/>
        </w:rPr>
        <w:t>probacijskog</w:t>
      </w:r>
      <w:proofErr w:type="spellEnd"/>
      <w:r w:rsidRPr="0004221B">
        <w:rPr>
          <w:color w:val="000000"/>
          <w:kern w:val="2"/>
          <w:sz w:val="24"/>
          <w:szCs w:val="24"/>
          <w:lang w:eastAsia="hr-HR"/>
          <w14:ligatures w14:val="standardContextual"/>
        </w:rPr>
        <w:t xml:space="preserve"> sustava).</w:t>
      </w:r>
      <w:r w:rsidRPr="00B5220E">
        <w:rPr>
          <w:color w:val="000000"/>
          <w:kern w:val="2"/>
          <w:sz w:val="24"/>
          <w:szCs w:val="24"/>
          <w:lang w:eastAsia="hr-HR"/>
          <w14:ligatures w14:val="standardContextual"/>
        </w:rPr>
        <w:t xml:space="preserve"> </w:t>
      </w:r>
    </w:p>
    <w:p w14:paraId="4CC340E2" w14:textId="77777777" w:rsidR="00FB178A" w:rsidRPr="0077143F" w:rsidRDefault="00FB178A" w:rsidP="00FB178A">
      <w:pPr>
        <w:spacing w:before="240" w:after="240" w:line="276" w:lineRule="auto"/>
        <w:ind w:firstLine="720"/>
        <w:jc w:val="both"/>
        <w:rPr>
          <w:b/>
          <w:bCs/>
          <w:sz w:val="24"/>
          <w:szCs w:val="24"/>
        </w:rPr>
      </w:pPr>
      <w:r w:rsidRPr="00B5220E">
        <w:rPr>
          <w:b/>
          <w:bCs/>
          <w:sz w:val="24"/>
          <w:szCs w:val="24"/>
        </w:rPr>
        <w:t>Borba protiv korupcije</w:t>
      </w:r>
      <w:r>
        <w:rPr>
          <w:b/>
          <w:bCs/>
          <w:sz w:val="24"/>
          <w:szCs w:val="24"/>
        </w:rPr>
        <w:t xml:space="preserve">  </w:t>
      </w:r>
    </w:p>
    <w:p w14:paraId="799D0773" w14:textId="77777777" w:rsidR="00FB178A" w:rsidRPr="00B5220E" w:rsidRDefault="00FB178A" w:rsidP="00FB178A">
      <w:pPr>
        <w:spacing w:before="240" w:after="240" w:line="276" w:lineRule="auto"/>
        <w:ind w:firstLine="720"/>
        <w:jc w:val="both"/>
        <w:rPr>
          <w:rFonts w:eastAsia="Calibri"/>
          <w:sz w:val="24"/>
          <w:szCs w:val="24"/>
          <w:lang w:eastAsia="hr-HR"/>
        </w:rPr>
      </w:pPr>
      <w:r w:rsidRPr="0033634B">
        <w:rPr>
          <w:rFonts w:eastAsia="Calibri"/>
          <w:sz w:val="24"/>
          <w:szCs w:val="24"/>
          <w:lang w:eastAsia="hr-HR"/>
        </w:rPr>
        <w:t xml:space="preserve">U području jačanja transparentnosti i otvorenosti rada tijela javne vlasti tijekom 2024. godine ostvaren je daljnji napredak u odnosu na prethodno razdoblje. Prema podacima </w:t>
      </w:r>
      <w:proofErr w:type="spellStart"/>
      <w:r w:rsidRPr="0033634B">
        <w:rPr>
          <w:rFonts w:eastAsia="Calibri"/>
          <w:sz w:val="24"/>
          <w:szCs w:val="24"/>
          <w:lang w:eastAsia="hr-HR"/>
        </w:rPr>
        <w:t>Eurobarometra</w:t>
      </w:r>
      <w:proofErr w:type="spellEnd"/>
      <w:r w:rsidRPr="0033634B">
        <w:rPr>
          <w:rFonts w:eastAsia="Calibri"/>
          <w:sz w:val="24"/>
          <w:szCs w:val="24"/>
          <w:lang w:eastAsia="hr-HR"/>
        </w:rPr>
        <w:t xml:space="preserve"> za 2024</w:t>
      </w:r>
      <w:r w:rsidRPr="0077143F">
        <w:rPr>
          <w:rFonts w:eastAsia="Calibri"/>
          <w:sz w:val="24"/>
          <w:szCs w:val="24"/>
          <w:lang w:eastAsia="hr-HR"/>
        </w:rPr>
        <w:t>.,</w:t>
      </w:r>
      <w:r w:rsidRPr="0033634B">
        <w:rPr>
          <w:rFonts w:eastAsia="Calibri"/>
          <w:sz w:val="24"/>
          <w:szCs w:val="24"/>
          <w:lang w:eastAsia="hr-HR"/>
        </w:rPr>
        <w:t xml:space="preserve"> razina povjerenja građana u javne institucije porasla je na 53%, u usporedbi s 52% zabilježenih u 2023. godini, što upućuje na postupno jačanje percepcije integriteta i učinkovitosti javnog sektora. Istodobno, prema Izvješću o provedbi Zakona o pravu na pristup informacijama za 2024., 80% tijela javne vlasti navelo je kako na svojim mrežnim stranicama objavljuje sve zakone i druge propise iz svojeg djelokruga, dok je dodatnih 13% izvijestilo o djelomičnoj objavi. Razina objave općih akata i odluka također je porasla, dosegnuvši gotovo 83% (2023.: 80%), čime su dodatno unaprijeđeni standardi transparentnosti i dostupnosti informacija od javnog interesa.</w:t>
      </w:r>
    </w:p>
    <w:p w14:paraId="1833AF74" w14:textId="77777777" w:rsidR="00FB178A" w:rsidRPr="00B5220E" w:rsidRDefault="00FB178A" w:rsidP="00FB178A">
      <w:pPr>
        <w:widowControl/>
        <w:autoSpaceDE/>
        <w:autoSpaceDN/>
        <w:spacing w:after="160" w:line="276" w:lineRule="auto"/>
        <w:jc w:val="both"/>
        <w:rPr>
          <w:sz w:val="24"/>
          <w:szCs w:val="20"/>
          <w:lang w:eastAsia="hr-HR"/>
        </w:rPr>
      </w:pPr>
      <w:r w:rsidRPr="00B52267">
        <w:rPr>
          <w:rFonts w:eastAsia="Calibri"/>
          <w:sz w:val="24"/>
          <w:szCs w:val="24"/>
          <w:lang w:eastAsia="hr-HR"/>
        </w:rPr>
        <w:t xml:space="preserve">U području jačanja institucionalnog i normativnog okvira za borbu protiv korupcije u 2024. godini zabilježen je daljnji napredak, ponajprije kroz značajno povećanje financijskih sredstava za rad tijela nadležnih za aktivnosti povezane s borbom protiv korupcije. Ukupna izdvajanja porasla su na 65,94%, u odnosu na početnu vrijednost od 20% za razdoblje </w:t>
      </w:r>
      <w:r>
        <w:rPr>
          <w:rFonts w:eastAsia="Calibri"/>
          <w:sz w:val="24"/>
          <w:szCs w:val="24"/>
          <w:lang w:eastAsia="hr-HR"/>
        </w:rPr>
        <w:t xml:space="preserve">od </w:t>
      </w:r>
      <w:r w:rsidRPr="00B52267">
        <w:rPr>
          <w:rFonts w:eastAsia="Calibri"/>
          <w:sz w:val="24"/>
          <w:szCs w:val="24"/>
          <w:lang w:eastAsia="hr-HR"/>
        </w:rPr>
        <w:t>2018.</w:t>
      </w:r>
      <w:r>
        <w:rPr>
          <w:rFonts w:eastAsia="Calibri"/>
          <w:sz w:val="24"/>
          <w:szCs w:val="24"/>
          <w:lang w:eastAsia="hr-HR"/>
        </w:rPr>
        <w:t xml:space="preserve"> do </w:t>
      </w:r>
      <w:r w:rsidRPr="00B52267">
        <w:rPr>
          <w:rFonts w:eastAsia="Calibri"/>
          <w:sz w:val="24"/>
          <w:szCs w:val="24"/>
          <w:lang w:eastAsia="hr-HR"/>
        </w:rPr>
        <w:t>2020., što potvrđuje kontinuirano jačanje kapaciteta za provedbu antikorupcijskih politika. Dodatno, usvajanje novog Zakona o lobiranju</w:t>
      </w:r>
      <w:r>
        <w:rPr>
          <w:rFonts w:eastAsia="Calibri"/>
          <w:sz w:val="24"/>
          <w:szCs w:val="24"/>
          <w:lang w:eastAsia="hr-HR"/>
        </w:rPr>
        <w:t xml:space="preserve"> („Narodne novine“, broj 36/24.) </w:t>
      </w:r>
      <w:r w:rsidRPr="00B52267">
        <w:rPr>
          <w:rFonts w:eastAsia="Calibri"/>
          <w:sz w:val="24"/>
          <w:szCs w:val="24"/>
          <w:lang w:eastAsia="hr-HR"/>
        </w:rPr>
        <w:t xml:space="preserve">predstavlja važan iskorak u razvoju transparentnog, uređenog i međunarodno usklađenog sustava upravljanja utjecajem na procese </w:t>
      </w:r>
      <w:r w:rsidRPr="00B52267">
        <w:rPr>
          <w:rFonts w:eastAsia="Calibri"/>
          <w:sz w:val="24"/>
          <w:szCs w:val="24"/>
          <w:lang w:eastAsia="hr-HR"/>
        </w:rPr>
        <w:lastRenderedPageBreak/>
        <w:t>donošenja odluka. Zakon doprinosi jačanju preventivnog djelovanja neovisnih tijela te unapređenju percepcije lobiranja kao legitimne demokratske prakse u Hrvatskoj, u skladu s europskim standardima i preporukama iz Izvješća o vladavini prava, preporukama GRECO-a, standardima OECD-a te praksom Registra transparentnosti Europske unije i Europskog parlamenta. Uspostavom javno dostupnog Registra lobista osigurana je veća preglednost informacija o identitetu i profesionalnim interesima osoba koje nastoje utjecati na oblikovanje javnih politika, čime se dodatno povećava razina transparentnosti i integriteta procesa donošenja odluka.</w:t>
      </w:r>
    </w:p>
    <w:p w14:paraId="11DEC58B" w14:textId="77777777" w:rsidR="00FB178A" w:rsidRPr="00B5220E" w:rsidRDefault="00FB178A" w:rsidP="00FB178A">
      <w:pPr>
        <w:widowControl/>
        <w:autoSpaceDE/>
        <w:autoSpaceDN/>
        <w:spacing w:after="160" w:line="276" w:lineRule="auto"/>
        <w:jc w:val="both"/>
        <w:rPr>
          <w:sz w:val="24"/>
          <w:lang w:eastAsia="hr-HR"/>
        </w:rPr>
      </w:pPr>
      <w:r w:rsidRPr="00DB78ED">
        <w:rPr>
          <w:sz w:val="24"/>
          <w:szCs w:val="20"/>
          <w:lang w:eastAsia="hr-HR"/>
        </w:rPr>
        <w:t xml:space="preserve">Daljnje jačanje sustava integriteta i nadzora </w:t>
      </w:r>
      <w:r>
        <w:rPr>
          <w:sz w:val="24"/>
          <w:szCs w:val="20"/>
          <w:lang w:eastAsia="hr-HR"/>
        </w:rPr>
        <w:t xml:space="preserve">u tijelima javne vlasti </w:t>
      </w:r>
      <w:r w:rsidRPr="00DB78ED">
        <w:rPr>
          <w:sz w:val="24"/>
          <w:szCs w:val="20"/>
          <w:lang w:eastAsia="hr-HR"/>
        </w:rPr>
        <w:t>potvrđuju i nalaz</w:t>
      </w:r>
      <w:r>
        <w:rPr>
          <w:sz w:val="24"/>
          <w:szCs w:val="20"/>
          <w:lang w:eastAsia="hr-HR"/>
        </w:rPr>
        <w:t>i</w:t>
      </w:r>
      <w:r w:rsidRPr="00DB78ED">
        <w:rPr>
          <w:sz w:val="24"/>
          <w:szCs w:val="20"/>
          <w:lang w:eastAsia="hr-HR"/>
        </w:rPr>
        <w:t xml:space="preserve"> Državnog ureda za reviziju te aktivnosti unutarnjeg nadzora u nadležnim tijelima tijekom 2024. godine. Prema Izvješću o radu Državnog ureda za reviziju za 2024., broj bezuvjetnih mišljenja o usklađenosti poslovanja tijela državne i lokalne razine porastao je na 102, odnosno 65,2% svih izraženih mišljenja, što predstavlja povećanje od 24% u odnosu na 2023. godinu. </w:t>
      </w:r>
      <w:r>
        <w:rPr>
          <w:sz w:val="24"/>
          <w:szCs w:val="20"/>
          <w:lang w:eastAsia="hr-HR"/>
        </w:rPr>
        <w:t>P</w:t>
      </w:r>
      <w:r w:rsidRPr="00DB78ED">
        <w:rPr>
          <w:sz w:val="24"/>
          <w:szCs w:val="20"/>
          <w:lang w:eastAsia="hr-HR"/>
        </w:rPr>
        <w:t>orast ukazuje na unapređenje zakonitosti, transparentnosti i pravilnosti poslovanja javnih tijela.</w:t>
      </w:r>
      <w:r>
        <w:rPr>
          <w:sz w:val="24"/>
          <w:szCs w:val="20"/>
          <w:lang w:eastAsia="hr-HR"/>
        </w:rPr>
        <w:t xml:space="preserve"> </w:t>
      </w:r>
      <w:r w:rsidRPr="00DB78ED">
        <w:rPr>
          <w:sz w:val="24"/>
          <w:szCs w:val="20"/>
          <w:lang w:eastAsia="hr-HR"/>
        </w:rPr>
        <w:t xml:space="preserve">Uz to, na temelju zaprimljenih zahtjeva i predstavki građana, Državni inspektorat je </w:t>
      </w:r>
      <w:r>
        <w:rPr>
          <w:sz w:val="24"/>
          <w:szCs w:val="20"/>
          <w:lang w:eastAsia="hr-HR"/>
        </w:rPr>
        <w:t>tijekom</w:t>
      </w:r>
      <w:r w:rsidRPr="00DB78ED">
        <w:rPr>
          <w:sz w:val="24"/>
          <w:szCs w:val="20"/>
          <w:lang w:eastAsia="hr-HR"/>
        </w:rPr>
        <w:t xml:space="preserve"> 2024. proveo ukupno 58 unutarnjih nadzora nad radom i postupanjem svojih inspektora</w:t>
      </w:r>
      <w:r>
        <w:rPr>
          <w:sz w:val="24"/>
          <w:szCs w:val="20"/>
          <w:lang w:eastAsia="hr-HR"/>
        </w:rPr>
        <w:t xml:space="preserve">, </w:t>
      </w:r>
      <w:r w:rsidRPr="00294E9C">
        <w:rPr>
          <w:sz w:val="24"/>
          <w:szCs w:val="20"/>
          <w:lang w:eastAsia="hr-HR"/>
        </w:rPr>
        <w:t xml:space="preserve">od </w:t>
      </w:r>
      <w:r>
        <w:rPr>
          <w:sz w:val="24"/>
          <w:szCs w:val="20"/>
          <w:lang w:eastAsia="hr-HR"/>
        </w:rPr>
        <w:t>čega je</w:t>
      </w:r>
      <w:r w:rsidRPr="00294E9C">
        <w:rPr>
          <w:sz w:val="24"/>
          <w:szCs w:val="20"/>
          <w:lang w:eastAsia="hr-HR"/>
        </w:rPr>
        <w:t xml:space="preserve"> 16</w:t>
      </w:r>
      <w:r>
        <w:rPr>
          <w:sz w:val="24"/>
          <w:szCs w:val="20"/>
          <w:lang w:eastAsia="hr-HR"/>
        </w:rPr>
        <w:t xml:space="preserve"> nadzora</w:t>
      </w:r>
      <w:r w:rsidRPr="00294E9C">
        <w:rPr>
          <w:sz w:val="24"/>
          <w:szCs w:val="20"/>
          <w:lang w:eastAsia="hr-HR"/>
        </w:rPr>
        <w:t xml:space="preserve"> p</w:t>
      </w:r>
      <w:r>
        <w:rPr>
          <w:sz w:val="24"/>
          <w:szCs w:val="20"/>
          <w:lang w:eastAsia="hr-HR"/>
        </w:rPr>
        <w:t xml:space="preserve">rovedeno temeljem </w:t>
      </w:r>
      <w:r w:rsidRPr="00294E9C">
        <w:rPr>
          <w:sz w:val="24"/>
          <w:szCs w:val="20"/>
          <w:lang w:eastAsia="hr-HR"/>
        </w:rPr>
        <w:t>prijava</w:t>
      </w:r>
      <w:r>
        <w:rPr>
          <w:sz w:val="24"/>
          <w:szCs w:val="20"/>
          <w:lang w:eastAsia="hr-HR"/>
        </w:rPr>
        <w:t xml:space="preserve"> </w:t>
      </w:r>
      <w:r w:rsidRPr="00294E9C">
        <w:rPr>
          <w:sz w:val="24"/>
          <w:szCs w:val="20"/>
          <w:lang w:eastAsia="hr-HR"/>
        </w:rPr>
        <w:t>građana</w:t>
      </w:r>
      <w:r>
        <w:rPr>
          <w:sz w:val="24"/>
          <w:szCs w:val="20"/>
          <w:lang w:eastAsia="hr-HR"/>
        </w:rPr>
        <w:t xml:space="preserve">. Na </w:t>
      </w:r>
      <w:r w:rsidRPr="00294E9C">
        <w:rPr>
          <w:sz w:val="24"/>
          <w:szCs w:val="20"/>
          <w:lang w:eastAsia="hr-HR"/>
        </w:rPr>
        <w:t>temelj</w:t>
      </w:r>
      <w:r>
        <w:rPr>
          <w:sz w:val="24"/>
          <w:szCs w:val="20"/>
          <w:lang w:eastAsia="hr-HR"/>
        </w:rPr>
        <w:t>u tih nadzora</w:t>
      </w:r>
      <w:r w:rsidRPr="00294E9C">
        <w:rPr>
          <w:sz w:val="24"/>
          <w:szCs w:val="20"/>
          <w:lang w:eastAsia="hr-HR"/>
        </w:rPr>
        <w:t xml:space="preserve"> pokrenuto</w:t>
      </w:r>
      <w:r>
        <w:rPr>
          <w:sz w:val="24"/>
          <w:szCs w:val="20"/>
          <w:lang w:eastAsia="hr-HR"/>
        </w:rPr>
        <w:t xml:space="preserve"> je</w:t>
      </w:r>
      <w:r w:rsidRPr="00294E9C">
        <w:rPr>
          <w:sz w:val="24"/>
          <w:szCs w:val="20"/>
          <w:lang w:eastAsia="hr-HR"/>
        </w:rPr>
        <w:t xml:space="preserve"> 9 stegovnih postupaka pred službeničkim sudom </w:t>
      </w:r>
      <w:r>
        <w:rPr>
          <w:sz w:val="24"/>
          <w:szCs w:val="20"/>
          <w:lang w:eastAsia="hr-HR"/>
        </w:rPr>
        <w:t>te</w:t>
      </w:r>
      <w:r w:rsidRPr="00294E9C">
        <w:rPr>
          <w:sz w:val="24"/>
          <w:szCs w:val="20"/>
          <w:lang w:eastAsia="hr-HR"/>
        </w:rPr>
        <w:t xml:space="preserve"> 4 postupka zbog lake povrede službene dužnosti</w:t>
      </w:r>
      <w:r>
        <w:rPr>
          <w:sz w:val="24"/>
          <w:szCs w:val="20"/>
          <w:lang w:eastAsia="hr-HR"/>
        </w:rPr>
        <w:t>, a j</w:t>
      </w:r>
      <w:r w:rsidRPr="00294E9C">
        <w:rPr>
          <w:sz w:val="24"/>
          <w:szCs w:val="20"/>
          <w:lang w:eastAsia="hr-HR"/>
        </w:rPr>
        <w:t xml:space="preserve">edan </w:t>
      </w:r>
      <w:r>
        <w:rPr>
          <w:sz w:val="24"/>
          <w:szCs w:val="20"/>
          <w:lang w:eastAsia="hr-HR"/>
        </w:rPr>
        <w:t xml:space="preserve">je </w:t>
      </w:r>
      <w:r w:rsidRPr="00294E9C">
        <w:rPr>
          <w:sz w:val="24"/>
          <w:szCs w:val="20"/>
          <w:lang w:eastAsia="hr-HR"/>
        </w:rPr>
        <w:t>državni službenik privremeno udaljen iz državne službe</w:t>
      </w:r>
      <w:r>
        <w:rPr>
          <w:sz w:val="24"/>
          <w:szCs w:val="20"/>
          <w:lang w:eastAsia="hr-HR"/>
        </w:rPr>
        <w:t xml:space="preserve">, dok u </w:t>
      </w:r>
      <w:r w:rsidRPr="00DB78ED">
        <w:rPr>
          <w:sz w:val="24"/>
          <w:szCs w:val="20"/>
          <w:lang w:eastAsia="hr-HR"/>
        </w:rPr>
        <w:t xml:space="preserve">81% slučajeva nisu utvrđene veće nepravilnosti. Ukupan broj provedenih unutarnjih nadzora </w:t>
      </w:r>
      <w:r>
        <w:rPr>
          <w:sz w:val="24"/>
          <w:szCs w:val="20"/>
          <w:lang w:eastAsia="hr-HR"/>
        </w:rPr>
        <w:t xml:space="preserve">u Državnom inspektoratu </w:t>
      </w:r>
      <w:r w:rsidRPr="00DB78ED">
        <w:rPr>
          <w:sz w:val="24"/>
          <w:szCs w:val="20"/>
          <w:lang w:eastAsia="hr-HR"/>
        </w:rPr>
        <w:t xml:space="preserve">povećao se za 52% u odnosu na 2023. godinu, što odražava intenziviranje aktivnosti usmjerenih na jačanje odgovornosti i kvalitete rada inspekcijskih službi. Nadalje, u 2024. </w:t>
      </w:r>
      <w:r>
        <w:rPr>
          <w:sz w:val="24"/>
          <w:szCs w:val="20"/>
          <w:lang w:eastAsia="hr-HR"/>
        </w:rPr>
        <w:t xml:space="preserve">ukupno je proveden </w:t>
      </w:r>
      <w:r w:rsidRPr="00DB78ED">
        <w:rPr>
          <w:sz w:val="24"/>
          <w:szCs w:val="20"/>
          <w:lang w:eastAsia="hr-HR"/>
        </w:rPr>
        <w:t>31 kontrolno-instruktivn</w:t>
      </w:r>
      <w:r>
        <w:rPr>
          <w:sz w:val="24"/>
          <w:szCs w:val="20"/>
          <w:lang w:eastAsia="hr-HR"/>
        </w:rPr>
        <w:t>i</w:t>
      </w:r>
      <w:r w:rsidRPr="00DB78ED">
        <w:rPr>
          <w:sz w:val="24"/>
          <w:szCs w:val="20"/>
          <w:lang w:eastAsia="hr-HR"/>
        </w:rPr>
        <w:t xml:space="preserve"> nadzor</w:t>
      </w:r>
      <w:r>
        <w:rPr>
          <w:sz w:val="24"/>
          <w:szCs w:val="20"/>
          <w:lang w:eastAsia="hr-HR"/>
        </w:rPr>
        <w:t xml:space="preserve"> </w:t>
      </w:r>
      <w:r w:rsidRPr="009E1BF2">
        <w:rPr>
          <w:sz w:val="24"/>
          <w:szCs w:val="20"/>
          <w:lang w:eastAsia="hr-HR"/>
        </w:rPr>
        <w:t>nad radom različitih inspekcija u različitim područnim uredima Državnog inspektorata i u suradnji sa Sektorima za nadzor obuhvaćenih inspekcijskih područja</w:t>
      </w:r>
      <w:r w:rsidRPr="00DB78ED">
        <w:rPr>
          <w:sz w:val="24"/>
          <w:szCs w:val="20"/>
          <w:lang w:eastAsia="hr-HR"/>
        </w:rPr>
        <w:t>, pri čemu je u 71% nadzora utvrđeno uredno i pravilno postupanje bez značajnijih nepravilnosti. Ovi rezultati potvrđuju napredak u dosljednoj primjeni propisa, standarda postupanja i mehanizama unutarnje kontrole u inspekcijskom nadzoru.</w:t>
      </w:r>
      <w:r>
        <w:rPr>
          <w:sz w:val="24"/>
          <w:szCs w:val="20"/>
          <w:lang w:eastAsia="hr-HR"/>
        </w:rPr>
        <w:t xml:space="preserve"> </w:t>
      </w:r>
    </w:p>
    <w:p w14:paraId="2A4D1527" w14:textId="77777777" w:rsidR="00FB178A" w:rsidRPr="00B5220E" w:rsidRDefault="00FB178A" w:rsidP="00FB178A">
      <w:pPr>
        <w:widowControl/>
        <w:autoSpaceDE/>
        <w:autoSpaceDN/>
        <w:spacing w:after="160" w:line="276" w:lineRule="auto"/>
        <w:jc w:val="both"/>
        <w:rPr>
          <w:sz w:val="24"/>
          <w:szCs w:val="24"/>
          <w:lang w:eastAsia="hr-HR"/>
        </w:rPr>
      </w:pPr>
      <w:r w:rsidRPr="00B5220E">
        <w:rPr>
          <w:sz w:val="24"/>
          <w:szCs w:val="24"/>
          <w:lang w:eastAsia="hr-HR"/>
        </w:rPr>
        <w:t>S ciljem daljnjeg podizanja javne svijesti o štetnosti korupcije, nužnosti prijavljivanja nepravilnosti i jačanja transparentnosti u okviru NPOO investicije „Uključivanje šire javnosti u borbu protiv korupcije podizanjem javne svijesti o štetnosti korupcije, nužnosti sprječavanja i pravnoj zaštiti prijavitelja“ provedena je Nacionalna informativna kampanja o štetnosti korupcije i nužnog sprječavanja svakog oblika korupcije.</w:t>
      </w:r>
      <w:r w:rsidRPr="0004221B">
        <w:rPr>
          <w:rFonts w:eastAsia="Calibri"/>
          <w:kern w:val="2"/>
          <w14:ligatures w14:val="standardContextual"/>
        </w:rPr>
        <w:t xml:space="preserve"> </w:t>
      </w:r>
      <w:r w:rsidRPr="00B5220E">
        <w:rPr>
          <w:sz w:val="24"/>
          <w:szCs w:val="24"/>
          <w:lang w:eastAsia="hr-HR"/>
        </w:rPr>
        <w:t xml:space="preserve">Nacionalna kampanja obuhvatila je medijsku kampanju koja je uključivala oglašavanje u televizijskom programu, na društvenim mrežama, radio postajama i tisku, kao i organizaciju okruglih stolova i konferencije te edukacija na temu </w:t>
      </w:r>
      <w:proofErr w:type="spellStart"/>
      <w:r w:rsidRPr="00B5220E">
        <w:rPr>
          <w:sz w:val="24"/>
          <w:szCs w:val="24"/>
          <w:lang w:eastAsia="hr-HR"/>
        </w:rPr>
        <w:t>antikorupcije</w:t>
      </w:r>
      <w:proofErr w:type="spellEnd"/>
      <w:r w:rsidRPr="00B5220E">
        <w:rPr>
          <w:sz w:val="24"/>
          <w:szCs w:val="24"/>
          <w:lang w:eastAsia="hr-HR"/>
        </w:rPr>
        <w:t xml:space="preserve"> u srednjim školama. Također, u tijeku je izrada i uspostava IT antikorupcijske platforme koja za cilj ima poboljšanje koordinacije i suradnje tijela uključenih u provedbe nacionalnih antikorupcijskih dokumenata i jasno informiranje građana o postojećem zakonodavnom okviru u području sprječavanja korupcije te je započela priprema nacionalne antikorupcijske kampanje radi podizanja javne svijesti o štetnosti korupcije.</w:t>
      </w:r>
    </w:p>
    <w:p w14:paraId="6A3140B9" w14:textId="77777777" w:rsidR="00FB178A" w:rsidRDefault="00FB178A" w:rsidP="00FB178A">
      <w:pPr>
        <w:spacing w:after="240" w:line="276" w:lineRule="auto"/>
        <w:ind w:right="47"/>
        <w:jc w:val="both"/>
        <w:rPr>
          <w:sz w:val="24"/>
          <w:szCs w:val="24"/>
          <w:lang w:eastAsia="hr-HR"/>
        </w:rPr>
      </w:pPr>
      <w:r w:rsidRPr="00B5220E">
        <w:rPr>
          <w:sz w:val="24"/>
          <w:szCs w:val="24"/>
          <w:lang w:eastAsia="hr-HR"/>
        </w:rPr>
        <w:t xml:space="preserve">Nadalje, u cilju jačanja institucionalnog okvira za borbu protiv korupcije, provele su se aktivnosti </w:t>
      </w:r>
      <w:r w:rsidRPr="00B5220E">
        <w:rPr>
          <w:sz w:val="24"/>
          <w:szCs w:val="24"/>
          <w:lang w:eastAsia="hr-HR"/>
        </w:rPr>
        <w:lastRenderedPageBreak/>
        <w:t xml:space="preserve">u kontekstu procesa pristupanja Hrvatske OECD-u. </w:t>
      </w:r>
      <w:r>
        <w:rPr>
          <w:sz w:val="24"/>
          <w:szCs w:val="24"/>
          <w:lang w:eastAsia="hr-HR"/>
        </w:rPr>
        <w:t>U</w:t>
      </w:r>
      <w:r w:rsidRPr="00B5220E">
        <w:rPr>
          <w:sz w:val="24"/>
          <w:szCs w:val="24"/>
          <w:lang w:eastAsia="hr-HR"/>
        </w:rPr>
        <w:t xml:space="preserve"> Nacionalnoj i sveučilišnoj knjižnici u Zagrebu u svibnju 2024.</w:t>
      </w:r>
      <w:r>
        <w:rPr>
          <w:sz w:val="24"/>
          <w:szCs w:val="24"/>
          <w:lang w:eastAsia="hr-HR"/>
        </w:rPr>
        <w:t xml:space="preserve"> </w:t>
      </w:r>
      <w:r w:rsidRPr="00B5220E">
        <w:rPr>
          <w:sz w:val="24"/>
          <w:szCs w:val="24"/>
          <w:lang w:eastAsia="hr-HR"/>
        </w:rPr>
        <w:t>održana je konferencija pod nazivom „Integritet bez granica: Strategije za sprječavanje i borbu protiv podmićivanja stranih javnih službenika“ s ciljem pružanja praktičnih smjernica za provedbu OECD-ove Konvencije o borbi protiv podmićivanja stranih javnih službenika u međunarodnim poslovnim transakcijama.</w:t>
      </w:r>
      <w:r>
        <w:rPr>
          <w:sz w:val="24"/>
          <w:szCs w:val="24"/>
          <w:lang w:eastAsia="hr-HR"/>
        </w:rPr>
        <w:t xml:space="preserve"> U</w:t>
      </w:r>
      <w:r w:rsidRPr="00B5220E">
        <w:rPr>
          <w:sz w:val="24"/>
          <w:szCs w:val="24"/>
          <w:lang w:eastAsia="hr-HR"/>
        </w:rPr>
        <w:t xml:space="preserve"> listopadu 2024. organiziran je i Okrugli stol pod nazivom „Uloga OECD u jačanju antikorupcijskih politika u privatnom sektoru“ s ciljem poticanja rasprave o doprinosima OECD-ovih standarda, jačanju antikorupcijskih napora u poslovanju, s posebnim naglaskom na standarde Konvencije OECD-a protiv podmićivanja stranih javnih službenika u međunarodnim poslovnim transakcijama te standarde OECD-a u kontekstu jačanja okvira odgovornog poslovnog ponašanja.</w:t>
      </w:r>
      <w:r w:rsidRPr="00324829">
        <w:rPr>
          <w:sz w:val="24"/>
          <w:szCs w:val="24"/>
          <w:lang w:eastAsia="hr-HR"/>
        </w:rPr>
        <w:t xml:space="preserve"> Također, 6. prosinca 2024. održana je konferencija „Zajedno za integritet </w:t>
      </w:r>
      <w:r>
        <w:rPr>
          <w:sz w:val="24"/>
          <w:szCs w:val="24"/>
          <w:lang w:eastAsia="hr-HR"/>
        </w:rPr>
        <w:t>-</w:t>
      </w:r>
      <w:r w:rsidRPr="00324829">
        <w:rPr>
          <w:sz w:val="24"/>
          <w:szCs w:val="24"/>
          <w:lang w:eastAsia="hr-HR"/>
        </w:rPr>
        <w:t xml:space="preserve"> sinergija poslovnog sektora i javne uprave u borbi protiv korupcije“, a jedna od tema bila je utjecaj OECD-ovih standarda na razvoj politika usklađenosti poslovanja (</w:t>
      </w:r>
      <w:proofErr w:type="spellStart"/>
      <w:r w:rsidRPr="0004221B">
        <w:rPr>
          <w:i/>
          <w:sz w:val="24"/>
          <w:szCs w:val="24"/>
          <w:lang w:eastAsia="hr-HR"/>
        </w:rPr>
        <w:t>compliance</w:t>
      </w:r>
      <w:proofErr w:type="spellEnd"/>
      <w:r w:rsidRPr="00324829">
        <w:rPr>
          <w:sz w:val="24"/>
          <w:szCs w:val="24"/>
          <w:lang w:eastAsia="hr-HR"/>
        </w:rPr>
        <w:t>) i korporativno ponašanje. U sklopu istog cilja izrađen je Priručnik za primjenu preporuka OECD-a glede korporativnog upravljanja u trgovačkim društvima u većinskom vlasništvu JLP(R)S.</w:t>
      </w:r>
    </w:p>
    <w:p w14:paraId="7E8CE4F3" w14:textId="77777777" w:rsidR="00FB178A" w:rsidRPr="00B5220E" w:rsidRDefault="00FB178A" w:rsidP="00FB178A">
      <w:pPr>
        <w:spacing w:after="240" w:line="276" w:lineRule="auto"/>
        <w:ind w:firstLine="709"/>
        <w:jc w:val="both"/>
        <w:rPr>
          <w:b/>
          <w:bCs/>
          <w:sz w:val="24"/>
          <w:szCs w:val="24"/>
        </w:rPr>
      </w:pPr>
      <w:r w:rsidRPr="00B5220E">
        <w:rPr>
          <w:b/>
          <w:bCs/>
          <w:sz w:val="24"/>
          <w:szCs w:val="24"/>
        </w:rPr>
        <w:t>Kompetentna, dostupna i učinkovita javna uprava</w:t>
      </w:r>
    </w:p>
    <w:p w14:paraId="7E38461E" w14:textId="77777777" w:rsidR="00FB178A" w:rsidRDefault="00FB178A" w:rsidP="00FB178A">
      <w:pPr>
        <w:widowControl/>
        <w:tabs>
          <w:tab w:val="left" w:pos="8647"/>
        </w:tabs>
        <w:autoSpaceDE/>
        <w:autoSpaceDN/>
        <w:spacing w:after="240" w:line="276" w:lineRule="auto"/>
        <w:ind w:right="144" w:firstLine="720"/>
        <w:jc w:val="both"/>
        <w:rPr>
          <w:color w:val="000000"/>
          <w:kern w:val="2"/>
          <w:sz w:val="24"/>
          <w:szCs w:val="24"/>
          <w:lang w:eastAsia="hr-HR"/>
          <w14:ligatures w14:val="standardContextual"/>
        </w:rPr>
      </w:pPr>
      <w:r w:rsidRPr="00365631">
        <w:rPr>
          <w:color w:val="000000"/>
          <w:kern w:val="2"/>
          <w:sz w:val="24"/>
          <w:szCs w:val="24"/>
          <w:lang w:eastAsia="hr-HR"/>
          <w14:ligatures w14:val="standardContextual"/>
        </w:rPr>
        <w:t xml:space="preserve">U 2024. nastavljeni su sustavni napori usmjereni na modernizaciju javne uprave, s ciljem povećanja učinkovitosti, kvalitete i dostupnosti javnih usluga te jačanja primjene načela dobrog upravljanja u svim tijelima javne vlasti. Ostvareni su mjerljivi pomaci, što potvrđuju i međunarodni pokazatelji. Prema ljestvici globalne konkurentnosti (World </w:t>
      </w:r>
      <w:proofErr w:type="spellStart"/>
      <w:r w:rsidRPr="00365631">
        <w:rPr>
          <w:color w:val="000000"/>
          <w:kern w:val="2"/>
          <w:sz w:val="24"/>
          <w:szCs w:val="24"/>
          <w:lang w:eastAsia="hr-HR"/>
          <w14:ligatures w14:val="standardContextual"/>
        </w:rPr>
        <w:t>Competitiveness</w:t>
      </w:r>
      <w:proofErr w:type="spellEnd"/>
      <w:r w:rsidRPr="00365631">
        <w:rPr>
          <w:color w:val="000000"/>
          <w:kern w:val="2"/>
          <w:sz w:val="24"/>
          <w:szCs w:val="24"/>
          <w:lang w:eastAsia="hr-HR"/>
          <w14:ligatures w14:val="standardContextual"/>
        </w:rPr>
        <w:t xml:space="preserve"> </w:t>
      </w:r>
      <w:proofErr w:type="spellStart"/>
      <w:r w:rsidRPr="00365631">
        <w:rPr>
          <w:color w:val="000000"/>
          <w:kern w:val="2"/>
          <w:sz w:val="24"/>
          <w:szCs w:val="24"/>
          <w:lang w:eastAsia="hr-HR"/>
          <w14:ligatures w14:val="standardContextual"/>
        </w:rPr>
        <w:t>Ranking</w:t>
      </w:r>
      <w:proofErr w:type="spellEnd"/>
      <w:r w:rsidRPr="00365631">
        <w:rPr>
          <w:color w:val="000000"/>
          <w:kern w:val="2"/>
          <w:sz w:val="24"/>
          <w:szCs w:val="24"/>
          <w:lang w:eastAsia="hr-HR"/>
          <w14:ligatures w14:val="standardContextual"/>
        </w:rPr>
        <w:t xml:space="preserve"> </w:t>
      </w:r>
      <w:r>
        <w:rPr>
          <w:color w:val="000000"/>
          <w:kern w:val="2"/>
          <w:sz w:val="24"/>
          <w:szCs w:val="24"/>
          <w:lang w:eastAsia="hr-HR"/>
          <w14:ligatures w14:val="standardContextual"/>
        </w:rPr>
        <w:t>-</w:t>
      </w:r>
      <w:r w:rsidRPr="00365631">
        <w:rPr>
          <w:color w:val="000000"/>
          <w:kern w:val="2"/>
          <w:sz w:val="24"/>
          <w:szCs w:val="24"/>
          <w:lang w:eastAsia="hr-HR"/>
          <w14:ligatures w14:val="standardContextual"/>
        </w:rPr>
        <w:t xml:space="preserve"> WCR) Instituta za razvoj poslovnog upravljanja iz </w:t>
      </w:r>
      <w:proofErr w:type="spellStart"/>
      <w:r w:rsidRPr="00365631">
        <w:rPr>
          <w:color w:val="000000"/>
          <w:kern w:val="2"/>
          <w:sz w:val="24"/>
          <w:szCs w:val="24"/>
          <w:lang w:eastAsia="hr-HR"/>
          <w14:ligatures w14:val="standardContextual"/>
        </w:rPr>
        <w:t>Lausanne</w:t>
      </w:r>
      <w:proofErr w:type="spellEnd"/>
      <w:r w:rsidRPr="00365631">
        <w:rPr>
          <w:color w:val="000000"/>
          <w:kern w:val="2"/>
          <w:sz w:val="24"/>
          <w:szCs w:val="24"/>
          <w:lang w:eastAsia="hr-HR"/>
          <w14:ligatures w14:val="standardContextual"/>
        </w:rPr>
        <w:t xml:space="preserve"> (IMD), Hrvatska je u 2024. u kategoriji „Djelotvornost javne uprave“ zauzela 47. mjesto među 67 analiziranih zemalja, što predstavlja napredak od dva mjesta u odnosu na 2023. godinu. </w:t>
      </w:r>
    </w:p>
    <w:p w14:paraId="4FE6F93D" w14:textId="77777777" w:rsidR="00FB178A" w:rsidRDefault="00FB178A" w:rsidP="00FB178A">
      <w:pPr>
        <w:widowControl/>
        <w:tabs>
          <w:tab w:val="left" w:pos="8647"/>
        </w:tabs>
        <w:autoSpaceDE/>
        <w:autoSpaceDN/>
        <w:spacing w:after="240" w:line="276" w:lineRule="auto"/>
        <w:ind w:right="144"/>
        <w:jc w:val="both"/>
        <w:rPr>
          <w:color w:val="000000"/>
          <w:kern w:val="2"/>
          <w:sz w:val="24"/>
          <w:szCs w:val="24"/>
          <w:lang w:eastAsia="hr-HR"/>
          <w14:ligatures w14:val="standardContextual"/>
        </w:rPr>
      </w:pPr>
      <w:r w:rsidRPr="00365631">
        <w:rPr>
          <w:color w:val="000000"/>
          <w:kern w:val="2"/>
          <w:sz w:val="24"/>
          <w:szCs w:val="24"/>
          <w:lang w:eastAsia="hr-HR"/>
          <w14:ligatures w14:val="standardContextual"/>
        </w:rPr>
        <w:t xml:space="preserve">Istodobno, prema </w:t>
      </w:r>
      <w:r>
        <w:rPr>
          <w:color w:val="000000"/>
          <w:kern w:val="2"/>
          <w:sz w:val="24"/>
          <w:szCs w:val="24"/>
          <w:lang w:eastAsia="hr-HR"/>
          <w14:ligatures w14:val="standardContextual"/>
        </w:rPr>
        <w:t>nalazima</w:t>
      </w:r>
      <w:r w:rsidRPr="00365631">
        <w:rPr>
          <w:color w:val="000000"/>
          <w:kern w:val="2"/>
          <w:sz w:val="24"/>
          <w:szCs w:val="24"/>
          <w:lang w:eastAsia="hr-HR"/>
          <w14:ligatures w14:val="standardContextual"/>
        </w:rPr>
        <w:t xml:space="preserve"> OECD-ova izvješća </w:t>
      </w:r>
      <w:r>
        <w:rPr>
          <w:color w:val="000000"/>
          <w:kern w:val="2"/>
          <w:sz w:val="24"/>
          <w:szCs w:val="24"/>
          <w:lang w:eastAsia="hr-HR"/>
          <w14:ligatures w14:val="standardContextual"/>
        </w:rPr>
        <w:t>„</w:t>
      </w:r>
      <w:proofErr w:type="spellStart"/>
      <w:r w:rsidRPr="0004221B">
        <w:rPr>
          <w:i/>
          <w:iCs/>
          <w:color w:val="000000"/>
          <w:kern w:val="2"/>
          <w:sz w:val="24"/>
          <w:szCs w:val="24"/>
          <w:lang w:eastAsia="hr-HR"/>
          <w14:ligatures w14:val="standardContextual"/>
        </w:rPr>
        <w:t>Government</w:t>
      </w:r>
      <w:proofErr w:type="spellEnd"/>
      <w:r w:rsidRPr="0004221B">
        <w:rPr>
          <w:i/>
          <w:iCs/>
          <w:color w:val="000000"/>
          <w:kern w:val="2"/>
          <w:sz w:val="24"/>
          <w:szCs w:val="24"/>
          <w:lang w:eastAsia="hr-HR"/>
          <w14:ligatures w14:val="standardContextual"/>
        </w:rPr>
        <w:t xml:space="preserve"> at a Glance 2025</w:t>
      </w:r>
      <w:r>
        <w:rPr>
          <w:color w:val="000000"/>
          <w:kern w:val="2"/>
          <w:sz w:val="24"/>
          <w:szCs w:val="24"/>
          <w:lang w:eastAsia="hr-HR"/>
          <w14:ligatures w14:val="standardContextual"/>
        </w:rPr>
        <w:t>“</w:t>
      </w:r>
      <w:r w:rsidRPr="00365631">
        <w:rPr>
          <w:color w:val="000000"/>
          <w:kern w:val="2"/>
          <w:sz w:val="24"/>
          <w:szCs w:val="24"/>
          <w:lang w:eastAsia="hr-HR"/>
          <w14:ligatures w14:val="standardContextual"/>
        </w:rPr>
        <w:t xml:space="preserve">, </w:t>
      </w:r>
      <w:r>
        <w:rPr>
          <w:color w:val="000000"/>
          <w:kern w:val="2"/>
          <w:sz w:val="24"/>
          <w:szCs w:val="24"/>
          <w:lang w:eastAsia="hr-HR"/>
          <w14:ligatures w14:val="standardContextual"/>
        </w:rPr>
        <w:t xml:space="preserve">s podacima za 2024. </w:t>
      </w:r>
      <w:r w:rsidRPr="00D753ED">
        <w:rPr>
          <w:color w:val="000000"/>
          <w:kern w:val="2"/>
          <w:sz w:val="24"/>
          <w:szCs w:val="24"/>
          <w:lang w:eastAsia="hr-HR"/>
          <w14:ligatures w14:val="standardContextual"/>
        </w:rPr>
        <w:t>Hrvatska i dalje pokazuje napredak, ali i kontinuirane strukturne izazove u razvoju moderne, učinkovite i digitalno zrele javne uprave.</w:t>
      </w:r>
      <w:r>
        <w:rPr>
          <w:color w:val="000000"/>
          <w:kern w:val="2"/>
          <w:sz w:val="24"/>
          <w:szCs w:val="24"/>
          <w:lang w:eastAsia="hr-HR"/>
          <w14:ligatures w14:val="standardContextual"/>
        </w:rPr>
        <w:t xml:space="preserve"> </w:t>
      </w:r>
      <w:r w:rsidRPr="0090510B">
        <w:rPr>
          <w:color w:val="000000"/>
          <w:kern w:val="2"/>
          <w:sz w:val="24"/>
          <w:szCs w:val="24"/>
          <w:lang w:eastAsia="hr-HR"/>
          <w14:ligatures w14:val="standardContextual"/>
        </w:rPr>
        <w:t>U području digitalne transformacije, Hrvatska se prema razini uporabe digitaln</w:t>
      </w:r>
      <w:r>
        <w:rPr>
          <w:color w:val="000000"/>
          <w:kern w:val="2"/>
          <w:sz w:val="24"/>
          <w:szCs w:val="24"/>
          <w:lang w:eastAsia="hr-HR"/>
          <w14:ligatures w14:val="standardContextual"/>
        </w:rPr>
        <w:t>og</w:t>
      </w:r>
      <w:r w:rsidRPr="0090510B">
        <w:rPr>
          <w:color w:val="000000"/>
          <w:kern w:val="2"/>
          <w:sz w:val="24"/>
          <w:szCs w:val="24"/>
          <w:lang w:eastAsia="hr-HR"/>
          <w14:ligatures w14:val="standardContextual"/>
        </w:rPr>
        <w:t xml:space="preserve"> identiteta svrstava u kategoriju zemalja u kojima 25</w:t>
      </w:r>
      <w:r>
        <w:rPr>
          <w:color w:val="000000"/>
          <w:kern w:val="2"/>
          <w:sz w:val="24"/>
          <w:szCs w:val="24"/>
          <w:lang w:eastAsia="hr-HR"/>
          <w14:ligatures w14:val="standardContextual"/>
        </w:rPr>
        <w:t xml:space="preserve"> - </w:t>
      </w:r>
      <w:r w:rsidRPr="0090510B">
        <w:rPr>
          <w:color w:val="000000"/>
          <w:kern w:val="2"/>
          <w:sz w:val="24"/>
          <w:szCs w:val="24"/>
          <w:lang w:eastAsia="hr-HR"/>
          <w14:ligatures w14:val="standardContextual"/>
        </w:rPr>
        <w:t xml:space="preserve">49% stanovništva koristi digitalni identitet, što je ispod </w:t>
      </w:r>
      <w:r>
        <w:rPr>
          <w:color w:val="000000"/>
          <w:kern w:val="2"/>
          <w:sz w:val="24"/>
          <w:szCs w:val="24"/>
          <w:lang w:eastAsia="hr-HR"/>
          <w14:ligatures w14:val="standardContextual"/>
        </w:rPr>
        <w:t xml:space="preserve">prosjeka </w:t>
      </w:r>
      <w:r w:rsidRPr="0090510B">
        <w:rPr>
          <w:color w:val="000000"/>
          <w:kern w:val="2"/>
          <w:sz w:val="24"/>
          <w:szCs w:val="24"/>
          <w:lang w:eastAsia="hr-HR"/>
          <w14:ligatures w14:val="standardContextual"/>
        </w:rPr>
        <w:t xml:space="preserve">najrazvijenijih OECD </w:t>
      </w:r>
      <w:r>
        <w:rPr>
          <w:color w:val="000000"/>
          <w:kern w:val="2"/>
          <w:sz w:val="24"/>
          <w:szCs w:val="24"/>
          <w:lang w:eastAsia="hr-HR"/>
          <w14:ligatures w14:val="standardContextual"/>
        </w:rPr>
        <w:t xml:space="preserve">zemalja. </w:t>
      </w:r>
      <w:r w:rsidRPr="006410C3">
        <w:rPr>
          <w:color w:val="000000"/>
          <w:kern w:val="2"/>
          <w:sz w:val="24"/>
          <w:szCs w:val="24"/>
          <w:lang w:eastAsia="hr-HR"/>
          <w14:ligatures w14:val="standardContextual"/>
        </w:rPr>
        <w:t>Istodobno, prema pokazateljima dostupnosti digitalnih  javnih usluga, Hrvatska se nalazi u kategoriji zemalja u kojima je 50</w:t>
      </w:r>
      <w:r>
        <w:rPr>
          <w:color w:val="000000"/>
          <w:kern w:val="2"/>
          <w:sz w:val="24"/>
          <w:szCs w:val="24"/>
          <w:lang w:eastAsia="hr-HR"/>
          <w14:ligatures w14:val="standardContextual"/>
        </w:rPr>
        <w:t xml:space="preserve"> - </w:t>
      </w:r>
      <w:r w:rsidRPr="006410C3">
        <w:rPr>
          <w:color w:val="000000"/>
          <w:kern w:val="2"/>
          <w:sz w:val="24"/>
          <w:szCs w:val="24"/>
          <w:lang w:eastAsia="hr-HR"/>
          <w14:ligatures w14:val="standardContextual"/>
        </w:rPr>
        <w:t>74% javnih usluga dostupno putem sigurnog digitalnog identiteta, što upućuje na potrebu daljnjeg razvoja digitalne javne infrastrukture i integracije digitalnih rješenja u administrativne procese</w:t>
      </w:r>
      <w:r>
        <w:rPr>
          <w:color w:val="000000"/>
          <w:kern w:val="2"/>
          <w:sz w:val="24"/>
          <w:szCs w:val="24"/>
          <w:lang w:eastAsia="hr-HR"/>
          <w14:ligatures w14:val="standardContextual"/>
        </w:rPr>
        <w:t xml:space="preserve">. </w:t>
      </w:r>
      <w:r w:rsidRPr="00654EAF">
        <w:rPr>
          <w:color w:val="000000"/>
          <w:kern w:val="2"/>
          <w:sz w:val="24"/>
          <w:szCs w:val="24"/>
          <w:lang w:eastAsia="hr-HR"/>
          <w14:ligatures w14:val="standardContextual"/>
        </w:rPr>
        <w:t xml:space="preserve">U području otvorenih podataka, rezultati </w:t>
      </w:r>
      <w:proofErr w:type="spellStart"/>
      <w:r w:rsidRPr="00654EAF">
        <w:rPr>
          <w:color w:val="000000"/>
          <w:kern w:val="2"/>
          <w:sz w:val="24"/>
          <w:szCs w:val="24"/>
          <w:lang w:eastAsia="hr-HR"/>
          <w14:ligatures w14:val="standardContextual"/>
        </w:rPr>
        <w:t>OURdata</w:t>
      </w:r>
      <w:proofErr w:type="spellEnd"/>
      <w:r w:rsidRPr="00654EAF">
        <w:rPr>
          <w:color w:val="000000"/>
          <w:kern w:val="2"/>
          <w:sz w:val="24"/>
          <w:szCs w:val="24"/>
          <w:lang w:eastAsia="hr-HR"/>
          <w14:ligatures w14:val="standardContextual"/>
        </w:rPr>
        <w:t xml:space="preserve"> Indeksa pokazuju da se Hrvatska nalazi </w:t>
      </w:r>
      <w:r>
        <w:rPr>
          <w:color w:val="000000"/>
          <w:kern w:val="2"/>
          <w:sz w:val="24"/>
          <w:szCs w:val="24"/>
          <w:lang w:eastAsia="hr-HR"/>
          <w14:ligatures w14:val="standardContextual"/>
        </w:rPr>
        <w:t xml:space="preserve">znatno </w:t>
      </w:r>
      <w:r w:rsidRPr="00654EAF">
        <w:rPr>
          <w:color w:val="000000"/>
          <w:kern w:val="2"/>
          <w:sz w:val="24"/>
          <w:szCs w:val="24"/>
          <w:lang w:eastAsia="hr-HR"/>
          <w14:ligatures w14:val="standardContextual"/>
        </w:rPr>
        <w:t>ispod OECD prosjeka, osobito u komponenti poticanja ponovne uporabe otvorenih podataka te strateškog upravljanja njihovom kvalitetom, što ograničava puni potencijal otvorenosti i transparentnosti u javnom sektoru</w:t>
      </w:r>
      <w:r>
        <w:rPr>
          <w:color w:val="000000"/>
          <w:kern w:val="2"/>
          <w:sz w:val="24"/>
          <w:szCs w:val="24"/>
          <w:lang w:eastAsia="hr-HR"/>
          <w14:ligatures w14:val="standardContextual"/>
        </w:rPr>
        <w:t xml:space="preserve">. </w:t>
      </w:r>
      <w:r w:rsidRPr="00B12B8B">
        <w:rPr>
          <w:color w:val="000000"/>
          <w:kern w:val="2"/>
          <w:sz w:val="24"/>
          <w:szCs w:val="24"/>
          <w:lang w:eastAsia="hr-HR"/>
          <w14:ligatures w14:val="standardContextual"/>
        </w:rPr>
        <w:t xml:space="preserve">Nadalje, analiza sastava državne uprave pokazuje da se Hrvatska svrstava u kategoriju zemalja u kojima je manje od 50% zaposlenika u </w:t>
      </w:r>
      <w:r>
        <w:rPr>
          <w:color w:val="000000"/>
          <w:kern w:val="2"/>
          <w:sz w:val="24"/>
          <w:szCs w:val="24"/>
          <w:lang w:eastAsia="hr-HR"/>
          <w14:ligatures w14:val="standardContextual"/>
        </w:rPr>
        <w:t>tijelima javne vlasti</w:t>
      </w:r>
      <w:r w:rsidRPr="00B12B8B">
        <w:rPr>
          <w:color w:val="000000"/>
          <w:kern w:val="2"/>
          <w:sz w:val="24"/>
          <w:szCs w:val="24"/>
          <w:lang w:eastAsia="hr-HR"/>
          <w14:ligatures w14:val="standardContextual"/>
        </w:rPr>
        <w:t xml:space="preserve"> visokoobrazovano, dok je u većini OECD zemalja taj udio bitno viši, što naglašava važnost daljnjeg jačanja profesionalizacije i sustavnog razvoja kompetencija državnih službenika</w:t>
      </w:r>
      <w:r>
        <w:rPr>
          <w:color w:val="000000"/>
          <w:kern w:val="2"/>
          <w:sz w:val="24"/>
          <w:szCs w:val="24"/>
          <w:lang w:eastAsia="hr-HR"/>
          <w14:ligatures w14:val="standardContextual"/>
        </w:rPr>
        <w:t xml:space="preserve">. Sukladno izvješću </w:t>
      </w:r>
      <w:r w:rsidRPr="00645E5E">
        <w:rPr>
          <w:color w:val="000000"/>
          <w:kern w:val="2"/>
          <w:sz w:val="24"/>
          <w:szCs w:val="24"/>
          <w:lang w:eastAsia="hr-HR"/>
          <w14:ligatures w14:val="standardContextual"/>
        </w:rPr>
        <w:t>OECD</w:t>
      </w:r>
      <w:r>
        <w:rPr>
          <w:color w:val="000000"/>
          <w:kern w:val="2"/>
          <w:sz w:val="24"/>
          <w:szCs w:val="24"/>
          <w:lang w:eastAsia="hr-HR"/>
          <w14:ligatures w14:val="standardContextual"/>
        </w:rPr>
        <w:t xml:space="preserve"> </w:t>
      </w:r>
      <w:r w:rsidRPr="00645E5E">
        <w:rPr>
          <w:color w:val="000000"/>
          <w:kern w:val="2"/>
          <w:sz w:val="24"/>
          <w:szCs w:val="24"/>
          <w:lang w:eastAsia="hr-HR"/>
          <w14:ligatures w14:val="standardContextual"/>
        </w:rPr>
        <w:t xml:space="preserve">preporučuje ubrzano jačanje </w:t>
      </w:r>
      <w:r w:rsidRPr="00645E5E">
        <w:rPr>
          <w:color w:val="000000"/>
          <w:kern w:val="2"/>
          <w:sz w:val="24"/>
          <w:szCs w:val="24"/>
          <w:lang w:eastAsia="hr-HR"/>
          <w14:ligatures w14:val="standardContextual"/>
        </w:rPr>
        <w:lastRenderedPageBreak/>
        <w:t>digitalnih kapaciteta, ulaganja u vještine, bolju integraciju digitalnih alata te sustavno unaprjeđenje upravljanja podacima, kako bi Hrvatska mogla ostvariti javnu upravu koja je učinkovitija, otvorenija i u većoj mjeri usmjerena na korisnike.</w:t>
      </w:r>
    </w:p>
    <w:p w14:paraId="6AF47B3D" w14:textId="77777777" w:rsidR="00FB178A" w:rsidRDefault="00FB178A" w:rsidP="00FB178A">
      <w:pPr>
        <w:spacing w:after="240" w:line="276" w:lineRule="auto"/>
        <w:jc w:val="both"/>
        <w:rPr>
          <w:color w:val="000000"/>
          <w:kern w:val="2"/>
          <w:sz w:val="24"/>
          <w:szCs w:val="24"/>
          <w:lang w:eastAsia="hr-HR"/>
          <w14:ligatures w14:val="standardContextual"/>
        </w:rPr>
      </w:pPr>
      <w:r w:rsidRPr="00B5220E">
        <w:rPr>
          <w:color w:val="000000"/>
          <w:kern w:val="2"/>
          <w:sz w:val="24"/>
          <w:szCs w:val="24"/>
          <w:lang w:eastAsia="hr-HR"/>
          <w14:ligatures w14:val="standardContextual"/>
        </w:rPr>
        <w:t xml:space="preserve">U </w:t>
      </w:r>
      <w:r w:rsidRPr="00412302">
        <w:rPr>
          <w:color w:val="000000"/>
          <w:kern w:val="2"/>
          <w:sz w:val="24"/>
          <w:szCs w:val="24"/>
          <w:lang w:eastAsia="hr-HR"/>
          <w14:ligatures w14:val="standardContextual"/>
        </w:rPr>
        <w:t xml:space="preserve">području digitalne transformacije javne uprave </w:t>
      </w:r>
      <w:r>
        <w:rPr>
          <w:color w:val="000000"/>
          <w:kern w:val="2"/>
          <w:sz w:val="24"/>
          <w:szCs w:val="24"/>
          <w:lang w:eastAsia="hr-HR"/>
          <w14:ligatures w14:val="standardContextual"/>
        </w:rPr>
        <w:t xml:space="preserve">u </w:t>
      </w:r>
      <w:r w:rsidRPr="00B5220E">
        <w:rPr>
          <w:color w:val="000000"/>
          <w:kern w:val="2"/>
          <w:sz w:val="24"/>
          <w:szCs w:val="24"/>
          <w:lang w:eastAsia="hr-HR"/>
          <w14:ligatures w14:val="standardContextual"/>
        </w:rPr>
        <w:t xml:space="preserve">2024. uspješno su provedene mjere koje su rezultirale </w:t>
      </w:r>
      <w:r>
        <w:rPr>
          <w:color w:val="000000"/>
          <w:kern w:val="2"/>
          <w:sz w:val="24"/>
          <w:szCs w:val="24"/>
          <w:lang w:eastAsia="hr-HR"/>
          <w14:ligatures w14:val="standardContextual"/>
        </w:rPr>
        <w:t xml:space="preserve">nadogradnjama i </w:t>
      </w:r>
      <w:r w:rsidRPr="00B5220E">
        <w:rPr>
          <w:color w:val="000000"/>
          <w:kern w:val="2"/>
          <w:sz w:val="24"/>
          <w:szCs w:val="24"/>
          <w:lang w:eastAsia="hr-HR"/>
          <w14:ligatures w14:val="standardContextual"/>
        </w:rPr>
        <w:t>povećanjem broja elektroničkih usluga dostupnih putem portala e-Građani</w:t>
      </w:r>
      <w:r>
        <w:rPr>
          <w:color w:val="000000"/>
          <w:kern w:val="2"/>
          <w:sz w:val="24"/>
          <w:szCs w:val="24"/>
          <w:lang w:eastAsia="hr-HR"/>
          <w14:ligatures w14:val="standardContextual"/>
        </w:rPr>
        <w:t>, čime se</w:t>
      </w:r>
      <w:r w:rsidRPr="00B5220E">
        <w:rPr>
          <w:color w:val="000000"/>
          <w:kern w:val="2"/>
          <w:sz w:val="24"/>
          <w:szCs w:val="24"/>
          <w:lang w:eastAsia="hr-HR"/>
          <w14:ligatures w14:val="standardContextual"/>
        </w:rPr>
        <w:t xml:space="preserve"> omogućuje pristup državnim uslugama i dokumentima bez potrebe za fizičkim dolaskom na šaltere</w:t>
      </w:r>
      <w:r>
        <w:rPr>
          <w:color w:val="000000"/>
          <w:kern w:val="2"/>
          <w:sz w:val="24"/>
          <w:szCs w:val="24"/>
          <w:lang w:eastAsia="hr-HR"/>
          <w14:ligatures w14:val="standardContextual"/>
        </w:rPr>
        <w:t xml:space="preserve"> te je u </w:t>
      </w:r>
      <w:r w:rsidRPr="00B5220E">
        <w:rPr>
          <w:color w:val="000000"/>
          <w:kern w:val="2"/>
          <w:sz w:val="24"/>
          <w:szCs w:val="24"/>
          <w:lang w:eastAsia="hr-HR"/>
          <w14:ligatures w14:val="standardContextual"/>
        </w:rPr>
        <w:t>svim upravnim postupcima uveden</w:t>
      </w:r>
      <w:r>
        <w:rPr>
          <w:color w:val="000000"/>
          <w:kern w:val="2"/>
          <w:sz w:val="24"/>
          <w:szCs w:val="24"/>
          <w:lang w:eastAsia="hr-HR"/>
          <w14:ligatures w14:val="standardContextual"/>
        </w:rPr>
        <w:t>a</w:t>
      </w:r>
      <w:r w:rsidRPr="00B5220E">
        <w:rPr>
          <w:color w:val="000000"/>
          <w:kern w:val="2"/>
          <w:sz w:val="24"/>
          <w:szCs w:val="24"/>
          <w:lang w:eastAsia="hr-HR"/>
          <w14:ligatures w14:val="standardContextual"/>
        </w:rPr>
        <w:t xml:space="preserve"> </w:t>
      </w:r>
      <w:r>
        <w:rPr>
          <w:color w:val="000000"/>
          <w:kern w:val="2"/>
          <w:sz w:val="24"/>
          <w:szCs w:val="24"/>
          <w:lang w:eastAsia="hr-HR"/>
          <w14:ligatures w14:val="standardContextual"/>
        </w:rPr>
        <w:t xml:space="preserve">mogućnost </w:t>
      </w:r>
      <w:r w:rsidRPr="00B5220E">
        <w:rPr>
          <w:color w:val="000000"/>
          <w:kern w:val="2"/>
          <w:sz w:val="24"/>
          <w:szCs w:val="24"/>
          <w:lang w:eastAsia="hr-HR"/>
          <w14:ligatures w14:val="standardContextual"/>
        </w:rPr>
        <w:t>e-potpis</w:t>
      </w:r>
      <w:r>
        <w:rPr>
          <w:color w:val="000000"/>
          <w:kern w:val="2"/>
          <w:sz w:val="24"/>
          <w:szCs w:val="24"/>
          <w:lang w:eastAsia="hr-HR"/>
          <w14:ligatures w14:val="standardContextual"/>
        </w:rPr>
        <w:t>a</w:t>
      </w:r>
      <w:r w:rsidRPr="00B5220E">
        <w:rPr>
          <w:color w:val="000000"/>
          <w:kern w:val="2"/>
          <w:sz w:val="24"/>
          <w:szCs w:val="24"/>
          <w:lang w:eastAsia="hr-HR"/>
          <w14:ligatures w14:val="standardContextual"/>
        </w:rPr>
        <w:t xml:space="preserve"> za građane i pravne osobe. </w:t>
      </w:r>
      <w:r w:rsidRPr="00412302">
        <w:rPr>
          <w:color w:val="000000"/>
          <w:kern w:val="2"/>
          <w:sz w:val="24"/>
          <w:szCs w:val="24"/>
          <w:lang w:eastAsia="hr-HR"/>
          <w14:ligatures w14:val="standardContextual"/>
        </w:rPr>
        <w:t>U 2024. portal e-Građani ukupno</w:t>
      </w:r>
      <w:r>
        <w:rPr>
          <w:color w:val="000000"/>
          <w:kern w:val="2"/>
          <w:sz w:val="24"/>
          <w:szCs w:val="24"/>
          <w:lang w:eastAsia="hr-HR"/>
          <w14:ligatures w14:val="standardContextual"/>
        </w:rPr>
        <w:t xml:space="preserve"> je</w:t>
      </w:r>
      <w:r w:rsidRPr="00412302">
        <w:rPr>
          <w:color w:val="000000"/>
          <w:kern w:val="2"/>
          <w:sz w:val="24"/>
          <w:szCs w:val="24"/>
          <w:lang w:eastAsia="hr-HR"/>
          <w14:ligatures w14:val="standardContextual"/>
        </w:rPr>
        <w:t xml:space="preserve"> koristilo 2.038.699 korisnika, što predstavlja rast od 8,35% u odnosu na </w:t>
      </w:r>
      <w:r>
        <w:rPr>
          <w:color w:val="000000"/>
          <w:kern w:val="2"/>
          <w:sz w:val="24"/>
          <w:szCs w:val="24"/>
          <w:lang w:eastAsia="hr-HR"/>
          <w14:ligatures w14:val="standardContextual"/>
        </w:rPr>
        <w:t>2023.</w:t>
      </w:r>
      <w:r w:rsidRPr="00412302">
        <w:rPr>
          <w:color w:val="000000"/>
          <w:kern w:val="2"/>
          <w:sz w:val="24"/>
          <w:szCs w:val="24"/>
          <w:lang w:eastAsia="hr-HR"/>
          <w14:ligatures w14:val="standardContextual"/>
        </w:rPr>
        <w:t xml:space="preserve">, uz 203,6 milijuna prijava putem sustava NIAS. Putem Korisničkog pretinca, 31 tijelo javne vlasti uputilo je 35,9 milijuna poruka, potvrđujući sve važniju ulogu </w:t>
      </w:r>
      <w:r>
        <w:rPr>
          <w:color w:val="000000"/>
          <w:kern w:val="2"/>
          <w:sz w:val="24"/>
          <w:szCs w:val="24"/>
          <w:lang w:eastAsia="hr-HR"/>
          <w14:ligatures w14:val="standardContextual"/>
        </w:rPr>
        <w:t xml:space="preserve">portala e-Građani </w:t>
      </w:r>
      <w:r w:rsidRPr="00412302">
        <w:rPr>
          <w:color w:val="000000"/>
          <w:kern w:val="2"/>
          <w:sz w:val="24"/>
          <w:szCs w:val="24"/>
          <w:lang w:eastAsia="hr-HR"/>
          <w14:ligatures w14:val="standardContextual"/>
        </w:rPr>
        <w:t xml:space="preserve">u modernizaciji komunikacije s građanima. Tijekom </w:t>
      </w:r>
      <w:r>
        <w:rPr>
          <w:color w:val="000000"/>
          <w:kern w:val="2"/>
          <w:sz w:val="24"/>
          <w:szCs w:val="24"/>
          <w:lang w:eastAsia="hr-HR"/>
          <w14:ligatures w14:val="standardContextual"/>
        </w:rPr>
        <w:t>2024.</w:t>
      </w:r>
      <w:r w:rsidRPr="00412302">
        <w:rPr>
          <w:color w:val="000000"/>
          <w:kern w:val="2"/>
          <w:sz w:val="24"/>
          <w:szCs w:val="24"/>
          <w:lang w:eastAsia="hr-HR"/>
          <w14:ligatures w14:val="standardContextual"/>
        </w:rPr>
        <w:t xml:space="preserve"> portal je proširen s devet novih e-usluga za građane, poduzetnike i javne institucije, čime je dodatno unaprijeđena pristupačnost administrativnih postupaka te povećana učinkovitost, transparentnost i smanjenje administrativnog opterećenja</w:t>
      </w:r>
      <w:r>
        <w:rPr>
          <w:color w:val="000000"/>
          <w:kern w:val="2"/>
          <w:sz w:val="24"/>
          <w:szCs w:val="24"/>
          <w:lang w:eastAsia="hr-HR"/>
          <w14:ligatures w14:val="standardContextual"/>
        </w:rPr>
        <w:t xml:space="preserve"> za građane i poduzetnike</w:t>
      </w:r>
      <w:r w:rsidRPr="00412302">
        <w:rPr>
          <w:color w:val="000000"/>
          <w:kern w:val="2"/>
          <w:sz w:val="24"/>
          <w:szCs w:val="24"/>
          <w:lang w:eastAsia="hr-HR"/>
          <w14:ligatures w14:val="standardContextual"/>
        </w:rPr>
        <w:t>.</w:t>
      </w:r>
    </w:p>
    <w:p w14:paraId="4028CA72" w14:textId="77777777" w:rsidR="00FB178A" w:rsidRDefault="00FB178A" w:rsidP="00FB178A">
      <w:pPr>
        <w:spacing w:after="240" w:line="276" w:lineRule="auto"/>
        <w:jc w:val="both"/>
        <w:rPr>
          <w:color w:val="000000"/>
          <w:kern w:val="2"/>
          <w:sz w:val="24"/>
          <w:szCs w:val="24"/>
          <w:lang w:eastAsia="hr-HR"/>
          <w14:ligatures w14:val="standardContextual"/>
        </w:rPr>
      </w:pPr>
      <w:r>
        <w:rPr>
          <w:color w:val="000000"/>
          <w:kern w:val="2"/>
          <w:sz w:val="24"/>
          <w:szCs w:val="24"/>
          <w:lang w:eastAsia="hr-HR"/>
          <w14:ligatures w14:val="standardContextual"/>
        </w:rPr>
        <w:t>D</w:t>
      </w:r>
      <w:r w:rsidRPr="000517CD">
        <w:rPr>
          <w:color w:val="000000"/>
          <w:kern w:val="2"/>
          <w:sz w:val="24"/>
          <w:szCs w:val="24"/>
          <w:lang w:eastAsia="hr-HR"/>
          <w14:ligatures w14:val="standardContextual"/>
        </w:rPr>
        <w:t xml:space="preserve">ovršen je </w:t>
      </w:r>
      <w:r>
        <w:rPr>
          <w:color w:val="000000"/>
          <w:kern w:val="2"/>
          <w:sz w:val="24"/>
          <w:szCs w:val="24"/>
          <w:lang w:eastAsia="hr-HR"/>
          <w14:ligatures w14:val="standardContextual"/>
        </w:rPr>
        <w:t xml:space="preserve">rad na </w:t>
      </w:r>
      <w:r w:rsidRPr="000517CD">
        <w:rPr>
          <w:color w:val="000000"/>
          <w:kern w:val="2"/>
          <w:sz w:val="24"/>
          <w:szCs w:val="24"/>
          <w:lang w:eastAsia="hr-HR"/>
          <w14:ligatures w14:val="standardContextual"/>
        </w:rPr>
        <w:t>reform</w:t>
      </w:r>
      <w:r>
        <w:rPr>
          <w:color w:val="000000"/>
          <w:kern w:val="2"/>
          <w:sz w:val="24"/>
          <w:szCs w:val="24"/>
          <w:lang w:eastAsia="hr-HR"/>
          <w14:ligatures w14:val="standardContextual"/>
        </w:rPr>
        <w:t>i</w:t>
      </w:r>
      <w:r w:rsidRPr="000517CD">
        <w:rPr>
          <w:color w:val="000000"/>
          <w:kern w:val="2"/>
          <w:sz w:val="24"/>
          <w:szCs w:val="24"/>
          <w:lang w:eastAsia="hr-HR"/>
          <w14:ligatures w14:val="standardContextual"/>
        </w:rPr>
        <w:t xml:space="preserve"> sustava plaća u državnoj i javnim službama, proveden </w:t>
      </w:r>
      <w:r>
        <w:rPr>
          <w:color w:val="000000"/>
          <w:kern w:val="2"/>
          <w:sz w:val="24"/>
          <w:szCs w:val="24"/>
          <w:lang w:eastAsia="hr-HR"/>
          <w14:ligatures w14:val="standardContextual"/>
        </w:rPr>
        <w:t>sukladno</w:t>
      </w:r>
      <w:r w:rsidRPr="000517CD">
        <w:rPr>
          <w:color w:val="000000"/>
          <w:kern w:val="2"/>
          <w:sz w:val="24"/>
          <w:szCs w:val="24"/>
          <w:lang w:eastAsia="hr-HR"/>
          <w14:ligatures w14:val="standardContextual"/>
        </w:rPr>
        <w:t xml:space="preserve"> Zakon</w:t>
      </w:r>
      <w:r>
        <w:rPr>
          <w:color w:val="000000"/>
          <w:kern w:val="2"/>
          <w:sz w:val="24"/>
          <w:szCs w:val="24"/>
          <w:lang w:eastAsia="hr-HR"/>
          <w14:ligatures w14:val="standardContextual"/>
        </w:rPr>
        <w:t>u</w:t>
      </w:r>
      <w:r w:rsidRPr="000517CD">
        <w:rPr>
          <w:color w:val="000000"/>
          <w:kern w:val="2"/>
          <w:sz w:val="24"/>
          <w:szCs w:val="24"/>
          <w:lang w:eastAsia="hr-HR"/>
          <w14:ligatures w14:val="standardContextual"/>
        </w:rPr>
        <w:t xml:space="preserve"> o plaćama u državnoj službi i javnim službama</w:t>
      </w:r>
      <w:r>
        <w:rPr>
          <w:color w:val="000000"/>
          <w:kern w:val="2"/>
          <w:sz w:val="24"/>
          <w:szCs w:val="24"/>
          <w:lang w:eastAsia="hr-HR"/>
          <w14:ligatures w14:val="standardContextual"/>
        </w:rPr>
        <w:t xml:space="preserve"> („Narodne novine“, broj</w:t>
      </w:r>
      <w:r w:rsidRPr="00AE0531">
        <w:rPr>
          <w:color w:val="000000"/>
          <w:kern w:val="2"/>
          <w:sz w:val="24"/>
          <w:szCs w:val="24"/>
          <w:lang w:eastAsia="hr-HR"/>
          <w14:ligatures w14:val="standardContextual"/>
        </w:rPr>
        <w:t xml:space="preserve"> 155/23</w:t>
      </w:r>
      <w:r>
        <w:rPr>
          <w:color w:val="000000"/>
          <w:kern w:val="2"/>
          <w:sz w:val="24"/>
          <w:szCs w:val="24"/>
          <w:lang w:eastAsia="hr-HR"/>
          <w14:ligatures w14:val="standardContextual"/>
        </w:rPr>
        <w:t>.)</w:t>
      </w:r>
      <w:r w:rsidRPr="000517CD">
        <w:rPr>
          <w:color w:val="000000"/>
          <w:kern w:val="2"/>
          <w:sz w:val="24"/>
          <w:szCs w:val="24"/>
          <w:lang w:eastAsia="hr-HR"/>
          <w14:ligatures w14:val="standardContextual"/>
        </w:rPr>
        <w:t>, čime je uspostavljen moderniji i pravedniji sustav nagrađivanja. U cilju provedbe reforme, Vlada</w:t>
      </w:r>
      <w:r>
        <w:rPr>
          <w:color w:val="000000"/>
          <w:kern w:val="2"/>
          <w:sz w:val="24"/>
          <w:szCs w:val="24"/>
          <w:lang w:eastAsia="hr-HR"/>
          <w14:ligatures w14:val="standardContextual"/>
        </w:rPr>
        <w:t xml:space="preserve"> </w:t>
      </w:r>
      <w:r>
        <w:rPr>
          <w:color w:val="000000" w:themeColor="text1"/>
          <w:sz w:val="24"/>
          <w:szCs w:val="24"/>
        </w:rPr>
        <w:t>Republike Hrvatske</w:t>
      </w:r>
      <w:r w:rsidRPr="000517CD">
        <w:rPr>
          <w:color w:val="000000"/>
          <w:kern w:val="2"/>
          <w:sz w:val="24"/>
          <w:szCs w:val="24"/>
          <w:lang w:eastAsia="hr-HR"/>
          <w14:ligatures w14:val="standardContextual"/>
        </w:rPr>
        <w:t xml:space="preserve"> je tijekom </w:t>
      </w:r>
      <w:r>
        <w:rPr>
          <w:color w:val="000000"/>
          <w:kern w:val="2"/>
          <w:sz w:val="24"/>
          <w:szCs w:val="24"/>
          <w:lang w:eastAsia="hr-HR"/>
          <w14:ligatures w14:val="standardContextual"/>
        </w:rPr>
        <w:t>2024.</w:t>
      </w:r>
      <w:r w:rsidRPr="000517CD">
        <w:rPr>
          <w:color w:val="000000"/>
          <w:kern w:val="2"/>
          <w:sz w:val="24"/>
          <w:szCs w:val="24"/>
          <w:lang w:eastAsia="hr-HR"/>
          <w14:ligatures w14:val="standardContextual"/>
        </w:rPr>
        <w:t xml:space="preserve"> donijela niz provedbenih uredbi koje uređuju primjenu standardnih mjerila za vrednovanje i klasifikaciju radnih mjesta, raspon koeficijenata u jedinstvenoj platnoj ljestvici, nazive radnih mjesta, uvjete za raspored te koeficijente za obračun plaće u državnoj službi i javnim službama. Dodatno su uređeni sustavi ocjenjivanja učinkovitosti rada državnih službenika te postupak, kriteriji i način ocjenjivanja zaposlenih u javnim službama, čime su stvoreni preduvjeti za dosljedniju, </w:t>
      </w:r>
      <w:proofErr w:type="spellStart"/>
      <w:r w:rsidRPr="000517CD">
        <w:rPr>
          <w:color w:val="000000"/>
          <w:kern w:val="2"/>
          <w:sz w:val="24"/>
          <w:szCs w:val="24"/>
          <w:lang w:eastAsia="hr-HR"/>
          <w14:ligatures w14:val="standardContextual"/>
        </w:rPr>
        <w:t>transparentniju</w:t>
      </w:r>
      <w:proofErr w:type="spellEnd"/>
      <w:r w:rsidRPr="000517CD">
        <w:rPr>
          <w:color w:val="000000"/>
          <w:kern w:val="2"/>
          <w:sz w:val="24"/>
          <w:szCs w:val="24"/>
          <w:lang w:eastAsia="hr-HR"/>
          <w14:ligatures w14:val="standardContextual"/>
        </w:rPr>
        <w:t xml:space="preserve"> i </w:t>
      </w:r>
      <w:r>
        <w:rPr>
          <w:color w:val="000000"/>
          <w:kern w:val="2"/>
          <w:sz w:val="24"/>
          <w:szCs w:val="24"/>
          <w:lang w:eastAsia="hr-HR"/>
          <w14:ligatures w14:val="standardContextual"/>
        </w:rPr>
        <w:t>pouzdaniju</w:t>
      </w:r>
      <w:r w:rsidRPr="000517CD">
        <w:rPr>
          <w:color w:val="000000"/>
          <w:kern w:val="2"/>
          <w:sz w:val="24"/>
          <w:szCs w:val="24"/>
          <w:lang w:eastAsia="hr-HR"/>
          <w14:ligatures w14:val="standardContextual"/>
        </w:rPr>
        <w:t xml:space="preserve"> primjenu novog sustava plaća.</w:t>
      </w:r>
    </w:p>
    <w:p w14:paraId="77EB57D8" w14:textId="77777777" w:rsidR="00FB178A" w:rsidRDefault="00FB178A" w:rsidP="00FB178A">
      <w:pPr>
        <w:spacing w:after="240" w:line="276" w:lineRule="auto"/>
        <w:jc w:val="both"/>
        <w:rPr>
          <w:color w:val="000000"/>
          <w:kern w:val="2"/>
          <w:sz w:val="24"/>
          <w:szCs w:val="24"/>
          <w:lang w:eastAsia="hr-HR"/>
          <w14:ligatures w14:val="standardContextual"/>
        </w:rPr>
      </w:pPr>
      <w:r>
        <w:rPr>
          <w:color w:val="000000"/>
          <w:kern w:val="2"/>
          <w:sz w:val="24"/>
          <w:szCs w:val="24"/>
          <w:lang w:eastAsia="hr-HR"/>
          <w14:ligatures w14:val="standardContextual"/>
        </w:rPr>
        <w:t>U</w:t>
      </w:r>
      <w:r w:rsidRPr="000877C7">
        <w:rPr>
          <w:color w:val="000000"/>
          <w:kern w:val="2"/>
          <w:sz w:val="24"/>
          <w:szCs w:val="24"/>
          <w:lang w:eastAsia="hr-HR"/>
          <w14:ligatures w14:val="standardContextual"/>
        </w:rPr>
        <w:t>veden je novi Centralizirani sustav zapošljavanja putem online testiranja, kojim se osigurava veća objektivnost, transparentnost i usporedivost postupaka odabira kandidata u državnoj službi. Vlada</w:t>
      </w:r>
      <w:r>
        <w:rPr>
          <w:color w:val="000000"/>
          <w:kern w:val="2"/>
          <w:sz w:val="24"/>
          <w:szCs w:val="24"/>
          <w:lang w:eastAsia="hr-HR"/>
          <w14:ligatures w14:val="standardContextual"/>
        </w:rPr>
        <w:t xml:space="preserve"> </w:t>
      </w:r>
      <w:r>
        <w:rPr>
          <w:color w:val="000000" w:themeColor="text1"/>
          <w:sz w:val="24"/>
          <w:szCs w:val="24"/>
        </w:rPr>
        <w:t>Republike Hrvatske</w:t>
      </w:r>
      <w:r w:rsidRPr="000877C7">
        <w:rPr>
          <w:color w:val="000000"/>
          <w:kern w:val="2"/>
          <w:sz w:val="24"/>
          <w:szCs w:val="24"/>
          <w:lang w:eastAsia="hr-HR"/>
          <w14:ligatures w14:val="standardContextual"/>
        </w:rPr>
        <w:t xml:space="preserve"> je u listopadu 2024. donijela Uredbu o postupku zapošljavanja u državnoj službi (</w:t>
      </w:r>
      <w:r>
        <w:rPr>
          <w:color w:val="000000"/>
          <w:kern w:val="2"/>
          <w:sz w:val="24"/>
          <w:szCs w:val="24"/>
          <w:lang w:eastAsia="hr-HR"/>
          <w14:ligatures w14:val="standardContextual"/>
        </w:rPr>
        <w:t>„Narodne novine“, broj</w:t>
      </w:r>
      <w:r w:rsidRPr="000877C7">
        <w:rPr>
          <w:color w:val="000000"/>
          <w:kern w:val="2"/>
          <w:sz w:val="24"/>
          <w:szCs w:val="24"/>
          <w:lang w:eastAsia="hr-HR"/>
          <w14:ligatures w14:val="standardContextual"/>
        </w:rPr>
        <w:t xml:space="preserve"> 124/24</w:t>
      </w:r>
      <w:r>
        <w:rPr>
          <w:color w:val="000000"/>
          <w:kern w:val="2"/>
          <w:sz w:val="24"/>
          <w:szCs w:val="24"/>
          <w:lang w:eastAsia="hr-HR"/>
          <w14:ligatures w14:val="standardContextual"/>
        </w:rPr>
        <w:t>.</w:t>
      </w:r>
      <w:r w:rsidRPr="000877C7">
        <w:rPr>
          <w:color w:val="000000"/>
          <w:kern w:val="2"/>
          <w:sz w:val="24"/>
          <w:szCs w:val="24"/>
          <w:lang w:eastAsia="hr-HR"/>
          <w14:ligatures w14:val="standardContextual"/>
        </w:rPr>
        <w:t>), čime je uspostavljen jedinstveni normativni okvir za provedbu transparentnih postupaka zapošljavanja. Od studenog</w:t>
      </w:r>
      <w:r>
        <w:rPr>
          <w:color w:val="000000"/>
          <w:kern w:val="2"/>
          <w:sz w:val="24"/>
          <w:szCs w:val="24"/>
          <w:lang w:eastAsia="hr-HR"/>
          <w14:ligatures w14:val="standardContextual"/>
        </w:rPr>
        <w:t>a</w:t>
      </w:r>
      <w:r w:rsidRPr="000877C7">
        <w:rPr>
          <w:color w:val="000000"/>
          <w:kern w:val="2"/>
          <w:sz w:val="24"/>
          <w:szCs w:val="24"/>
          <w:lang w:eastAsia="hr-HR"/>
          <w14:ligatures w14:val="standardContextual"/>
        </w:rPr>
        <w:t xml:space="preserve"> 2024. Centralizirani sustav za zapošljavanje u potpunosti je stavljen u funkciju, omogućujući dosljednu primjenu standardiziranih kriterija te </w:t>
      </w:r>
      <w:r>
        <w:rPr>
          <w:color w:val="000000"/>
          <w:kern w:val="2"/>
          <w:sz w:val="24"/>
          <w:szCs w:val="24"/>
          <w:lang w:eastAsia="hr-HR"/>
          <w14:ligatures w14:val="standardContextual"/>
        </w:rPr>
        <w:t xml:space="preserve">transparentan </w:t>
      </w:r>
      <w:r w:rsidRPr="000877C7">
        <w:rPr>
          <w:color w:val="000000"/>
          <w:kern w:val="2"/>
          <w:sz w:val="24"/>
          <w:szCs w:val="24"/>
          <w:lang w:eastAsia="hr-HR"/>
          <w14:ligatures w14:val="standardContextual"/>
        </w:rPr>
        <w:t>odabir najkompetentnijih kandidata. Usporedno s time, provedene su mjere usmjerene na jačanje donošenja odluka temeljenih na podacima i analizama te na uvođenje strateškog planiranja na svim razinama vlasti, čime se dodatno unapređuje učinkovitost i profesionalizacija javne uprave.</w:t>
      </w:r>
    </w:p>
    <w:p w14:paraId="1A95F0E8" w14:textId="77777777" w:rsidR="00FB178A" w:rsidRPr="00BE17F4" w:rsidRDefault="00FB178A" w:rsidP="00FB178A">
      <w:pPr>
        <w:spacing w:after="240" w:line="276" w:lineRule="auto"/>
        <w:jc w:val="both"/>
        <w:rPr>
          <w:color w:val="000000" w:themeColor="text1"/>
          <w:sz w:val="24"/>
          <w:szCs w:val="24"/>
        </w:rPr>
      </w:pPr>
      <w:r>
        <w:rPr>
          <w:color w:val="000000"/>
          <w:kern w:val="2"/>
          <w:sz w:val="24"/>
          <w:szCs w:val="24"/>
          <w:lang w:eastAsia="hr-HR"/>
          <w14:ligatures w14:val="standardContextual"/>
        </w:rPr>
        <w:t xml:space="preserve">S ciljem </w:t>
      </w:r>
      <w:r w:rsidRPr="00AB5F69">
        <w:rPr>
          <w:color w:val="000000"/>
          <w:kern w:val="2"/>
          <w:sz w:val="24"/>
          <w:szCs w:val="24"/>
          <w:lang w:eastAsia="hr-HR"/>
          <w14:ligatures w14:val="standardContextual"/>
        </w:rPr>
        <w:t>smanjenj</w:t>
      </w:r>
      <w:r>
        <w:rPr>
          <w:color w:val="000000"/>
          <w:kern w:val="2"/>
          <w:sz w:val="24"/>
          <w:szCs w:val="24"/>
          <w:lang w:eastAsia="hr-HR"/>
          <w14:ligatures w14:val="standardContextual"/>
        </w:rPr>
        <w:t>a</w:t>
      </w:r>
      <w:r w:rsidRPr="00AB5F69">
        <w:rPr>
          <w:color w:val="000000"/>
          <w:kern w:val="2"/>
          <w:sz w:val="24"/>
          <w:szCs w:val="24"/>
          <w:lang w:eastAsia="hr-HR"/>
          <w14:ligatures w14:val="standardContextual"/>
        </w:rPr>
        <w:t xml:space="preserve"> ekološkog otiska javne uprave</w:t>
      </w:r>
      <w:r>
        <w:rPr>
          <w:color w:val="000000"/>
          <w:kern w:val="2"/>
          <w:sz w:val="24"/>
          <w:szCs w:val="24"/>
          <w:lang w:eastAsia="hr-HR"/>
          <w14:ligatures w14:val="standardContextual"/>
        </w:rPr>
        <w:t xml:space="preserve">, nastavljeno je </w:t>
      </w:r>
      <w:r w:rsidRPr="00B5220E">
        <w:rPr>
          <w:color w:val="000000"/>
          <w:kern w:val="2"/>
          <w:sz w:val="24"/>
          <w:szCs w:val="24"/>
          <w:lang w:eastAsia="hr-HR"/>
          <w14:ligatures w14:val="standardContextual"/>
        </w:rPr>
        <w:t>uv</w:t>
      </w:r>
      <w:r>
        <w:rPr>
          <w:color w:val="000000"/>
          <w:kern w:val="2"/>
          <w:sz w:val="24"/>
          <w:szCs w:val="24"/>
          <w:lang w:eastAsia="hr-HR"/>
          <w14:ligatures w14:val="standardContextual"/>
        </w:rPr>
        <w:t>ođenje</w:t>
      </w:r>
      <w:r w:rsidRPr="00B5220E">
        <w:rPr>
          <w:color w:val="000000"/>
          <w:kern w:val="2"/>
          <w:sz w:val="24"/>
          <w:szCs w:val="24"/>
          <w:lang w:eastAsia="hr-HR"/>
          <w14:ligatures w14:val="standardContextual"/>
        </w:rPr>
        <w:t xml:space="preserve"> politik</w:t>
      </w:r>
      <w:r>
        <w:rPr>
          <w:color w:val="000000"/>
          <w:kern w:val="2"/>
          <w:sz w:val="24"/>
          <w:szCs w:val="24"/>
          <w:lang w:eastAsia="hr-HR"/>
          <w14:ligatures w14:val="standardContextual"/>
        </w:rPr>
        <w:t>a</w:t>
      </w:r>
      <w:r w:rsidRPr="00B5220E">
        <w:rPr>
          <w:color w:val="000000"/>
          <w:kern w:val="2"/>
          <w:sz w:val="24"/>
          <w:szCs w:val="24"/>
          <w:lang w:eastAsia="hr-HR"/>
          <w14:ligatures w14:val="standardContextual"/>
        </w:rPr>
        <w:t xml:space="preserve"> održivoga razvoja</w:t>
      </w:r>
      <w:r>
        <w:rPr>
          <w:color w:val="000000"/>
          <w:kern w:val="2"/>
          <w:sz w:val="24"/>
          <w:szCs w:val="24"/>
          <w:lang w:eastAsia="hr-HR"/>
          <w14:ligatures w14:val="standardContextual"/>
        </w:rPr>
        <w:t xml:space="preserve"> u javnu upravu. Vlada </w:t>
      </w:r>
      <w:r>
        <w:rPr>
          <w:color w:val="000000" w:themeColor="text1"/>
          <w:sz w:val="24"/>
          <w:szCs w:val="24"/>
        </w:rPr>
        <w:t>Republike Hrvatske</w:t>
      </w:r>
      <w:r>
        <w:rPr>
          <w:color w:val="000000"/>
          <w:kern w:val="2"/>
          <w:sz w:val="24"/>
          <w:szCs w:val="24"/>
          <w:lang w:eastAsia="hr-HR"/>
          <w14:ligatures w14:val="standardContextual"/>
        </w:rPr>
        <w:t xml:space="preserve"> je u studenome 2024. d</w:t>
      </w:r>
      <w:r w:rsidRPr="00B5220E">
        <w:rPr>
          <w:color w:val="000000"/>
          <w:kern w:val="2"/>
          <w:sz w:val="24"/>
          <w:szCs w:val="24"/>
          <w:lang w:eastAsia="hr-HR"/>
          <w14:ligatures w14:val="standardContextual"/>
        </w:rPr>
        <w:t>on</w:t>
      </w:r>
      <w:r>
        <w:rPr>
          <w:color w:val="000000"/>
          <w:kern w:val="2"/>
          <w:sz w:val="24"/>
          <w:szCs w:val="24"/>
          <w:lang w:eastAsia="hr-HR"/>
          <w14:ligatures w14:val="standardContextual"/>
        </w:rPr>
        <w:t>ijela</w:t>
      </w:r>
      <w:r w:rsidRPr="00B5220E">
        <w:rPr>
          <w:color w:val="000000"/>
          <w:kern w:val="2"/>
          <w:sz w:val="24"/>
          <w:szCs w:val="24"/>
          <w:lang w:eastAsia="hr-HR"/>
          <w14:ligatures w14:val="standardContextual"/>
        </w:rPr>
        <w:t xml:space="preserve"> Odluk</w:t>
      </w:r>
      <w:r>
        <w:rPr>
          <w:color w:val="000000"/>
          <w:kern w:val="2"/>
          <w:sz w:val="24"/>
          <w:szCs w:val="24"/>
          <w:lang w:eastAsia="hr-HR"/>
          <w14:ligatures w14:val="standardContextual"/>
        </w:rPr>
        <w:t>u</w:t>
      </w:r>
      <w:r w:rsidRPr="00B5220E">
        <w:rPr>
          <w:color w:val="000000"/>
          <w:kern w:val="2"/>
          <w:sz w:val="24"/>
          <w:szCs w:val="24"/>
          <w:lang w:eastAsia="hr-HR"/>
          <w14:ligatures w14:val="standardContextual"/>
        </w:rPr>
        <w:t xml:space="preserve"> o provedbi zelene javne nabave</w:t>
      </w:r>
      <w:r>
        <w:rPr>
          <w:color w:val="000000"/>
          <w:kern w:val="2"/>
          <w:sz w:val="24"/>
          <w:szCs w:val="24"/>
          <w:lang w:eastAsia="hr-HR"/>
          <w14:ligatures w14:val="standardContextual"/>
        </w:rPr>
        <w:t xml:space="preserve"> („Narodne novine“, broj 137/24.)</w:t>
      </w:r>
      <w:r w:rsidRPr="00B5220E">
        <w:rPr>
          <w:color w:val="000000"/>
          <w:kern w:val="2"/>
          <w:sz w:val="24"/>
          <w:szCs w:val="24"/>
          <w:lang w:eastAsia="hr-HR"/>
          <w14:ligatures w14:val="standardContextual"/>
        </w:rPr>
        <w:t xml:space="preserve"> i Smjernice za poboljšanje učinka javne uprave u zaštiti okoliša</w:t>
      </w:r>
      <w:r>
        <w:rPr>
          <w:color w:val="000000"/>
          <w:kern w:val="2"/>
          <w:sz w:val="24"/>
          <w:szCs w:val="24"/>
          <w:lang w:eastAsia="hr-HR"/>
          <w14:ligatures w14:val="standardContextual"/>
        </w:rPr>
        <w:t xml:space="preserve"> („Narodne novine“ broj 137/24.)</w:t>
      </w:r>
      <w:r w:rsidRPr="00B5220E">
        <w:rPr>
          <w:color w:val="000000"/>
          <w:kern w:val="2"/>
          <w:sz w:val="24"/>
          <w:szCs w:val="24"/>
          <w:lang w:eastAsia="hr-HR"/>
          <w14:ligatures w14:val="standardContextual"/>
        </w:rPr>
        <w:t xml:space="preserve"> </w:t>
      </w:r>
      <w:r>
        <w:rPr>
          <w:color w:val="000000"/>
          <w:kern w:val="2"/>
          <w:sz w:val="24"/>
          <w:szCs w:val="24"/>
          <w:lang w:eastAsia="hr-HR"/>
          <w14:ligatures w14:val="standardContextual"/>
        </w:rPr>
        <w:t xml:space="preserve">kojima se tijelima javne vlasti </w:t>
      </w:r>
      <w:r>
        <w:rPr>
          <w:color w:val="000000"/>
          <w:kern w:val="2"/>
          <w:sz w:val="24"/>
          <w:szCs w:val="24"/>
          <w:lang w:eastAsia="hr-HR"/>
          <w14:ligatures w14:val="standardContextual"/>
        </w:rPr>
        <w:lastRenderedPageBreak/>
        <w:t xml:space="preserve">propisuje obveza da </w:t>
      </w:r>
      <w:r w:rsidRPr="007F1B37">
        <w:rPr>
          <w:color w:val="000000"/>
          <w:kern w:val="2"/>
          <w:sz w:val="24"/>
          <w:szCs w:val="24"/>
          <w:lang w:eastAsia="hr-HR"/>
          <w14:ligatures w14:val="standardContextual"/>
        </w:rPr>
        <w:t>prilikom postupka javne nabave uzimaju u obzir elementi koji ne štete okolišu i koji uvažavaju okolišne kriterije</w:t>
      </w:r>
      <w:r>
        <w:rPr>
          <w:color w:val="000000"/>
          <w:kern w:val="2"/>
          <w:sz w:val="24"/>
          <w:szCs w:val="24"/>
          <w:lang w:eastAsia="hr-HR"/>
          <w14:ligatures w14:val="standardContextual"/>
        </w:rPr>
        <w:t xml:space="preserve">, odnosno da </w:t>
      </w:r>
      <w:r w:rsidRPr="005C4B8D">
        <w:rPr>
          <w:color w:val="000000"/>
          <w:kern w:val="2"/>
          <w:sz w:val="24"/>
          <w:szCs w:val="24"/>
          <w:lang w:eastAsia="hr-HR"/>
          <w14:ligatures w14:val="standardContextual"/>
        </w:rPr>
        <w:t>integrira</w:t>
      </w:r>
      <w:r>
        <w:rPr>
          <w:color w:val="000000"/>
          <w:kern w:val="2"/>
          <w:sz w:val="24"/>
          <w:szCs w:val="24"/>
          <w:lang w:eastAsia="hr-HR"/>
          <w14:ligatures w14:val="standardContextual"/>
        </w:rPr>
        <w:t xml:space="preserve">ju </w:t>
      </w:r>
      <w:r w:rsidRPr="005C4B8D">
        <w:rPr>
          <w:color w:val="000000"/>
          <w:kern w:val="2"/>
          <w:sz w:val="24"/>
          <w:szCs w:val="24"/>
          <w:lang w:eastAsia="hr-HR"/>
          <w14:ligatures w14:val="standardContextual"/>
        </w:rPr>
        <w:t xml:space="preserve"> sustavne mjere za </w:t>
      </w:r>
      <w:r>
        <w:rPr>
          <w:color w:val="000000"/>
          <w:kern w:val="2"/>
          <w:sz w:val="24"/>
          <w:szCs w:val="24"/>
          <w:lang w:eastAsia="hr-HR"/>
          <w14:ligatures w14:val="standardContextual"/>
        </w:rPr>
        <w:t>smanjenje ekološkog otiska svog</w:t>
      </w:r>
      <w:r w:rsidRPr="005C4B8D">
        <w:rPr>
          <w:color w:val="000000"/>
          <w:kern w:val="2"/>
          <w:sz w:val="24"/>
          <w:szCs w:val="24"/>
          <w:lang w:eastAsia="hr-HR"/>
          <w14:ligatures w14:val="standardContextual"/>
        </w:rPr>
        <w:t xml:space="preserve"> svakodnevnog rada. </w:t>
      </w:r>
      <w:r w:rsidRPr="00B5220E">
        <w:rPr>
          <w:color w:val="000000"/>
          <w:kern w:val="2"/>
          <w:sz w:val="24"/>
          <w:szCs w:val="24"/>
          <w:lang w:eastAsia="hr-HR"/>
          <w14:ligatures w14:val="standardContextual"/>
        </w:rPr>
        <w:t>Uvođenje održivih praksi i smanjenje ekološkog otiska javne uprave provodi se također kroz energetsku obnovu javnih zgrada, smanjenje emisija i primjenu ekološki prihvatljivih tehnologija. Provedene su mjere za osnaživanje kapaciteta</w:t>
      </w:r>
      <w:r>
        <w:rPr>
          <w:color w:val="000000"/>
          <w:kern w:val="2"/>
          <w:sz w:val="24"/>
          <w:szCs w:val="24"/>
          <w:lang w:eastAsia="hr-HR"/>
          <w14:ligatures w14:val="standardContextual"/>
        </w:rPr>
        <w:t xml:space="preserve"> JLP(R)S</w:t>
      </w:r>
      <w:r w:rsidRPr="00B5220E">
        <w:rPr>
          <w:color w:val="000000"/>
          <w:kern w:val="2"/>
          <w:sz w:val="24"/>
          <w:szCs w:val="24"/>
          <w:lang w:eastAsia="hr-HR"/>
          <w14:ligatures w14:val="standardContextual"/>
        </w:rPr>
        <w:t xml:space="preserve">, kako bi se osigurala jednakost u pristupu javnim uslugama i održivom razvoju. Kroz fokus na digitalizaciju, transparentnost, učinkovitost, profesionalizaciju i održivi razvoj, ostvarene su značajne pozitivne promjene koje su se odrazile na poboljšanje kvalitete </w:t>
      </w:r>
      <w:r>
        <w:rPr>
          <w:color w:val="000000"/>
          <w:kern w:val="2"/>
          <w:sz w:val="24"/>
          <w:szCs w:val="24"/>
          <w:lang w:eastAsia="hr-HR"/>
          <w14:ligatures w14:val="standardContextual"/>
        </w:rPr>
        <w:t xml:space="preserve">i održivosti </w:t>
      </w:r>
      <w:r w:rsidRPr="00B5220E">
        <w:rPr>
          <w:color w:val="000000"/>
          <w:kern w:val="2"/>
          <w:sz w:val="24"/>
          <w:szCs w:val="24"/>
          <w:lang w:eastAsia="hr-HR"/>
          <w14:ligatures w14:val="standardContextual"/>
        </w:rPr>
        <w:t>javnih usluga, čime se građanima i poduzetnicima omogućuje bolja i brža usluga, te ostvaruju preduvjeti za gospodarski rast i konkurentnost u EU-u.</w:t>
      </w:r>
    </w:p>
    <w:p w14:paraId="0547BC71" w14:textId="77777777" w:rsidR="00FB178A" w:rsidRDefault="00FB178A" w:rsidP="00FB178A">
      <w:pPr>
        <w:spacing w:after="240" w:line="276" w:lineRule="auto"/>
        <w:jc w:val="both"/>
        <w:rPr>
          <w:color w:val="000000"/>
          <w:kern w:val="2"/>
          <w:sz w:val="24"/>
          <w:szCs w:val="24"/>
          <w:lang w:eastAsia="hr-HR"/>
          <w14:ligatures w14:val="standardContextual"/>
        </w:rPr>
      </w:pPr>
      <w:r w:rsidRPr="00882BC2">
        <w:rPr>
          <w:color w:val="000000"/>
          <w:kern w:val="2"/>
          <w:sz w:val="24"/>
          <w:szCs w:val="24"/>
          <w:lang w:eastAsia="hr-HR"/>
          <w14:ligatures w14:val="standardContextual"/>
        </w:rPr>
        <w:t xml:space="preserve">Tijekom 2024.  nastavljene su aktivnosti usmjerene na pojednostavnjenje postupaka i smanjenje administrativnog opterećenja građana kroz analizu javnih usluga prema životnim područjima i događajima definiranima na portalu e-Građani (gov.hr). </w:t>
      </w:r>
      <w:r>
        <w:rPr>
          <w:color w:val="000000"/>
          <w:kern w:val="2"/>
          <w:sz w:val="24"/>
          <w:szCs w:val="24"/>
          <w:lang w:eastAsia="hr-HR"/>
          <w14:ligatures w14:val="standardContextual"/>
        </w:rPr>
        <w:t>U</w:t>
      </w:r>
      <w:r w:rsidRPr="00882BC2">
        <w:rPr>
          <w:color w:val="000000"/>
          <w:kern w:val="2"/>
          <w:sz w:val="24"/>
          <w:szCs w:val="24"/>
          <w:lang w:eastAsia="hr-HR"/>
          <w14:ligatures w14:val="standardContextual"/>
        </w:rPr>
        <w:t xml:space="preserve"> okviru NPOO</w:t>
      </w:r>
      <w:r>
        <w:rPr>
          <w:color w:val="000000"/>
          <w:kern w:val="2"/>
          <w:sz w:val="24"/>
          <w:szCs w:val="24"/>
          <w:lang w:eastAsia="hr-HR"/>
          <w14:ligatures w14:val="standardContextual"/>
        </w:rPr>
        <w:t xml:space="preserve"> reformske mjere</w:t>
      </w:r>
      <w:r w:rsidRPr="00882BC2">
        <w:rPr>
          <w:color w:val="000000"/>
          <w:kern w:val="2"/>
          <w:sz w:val="24"/>
          <w:szCs w:val="24"/>
          <w:lang w:eastAsia="hr-HR"/>
          <w14:ligatures w14:val="standardContextual"/>
        </w:rPr>
        <w:t xml:space="preserve"> </w:t>
      </w:r>
      <w:r>
        <w:rPr>
          <w:color w:val="000000"/>
          <w:kern w:val="2"/>
          <w:sz w:val="24"/>
          <w:szCs w:val="24"/>
          <w:lang w:eastAsia="hr-HR"/>
          <w14:ligatures w14:val="standardContextual"/>
        </w:rPr>
        <w:t>s</w:t>
      </w:r>
      <w:r w:rsidRPr="00882BC2">
        <w:rPr>
          <w:color w:val="000000"/>
          <w:kern w:val="2"/>
          <w:sz w:val="24"/>
          <w:szCs w:val="24"/>
          <w:lang w:eastAsia="hr-HR"/>
          <w14:ligatures w14:val="standardContextual"/>
        </w:rPr>
        <w:t xml:space="preserve">tručna radna skupina za administrativno rasterećenje građana izradila je Analizu administrativnog opterećenja za 2024., prema kojoj je </w:t>
      </w:r>
      <w:r w:rsidRPr="004C431A">
        <w:rPr>
          <w:color w:val="000000"/>
          <w:kern w:val="2"/>
          <w:sz w:val="24"/>
          <w:szCs w:val="24"/>
          <w:lang w:eastAsia="hr-HR"/>
          <w14:ligatures w14:val="standardContextual"/>
        </w:rPr>
        <w:t xml:space="preserve">u odnosu na 2023. </w:t>
      </w:r>
      <w:r>
        <w:rPr>
          <w:color w:val="000000"/>
          <w:kern w:val="2"/>
          <w:sz w:val="24"/>
          <w:szCs w:val="24"/>
          <w:lang w:eastAsia="hr-HR"/>
          <w14:ligatures w14:val="standardContextual"/>
        </w:rPr>
        <w:t>rasterećenje</w:t>
      </w:r>
      <w:r w:rsidRPr="004C431A">
        <w:rPr>
          <w:color w:val="000000"/>
          <w:kern w:val="2"/>
          <w:sz w:val="24"/>
          <w:szCs w:val="24"/>
          <w:lang w:eastAsia="hr-HR"/>
          <w14:ligatures w14:val="standardContextual"/>
        </w:rPr>
        <w:t xml:space="preserve"> iznosilo 13,78%</w:t>
      </w:r>
      <w:r>
        <w:rPr>
          <w:color w:val="000000"/>
          <w:kern w:val="2"/>
          <w:sz w:val="24"/>
          <w:szCs w:val="24"/>
          <w:lang w:eastAsia="hr-HR"/>
          <w14:ligatures w14:val="standardContextual"/>
        </w:rPr>
        <w:t xml:space="preserve">, dok je </w:t>
      </w:r>
      <w:r w:rsidRPr="00882BC2">
        <w:rPr>
          <w:color w:val="000000"/>
          <w:kern w:val="2"/>
          <w:sz w:val="24"/>
          <w:szCs w:val="24"/>
          <w:lang w:eastAsia="hr-HR"/>
          <w14:ligatures w14:val="standardContextual"/>
        </w:rPr>
        <w:t>u odnosu na 2019.</w:t>
      </w:r>
      <w:r>
        <w:rPr>
          <w:color w:val="000000"/>
          <w:kern w:val="2"/>
          <w:sz w:val="24"/>
          <w:szCs w:val="24"/>
          <w:lang w:eastAsia="hr-HR"/>
          <w14:ligatures w14:val="standardContextual"/>
        </w:rPr>
        <w:t xml:space="preserve"> zabilježeno</w:t>
      </w:r>
      <w:r w:rsidRPr="00882BC2">
        <w:rPr>
          <w:color w:val="000000"/>
          <w:kern w:val="2"/>
          <w:sz w:val="24"/>
          <w:szCs w:val="24"/>
          <w:lang w:eastAsia="hr-HR"/>
          <w14:ligatures w14:val="standardContextual"/>
        </w:rPr>
        <w:t xml:space="preserve"> ukupno rasterećenje od 31,</w:t>
      </w:r>
      <w:r>
        <w:rPr>
          <w:color w:val="000000"/>
          <w:kern w:val="2"/>
          <w:sz w:val="24"/>
          <w:szCs w:val="24"/>
          <w:lang w:eastAsia="hr-HR"/>
          <w14:ligatures w14:val="standardContextual"/>
        </w:rPr>
        <w:t>28</w:t>
      </w:r>
      <w:r w:rsidRPr="00882BC2">
        <w:rPr>
          <w:color w:val="000000"/>
          <w:kern w:val="2"/>
          <w:sz w:val="24"/>
          <w:szCs w:val="24"/>
          <w:lang w:eastAsia="hr-HR"/>
          <w14:ligatures w14:val="standardContextual"/>
        </w:rPr>
        <w:t>%</w:t>
      </w:r>
      <w:r>
        <w:rPr>
          <w:color w:val="000000"/>
          <w:kern w:val="2"/>
          <w:sz w:val="24"/>
          <w:szCs w:val="24"/>
          <w:lang w:eastAsia="hr-HR"/>
          <w14:ligatures w14:val="standardContextual"/>
        </w:rPr>
        <w:t>. T</w:t>
      </w:r>
      <w:r w:rsidRPr="00882BC2">
        <w:rPr>
          <w:color w:val="000000"/>
          <w:kern w:val="2"/>
          <w:sz w:val="24"/>
          <w:szCs w:val="24"/>
          <w:lang w:eastAsia="hr-HR"/>
          <w14:ligatures w14:val="standardContextual"/>
        </w:rPr>
        <w:t>emel</w:t>
      </w:r>
      <w:r>
        <w:rPr>
          <w:color w:val="000000"/>
          <w:kern w:val="2"/>
          <w:sz w:val="24"/>
          <w:szCs w:val="24"/>
          <w:lang w:eastAsia="hr-HR"/>
          <w14:ligatures w14:val="standardContextual"/>
        </w:rPr>
        <w:t>jem</w:t>
      </w:r>
      <w:r w:rsidRPr="00882BC2">
        <w:rPr>
          <w:color w:val="000000"/>
          <w:kern w:val="2"/>
          <w:sz w:val="24"/>
          <w:szCs w:val="24"/>
          <w:lang w:eastAsia="hr-HR"/>
          <w14:ligatures w14:val="standardContextual"/>
        </w:rPr>
        <w:t xml:space="preserve"> </w:t>
      </w:r>
      <w:r>
        <w:rPr>
          <w:color w:val="000000"/>
          <w:kern w:val="2"/>
          <w:sz w:val="24"/>
          <w:szCs w:val="24"/>
          <w:lang w:eastAsia="hr-HR"/>
          <w14:ligatures w14:val="standardContextual"/>
        </w:rPr>
        <w:t xml:space="preserve">izrađene </w:t>
      </w:r>
      <w:r w:rsidRPr="00882BC2">
        <w:rPr>
          <w:color w:val="000000"/>
          <w:kern w:val="2"/>
          <w:sz w:val="24"/>
          <w:szCs w:val="24"/>
          <w:lang w:eastAsia="hr-HR"/>
          <w14:ligatures w14:val="standardContextual"/>
        </w:rPr>
        <w:t>analiz</w:t>
      </w:r>
      <w:r>
        <w:rPr>
          <w:color w:val="000000"/>
          <w:kern w:val="2"/>
          <w:sz w:val="24"/>
          <w:szCs w:val="24"/>
          <w:lang w:eastAsia="hr-HR"/>
          <w14:ligatures w14:val="standardContextual"/>
        </w:rPr>
        <w:t>e pripremljen</w:t>
      </w:r>
      <w:r w:rsidRPr="00882BC2">
        <w:rPr>
          <w:color w:val="000000"/>
          <w:kern w:val="2"/>
          <w:sz w:val="24"/>
          <w:szCs w:val="24"/>
          <w:lang w:eastAsia="hr-HR"/>
          <w14:ligatures w14:val="standardContextual"/>
        </w:rPr>
        <w:t xml:space="preserve"> je Prijedlog Akcijskog plana za administrativno rasterećenje građana </w:t>
      </w:r>
      <w:r>
        <w:rPr>
          <w:color w:val="000000"/>
          <w:kern w:val="2"/>
          <w:sz w:val="24"/>
          <w:szCs w:val="24"/>
          <w:lang w:eastAsia="hr-HR"/>
          <w14:ligatures w14:val="standardContextual"/>
        </w:rPr>
        <w:t>za</w:t>
      </w:r>
      <w:r w:rsidRPr="00882BC2">
        <w:rPr>
          <w:color w:val="000000"/>
          <w:kern w:val="2"/>
          <w:sz w:val="24"/>
          <w:szCs w:val="24"/>
          <w:lang w:eastAsia="hr-HR"/>
          <w14:ligatures w14:val="standardContextual"/>
        </w:rPr>
        <w:t xml:space="preserve"> 2025., kojim se predviđa provedba </w:t>
      </w:r>
      <w:r>
        <w:rPr>
          <w:color w:val="000000"/>
          <w:kern w:val="2"/>
          <w:sz w:val="24"/>
          <w:szCs w:val="24"/>
          <w:lang w:eastAsia="hr-HR"/>
          <w14:ligatures w14:val="standardContextual"/>
        </w:rPr>
        <w:t xml:space="preserve">novih </w:t>
      </w:r>
      <w:r w:rsidRPr="00882BC2">
        <w:rPr>
          <w:color w:val="000000"/>
          <w:kern w:val="2"/>
          <w:sz w:val="24"/>
          <w:szCs w:val="24"/>
          <w:lang w:eastAsia="hr-HR"/>
          <w14:ligatures w14:val="standardContextual"/>
        </w:rPr>
        <w:t>pet vertikalnih mjera usmjerenih na usluge s najvećim opterećenjem te sedam horizontalnih mjera kao preduvjeta za daljnje sustavno rasterećenje</w:t>
      </w:r>
      <w:r>
        <w:rPr>
          <w:color w:val="000000"/>
          <w:kern w:val="2"/>
          <w:sz w:val="24"/>
          <w:szCs w:val="24"/>
          <w:lang w:eastAsia="hr-HR"/>
          <w14:ligatures w14:val="standardContextual"/>
        </w:rPr>
        <w:t xml:space="preserve"> (usvojen na sjednici Vlade Republike Hrvatske u ožujku 2025. godine).</w:t>
      </w:r>
      <w:r w:rsidRPr="00882BC2">
        <w:rPr>
          <w:color w:val="000000"/>
          <w:kern w:val="2"/>
          <w:sz w:val="24"/>
          <w:szCs w:val="24"/>
          <w:lang w:eastAsia="hr-HR"/>
          <w14:ligatures w14:val="standardContextual"/>
        </w:rPr>
        <w:t xml:space="preserve"> Paralelno, u državn</w:t>
      </w:r>
      <w:r>
        <w:rPr>
          <w:color w:val="000000"/>
          <w:kern w:val="2"/>
          <w:sz w:val="24"/>
          <w:szCs w:val="24"/>
          <w:lang w:eastAsia="hr-HR"/>
          <w14:ligatures w14:val="standardContextual"/>
        </w:rPr>
        <w:t>oj</w:t>
      </w:r>
      <w:r w:rsidRPr="00882BC2">
        <w:rPr>
          <w:color w:val="000000"/>
          <w:kern w:val="2"/>
          <w:sz w:val="24"/>
          <w:szCs w:val="24"/>
          <w:lang w:eastAsia="hr-HR"/>
          <w14:ligatures w14:val="standardContextual"/>
        </w:rPr>
        <w:t xml:space="preserve"> uprav</w:t>
      </w:r>
      <w:r>
        <w:rPr>
          <w:color w:val="000000"/>
          <w:kern w:val="2"/>
          <w:sz w:val="24"/>
          <w:szCs w:val="24"/>
          <w:lang w:eastAsia="hr-HR"/>
          <w14:ligatures w14:val="standardContextual"/>
        </w:rPr>
        <w:t xml:space="preserve">i su nastavljeni napori na razvoju </w:t>
      </w:r>
      <w:r w:rsidRPr="00882BC2">
        <w:rPr>
          <w:color w:val="000000"/>
          <w:kern w:val="2"/>
          <w:sz w:val="24"/>
          <w:szCs w:val="24"/>
          <w:lang w:eastAsia="hr-HR"/>
          <w14:ligatures w14:val="standardContextual"/>
        </w:rPr>
        <w:t>sustav</w:t>
      </w:r>
      <w:r>
        <w:rPr>
          <w:color w:val="000000"/>
          <w:kern w:val="2"/>
          <w:sz w:val="24"/>
          <w:szCs w:val="24"/>
          <w:lang w:eastAsia="hr-HR"/>
          <w14:ligatures w14:val="standardContextual"/>
        </w:rPr>
        <w:t>a</w:t>
      </w:r>
      <w:r w:rsidRPr="00882BC2">
        <w:rPr>
          <w:color w:val="000000"/>
          <w:kern w:val="2"/>
          <w:sz w:val="24"/>
          <w:szCs w:val="24"/>
          <w:lang w:eastAsia="hr-HR"/>
          <w14:ligatures w14:val="standardContextual"/>
        </w:rPr>
        <w:t xml:space="preserve"> upravljanja kvalitetom</w:t>
      </w:r>
      <w:r>
        <w:rPr>
          <w:color w:val="000000"/>
          <w:kern w:val="2"/>
          <w:sz w:val="24"/>
          <w:szCs w:val="24"/>
          <w:lang w:eastAsia="hr-HR"/>
          <w14:ligatures w14:val="standardContextual"/>
        </w:rPr>
        <w:t>,</w:t>
      </w:r>
      <w:r w:rsidRPr="00882BC2">
        <w:rPr>
          <w:color w:val="000000"/>
          <w:kern w:val="2"/>
          <w:sz w:val="24"/>
          <w:szCs w:val="24"/>
          <w:lang w:eastAsia="hr-HR"/>
          <w14:ligatures w14:val="standardContextual"/>
        </w:rPr>
        <w:t xml:space="preserve"> s ciljem optimizacije procesa, smanjenja troškova te jačanja učinkovitosti i boljeg upravljanja ljudskim potencijalima.</w:t>
      </w:r>
    </w:p>
    <w:p w14:paraId="2C14EB75" w14:textId="77777777" w:rsidR="00FB178A" w:rsidRDefault="00FB178A" w:rsidP="00FB178A">
      <w:pPr>
        <w:spacing w:after="240" w:line="276" w:lineRule="auto"/>
        <w:jc w:val="both"/>
        <w:rPr>
          <w:color w:val="000000"/>
          <w:kern w:val="2"/>
          <w:sz w:val="24"/>
          <w:szCs w:val="24"/>
          <w:lang w:eastAsia="hr-HR"/>
          <w14:ligatures w14:val="standardContextual"/>
        </w:rPr>
      </w:pPr>
      <w:r w:rsidRPr="00B5220E">
        <w:rPr>
          <w:color w:val="000000"/>
          <w:kern w:val="2"/>
          <w:sz w:val="24"/>
          <w:szCs w:val="24"/>
          <w:lang w:eastAsia="hr-HR"/>
          <w14:ligatures w14:val="standardContextual"/>
        </w:rPr>
        <w:t xml:space="preserve">Od rujna 2023. </w:t>
      </w:r>
      <w:r>
        <w:rPr>
          <w:color w:val="000000"/>
          <w:kern w:val="2"/>
          <w:sz w:val="24"/>
          <w:szCs w:val="24"/>
          <w:lang w:eastAsia="hr-HR"/>
          <w14:ligatures w14:val="standardContextual"/>
        </w:rPr>
        <w:t>Hrvatska u suradnji s OECD-om</w:t>
      </w:r>
      <w:r w:rsidRPr="00B5220E">
        <w:rPr>
          <w:color w:val="000000"/>
          <w:kern w:val="2"/>
          <w:sz w:val="24"/>
          <w:szCs w:val="24"/>
          <w:lang w:eastAsia="hr-HR"/>
          <w14:ligatures w14:val="standardContextual"/>
        </w:rPr>
        <w:t xml:space="preserve"> </w:t>
      </w:r>
      <w:r>
        <w:rPr>
          <w:color w:val="000000"/>
          <w:kern w:val="2"/>
          <w:sz w:val="24"/>
          <w:szCs w:val="24"/>
          <w:lang w:eastAsia="hr-HR"/>
          <w14:ligatures w14:val="standardContextual"/>
        </w:rPr>
        <w:t xml:space="preserve">sudjeluje u </w:t>
      </w:r>
      <w:r w:rsidRPr="00B5220E">
        <w:rPr>
          <w:color w:val="000000"/>
          <w:kern w:val="2"/>
          <w:sz w:val="24"/>
          <w:szCs w:val="24"/>
          <w:lang w:eastAsia="hr-HR"/>
          <w14:ligatures w14:val="standardContextual"/>
        </w:rPr>
        <w:t>prov</w:t>
      </w:r>
      <w:r>
        <w:rPr>
          <w:color w:val="000000"/>
          <w:kern w:val="2"/>
          <w:sz w:val="24"/>
          <w:szCs w:val="24"/>
          <w:lang w:eastAsia="hr-HR"/>
          <w14:ligatures w14:val="standardContextual"/>
        </w:rPr>
        <w:t>e</w:t>
      </w:r>
      <w:r w:rsidRPr="00B5220E">
        <w:rPr>
          <w:color w:val="000000"/>
          <w:kern w:val="2"/>
          <w:sz w:val="24"/>
          <w:szCs w:val="24"/>
          <w:lang w:eastAsia="hr-HR"/>
          <w14:ligatures w14:val="standardContextual"/>
        </w:rPr>
        <w:t>d</w:t>
      </w:r>
      <w:r>
        <w:rPr>
          <w:color w:val="000000"/>
          <w:kern w:val="2"/>
          <w:sz w:val="24"/>
          <w:szCs w:val="24"/>
          <w:lang w:eastAsia="hr-HR"/>
          <w14:ligatures w14:val="standardContextual"/>
        </w:rPr>
        <w:t>b</w:t>
      </w:r>
      <w:r w:rsidRPr="00B5220E">
        <w:rPr>
          <w:color w:val="000000"/>
          <w:kern w:val="2"/>
          <w:sz w:val="24"/>
          <w:szCs w:val="24"/>
          <w:lang w:eastAsia="hr-HR"/>
          <w14:ligatures w14:val="standardContextual"/>
        </w:rPr>
        <w:t>i višedržavn</w:t>
      </w:r>
      <w:r>
        <w:rPr>
          <w:color w:val="000000"/>
          <w:kern w:val="2"/>
          <w:sz w:val="24"/>
          <w:szCs w:val="24"/>
          <w:lang w:eastAsia="hr-HR"/>
          <w14:ligatures w14:val="standardContextual"/>
        </w:rPr>
        <w:t>og</w:t>
      </w:r>
      <w:r w:rsidRPr="00B5220E">
        <w:rPr>
          <w:color w:val="000000"/>
          <w:kern w:val="2"/>
          <w:sz w:val="24"/>
          <w:szCs w:val="24"/>
          <w:lang w:eastAsia="hr-HR"/>
          <w14:ligatures w14:val="standardContextual"/>
        </w:rPr>
        <w:t xml:space="preserve"> projekt</w:t>
      </w:r>
      <w:r>
        <w:rPr>
          <w:color w:val="000000"/>
          <w:kern w:val="2"/>
          <w:sz w:val="24"/>
          <w:szCs w:val="24"/>
          <w:lang w:eastAsia="hr-HR"/>
          <w14:ligatures w14:val="standardContextual"/>
        </w:rPr>
        <w:t>a</w:t>
      </w:r>
      <w:r w:rsidRPr="00B5220E">
        <w:rPr>
          <w:color w:val="000000"/>
          <w:kern w:val="2"/>
          <w:sz w:val="24"/>
          <w:szCs w:val="24"/>
          <w:lang w:eastAsia="hr-HR"/>
          <w14:ligatures w14:val="standardContextual"/>
        </w:rPr>
        <w:t xml:space="preserve"> u okviru Instrumenta tehničke pomoći</w:t>
      </w:r>
      <w:r>
        <w:rPr>
          <w:color w:val="000000"/>
          <w:kern w:val="2"/>
          <w:sz w:val="24"/>
          <w:szCs w:val="24"/>
          <w:lang w:eastAsia="hr-HR"/>
          <w14:ligatures w14:val="standardContextual"/>
        </w:rPr>
        <w:t xml:space="preserve"> </w:t>
      </w:r>
      <w:r w:rsidRPr="00B5220E">
        <w:rPr>
          <w:color w:val="000000"/>
          <w:kern w:val="2"/>
          <w:sz w:val="24"/>
          <w:szCs w:val="24"/>
          <w:lang w:eastAsia="hr-HR"/>
          <w14:ligatures w14:val="standardContextual"/>
        </w:rPr>
        <w:t xml:space="preserve">EU </w:t>
      </w:r>
      <w:r>
        <w:rPr>
          <w:color w:val="000000"/>
          <w:kern w:val="2"/>
          <w:sz w:val="24"/>
          <w:szCs w:val="24"/>
          <w:lang w:eastAsia="hr-HR"/>
          <w14:ligatures w14:val="standardContextual"/>
        </w:rPr>
        <w:t>(TSI) „</w:t>
      </w:r>
      <w:r w:rsidRPr="00B5220E">
        <w:rPr>
          <w:color w:val="000000"/>
          <w:kern w:val="2"/>
          <w:sz w:val="24"/>
          <w:szCs w:val="24"/>
          <w:lang w:eastAsia="hr-HR"/>
          <w14:ligatures w14:val="standardContextual"/>
        </w:rPr>
        <w:t>Mjerenje zadovoljstva građana ključnim javnim uslugama za bolji učinak i veće povjerenje”</w:t>
      </w:r>
      <w:r>
        <w:rPr>
          <w:color w:val="000000"/>
          <w:kern w:val="2"/>
          <w:sz w:val="24"/>
          <w:szCs w:val="24"/>
          <w:lang w:eastAsia="hr-HR"/>
          <w14:ligatures w14:val="standardContextual"/>
        </w:rPr>
        <w:t>. Projekt uz Hrvatsku okuplja i drugih devet država članica EU-a, a usmjeren je na</w:t>
      </w:r>
      <w:r w:rsidRPr="00B5220E">
        <w:rPr>
          <w:color w:val="000000"/>
          <w:kern w:val="2"/>
          <w:sz w:val="24"/>
          <w:szCs w:val="24"/>
          <w:lang w:eastAsia="hr-HR"/>
          <w14:ligatures w14:val="standardContextual"/>
        </w:rPr>
        <w:t xml:space="preserve"> razv</w:t>
      </w:r>
      <w:r>
        <w:rPr>
          <w:color w:val="000000"/>
          <w:kern w:val="2"/>
          <w:sz w:val="24"/>
          <w:szCs w:val="24"/>
          <w:lang w:eastAsia="hr-HR"/>
          <w14:ligatures w14:val="standardContextual"/>
        </w:rPr>
        <w:t>oj</w:t>
      </w:r>
      <w:r w:rsidRPr="00B5220E">
        <w:rPr>
          <w:color w:val="000000"/>
          <w:kern w:val="2"/>
          <w:sz w:val="24"/>
          <w:szCs w:val="24"/>
          <w:lang w:eastAsia="hr-HR"/>
          <w14:ligatures w14:val="standardContextual"/>
        </w:rPr>
        <w:t xml:space="preserve"> metodologij</w:t>
      </w:r>
      <w:r>
        <w:rPr>
          <w:color w:val="000000"/>
          <w:kern w:val="2"/>
          <w:sz w:val="24"/>
          <w:szCs w:val="24"/>
          <w:lang w:eastAsia="hr-HR"/>
          <w14:ligatures w14:val="standardContextual"/>
        </w:rPr>
        <w:t>e</w:t>
      </w:r>
      <w:r w:rsidRPr="00B5220E">
        <w:rPr>
          <w:color w:val="000000"/>
          <w:kern w:val="2"/>
          <w:sz w:val="24"/>
          <w:szCs w:val="24"/>
          <w:lang w:eastAsia="hr-HR"/>
          <w14:ligatures w14:val="standardContextual"/>
        </w:rPr>
        <w:t xml:space="preserve"> za mjerenje zadovoljstva korisnika uslugama javne uprave</w:t>
      </w:r>
      <w:r>
        <w:rPr>
          <w:color w:val="000000"/>
          <w:kern w:val="2"/>
          <w:sz w:val="24"/>
          <w:szCs w:val="24"/>
          <w:lang w:eastAsia="hr-HR"/>
          <w14:ligatures w14:val="standardContextual"/>
        </w:rPr>
        <w:t xml:space="preserve">. </w:t>
      </w:r>
      <w:r w:rsidRPr="001B5D19">
        <w:rPr>
          <w:color w:val="000000"/>
          <w:kern w:val="2"/>
          <w:sz w:val="24"/>
          <w:szCs w:val="24"/>
          <w:lang w:eastAsia="hr-HR"/>
          <w14:ligatures w14:val="standardContextual"/>
        </w:rPr>
        <w:t>Do kraja 2024. provedeno je p</w:t>
      </w:r>
      <w:r>
        <w:rPr>
          <w:color w:val="000000"/>
          <w:kern w:val="2"/>
          <w:sz w:val="24"/>
          <w:szCs w:val="24"/>
          <w:lang w:eastAsia="hr-HR"/>
          <w14:ligatures w14:val="standardContextual"/>
        </w:rPr>
        <w:t xml:space="preserve">robno </w:t>
      </w:r>
      <w:r w:rsidRPr="001B5D19">
        <w:rPr>
          <w:color w:val="000000"/>
          <w:kern w:val="2"/>
          <w:sz w:val="24"/>
          <w:szCs w:val="24"/>
          <w:lang w:eastAsia="hr-HR"/>
          <w14:ligatures w14:val="standardContextual"/>
        </w:rPr>
        <w:t>anketiranje korisnika ključnih javnih usluga te su pripremljene aktivnosti za analizu i javnu prezentaciju rezultata tijekom 2025.</w:t>
      </w:r>
      <w:r>
        <w:rPr>
          <w:color w:val="000000"/>
          <w:kern w:val="2"/>
          <w:sz w:val="24"/>
          <w:szCs w:val="24"/>
          <w:lang w:eastAsia="hr-HR"/>
          <w14:ligatures w14:val="standardContextual"/>
        </w:rPr>
        <w:t xml:space="preserve"> </w:t>
      </w:r>
      <w:r w:rsidRPr="001B5D19">
        <w:rPr>
          <w:color w:val="000000"/>
          <w:kern w:val="2"/>
          <w:sz w:val="24"/>
          <w:szCs w:val="24"/>
          <w:lang w:eastAsia="hr-HR"/>
          <w14:ligatures w14:val="standardContextual"/>
        </w:rPr>
        <w:t>uz daljnju razmjenu dobrih praksi među uključenim državama.</w:t>
      </w:r>
    </w:p>
    <w:p w14:paraId="3999A805" w14:textId="77777777" w:rsidR="00FB178A" w:rsidRPr="0004221B" w:rsidRDefault="00FB178A" w:rsidP="00FB178A">
      <w:pPr>
        <w:spacing w:after="240" w:line="276" w:lineRule="auto"/>
        <w:ind w:left="36"/>
        <w:jc w:val="both"/>
        <w:rPr>
          <w:color w:val="000000"/>
          <w:kern w:val="2"/>
          <w:sz w:val="24"/>
          <w:szCs w:val="24"/>
          <w:lang w:eastAsia="hr-HR"/>
          <w14:ligatures w14:val="standardContextual"/>
        </w:rPr>
      </w:pPr>
      <w:r w:rsidRPr="00C341C8">
        <w:rPr>
          <w:color w:val="000000"/>
          <w:kern w:val="2"/>
          <w:sz w:val="24"/>
          <w:szCs w:val="24"/>
          <w:lang w:eastAsia="hr-HR"/>
          <w14:ligatures w14:val="standardContextual"/>
        </w:rPr>
        <w:t>S ciljem jačanja kapaciteta država članica EU u provedbi reformi usmjerenih na poticanje ulaganja, povećanje konkurentnosti te postizanje održive ekonomske i društvene konvergencije, u 2024. proveden je projekt u okviru Instrumenta za tehničku potporu (TSI)  „EU anketa za državne službenike: Jačanje politika i reformi upravljanja ljudskim resursima utemeljenih na dokazima“. U anket</w:t>
      </w:r>
      <w:r>
        <w:rPr>
          <w:color w:val="000000"/>
          <w:kern w:val="2"/>
          <w:sz w:val="24"/>
          <w:szCs w:val="24"/>
          <w:lang w:eastAsia="hr-HR"/>
          <w14:ligatures w14:val="standardContextual"/>
        </w:rPr>
        <w:t>ama provedenim u okviru projekta</w:t>
      </w:r>
      <w:r w:rsidRPr="00C341C8">
        <w:rPr>
          <w:color w:val="000000"/>
          <w:kern w:val="2"/>
          <w:sz w:val="24"/>
          <w:szCs w:val="24"/>
          <w:lang w:eastAsia="hr-HR"/>
          <w14:ligatures w14:val="standardContextual"/>
        </w:rPr>
        <w:t xml:space="preserve"> sudjelovalo </w:t>
      </w:r>
      <w:r>
        <w:rPr>
          <w:color w:val="000000"/>
          <w:kern w:val="2"/>
          <w:sz w:val="24"/>
          <w:szCs w:val="24"/>
          <w:lang w:eastAsia="hr-HR"/>
          <w14:ligatures w14:val="standardContextual"/>
        </w:rPr>
        <w:t xml:space="preserve">je </w:t>
      </w:r>
      <w:r w:rsidRPr="00C341C8">
        <w:rPr>
          <w:color w:val="000000"/>
          <w:kern w:val="2"/>
          <w:sz w:val="24"/>
          <w:szCs w:val="24"/>
          <w:lang w:eastAsia="hr-HR"/>
          <w14:ligatures w14:val="standardContextual"/>
        </w:rPr>
        <w:t>4.261 državni</w:t>
      </w:r>
      <w:r>
        <w:rPr>
          <w:color w:val="000000"/>
          <w:kern w:val="2"/>
          <w:sz w:val="24"/>
          <w:szCs w:val="24"/>
          <w:lang w:eastAsia="hr-HR"/>
          <w14:ligatures w14:val="standardContextual"/>
        </w:rPr>
        <w:t xml:space="preserve"> </w:t>
      </w:r>
      <w:r w:rsidRPr="00C341C8">
        <w:rPr>
          <w:color w:val="000000"/>
          <w:kern w:val="2"/>
          <w:sz w:val="24"/>
          <w:szCs w:val="24"/>
          <w:lang w:eastAsia="hr-HR"/>
          <w14:ligatures w14:val="standardContextual"/>
        </w:rPr>
        <w:t xml:space="preserve">službenik (18%) iz 26 tijela državne uprave, a obuhvatila je područja radnih uvjeta, motivacije i dobrobiti zaposlenika, percepcije rukovodstva, razvoj karijere i mogućnosti učenja, upravljanje učinkom te inovacijsku klimu. Rezultati pokazuju da je 66% službenika zadovoljno radom u državnoj upravi, što je na razini rezultata iz 2020. i potvrđuje općenito pozitivan stav prema radu u javnoj službi. U sljedećem razdoblju planiraju se mjere usmjerene na dodatno povećanje zadovoljstva i </w:t>
      </w:r>
      <w:r w:rsidRPr="00C341C8">
        <w:rPr>
          <w:color w:val="000000"/>
          <w:kern w:val="2"/>
          <w:sz w:val="24"/>
          <w:szCs w:val="24"/>
          <w:lang w:eastAsia="hr-HR"/>
          <w14:ligatures w14:val="standardContextual"/>
        </w:rPr>
        <w:lastRenderedPageBreak/>
        <w:t xml:space="preserve">uključenosti zaposlenika, osobito kroz jačanje sustava učenja i razvoja te modernizaciju programa stručnog usavršavanja. Udio službenika koji rade u hibridnom modelu ostao je stabilan te je na kraju 2024. iznosio 26,53%. Ovaj model, koji kombinira rad na izdvojenom mjestu i u uredu, pokazuje se učinkovitim u unapređenju dobrobiti zaposlenika, smanjenju troškova te stvaranju poticajnog radnog okruženja, što pridonosi većoj motiviranosti </w:t>
      </w:r>
      <w:r>
        <w:rPr>
          <w:color w:val="000000"/>
          <w:kern w:val="2"/>
          <w:sz w:val="24"/>
          <w:szCs w:val="24"/>
          <w:lang w:eastAsia="hr-HR"/>
          <w14:ligatures w14:val="standardContextual"/>
        </w:rPr>
        <w:t xml:space="preserve">službenika </w:t>
      </w:r>
      <w:r w:rsidRPr="00C341C8">
        <w:rPr>
          <w:color w:val="000000"/>
          <w:kern w:val="2"/>
          <w:sz w:val="24"/>
          <w:szCs w:val="24"/>
          <w:lang w:eastAsia="hr-HR"/>
          <w14:ligatures w14:val="standardContextual"/>
        </w:rPr>
        <w:t>i ukupnoj učinkovitosti javne uprave.</w:t>
      </w:r>
    </w:p>
    <w:p w14:paraId="56CF8A5A" w14:textId="77777777" w:rsidR="00FB178A" w:rsidRDefault="00FB178A" w:rsidP="00FB178A">
      <w:pPr>
        <w:spacing w:after="240" w:line="276" w:lineRule="auto"/>
        <w:jc w:val="both"/>
        <w:rPr>
          <w:color w:val="000000"/>
          <w:kern w:val="2"/>
          <w:sz w:val="24"/>
          <w:szCs w:val="24"/>
          <w:lang w:eastAsia="hr-HR"/>
          <w14:ligatures w14:val="standardContextual"/>
        </w:rPr>
      </w:pPr>
      <w:r w:rsidRPr="00E754F2">
        <w:rPr>
          <w:color w:val="000000"/>
          <w:kern w:val="2"/>
          <w:sz w:val="24"/>
          <w:szCs w:val="24"/>
          <w:lang w:eastAsia="hr-HR"/>
          <w14:ligatures w14:val="standardContextual"/>
        </w:rPr>
        <w:t>U okviru HRM</w:t>
      </w:r>
      <w:r>
        <w:rPr>
          <w:color w:val="000000"/>
          <w:kern w:val="2"/>
          <w:sz w:val="24"/>
          <w:szCs w:val="24"/>
          <w:lang w:eastAsia="hr-HR"/>
          <w14:ligatures w14:val="standardContextual"/>
        </w:rPr>
        <w:t xml:space="preserve"> </w:t>
      </w:r>
      <w:r w:rsidRPr="00AE0338">
        <w:rPr>
          <w:color w:val="000000"/>
          <w:kern w:val="2"/>
          <w:sz w:val="24"/>
          <w:szCs w:val="24"/>
          <w:lang w:eastAsia="hr-HR"/>
          <w14:ligatures w14:val="standardContextual"/>
        </w:rPr>
        <w:t>(</w:t>
      </w:r>
      <w:proofErr w:type="spellStart"/>
      <w:r>
        <w:rPr>
          <w:color w:val="000000"/>
          <w:kern w:val="2"/>
          <w:sz w:val="24"/>
          <w:szCs w:val="24"/>
          <w:lang w:eastAsia="hr-HR"/>
          <w14:ligatures w14:val="standardContextual"/>
        </w:rPr>
        <w:t>eng</w:t>
      </w:r>
      <w:proofErr w:type="spellEnd"/>
      <w:r>
        <w:rPr>
          <w:color w:val="000000"/>
          <w:kern w:val="2"/>
          <w:sz w:val="24"/>
          <w:szCs w:val="24"/>
          <w:lang w:eastAsia="hr-HR"/>
          <w14:ligatures w14:val="standardContextual"/>
        </w:rPr>
        <w:t xml:space="preserve">. </w:t>
      </w:r>
      <w:r w:rsidRPr="00AE0338">
        <w:rPr>
          <w:color w:val="000000"/>
          <w:kern w:val="2"/>
          <w:sz w:val="24"/>
          <w:szCs w:val="24"/>
          <w:lang w:eastAsia="hr-HR"/>
          <w14:ligatures w14:val="standardContextual"/>
        </w:rPr>
        <w:t xml:space="preserve">Human Resources Management) </w:t>
      </w:r>
      <w:r w:rsidRPr="00E754F2">
        <w:rPr>
          <w:color w:val="000000"/>
          <w:kern w:val="2"/>
          <w:sz w:val="24"/>
          <w:szCs w:val="24"/>
          <w:lang w:eastAsia="hr-HR"/>
          <w14:ligatures w14:val="standardContextual"/>
        </w:rPr>
        <w:t xml:space="preserve">sustava </w:t>
      </w:r>
      <w:r>
        <w:rPr>
          <w:color w:val="000000"/>
          <w:kern w:val="2"/>
          <w:sz w:val="24"/>
          <w:szCs w:val="24"/>
          <w:lang w:eastAsia="hr-HR"/>
          <w14:ligatures w14:val="standardContextual"/>
        </w:rPr>
        <w:t xml:space="preserve">za integrirano </w:t>
      </w:r>
      <w:r w:rsidRPr="00E754F2">
        <w:rPr>
          <w:color w:val="000000"/>
          <w:kern w:val="2"/>
          <w:sz w:val="24"/>
          <w:szCs w:val="24"/>
          <w:lang w:eastAsia="hr-HR"/>
          <w14:ligatures w14:val="standardContextual"/>
        </w:rPr>
        <w:t>upravljanj</w:t>
      </w:r>
      <w:r>
        <w:rPr>
          <w:color w:val="000000"/>
          <w:kern w:val="2"/>
          <w:sz w:val="24"/>
          <w:szCs w:val="24"/>
          <w:lang w:eastAsia="hr-HR"/>
          <w14:ligatures w14:val="standardContextual"/>
        </w:rPr>
        <w:t>e</w:t>
      </w:r>
      <w:r w:rsidRPr="00E754F2">
        <w:rPr>
          <w:color w:val="000000"/>
          <w:kern w:val="2"/>
          <w:sz w:val="24"/>
          <w:szCs w:val="24"/>
          <w:lang w:eastAsia="hr-HR"/>
          <w14:ligatures w14:val="standardContextual"/>
        </w:rPr>
        <w:t xml:space="preserve"> ljudskim potencijalima</w:t>
      </w:r>
      <w:r>
        <w:rPr>
          <w:color w:val="000000"/>
          <w:kern w:val="2"/>
          <w:sz w:val="24"/>
          <w:szCs w:val="24"/>
          <w:lang w:eastAsia="hr-HR"/>
          <w14:ligatures w14:val="standardContextual"/>
        </w:rPr>
        <w:t>,</w:t>
      </w:r>
      <w:r w:rsidRPr="00E754F2">
        <w:rPr>
          <w:color w:val="000000"/>
          <w:kern w:val="2"/>
          <w:sz w:val="24"/>
          <w:szCs w:val="24"/>
          <w:lang w:eastAsia="hr-HR"/>
          <w14:ligatures w14:val="standardContextual"/>
        </w:rPr>
        <w:t xml:space="preserve"> uspostavljeno je devet novih e-funkcionalnosti</w:t>
      </w:r>
      <w:r>
        <w:rPr>
          <w:color w:val="000000"/>
          <w:kern w:val="2"/>
          <w:sz w:val="24"/>
          <w:szCs w:val="24"/>
          <w:lang w:eastAsia="hr-HR"/>
          <w14:ligatures w14:val="standardContextual"/>
        </w:rPr>
        <w:t>,</w:t>
      </w:r>
      <w:r w:rsidRPr="00E754F2">
        <w:rPr>
          <w:color w:val="000000"/>
          <w:kern w:val="2"/>
          <w:sz w:val="24"/>
          <w:szCs w:val="24"/>
          <w:lang w:eastAsia="hr-HR"/>
          <w14:ligatures w14:val="standardContextual"/>
        </w:rPr>
        <w:t xml:space="preserve"> koj</w:t>
      </w:r>
      <w:r>
        <w:rPr>
          <w:color w:val="000000"/>
          <w:kern w:val="2"/>
          <w:sz w:val="24"/>
          <w:szCs w:val="24"/>
          <w:lang w:eastAsia="hr-HR"/>
          <w14:ligatures w14:val="standardContextual"/>
        </w:rPr>
        <w:t>ima se</w:t>
      </w:r>
      <w:r w:rsidRPr="00E754F2">
        <w:rPr>
          <w:color w:val="000000"/>
          <w:kern w:val="2"/>
          <w:sz w:val="24"/>
          <w:szCs w:val="24"/>
          <w:lang w:eastAsia="hr-HR"/>
          <w14:ligatures w14:val="standardContextual"/>
        </w:rPr>
        <w:t xml:space="preserve"> digitaliziraju ključn</w:t>
      </w:r>
      <w:r>
        <w:rPr>
          <w:color w:val="000000"/>
          <w:kern w:val="2"/>
          <w:sz w:val="24"/>
          <w:szCs w:val="24"/>
          <w:lang w:eastAsia="hr-HR"/>
          <w14:ligatures w14:val="standardContextual"/>
        </w:rPr>
        <w:t>i</w:t>
      </w:r>
      <w:r w:rsidRPr="00E754F2">
        <w:rPr>
          <w:color w:val="000000"/>
          <w:kern w:val="2"/>
          <w:sz w:val="24"/>
          <w:szCs w:val="24"/>
          <w:lang w:eastAsia="hr-HR"/>
          <w14:ligatures w14:val="standardContextual"/>
        </w:rPr>
        <w:t xml:space="preserve"> proces</w:t>
      </w:r>
      <w:r>
        <w:rPr>
          <w:color w:val="000000"/>
          <w:kern w:val="2"/>
          <w:sz w:val="24"/>
          <w:szCs w:val="24"/>
          <w:lang w:eastAsia="hr-HR"/>
          <w14:ligatures w14:val="standardContextual"/>
        </w:rPr>
        <w:t>i</w:t>
      </w:r>
      <w:r w:rsidRPr="00E754F2">
        <w:rPr>
          <w:color w:val="000000"/>
          <w:kern w:val="2"/>
          <w:sz w:val="24"/>
          <w:szCs w:val="24"/>
          <w:lang w:eastAsia="hr-HR"/>
          <w14:ligatures w14:val="standardContextual"/>
        </w:rPr>
        <w:t xml:space="preserve"> upravljanja ljudskim potencijalima i povezuj</w:t>
      </w:r>
      <w:r>
        <w:rPr>
          <w:color w:val="000000"/>
          <w:kern w:val="2"/>
          <w:sz w:val="24"/>
          <w:szCs w:val="24"/>
          <w:lang w:eastAsia="hr-HR"/>
          <w14:ligatures w14:val="standardContextual"/>
        </w:rPr>
        <w:t>e</w:t>
      </w:r>
      <w:r w:rsidRPr="00E754F2">
        <w:rPr>
          <w:color w:val="000000"/>
          <w:kern w:val="2"/>
          <w:sz w:val="24"/>
          <w:szCs w:val="24"/>
          <w:lang w:eastAsia="hr-HR"/>
          <w14:ligatures w14:val="standardContextual"/>
        </w:rPr>
        <w:t xml:space="preserve"> ih s</w:t>
      </w:r>
      <w:r>
        <w:rPr>
          <w:color w:val="000000"/>
          <w:kern w:val="2"/>
          <w:sz w:val="24"/>
          <w:szCs w:val="24"/>
          <w:lang w:eastAsia="hr-HR"/>
          <w14:ligatures w14:val="standardContextual"/>
        </w:rPr>
        <w:t>e s</w:t>
      </w:r>
      <w:r w:rsidRPr="00E754F2">
        <w:rPr>
          <w:color w:val="000000"/>
          <w:kern w:val="2"/>
          <w:sz w:val="24"/>
          <w:szCs w:val="24"/>
          <w:lang w:eastAsia="hr-HR"/>
          <w14:ligatures w14:val="standardContextual"/>
        </w:rPr>
        <w:t xml:space="preserve"> matičnim registrima i drugim sustavima, čime se postupci dodatno pojednostavljuju i ubrzavaju.</w:t>
      </w:r>
      <w:r>
        <w:rPr>
          <w:color w:val="000000"/>
          <w:kern w:val="2"/>
          <w:sz w:val="24"/>
          <w:szCs w:val="24"/>
          <w:lang w:eastAsia="hr-HR"/>
          <w14:ligatures w14:val="standardContextual"/>
        </w:rPr>
        <w:t xml:space="preserve"> </w:t>
      </w:r>
      <w:r w:rsidRPr="0004221B">
        <w:rPr>
          <w:color w:val="000000"/>
          <w:kern w:val="2"/>
          <w:sz w:val="24"/>
          <w:szCs w:val="24"/>
          <w:lang w:eastAsia="hr-HR"/>
          <w14:ligatures w14:val="standardContextual"/>
        </w:rPr>
        <w:t>HRM sustav će se postupno uvoditi u tijela državne uprave koja nemaju rješenja</w:t>
      </w:r>
      <w:r>
        <w:rPr>
          <w:color w:val="000000"/>
          <w:kern w:val="2"/>
          <w:sz w:val="24"/>
          <w:szCs w:val="24"/>
          <w:lang w:eastAsia="hr-HR"/>
          <w14:ligatures w14:val="standardContextual"/>
        </w:rPr>
        <w:t xml:space="preserve"> za digitalizirano i integrirano upravljanje ljudskim potencijalima</w:t>
      </w:r>
      <w:r w:rsidRPr="0004221B">
        <w:rPr>
          <w:color w:val="000000"/>
          <w:kern w:val="2"/>
          <w:sz w:val="24"/>
          <w:szCs w:val="24"/>
          <w:lang w:eastAsia="hr-HR"/>
          <w14:ligatures w14:val="standardContextual"/>
        </w:rPr>
        <w:t xml:space="preserve">, a </w:t>
      </w:r>
      <w:r>
        <w:rPr>
          <w:color w:val="000000"/>
          <w:kern w:val="2"/>
          <w:sz w:val="24"/>
          <w:szCs w:val="24"/>
          <w:lang w:eastAsia="hr-HR"/>
          <w14:ligatures w14:val="standardContextual"/>
        </w:rPr>
        <w:t xml:space="preserve">u razdoblju do 2027. </w:t>
      </w:r>
      <w:r w:rsidRPr="0004221B">
        <w:rPr>
          <w:color w:val="000000"/>
          <w:kern w:val="2"/>
          <w:sz w:val="24"/>
          <w:szCs w:val="24"/>
          <w:lang w:eastAsia="hr-HR"/>
          <w14:ligatures w14:val="standardContextual"/>
        </w:rPr>
        <w:t xml:space="preserve">planira se uvesti u </w:t>
      </w:r>
      <w:r>
        <w:rPr>
          <w:color w:val="000000"/>
          <w:kern w:val="2"/>
          <w:sz w:val="24"/>
          <w:szCs w:val="24"/>
          <w:lang w:eastAsia="hr-HR"/>
          <w14:ligatures w14:val="standardContextual"/>
        </w:rPr>
        <w:t xml:space="preserve">ukupno </w:t>
      </w:r>
      <w:r w:rsidRPr="0004221B">
        <w:rPr>
          <w:color w:val="000000"/>
          <w:kern w:val="2"/>
          <w:sz w:val="24"/>
          <w:szCs w:val="24"/>
          <w:lang w:eastAsia="hr-HR"/>
          <w14:ligatures w14:val="standardContextual"/>
        </w:rPr>
        <w:t>16 tijela državne uprave.</w:t>
      </w:r>
      <w:r>
        <w:rPr>
          <w:color w:val="000000"/>
          <w:kern w:val="2"/>
          <w:sz w:val="24"/>
          <w:szCs w:val="24"/>
          <w:lang w:eastAsia="hr-HR"/>
          <w14:ligatures w14:val="standardContextual"/>
        </w:rPr>
        <w:t xml:space="preserve"> U skladu </w:t>
      </w:r>
      <w:r w:rsidRPr="00226AD1">
        <w:rPr>
          <w:color w:val="000000"/>
          <w:kern w:val="2"/>
          <w:sz w:val="24"/>
          <w:szCs w:val="24"/>
          <w:lang w:eastAsia="hr-HR"/>
          <w14:ligatures w14:val="standardContextual"/>
        </w:rPr>
        <w:t xml:space="preserve">s </w:t>
      </w:r>
      <w:r>
        <w:rPr>
          <w:color w:val="000000"/>
          <w:kern w:val="2"/>
          <w:sz w:val="24"/>
          <w:szCs w:val="24"/>
          <w:lang w:eastAsia="hr-HR"/>
          <w14:ligatures w14:val="standardContextual"/>
        </w:rPr>
        <w:t>ranije razvijenim</w:t>
      </w:r>
      <w:r w:rsidRPr="00226AD1">
        <w:rPr>
          <w:color w:val="000000"/>
          <w:kern w:val="2"/>
          <w:sz w:val="24"/>
          <w:szCs w:val="24"/>
          <w:lang w:eastAsia="hr-HR"/>
          <w14:ligatures w14:val="standardContextual"/>
        </w:rPr>
        <w:t xml:space="preserve"> kompetencijskim okvirom za javnu upravu</w:t>
      </w:r>
      <w:r>
        <w:rPr>
          <w:color w:val="000000"/>
          <w:kern w:val="2"/>
          <w:sz w:val="24"/>
          <w:szCs w:val="24"/>
          <w:lang w:eastAsia="hr-HR"/>
          <w14:ligatures w14:val="standardContextual"/>
        </w:rPr>
        <w:t>, ti</w:t>
      </w:r>
      <w:r w:rsidRPr="0004221B">
        <w:rPr>
          <w:color w:val="000000"/>
          <w:kern w:val="2"/>
          <w:sz w:val="24"/>
          <w:szCs w:val="24"/>
          <w:lang w:eastAsia="hr-HR"/>
          <w14:ligatures w14:val="standardContextual"/>
        </w:rPr>
        <w:t xml:space="preserve">jekom 2024. </w:t>
      </w:r>
      <w:r>
        <w:rPr>
          <w:color w:val="000000"/>
          <w:kern w:val="2"/>
          <w:sz w:val="24"/>
          <w:szCs w:val="24"/>
          <w:lang w:eastAsia="hr-HR"/>
          <w14:ligatures w14:val="standardContextual"/>
        </w:rPr>
        <w:t xml:space="preserve">provedeno je </w:t>
      </w:r>
      <w:r w:rsidRPr="0004221B">
        <w:rPr>
          <w:color w:val="000000"/>
          <w:kern w:val="2"/>
          <w:sz w:val="24"/>
          <w:szCs w:val="24"/>
          <w:lang w:eastAsia="hr-HR"/>
          <w14:ligatures w14:val="standardContextual"/>
        </w:rPr>
        <w:t>uskla</w:t>
      </w:r>
      <w:r>
        <w:rPr>
          <w:color w:val="000000"/>
          <w:kern w:val="2"/>
          <w:sz w:val="24"/>
          <w:szCs w:val="24"/>
          <w:lang w:eastAsia="hr-HR"/>
          <w14:ligatures w14:val="standardContextual"/>
        </w:rPr>
        <w:t xml:space="preserve">đivanje </w:t>
      </w:r>
      <w:r w:rsidRPr="0004221B">
        <w:rPr>
          <w:color w:val="000000"/>
          <w:kern w:val="2"/>
          <w:sz w:val="24"/>
          <w:szCs w:val="24"/>
          <w:lang w:eastAsia="hr-HR"/>
          <w14:ligatures w14:val="standardContextual"/>
        </w:rPr>
        <w:t>program</w:t>
      </w:r>
      <w:r>
        <w:rPr>
          <w:color w:val="000000"/>
          <w:kern w:val="2"/>
          <w:sz w:val="24"/>
          <w:szCs w:val="24"/>
          <w:lang w:eastAsia="hr-HR"/>
          <w14:ligatures w14:val="standardContextual"/>
        </w:rPr>
        <w:t>a</w:t>
      </w:r>
      <w:r w:rsidRPr="0004221B">
        <w:rPr>
          <w:color w:val="000000"/>
          <w:kern w:val="2"/>
          <w:sz w:val="24"/>
          <w:szCs w:val="24"/>
          <w:lang w:eastAsia="hr-HR"/>
          <w14:ligatures w14:val="standardContextual"/>
        </w:rPr>
        <w:t xml:space="preserve"> usavršavanja</w:t>
      </w:r>
      <w:r>
        <w:rPr>
          <w:color w:val="000000"/>
          <w:kern w:val="2"/>
          <w:sz w:val="24"/>
          <w:szCs w:val="24"/>
          <w:lang w:eastAsia="hr-HR"/>
          <w14:ligatures w14:val="standardContextual"/>
        </w:rPr>
        <w:t xml:space="preserve"> DŠJU</w:t>
      </w:r>
      <w:r w:rsidRPr="0004221B">
        <w:rPr>
          <w:color w:val="000000"/>
          <w:kern w:val="2"/>
          <w:sz w:val="24"/>
          <w:szCs w:val="24"/>
          <w:lang w:eastAsia="hr-HR"/>
          <w14:ligatures w14:val="standardContextual"/>
        </w:rPr>
        <w:t>, prilagođava</w:t>
      </w:r>
      <w:r>
        <w:rPr>
          <w:color w:val="000000"/>
          <w:kern w:val="2"/>
          <w:sz w:val="24"/>
          <w:szCs w:val="24"/>
          <w:lang w:eastAsia="hr-HR"/>
          <w14:ligatures w14:val="standardContextual"/>
        </w:rPr>
        <w:t xml:space="preserve">njem </w:t>
      </w:r>
      <w:r w:rsidRPr="0004221B">
        <w:rPr>
          <w:color w:val="000000"/>
          <w:kern w:val="2"/>
          <w:sz w:val="24"/>
          <w:szCs w:val="24"/>
          <w:lang w:eastAsia="hr-HR"/>
          <w14:ligatures w14:val="standardContextual"/>
        </w:rPr>
        <w:t>sadržaj</w:t>
      </w:r>
      <w:r>
        <w:rPr>
          <w:color w:val="000000"/>
          <w:kern w:val="2"/>
          <w:sz w:val="24"/>
          <w:szCs w:val="24"/>
          <w:lang w:eastAsia="hr-HR"/>
          <w14:ligatures w14:val="standardContextual"/>
        </w:rPr>
        <w:t>a</w:t>
      </w:r>
      <w:r w:rsidRPr="0004221B">
        <w:rPr>
          <w:color w:val="000000"/>
          <w:kern w:val="2"/>
          <w:sz w:val="24"/>
          <w:szCs w:val="24"/>
          <w:lang w:eastAsia="hr-HR"/>
          <w14:ligatures w14:val="standardContextual"/>
        </w:rPr>
        <w:t xml:space="preserve"> programa i nastavn</w:t>
      </w:r>
      <w:r>
        <w:rPr>
          <w:color w:val="000000"/>
          <w:kern w:val="2"/>
          <w:sz w:val="24"/>
          <w:szCs w:val="24"/>
          <w:lang w:eastAsia="hr-HR"/>
          <w14:ligatures w14:val="standardContextual"/>
        </w:rPr>
        <w:t>ih</w:t>
      </w:r>
      <w:r w:rsidRPr="0004221B">
        <w:rPr>
          <w:color w:val="000000"/>
          <w:kern w:val="2"/>
          <w:sz w:val="24"/>
          <w:szCs w:val="24"/>
          <w:lang w:eastAsia="hr-HR"/>
          <w14:ligatures w14:val="standardContextual"/>
        </w:rPr>
        <w:t xml:space="preserve"> materijal</w:t>
      </w:r>
      <w:r>
        <w:rPr>
          <w:color w:val="000000"/>
          <w:kern w:val="2"/>
          <w:sz w:val="24"/>
          <w:szCs w:val="24"/>
          <w:lang w:eastAsia="hr-HR"/>
          <w14:ligatures w14:val="standardContextual"/>
        </w:rPr>
        <w:t>a,</w:t>
      </w:r>
      <w:r w:rsidRPr="0004221B">
        <w:rPr>
          <w:color w:val="000000"/>
          <w:kern w:val="2"/>
          <w:sz w:val="24"/>
          <w:szCs w:val="24"/>
          <w:lang w:eastAsia="hr-HR"/>
          <w14:ligatures w14:val="standardContextual"/>
        </w:rPr>
        <w:t xml:space="preserve"> kako bi </w:t>
      </w:r>
      <w:r>
        <w:rPr>
          <w:color w:val="000000"/>
          <w:kern w:val="2"/>
          <w:sz w:val="24"/>
          <w:szCs w:val="24"/>
          <w:lang w:eastAsia="hr-HR"/>
          <w14:ligatures w14:val="standardContextual"/>
        </w:rPr>
        <w:t>planiranim</w:t>
      </w:r>
      <w:r w:rsidRPr="0004221B">
        <w:rPr>
          <w:color w:val="000000"/>
          <w:kern w:val="2"/>
          <w:sz w:val="24"/>
          <w:szCs w:val="24"/>
          <w:lang w:eastAsia="hr-HR"/>
          <w14:ligatures w14:val="standardContextual"/>
        </w:rPr>
        <w:t xml:space="preserve"> ishodima učenja ciljano odgovarali usvajanju i jačanju potrebnih kompetencija službenika na rukovoditeljskim</w:t>
      </w:r>
      <w:r>
        <w:rPr>
          <w:color w:val="000000"/>
          <w:kern w:val="2"/>
          <w:sz w:val="24"/>
          <w:szCs w:val="24"/>
          <w:lang w:eastAsia="hr-HR"/>
          <w14:ligatures w14:val="standardContextual"/>
        </w:rPr>
        <w:t xml:space="preserve"> </w:t>
      </w:r>
      <w:r w:rsidRPr="0004221B">
        <w:rPr>
          <w:color w:val="000000"/>
          <w:kern w:val="2"/>
          <w:sz w:val="24"/>
          <w:szCs w:val="24"/>
          <w:lang w:eastAsia="hr-HR"/>
          <w14:ligatures w14:val="standardContextual"/>
        </w:rPr>
        <w:t xml:space="preserve">i ostalim razinama. </w:t>
      </w:r>
      <w:r>
        <w:rPr>
          <w:color w:val="000000"/>
          <w:kern w:val="2"/>
          <w:sz w:val="24"/>
          <w:szCs w:val="24"/>
          <w:lang w:eastAsia="hr-HR"/>
          <w14:ligatures w14:val="standardContextual"/>
        </w:rPr>
        <w:t xml:space="preserve">Tijekom 2024. </w:t>
      </w:r>
      <w:r w:rsidRPr="0004221B">
        <w:rPr>
          <w:color w:val="000000"/>
          <w:kern w:val="2"/>
          <w:sz w:val="24"/>
          <w:szCs w:val="24"/>
          <w:lang w:eastAsia="hr-HR"/>
          <w14:ligatures w14:val="standardContextual"/>
        </w:rPr>
        <w:t>održan</w:t>
      </w:r>
      <w:r>
        <w:rPr>
          <w:color w:val="000000"/>
          <w:kern w:val="2"/>
          <w:sz w:val="24"/>
          <w:szCs w:val="24"/>
          <w:lang w:eastAsia="hr-HR"/>
          <w14:ligatures w14:val="standardContextual"/>
        </w:rPr>
        <w:t>e su</w:t>
      </w:r>
      <w:r w:rsidRPr="0004221B">
        <w:rPr>
          <w:color w:val="000000"/>
          <w:kern w:val="2"/>
          <w:sz w:val="24"/>
          <w:szCs w:val="24"/>
          <w:lang w:eastAsia="hr-HR"/>
          <w14:ligatures w14:val="standardContextual"/>
        </w:rPr>
        <w:t xml:space="preserve"> 384 radionic</w:t>
      </w:r>
      <w:r>
        <w:rPr>
          <w:color w:val="000000"/>
          <w:kern w:val="2"/>
          <w:sz w:val="24"/>
          <w:szCs w:val="24"/>
          <w:lang w:eastAsia="hr-HR"/>
          <w14:ligatures w14:val="standardContextual"/>
        </w:rPr>
        <w:t>e DŠJU za državne i javne službenike</w:t>
      </w:r>
      <w:r w:rsidRPr="0004221B">
        <w:rPr>
          <w:color w:val="000000"/>
          <w:kern w:val="2"/>
          <w:sz w:val="24"/>
          <w:szCs w:val="24"/>
          <w:lang w:eastAsia="hr-HR"/>
          <w14:ligatures w14:val="standardContextual"/>
        </w:rPr>
        <w:t xml:space="preserve">, s ukupnim trajanjem </w:t>
      </w:r>
      <w:r>
        <w:rPr>
          <w:color w:val="000000"/>
          <w:kern w:val="2"/>
          <w:sz w:val="24"/>
          <w:szCs w:val="24"/>
          <w:lang w:eastAsia="hr-HR"/>
          <w14:ligatures w14:val="standardContextual"/>
        </w:rPr>
        <w:t xml:space="preserve">od </w:t>
      </w:r>
      <w:r w:rsidRPr="0004221B">
        <w:rPr>
          <w:color w:val="000000"/>
          <w:kern w:val="2"/>
          <w:sz w:val="24"/>
          <w:szCs w:val="24"/>
          <w:lang w:eastAsia="hr-HR"/>
          <w14:ligatures w14:val="standardContextual"/>
        </w:rPr>
        <w:t>3</w:t>
      </w:r>
      <w:r>
        <w:rPr>
          <w:color w:val="000000"/>
          <w:kern w:val="2"/>
          <w:sz w:val="24"/>
          <w:szCs w:val="24"/>
          <w:lang w:eastAsia="hr-HR"/>
          <w14:ligatures w14:val="standardContextual"/>
        </w:rPr>
        <w:t>.</w:t>
      </w:r>
      <w:r w:rsidRPr="0004221B">
        <w:rPr>
          <w:color w:val="000000"/>
          <w:kern w:val="2"/>
          <w:sz w:val="24"/>
          <w:szCs w:val="24"/>
          <w:lang w:eastAsia="hr-HR"/>
          <w14:ligatures w14:val="standardContextual"/>
        </w:rPr>
        <w:t>939 trening sati, a programe usavršavanja uspješno je završilo 11</w:t>
      </w:r>
      <w:r>
        <w:rPr>
          <w:color w:val="000000"/>
          <w:kern w:val="2"/>
          <w:sz w:val="24"/>
          <w:szCs w:val="24"/>
          <w:lang w:eastAsia="hr-HR"/>
          <w14:ligatures w14:val="standardContextual"/>
        </w:rPr>
        <w:t>.</w:t>
      </w:r>
      <w:r w:rsidRPr="0004221B">
        <w:rPr>
          <w:color w:val="000000"/>
          <w:kern w:val="2"/>
          <w:sz w:val="24"/>
          <w:szCs w:val="24"/>
          <w:lang w:eastAsia="hr-HR"/>
          <w14:ligatures w14:val="standardContextual"/>
        </w:rPr>
        <w:t xml:space="preserve">374 polaznika. Trajno dostupne programe e-učenja </w:t>
      </w:r>
      <w:r>
        <w:rPr>
          <w:color w:val="000000"/>
          <w:kern w:val="2"/>
          <w:sz w:val="24"/>
          <w:szCs w:val="24"/>
          <w:lang w:eastAsia="hr-HR"/>
          <w14:ligatures w14:val="standardContextual"/>
        </w:rPr>
        <w:t>koristilo</w:t>
      </w:r>
      <w:r w:rsidRPr="0004221B">
        <w:rPr>
          <w:color w:val="000000"/>
          <w:kern w:val="2"/>
          <w:sz w:val="24"/>
          <w:szCs w:val="24"/>
          <w:lang w:eastAsia="hr-HR"/>
          <w14:ligatures w14:val="standardContextual"/>
        </w:rPr>
        <w:t xml:space="preserve"> je ukupno 3</w:t>
      </w:r>
      <w:r>
        <w:rPr>
          <w:color w:val="000000"/>
          <w:kern w:val="2"/>
          <w:sz w:val="24"/>
          <w:szCs w:val="24"/>
          <w:lang w:eastAsia="hr-HR"/>
          <w14:ligatures w14:val="standardContextual"/>
        </w:rPr>
        <w:t>.</w:t>
      </w:r>
      <w:r w:rsidRPr="0004221B">
        <w:rPr>
          <w:color w:val="000000"/>
          <w:kern w:val="2"/>
          <w:sz w:val="24"/>
          <w:szCs w:val="24"/>
          <w:lang w:eastAsia="hr-HR"/>
          <w14:ligatures w14:val="standardContextual"/>
        </w:rPr>
        <w:t>811 službenika.</w:t>
      </w:r>
    </w:p>
    <w:p w14:paraId="72FB83EC" w14:textId="77777777" w:rsidR="00FB178A" w:rsidRDefault="00FB178A" w:rsidP="00FB178A">
      <w:pPr>
        <w:spacing w:after="240" w:line="276" w:lineRule="auto"/>
        <w:jc w:val="both"/>
        <w:rPr>
          <w:color w:val="000000"/>
          <w:kern w:val="2"/>
          <w:sz w:val="24"/>
          <w:szCs w:val="24"/>
          <w:lang w:eastAsia="hr-HR"/>
          <w14:ligatures w14:val="standardContextual"/>
        </w:rPr>
      </w:pPr>
      <w:r w:rsidRPr="0004221B">
        <w:rPr>
          <w:color w:val="000000"/>
          <w:kern w:val="2"/>
          <w:sz w:val="24"/>
          <w:szCs w:val="24"/>
          <w:lang w:eastAsia="hr-HR"/>
          <w14:ligatures w14:val="standardContextual"/>
        </w:rPr>
        <w:t>U okviru aktivnosti usmjerenih na unaprjeđenje sustava JLP(R)S, nakon uspješno završenog projekta „Optimizacija sustava lokalne i područne (regionalne) samouprave“ sredinom 2024. započela je provedba NPOO investicije „Daljnja optimizacija i decentralizacija JLP(R)S putem potpore funkcionalnom spajanju“. U okviru Investicije analiziran je pravni okvir za funkcionalno spajanje kao i dobre prakse spajanja u državama članicama EU. Također, analizirani su kapaciteti jedinica temeljem izračuna indikatora sadržanih u Jedinstvenom IT sustavu za prikupljanje i pohranu podataka te izračun indikatora za procjenu kapaciteta jedinica</w:t>
      </w:r>
      <w:r>
        <w:rPr>
          <w:color w:val="000000"/>
          <w:kern w:val="2"/>
          <w:sz w:val="24"/>
          <w:szCs w:val="24"/>
          <w:lang w:eastAsia="hr-HR"/>
          <w14:ligatures w14:val="standardContextual"/>
        </w:rPr>
        <w:t>. I</w:t>
      </w:r>
      <w:r w:rsidRPr="0004221B">
        <w:rPr>
          <w:color w:val="000000"/>
          <w:kern w:val="2"/>
          <w:sz w:val="24"/>
          <w:szCs w:val="24"/>
          <w:lang w:eastAsia="hr-HR"/>
          <w14:ligatures w14:val="standardContextual"/>
        </w:rPr>
        <w:t>zrađene</w:t>
      </w:r>
      <w:r>
        <w:rPr>
          <w:color w:val="000000"/>
          <w:kern w:val="2"/>
          <w:sz w:val="24"/>
          <w:szCs w:val="24"/>
          <w:lang w:eastAsia="hr-HR"/>
          <w14:ligatures w14:val="standardContextual"/>
        </w:rPr>
        <w:t xml:space="preserve"> su i</w:t>
      </w:r>
      <w:r w:rsidRPr="0004221B">
        <w:rPr>
          <w:color w:val="000000"/>
          <w:kern w:val="2"/>
          <w:sz w:val="24"/>
          <w:szCs w:val="24"/>
          <w:lang w:eastAsia="hr-HR"/>
          <w14:ligatures w14:val="standardContextual"/>
        </w:rPr>
        <w:t xml:space="preserve"> smjernice</w:t>
      </w:r>
      <w:r>
        <w:rPr>
          <w:color w:val="000000"/>
          <w:kern w:val="2"/>
          <w:sz w:val="24"/>
          <w:szCs w:val="24"/>
          <w:lang w:eastAsia="hr-HR"/>
          <w14:ligatures w14:val="standardContextual"/>
        </w:rPr>
        <w:t xml:space="preserve"> kao</w:t>
      </w:r>
      <w:r w:rsidRPr="0004221B">
        <w:rPr>
          <w:color w:val="000000"/>
          <w:kern w:val="2"/>
          <w:sz w:val="24"/>
          <w:szCs w:val="24"/>
          <w:lang w:eastAsia="hr-HR"/>
          <w14:ligatures w14:val="standardContextual"/>
        </w:rPr>
        <w:t xml:space="preserve"> i preporuke za spajanje. Provedeno je anketno istraživan</w:t>
      </w:r>
      <w:r>
        <w:rPr>
          <w:color w:val="000000"/>
          <w:kern w:val="2"/>
          <w:sz w:val="24"/>
          <w:szCs w:val="24"/>
          <w:lang w:eastAsia="hr-HR"/>
          <w14:ligatures w14:val="standardContextual"/>
        </w:rPr>
        <w:t>je</w:t>
      </w:r>
      <w:r w:rsidRPr="0004221B">
        <w:rPr>
          <w:color w:val="000000"/>
          <w:kern w:val="2"/>
          <w:sz w:val="24"/>
          <w:szCs w:val="24"/>
          <w:lang w:eastAsia="hr-HR"/>
          <w14:ligatures w14:val="standardContextual"/>
        </w:rPr>
        <w:t xml:space="preserve"> na službenicima i građanima jedinica iz pilot područja Investicije te je izrađena metodologija za podršku funkcionalnom i stvarnom spajanju. Temeljem navedenih rezultata, krajem 2024. započeo je razvoj Sustava podrške za dobrovoljno funkcionalno i stvarno spajanje </w:t>
      </w:r>
      <w:r>
        <w:rPr>
          <w:color w:val="000000"/>
          <w:kern w:val="2"/>
          <w:sz w:val="24"/>
          <w:szCs w:val="24"/>
          <w:lang w:eastAsia="hr-HR"/>
          <w14:ligatures w14:val="standardContextual"/>
        </w:rPr>
        <w:t>jedinica lokalne samouprave</w:t>
      </w:r>
      <w:r w:rsidRPr="0004221B">
        <w:rPr>
          <w:color w:val="000000"/>
          <w:kern w:val="2"/>
          <w:sz w:val="24"/>
          <w:szCs w:val="24"/>
          <w:lang w:eastAsia="hr-HR"/>
          <w14:ligatures w14:val="standardContextual"/>
        </w:rPr>
        <w:t xml:space="preserve"> koji će </w:t>
      </w:r>
      <w:r>
        <w:rPr>
          <w:color w:val="000000"/>
          <w:kern w:val="2"/>
          <w:sz w:val="24"/>
          <w:szCs w:val="24"/>
          <w:lang w:eastAsia="hr-HR"/>
          <w14:ligatures w14:val="standardContextual"/>
        </w:rPr>
        <w:t xml:space="preserve">im </w:t>
      </w:r>
      <w:r w:rsidRPr="0004221B">
        <w:rPr>
          <w:color w:val="000000"/>
          <w:kern w:val="2"/>
          <w:sz w:val="24"/>
          <w:szCs w:val="24"/>
          <w:lang w:eastAsia="hr-HR"/>
          <w14:ligatures w14:val="standardContextual"/>
        </w:rPr>
        <w:t>pružati sve potrebne informacije i digitalnu podršku za učinkovitije planiranje i provedbu postupka funkcionalnog i stvarnog spajanja. Sustav će omogućiti uvid u ključne pokazatelje za funkcionalno i stvarno spajanje te će jedinice putem njegovih funkcija moći dobiti prikaz tko su pogodni kandidati za spajanje, u kojim točno poslovima te prema koj</w:t>
      </w:r>
      <w:r>
        <w:rPr>
          <w:color w:val="000000"/>
          <w:kern w:val="2"/>
          <w:sz w:val="24"/>
          <w:szCs w:val="24"/>
          <w:lang w:eastAsia="hr-HR"/>
          <w14:ligatures w14:val="standardContextual"/>
        </w:rPr>
        <w:t>e</w:t>
      </w:r>
      <w:r w:rsidRPr="0004221B">
        <w:rPr>
          <w:color w:val="000000"/>
          <w:kern w:val="2"/>
          <w:sz w:val="24"/>
          <w:szCs w:val="24"/>
          <w:lang w:eastAsia="hr-HR"/>
          <w14:ligatures w14:val="standardContextual"/>
        </w:rPr>
        <w:t xml:space="preserve">m modelu i varijanti spajanja. Do kraja 2024. zaprimljeno je 96 zahtjeva za funkcionalno spajanje, kojima je obuhvaćeno 393 JLS odnosno 186 JLS ako se ne računaju jedinice koje su se javile za više modela funkcionalnog spajanja (bez ponavljanja). Od zaprimljenih 96 zahtjeva pozitivno je odgovoreno na 66 zahtjeva, kojima je obuhvaćeno 244 jedinica odnosno njih 132 s obzirom na to da su se neke JLS javile za više modela funkcionalnog spajanja. Broj od 244 JLS čini 43,96% od ukupnog broja JLS (555), dok 132 jedinice čini 23,78% od ukupnog broja JLS. </w:t>
      </w:r>
    </w:p>
    <w:p w14:paraId="3600DDC9" w14:textId="77777777" w:rsidR="00FB178A" w:rsidRDefault="00FB178A" w:rsidP="00FB178A">
      <w:pPr>
        <w:spacing w:after="240" w:line="276" w:lineRule="auto"/>
        <w:jc w:val="both"/>
        <w:rPr>
          <w:color w:val="000000"/>
          <w:kern w:val="2"/>
          <w:sz w:val="24"/>
          <w:szCs w:val="24"/>
          <w:lang w:eastAsia="hr-HR"/>
          <w14:ligatures w14:val="standardContextual"/>
        </w:rPr>
      </w:pPr>
      <w:r w:rsidRPr="00B5220E">
        <w:rPr>
          <w:color w:val="000000"/>
          <w:kern w:val="2"/>
          <w:sz w:val="24"/>
          <w:szCs w:val="24"/>
          <w:lang w:eastAsia="hr-HR"/>
          <w14:ligatures w14:val="standardContextual"/>
        </w:rPr>
        <w:lastRenderedPageBreak/>
        <w:t xml:space="preserve">Nastavljene su aktivnosti na unaprjeđenju </w:t>
      </w:r>
      <w:proofErr w:type="spellStart"/>
      <w:r w:rsidRPr="00B5220E">
        <w:rPr>
          <w:color w:val="000000"/>
          <w:kern w:val="2"/>
          <w:sz w:val="24"/>
          <w:szCs w:val="24"/>
          <w:lang w:eastAsia="hr-HR"/>
          <w14:ligatures w14:val="standardContextual"/>
        </w:rPr>
        <w:t>interoperabilnosti</w:t>
      </w:r>
      <w:proofErr w:type="spellEnd"/>
      <w:r w:rsidRPr="00B5220E">
        <w:rPr>
          <w:color w:val="000000"/>
          <w:kern w:val="2"/>
          <w:sz w:val="24"/>
          <w:szCs w:val="24"/>
          <w:lang w:eastAsia="hr-HR"/>
          <w14:ligatures w14:val="standardContextual"/>
        </w:rPr>
        <w:t xml:space="preserve"> i sigurnosti državne informacijske infrastrukture, uspostavlja se središnji sustav </w:t>
      </w:r>
      <w:proofErr w:type="spellStart"/>
      <w:r w:rsidRPr="00B5220E">
        <w:rPr>
          <w:color w:val="000000"/>
          <w:kern w:val="2"/>
          <w:sz w:val="24"/>
          <w:szCs w:val="24"/>
          <w:lang w:eastAsia="hr-HR"/>
          <w14:ligatures w14:val="standardContextual"/>
        </w:rPr>
        <w:t>interoperabilnosti</w:t>
      </w:r>
      <w:proofErr w:type="spellEnd"/>
      <w:r w:rsidRPr="00B5220E">
        <w:rPr>
          <w:color w:val="000000"/>
          <w:kern w:val="2"/>
          <w:sz w:val="24"/>
          <w:szCs w:val="24"/>
          <w:lang w:eastAsia="hr-HR"/>
          <w14:ligatures w14:val="standardContextual"/>
        </w:rPr>
        <w:t xml:space="preserve"> (OOTS platforma), nastavljena je digitalizacija licenciranja za obavljanje gospodarskih djelatnosti (platforma START Plus) uz jačanje sigurnosti državne informacijske infrastrukture. Također, u 2024. pripremljen je novi Zakon o državnoj informacijskoj infrastrukturi</w:t>
      </w:r>
      <w:r>
        <w:rPr>
          <w:color w:val="000000"/>
          <w:kern w:val="2"/>
          <w:sz w:val="24"/>
          <w:szCs w:val="24"/>
          <w:lang w:eastAsia="hr-HR"/>
          <w14:ligatures w14:val="standardContextual"/>
        </w:rPr>
        <w:t xml:space="preserve"> te je </w:t>
      </w:r>
      <w:r w:rsidRPr="00B5220E">
        <w:rPr>
          <w:color w:val="000000"/>
          <w:kern w:val="2"/>
          <w:sz w:val="24"/>
          <w:szCs w:val="24"/>
          <w:lang w:eastAsia="hr-HR"/>
          <w14:ligatures w14:val="standardContextual"/>
        </w:rPr>
        <w:t>uspostavljen jedinstveni kontakt centar za e-usluge</w:t>
      </w:r>
      <w:r>
        <w:rPr>
          <w:color w:val="000000"/>
          <w:kern w:val="2"/>
          <w:sz w:val="24"/>
          <w:szCs w:val="24"/>
          <w:lang w:eastAsia="hr-HR"/>
          <w14:ligatures w14:val="standardContextual"/>
        </w:rPr>
        <w:t xml:space="preserve">. Također, </w:t>
      </w:r>
      <w:r w:rsidRPr="00B5220E">
        <w:rPr>
          <w:color w:val="000000"/>
          <w:kern w:val="2"/>
          <w:sz w:val="24"/>
          <w:szCs w:val="24"/>
          <w:lang w:eastAsia="hr-HR"/>
          <w14:ligatures w14:val="standardContextual"/>
        </w:rPr>
        <w:t>nastavlj</w:t>
      </w:r>
      <w:r>
        <w:rPr>
          <w:color w:val="000000"/>
          <w:kern w:val="2"/>
          <w:sz w:val="24"/>
          <w:szCs w:val="24"/>
          <w:lang w:eastAsia="hr-HR"/>
          <w14:ligatures w14:val="standardContextual"/>
        </w:rPr>
        <w:t>en j</w:t>
      </w:r>
      <w:r w:rsidRPr="00B5220E">
        <w:rPr>
          <w:color w:val="000000"/>
          <w:kern w:val="2"/>
          <w:sz w:val="24"/>
          <w:szCs w:val="24"/>
          <w:lang w:eastAsia="hr-HR"/>
          <w14:ligatures w14:val="standardContextual"/>
        </w:rPr>
        <w:t xml:space="preserve">e razvoj centralnog </w:t>
      </w:r>
      <w:r w:rsidRPr="0004221B">
        <w:rPr>
          <w:i/>
          <w:iCs/>
          <w:color w:val="000000"/>
          <w:kern w:val="2"/>
          <w:sz w:val="24"/>
          <w:szCs w:val="24"/>
          <w:lang w:eastAsia="hr-HR"/>
          <w14:ligatures w14:val="standardContextual"/>
        </w:rPr>
        <w:t>Data lake</w:t>
      </w:r>
      <w:r w:rsidRPr="00B5220E">
        <w:rPr>
          <w:color w:val="000000"/>
          <w:kern w:val="2"/>
          <w:sz w:val="24"/>
          <w:szCs w:val="24"/>
          <w:lang w:eastAsia="hr-HR"/>
          <w14:ligatures w14:val="standardContextual"/>
        </w:rPr>
        <w:t xml:space="preserve"> repozitorija, </w:t>
      </w:r>
      <w:r>
        <w:rPr>
          <w:color w:val="000000"/>
          <w:kern w:val="2"/>
          <w:sz w:val="24"/>
          <w:szCs w:val="24"/>
          <w:lang w:eastAsia="hr-HR"/>
          <w14:ligatures w14:val="standardContextual"/>
        </w:rPr>
        <w:t xml:space="preserve">a provedeno je i </w:t>
      </w:r>
      <w:r w:rsidRPr="00B5220E">
        <w:rPr>
          <w:color w:val="000000"/>
          <w:kern w:val="2"/>
          <w:sz w:val="24"/>
          <w:szCs w:val="24"/>
          <w:lang w:eastAsia="hr-HR"/>
          <w14:ligatures w14:val="standardContextual"/>
        </w:rPr>
        <w:t>nadograđ</w:t>
      </w:r>
      <w:r>
        <w:rPr>
          <w:color w:val="000000"/>
          <w:kern w:val="2"/>
          <w:sz w:val="24"/>
          <w:szCs w:val="24"/>
          <w:lang w:eastAsia="hr-HR"/>
          <w14:ligatures w14:val="standardContextual"/>
        </w:rPr>
        <w:t>ivanje</w:t>
      </w:r>
      <w:r w:rsidRPr="00B5220E">
        <w:rPr>
          <w:color w:val="000000"/>
          <w:kern w:val="2"/>
          <w:sz w:val="24"/>
          <w:szCs w:val="24"/>
          <w:lang w:eastAsia="hr-HR"/>
          <w14:ligatures w14:val="standardContextual"/>
        </w:rPr>
        <w:t xml:space="preserve"> Centr</w:t>
      </w:r>
      <w:r>
        <w:rPr>
          <w:color w:val="000000"/>
          <w:kern w:val="2"/>
          <w:sz w:val="24"/>
          <w:szCs w:val="24"/>
          <w:lang w:eastAsia="hr-HR"/>
          <w14:ligatures w14:val="standardContextual"/>
        </w:rPr>
        <w:t>a</w:t>
      </w:r>
      <w:r w:rsidRPr="00B5220E">
        <w:rPr>
          <w:color w:val="000000"/>
          <w:kern w:val="2"/>
          <w:sz w:val="24"/>
          <w:szCs w:val="24"/>
          <w:lang w:eastAsia="hr-HR"/>
          <w14:ligatures w14:val="standardContextual"/>
        </w:rPr>
        <w:t xml:space="preserve"> dijeljenih usluga</w:t>
      </w:r>
      <w:r>
        <w:rPr>
          <w:color w:val="000000"/>
          <w:kern w:val="2"/>
          <w:sz w:val="24"/>
          <w:szCs w:val="24"/>
          <w:lang w:eastAsia="hr-HR"/>
          <w14:ligatures w14:val="standardContextual"/>
        </w:rPr>
        <w:t>. Dodatno,</w:t>
      </w:r>
      <w:r w:rsidRPr="00B5220E">
        <w:rPr>
          <w:color w:val="000000"/>
          <w:kern w:val="2"/>
          <w:sz w:val="24"/>
          <w:szCs w:val="24"/>
          <w:lang w:eastAsia="hr-HR"/>
          <w14:ligatures w14:val="standardContextual"/>
        </w:rPr>
        <w:t xml:space="preserve"> pokrenute </w:t>
      </w:r>
      <w:r>
        <w:rPr>
          <w:color w:val="000000"/>
          <w:kern w:val="2"/>
          <w:sz w:val="24"/>
          <w:szCs w:val="24"/>
          <w:lang w:eastAsia="hr-HR"/>
          <w14:ligatures w14:val="standardContextual"/>
        </w:rPr>
        <w:t>su</w:t>
      </w:r>
      <w:r w:rsidRPr="00B5220E">
        <w:rPr>
          <w:color w:val="000000"/>
          <w:kern w:val="2"/>
          <w:sz w:val="24"/>
          <w:szCs w:val="24"/>
          <w:lang w:eastAsia="hr-HR"/>
          <w14:ligatures w14:val="standardContextual"/>
        </w:rPr>
        <w:t xml:space="preserve"> pripreme za eksternalizaciju NIAS-a (sustava elektroničke identifikacije) za poslovni i za civilni sektor</w:t>
      </w:r>
      <w:r>
        <w:rPr>
          <w:color w:val="000000"/>
          <w:kern w:val="2"/>
          <w:sz w:val="24"/>
          <w:szCs w:val="24"/>
          <w:lang w:eastAsia="hr-HR"/>
          <w14:ligatures w14:val="standardContextual"/>
        </w:rPr>
        <w:t>. B</w:t>
      </w:r>
      <w:r w:rsidRPr="00B5220E">
        <w:rPr>
          <w:color w:val="000000"/>
          <w:kern w:val="2"/>
          <w:sz w:val="24"/>
          <w:szCs w:val="24"/>
          <w:lang w:eastAsia="hr-HR"/>
          <w14:ligatures w14:val="standardContextual"/>
        </w:rPr>
        <w:t>roj upita na Središnju državnu sabirnicu (GSB) u 2024. iznosio 403</w:t>
      </w:r>
      <w:r>
        <w:rPr>
          <w:color w:val="000000"/>
          <w:kern w:val="2"/>
          <w:sz w:val="24"/>
          <w:szCs w:val="24"/>
          <w:lang w:eastAsia="hr-HR"/>
          <w14:ligatures w14:val="standardContextual"/>
        </w:rPr>
        <w:t>,5 milijuna</w:t>
      </w:r>
      <w:r w:rsidRPr="00B5220E">
        <w:rPr>
          <w:color w:val="000000"/>
          <w:kern w:val="2"/>
          <w:sz w:val="24"/>
          <w:szCs w:val="24"/>
          <w:lang w:eastAsia="hr-HR"/>
          <w14:ligatures w14:val="standardContextual"/>
        </w:rPr>
        <w:t xml:space="preserve">, s 39 registara i 266 tijela/institucija koje preuzimaju podatke s GSB-a. Tijekom 2024. </w:t>
      </w:r>
      <w:r>
        <w:rPr>
          <w:color w:val="000000"/>
          <w:kern w:val="2"/>
          <w:sz w:val="24"/>
          <w:szCs w:val="24"/>
          <w:lang w:eastAsia="hr-HR"/>
          <w14:ligatures w14:val="standardContextual"/>
        </w:rPr>
        <w:t>završene</w:t>
      </w:r>
      <w:r w:rsidRPr="00B5220E">
        <w:rPr>
          <w:color w:val="000000"/>
          <w:kern w:val="2"/>
          <w:sz w:val="24"/>
          <w:szCs w:val="24"/>
          <w:lang w:eastAsia="hr-HR"/>
          <w14:ligatures w14:val="standardContextual"/>
        </w:rPr>
        <w:t xml:space="preserve"> su projektne aktivnosti </w:t>
      </w:r>
      <w:r>
        <w:rPr>
          <w:color w:val="000000"/>
          <w:kern w:val="2"/>
          <w:sz w:val="24"/>
          <w:szCs w:val="24"/>
          <w:lang w:eastAsia="hr-HR"/>
          <w14:ligatures w14:val="standardContextual"/>
        </w:rPr>
        <w:t xml:space="preserve">u okviru </w:t>
      </w:r>
      <w:r w:rsidRPr="00B5220E">
        <w:rPr>
          <w:color w:val="000000"/>
          <w:kern w:val="2"/>
          <w:sz w:val="24"/>
          <w:szCs w:val="24"/>
          <w:lang w:eastAsia="hr-HR"/>
          <w14:ligatures w14:val="standardContextual"/>
        </w:rPr>
        <w:t xml:space="preserve">NPOO investicije </w:t>
      </w:r>
      <w:r>
        <w:rPr>
          <w:color w:val="000000"/>
          <w:kern w:val="2"/>
          <w:sz w:val="24"/>
          <w:szCs w:val="24"/>
          <w:lang w:eastAsia="hr-HR"/>
          <w14:ligatures w14:val="standardContextual"/>
        </w:rPr>
        <w:t>„</w:t>
      </w:r>
      <w:r w:rsidRPr="00B5220E">
        <w:rPr>
          <w:color w:val="000000"/>
          <w:kern w:val="2"/>
          <w:sz w:val="24"/>
          <w:szCs w:val="24"/>
          <w:lang w:eastAsia="hr-HR"/>
          <w14:ligatures w14:val="standardContextual"/>
        </w:rPr>
        <w:t>Izrada digitalne mobilne platforme</w:t>
      </w:r>
      <w:r>
        <w:rPr>
          <w:color w:val="000000"/>
          <w:kern w:val="2"/>
          <w:sz w:val="24"/>
          <w:szCs w:val="24"/>
          <w:lang w:eastAsia="hr-HR"/>
          <w14:ligatures w14:val="standardContextual"/>
        </w:rPr>
        <w:t>“, kojima je obuhvaćen</w:t>
      </w:r>
      <w:r w:rsidRPr="00B5220E">
        <w:rPr>
          <w:color w:val="000000"/>
          <w:kern w:val="2"/>
          <w:sz w:val="24"/>
          <w:szCs w:val="24"/>
          <w:lang w:eastAsia="hr-HR"/>
          <w14:ligatures w14:val="standardContextual"/>
        </w:rPr>
        <w:t xml:space="preserve"> razvoj i uspostav</w:t>
      </w:r>
      <w:r>
        <w:rPr>
          <w:color w:val="000000"/>
          <w:kern w:val="2"/>
          <w:sz w:val="24"/>
          <w:szCs w:val="24"/>
          <w:lang w:eastAsia="hr-HR"/>
          <w14:ligatures w14:val="standardContextual"/>
        </w:rPr>
        <w:t>a</w:t>
      </w:r>
      <w:r w:rsidRPr="00B5220E">
        <w:rPr>
          <w:color w:val="000000"/>
          <w:kern w:val="2"/>
          <w:sz w:val="24"/>
          <w:szCs w:val="24"/>
          <w:lang w:eastAsia="hr-HR"/>
          <w14:ligatures w14:val="standardContextual"/>
        </w:rPr>
        <w:t xml:space="preserve"> mobilne platforme i aplikacije m-Građani, uspostav</w:t>
      </w:r>
      <w:r>
        <w:rPr>
          <w:color w:val="000000"/>
          <w:kern w:val="2"/>
          <w:sz w:val="24"/>
          <w:szCs w:val="24"/>
          <w:lang w:eastAsia="hr-HR"/>
          <w14:ligatures w14:val="standardContextual"/>
        </w:rPr>
        <w:t>a</w:t>
      </w:r>
      <w:r w:rsidRPr="00B5220E">
        <w:rPr>
          <w:color w:val="000000"/>
          <w:kern w:val="2"/>
          <w:sz w:val="24"/>
          <w:szCs w:val="24"/>
          <w:lang w:eastAsia="hr-HR"/>
          <w14:ligatures w14:val="standardContextual"/>
        </w:rPr>
        <w:t xml:space="preserve"> integracijskih sučelja za 20 </w:t>
      </w:r>
      <w:r>
        <w:rPr>
          <w:color w:val="000000"/>
          <w:kern w:val="2"/>
          <w:sz w:val="24"/>
          <w:szCs w:val="24"/>
          <w:lang w:eastAsia="hr-HR"/>
          <w14:ligatures w14:val="standardContextual"/>
        </w:rPr>
        <w:t>javnih e-</w:t>
      </w:r>
      <w:r w:rsidRPr="00B5220E">
        <w:rPr>
          <w:color w:val="000000"/>
          <w:kern w:val="2"/>
          <w:sz w:val="24"/>
          <w:szCs w:val="24"/>
          <w:lang w:eastAsia="hr-HR"/>
          <w14:ligatures w14:val="standardContextual"/>
        </w:rPr>
        <w:t>usluga te</w:t>
      </w:r>
      <w:r>
        <w:rPr>
          <w:color w:val="000000"/>
          <w:kern w:val="2"/>
          <w:sz w:val="24"/>
          <w:szCs w:val="24"/>
          <w:lang w:eastAsia="hr-HR"/>
          <w14:ligatures w14:val="standardContextual"/>
        </w:rPr>
        <w:t xml:space="preserve"> su provedene</w:t>
      </w:r>
      <w:r w:rsidRPr="00B5220E">
        <w:rPr>
          <w:color w:val="000000"/>
          <w:kern w:val="2"/>
          <w:sz w:val="24"/>
          <w:szCs w:val="24"/>
          <w:lang w:eastAsia="hr-HR"/>
          <w14:ligatures w14:val="standardContextual"/>
        </w:rPr>
        <w:t xml:space="preserve"> aktivnosti nadogradnje NIAS-a</w:t>
      </w:r>
      <w:r>
        <w:rPr>
          <w:color w:val="000000"/>
          <w:kern w:val="2"/>
          <w:sz w:val="24"/>
          <w:szCs w:val="24"/>
          <w:lang w:eastAsia="hr-HR"/>
          <w14:ligatures w14:val="standardContextual"/>
        </w:rPr>
        <w:t>,</w:t>
      </w:r>
      <w:r w:rsidRPr="00B5220E">
        <w:rPr>
          <w:color w:val="000000"/>
          <w:kern w:val="2"/>
          <w:sz w:val="24"/>
          <w:szCs w:val="24"/>
          <w:lang w:eastAsia="hr-HR"/>
          <w14:ligatures w14:val="standardContextual"/>
        </w:rPr>
        <w:t xml:space="preserve"> što je bio preduvjet za rad sustava mobilne platforme i aplikacije.</w:t>
      </w:r>
    </w:p>
    <w:p w14:paraId="5A4934F8" w14:textId="77777777" w:rsidR="00FB178A" w:rsidRDefault="00FB178A" w:rsidP="00FB178A">
      <w:pPr>
        <w:spacing w:after="240" w:line="276" w:lineRule="auto"/>
        <w:jc w:val="both"/>
        <w:rPr>
          <w:color w:val="000000"/>
          <w:kern w:val="2"/>
          <w:sz w:val="24"/>
          <w:szCs w:val="24"/>
          <w:lang w:eastAsia="hr-HR"/>
          <w14:ligatures w14:val="standardContextual"/>
        </w:rPr>
      </w:pPr>
      <w:r w:rsidRPr="00B5220E">
        <w:rPr>
          <w:color w:val="000000"/>
          <w:kern w:val="2"/>
          <w:sz w:val="24"/>
          <w:szCs w:val="24"/>
          <w:lang w:eastAsia="hr-HR"/>
          <w14:ligatures w14:val="standardContextual"/>
        </w:rPr>
        <w:t xml:space="preserve">Prema Izvješću o stanju digitalnog desetljeća 2025. značajnih 82,5% korisnika interneta u Hrvatskoj koristilo je usluge e-uprave, više od prosjeka EU (70,0%). S druge strane, zabilježene ocjene digitalnih javnih usluga za građane od 75,0 (EU 82,3) i e-usluga za poduzeća od 65,0 (EU 82,70) u Hrvatskoj su i dalje ispod prosjeka EU-a. Prema tom izvješću Hrvatska je ostvarila snažan napredak u digitalnoj infrastrukturi i </w:t>
      </w:r>
      <w:proofErr w:type="spellStart"/>
      <w:r w:rsidRPr="00B5220E">
        <w:rPr>
          <w:color w:val="000000"/>
          <w:kern w:val="2"/>
          <w:sz w:val="24"/>
          <w:szCs w:val="24"/>
          <w:lang w:eastAsia="hr-HR"/>
          <w14:ligatures w14:val="standardContextual"/>
        </w:rPr>
        <w:t>kibernetičkoj</w:t>
      </w:r>
      <w:proofErr w:type="spellEnd"/>
      <w:r w:rsidRPr="00B5220E">
        <w:rPr>
          <w:color w:val="000000"/>
          <w:kern w:val="2"/>
          <w:sz w:val="24"/>
          <w:szCs w:val="24"/>
          <w:lang w:eastAsia="hr-HR"/>
          <w14:ligatures w14:val="standardContextual"/>
        </w:rPr>
        <w:t xml:space="preserve"> sigurnosti, ali se i dalje suočava s izazovima u digitalizaciji malih i srednjih poduzeća i primjeni naprednih tehnologija. Također se jača pozicija strateških tehnoloških sektora poput kvantne komunikacije i poluvodiča</w:t>
      </w:r>
      <w:r>
        <w:rPr>
          <w:color w:val="000000"/>
          <w:kern w:val="2"/>
          <w:sz w:val="24"/>
          <w:szCs w:val="24"/>
          <w:lang w:eastAsia="hr-HR"/>
          <w14:ligatures w14:val="standardContextual"/>
        </w:rPr>
        <w:t>.</w:t>
      </w:r>
    </w:p>
    <w:p w14:paraId="4581FCD6" w14:textId="77777777" w:rsidR="00FB178A" w:rsidRDefault="00FB178A" w:rsidP="00FB178A">
      <w:pPr>
        <w:spacing w:after="240" w:line="276" w:lineRule="auto"/>
        <w:jc w:val="both"/>
        <w:rPr>
          <w:color w:val="000000"/>
          <w:kern w:val="2"/>
          <w:sz w:val="24"/>
          <w:szCs w:val="24"/>
          <w:lang w:eastAsia="hr-HR"/>
          <w14:ligatures w14:val="standardContextual"/>
        </w:rPr>
      </w:pPr>
      <w:r>
        <w:rPr>
          <w:color w:val="000000"/>
          <w:kern w:val="2"/>
          <w:sz w:val="24"/>
          <w:szCs w:val="24"/>
          <w:lang w:eastAsia="hr-HR"/>
          <w14:ligatures w14:val="standardContextual"/>
        </w:rPr>
        <w:t>T</w:t>
      </w:r>
      <w:r w:rsidRPr="000930C3">
        <w:rPr>
          <w:color w:val="000000"/>
          <w:kern w:val="2"/>
          <w:sz w:val="24"/>
          <w:szCs w:val="24"/>
          <w:lang w:eastAsia="hr-HR"/>
          <w14:ligatures w14:val="standardContextual"/>
        </w:rPr>
        <w:t xml:space="preserve">ijekom 2024. </w:t>
      </w:r>
      <w:r>
        <w:rPr>
          <w:color w:val="000000"/>
          <w:kern w:val="2"/>
          <w:sz w:val="24"/>
          <w:szCs w:val="24"/>
          <w:lang w:eastAsia="hr-HR"/>
          <w14:ligatures w14:val="standardContextual"/>
        </w:rPr>
        <w:t>nastavljeno je uvođenje unaprjeđenja u području službene nacionalne statistike. S</w:t>
      </w:r>
      <w:r w:rsidRPr="000930C3">
        <w:rPr>
          <w:color w:val="000000"/>
          <w:kern w:val="2"/>
          <w:sz w:val="24"/>
          <w:szCs w:val="24"/>
          <w:lang w:eastAsia="hr-HR"/>
          <w14:ligatures w14:val="standardContextual"/>
        </w:rPr>
        <w:t xml:space="preserve">lužbena statistika znatno je unaprijeđena provedbom </w:t>
      </w:r>
      <w:r>
        <w:rPr>
          <w:color w:val="000000"/>
          <w:kern w:val="2"/>
          <w:sz w:val="24"/>
          <w:szCs w:val="24"/>
          <w:lang w:eastAsia="hr-HR"/>
          <w14:ligatures w14:val="standardContextual"/>
        </w:rPr>
        <w:t>gotovo 300</w:t>
      </w:r>
      <w:r w:rsidRPr="000930C3">
        <w:rPr>
          <w:color w:val="000000"/>
          <w:kern w:val="2"/>
          <w:sz w:val="24"/>
          <w:szCs w:val="24"/>
          <w:lang w:eastAsia="hr-HR"/>
          <w14:ligatures w14:val="standardContextual"/>
        </w:rPr>
        <w:t xml:space="preserve"> aktivnosti, uključujući uvođenje sedam novih istraživanja, poboljšanja metodologije u 22 istraživanja te smanjenje administrativnog opterećenja za 4.000 izvještajnih jedinica. Kvaliteta i obuhvat podataka dodatno su ojačani kroz </w:t>
      </w:r>
      <w:r>
        <w:rPr>
          <w:color w:val="000000"/>
          <w:kern w:val="2"/>
          <w:sz w:val="24"/>
          <w:szCs w:val="24"/>
          <w:lang w:eastAsia="hr-HR"/>
          <w14:ligatures w14:val="standardContextual"/>
        </w:rPr>
        <w:t xml:space="preserve">uvođenje </w:t>
      </w:r>
      <w:r w:rsidRPr="000930C3">
        <w:rPr>
          <w:color w:val="000000"/>
          <w:kern w:val="2"/>
          <w:sz w:val="24"/>
          <w:szCs w:val="24"/>
          <w:lang w:eastAsia="hr-HR"/>
          <w14:ligatures w14:val="standardContextual"/>
        </w:rPr>
        <w:t>unaprjeđen</w:t>
      </w:r>
      <w:r>
        <w:rPr>
          <w:color w:val="000000"/>
          <w:kern w:val="2"/>
          <w:sz w:val="24"/>
          <w:szCs w:val="24"/>
          <w:lang w:eastAsia="hr-HR"/>
          <w14:ligatures w14:val="standardContextual"/>
        </w:rPr>
        <w:t>j</w:t>
      </w:r>
      <w:r w:rsidRPr="000930C3">
        <w:rPr>
          <w:color w:val="000000"/>
          <w:kern w:val="2"/>
          <w:sz w:val="24"/>
          <w:szCs w:val="24"/>
          <w:lang w:eastAsia="hr-HR"/>
          <w14:ligatures w14:val="standardContextual"/>
        </w:rPr>
        <w:t xml:space="preserve">a </w:t>
      </w:r>
      <w:r>
        <w:rPr>
          <w:color w:val="000000"/>
          <w:kern w:val="2"/>
          <w:sz w:val="24"/>
          <w:szCs w:val="24"/>
          <w:lang w:eastAsia="hr-HR"/>
          <w14:ligatures w14:val="standardContextual"/>
        </w:rPr>
        <w:t xml:space="preserve">u proces </w:t>
      </w:r>
      <w:r w:rsidRPr="000930C3">
        <w:rPr>
          <w:color w:val="000000"/>
          <w:kern w:val="2"/>
          <w:sz w:val="24"/>
          <w:szCs w:val="24"/>
          <w:lang w:eastAsia="hr-HR"/>
          <w14:ligatures w14:val="standardContextual"/>
        </w:rPr>
        <w:t xml:space="preserve">prikupljanja </w:t>
      </w:r>
      <w:r>
        <w:rPr>
          <w:color w:val="000000"/>
          <w:kern w:val="2"/>
          <w:sz w:val="24"/>
          <w:szCs w:val="24"/>
          <w:lang w:eastAsia="hr-HR"/>
          <w14:ligatures w14:val="standardContextual"/>
        </w:rPr>
        <w:t>uz</w:t>
      </w:r>
      <w:r w:rsidRPr="000930C3">
        <w:rPr>
          <w:color w:val="000000"/>
          <w:kern w:val="2"/>
          <w:sz w:val="24"/>
          <w:szCs w:val="24"/>
          <w:lang w:eastAsia="hr-HR"/>
          <w14:ligatures w14:val="standardContextual"/>
        </w:rPr>
        <w:t xml:space="preserve"> skraćivanje rokova objave, uz </w:t>
      </w:r>
      <w:r>
        <w:rPr>
          <w:color w:val="000000"/>
          <w:kern w:val="2"/>
          <w:sz w:val="24"/>
          <w:szCs w:val="24"/>
          <w:lang w:eastAsia="hr-HR"/>
          <w14:ligatures w14:val="standardContextual"/>
        </w:rPr>
        <w:t xml:space="preserve">istovremeno </w:t>
      </w:r>
      <w:r w:rsidRPr="000930C3">
        <w:rPr>
          <w:color w:val="000000"/>
          <w:kern w:val="2"/>
          <w:sz w:val="24"/>
          <w:szCs w:val="24"/>
          <w:lang w:eastAsia="hr-HR"/>
          <w14:ligatures w14:val="standardContextual"/>
        </w:rPr>
        <w:t>proširenje dostupnosti podataka putem Portala za diseminaciju, PC-</w:t>
      </w:r>
      <w:proofErr w:type="spellStart"/>
      <w:r w:rsidRPr="000930C3">
        <w:rPr>
          <w:color w:val="000000"/>
          <w:kern w:val="2"/>
          <w:sz w:val="24"/>
          <w:szCs w:val="24"/>
          <w:lang w:eastAsia="hr-HR"/>
          <w14:ligatures w14:val="standardContextual"/>
        </w:rPr>
        <w:t>Axis</w:t>
      </w:r>
      <w:proofErr w:type="spellEnd"/>
      <w:r w:rsidRPr="000930C3">
        <w:rPr>
          <w:color w:val="000000"/>
          <w:kern w:val="2"/>
          <w:sz w:val="24"/>
          <w:szCs w:val="24"/>
          <w:lang w:eastAsia="hr-HR"/>
          <w14:ligatures w14:val="standardContextual"/>
        </w:rPr>
        <w:t xml:space="preserve"> baza i </w:t>
      </w:r>
      <w:proofErr w:type="spellStart"/>
      <w:r w:rsidRPr="000930C3">
        <w:rPr>
          <w:color w:val="000000"/>
          <w:kern w:val="2"/>
          <w:sz w:val="24"/>
          <w:szCs w:val="24"/>
          <w:lang w:eastAsia="hr-HR"/>
          <w14:ligatures w14:val="standardContextual"/>
        </w:rPr>
        <w:t>GeoSTAT</w:t>
      </w:r>
      <w:proofErr w:type="spellEnd"/>
      <w:r>
        <w:rPr>
          <w:color w:val="000000"/>
          <w:kern w:val="2"/>
          <w:sz w:val="24"/>
          <w:szCs w:val="24"/>
          <w:lang w:eastAsia="hr-HR"/>
          <w14:ligatures w14:val="standardContextual"/>
        </w:rPr>
        <w:t xml:space="preserve"> portala</w:t>
      </w:r>
      <w:r w:rsidRPr="000930C3">
        <w:rPr>
          <w:color w:val="000000"/>
          <w:kern w:val="2"/>
          <w:sz w:val="24"/>
          <w:szCs w:val="24"/>
          <w:lang w:eastAsia="hr-HR"/>
          <w14:ligatures w14:val="standardContextual"/>
        </w:rPr>
        <w:t xml:space="preserve">. Digitalna komunikacija i vidljivost statističkog sadržaja ojačane su interaktivnim publikacijama, novim internetskim rubrikama i rastom pratitelja na društvenim mrežama. </w:t>
      </w:r>
      <w:r>
        <w:rPr>
          <w:color w:val="000000"/>
          <w:kern w:val="2"/>
          <w:sz w:val="24"/>
          <w:szCs w:val="24"/>
          <w:lang w:eastAsia="hr-HR"/>
          <w14:ligatures w14:val="standardContextual"/>
        </w:rPr>
        <w:t>D</w:t>
      </w:r>
      <w:r w:rsidRPr="004C6C0B">
        <w:rPr>
          <w:color w:val="000000"/>
          <w:kern w:val="2"/>
          <w:sz w:val="24"/>
          <w:szCs w:val="24"/>
          <w:lang w:eastAsia="hr-HR"/>
          <w14:ligatures w14:val="standardContextual"/>
        </w:rPr>
        <w:t>odatn</w:t>
      </w:r>
      <w:r>
        <w:rPr>
          <w:color w:val="000000"/>
          <w:kern w:val="2"/>
          <w:sz w:val="24"/>
          <w:szCs w:val="24"/>
          <w:lang w:eastAsia="hr-HR"/>
          <w14:ligatures w14:val="standardContextual"/>
        </w:rPr>
        <w:t xml:space="preserve">a </w:t>
      </w:r>
      <w:r w:rsidRPr="004C6C0B">
        <w:rPr>
          <w:color w:val="000000"/>
          <w:kern w:val="2"/>
          <w:sz w:val="24"/>
          <w:szCs w:val="24"/>
          <w:lang w:eastAsia="hr-HR"/>
          <w14:ligatures w14:val="standardContextual"/>
        </w:rPr>
        <w:t>unaprjeđen</w:t>
      </w:r>
      <w:r>
        <w:rPr>
          <w:color w:val="000000"/>
          <w:kern w:val="2"/>
          <w:sz w:val="24"/>
          <w:szCs w:val="24"/>
          <w:lang w:eastAsia="hr-HR"/>
          <w14:ligatures w14:val="standardContextual"/>
        </w:rPr>
        <w:t>j</w:t>
      </w:r>
      <w:r w:rsidRPr="004C6C0B">
        <w:rPr>
          <w:color w:val="000000"/>
          <w:kern w:val="2"/>
          <w:sz w:val="24"/>
          <w:szCs w:val="24"/>
          <w:lang w:eastAsia="hr-HR"/>
          <w14:ligatures w14:val="standardContextual"/>
        </w:rPr>
        <w:t>a</w:t>
      </w:r>
      <w:r>
        <w:rPr>
          <w:color w:val="000000"/>
          <w:kern w:val="2"/>
          <w:sz w:val="24"/>
          <w:szCs w:val="24"/>
          <w:lang w:eastAsia="hr-HR"/>
          <w14:ligatures w14:val="standardContextual"/>
        </w:rPr>
        <w:t xml:space="preserve"> su uvedena</w:t>
      </w:r>
      <w:r w:rsidRPr="004C6C0B">
        <w:rPr>
          <w:color w:val="000000"/>
          <w:kern w:val="2"/>
          <w:sz w:val="24"/>
          <w:szCs w:val="24"/>
          <w:lang w:eastAsia="hr-HR"/>
          <w14:ligatures w14:val="standardContextual"/>
        </w:rPr>
        <w:t xml:space="preserve"> jačanjem odnosa s korisnicima i racionalnijim upravljanjem resursima. Broj korisničkih zahtjeva smanjen je za 16 posto, a povećan je interes za posebne obrade, pri čemu su najtraženiji podaci bili iz područja tržišta rada, stanovništva i industrije. Nastavljena je digitalizacija knjižnične građe i suradnja sa znanstvenom zajednicom, uz uvođenje sustava procjenjivanja troškova statističkih procesa radi učinkovitije organizacije rada. Aktivno uključivanje korisnika i stručne javnosti osigurano je kroz savjetovanja te rad Statističkog savjeta, čime su napreci u kvaliteti podataka, metodologiji i digitalnim alatima dodatno učvršćeni kao ključan iskorak u modernizaciji službene statistike tijekom 2024. godine.</w:t>
      </w:r>
    </w:p>
    <w:p w14:paraId="26CD896A" w14:textId="77777777" w:rsidR="00FB178A" w:rsidRDefault="00FB178A" w:rsidP="00FB178A">
      <w:pPr>
        <w:spacing w:after="240" w:line="276" w:lineRule="auto"/>
        <w:jc w:val="both"/>
        <w:rPr>
          <w:color w:val="000000"/>
          <w:kern w:val="2"/>
          <w:sz w:val="24"/>
          <w:szCs w:val="24"/>
          <w:lang w:eastAsia="hr-HR"/>
          <w14:ligatures w14:val="standardContextual"/>
        </w:rPr>
      </w:pPr>
    </w:p>
    <w:p w14:paraId="361D8206" w14:textId="77777777" w:rsidR="00FB178A" w:rsidRDefault="00FB178A" w:rsidP="00FB178A">
      <w:pPr>
        <w:spacing w:before="240" w:after="240" w:line="276" w:lineRule="auto"/>
        <w:ind w:firstLine="709"/>
        <w:jc w:val="both"/>
        <w:rPr>
          <w:b/>
          <w:color w:val="000000"/>
          <w:kern w:val="2"/>
          <w:sz w:val="24"/>
          <w:szCs w:val="24"/>
          <w:lang w:eastAsia="hr-HR"/>
          <w14:ligatures w14:val="standardContextual"/>
        </w:rPr>
      </w:pPr>
      <w:r w:rsidRPr="0004221B">
        <w:rPr>
          <w:b/>
          <w:bCs/>
          <w:color w:val="000000"/>
          <w:kern w:val="2"/>
          <w:sz w:val="24"/>
          <w:szCs w:val="24"/>
          <w:lang w:eastAsia="hr-HR"/>
          <w14:ligatures w14:val="standardContextual"/>
        </w:rPr>
        <w:lastRenderedPageBreak/>
        <w:t>Poboljšanje upravljanja državnom imovinom</w:t>
      </w:r>
    </w:p>
    <w:p w14:paraId="2511E3D8" w14:textId="77777777" w:rsidR="00FB178A" w:rsidRDefault="00FB178A" w:rsidP="00FB178A">
      <w:pPr>
        <w:spacing w:after="240" w:line="276" w:lineRule="auto"/>
        <w:ind w:firstLine="720"/>
        <w:jc w:val="both"/>
        <w:rPr>
          <w:color w:val="000000"/>
          <w:kern w:val="2"/>
          <w:sz w:val="24"/>
          <w:szCs w:val="24"/>
          <w:lang w:eastAsia="hr-HR"/>
          <w14:ligatures w14:val="standardContextual"/>
        </w:rPr>
      </w:pPr>
      <w:r w:rsidRPr="004C5897">
        <w:rPr>
          <w:color w:val="000000"/>
          <w:kern w:val="2"/>
          <w:sz w:val="24"/>
          <w:szCs w:val="24"/>
          <w:lang w:eastAsia="hr-HR"/>
          <w14:ligatures w14:val="standardContextual"/>
        </w:rPr>
        <w:t>U 2024</w:t>
      </w:r>
      <w:r>
        <w:rPr>
          <w:color w:val="000000"/>
          <w:kern w:val="2"/>
          <w:sz w:val="24"/>
          <w:szCs w:val="24"/>
          <w:lang w:eastAsia="hr-HR"/>
          <w14:ligatures w14:val="standardContextual"/>
        </w:rPr>
        <w:t xml:space="preserve">. nastavljena je provedba započetih reformskih mjera </w:t>
      </w:r>
      <w:r w:rsidRPr="004C5897">
        <w:rPr>
          <w:color w:val="000000"/>
          <w:kern w:val="2"/>
          <w:sz w:val="24"/>
          <w:szCs w:val="24"/>
          <w:lang w:eastAsia="hr-HR"/>
          <w14:ligatures w14:val="standardContextual"/>
        </w:rPr>
        <w:t xml:space="preserve">u okviru </w:t>
      </w:r>
      <w:r>
        <w:rPr>
          <w:color w:val="000000"/>
          <w:kern w:val="2"/>
          <w:sz w:val="24"/>
          <w:szCs w:val="24"/>
          <w:lang w:eastAsia="hr-HR"/>
          <w14:ligatures w14:val="standardContextual"/>
        </w:rPr>
        <w:t xml:space="preserve">prioritetnog područja javne </w:t>
      </w:r>
      <w:r w:rsidRPr="004C5897">
        <w:rPr>
          <w:color w:val="000000"/>
          <w:kern w:val="2"/>
          <w:sz w:val="24"/>
          <w:szCs w:val="24"/>
          <w:lang w:eastAsia="hr-HR"/>
          <w14:ligatures w14:val="standardContextual"/>
        </w:rPr>
        <w:t xml:space="preserve">politike </w:t>
      </w:r>
      <w:r>
        <w:rPr>
          <w:color w:val="000000"/>
          <w:kern w:val="2"/>
          <w:sz w:val="24"/>
          <w:szCs w:val="24"/>
          <w:lang w:eastAsia="hr-HR"/>
          <w14:ligatures w14:val="standardContextual"/>
        </w:rPr>
        <w:t>usmjerenog na p</w:t>
      </w:r>
      <w:r w:rsidRPr="004C5897">
        <w:rPr>
          <w:color w:val="000000"/>
          <w:kern w:val="2"/>
          <w:sz w:val="24"/>
          <w:szCs w:val="24"/>
          <w:lang w:eastAsia="hr-HR"/>
          <w14:ligatures w14:val="standardContextual"/>
        </w:rPr>
        <w:t xml:space="preserve">oboljšanje upravljanja državnom imovinom. </w:t>
      </w:r>
      <w:r w:rsidRPr="00DF1916">
        <w:rPr>
          <w:color w:val="000000"/>
          <w:kern w:val="2"/>
          <w:sz w:val="24"/>
          <w:szCs w:val="24"/>
          <w:lang w:eastAsia="hr-HR"/>
          <w14:ligatures w14:val="standardContextual"/>
        </w:rPr>
        <w:t>Ključni ciljevi bili su</w:t>
      </w:r>
      <w:r>
        <w:rPr>
          <w:color w:val="000000"/>
          <w:kern w:val="2"/>
          <w:sz w:val="24"/>
          <w:szCs w:val="24"/>
          <w:lang w:eastAsia="hr-HR"/>
          <w14:ligatures w14:val="standardContextual"/>
        </w:rPr>
        <w:t xml:space="preserve"> s</w:t>
      </w:r>
      <w:r w:rsidRPr="00DF1916">
        <w:rPr>
          <w:color w:val="000000"/>
          <w:kern w:val="2"/>
          <w:sz w:val="24"/>
          <w:szCs w:val="24"/>
          <w:lang w:eastAsia="hr-HR"/>
          <w14:ligatures w14:val="standardContextual"/>
        </w:rPr>
        <w:t>manjenje portfelja nekretnina</w:t>
      </w:r>
      <w:r>
        <w:rPr>
          <w:color w:val="000000"/>
          <w:kern w:val="2"/>
          <w:sz w:val="24"/>
          <w:szCs w:val="24"/>
          <w:lang w:eastAsia="hr-HR"/>
          <w14:ligatures w14:val="standardContextual"/>
        </w:rPr>
        <w:t>, u</w:t>
      </w:r>
      <w:r w:rsidRPr="00DF1916">
        <w:rPr>
          <w:color w:val="000000"/>
          <w:kern w:val="2"/>
          <w:sz w:val="24"/>
          <w:szCs w:val="24"/>
          <w:lang w:eastAsia="hr-HR"/>
          <w14:ligatures w14:val="standardContextual"/>
        </w:rPr>
        <w:t>brzanje aktivacije neiskorištenih nekretnina</w:t>
      </w:r>
      <w:r>
        <w:rPr>
          <w:color w:val="000000"/>
          <w:kern w:val="2"/>
          <w:sz w:val="24"/>
          <w:szCs w:val="24"/>
          <w:lang w:eastAsia="hr-HR"/>
          <w14:ligatures w14:val="standardContextual"/>
        </w:rPr>
        <w:t>, j</w:t>
      </w:r>
      <w:r w:rsidRPr="00DF1916">
        <w:rPr>
          <w:color w:val="000000"/>
          <w:kern w:val="2"/>
          <w:sz w:val="24"/>
          <w:szCs w:val="24"/>
          <w:lang w:eastAsia="hr-HR"/>
          <w14:ligatures w14:val="standardContextual"/>
        </w:rPr>
        <w:t>ačanje investicijskog potencijala</w:t>
      </w:r>
      <w:r>
        <w:rPr>
          <w:color w:val="000000"/>
          <w:kern w:val="2"/>
          <w:sz w:val="24"/>
          <w:szCs w:val="24"/>
          <w:lang w:eastAsia="hr-HR"/>
          <w14:ligatures w14:val="standardContextual"/>
        </w:rPr>
        <w:t xml:space="preserve"> nekretnina te jačanje mehanizama za aktivaciju nekretnina</w:t>
      </w:r>
      <w:r w:rsidRPr="00DF1916">
        <w:rPr>
          <w:color w:val="000000"/>
          <w:kern w:val="2"/>
          <w:sz w:val="24"/>
          <w:szCs w:val="24"/>
          <w:lang w:eastAsia="hr-HR"/>
          <w14:ligatures w14:val="standardContextual"/>
        </w:rPr>
        <w:t xml:space="preserve"> za potrebe javnih politika i razvojnih projekata</w:t>
      </w:r>
      <w:r>
        <w:rPr>
          <w:color w:val="000000"/>
          <w:kern w:val="2"/>
          <w:sz w:val="24"/>
          <w:szCs w:val="24"/>
          <w:lang w:eastAsia="hr-HR"/>
          <w14:ligatures w14:val="standardContextual"/>
        </w:rPr>
        <w:t xml:space="preserve">. </w:t>
      </w:r>
    </w:p>
    <w:p w14:paraId="3A5E89C5" w14:textId="77777777" w:rsidR="00FB178A" w:rsidRDefault="00FB178A" w:rsidP="00FB178A">
      <w:pPr>
        <w:spacing w:after="240" w:line="276" w:lineRule="auto"/>
        <w:jc w:val="both"/>
        <w:rPr>
          <w:color w:val="000000"/>
          <w:kern w:val="2"/>
          <w:sz w:val="24"/>
          <w:szCs w:val="24"/>
          <w:lang w:eastAsia="hr-HR"/>
          <w14:ligatures w14:val="standardContextual"/>
        </w:rPr>
      </w:pPr>
      <w:r w:rsidRPr="0004221B">
        <w:rPr>
          <w:color w:val="000000"/>
          <w:kern w:val="2"/>
          <w:sz w:val="24"/>
          <w:szCs w:val="24"/>
          <w:lang w:eastAsia="hr-HR"/>
          <w14:ligatures w14:val="standardContextual"/>
        </w:rPr>
        <w:t>U skladu s ciljem brže aktivacije i smanjenja portfelja nekretnina te temeljem novog Zakona o upravljanju nekretninama i pokretninama u vlasništvu Republike Hrvatske (</w:t>
      </w:r>
      <w:r>
        <w:rPr>
          <w:color w:val="000000"/>
          <w:kern w:val="2"/>
          <w:sz w:val="24"/>
          <w:szCs w:val="24"/>
          <w:lang w:eastAsia="hr-HR"/>
          <w14:ligatures w14:val="standardContextual"/>
        </w:rPr>
        <w:t>„Narodne novine“, broj</w:t>
      </w:r>
      <w:r w:rsidRPr="0004221B">
        <w:rPr>
          <w:color w:val="000000"/>
          <w:kern w:val="2"/>
          <w:sz w:val="24"/>
          <w:szCs w:val="24"/>
          <w:lang w:eastAsia="hr-HR"/>
          <w14:ligatures w14:val="standardContextual"/>
        </w:rPr>
        <w:t xml:space="preserve"> 155/23</w:t>
      </w:r>
      <w:r>
        <w:rPr>
          <w:color w:val="000000"/>
          <w:kern w:val="2"/>
          <w:sz w:val="24"/>
          <w:szCs w:val="24"/>
          <w:lang w:eastAsia="hr-HR"/>
          <w14:ligatures w14:val="standardContextual"/>
        </w:rPr>
        <w:t>.</w:t>
      </w:r>
      <w:r w:rsidRPr="0004221B">
        <w:rPr>
          <w:color w:val="000000"/>
          <w:kern w:val="2"/>
          <w:sz w:val="24"/>
          <w:szCs w:val="24"/>
          <w:lang w:eastAsia="hr-HR"/>
          <w14:ligatures w14:val="standardContextual"/>
        </w:rPr>
        <w:t xml:space="preserve">), tijekom 2024. </w:t>
      </w:r>
      <w:r w:rsidRPr="00405985">
        <w:rPr>
          <w:color w:val="000000"/>
          <w:kern w:val="2"/>
          <w:sz w:val="24"/>
          <w:szCs w:val="24"/>
          <w:lang w:eastAsia="hr-HR"/>
          <w14:ligatures w14:val="standardContextual"/>
        </w:rPr>
        <w:t xml:space="preserve">objavljeno je ukupno 30 javnih natječaja za raspolaganje nekretninama u </w:t>
      </w:r>
      <w:r>
        <w:rPr>
          <w:color w:val="000000"/>
          <w:kern w:val="2"/>
          <w:sz w:val="24"/>
          <w:szCs w:val="24"/>
          <w:lang w:eastAsia="hr-HR"/>
          <w14:ligatures w14:val="standardContextual"/>
        </w:rPr>
        <w:t xml:space="preserve">državnom </w:t>
      </w:r>
      <w:r w:rsidRPr="00405985">
        <w:rPr>
          <w:color w:val="000000"/>
          <w:kern w:val="2"/>
          <w:sz w:val="24"/>
          <w:szCs w:val="24"/>
          <w:lang w:eastAsia="hr-HR"/>
          <w14:ligatures w14:val="standardContextual"/>
        </w:rPr>
        <w:t>vlasništvu</w:t>
      </w:r>
      <w:r>
        <w:rPr>
          <w:color w:val="000000"/>
          <w:kern w:val="2"/>
          <w:sz w:val="24"/>
          <w:szCs w:val="24"/>
          <w:lang w:eastAsia="hr-HR"/>
          <w14:ligatures w14:val="standardContextual"/>
        </w:rPr>
        <w:t>,</w:t>
      </w:r>
      <w:r w:rsidRPr="00405985">
        <w:rPr>
          <w:color w:val="000000"/>
          <w:kern w:val="2"/>
          <w:sz w:val="24"/>
          <w:szCs w:val="24"/>
          <w:lang w:eastAsia="hr-HR"/>
          <w14:ligatures w14:val="standardContextual"/>
        </w:rPr>
        <w:t xml:space="preserve"> od čega je 20 </w:t>
      </w:r>
      <w:r>
        <w:rPr>
          <w:color w:val="000000"/>
          <w:kern w:val="2"/>
          <w:sz w:val="24"/>
          <w:szCs w:val="24"/>
          <w:lang w:eastAsia="hr-HR"/>
          <w14:ligatures w14:val="standardContextual"/>
        </w:rPr>
        <w:t>natječaja</w:t>
      </w:r>
      <w:r w:rsidRPr="00405985">
        <w:rPr>
          <w:color w:val="000000"/>
          <w:kern w:val="2"/>
          <w:sz w:val="24"/>
          <w:szCs w:val="24"/>
          <w:lang w:eastAsia="hr-HR"/>
          <w14:ligatures w14:val="standardContextual"/>
        </w:rPr>
        <w:t xml:space="preserve"> za kupoprodaju zemljišta</w:t>
      </w:r>
      <w:r>
        <w:rPr>
          <w:color w:val="000000"/>
          <w:kern w:val="2"/>
          <w:sz w:val="24"/>
          <w:szCs w:val="24"/>
          <w:lang w:eastAsia="hr-HR"/>
          <w14:ligatures w14:val="standardContextual"/>
        </w:rPr>
        <w:t>,</w:t>
      </w:r>
      <w:r w:rsidRPr="00405985">
        <w:rPr>
          <w:color w:val="000000"/>
          <w:kern w:val="2"/>
          <w:sz w:val="24"/>
          <w:szCs w:val="24"/>
          <w:lang w:eastAsia="hr-HR"/>
          <w14:ligatures w14:val="standardContextual"/>
        </w:rPr>
        <w:t xml:space="preserve"> a 10 natječaja za zakup poslovnih prostora. Također, sklopljen je ukupno 661 ugovor o raspolaganju nekretninama. </w:t>
      </w:r>
      <w:r w:rsidRPr="000E68E3">
        <w:rPr>
          <w:color w:val="000000"/>
          <w:kern w:val="2"/>
          <w:sz w:val="24"/>
          <w:szCs w:val="24"/>
          <w:lang w:eastAsia="hr-HR"/>
          <w14:ligatures w14:val="standardContextual"/>
        </w:rPr>
        <w:t>Ukupno je sklopljeno 574 ugovora uz naknadu, ukupne vrijednosti 10 milijuna eura</w:t>
      </w:r>
      <w:r>
        <w:rPr>
          <w:color w:val="000000"/>
          <w:kern w:val="2"/>
          <w:sz w:val="24"/>
          <w:szCs w:val="24"/>
          <w:lang w:eastAsia="hr-HR"/>
          <w14:ligatures w14:val="standardContextual"/>
        </w:rPr>
        <w:t>. Sklopljeno je</w:t>
      </w:r>
      <w:r w:rsidRPr="00405985">
        <w:rPr>
          <w:color w:val="000000"/>
          <w:kern w:val="2"/>
          <w:sz w:val="24"/>
          <w:szCs w:val="24"/>
          <w:lang w:eastAsia="hr-HR"/>
          <w14:ligatures w14:val="standardContextual"/>
        </w:rPr>
        <w:t xml:space="preserve"> 96 ugovora o kupoprodaji nekretnina i sporazuma o razvrgnuću suvlasničke zajednice ugovorne vrijednosti 6,78 milijuna eura te 442 ugovora o zakupu poslovnog prostora i najmu stanova godišnje vrijednosti zakupa u iznosu od  2,76 milijuna eura</w:t>
      </w:r>
      <w:r>
        <w:rPr>
          <w:color w:val="000000"/>
          <w:kern w:val="2"/>
          <w:sz w:val="24"/>
          <w:szCs w:val="24"/>
          <w:lang w:eastAsia="hr-HR"/>
          <w14:ligatures w14:val="standardContextual"/>
        </w:rPr>
        <w:t xml:space="preserve">. </w:t>
      </w:r>
      <w:r w:rsidRPr="00405985">
        <w:rPr>
          <w:color w:val="000000"/>
          <w:kern w:val="2"/>
          <w:sz w:val="24"/>
          <w:szCs w:val="24"/>
          <w:lang w:eastAsia="hr-HR"/>
          <w14:ligatures w14:val="standardContextual"/>
        </w:rPr>
        <w:t>Sklopljeno je i 87 ugovora bez naknade</w:t>
      </w:r>
      <w:r>
        <w:rPr>
          <w:color w:val="000000"/>
          <w:kern w:val="2"/>
          <w:sz w:val="24"/>
          <w:szCs w:val="24"/>
          <w:lang w:eastAsia="hr-HR"/>
          <w14:ligatures w14:val="standardContextual"/>
        </w:rPr>
        <w:t>,</w:t>
      </w:r>
      <w:r w:rsidRPr="00405985">
        <w:rPr>
          <w:color w:val="000000"/>
          <w:kern w:val="2"/>
          <w:sz w:val="24"/>
          <w:szCs w:val="24"/>
          <w:lang w:eastAsia="hr-HR"/>
          <w14:ligatures w14:val="standardContextual"/>
        </w:rPr>
        <w:t xml:space="preserve"> od čega 32 ugovora o darovanju procijenjene vrijednosti nekretnina u iznosu od 47,44 milijuna eura.</w:t>
      </w:r>
    </w:p>
    <w:p w14:paraId="57D81C2A" w14:textId="77777777" w:rsidR="00FB178A" w:rsidRDefault="00FB178A" w:rsidP="00FB178A">
      <w:pPr>
        <w:spacing w:after="240" w:line="276" w:lineRule="auto"/>
        <w:jc w:val="both"/>
        <w:rPr>
          <w:color w:val="000000"/>
          <w:kern w:val="2"/>
          <w:sz w:val="24"/>
          <w:szCs w:val="24"/>
          <w:lang w:eastAsia="hr-HR"/>
          <w14:ligatures w14:val="standardContextual"/>
        </w:rPr>
      </w:pPr>
      <w:r w:rsidRPr="00E8513D">
        <w:rPr>
          <w:color w:val="000000"/>
          <w:kern w:val="2"/>
          <w:sz w:val="24"/>
          <w:szCs w:val="24"/>
          <w:lang w:eastAsia="hr-HR"/>
          <w14:ligatures w14:val="standardContextual"/>
        </w:rPr>
        <w:t xml:space="preserve">Tijekom 2024. </w:t>
      </w:r>
      <w:r>
        <w:rPr>
          <w:color w:val="000000"/>
          <w:kern w:val="2"/>
          <w:sz w:val="24"/>
          <w:szCs w:val="24"/>
          <w:lang w:eastAsia="hr-HR"/>
          <w14:ligatures w14:val="standardContextual"/>
        </w:rPr>
        <w:t xml:space="preserve">posebna </w:t>
      </w:r>
      <w:r w:rsidRPr="00E8513D">
        <w:rPr>
          <w:color w:val="000000"/>
          <w:kern w:val="2"/>
          <w:sz w:val="24"/>
          <w:szCs w:val="24"/>
          <w:lang w:eastAsia="hr-HR"/>
          <w14:ligatures w14:val="standardContextual"/>
        </w:rPr>
        <w:t>pozornost usmjer</w:t>
      </w:r>
      <w:r>
        <w:rPr>
          <w:color w:val="000000"/>
          <w:kern w:val="2"/>
          <w:sz w:val="24"/>
          <w:szCs w:val="24"/>
          <w:lang w:eastAsia="hr-HR"/>
          <w14:ligatures w14:val="standardContextual"/>
        </w:rPr>
        <w:t>ena je</w:t>
      </w:r>
      <w:r w:rsidRPr="00E8513D">
        <w:rPr>
          <w:color w:val="000000"/>
          <w:kern w:val="2"/>
          <w:sz w:val="24"/>
          <w:szCs w:val="24"/>
          <w:lang w:eastAsia="hr-HR"/>
          <w14:ligatures w14:val="standardContextual"/>
        </w:rPr>
        <w:t xml:space="preserve"> na provedbu novog Zakona o upravljanju nekretninama i pokretninama u vlasništvu Republike Hrvatske. U okviru provedbe zakona, izrađen je niz </w:t>
      </w:r>
      <w:proofErr w:type="spellStart"/>
      <w:r w:rsidRPr="00E8513D">
        <w:rPr>
          <w:color w:val="000000"/>
          <w:kern w:val="2"/>
          <w:sz w:val="24"/>
          <w:szCs w:val="24"/>
          <w:lang w:eastAsia="hr-HR"/>
          <w14:ligatures w14:val="standardContextual"/>
        </w:rPr>
        <w:t>podzakonskih</w:t>
      </w:r>
      <w:proofErr w:type="spellEnd"/>
      <w:r w:rsidRPr="00E8513D">
        <w:rPr>
          <w:color w:val="000000"/>
          <w:kern w:val="2"/>
          <w:sz w:val="24"/>
          <w:szCs w:val="24"/>
          <w:lang w:eastAsia="hr-HR"/>
          <w14:ligatures w14:val="standardContextual"/>
        </w:rPr>
        <w:t xml:space="preserve"> akata, a donesena je i Uredba o davanju na uporabu nekretnina u vlasništvu R</w:t>
      </w:r>
      <w:r>
        <w:rPr>
          <w:color w:val="000000"/>
          <w:kern w:val="2"/>
          <w:sz w:val="24"/>
          <w:szCs w:val="24"/>
          <w:lang w:eastAsia="hr-HR"/>
          <w14:ligatures w14:val="standardContextual"/>
        </w:rPr>
        <w:t>epublike Hrvatske</w:t>
      </w:r>
      <w:r w:rsidRPr="00E8513D">
        <w:rPr>
          <w:color w:val="000000"/>
          <w:kern w:val="2"/>
          <w:sz w:val="24"/>
          <w:szCs w:val="24"/>
          <w:lang w:eastAsia="hr-HR"/>
          <w14:ligatures w14:val="standardContextual"/>
        </w:rPr>
        <w:t xml:space="preserve"> tijelima državne uprave, drugim subjektima </w:t>
      </w:r>
      <w:r>
        <w:rPr>
          <w:color w:val="000000"/>
          <w:kern w:val="2"/>
          <w:sz w:val="24"/>
          <w:szCs w:val="24"/>
          <w:lang w:eastAsia="hr-HR"/>
          <w14:ligatures w14:val="standardContextual"/>
        </w:rPr>
        <w:t xml:space="preserve">i </w:t>
      </w:r>
      <w:r w:rsidRPr="002C5A45">
        <w:rPr>
          <w:color w:val="000000"/>
          <w:kern w:val="2"/>
          <w:sz w:val="24"/>
          <w:szCs w:val="24"/>
          <w:lang w:eastAsia="hr-HR"/>
          <w14:ligatures w14:val="standardContextual"/>
        </w:rPr>
        <w:t>jedinicama lokalne ili područne (regionalne) samouprave</w:t>
      </w:r>
      <w:r>
        <w:rPr>
          <w:color w:val="000000"/>
          <w:kern w:val="2"/>
          <w:sz w:val="24"/>
          <w:szCs w:val="24"/>
          <w:lang w:eastAsia="hr-HR"/>
          <w14:ligatures w14:val="standardContextual"/>
        </w:rPr>
        <w:t xml:space="preserve"> </w:t>
      </w:r>
      <w:r w:rsidRPr="00E8513D">
        <w:rPr>
          <w:color w:val="000000"/>
          <w:kern w:val="2"/>
          <w:sz w:val="24"/>
          <w:szCs w:val="24"/>
          <w:lang w:eastAsia="hr-HR"/>
          <w14:ligatures w14:val="standardContextual"/>
        </w:rPr>
        <w:t>(</w:t>
      </w:r>
      <w:r>
        <w:rPr>
          <w:color w:val="000000"/>
          <w:kern w:val="2"/>
          <w:sz w:val="24"/>
          <w:szCs w:val="24"/>
          <w:lang w:eastAsia="hr-HR"/>
          <w14:ligatures w14:val="standardContextual"/>
        </w:rPr>
        <w:t>„Narodne novine“, broj 1</w:t>
      </w:r>
      <w:r w:rsidRPr="00E8513D">
        <w:rPr>
          <w:color w:val="000000"/>
          <w:kern w:val="2"/>
          <w:sz w:val="24"/>
          <w:szCs w:val="24"/>
          <w:lang w:eastAsia="hr-HR"/>
          <w14:ligatures w14:val="standardContextual"/>
        </w:rPr>
        <w:t>28/24</w:t>
      </w:r>
      <w:r>
        <w:rPr>
          <w:color w:val="000000"/>
          <w:kern w:val="2"/>
          <w:sz w:val="24"/>
          <w:szCs w:val="24"/>
          <w:lang w:eastAsia="hr-HR"/>
          <w14:ligatures w14:val="standardContextual"/>
        </w:rPr>
        <w:t>.</w:t>
      </w:r>
      <w:r w:rsidRPr="00E8513D">
        <w:rPr>
          <w:color w:val="000000"/>
          <w:kern w:val="2"/>
          <w:sz w:val="24"/>
          <w:szCs w:val="24"/>
          <w:lang w:eastAsia="hr-HR"/>
          <w14:ligatures w14:val="standardContextual"/>
        </w:rPr>
        <w:t>).</w:t>
      </w:r>
      <w:r>
        <w:rPr>
          <w:color w:val="000000"/>
          <w:kern w:val="2"/>
          <w:sz w:val="24"/>
          <w:szCs w:val="24"/>
          <w:lang w:eastAsia="hr-HR"/>
          <w14:ligatures w14:val="standardContextual"/>
        </w:rPr>
        <w:t xml:space="preserve"> </w:t>
      </w:r>
      <w:r w:rsidRPr="00E8513D">
        <w:rPr>
          <w:color w:val="000000"/>
          <w:kern w:val="2"/>
          <w:sz w:val="24"/>
          <w:szCs w:val="24"/>
          <w:lang w:eastAsia="hr-HR"/>
          <w14:ligatures w14:val="standardContextual"/>
        </w:rPr>
        <w:t xml:space="preserve">Sukladno odredbama </w:t>
      </w:r>
      <w:r>
        <w:rPr>
          <w:color w:val="000000"/>
          <w:kern w:val="2"/>
          <w:sz w:val="24"/>
          <w:szCs w:val="24"/>
          <w:lang w:eastAsia="hr-HR"/>
          <w14:ligatures w14:val="standardContextual"/>
        </w:rPr>
        <w:t>Z</w:t>
      </w:r>
      <w:r w:rsidRPr="00E8513D">
        <w:rPr>
          <w:color w:val="000000"/>
          <w:kern w:val="2"/>
          <w:sz w:val="24"/>
          <w:szCs w:val="24"/>
          <w:lang w:eastAsia="hr-HR"/>
          <w14:ligatures w14:val="standardContextual"/>
        </w:rPr>
        <w:t>akona, tijekom 2024. pripremljena je i Odluka o nekretninama od strateškog značaja za Republiku Hrvatsku</w:t>
      </w:r>
      <w:r>
        <w:rPr>
          <w:color w:val="000000"/>
          <w:kern w:val="2"/>
          <w:sz w:val="24"/>
          <w:szCs w:val="24"/>
          <w:lang w:eastAsia="hr-HR"/>
          <w14:ligatures w14:val="standardContextual"/>
        </w:rPr>
        <w:t xml:space="preserve"> („Narodne novine“, broj 8/25.)</w:t>
      </w:r>
      <w:r w:rsidRPr="00E8513D">
        <w:rPr>
          <w:color w:val="000000"/>
          <w:kern w:val="2"/>
          <w:sz w:val="24"/>
          <w:szCs w:val="24"/>
          <w:lang w:eastAsia="hr-HR"/>
          <w14:ligatures w14:val="standardContextual"/>
        </w:rPr>
        <w:t xml:space="preserve">. Odlukom </w:t>
      </w:r>
      <w:r>
        <w:rPr>
          <w:color w:val="000000"/>
          <w:kern w:val="2"/>
          <w:sz w:val="24"/>
          <w:szCs w:val="24"/>
          <w:lang w:eastAsia="hr-HR"/>
          <w14:ligatures w14:val="standardContextual"/>
        </w:rPr>
        <w:t>su</w:t>
      </w:r>
      <w:r w:rsidRPr="00E8513D">
        <w:rPr>
          <w:color w:val="000000"/>
          <w:kern w:val="2"/>
          <w:sz w:val="24"/>
          <w:szCs w:val="24"/>
          <w:lang w:eastAsia="hr-HR"/>
          <w14:ligatures w14:val="standardContextual"/>
        </w:rPr>
        <w:t xml:space="preserve"> utvrđen</w:t>
      </w:r>
      <w:r>
        <w:rPr>
          <w:color w:val="000000"/>
          <w:kern w:val="2"/>
          <w:sz w:val="24"/>
          <w:szCs w:val="24"/>
          <w:lang w:eastAsia="hr-HR"/>
          <w14:ligatures w14:val="standardContextual"/>
        </w:rPr>
        <w:t>e</w:t>
      </w:r>
      <w:r w:rsidRPr="00E8513D">
        <w:rPr>
          <w:color w:val="000000"/>
          <w:kern w:val="2"/>
          <w:sz w:val="24"/>
          <w:szCs w:val="24"/>
          <w:lang w:eastAsia="hr-HR"/>
          <w14:ligatures w14:val="standardContextual"/>
        </w:rPr>
        <w:t xml:space="preserve"> 32 nekretnin</w:t>
      </w:r>
      <w:r>
        <w:rPr>
          <w:color w:val="000000"/>
          <w:kern w:val="2"/>
          <w:sz w:val="24"/>
          <w:szCs w:val="24"/>
          <w:lang w:eastAsia="hr-HR"/>
          <w14:ligatures w14:val="standardContextual"/>
        </w:rPr>
        <w:t xml:space="preserve">e od </w:t>
      </w:r>
      <w:r w:rsidRPr="00D800B8">
        <w:rPr>
          <w:color w:val="000000"/>
          <w:kern w:val="2"/>
          <w:sz w:val="24"/>
          <w:szCs w:val="24"/>
          <w:lang w:eastAsia="hr-HR"/>
          <w14:ligatures w14:val="standardContextual"/>
        </w:rPr>
        <w:t>stratešk</w:t>
      </w:r>
      <w:r>
        <w:rPr>
          <w:color w:val="000000"/>
          <w:kern w:val="2"/>
          <w:sz w:val="24"/>
          <w:szCs w:val="24"/>
          <w:lang w:eastAsia="hr-HR"/>
          <w14:ligatures w14:val="standardContextual"/>
        </w:rPr>
        <w:t>og značaja</w:t>
      </w:r>
      <w:r w:rsidRPr="00E8513D">
        <w:rPr>
          <w:color w:val="000000"/>
          <w:kern w:val="2"/>
          <w:sz w:val="24"/>
          <w:szCs w:val="24"/>
          <w:lang w:eastAsia="hr-HR"/>
          <w14:ligatures w14:val="standardContextual"/>
        </w:rPr>
        <w:t xml:space="preserve"> koje će se sustavno razvijati s ciljem objave javnih natječaja za realizaciju investicijskih projekata.</w:t>
      </w:r>
    </w:p>
    <w:p w14:paraId="18BD49AF" w14:textId="77777777" w:rsidR="00FB178A" w:rsidRDefault="00FB178A" w:rsidP="00FB178A">
      <w:pPr>
        <w:spacing w:after="240" w:line="276" w:lineRule="auto"/>
        <w:jc w:val="both"/>
        <w:rPr>
          <w:color w:val="000000"/>
          <w:kern w:val="2"/>
          <w:sz w:val="24"/>
          <w:szCs w:val="24"/>
          <w:lang w:eastAsia="hr-HR"/>
          <w14:ligatures w14:val="standardContextual"/>
        </w:rPr>
      </w:pPr>
      <w:r>
        <w:rPr>
          <w:color w:val="000000"/>
          <w:kern w:val="2"/>
          <w:sz w:val="24"/>
          <w:szCs w:val="24"/>
          <w:lang w:eastAsia="hr-HR"/>
          <w14:ligatures w14:val="standardContextual"/>
        </w:rPr>
        <w:t xml:space="preserve">Donesen je Zakon o </w:t>
      </w:r>
      <w:r w:rsidRPr="0099213A">
        <w:rPr>
          <w:color w:val="000000"/>
          <w:kern w:val="2"/>
          <w:sz w:val="24"/>
          <w:szCs w:val="24"/>
          <w:lang w:eastAsia="hr-HR"/>
          <w14:ligatures w14:val="standardContextual"/>
        </w:rPr>
        <w:t>izmjen</w:t>
      </w:r>
      <w:r>
        <w:rPr>
          <w:color w:val="000000"/>
          <w:kern w:val="2"/>
          <w:sz w:val="24"/>
          <w:szCs w:val="24"/>
          <w:lang w:eastAsia="hr-HR"/>
          <w14:ligatures w14:val="standardContextual"/>
        </w:rPr>
        <w:t>ama</w:t>
      </w:r>
      <w:r w:rsidRPr="0099213A">
        <w:rPr>
          <w:color w:val="000000"/>
          <w:kern w:val="2"/>
          <w:sz w:val="24"/>
          <w:szCs w:val="24"/>
          <w:lang w:eastAsia="hr-HR"/>
          <w14:ligatures w14:val="standardContextual"/>
        </w:rPr>
        <w:t xml:space="preserve"> i dopun</w:t>
      </w:r>
      <w:r>
        <w:rPr>
          <w:color w:val="000000"/>
          <w:kern w:val="2"/>
          <w:sz w:val="24"/>
          <w:szCs w:val="24"/>
          <w:lang w:eastAsia="hr-HR"/>
          <w14:ligatures w14:val="standardContextual"/>
        </w:rPr>
        <w:t>ama</w:t>
      </w:r>
      <w:r w:rsidRPr="0099213A">
        <w:rPr>
          <w:color w:val="000000"/>
          <w:kern w:val="2"/>
          <w:sz w:val="24"/>
          <w:szCs w:val="24"/>
          <w:lang w:eastAsia="hr-HR"/>
          <w14:ligatures w14:val="standardContextual"/>
        </w:rPr>
        <w:t xml:space="preserve"> Zakona o zakupu i kupoprodaji poslovnog prostora (</w:t>
      </w:r>
      <w:r>
        <w:rPr>
          <w:color w:val="000000"/>
          <w:kern w:val="2"/>
          <w:sz w:val="24"/>
          <w:szCs w:val="24"/>
          <w:lang w:eastAsia="hr-HR"/>
          <w14:ligatures w14:val="standardContextual"/>
        </w:rPr>
        <w:t>„Narodne novine“, broj</w:t>
      </w:r>
      <w:r w:rsidRPr="00D667D2">
        <w:rPr>
          <w:color w:val="000000"/>
          <w:kern w:val="2"/>
          <w:sz w:val="24"/>
          <w:szCs w:val="24"/>
          <w:lang w:eastAsia="hr-HR"/>
          <w14:ligatures w14:val="standardContextual"/>
        </w:rPr>
        <w:t xml:space="preserve"> 123/24.</w:t>
      </w:r>
      <w:r w:rsidRPr="0099213A">
        <w:rPr>
          <w:color w:val="000000"/>
          <w:kern w:val="2"/>
          <w:sz w:val="24"/>
          <w:szCs w:val="24"/>
          <w:lang w:eastAsia="hr-HR"/>
          <w14:ligatures w14:val="standardContextual"/>
        </w:rPr>
        <w:t>), čime su stvorene pretpostavke za donošenje</w:t>
      </w:r>
      <w:r>
        <w:rPr>
          <w:color w:val="000000"/>
          <w:kern w:val="2"/>
          <w:sz w:val="24"/>
          <w:szCs w:val="24"/>
          <w:lang w:eastAsia="hr-HR"/>
          <w14:ligatures w14:val="standardContextual"/>
        </w:rPr>
        <w:t xml:space="preserve"> nove</w:t>
      </w:r>
      <w:r w:rsidRPr="0099213A">
        <w:rPr>
          <w:color w:val="000000"/>
          <w:kern w:val="2"/>
          <w:sz w:val="24"/>
          <w:szCs w:val="24"/>
          <w:lang w:eastAsia="hr-HR"/>
          <w14:ligatures w14:val="standardContextual"/>
        </w:rPr>
        <w:t xml:space="preserve"> Uredbe o zakupu i kupoprodaji poslovnog prostora u vlasništvu Republike Hrvatske.</w:t>
      </w:r>
      <w:r>
        <w:rPr>
          <w:color w:val="000000"/>
          <w:kern w:val="2"/>
          <w:sz w:val="24"/>
          <w:szCs w:val="24"/>
          <w:lang w:eastAsia="hr-HR"/>
          <w14:ligatures w14:val="standardContextual"/>
        </w:rPr>
        <w:t xml:space="preserve"> Također, n</w:t>
      </w:r>
      <w:r w:rsidRPr="00E31E9C">
        <w:rPr>
          <w:color w:val="000000"/>
          <w:kern w:val="2"/>
          <w:sz w:val="24"/>
          <w:szCs w:val="24"/>
          <w:lang w:eastAsia="hr-HR"/>
          <w14:ligatures w14:val="standardContextual"/>
        </w:rPr>
        <w:t>a temelju Zakona o neprocijenjenom građevinskom zemljištu (</w:t>
      </w:r>
      <w:r>
        <w:rPr>
          <w:color w:val="000000"/>
          <w:kern w:val="2"/>
          <w:sz w:val="24"/>
          <w:szCs w:val="24"/>
          <w:lang w:eastAsia="hr-HR"/>
          <w14:ligatures w14:val="standardContextual"/>
        </w:rPr>
        <w:t xml:space="preserve">„Narodne novine“, broj </w:t>
      </w:r>
      <w:r w:rsidRPr="00E31E9C">
        <w:rPr>
          <w:color w:val="000000"/>
          <w:kern w:val="2"/>
          <w:sz w:val="24"/>
          <w:szCs w:val="24"/>
          <w:lang w:eastAsia="hr-HR"/>
          <w14:ligatures w14:val="standardContextual"/>
        </w:rPr>
        <w:t>50/20</w:t>
      </w:r>
      <w:r>
        <w:rPr>
          <w:color w:val="000000"/>
          <w:kern w:val="2"/>
          <w:sz w:val="24"/>
          <w:szCs w:val="24"/>
          <w:lang w:eastAsia="hr-HR"/>
          <w14:ligatures w14:val="standardContextual"/>
        </w:rPr>
        <w:t>.</w:t>
      </w:r>
      <w:r w:rsidRPr="00E31E9C">
        <w:rPr>
          <w:color w:val="000000"/>
          <w:kern w:val="2"/>
          <w:sz w:val="24"/>
          <w:szCs w:val="24"/>
          <w:lang w:eastAsia="hr-HR"/>
          <w14:ligatures w14:val="standardContextual"/>
        </w:rPr>
        <w:t xml:space="preserve">), Vlada </w:t>
      </w:r>
      <w:r>
        <w:rPr>
          <w:color w:val="000000" w:themeColor="text1"/>
          <w:sz w:val="24"/>
          <w:szCs w:val="24"/>
        </w:rPr>
        <w:t>Republike Hrvatske</w:t>
      </w:r>
      <w:r w:rsidRPr="00B23F9E">
        <w:rPr>
          <w:color w:val="000000" w:themeColor="text1"/>
          <w:sz w:val="24"/>
          <w:szCs w:val="24"/>
        </w:rPr>
        <w:t xml:space="preserve"> </w:t>
      </w:r>
      <w:r>
        <w:rPr>
          <w:color w:val="000000"/>
          <w:kern w:val="2"/>
          <w:sz w:val="24"/>
          <w:szCs w:val="24"/>
          <w:lang w:eastAsia="hr-HR"/>
          <w14:ligatures w14:val="standardContextual"/>
        </w:rPr>
        <w:t xml:space="preserve">je </w:t>
      </w:r>
      <w:r w:rsidRPr="00E31E9C">
        <w:rPr>
          <w:color w:val="000000"/>
          <w:kern w:val="2"/>
          <w:sz w:val="24"/>
          <w:szCs w:val="24"/>
          <w:lang w:eastAsia="hr-HR"/>
          <w14:ligatures w14:val="standardContextual"/>
        </w:rPr>
        <w:t xml:space="preserve">u veljači 2024. </w:t>
      </w:r>
      <w:r>
        <w:rPr>
          <w:color w:val="000000"/>
          <w:kern w:val="2"/>
          <w:sz w:val="24"/>
          <w:szCs w:val="24"/>
          <w:lang w:eastAsia="hr-HR"/>
          <w14:ligatures w14:val="standardContextual"/>
        </w:rPr>
        <w:t xml:space="preserve">donijela </w:t>
      </w:r>
      <w:r w:rsidRPr="00E31E9C">
        <w:rPr>
          <w:color w:val="000000"/>
          <w:kern w:val="2"/>
          <w:sz w:val="24"/>
          <w:szCs w:val="24"/>
          <w:lang w:eastAsia="hr-HR"/>
          <w14:ligatures w14:val="standardContextual"/>
        </w:rPr>
        <w:t>dvije uredbe koje uređuju zakup turističkog zemljišta</w:t>
      </w:r>
      <w:r>
        <w:rPr>
          <w:color w:val="000000"/>
          <w:kern w:val="2"/>
          <w:sz w:val="24"/>
          <w:szCs w:val="24"/>
          <w:lang w:eastAsia="hr-HR"/>
          <w14:ligatures w14:val="standardContextual"/>
        </w:rPr>
        <w:t xml:space="preserve">: </w:t>
      </w:r>
      <w:r w:rsidRPr="00E31E9C">
        <w:rPr>
          <w:color w:val="000000"/>
          <w:kern w:val="2"/>
          <w:sz w:val="24"/>
          <w:szCs w:val="24"/>
          <w:lang w:eastAsia="hr-HR"/>
          <w14:ligatures w14:val="standardContextual"/>
        </w:rPr>
        <w:t>Uredbu o</w:t>
      </w:r>
      <w:r>
        <w:rPr>
          <w:color w:val="000000"/>
          <w:kern w:val="2"/>
          <w:sz w:val="24"/>
          <w:szCs w:val="24"/>
          <w:lang w:eastAsia="hr-HR"/>
          <w14:ligatures w14:val="standardContextual"/>
        </w:rPr>
        <w:t xml:space="preserve"> uređenju</w:t>
      </w:r>
      <w:r w:rsidRPr="00E31E9C">
        <w:rPr>
          <w:color w:val="000000"/>
          <w:kern w:val="2"/>
          <w:sz w:val="24"/>
          <w:szCs w:val="24"/>
          <w:lang w:eastAsia="hr-HR"/>
          <w14:ligatures w14:val="standardContextual"/>
        </w:rPr>
        <w:t xml:space="preserve"> zakup</w:t>
      </w:r>
      <w:r>
        <w:rPr>
          <w:color w:val="000000"/>
          <w:kern w:val="2"/>
          <w:sz w:val="24"/>
          <w:szCs w:val="24"/>
          <w:lang w:eastAsia="hr-HR"/>
          <w14:ligatures w14:val="standardContextual"/>
        </w:rPr>
        <w:t>a</w:t>
      </w:r>
      <w:r w:rsidRPr="00E31E9C">
        <w:rPr>
          <w:color w:val="000000"/>
          <w:kern w:val="2"/>
          <w:sz w:val="24"/>
          <w:szCs w:val="24"/>
          <w:lang w:eastAsia="hr-HR"/>
          <w14:ligatures w14:val="standardContextual"/>
        </w:rPr>
        <w:t xml:space="preserve"> </w:t>
      </w:r>
      <w:r>
        <w:rPr>
          <w:color w:val="000000"/>
          <w:kern w:val="2"/>
          <w:sz w:val="24"/>
          <w:szCs w:val="24"/>
          <w:lang w:eastAsia="hr-HR"/>
          <w14:ligatures w14:val="standardContextual"/>
        </w:rPr>
        <w:t xml:space="preserve">na </w:t>
      </w:r>
      <w:r w:rsidRPr="00E31E9C">
        <w:rPr>
          <w:color w:val="000000"/>
          <w:kern w:val="2"/>
          <w:sz w:val="24"/>
          <w:szCs w:val="24"/>
          <w:lang w:eastAsia="hr-HR"/>
          <w14:ligatures w14:val="standardContextual"/>
        </w:rPr>
        <w:t>dijelov</w:t>
      </w:r>
      <w:r>
        <w:rPr>
          <w:color w:val="000000"/>
          <w:kern w:val="2"/>
          <w:sz w:val="24"/>
          <w:szCs w:val="24"/>
          <w:lang w:eastAsia="hr-HR"/>
          <w14:ligatures w14:val="standardContextual"/>
        </w:rPr>
        <w:t>ima</w:t>
      </w:r>
      <w:r w:rsidRPr="00E31E9C">
        <w:rPr>
          <w:color w:val="000000"/>
          <w:kern w:val="2"/>
          <w:sz w:val="24"/>
          <w:szCs w:val="24"/>
          <w:lang w:eastAsia="hr-HR"/>
          <w14:ligatures w14:val="standardContextual"/>
        </w:rPr>
        <w:t xml:space="preserve"> kampa u vlasništvu Republike Hrvatske (</w:t>
      </w:r>
      <w:r>
        <w:rPr>
          <w:color w:val="000000"/>
          <w:kern w:val="2"/>
          <w:sz w:val="24"/>
          <w:szCs w:val="24"/>
          <w:lang w:eastAsia="hr-HR"/>
          <w14:ligatures w14:val="standardContextual"/>
        </w:rPr>
        <w:t xml:space="preserve">„Narodne novine“, broj </w:t>
      </w:r>
      <w:r w:rsidRPr="00E31E9C">
        <w:rPr>
          <w:color w:val="000000"/>
          <w:kern w:val="2"/>
          <w:sz w:val="24"/>
          <w:szCs w:val="24"/>
          <w:lang w:eastAsia="hr-HR"/>
          <w14:ligatures w14:val="standardContextual"/>
        </w:rPr>
        <w:t>16/24</w:t>
      </w:r>
      <w:r>
        <w:rPr>
          <w:color w:val="000000"/>
          <w:kern w:val="2"/>
          <w:sz w:val="24"/>
          <w:szCs w:val="24"/>
          <w:lang w:eastAsia="hr-HR"/>
          <w14:ligatures w14:val="standardContextual"/>
        </w:rPr>
        <w:t>.</w:t>
      </w:r>
      <w:r w:rsidRPr="00E31E9C">
        <w:rPr>
          <w:color w:val="000000"/>
          <w:kern w:val="2"/>
          <w:sz w:val="24"/>
          <w:szCs w:val="24"/>
          <w:lang w:eastAsia="hr-HR"/>
          <w14:ligatures w14:val="standardContextual"/>
        </w:rPr>
        <w:t>)</w:t>
      </w:r>
      <w:r>
        <w:rPr>
          <w:color w:val="000000"/>
          <w:kern w:val="2"/>
          <w:sz w:val="24"/>
          <w:szCs w:val="24"/>
          <w:lang w:eastAsia="hr-HR"/>
          <w14:ligatures w14:val="standardContextual"/>
        </w:rPr>
        <w:t xml:space="preserve"> te </w:t>
      </w:r>
      <w:r w:rsidRPr="00E31E9C">
        <w:rPr>
          <w:color w:val="000000"/>
          <w:kern w:val="2"/>
          <w:sz w:val="24"/>
          <w:szCs w:val="24"/>
          <w:lang w:eastAsia="hr-HR"/>
          <w14:ligatures w14:val="standardContextual"/>
        </w:rPr>
        <w:t>Uredbu o</w:t>
      </w:r>
      <w:r>
        <w:rPr>
          <w:color w:val="000000"/>
          <w:kern w:val="2"/>
          <w:sz w:val="24"/>
          <w:szCs w:val="24"/>
          <w:lang w:eastAsia="hr-HR"/>
          <w14:ligatures w14:val="standardContextual"/>
        </w:rPr>
        <w:t xml:space="preserve"> uređenju</w:t>
      </w:r>
      <w:r w:rsidRPr="00E31E9C">
        <w:rPr>
          <w:color w:val="000000"/>
          <w:kern w:val="2"/>
          <w:sz w:val="24"/>
          <w:szCs w:val="24"/>
          <w:lang w:eastAsia="hr-HR"/>
          <w14:ligatures w14:val="standardContextual"/>
        </w:rPr>
        <w:t xml:space="preserve"> zakup</w:t>
      </w:r>
      <w:r>
        <w:rPr>
          <w:color w:val="000000"/>
          <w:kern w:val="2"/>
          <w:sz w:val="24"/>
          <w:szCs w:val="24"/>
          <w:lang w:eastAsia="hr-HR"/>
          <w14:ligatures w14:val="standardContextual"/>
        </w:rPr>
        <w:t>a</w:t>
      </w:r>
      <w:r w:rsidRPr="00E31E9C">
        <w:rPr>
          <w:color w:val="000000"/>
          <w:kern w:val="2"/>
          <w:sz w:val="24"/>
          <w:szCs w:val="24"/>
          <w:lang w:eastAsia="hr-HR"/>
          <w14:ligatures w14:val="standardContextual"/>
        </w:rPr>
        <w:t xml:space="preserve"> </w:t>
      </w:r>
      <w:r>
        <w:rPr>
          <w:color w:val="000000"/>
          <w:kern w:val="2"/>
          <w:sz w:val="24"/>
          <w:szCs w:val="24"/>
          <w:lang w:eastAsia="hr-HR"/>
          <w14:ligatures w14:val="standardContextual"/>
        </w:rPr>
        <w:t xml:space="preserve">na turističkom </w:t>
      </w:r>
      <w:r w:rsidRPr="00E31E9C">
        <w:rPr>
          <w:color w:val="000000"/>
          <w:kern w:val="2"/>
          <w:sz w:val="24"/>
          <w:szCs w:val="24"/>
          <w:lang w:eastAsia="hr-HR"/>
          <w14:ligatures w14:val="standardContextual"/>
        </w:rPr>
        <w:t>zemljišt</w:t>
      </w:r>
      <w:r>
        <w:rPr>
          <w:color w:val="000000"/>
          <w:kern w:val="2"/>
          <w:sz w:val="24"/>
          <w:szCs w:val="24"/>
          <w:lang w:eastAsia="hr-HR"/>
          <w14:ligatures w14:val="standardContextual"/>
        </w:rPr>
        <w:t>u</w:t>
      </w:r>
      <w:r w:rsidRPr="00E31E9C">
        <w:rPr>
          <w:color w:val="000000"/>
          <w:kern w:val="2"/>
          <w:sz w:val="24"/>
          <w:szCs w:val="24"/>
          <w:lang w:eastAsia="hr-HR"/>
          <w14:ligatures w14:val="standardContextual"/>
        </w:rPr>
        <w:t xml:space="preserve"> </w:t>
      </w:r>
      <w:r>
        <w:rPr>
          <w:color w:val="000000"/>
          <w:kern w:val="2"/>
          <w:sz w:val="24"/>
          <w:szCs w:val="24"/>
          <w:lang w:eastAsia="hr-HR"/>
          <w14:ligatures w14:val="standardContextual"/>
        </w:rPr>
        <w:t xml:space="preserve">na kojem su </w:t>
      </w:r>
      <w:r w:rsidRPr="00E31E9C">
        <w:rPr>
          <w:color w:val="000000"/>
          <w:kern w:val="2"/>
          <w:sz w:val="24"/>
          <w:szCs w:val="24"/>
          <w:lang w:eastAsia="hr-HR"/>
          <w14:ligatures w14:val="standardContextual"/>
        </w:rPr>
        <w:t>izgrađeni hoteli i turističk</w:t>
      </w:r>
      <w:r>
        <w:rPr>
          <w:color w:val="000000"/>
          <w:kern w:val="2"/>
          <w:sz w:val="24"/>
          <w:szCs w:val="24"/>
          <w:lang w:eastAsia="hr-HR"/>
          <w14:ligatures w14:val="standardContextual"/>
        </w:rPr>
        <w:t>a</w:t>
      </w:r>
      <w:r w:rsidRPr="00E31E9C">
        <w:rPr>
          <w:color w:val="000000"/>
          <w:kern w:val="2"/>
          <w:sz w:val="24"/>
          <w:szCs w:val="24"/>
          <w:lang w:eastAsia="hr-HR"/>
          <w14:ligatures w14:val="standardContextual"/>
        </w:rPr>
        <w:t xml:space="preserve"> naselj</w:t>
      </w:r>
      <w:r>
        <w:rPr>
          <w:color w:val="000000"/>
          <w:kern w:val="2"/>
          <w:sz w:val="24"/>
          <w:szCs w:val="24"/>
          <w:lang w:eastAsia="hr-HR"/>
          <w14:ligatures w14:val="standardContextual"/>
        </w:rPr>
        <w:t>a</w:t>
      </w:r>
      <w:r w:rsidRPr="00E31E9C">
        <w:rPr>
          <w:color w:val="000000"/>
          <w:kern w:val="2"/>
          <w:sz w:val="24"/>
          <w:szCs w:val="24"/>
          <w:lang w:eastAsia="hr-HR"/>
          <w14:ligatures w14:val="standardContextual"/>
        </w:rPr>
        <w:t xml:space="preserve"> (</w:t>
      </w:r>
      <w:r>
        <w:rPr>
          <w:color w:val="000000"/>
          <w:kern w:val="2"/>
          <w:sz w:val="24"/>
          <w:szCs w:val="24"/>
          <w:lang w:eastAsia="hr-HR"/>
          <w14:ligatures w14:val="standardContextual"/>
        </w:rPr>
        <w:t>„Narodne novine“, broj 16</w:t>
      </w:r>
      <w:r w:rsidRPr="00E31E9C">
        <w:rPr>
          <w:color w:val="000000"/>
          <w:kern w:val="2"/>
          <w:sz w:val="24"/>
          <w:szCs w:val="24"/>
          <w:lang w:eastAsia="hr-HR"/>
          <w14:ligatures w14:val="standardContextual"/>
        </w:rPr>
        <w:t>/24</w:t>
      </w:r>
      <w:r>
        <w:rPr>
          <w:color w:val="000000"/>
          <w:kern w:val="2"/>
          <w:sz w:val="24"/>
          <w:szCs w:val="24"/>
          <w:lang w:eastAsia="hr-HR"/>
          <w14:ligatures w14:val="standardContextual"/>
        </w:rPr>
        <w:t>.</w:t>
      </w:r>
      <w:r w:rsidRPr="00E31E9C">
        <w:rPr>
          <w:color w:val="000000"/>
          <w:kern w:val="2"/>
          <w:sz w:val="24"/>
          <w:szCs w:val="24"/>
          <w:lang w:eastAsia="hr-HR"/>
          <w14:ligatures w14:val="standardContextual"/>
        </w:rPr>
        <w:t>)</w:t>
      </w:r>
      <w:r>
        <w:rPr>
          <w:color w:val="000000"/>
          <w:kern w:val="2"/>
          <w:sz w:val="24"/>
          <w:szCs w:val="24"/>
          <w:lang w:eastAsia="hr-HR"/>
          <w14:ligatures w14:val="standardContextual"/>
        </w:rPr>
        <w:t>.</w:t>
      </w:r>
    </w:p>
    <w:p w14:paraId="30C06A8F" w14:textId="77777777" w:rsidR="00FB178A" w:rsidRDefault="00FB178A" w:rsidP="00FB178A">
      <w:pPr>
        <w:spacing w:after="240" w:line="276" w:lineRule="auto"/>
        <w:jc w:val="both"/>
        <w:rPr>
          <w:color w:val="000000"/>
          <w:kern w:val="2"/>
          <w:sz w:val="24"/>
          <w:szCs w:val="24"/>
          <w:lang w:eastAsia="hr-HR"/>
          <w14:ligatures w14:val="standardContextual"/>
        </w:rPr>
      </w:pPr>
      <w:r w:rsidRPr="003227E7">
        <w:rPr>
          <w:color w:val="000000"/>
          <w:kern w:val="2"/>
          <w:sz w:val="24"/>
          <w:szCs w:val="24"/>
          <w:lang w:eastAsia="hr-HR"/>
          <w14:ligatures w14:val="standardContextual"/>
        </w:rPr>
        <w:t xml:space="preserve">U okviru </w:t>
      </w:r>
      <w:r>
        <w:rPr>
          <w:color w:val="000000"/>
          <w:kern w:val="2"/>
          <w:sz w:val="24"/>
          <w:szCs w:val="24"/>
          <w:lang w:eastAsia="hr-HR"/>
          <w14:ligatures w14:val="standardContextual"/>
        </w:rPr>
        <w:t>NPOO reformske mjere R5 „</w:t>
      </w:r>
      <w:r w:rsidRPr="00734CAD">
        <w:rPr>
          <w:color w:val="000000"/>
          <w:kern w:val="2"/>
          <w:sz w:val="24"/>
          <w:szCs w:val="24"/>
          <w:lang w:eastAsia="hr-HR"/>
          <w14:ligatures w14:val="standardContextual"/>
        </w:rPr>
        <w:t>Optimizacija upravljanja nekretninama u državnom vlasništvu</w:t>
      </w:r>
      <w:r>
        <w:rPr>
          <w:color w:val="000000"/>
          <w:kern w:val="2"/>
          <w:sz w:val="24"/>
          <w:szCs w:val="24"/>
          <w:lang w:eastAsia="hr-HR"/>
          <w14:ligatures w14:val="standardContextual"/>
        </w:rPr>
        <w:t>“</w:t>
      </w:r>
      <w:r w:rsidRPr="00734CAD">
        <w:rPr>
          <w:color w:val="000000"/>
          <w:kern w:val="2"/>
          <w:sz w:val="24"/>
          <w:szCs w:val="24"/>
          <w:lang w:eastAsia="hr-HR"/>
          <w14:ligatures w14:val="standardContextual"/>
        </w:rPr>
        <w:t xml:space="preserve"> </w:t>
      </w:r>
      <w:r>
        <w:rPr>
          <w:color w:val="000000"/>
          <w:kern w:val="2"/>
          <w:sz w:val="24"/>
          <w:szCs w:val="24"/>
          <w:lang w:eastAsia="hr-HR"/>
          <w14:ligatures w14:val="standardContextual"/>
        </w:rPr>
        <w:t xml:space="preserve">nastavljena je provedba </w:t>
      </w:r>
      <w:proofErr w:type="spellStart"/>
      <w:r w:rsidRPr="00734CAD">
        <w:rPr>
          <w:color w:val="000000"/>
          <w:kern w:val="2"/>
          <w:sz w:val="24"/>
          <w:szCs w:val="24"/>
          <w:lang w:eastAsia="hr-HR"/>
          <w14:ligatures w14:val="standardContextual"/>
        </w:rPr>
        <w:t>podkomponente</w:t>
      </w:r>
      <w:proofErr w:type="spellEnd"/>
      <w:r w:rsidRPr="00734CAD">
        <w:rPr>
          <w:color w:val="000000"/>
          <w:kern w:val="2"/>
          <w:sz w:val="24"/>
          <w:szCs w:val="24"/>
          <w:lang w:eastAsia="hr-HR"/>
          <w14:ligatures w14:val="standardContextual"/>
        </w:rPr>
        <w:t xml:space="preserve"> C2.4. </w:t>
      </w:r>
      <w:r>
        <w:rPr>
          <w:color w:val="000000"/>
          <w:kern w:val="2"/>
          <w:sz w:val="24"/>
          <w:szCs w:val="24"/>
          <w:lang w:eastAsia="hr-HR"/>
          <w14:ligatures w14:val="standardContextual"/>
        </w:rPr>
        <w:t>„</w:t>
      </w:r>
      <w:r w:rsidRPr="00734CAD">
        <w:rPr>
          <w:color w:val="000000"/>
          <w:kern w:val="2"/>
          <w:sz w:val="24"/>
          <w:szCs w:val="24"/>
          <w:lang w:eastAsia="hr-HR"/>
          <w14:ligatures w14:val="standardContextual"/>
        </w:rPr>
        <w:t>Unaprjeđenje upravljanja državnom imovinom</w:t>
      </w:r>
      <w:r>
        <w:rPr>
          <w:color w:val="000000"/>
          <w:kern w:val="2"/>
          <w:sz w:val="24"/>
          <w:szCs w:val="24"/>
          <w:lang w:eastAsia="hr-HR"/>
          <w14:ligatures w14:val="standardContextual"/>
        </w:rPr>
        <w:t>“</w:t>
      </w:r>
      <w:r>
        <w:rPr>
          <w:iCs/>
          <w:color w:val="000000"/>
          <w:kern w:val="2"/>
          <w:sz w:val="24"/>
          <w:szCs w:val="24"/>
          <w:lang w:eastAsia="hr-HR"/>
          <w14:ligatures w14:val="standardContextual"/>
        </w:rPr>
        <w:t xml:space="preserve">. </w:t>
      </w:r>
      <w:r w:rsidRPr="00F33D64">
        <w:rPr>
          <w:iCs/>
          <w:color w:val="000000"/>
          <w:kern w:val="2"/>
          <w:sz w:val="24"/>
          <w:szCs w:val="24"/>
          <w:lang w:eastAsia="hr-HR"/>
          <w14:ligatures w14:val="standardContextual"/>
        </w:rPr>
        <w:t xml:space="preserve">U okviru </w:t>
      </w:r>
      <w:proofErr w:type="spellStart"/>
      <w:r w:rsidRPr="00F33D64">
        <w:rPr>
          <w:iCs/>
          <w:color w:val="000000"/>
          <w:kern w:val="2"/>
          <w:sz w:val="24"/>
          <w:szCs w:val="24"/>
          <w:lang w:eastAsia="hr-HR"/>
          <w14:ligatures w14:val="standardContextual"/>
        </w:rPr>
        <w:t>podkomponente</w:t>
      </w:r>
      <w:proofErr w:type="spellEnd"/>
      <w:r w:rsidRPr="00F33D64">
        <w:rPr>
          <w:iCs/>
          <w:color w:val="000000"/>
          <w:kern w:val="2"/>
          <w:sz w:val="24"/>
          <w:szCs w:val="24"/>
          <w:lang w:eastAsia="hr-HR"/>
          <w14:ligatures w14:val="standardContextual"/>
        </w:rPr>
        <w:t xml:space="preserve"> izrađena je metodologija za upravljanje učincima od upravljanja i raspolaganja nekretninama u vlasništvu Republike Hrvatske, uz definiran skup </w:t>
      </w:r>
      <w:r w:rsidRPr="00F33D64">
        <w:rPr>
          <w:iCs/>
          <w:color w:val="000000"/>
          <w:kern w:val="2"/>
          <w:sz w:val="24"/>
          <w:szCs w:val="24"/>
          <w:lang w:eastAsia="hr-HR"/>
          <w14:ligatures w14:val="standardContextual"/>
        </w:rPr>
        <w:lastRenderedPageBreak/>
        <w:t>ključnih financijskih i nefinancijskih pokazatelja. Tijekom 2024. razvijena je i aplikacija „Učinci raspolaganja državnim nekretninama</w:t>
      </w:r>
      <w:r>
        <w:rPr>
          <w:iCs/>
          <w:color w:val="000000"/>
          <w:kern w:val="2"/>
          <w:sz w:val="24"/>
          <w:szCs w:val="24"/>
          <w:lang w:eastAsia="hr-HR"/>
          <w14:ligatures w14:val="standardContextual"/>
        </w:rPr>
        <w:t>“</w:t>
      </w:r>
      <w:r w:rsidRPr="00F33D64">
        <w:rPr>
          <w:iCs/>
          <w:color w:val="000000"/>
          <w:kern w:val="2"/>
          <w:sz w:val="24"/>
          <w:szCs w:val="24"/>
          <w:lang w:eastAsia="hr-HR"/>
          <w14:ligatures w14:val="standardContextual"/>
        </w:rPr>
        <w:t xml:space="preserve"> (URDN), koja omogućuje sustavno praćenje učinaka raspolaganja nekretninama bez naknade</w:t>
      </w:r>
      <w:r>
        <w:rPr>
          <w:iCs/>
          <w:color w:val="000000"/>
          <w:kern w:val="2"/>
          <w:sz w:val="24"/>
          <w:szCs w:val="24"/>
          <w:lang w:eastAsia="hr-HR"/>
          <w14:ligatures w14:val="standardContextual"/>
        </w:rPr>
        <w:t>, bilo</w:t>
      </w:r>
      <w:r w:rsidRPr="00F33D64">
        <w:rPr>
          <w:iCs/>
          <w:color w:val="000000"/>
          <w:kern w:val="2"/>
          <w:sz w:val="24"/>
          <w:szCs w:val="24"/>
          <w:lang w:eastAsia="hr-HR"/>
          <w14:ligatures w14:val="standardContextual"/>
        </w:rPr>
        <w:t xml:space="preserve"> putem darovanja, davanja na uporabu, osnivanja prava služnosti i osnivanja prava građenja</w:t>
      </w:r>
      <w:r>
        <w:rPr>
          <w:iCs/>
          <w:color w:val="000000"/>
          <w:kern w:val="2"/>
          <w:sz w:val="24"/>
          <w:szCs w:val="24"/>
          <w:lang w:eastAsia="hr-HR"/>
          <w14:ligatures w14:val="standardContextual"/>
        </w:rPr>
        <w:t>,</w:t>
      </w:r>
      <w:r w:rsidRPr="00F33D64">
        <w:rPr>
          <w:iCs/>
          <w:color w:val="000000"/>
          <w:kern w:val="2"/>
          <w:sz w:val="24"/>
          <w:szCs w:val="24"/>
          <w:lang w:eastAsia="hr-HR"/>
          <w14:ligatures w14:val="standardContextual"/>
        </w:rPr>
        <w:t xml:space="preserve"> te je od početka 2025. u punoj primjeni.</w:t>
      </w:r>
      <w:r>
        <w:rPr>
          <w:iCs/>
          <w:color w:val="000000"/>
          <w:kern w:val="2"/>
          <w:sz w:val="24"/>
          <w:szCs w:val="24"/>
          <w:lang w:eastAsia="hr-HR"/>
          <w14:ligatures w14:val="standardContextual"/>
        </w:rPr>
        <w:t xml:space="preserve"> </w:t>
      </w:r>
      <w:r>
        <w:rPr>
          <w:color w:val="000000"/>
          <w:kern w:val="2"/>
          <w:sz w:val="24"/>
          <w:szCs w:val="24"/>
          <w:lang w:eastAsia="hr-HR"/>
          <w14:ligatures w14:val="standardContextual"/>
        </w:rPr>
        <w:t>Dodatno, u okviru navedene</w:t>
      </w:r>
      <w:r w:rsidRPr="003227E7">
        <w:rPr>
          <w:color w:val="000000"/>
          <w:kern w:val="2"/>
          <w:sz w:val="24"/>
          <w:szCs w:val="24"/>
          <w:lang w:eastAsia="hr-HR"/>
          <w14:ligatures w14:val="standardContextual"/>
        </w:rPr>
        <w:t xml:space="preserve"> reform</w:t>
      </w:r>
      <w:r>
        <w:rPr>
          <w:color w:val="000000"/>
          <w:kern w:val="2"/>
          <w:sz w:val="24"/>
          <w:szCs w:val="24"/>
          <w:lang w:eastAsia="hr-HR"/>
          <w14:ligatures w14:val="standardContextual"/>
        </w:rPr>
        <w:t>ske mjere</w:t>
      </w:r>
      <w:r w:rsidRPr="003227E7">
        <w:rPr>
          <w:color w:val="000000"/>
          <w:kern w:val="2"/>
          <w:sz w:val="24"/>
          <w:szCs w:val="24"/>
          <w:lang w:eastAsia="hr-HR"/>
          <w14:ligatures w14:val="standardContextual"/>
        </w:rPr>
        <w:t xml:space="preserve"> </w:t>
      </w:r>
      <w:r>
        <w:rPr>
          <w:color w:val="000000"/>
          <w:kern w:val="2"/>
          <w:sz w:val="24"/>
          <w:szCs w:val="24"/>
          <w:lang w:eastAsia="hr-HR"/>
          <w14:ligatures w14:val="standardContextual"/>
        </w:rPr>
        <w:t xml:space="preserve">provode se aktivnosti usmjerene na </w:t>
      </w:r>
      <w:r w:rsidRPr="003227E7">
        <w:rPr>
          <w:color w:val="000000"/>
          <w:kern w:val="2"/>
          <w:sz w:val="24"/>
          <w:szCs w:val="24"/>
          <w:lang w:eastAsia="hr-HR"/>
          <w14:ligatures w14:val="standardContextual"/>
        </w:rPr>
        <w:t>povećanj</w:t>
      </w:r>
      <w:r>
        <w:rPr>
          <w:color w:val="000000"/>
          <w:kern w:val="2"/>
          <w:sz w:val="24"/>
          <w:szCs w:val="24"/>
          <w:lang w:eastAsia="hr-HR"/>
          <w14:ligatures w14:val="standardContextual"/>
        </w:rPr>
        <w:t>e</w:t>
      </w:r>
      <w:r w:rsidRPr="003227E7">
        <w:rPr>
          <w:color w:val="000000"/>
          <w:kern w:val="2"/>
          <w:sz w:val="24"/>
          <w:szCs w:val="24"/>
          <w:lang w:eastAsia="hr-HR"/>
          <w14:ligatures w14:val="standardContextual"/>
        </w:rPr>
        <w:t xml:space="preserve"> komercijalizacije, racionalizacije i aktivacije državne imovine,</w:t>
      </w:r>
      <w:r>
        <w:rPr>
          <w:color w:val="000000"/>
          <w:kern w:val="2"/>
          <w:sz w:val="24"/>
          <w:szCs w:val="24"/>
          <w:lang w:eastAsia="hr-HR"/>
          <w14:ligatures w14:val="standardContextual"/>
        </w:rPr>
        <w:t xml:space="preserve"> u okviru kojih je d</w:t>
      </w:r>
      <w:r w:rsidRPr="003227E7">
        <w:rPr>
          <w:color w:val="000000"/>
          <w:kern w:val="2"/>
          <w:sz w:val="24"/>
          <w:szCs w:val="24"/>
          <w:lang w:eastAsia="hr-HR"/>
          <w14:ligatures w14:val="standardContextual"/>
        </w:rPr>
        <w:t>o kraja 2024. sklopljeno ukupno 3.449 ugovora o raspolaganju nekretninama.</w:t>
      </w:r>
      <w:r>
        <w:rPr>
          <w:color w:val="000000"/>
          <w:kern w:val="2"/>
          <w:sz w:val="24"/>
          <w:szCs w:val="24"/>
          <w:lang w:eastAsia="hr-HR"/>
          <w14:ligatures w14:val="standardContextual"/>
        </w:rPr>
        <w:t xml:space="preserve"> Također, tijekom 2024. nastavljena je p</w:t>
      </w:r>
      <w:r w:rsidRPr="00390485">
        <w:rPr>
          <w:color w:val="000000"/>
          <w:kern w:val="2"/>
          <w:sz w:val="24"/>
          <w:szCs w:val="24"/>
          <w:lang w:eastAsia="hr-HR"/>
          <w14:ligatures w14:val="standardContextual"/>
        </w:rPr>
        <w:t xml:space="preserve">rovedba </w:t>
      </w:r>
      <w:r>
        <w:rPr>
          <w:color w:val="000000"/>
          <w:kern w:val="2"/>
          <w:sz w:val="24"/>
          <w:szCs w:val="24"/>
          <w:lang w:eastAsia="hr-HR"/>
          <w14:ligatures w14:val="standardContextual"/>
        </w:rPr>
        <w:t>projekta „</w:t>
      </w:r>
      <w:r w:rsidRPr="006D6343">
        <w:rPr>
          <w:color w:val="000000"/>
          <w:kern w:val="2"/>
          <w:sz w:val="24"/>
          <w:szCs w:val="24"/>
          <w:lang w:eastAsia="hr-HR"/>
          <w14:ligatures w14:val="standardContextual"/>
        </w:rPr>
        <w:t>Program optimizacije upravljanja državnim nekretninama - faza 2“</w:t>
      </w:r>
      <w:r>
        <w:rPr>
          <w:color w:val="000000"/>
          <w:kern w:val="2"/>
          <w:sz w:val="24"/>
          <w:szCs w:val="24"/>
          <w:lang w:eastAsia="hr-HR"/>
          <w14:ligatures w14:val="standardContextual"/>
        </w:rPr>
        <w:t xml:space="preserve"> financiranog</w:t>
      </w:r>
      <w:r w:rsidRPr="006D6343">
        <w:rPr>
          <w:color w:val="000000"/>
          <w:kern w:val="2"/>
          <w:sz w:val="24"/>
          <w:szCs w:val="24"/>
          <w:lang w:eastAsia="hr-HR"/>
          <w14:ligatures w14:val="standardContextual"/>
        </w:rPr>
        <w:t xml:space="preserve"> </w:t>
      </w:r>
      <w:r>
        <w:rPr>
          <w:color w:val="000000"/>
          <w:kern w:val="2"/>
          <w:sz w:val="24"/>
          <w:szCs w:val="24"/>
          <w:lang w:eastAsia="hr-HR"/>
          <w14:ligatures w14:val="standardContextual"/>
        </w:rPr>
        <w:t>u okviru Instrumenta</w:t>
      </w:r>
      <w:r w:rsidRPr="00390485">
        <w:rPr>
          <w:color w:val="000000"/>
          <w:kern w:val="2"/>
          <w:sz w:val="24"/>
          <w:szCs w:val="24"/>
          <w:lang w:eastAsia="hr-HR"/>
          <w14:ligatures w14:val="standardContextual"/>
        </w:rPr>
        <w:t xml:space="preserve"> tehničke pomoći Europske komisije</w:t>
      </w:r>
      <w:r>
        <w:rPr>
          <w:color w:val="000000"/>
          <w:kern w:val="2"/>
          <w:sz w:val="24"/>
          <w:szCs w:val="24"/>
          <w:lang w:eastAsia="hr-HR"/>
          <w14:ligatures w14:val="standardContextual"/>
        </w:rPr>
        <w:t>.</w:t>
      </w:r>
      <w:r w:rsidRPr="00390485">
        <w:rPr>
          <w:color w:val="000000"/>
          <w:kern w:val="2"/>
          <w:sz w:val="24"/>
          <w:szCs w:val="24"/>
          <w:lang w:eastAsia="hr-HR"/>
          <w14:ligatures w14:val="standardContextual"/>
        </w:rPr>
        <w:t xml:space="preserve"> U okviru druge faze projekta </w:t>
      </w:r>
      <w:r>
        <w:rPr>
          <w:color w:val="000000"/>
          <w:kern w:val="2"/>
          <w:sz w:val="24"/>
          <w:szCs w:val="24"/>
          <w:lang w:eastAsia="hr-HR"/>
          <w14:ligatures w14:val="standardContextual"/>
        </w:rPr>
        <w:t>osigurana je</w:t>
      </w:r>
      <w:r w:rsidRPr="00390485">
        <w:rPr>
          <w:color w:val="000000"/>
          <w:kern w:val="2"/>
          <w:sz w:val="24"/>
          <w:szCs w:val="24"/>
          <w:lang w:eastAsia="hr-HR"/>
          <w14:ligatures w14:val="standardContextual"/>
        </w:rPr>
        <w:t xml:space="preserve"> podrška za izradu novog </w:t>
      </w:r>
      <w:r>
        <w:rPr>
          <w:color w:val="000000"/>
          <w:kern w:val="2"/>
          <w:sz w:val="24"/>
          <w:szCs w:val="24"/>
          <w:lang w:eastAsia="hr-HR"/>
          <w14:ligatures w14:val="standardContextual"/>
        </w:rPr>
        <w:t xml:space="preserve">strateškog </w:t>
      </w:r>
      <w:r w:rsidRPr="00390485">
        <w:rPr>
          <w:color w:val="000000"/>
          <w:kern w:val="2"/>
          <w:sz w:val="24"/>
          <w:szCs w:val="24"/>
          <w:lang w:eastAsia="hr-HR"/>
          <w14:ligatures w14:val="standardContextual"/>
        </w:rPr>
        <w:t xml:space="preserve">okvira te podrška razvoju investicijskih projekata u svrhu daljnje aktivacije neiskorištenih nekretnina u </w:t>
      </w:r>
      <w:r>
        <w:rPr>
          <w:color w:val="000000"/>
          <w:kern w:val="2"/>
          <w:sz w:val="24"/>
          <w:szCs w:val="24"/>
          <w:lang w:eastAsia="hr-HR"/>
          <w14:ligatures w14:val="standardContextual"/>
        </w:rPr>
        <w:t xml:space="preserve">državnom </w:t>
      </w:r>
      <w:r w:rsidRPr="00390485">
        <w:rPr>
          <w:color w:val="000000"/>
          <w:kern w:val="2"/>
          <w:sz w:val="24"/>
          <w:szCs w:val="24"/>
          <w:lang w:eastAsia="hr-HR"/>
          <w14:ligatures w14:val="standardContextual"/>
        </w:rPr>
        <w:t>vlasništvu. </w:t>
      </w:r>
    </w:p>
    <w:p w14:paraId="60C4BB53" w14:textId="77777777" w:rsidR="00FB178A" w:rsidRDefault="00FB178A" w:rsidP="00FB178A">
      <w:pPr>
        <w:spacing w:line="276" w:lineRule="auto"/>
        <w:jc w:val="both"/>
        <w:rPr>
          <w:color w:val="000000"/>
          <w:kern w:val="2"/>
          <w:sz w:val="24"/>
          <w:szCs w:val="24"/>
          <w:lang w:eastAsia="hr-HR"/>
          <w14:ligatures w14:val="standardContextual"/>
        </w:rPr>
      </w:pPr>
      <w:r>
        <w:rPr>
          <w:color w:val="000000"/>
          <w:kern w:val="2"/>
          <w:sz w:val="24"/>
          <w:szCs w:val="24"/>
          <w:lang w:eastAsia="hr-HR"/>
          <w14:ligatures w14:val="standardContextual"/>
        </w:rPr>
        <w:t>T</w:t>
      </w:r>
      <w:r w:rsidRPr="007D03AC">
        <w:rPr>
          <w:color w:val="000000"/>
          <w:kern w:val="2"/>
          <w:sz w:val="24"/>
          <w:szCs w:val="24"/>
          <w:lang w:eastAsia="hr-HR"/>
          <w14:ligatures w14:val="standardContextual"/>
        </w:rPr>
        <w:t>ijekom 2024. nastavljena je provedba aktivnosti u okviru Višegodišnjeg programa katastarskih izmjera građevinskih područja 2021.</w:t>
      </w:r>
      <w:r>
        <w:rPr>
          <w:color w:val="000000"/>
          <w:kern w:val="2"/>
          <w:sz w:val="24"/>
          <w:szCs w:val="24"/>
          <w:lang w:eastAsia="hr-HR"/>
          <w14:ligatures w14:val="standardContextual"/>
        </w:rPr>
        <w:t xml:space="preserve"> - </w:t>
      </w:r>
      <w:r w:rsidRPr="007D03AC">
        <w:rPr>
          <w:color w:val="000000"/>
          <w:kern w:val="2"/>
          <w:sz w:val="24"/>
          <w:szCs w:val="24"/>
          <w:lang w:eastAsia="hr-HR"/>
          <w14:ligatures w14:val="standardContextual"/>
        </w:rPr>
        <w:t>2030. (</w:t>
      </w:r>
      <w:r>
        <w:rPr>
          <w:color w:val="000000"/>
          <w:kern w:val="2"/>
          <w:sz w:val="24"/>
          <w:szCs w:val="24"/>
          <w:lang w:eastAsia="hr-HR"/>
          <w14:ligatures w14:val="standardContextual"/>
        </w:rPr>
        <w:t>„Narodne novine“, broj</w:t>
      </w:r>
      <w:r w:rsidRPr="007D03AC">
        <w:rPr>
          <w:color w:val="000000"/>
          <w:kern w:val="2"/>
          <w:sz w:val="24"/>
          <w:szCs w:val="24"/>
          <w:lang w:eastAsia="hr-HR"/>
          <w14:ligatures w14:val="standardContextual"/>
        </w:rPr>
        <w:t xml:space="preserve"> 109/21</w:t>
      </w:r>
      <w:r>
        <w:rPr>
          <w:color w:val="000000"/>
          <w:kern w:val="2"/>
          <w:sz w:val="24"/>
          <w:szCs w:val="24"/>
          <w:lang w:eastAsia="hr-HR"/>
          <w14:ligatures w14:val="standardContextual"/>
        </w:rPr>
        <w:t>.</w:t>
      </w:r>
      <w:r w:rsidRPr="007D03AC">
        <w:rPr>
          <w:color w:val="000000"/>
          <w:kern w:val="2"/>
          <w:sz w:val="24"/>
          <w:szCs w:val="24"/>
          <w:lang w:eastAsia="hr-HR"/>
          <w14:ligatures w14:val="standardContextual"/>
        </w:rPr>
        <w:t xml:space="preserve">), koji se provodi putem </w:t>
      </w:r>
      <w:r>
        <w:rPr>
          <w:color w:val="000000"/>
          <w:kern w:val="2"/>
          <w:sz w:val="24"/>
          <w:szCs w:val="24"/>
          <w:lang w:eastAsia="hr-HR"/>
          <w14:ligatures w14:val="standardContextual"/>
        </w:rPr>
        <w:t>g</w:t>
      </w:r>
      <w:r w:rsidRPr="007D03AC">
        <w:rPr>
          <w:color w:val="000000"/>
          <w:kern w:val="2"/>
          <w:sz w:val="24"/>
          <w:szCs w:val="24"/>
          <w:lang w:eastAsia="hr-HR"/>
          <w14:ligatures w14:val="standardContextual"/>
        </w:rPr>
        <w:t>odišnjih programa.</w:t>
      </w:r>
      <w:r>
        <w:rPr>
          <w:color w:val="000000"/>
          <w:kern w:val="2"/>
          <w:sz w:val="24"/>
          <w:szCs w:val="24"/>
          <w:lang w:eastAsia="hr-HR"/>
          <w14:ligatures w14:val="standardContextual"/>
        </w:rPr>
        <w:t xml:space="preserve"> </w:t>
      </w:r>
      <w:r w:rsidRPr="00AB612A">
        <w:rPr>
          <w:color w:val="000000"/>
          <w:kern w:val="2"/>
          <w:sz w:val="24"/>
          <w:szCs w:val="24"/>
          <w:lang w:eastAsia="hr-HR"/>
          <w14:ligatures w14:val="standardContextual"/>
        </w:rPr>
        <w:t xml:space="preserve">Godišnji program </w:t>
      </w:r>
      <w:r>
        <w:rPr>
          <w:color w:val="000000"/>
          <w:kern w:val="2"/>
          <w:sz w:val="24"/>
          <w:szCs w:val="24"/>
          <w:lang w:eastAsia="hr-HR"/>
          <w14:ligatures w14:val="standardContextual"/>
        </w:rPr>
        <w:t xml:space="preserve">katastarskih izmjera građevinskih područja </w:t>
      </w:r>
      <w:r w:rsidRPr="00AB612A">
        <w:rPr>
          <w:color w:val="000000"/>
          <w:kern w:val="2"/>
          <w:sz w:val="24"/>
          <w:szCs w:val="24"/>
          <w:lang w:eastAsia="hr-HR"/>
          <w14:ligatures w14:val="standardContextual"/>
        </w:rPr>
        <w:t>za 2022. provodio se tijekom 2023. i 2024.</w:t>
      </w:r>
      <w:r>
        <w:rPr>
          <w:color w:val="000000"/>
          <w:kern w:val="2"/>
          <w:sz w:val="24"/>
          <w:szCs w:val="24"/>
          <w:lang w:eastAsia="hr-HR"/>
          <w14:ligatures w14:val="standardContextual"/>
        </w:rPr>
        <w:t xml:space="preserve"> godine.</w:t>
      </w:r>
      <w:r w:rsidRPr="00AB612A">
        <w:rPr>
          <w:color w:val="000000"/>
          <w:kern w:val="2"/>
          <w:sz w:val="24"/>
          <w:szCs w:val="24"/>
          <w:lang w:eastAsia="hr-HR"/>
          <w14:ligatures w14:val="standardContextual"/>
        </w:rPr>
        <w:t xml:space="preserve"> U okviru tog </w:t>
      </w:r>
      <w:r>
        <w:rPr>
          <w:color w:val="000000"/>
          <w:kern w:val="2"/>
          <w:sz w:val="24"/>
          <w:szCs w:val="24"/>
          <w:lang w:eastAsia="hr-HR"/>
          <w14:ligatures w14:val="standardContextual"/>
        </w:rPr>
        <w:t>P</w:t>
      </w:r>
      <w:r w:rsidRPr="00AB612A">
        <w:rPr>
          <w:color w:val="000000"/>
          <w:kern w:val="2"/>
          <w:sz w:val="24"/>
          <w:szCs w:val="24"/>
          <w:lang w:eastAsia="hr-HR"/>
          <w14:ligatures w14:val="standardContextual"/>
        </w:rPr>
        <w:t xml:space="preserve">rograma, katastarskim izmjerama obuhvaćeno je 60 </w:t>
      </w:r>
      <w:r w:rsidRPr="00CD1750">
        <w:rPr>
          <w:color w:val="000000"/>
          <w:kern w:val="2"/>
          <w:sz w:val="24"/>
          <w:szCs w:val="24"/>
          <w:lang w:eastAsia="hr-HR"/>
          <w14:ligatures w14:val="standardContextual"/>
        </w:rPr>
        <w:t xml:space="preserve">katastarskih općina </w:t>
      </w:r>
      <w:r>
        <w:rPr>
          <w:color w:val="000000"/>
          <w:kern w:val="2"/>
          <w:sz w:val="24"/>
          <w:szCs w:val="24"/>
          <w:lang w:eastAsia="hr-HR"/>
          <w14:ligatures w14:val="standardContextual"/>
        </w:rPr>
        <w:t xml:space="preserve">ili njihovih </w:t>
      </w:r>
      <w:r w:rsidRPr="00AB612A">
        <w:rPr>
          <w:color w:val="000000"/>
          <w:kern w:val="2"/>
          <w:sz w:val="24"/>
          <w:szCs w:val="24"/>
          <w:lang w:eastAsia="hr-HR"/>
          <w14:ligatures w14:val="standardContextual"/>
        </w:rPr>
        <w:t>dijelova, što uključuje 173.535 katastarskih čestica. Do kraja 2024., katastar i zemljišna knjiga u potpunosti su obnovljeni na 7 lokacija, dok su geodetski radovi završeni na svim preostalim lokacijama</w:t>
      </w:r>
      <w:r>
        <w:rPr>
          <w:color w:val="000000"/>
          <w:kern w:val="2"/>
          <w:sz w:val="24"/>
          <w:szCs w:val="24"/>
          <w:lang w:eastAsia="hr-HR"/>
          <w14:ligatures w14:val="standardContextual"/>
        </w:rPr>
        <w:t xml:space="preserve"> </w:t>
      </w:r>
      <w:r w:rsidRPr="0004221B">
        <w:rPr>
          <w:color w:val="000000"/>
          <w:kern w:val="2"/>
          <w:sz w:val="24"/>
          <w:szCs w:val="24"/>
          <w:lang w:eastAsia="hr-HR"/>
          <w14:ligatures w14:val="standardContextual"/>
        </w:rPr>
        <w:t>te je započela obnova zemljišnih knjiga</w:t>
      </w:r>
      <w:r>
        <w:rPr>
          <w:color w:val="000000"/>
          <w:kern w:val="2"/>
          <w:sz w:val="24"/>
          <w:szCs w:val="24"/>
          <w:lang w:eastAsia="hr-HR"/>
          <w14:ligatures w14:val="standardContextual"/>
        </w:rPr>
        <w:t>,</w:t>
      </w:r>
      <w:r w:rsidRPr="0004221B">
        <w:rPr>
          <w:color w:val="000000"/>
          <w:kern w:val="2"/>
          <w:sz w:val="24"/>
          <w:szCs w:val="24"/>
          <w:lang w:eastAsia="hr-HR"/>
          <w14:ligatures w14:val="standardContextual"/>
        </w:rPr>
        <w:t xml:space="preserve"> koju provode nadležni općinski sudovi</w:t>
      </w:r>
      <w:r>
        <w:rPr>
          <w:color w:val="000000"/>
          <w:kern w:val="2"/>
          <w:sz w:val="24"/>
          <w:szCs w:val="24"/>
          <w:lang w:eastAsia="hr-HR"/>
          <w14:ligatures w14:val="standardContextual"/>
        </w:rPr>
        <w:t xml:space="preserve">. </w:t>
      </w:r>
      <w:r w:rsidRPr="00A86FD9">
        <w:rPr>
          <w:color w:val="000000"/>
          <w:kern w:val="2"/>
          <w:sz w:val="24"/>
          <w:szCs w:val="24"/>
          <w:lang w:eastAsia="hr-HR"/>
          <w14:ligatures w14:val="standardContextual"/>
        </w:rPr>
        <w:t>Godišnji program</w:t>
      </w:r>
      <w:r>
        <w:rPr>
          <w:color w:val="000000"/>
          <w:kern w:val="2"/>
          <w:sz w:val="24"/>
          <w:szCs w:val="24"/>
          <w:lang w:eastAsia="hr-HR"/>
          <w14:ligatures w14:val="standardContextual"/>
        </w:rPr>
        <w:t xml:space="preserve"> katastarskih izmjera građevinskih područja u 2023. </w:t>
      </w:r>
      <w:r w:rsidRPr="00A86FD9">
        <w:rPr>
          <w:color w:val="000000"/>
          <w:kern w:val="2"/>
          <w:sz w:val="24"/>
          <w:szCs w:val="24"/>
          <w:lang w:eastAsia="hr-HR"/>
          <w14:ligatures w14:val="standardContextual"/>
        </w:rPr>
        <w:t xml:space="preserve"> za 202</w:t>
      </w:r>
      <w:r>
        <w:rPr>
          <w:color w:val="000000"/>
          <w:kern w:val="2"/>
          <w:sz w:val="24"/>
          <w:szCs w:val="24"/>
          <w:lang w:eastAsia="hr-HR"/>
          <w14:ligatures w14:val="standardContextual"/>
        </w:rPr>
        <w:t>4</w:t>
      </w:r>
      <w:r w:rsidRPr="00A86FD9">
        <w:rPr>
          <w:color w:val="000000"/>
          <w:kern w:val="2"/>
          <w:sz w:val="24"/>
          <w:szCs w:val="24"/>
          <w:lang w:eastAsia="hr-HR"/>
          <w14:ligatures w14:val="standardContextual"/>
        </w:rPr>
        <w:t>. koji se provodio u 2024. te se nastavlja i u 2025. obuhvatio je 66 katastarskih općina, odnosno 187.330 katastarskih čestica. Do prosinca 2024</w:t>
      </w:r>
      <w:r>
        <w:rPr>
          <w:color w:val="000000"/>
          <w:kern w:val="2"/>
          <w:sz w:val="24"/>
          <w:szCs w:val="24"/>
          <w:lang w:eastAsia="hr-HR"/>
          <w14:ligatures w14:val="standardContextual"/>
        </w:rPr>
        <w:t>.</w:t>
      </w:r>
      <w:r w:rsidRPr="00A86FD9">
        <w:rPr>
          <w:color w:val="000000"/>
          <w:kern w:val="2"/>
          <w:sz w:val="24"/>
          <w:szCs w:val="24"/>
          <w:lang w:eastAsia="hr-HR"/>
          <w14:ligatures w14:val="standardContextual"/>
        </w:rPr>
        <w:t xml:space="preserve"> geodetski terenski radovi provodili su se na 42 lokacije, dok su na 8 lokacija radovi dovršeni, uz početak predočavanja podataka iz geodetskih elaborata.</w:t>
      </w:r>
    </w:p>
    <w:p w14:paraId="76535503" w14:textId="77777777" w:rsidR="00FB178A" w:rsidRDefault="00FB178A" w:rsidP="00FB178A">
      <w:pPr>
        <w:spacing w:line="276" w:lineRule="auto"/>
        <w:jc w:val="both"/>
        <w:rPr>
          <w:color w:val="000000"/>
          <w:kern w:val="2"/>
          <w:sz w:val="24"/>
          <w:szCs w:val="24"/>
          <w:lang w:eastAsia="hr-HR"/>
          <w14:ligatures w14:val="standardContextual"/>
        </w:rPr>
      </w:pPr>
    </w:p>
    <w:p w14:paraId="75F14993" w14:textId="77777777" w:rsidR="00FB178A" w:rsidRDefault="00FB178A" w:rsidP="00FB178A">
      <w:pPr>
        <w:spacing w:line="276" w:lineRule="auto"/>
        <w:jc w:val="both"/>
      </w:pPr>
      <w:r w:rsidRPr="004C0CC4">
        <w:rPr>
          <w:color w:val="000000"/>
          <w:kern w:val="2"/>
          <w:sz w:val="24"/>
          <w:szCs w:val="24"/>
          <w:lang w:eastAsia="hr-HR"/>
          <w14:ligatures w14:val="standardContextual"/>
        </w:rPr>
        <w:t>U 2024. uspostavljen je Sustav katastra infrastrukture</w:t>
      </w:r>
      <w:r>
        <w:rPr>
          <w:color w:val="000000"/>
          <w:kern w:val="2"/>
          <w:sz w:val="24"/>
          <w:szCs w:val="24"/>
          <w:lang w:eastAsia="hr-HR"/>
          <w14:ligatures w14:val="standardContextual"/>
        </w:rPr>
        <w:t xml:space="preserve"> (u daljnjem tekstu: SKI)</w:t>
      </w:r>
      <w:r w:rsidRPr="004C0CC4">
        <w:rPr>
          <w:color w:val="000000"/>
          <w:kern w:val="2"/>
          <w:sz w:val="24"/>
          <w:szCs w:val="24"/>
          <w:lang w:eastAsia="hr-HR"/>
          <w14:ligatures w14:val="standardContextual"/>
        </w:rPr>
        <w:t xml:space="preserve"> za područje devet županija, čime je sustav postao operativan za cijelu Hrvatsku</w:t>
      </w:r>
      <w:r>
        <w:rPr>
          <w:color w:val="000000"/>
          <w:kern w:val="2"/>
          <w:sz w:val="24"/>
          <w:szCs w:val="24"/>
          <w:lang w:eastAsia="hr-HR"/>
          <w14:ligatures w14:val="standardContextual"/>
        </w:rPr>
        <w:t xml:space="preserve">. </w:t>
      </w:r>
      <w:r w:rsidRPr="004C0CC4">
        <w:rPr>
          <w:color w:val="000000"/>
          <w:kern w:val="2"/>
          <w:sz w:val="24"/>
          <w:szCs w:val="24"/>
          <w:lang w:eastAsia="hr-HR"/>
          <w14:ligatures w14:val="standardContextual"/>
        </w:rPr>
        <w:t>U siječnju</w:t>
      </w:r>
      <w:r>
        <w:rPr>
          <w:color w:val="000000"/>
          <w:kern w:val="2"/>
          <w:sz w:val="24"/>
          <w:szCs w:val="24"/>
          <w:lang w:eastAsia="hr-HR"/>
          <w14:ligatures w14:val="standardContextual"/>
        </w:rPr>
        <w:t xml:space="preserve"> 2024. je uspostavljen za područje </w:t>
      </w:r>
      <w:r w:rsidRPr="004C0CC4">
        <w:rPr>
          <w:color w:val="000000"/>
          <w:kern w:val="2"/>
          <w:sz w:val="24"/>
          <w:szCs w:val="24"/>
          <w:lang w:eastAsia="hr-HR"/>
          <w14:ligatures w14:val="standardContextual"/>
        </w:rPr>
        <w:t>Varaždinsk</w:t>
      </w:r>
      <w:r>
        <w:rPr>
          <w:color w:val="000000"/>
          <w:kern w:val="2"/>
          <w:sz w:val="24"/>
          <w:szCs w:val="24"/>
          <w:lang w:eastAsia="hr-HR"/>
          <w14:ligatures w14:val="standardContextual"/>
        </w:rPr>
        <w:t>e županije</w:t>
      </w:r>
      <w:r w:rsidRPr="004C0CC4">
        <w:rPr>
          <w:color w:val="000000"/>
          <w:kern w:val="2"/>
          <w:sz w:val="24"/>
          <w:szCs w:val="24"/>
          <w:lang w:eastAsia="hr-HR"/>
          <w14:ligatures w14:val="standardContextual"/>
        </w:rPr>
        <w:t>, Karlovačk</w:t>
      </w:r>
      <w:r>
        <w:rPr>
          <w:color w:val="000000"/>
          <w:kern w:val="2"/>
          <w:sz w:val="24"/>
          <w:szCs w:val="24"/>
          <w:lang w:eastAsia="hr-HR"/>
          <w14:ligatures w14:val="standardContextual"/>
        </w:rPr>
        <w:t>e županije</w:t>
      </w:r>
      <w:r w:rsidRPr="004C0CC4">
        <w:rPr>
          <w:color w:val="000000"/>
          <w:kern w:val="2"/>
          <w:sz w:val="24"/>
          <w:szCs w:val="24"/>
          <w:lang w:eastAsia="hr-HR"/>
          <w14:ligatures w14:val="standardContextual"/>
        </w:rPr>
        <w:t>, Istarsk</w:t>
      </w:r>
      <w:r>
        <w:rPr>
          <w:color w:val="000000"/>
          <w:kern w:val="2"/>
          <w:sz w:val="24"/>
          <w:szCs w:val="24"/>
          <w:lang w:eastAsia="hr-HR"/>
          <w14:ligatures w14:val="standardContextual"/>
        </w:rPr>
        <w:t>e županije</w:t>
      </w:r>
      <w:r w:rsidRPr="004C0CC4">
        <w:rPr>
          <w:color w:val="000000"/>
          <w:kern w:val="2"/>
          <w:sz w:val="24"/>
          <w:szCs w:val="24"/>
          <w:lang w:eastAsia="hr-HR"/>
          <w14:ligatures w14:val="standardContextual"/>
        </w:rPr>
        <w:t>, Primorsko-goransk</w:t>
      </w:r>
      <w:r>
        <w:rPr>
          <w:color w:val="000000"/>
          <w:kern w:val="2"/>
          <w:sz w:val="24"/>
          <w:szCs w:val="24"/>
          <w:lang w:eastAsia="hr-HR"/>
          <w14:ligatures w14:val="standardContextual"/>
        </w:rPr>
        <w:t>e</w:t>
      </w:r>
      <w:r w:rsidRPr="004C0CC4">
        <w:rPr>
          <w:color w:val="000000"/>
          <w:kern w:val="2"/>
          <w:sz w:val="24"/>
          <w:szCs w:val="24"/>
          <w:lang w:eastAsia="hr-HR"/>
          <w14:ligatures w14:val="standardContextual"/>
        </w:rPr>
        <w:t xml:space="preserve"> županij</w:t>
      </w:r>
      <w:r>
        <w:rPr>
          <w:color w:val="000000"/>
          <w:kern w:val="2"/>
          <w:sz w:val="24"/>
          <w:szCs w:val="24"/>
          <w:lang w:eastAsia="hr-HR"/>
          <w14:ligatures w14:val="standardContextual"/>
        </w:rPr>
        <w:t>e</w:t>
      </w:r>
      <w:r w:rsidRPr="004C0CC4">
        <w:rPr>
          <w:color w:val="000000"/>
          <w:kern w:val="2"/>
          <w:sz w:val="24"/>
          <w:szCs w:val="24"/>
          <w:lang w:eastAsia="hr-HR"/>
          <w14:ligatures w14:val="standardContextual"/>
        </w:rPr>
        <w:t xml:space="preserve"> i Grad</w:t>
      </w:r>
      <w:r>
        <w:rPr>
          <w:color w:val="000000"/>
          <w:kern w:val="2"/>
          <w:sz w:val="24"/>
          <w:szCs w:val="24"/>
          <w:lang w:eastAsia="hr-HR"/>
          <w14:ligatures w14:val="standardContextual"/>
        </w:rPr>
        <w:t>a</w:t>
      </w:r>
      <w:r w:rsidRPr="004C0CC4">
        <w:rPr>
          <w:color w:val="000000"/>
          <w:kern w:val="2"/>
          <w:sz w:val="24"/>
          <w:szCs w:val="24"/>
          <w:lang w:eastAsia="hr-HR"/>
          <w14:ligatures w14:val="standardContextual"/>
        </w:rPr>
        <w:t xml:space="preserve"> Zagreb</w:t>
      </w:r>
      <w:r>
        <w:rPr>
          <w:color w:val="000000"/>
          <w:kern w:val="2"/>
          <w:sz w:val="24"/>
          <w:szCs w:val="24"/>
          <w:lang w:eastAsia="hr-HR"/>
          <w14:ligatures w14:val="standardContextual"/>
        </w:rPr>
        <w:t>a, dok je u lipnju 2024. uspostavljen za preostale četiri županije,</w:t>
      </w:r>
      <w:r w:rsidRPr="004C0CC4">
        <w:rPr>
          <w:color w:val="000000"/>
          <w:kern w:val="2"/>
          <w:sz w:val="24"/>
          <w:szCs w:val="24"/>
          <w:lang w:eastAsia="hr-HR"/>
          <w14:ligatures w14:val="standardContextual"/>
        </w:rPr>
        <w:t xml:space="preserve"> Zadarsk</w:t>
      </w:r>
      <w:r>
        <w:rPr>
          <w:color w:val="000000"/>
          <w:kern w:val="2"/>
          <w:sz w:val="24"/>
          <w:szCs w:val="24"/>
          <w:lang w:eastAsia="hr-HR"/>
          <w14:ligatures w14:val="standardContextual"/>
        </w:rPr>
        <w:t>u županiju,</w:t>
      </w:r>
      <w:r w:rsidRPr="004C0CC4">
        <w:rPr>
          <w:color w:val="000000"/>
          <w:kern w:val="2"/>
          <w:sz w:val="24"/>
          <w:szCs w:val="24"/>
          <w:lang w:eastAsia="hr-HR"/>
          <w14:ligatures w14:val="standardContextual"/>
        </w:rPr>
        <w:t xml:space="preserve"> Šibensko-kninsk</w:t>
      </w:r>
      <w:r>
        <w:rPr>
          <w:color w:val="000000"/>
          <w:kern w:val="2"/>
          <w:sz w:val="24"/>
          <w:szCs w:val="24"/>
          <w:lang w:eastAsia="hr-HR"/>
          <w14:ligatures w14:val="standardContextual"/>
        </w:rPr>
        <w:t>u županiju</w:t>
      </w:r>
      <w:r w:rsidRPr="004C0CC4">
        <w:rPr>
          <w:color w:val="000000"/>
          <w:kern w:val="2"/>
          <w:sz w:val="24"/>
          <w:szCs w:val="24"/>
          <w:lang w:eastAsia="hr-HR"/>
          <w14:ligatures w14:val="standardContextual"/>
        </w:rPr>
        <w:t>, Splitsko-dalmatinsk</w:t>
      </w:r>
      <w:r>
        <w:rPr>
          <w:color w:val="000000"/>
          <w:kern w:val="2"/>
          <w:sz w:val="24"/>
          <w:szCs w:val="24"/>
          <w:lang w:eastAsia="hr-HR"/>
          <w14:ligatures w14:val="standardContextual"/>
        </w:rPr>
        <w:t xml:space="preserve">u županiju </w:t>
      </w:r>
      <w:r w:rsidRPr="004C0CC4">
        <w:rPr>
          <w:color w:val="000000"/>
          <w:kern w:val="2"/>
          <w:sz w:val="24"/>
          <w:szCs w:val="24"/>
          <w:lang w:eastAsia="hr-HR"/>
          <w14:ligatures w14:val="standardContextual"/>
        </w:rPr>
        <w:t>i Dubrovačko-neretvansk</w:t>
      </w:r>
      <w:r>
        <w:rPr>
          <w:color w:val="000000"/>
          <w:kern w:val="2"/>
          <w:sz w:val="24"/>
          <w:szCs w:val="24"/>
          <w:lang w:eastAsia="hr-HR"/>
          <w14:ligatures w14:val="standardContextual"/>
        </w:rPr>
        <w:t xml:space="preserve">u županiju. </w:t>
      </w:r>
      <w:r w:rsidRPr="004C0CC4">
        <w:rPr>
          <w:color w:val="000000"/>
          <w:kern w:val="2"/>
          <w:sz w:val="24"/>
          <w:szCs w:val="24"/>
          <w:lang w:eastAsia="hr-HR"/>
          <w14:ligatures w14:val="standardContextual"/>
        </w:rPr>
        <w:t xml:space="preserve">Uspostavom sustava omogućena je digitalna standardizacija, vođenje i razmjena podataka o infrastrukturi, kao i pristup podacima putem Jedinstvene informacijske točke (JIT). JIT kao javni dio SKI-a omogućava telekomunikacijskim operaterima uvid u podatke o položaju fizičke infrastrukture te o planiranim i tekućim građevinskim radovima. </w:t>
      </w:r>
      <w:r>
        <w:rPr>
          <w:color w:val="000000"/>
          <w:kern w:val="2"/>
          <w:sz w:val="24"/>
          <w:szCs w:val="24"/>
          <w:lang w:eastAsia="hr-HR"/>
          <w14:ligatures w14:val="standardContextual"/>
        </w:rPr>
        <w:t xml:space="preserve">Također, </w:t>
      </w:r>
      <w:r w:rsidRPr="0004221B">
        <w:rPr>
          <w:bCs/>
          <w:color w:val="000000"/>
          <w:kern w:val="2"/>
          <w:sz w:val="24"/>
          <w:szCs w:val="24"/>
          <w:lang w:eastAsia="hr-HR"/>
          <w14:ligatures w14:val="standardContextual"/>
        </w:rPr>
        <w:t xml:space="preserve">provedeno je </w:t>
      </w:r>
      <w:proofErr w:type="spellStart"/>
      <w:r w:rsidRPr="0004221B">
        <w:rPr>
          <w:bCs/>
          <w:color w:val="000000"/>
          <w:kern w:val="2"/>
          <w:sz w:val="24"/>
          <w:szCs w:val="24"/>
          <w:lang w:eastAsia="hr-HR"/>
          <w14:ligatures w14:val="standardContextual"/>
        </w:rPr>
        <w:t>aerofotogrametrijsko</w:t>
      </w:r>
      <w:proofErr w:type="spellEnd"/>
      <w:r w:rsidRPr="0004221B">
        <w:rPr>
          <w:bCs/>
          <w:color w:val="000000"/>
          <w:kern w:val="2"/>
          <w:sz w:val="24"/>
          <w:szCs w:val="24"/>
          <w:lang w:eastAsia="hr-HR"/>
          <w14:ligatures w14:val="standardContextual"/>
        </w:rPr>
        <w:t xml:space="preserve"> snimanje i izrađene su digitalne </w:t>
      </w:r>
      <w:proofErr w:type="spellStart"/>
      <w:r w:rsidRPr="0004221B">
        <w:rPr>
          <w:bCs/>
          <w:color w:val="000000"/>
          <w:kern w:val="2"/>
          <w:sz w:val="24"/>
          <w:szCs w:val="24"/>
          <w:lang w:eastAsia="hr-HR"/>
          <w14:ligatures w14:val="standardContextual"/>
        </w:rPr>
        <w:t>ortofotokarte</w:t>
      </w:r>
      <w:proofErr w:type="spellEnd"/>
      <w:r w:rsidRPr="0004221B">
        <w:rPr>
          <w:bCs/>
          <w:color w:val="000000"/>
          <w:kern w:val="2"/>
          <w:sz w:val="24"/>
          <w:szCs w:val="24"/>
          <w:lang w:eastAsia="hr-HR"/>
          <w14:ligatures w14:val="standardContextual"/>
        </w:rPr>
        <w:t xml:space="preserve"> za 50% teritorija Hrvatske (zapadni dio). </w:t>
      </w:r>
      <w:r>
        <w:rPr>
          <w:bCs/>
          <w:color w:val="000000"/>
          <w:kern w:val="2"/>
          <w:sz w:val="24"/>
          <w:szCs w:val="24"/>
          <w:lang w:eastAsia="hr-HR"/>
          <w14:ligatures w14:val="standardContextual"/>
        </w:rPr>
        <w:t>Dovršen je i</w:t>
      </w:r>
      <w:r w:rsidRPr="0004221B">
        <w:rPr>
          <w:bCs/>
          <w:color w:val="000000"/>
          <w:kern w:val="2"/>
          <w:sz w:val="24"/>
          <w:szCs w:val="24"/>
          <w:lang w:eastAsia="hr-HR"/>
          <w14:ligatures w14:val="standardContextual"/>
        </w:rPr>
        <w:t xml:space="preserve"> ciklus ažuriranja temeljne topografske baze i topografskih karata TK25 za preostalih 28 listova.</w:t>
      </w:r>
      <w:r w:rsidRPr="0004221B">
        <w:rPr>
          <w:b/>
          <w:bCs/>
          <w:color w:val="000000"/>
          <w:kern w:val="2"/>
          <w:sz w:val="24"/>
          <w:szCs w:val="24"/>
          <w:lang w:eastAsia="hr-HR"/>
          <w14:ligatures w14:val="standardContextual"/>
        </w:rPr>
        <w:t xml:space="preserve"> </w:t>
      </w:r>
      <w:r>
        <w:rPr>
          <w:color w:val="000000"/>
          <w:kern w:val="2"/>
          <w:sz w:val="24"/>
          <w:szCs w:val="24"/>
          <w:lang w:eastAsia="hr-HR"/>
          <w14:ligatures w14:val="standardContextual"/>
        </w:rPr>
        <w:t xml:space="preserve"> T</w:t>
      </w:r>
      <w:r w:rsidRPr="002621AA">
        <w:rPr>
          <w:color w:val="000000"/>
          <w:kern w:val="2"/>
          <w:sz w:val="24"/>
          <w:szCs w:val="24"/>
          <w:lang w:eastAsia="hr-HR"/>
          <w14:ligatures w14:val="standardContextual"/>
        </w:rPr>
        <w:t>ijekom</w:t>
      </w:r>
      <w:r w:rsidRPr="0004221B">
        <w:rPr>
          <w:bCs/>
          <w:color w:val="000000"/>
          <w:kern w:val="2"/>
          <w:sz w:val="24"/>
          <w:szCs w:val="24"/>
          <w:lang w:eastAsia="hr-HR"/>
          <w14:ligatures w14:val="standardContextual"/>
        </w:rPr>
        <w:t xml:space="preserve"> 2024. </w:t>
      </w:r>
      <w:r>
        <w:rPr>
          <w:bCs/>
          <w:color w:val="000000"/>
          <w:kern w:val="2"/>
          <w:sz w:val="24"/>
          <w:szCs w:val="24"/>
          <w:lang w:eastAsia="hr-HR"/>
          <w14:ligatures w14:val="standardContextual"/>
        </w:rPr>
        <w:t xml:space="preserve">donesen je Zakon o izmjenama i dopunama </w:t>
      </w:r>
      <w:r w:rsidRPr="0004221B">
        <w:rPr>
          <w:bCs/>
          <w:color w:val="000000"/>
          <w:kern w:val="2"/>
          <w:sz w:val="24"/>
          <w:szCs w:val="24"/>
          <w:lang w:eastAsia="hr-HR"/>
          <w14:ligatures w14:val="standardContextual"/>
        </w:rPr>
        <w:t xml:space="preserve"> Zakon</w:t>
      </w:r>
      <w:r>
        <w:rPr>
          <w:bCs/>
          <w:color w:val="000000"/>
          <w:kern w:val="2"/>
          <w:sz w:val="24"/>
          <w:szCs w:val="24"/>
          <w:lang w:eastAsia="hr-HR"/>
          <w14:ligatures w14:val="standardContextual"/>
        </w:rPr>
        <w:t xml:space="preserve">a </w:t>
      </w:r>
      <w:r w:rsidRPr="0004221B">
        <w:rPr>
          <w:bCs/>
          <w:color w:val="000000"/>
          <w:kern w:val="2"/>
          <w:sz w:val="24"/>
          <w:szCs w:val="24"/>
          <w:lang w:eastAsia="hr-HR"/>
          <w14:ligatures w14:val="standardContextual"/>
        </w:rPr>
        <w:t>o državnoj izmjeri i katastru nekretnina (</w:t>
      </w:r>
      <w:r>
        <w:rPr>
          <w:bCs/>
          <w:color w:val="000000"/>
          <w:kern w:val="2"/>
          <w:sz w:val="24"/>
          <w:szCs w:val="24"/>
          <w:lang w:eastAsia="hr-HR"/>
          <w14:ligatures w14:val="standardContextual"/>
        </w:rPr>
        <w:t>„Narodne novine“, broj</w:t>
      </w:r>
      <w:r w:rsidRPr="0004221B">
        <w:rPr>
          <w:bCs/>
          <w:color w:val="000000"/>
          <w:kern w:val="2"/>
          <w:sz w:val="24"/>
          <w:szCs w:val="24"/>
          <w:lang w:eastAsia="hr-HR"/>
          <w14:ligatures w14:val="standardContextual"/>
        </w:rPr>
        <w:t xml:space="preserve"> </w:t>
      </w:r>
      <w:r>
        <w:rPr>
          <w:bCs/>
          <w:color w:val="000000"/>
          <w:kern w:val="2"/>
          <w:sz w:val="24"/>
          <w:szCs w:val="24"/>
          <w:lang w:eastAsia="hr-HR"/>
          <w14:ligatures w14:val="standardContextual"/>
        </w:rPr>
        <w:t>1</w:t>
      </w:r>
      <w:r w:rsidRPr="0004221B">
        <w:rPr>
          <w:bCs/>
          <w:color w:val="000000"/>
          <w:kern w:val="2"/>
          <w:sz w:val="24"/>
          <w:szCs w:val="24"/>
          <w:lang w:eastAsia="hr-HR"/>
          <w14:ligatures w14:val="standardContextual"/>
        </w:rPr>
        <w:t>52/24</w:t>
      </w:r>
      <w:r>
        <w:rPr>
          <w:bCs/>
          <w:color w:val="000000"/>
          <w:kern w:val="2"/>
          <w:sz w:val="24"/>
          <w:szCs w:val="24"/>
          <w:lang w:eastAsia="hr-HR"/>
          <w14:ligatures w14:val="standardContextual"/>
        </w:rPr>
        <w:t>.</w:t>
      </w:r>
      <w:r w:rsidRPr="0004221B">
        <w:rPr>
          <w:bCs/>
          <w:color w:val="000000"/>
          <w:kern w:val="2"/>
          <w:sz w:val="24"/>
          <w:szCs w:val="24"/>
          <w:lang w:eastAsia="hr-HR"/>
          <w14:ligatures w14:val="standardContextual"/>
        </w:rPr>
        <w:t>)</w:t>
      </w:r>
      <w:r>
        <w:rPr>
          <w:color w:val="000000"/>
          <w:kern w:val="2"/>
          <w:sz w:val="24"/>
          <w:szCs w:val="24"/>
          <w:lang w:eastAsia="hr-HR"/>
          <w14:ligatures w14:val="standardContextual"/>
        </w:rPr>
        <w:t>.</w:t>
      </w:r>
      <w:r w:rsidRPr="0004221B">
        <w:rPr>
          <w:b/>
          <w:bCs/>
          <w:color w:val="000000"/>
          <w:kern w:val="2"/>
          <w:sz w:val="24"/>
          <w:szCs w:val="24"/>
          <w:lang w:eastAsia="hr-HR"/>
          <w14:ligatures w14:val="standardContextual"/>
        </w:rPr>
        <w:t xml:space="preserve"> </w:t>
      </w:r>
      <w:r w:rsidRPr="0004221B">
        <w:rPr>
          <w:bCs/>
          <w:color w:val="000000"/>
          <w:kern w:val="2"/>
          <w:sz w:val="24"/>
          <w:szCs w:val="24"/>
          <w:lang w:eastAsia="hr-HR"/>
          <w14:ligatures w14:val="standardContextual"/>
        </w:rPr>
        <w:t>Najvažnije izmjene odnose se na</w:t>
      </w:r>
      <w:r w:rsidRPr="0004221B">
        <w:rPr>
          <w:b/>
          <w:bCs/>
          <w:color w:val="000000"/>
          <w:kern w:val="2"/>
          <w:sz w:val="24"/>
          <w:szCs w:val="24"/>
          <w:lang w:eastAsia="hr-HR"/>
          <w14:ligatures w14:val="standardContextual"/>
        </w:rPr>
        <w:t xml:space="preserve"> </w:t>
      </w:r>
      <w:r w:rsidRPr="00E01901">
        <w:rPr>
          <w:color w:val="000000"/>
          <w:kern w:val="2"/>
          <w:sz w:val="24"/>
          <w:szCs w:val="24"/>
          <w:lang w:eastAsia="hr-HR"/>
          <w14:ligatures w14:val="standardContextual"/>
        </w:rPr>
        <w:t>d</w:t>
      </w:r>
      <w:r w:rsidRPr="0004221B">
        <w:rPr>
          <w:bCs/>
          <w:color w:val="000000"/>
          <w:kern w:val="2"/>
          <w:sz w:val="24"/>
          <w:szCs w:val="24"/>
          <w:lang w:eastAsia="hr-HR"/>
          <w14:ligatures w14:val="standardContextual"/>
        </w:rPr>
        <w:t>etaljniju regulaciju postupka katastarske izmjere kao temelja za osnivanje zemljišnih knjiga</w:t>
      </w:r>
      <w:r w:rsidRPr="00E01901">
        <w:rPr>
          <w:color w:val="000000"/>
          <w:kern w:val="2"/>
          <w:sz w:val="24"/>
          <w:szCs w:val="24"/>
          <w:lang w:eastAsia="hr-HR"/>
          <w14:ligatures w14:val="standardContextual"/>
        </w:rPr>
        <w:t>, u</w:t>
      </w:r>
      <w:r w:rsidRPr="0004221B">
        <w:rPr>
          <w:bCs/>
          <w:color w:val="000000"/>
          <w:kern w:val="2"/>
          <w:sz w:val="24"/>
          <w:szCs w:val="24"/>
          <w:lang w:eastAsia="hr-HR"/>
          <w14:ligatures w14:val="standardContextual"/>
        </w:rPr>
        <w:t xml:space="preserve">spostavu novog katastarskog </w:t>
      </w:r>
      <w:proofErr w:type="spellStart"/>
      <w:r w:rsidRPr="0004221B">
        <w:rPr>
          <w:bCs/>
          <w:color w:val="000000"/>
          <w:kern w:val="2"/>
          <w:sz w:val="24"/>
          <w:szCs w:val="24"/>
          <w:lang w:eastAsia="hr-HR"/>
          <w14:ligatures w14:val="standardContextual"/>
        </w:rPr>
        <w:t>operata</w:t>
      </w:r>
      <w:proofErr w:type="spellEnd"/>
      <w:r w:rsidRPr="0004221B">
        <w:rPr>
          <w:bCs/>
          <w:color w:val="000000"/>
          <w:kern w:val="2"/>
          <w:sz w:val="24"/>
          <w:szCs w:val="24"/>
          <w:lang w:eastAsia="hr-HR"/>
          <w14:ligatures w14:val="standardContextual"/>
        </w:rPr>
        <w:t xml:space="preserve"> </w:t>
      </w:r>
      <w:r w:rsidRPr="00E01901">
        <w:rPr>
          <w:color w:val="000000"/>
          <w:kern w:val="2"/>
          <w:sz w:val="24"/>
          <w:szCs w:val="24"/>
          <w:lang w:eastAsia="hr-HR"/>
          <w14:ligatures w14:val="standardContextual"/>
        </w:rPr>
        <w:t>te p</w:t>
      </w:r>
      <w:r w:rsidRPr="0004221B">
        <w:rPr>
          <w:bCs/>
          <w:color w:val="000000"/>
          <w:kern w:val="2"/>
          <w:sz w:val="24"/>
          <w:szCs w:val="24"/>
          <w:lang w:eastAsia="hr-HR"/>
          <w14:ligatures w14:val="standardContextual"/>
        </w:rPr>
        <w:t>reciznije definirane radnje vezane uz izradu, pregled i potvrdu geodetskih elaborata, s ciljem dodatne zaštite prava svih uključenih stranaka</w:t>
      </w:r>
      <w:r w:rsidRPr="0004221B">
        <w:rPr>
          <w:b/>
          <w:bCs/>
          <w:color w:val="000000"/>
          <w:kern w:val="2"/>
          <w:sz w:val="24"/>
          <w:szCs w:val="24"/>
          <w:lang w:eastAsia="hr-HR"/>
          <w14:ligatures w14:val="standardContextual"/>
        </w:rPr>
        <w:t>.</w:t>
      </w:r>
      <w:r>
        <w:rPr>
          <w:sz w:val="24"/>
          <w:szCs w:val="24"/>
          <w:lang w:eastAsia="hr-HR"/>
        </w:rPr>
        <w:t xml:space="preserve"> </w:t>
      </w:r>
      <w:r>
        <w:br w:type="page"/>
      </w:r>
    </w:p>
    <w:p w14:paraId="44A08569" w14:textId="77777777" w:rsidR="00FB178A" w:rsidRPr="00A847BB" w:rsidRDefault="00FB178A" w:rsidP="00FB178A">
      <w:pPr>
        <w:pStyle w:val="Heading2"/>
        <w:spacing w:after="240"/>
        <w:jc w:val="both"/>
        <w:rPr>
          <w:sz w:val="24"/>
          <w:szCs w:val="24"/>
        </w:rPr>
      </w:pPr>
      <w:bookmarkStart w:id="68" w:name="_Toc223002932"/>
      <w:r w:rsidRPr="00A847BB">
        <w:rPr>
          <w:sz w:val="24"/>
          <w:szCs w:val="24"/>
        </w:rPr>
        <w:lastRenderedPageBreak/>
        <w:t>4. Globalna prepoznatljivost i jačanje međunarodnog položaja i uloge Hrvatske</w:t>
      </w:r>
      <w:bookmarkEnd w:id="68"/>
    </w:p>
    <w:p w14:paraId="5D2AF478" w14:textId="77777777" w:rsidR="00FB178A" w:rsidRPr="00A847BB" w:rsidRDefault="00FB178A" w:rsidP="00FB178A">
      <w:pPr>
        <w:pStyle w:val="Heading3"/>
        <w:rPr>
          <w:szCs w:val="24"/>
        </w:rPr>
      </w:pPr>
      <w:bookmarkStart w:id="69" w:name="_Toc223002933"/>
      <w:r w:rsidRPr="00A847BB">
        <w:rPr>
          <w:szCs w:val="24"/>
        </w:rPr>
        <w:t>4.1. Ostvarene vrijednosti pokazatelja uspješnosti</w:t>
      </w:r>
      <w:bookmarkEnd w:id="69"/>
    </w:p>
    <w:tbl>
      <w:tblPr>
        <w:tblW w:w="9488" w:type="dxa"/>
        <w:tblInd w:w="2" w:type="dxa"/>
        <w:tblLayout w:type="fixed"/>
        <w:tblCellMar>
          <w:left w:w="0" w:type="dxa"/>
          <w:right w:w="0" w:type="dxa"/>
        </w:tblCellMar>
        <w:tblLook w:val="04A0" w:firstRow="1" w:lastRow="0" w:firstColumn="1" w:lastColumn="0" w:noHBand="0" w:noVBand="1"/>
      </w:tblPr>
      <w:tblGrid>
        <w:gridCol w:w="2490"/>
        <w:gridCol w:w="2325"/>
        <w:gridCol w:w="2550"/>
        <w:gridCol w:w="2123"/>
      </w:tblGrid>
      <w:tr w:rsidR="00FB178A" w:rsidRPr="00145379" w14:paraId="2BD85399" w14:textId="77777777" w:rsidTr="009E18ED">
        <w:trPr>
          <w:trHeight w:val="660"/>
        </w:trPr>
        <w:tc>
          <w:tcPr>
            <w:tcW w:w="2490" w:type="dxa"/>
            <w:tcBorders>
              <w:top w:val="dotted" w:sz="8" w:space="0" w:color="auto"/>
              <w:left w:val="dotted" w:sz="8" w:space="0" w:color="auto"/>
              <w:bottom w:val="dotted" w:sz="8" w:space="0" w:color="auto"/>
              <w:right w:val="dotted" w:sz="8" w:space="0" w:color="auto"/>
            </w:tcBorders>
            <w:shd w:val="clear" w:color="auto" w:fill="B6DDE8" w:themeFill="accent5" w:themeFillTint="66"/>
            <w:vAlign w:val="center"/>
          </w:tcPr>
          <w:p w14:paraId="53F18BF0" w14:textId="77777777" w:rsidR="00FB178A" w:rsidRPr="00145379" w:rsidRDefault="00FB178A" w:rsidP="009E18ED">
            <w:pPr>
              <w:spacing w:line="276" w:lineRule="auto"/>
              <w:jc w:val="center"/>
              <w:rPr>
                <w:sz w:val="24"/>
                <w:szCs w:val="24"/>
              </w:rPr>
            </w:pPr>
            <w:r w:rsidRPr="00145379">
              <w:rPr>
                <w:b/>
                <w:bCs/>
                <w:sz w:val="24"/>
                <w:szCs w:val="24"/>
              </w:rPr>
              <w:t xml:space="preserve"> </w:t>
            </w:r>
            <w:r w:rsidRPr="00145379">
              <w:rPr>
                <w:b/>
                <w:bCs/>
                <w:color w:val="000000" w:themeColor="text1"/>
                <w:sz w:val="24"/>
                <w:szCs w:val="24"/>
              </w:rPr>
              <w:t xml:space="preserve">Pokazatelj uspješnosti </w:t>
            </w:r>
          </w:p>
        </w:tc>
        <w:tc>
          <w:tcPr>
            <w:tcW w:w="2325" w:type="dxa"/>
            <w:tcBorders>
              <w:top w:val="dotted" w:sz="8" w:space="0" w:color="auto"/>
              <w:left w:val="dotted" w:sz="8" w:space="0" w:color="auto"/>
              <w:bottom w:val="dotted" w:sz="8" w:space="0" w:color="auto"/>
              <w:right w:val="dotted" w:sz="8" w:space="0" w:color="auto"/>
            </w:tcBorders>
            <w:shd w:val="clear" w:color="auto" w:fill="B6DDE8" w:themeFill="accent5" w:themeFillTint="66"/>
            <w:vAlign w:val="center"/>
          </w:tcPr>
          <w:p w14:paraId="7492690D" w14:textId="77777777" w:rsidR="00FB178A" w:rsidRPr="00145379" w:rsidRDefault="00FB178A" w:rsidP="009E18ED">
            <w:pPr>
              <w:spacing w:line="276" w:lineRule="auto"/>
              <w:jc w:val="center"/>
              <w:rPr>
                <w:sz w:val="24"/>
                <w:szCs w:val="24"/>
              </w:rPr>
            </w:pPr>
            <w:r w:rsidRPr="00145379">
              <w:rPr>
                <w:b/>
                <w:bCs/>
                <w:color w:val="000000" w:themeColor="text1"/>
                <w:sz w:val="24"/>
                <w:szCs w:val="24"/>
              </w:rPr>
              <w:t xml:space="preserve">Početna </w:t>
            </w:r>
          </w:p>
          <w:p w14:paraId="2FD50305" w14:textId="77777777" w:rsidR="00FB178A" w:rsidRPr="00145379" w:rsidRDefault="00FB178A" w:rsidP="009E18ED">
            <w:pPr>
              <w:spacing w:line="276" w:lineRule="auto"/>
              <w:jc w:val="center"/>
              <w:rPr>
                <w:sz w:val="24"/>
                <w:szCs w:val="24"/>
              </w:rPr>
            </w:pPr>
            <w:r w:rsidRPr="00145379">
              <w:rPr>
                <w:b/>
                <w:bCs/>
                <w:color w:val="000000" w:themeColor="text1"/>
                <w:sz w:val="24"/>
                <w:szCs w:val="24"/>
              </w:rPr>
              <w:t xml:space="preserve">vrijednost </w:t>
            </w:r>
          </w:p>
        </w:tc>
        <w:tc>
          <w:tcPr>
            <w:tcW w:w="2550" w:type="dxa"/>
            <w:tcBorders>
              <w:top w:val="dotted" w:sz="8" w:space="0" w:color="auto"/>
              <w:left w:val="dotted" w:sz="8" w:space="0" w:color="auto"/>
              <w:bottom w:val="dotted" w:sz="8" w:space="0" w:color="auto"/>
              <w:right w:val="dotted" w:sz="8" w:space="0" w:color="auto"/>
            </w:tcBorders>
            <w:shd w:val="clear" w:color="auto" w:fill="B6DDE8" w:themeFill="accent5" w:themeFillTint="66"/>
            <w:vAlign w:val="center"/>
          </w:tcPr>
          <w:p w14:paraId="19E1B4DB" w14:textId="77777777" w:rsidR="00FB178A" w:rsidRPr="00145379" w:rsidRDefault="00FB178A" w:rsidP="009E18ED">
            <w:pPr>
              <w:spacing w:line="276" w:lineRule="auto"/>
              <w:jc w:val="center"/>
              <w:rPr>
                <w:sz w:val="24"/>
                <w:szCs w:val="24"/>
              </w:rPr>
            </w:pPr>
            <w:r w:rsidRPr="00145379">
              <w:rPr>
                <w:b/>
                <w:bCs/>
                <w:color w:val="000000" w:themeColor="text1"/>
                <w:sz w:val="24"/>
                <w:szCs w:val="24"/>
              </w:rPr>
              <w:t xml:space="preserve">Ciljna </w:t>
            </w:r>
          </w:p>
          <w:p w14:paraId="02E3E777" w14:textId="77777777" w:rsidR="00FB178A" w:rsidRPr="00145379" w:rsidRDefault="00FB178A" w:rsidP="009E18ED">
            <w:pPr>
              <w:spacing w:line="276" w:lineRule="auto"/>
              <w:jc w:val="center"/>
              <w:rPr>
                <w:sz w:val="24"/>
                <w:szCs w:val="24"/>
              </w:rPr>
            </w:pPr>
            <w:r w:rsidRPr="00145379">
              <w:rPr>
                <w:b/>
                <w:bCs/>
                <w:color w:val="000000" w:themeColor="text1"/>
                <w:sz w:val="24"/>
                <w:szCs w:val="24"/>
              </w:rPr>
              <w:t xml:space="preserve">vrijednost </w:t>
            </w:r>
          </w:p>
        </w:tc>
        <w:tc>
          <w:tcPr>
            <w:tcW w:w="2123" w:type="dxa"/>
            <w:tcBorders>
              <w:top w:val="dotted" w:sz="8" w:space="0" w:color="auto"/>
              <w:left w:val="dotted" w:sz="8" w:space="0" w:color="auto"/>
              <w:bottom w:val="dotted" w:sz="8" w:space="0" w:color="auto"/>
              <w:right w:val="dotted" w:sz="8" w:space="0" w:color="auto"/>
            </w:tcBorders>
            <w:shd w:val="clear" w:color="auto" w:fill="B6DDE8" w:themeFill="accent5" w:themeFillTint="66"/>
            <w:vAlign w:val="center"/>
          </w:tcPr>
          <w:p w14:paraId="7C3372A7" w14:textId="77777777" w:rsidR="00FB178A" w:rsidRPr="00145379" w:rsidRDefault="00FB178A" w:rsidP="009E18ED">
            <w:pPr>
              <w:spacing w:line="276" w:lineRule="auto"/>
              <w:jc w:val="center"/>
              <w:rPr>
                <w:sz w:val="24"/>
                <w:szCs w:val="24"/>
              </w:rPr>
            </w:pPr>
            <w:r w:rsidRPr="00145379">
              <w:rPr>
                <w:b/>
                <w:bCs/>
                <w:color w:val="000000" w:themeColor="text1"/>
                <w:sz w:val="24"/>
                <w:szCs w:val="24"/>
              </w:rPr>
              <w:t xml:space="preserve">Ostvarena </w:t>
            </w:r>
          </w:p>
          <w:p w14:paraId="5CC27A3D" w14:textId="77777777" w:rsidR="00FB178A" w:rsidRPr="00145379" w:rsidRDefault="00FB178A" w:rsidP="009E18ED">
            <w:pPr>
              <w:spacing w:line="276" w:lineRule="auto"/>
              <w:jc w:val="center"/>
              <w:rPr>
                <w:sz w:val="24"/>
                <w:szCs w:val="24"/>
              </w:rPr>
            </w:pPr>
            <w:r w:rsidRPr="00145379">
              <w:rPr>
                <w:b/>
                <w:bCs/>
                <w:color w:val="000000" w:themeColor="text1"/>
                <w:sz w:val="24"/>
                <w:szCs w:val="24"/>
              </w:rPr>
              <w:t xml:space="preserve">vrijednost </w:t>
            </w:r>
          </w:p>
        </w:tc>
      </w:tr>
      <w:tr w:rsidR="00FB178A" w:rsidRPr="00145379" w14:paraId="428A9084" w14:textId="77777777" w:rsidTr="009E18ED">
        <w:trPr>
          <w:trHeight w:val="837"/>
        </w:trPr>
        <w:tc>
          <w:tcPr>
            <w:tcW w:w="2490" w:type="dxa"/>
            <w:tcBorders>
              <w:top w:val="dotted" w:sz="8" w:space="0" w:color="auto"/>
              <w:left w:val="dotted" w:sz="8" w:space="0" w:color="auto"/>
              <w:bottom w:val="dotted" w:sz="8" w:space="0" w:color="auto"/>
              <w:right w:val="nil"/>
            </w:tcBorders>
            <w:shd w:val="clear" w:color="auto" w:fill="F2F2F2" w:themeFill="background1" w:themeFillShade="F2"/>
            <w:vAlign w:val="center"/>
          </w:tcPr>
          <w:p w14:paraId="250BDB77" w14:textId="77777777" w:rsidR="00FB178A" w:rsidRPr="00272FBC" w:rsidRDefault="00FB178A" w:rsidP="009E18ED">
            <w:pPr>
              <w:spacing w:before="120" w:after="120" w:line="276" w:lineRule="auto"/>
              <w:rPr>
                <w:i/>
                <w:color w:val="000000" w:themeColor="text1"/>
              </w:rPr>
            </w:pPr>
            <w:r w:rsidRPr="00272FBC">
              <w:rPr>
                <w:i/>
                <w:color w:val="000000" w:themeColor="text1"/>
              </w:rPr>
              <w:t>Indeks globalne konkurentnosti (GCI)</w:t>
            </w:r>
          </w:p>
        </w:tc>
        <w:tc>
          <w:tcPr>
            <w:tcW w:w="2325" w:type="dxa"/>
            <w:tcBorders>
              <w:top w:val="dotted" w:sz="8" w:space="0" w:color="auto"/>
              <w:left w:val="nil"/>
              <w:bottom w:val="dotted" w:sz="8" w:space="0" w:color="auto"/>
              <w:right w:val="nil"/>
            </w:tcBorders>
            <w:shd w:val="clear" w:color="auto" w:fill="F2F2F2" w:themeFill="background1" w:themeFillShade="F2"/>
            <w:vAlign w:val="center"/>
          </w:tcPr>
          <w:p w14:paraId="52EF37A0" w14:textId="77777777" w:rsidR="00FB178A" w:rsidRPr="00272FBC" w:rsidRDefault="00FB178A" w:rsidP="009E18ED">
            <w:pPr>
              <w:spacing w:before="120" w:after="120" w:line="276" w:lineRule="auto"/>
              <w:jc w:val="center"/>
              <w:rPr>
                <w:i/>
                <w:color w:val="000000" w:themeColor="text1"/>
              </w:rPr>
            </w:pPr>
            <w:r w:rsidRPr="00272FBC">
              <w:rPr>
                <w:i/>
                <w:color w:val="000000" w:themeColor="text1"/>
              </w:rPr>
              <w:t>63. mjesto (2019.)</w:t>
            </w:r>
          </w:p>
        </w:tc>
        <w:tc>
          <w:tcPr>
            <w:tcW w:w="2550" w:type="dxa"/>
            <w:tcBorders>
              <w:top w:val="dotted" w:sz="8" w:space="0" w:color="auto"/>
              <w:left w:val="nil"/>
              <w:bottom w:val="dotted" w:sz="8" w:space="0" w:color="auto"/>
              <w:right w:val="nil"/>
            </w:tcBorders>
            <w:shd w:val="clear" w:color="auto" w:fill="F2F2F2" w:themeFill="background1" w:themeFillShade="F2"/>
            <w:vAlign w:val="center"/>
          </w:tcPr>
          <w:p w14:paraId="3E35D555" w14:textId="77777777" w:rsidR="00FB178A" w:rsidRPr="00272FBC" w:rsidRDefault="00FB178A" w:rsidP="009E18ED">
            <w:pPr>
              <w:spacing w:before="120" w:after="120" w:line="276" w:lineRule="auto"/>
              <w:jc w:val="center"/>
              <w:rPr>
                <w:i/>
                <w:color w:val="000000" w:themeColor="text1"/>
              </w:rPr>
            </w:pPr>
            <w:r w:rsidRPr="00272FBC">
              <w:rPr>
                <w:i/>
                <w:color w:val="000000" w:themeColor="text1"/>
              </w:rPr>
              <w:t>&lt; 45. mjesta</w:t>
            </w:r>
          </w:p>
        </w:tc>
        <w:tc>
          <w:tcPr>
            <w:tcW w:w="2123" w:type="dxa"/>
            <w:tcBorders>
              <w:top w:val="dotted" w:sz="8" w:space="0" w:color="auto"/>
              <w:left w:val="nil"/>
              <w:bottom w:val="dotted" w:sz="8" w:space="0" w:color="auto"/>
              <w:right w:val="dotted" w:sz="8" w:space="0" w:color="auto"/>
            </w:tcBorders>
            <w:shd w:val="clear" w:color="auto" w:fill="F2F2F2" w:themeFill="background1" w:themeFillShade="F2"/>
            <w:vAlign w:val="center"/>
          </w:tcPr>
          <w:p w14:paraId="32460069" w14:textId="77777777" w:rsidR="00FB178A" w:rsidRPr="00272FBC" w:rsidRDefault="00FB178A" w:rsidP="009E18ED">
            <w:pPr>
              <w:spacing w:before="120" w:after="120" w:line="276" w:lineRule="auto"/>
              <w:jc w:val="center"/>
              <w:rPr>
                <w:i/>
                <w:vertAlign w:val="superscript"/>
              </w:rPr>
            </w:pPr>
            <w:r w:rsidRPr="00272FBC">
              <w:rPr>
                <w:i/>
                <w:color w:val="000000" w:themeColor="text1"/>
              </w:rPr>
              <w:t>nema podataka</w:t>
            </w:r>
          </w:p>
        </w:tc>
      </w:tr>
      <w:tr w:rsidR="00FB178A" w:rsidRPr="00145379" w14:paraId="6839A294" w14:textId="77777777" w:rsidTr="009E18ED">
        <w:trPr>
          <w:trHeight w:val="1374"/>
        </w:trPr>
        <w:tc>
          <w:tcPr>
            <w:tcW w:w="2490" w:type="dxa"/>
            <w:tcBorders>
              <w:top w:val="dotted" w:sz="8" w:space="0" w:color="auto"/>
              <w:left w:val="dotted" w:sz="8" w:space="0" w:color="auto"/>
              <w:bottom w:val="dotted" w:sz="8" w:space="0" w:color="auto"/>
              <w:right w:val="nil"/>
            </w:tcBorders>
            <w:vAlign w:val="center"/>
          </w:tcPr>
          <w:p w14:paraId="58D6DFA9" w14:textId="77777777" w:rsidR="00FB178A" w:rsidRPr="00145379" w:rsidRDefault="00FB178A" w:rsidP="009E18ED">
            <w:pPr>
              <w:spacing w:before="120" w:after="120" w:line="276" w:lineRule="auto"/>
              <w:ind w:left="127"/>
              <w:rPr>
                <w:sz w:val="24"/>
                <w:szCs w:val="24"/>
              </w:rPr>
            </w:pPr>
            <w:r w:rsidRPr="00145379">
              <w:rPr>
                <w:b/>
                <w:bCs/>
                <w:color w:val="000000" w:themeColor="text1"/>
                <w:sz w:val="24"/>
                <w:szCs w:val="24"/>
              </w:rPr>
              <w:t>Poredak na ljestvici globalne konkurentnosti (WCR, IMD)</w:t>
            </w:r>
          </w:p>
        </w:tc>
        <w:tc>
          <w:tcPr>
            <w:tcW w:w="2325" w:type="dxa"/>
            <w:tcBorders>
              <w:top w:val="dotted" w:sz="8" w:space="0" w:color="auto"/>
              <w:left w:val="nil"/>
              <w:bottom w:val="dotted" w:sz="8" w:space="0" w:color="auto"/>
              <w:right w:val="nil"/>
            </w:tcBorders>
            <w:shd w:val="clear" w:color="auto" w:fill="DAEEF3" w:themeFill="accent5" w:themeFillTint="33"/>
            <w:vAlign w:val="center"/>
          </w:tcPr>
          <w:p w14:paraId="464F29B7" w14:textId="77777777" w:rsidR="00FB178A" w:rsidRPr="00145379" w:rsidRDefault="00FB178A" w:rsidP="009E18ED">
            <w:pPr>
              <w:spacing w:before="120" w:after="120" w:line="276" w:lineRule="auto"/>
              <w:jc w:val="center"/>
              <w:rPr>
                <w:sz w:val="24"/>
                <w:szCs w:val="24"/>
              </w:rPr>
            </w:pPr>
            <w:r w:rsidRPr="0D7720A8">
              <w:rPr>
                <w:b/>
                <w:bCs/>
                <w:color w:val="000000" w:themeColor="text1"/>
                <w:sz w:val="24"/>
                <w:szCs w:val="24"/>
              </w:rPr>
              <w:t>60. mjesto (2020.)</w:t>
            </w:r>
          </w:p>
        </w:tc>
        <w:tc>
          <w:tcPr>
            <w:tcW w:w="2550" w:type="dxa"/>
            <w:tcBorders>
              <w:top w:val="dotted" w:sz="8" w:space="0" w:color="auto"/>
              <w:left w:val="nil"/>
              <w:bottom w:val="dotted" w:sz="8" w:space="0" w:color="auto"/>
              <w:right w:val="nil"/>
            </w:tcBorders>
            <w:vAlign w:val="center"/>
          </w:tcPr>
          <w:p w14:paraId="66002AB8" w14:textId="77777777" w:rsidR="00FB178A" w:rsidRPr="00145379" w:rsidRDefault="00FB178A" w:rsidP="009E18ED">
            <w:pPr>
              <w:spacing w:before="120" w:after="120" w:line="276" w:lineRule="auto"/>
              <w:jc w:val="center"/>
              <w:rPr>
                <w:sz w:val="24"/>
                <w:szCs w:val="24"/>
              </w:rPr>
            </w:pPr>
            <w:r w:rsidRPr="00145379">
              <w:rPr>
                <w:b/>
                <w:bCs/>
                <w:color w:val="000000" w:themeColor="text1"/>
                <w:sz w:val="24"/>
                <w:szCs w:val="24"/>
              </w:rPr>
              <w:t>n/p</w:t>
            </w:r>
          </w:p>
        </w:tc>
        <w:tc>
          <w:tcPr>
            <w:tcW w:w="2123" w:type="dxa"/>
            <w:tcBorders>
              <w:top w:val="dotted" w:sz="8" w:space="0" w:color="auto"/>
              <w:left w:val="nil"/>
              <w:bottom w:val="dotted" w:sz="8" w:space="0" w:color="auto"/>
              <w:right w:val="dotted" w:sz="8" w:space="0" w:color="auto"/>
            </w:tcBorders>
            <w:shd w:val="clear" w:color="auto" w:fill="DAEEF3" w:themeFill="accent5" w:themeFillTint="33"/>
            <w:vAlign w:val="center"/>
          </w:tcPr>
          <w:p w14:paraId="2F73BB7F" w14:textId="77777777" w:rsidR="00FB178A" w:rsidRDefault="00FB178A" w:rsidP="009E18ED">
            <w:pPr>
              <w:spacing w:before="120" w:after="120" w:line="276" w:lineRule="auto"/>
              <w:jc w:val="center"/>
              <w:rPr>
                <w:b/>
                <w:bCs/>
                <w:sz w:val="24"/>
                <w:szCs w:val="24"/>
              </w:rPr>
            </w:pPr>
            <w:r>
              <w:rPr>
                <w:b/>
                <w:bCs/>
                <w:sz w:val="24"/>
                <w:szCs w:val="24"/>
              </w:rPr>
              <w:t xml:space="preserve">51. mjesto </w:t>
            </w:r>
          </w:p>
          <w:p w14:paraId="05ECCB23" w14:textId="77777777" w:rsidR="00FB178A" w:rsidRPr="00272FBC" w:rsidRDefault="00FB178A" w:rsidP="009E18ED">
            <w:pPr>
              <w:spacing w:before="120" w:after="120" w:line="276" w:lineRule="auto"/>
              <w:jc w:val="center"/>
              <w:rPr>
                <w:b/>
                <w:bCs/>
                <w:sz w:val="24"/>
                <w:szCs w:val="24"/>
              </w:rPr>
            </w:pPr>
            <w:r>
              <w:rPr>
                <w:b/>
                <w:bCs/>
                <w:sz w:val="24"/>
                <w:szCs w:val="24"/>
              </w:rPr>
              <w:t>(2024.)</w:t>
            </w:r>
          </w:p>
        </w:tc>
      </w:tr>
    </w:tbl>
    <w:p w14:paraId="061EEFB2" w14:textId="77777777" w:rsidR="00FB178A" w:rsidRPr="00145379" w:rsidRDefault="00FB178A" w:rsidP="00FB178A">
      <w:pPr>
        <w:spacing w:line="276" w:lineRule="auto"/>
        <w:rPr>
          <w:sz w:val="24"/>
          <w:szCs w:val="24"/>
        </w:rPr>
      </w:pPr>
      <w:r w:rsidRPr="00145379">
        <w:rPr>
          <w:sz w:val="24"/>
          <w:szCs w:val="24"/>
        </w:rPr>
        <w:t xml:space="preserve"> </w:t>
      </w:r>
    </w:p>
    <w:p w14:paraId="6BDE30AA" w14:textId="77777777" w:rsidR="00FB178A" w:rsidRDefault="00FB178A" w:rsidP="00FB178A">
      <w:pPr>
        <w:pStyle w:val="Heading3"/>
        <w:rPr>
          <w:rStyle w:val="Heading3Char"/>
          <w:b/>
          <w:bCs/>
          <w:szCs w:val="24"/>
        </w:rPr>
      </w:pPr>
      <w:bookmarkStart w:id="70" w:name="_Toc223002934"/>
      <w:r w:rsidRPr="7B8BC2C2">
        <w:t>4</w:t>
      </w:r>
      <w:r w:rsidRPr="7B8BC2C2">
        <w:rPr>
          <w:rStyle w:val="Heading3Char"/>
          <w:b/>
          <w:bCs/>
          <w:szCs w:val="24"/>
        </w:rPr>
        <w:t>.2. Opis napretka u provedbi strateškog cilja Globalna prepoznatljivost i jačanje međunarodnog položaja i uloge Hrvatske</w:t>
      </w:r>
      <w:bookmarkEnd w:id="70"/>
    </w:p>
    <w:p w14:paraId="45FDE205" w14:textId="77777777" w:rsidR="00FB178A" w:rsidRPr="00F45F18" w:rsidRDefault="00FB178A" w:rsidP="00FB178A">
      <w:pPr>
        <w:spacing w:after="240"/>
        <w:ind w:firstLine="720"/>
        <w:rPr>
          <w:b/>
          <w:bCs/>
          <w:sz w:val="24"/>
          <w:szCs w:val="24"/>
        </w:rPr>
      </w:pPr>
      <w:r w:rsidRPr="00F45F18">
        <w:rPr>
          <w:b/>
          <w:bCs/>
          <w:sz w:val="24"/>
          <w:szCs w:val="24"/>
        </w:rPr>
        <w:t>Jačanje položaja Hrvatske unutar Europske unije</w:t>
      </w:r>
    </w:p>
    <w:p w14:paraId="37D4A1D3" w14:textId="77777777" w:rsidR="00FB178A" w:rsidRPr="00F45F18" w:rsidRDefault="00FB178A" w:rsidP="00FB178A">
      <w:pPr>
        <w:spacing w:after="240" w:line="276" w:lineRule="auto"/>
        <w:ind w:firstLine="720"/>
        <w:jc w:val="both"/>
        <w:rPr>
          <w:sz w:val="24"/>
          <w:szCs w:val="24"/>
        </w:rPr>
      </w:pPr>
      <w:r w:rsidRPr="00F45F18">
        <w:rPr>
          <w:sz w:val="24"/>
          <w:szCs w:val="24"/>
        </w:rPr>
        <w:t xml:space="preserve">Od </w:t>
      </w:r>
      <w:r>
        <w:rPr>
          <w:sz w:val="24"/>
          <w:szCs w:val="24"/>
        </w:rPr>
        <w:t>ulaska</w:t>
      </w:r>
      <w:r w:rsidRPr="00F45F18">
        <w:rPr>
          <w:sz w:val="24"/>
          <w:szCs w:val="24"/>
        </w:rPr>
        <w:t xml:space="preserve"> u</w:t>
      </w:r>
      <w:r>
        <w:rPr>
          <w:sz w:val="24"/>
          <w:szCs w:val="24"/>
        </w:rPr>
        <w:t xml:space="preserve"> EU</w:t>
      </w:r>
      <w:r w:rsidRPr="00F45F18">
        <w:rPr>
          <w:sz w:val="24"/>
          <w:szCs w:val="24"/>
        </w:rPr>
        <w:t>, Hrvatska snažno zagovora zajedničke europske vrijednosti i ciljeve</w:t>
      </w:r>
      <w:r>
        <w:rPr>
          <w:sz w:val="24"/>
          <w:szCs w:val="24"/>
        </w:rPr>
        <w:t xml:space="preserve"> te ostvarivanje nacionalnih prioriteta i interesa kroz okvir EU-a</w:t>
      </w:r>
      <w:r w:rsidRPr="00F45F18">
        <w:rPr>
          <w:sz w:val="24"/>
          <w:szCs w:val="24"/>
        </w:rPr>
        <w:t>, uključujući jačanje globalne uloge EU-a na svjetskoj sceni, sigurnost, otpornost i gospodarski rast, zelenu i digitalnu tranziciju</w:t>
      </w:r>
      <w:r>
        <w:rPr>
          <w:sz w:val="24"/>
          <w:szCs w:val="24"/>
        </w:rPr>
        <w:t>. Uz sudjelovanje u</w:t>
      </w:r>
      <w:r w:rsidRPr="00F45F18">
        <w:rPr>
          <w:sz w:val="24"/>
          <w:szCs w:val="24"/>
        </w:rPr>
        <w:t xml:space="preserve"> izgradnj</w:t>
      </w:r>
      <w:r>
        <w:rPr>
          <w:sz w:val="24"/>
          <w:szCs w:val="24"/>
        </w:rPr>
        <w:t>i</w:t>
      </w:r>
      <w:r w:rsidRPr="00F45F18">
        <w:rPr>
          <w:sz w:val="24"/>
          <w:szCs w:val="24"/>
        </w:rPr>
        <w:t xml:space="preserve"> konkurentnijeg </w:t>
      </w:r>
      <w:r>
        <w:rPr>
          <w:sz w:val="24"/>
          <w:szCs w:val="24"/>
        </w:rPr>
        <w:t xml:space="preserve">i kohezivnijeg te konvergentnog </w:t>
      </w:r>
      <w:r w:rsidRPr="00F45F18">
        <w:rPr>
          <w:sz w:val="24"/>
          <w:szCs w:val="24"/>
        </w:rPr>
        <w:t>europskog gospodarstva i društva</w:t>
      </w:r>
      <w:r>
        <w:rPr>
          <w:sz w:val="24"/>
          <w:szCs w:val="24"/>
        </w:rPr>
        <w:t>, Hrvatska</w:t>
      </w:r>
      <w:r w:rsidRPr="00F45F18">
        <w:rPr>
          <w:sz w:val="24"/>
          <w:szCs w:val="24"/>
        </w:rPr>
        <w:t xml:space="preserve"> nastavlja aktivno sudjelovati u </w:t>
      </w:r>
      <w:proofErr w:type="spellStart"/>
      <w:r w:rsidRPr="00F45F18">
        <w:rPr>
          <w:sz w:val="24"/>
          <w:szCs w:val="24"/>
        </w:rPr>
        <w:t>Schengenskom</w:t>
      </w:r>
      <w:proofErr w:type="spellEnd"/>
      <w:r w:rsidRPr="00F45F18">
        <w:rPr>
          <w:sz w:val="24"/>
          <w:szCs w:val="24"/>
        </w:rPr>
        <w:t xml:space="preserve"> prostoru, </w:t>
      </w:r>
      <w:proofErr w:type="spellStart"/>
      <w:r w:rsidRPr="00F45F18">
        <w:rPr>
          <w:sz w:val="24"/>
          <w:szCs w:val="24"/>
        </w:rPr>
        <w:t>europodručju</w:t>
      </w:r>
      <w:proofErr w:type="spellEnd"/>
      <w:r w:rsidRPr="00F45F18">
        <w:rPr>
          <w:sz w:val="24"/>
          <w:szCs w:val="24"/>
        </w:rPr>
        <w:t xml:space="preserve"> </w:t>
      </w:r>
      <w:r>
        <w:rPr>
          <w:sz w:val="24"/>
          <w:szCs w:val="24"/>
        </w:rPr>
        <w:t>te</w:t>
      </w:r>
      <w:r w:rsidRPr="00F45F18">
        <w:rPr>
          <w:sz w:val="24"/>
          <w:szCs w:val="24"/>
        </w:rPr>
        <w:t xml:space="preserve"> Europskom stabilizacijskom mehanizmu. </w:t>
      </w:r>
      <w:r w:rsidRPr="00D40FBA">
        <w:rPr>
          <w:sz w:val="24"/>
          <w:szCs w:val="24"/>
        </w:rPr>
        <w:t xml:space="preserve">U </w:t>
      </w:r>
      <w:r>
        <w:rPr>
          <w:sz w:val="24"/>
          <w:szCs w:val="24"/>
        </w:rPr>
        <w:t>2024.,</w:t>
      </w:r>
      <w:r w:rsidRPr="00D40FBA">
        <w:rPr>
          <w:sz w:val="24"/>
          <w:szCs w:val="24"/>
        </w:rPr>
        <w:t xml:space="preserve"> obilježenoj iznimno složenim geopolitičkim okolnostima, uključujući nastavak ruske agresije na Ukrajinu</w:t>
      </w:r>
      <w:r>
        <w:rPr>
          <w:sz w:val="24"/>
          <w:szCs w:val="24"/>
        </w:rPr>
        <w:t xml:space="preserve"> kao i s</w:t>
      </w:r>
      <w:r w:rsidRPr="00D40FBA">
        <w:rPr>
          <w:sz w:val="24"/>
          <w:szCs w:val="24"/>
        </w:rPr>
        <w:t xml:space="preserve">ve izraženije posljedice klimatskih katastrofa, Hrvatska je unatoč globalnim poremećajima nastavila </w:t>
      </w:r>
      <w:r>
        <w:rPr>
          <w:sz w:val="24"/>
          <w:szCs w:val="24"/>
        </w:rPr>
        <w:t>postizati</w:t>
      </w:r>
      <w:r w:rsidRPr="00D40FBA">
        <w:rPr>
          <w:sz w:val="24"/>
          <w:szCs w:val="24"/>
        </w:rPr>
        <w:t xml:space="preserve"> zacrtane ciljeve, provoditi digitalnu transformaciju te ubrzavati prijelaz prema </w:t>
      </w:r>
      <w:proofErr w:type="spellStart"/>
      <w:r w:rsidRPr="00D40FBA">
        <w:rPr>
          <w:sz w:val="24"/>
          <w:szCs w:val="24"/>
        </w:rPr>
        <w:t>niskougljičnom</w:t>
      </w:r>
      <w:proofErr w:type="spellEnd"/>
      <w:r w:rsidRPr="00D40FBA">
        <w:rPr>
          <w:sz w:val="24"/>
          <w:szCs w:val="24"/>
        </w:rPr>
        <w:t xml:space="preserve"> i kružnom gospodarstvu</w:t>
      </w:r>
      <w:r>
        <w:rPr>
          <w:sz w:val="24"/>
          <w:szCs w:val="24"/>
        </w:rPr>
        <w:t>,</w:t>
      </w:r>
      <w:r w:rsidRPr="00D40FBA">
        <w:rPr>
          <w:sz w:val="24"/>
          <w:szCs w:val="24"/>
        </w:rPr>
        <w:t xml:space="preserve"> u skladu s postavljenim </w:t>
      </w:r>
      <w:r>
        <w:rPr>
          <w:sz w:val="24"/>
          <w:szCs w:val="24"/>
        </w:rPr>
        <w:t>nacionalnim razvojnim prioritetima</w:t>
      </w:r>
      <w:r w:rsidRPr="00D40FBA">
        <w:rPr>
          <w:sz w:val="24"/>
          <w:szCs w:val="24"/>
        </w:rPr>
        <w:t>.</w:t>
      </w:r>
    </w:p>
    <w:p w14:paraId="7350E47B" w14:textId="77777777" w:rsidR="00FB178A" w:rsidRPr="00F45F18" w:rsidRDefault="00FB178A" w:rsidP="00FB178A">
      <w:pPr>
        <w:spacing w:after="240" w:line="276" w:lineRule="auto"/>
        <w:jc w:val="both"/>
        <w:rPr>
          <w:sz w:val="24"/>
          <w:szCs w:val="24"/>
        </w:rPr>
      </w:pPr>
      <w:r w:rsidRPr="002B019A">
        <w:rPr>
          <w:sz w:val="24"/>
          <w:szCs w:val="24"/>
        </w:rPr>
        <w:t xml:space="preserve">Hrvatska je tijekom 2024. nastavila aktivno jačati svoj položaj unutar </w:t>
      </w:r>
      <w:r>
        <w:rPr>
          <w:sz w:val="24"/>
          <w:szCs w:val="24"/>
        </w:rPr>
        <w:t>EU</w:t>
      </w:r>
      <w:r w:rsidRPr="002B019A">
        <w:rPr>
          <w:sz w:val="24"/>
          <w:szCs w:val="24"/>
        </w:rPr>
        <w:t xml:space="preserve"> kroz sustavno i pravodobno sudjelovanje u koordinaciji, pripremi</w:t>
      </w:r>
      <w:r>
        <w:rPr>
          <w:sz w:val="24"/>
          <w:szCs w:val="24"/>
        </w:rPr>
        <w:t xml:space="preserve">, </w:t>
      </w:r>
      <w:r w:rsidRPr="002B019A">
        <w:rPr>
          <w:sz w:val="24"/>
          <w:szCs w:val="24"/>
        </w:rPr>
        <w:t>usvajanju</w:t>
      </w:r>
      <w:r>
        <w:rPr>
          <w:sz w:val="24"/>
          <w:szCs w:val="24"/>
        </w:rPr>
        <w:t xml:space="preserve"> i iznošenju</w:t>
      </w:r>
      <w:r w:rsidRPr="002B019A">
        <w:rPr>
          <w:sz w:val="24"/>
          <w:szCs w:val="24"/>
        </w:rPr>
        <w:t xml:space="preserve"> nacionalnih stajališta na svim razinama donošenja odluka u okviru i izvan Vijeća EU-a. U uvjetima povećane dinamike rada institucija EU-a, uzrokovane posljedicama ruske agresije na Ukrajinu, globalnom nestabilnošću i potrebom za usklađenim europskim odgovorima, Hrvatska je dodatno osnažila svoju vidljivost i prepoznatljivost</w:t>
      </w:r>
      <w:r>
        <w:rPr>
          <w:sz w:val="24"/>
          <w:szCs w:val="24"/>
        </w:rPr>
        <w:t>, promicanje svojih interesa i prioriteta u okviru EU te</w:t>
      </w:r>
      <w:r w:rsidRPr="002B019A">
        <w:rPr>
          <w:sz w:val="24"/>
          <w:szCs w:val="24"/>
        </w:rPr>
        <w:t xml:space="preserve"> u bilateralnim i multilateralnim formatima, </w:t>
      </w:r>
      <w:r>
        <w:rPr>
          <w:sz w:val="24"/>
          <w:szCs w:val="24"/>
        </w:rPr>
        <w:t>aktivno sudjelujući u kreiranju svih europskih politika, uključujući i horizontalnu koordinaciju</w:t>
      </w:r>
      <w:r w:rsidRPr="002B019A">
        <w:rPr>
          <w:sz w:val="24"/>
          <w:szCs w:val="24"/>
        </w:rPr>
        <w:t xml:space="preserve"> kroz </w:t>
      </w:r>
      <w:r>
        <w:rPr>
          <w:sz w:val="24"/>
          <w:szCs w:val="24"/>
        </w:rPr>
        <w:t xml:space="preserve">Vijeće za opće poslove te </w:t>
      </w:r>
      <w:r w:rsidRPr="002B019A">
        <w:rPr>
          <w:sz w:val="24"/>
          <w:szCs w:val="24"/>
        </w:rPr>
        <w:t>doprinos Zajedničkoj vanjskoj, sigurnosnoj i obrambenoj politici EU-a. Tijekom godine europskih izbora, obilježene definiranjem novih strateških prioriteta Europske komisije, Hrvatska je nastavila konstruktivno sudjelovati u radu svih relevantnih tijela i formacija Vijeća EU-a</w:t>
      </w:r>
      <w:r>
        <w:rPr>
          <w:sz w:val="24"/>
          <w:szCs w:val="24"/>
        </w:rPr>
        <w:t>, kao i kreiranju strateških dokumenata EU.</w:t>
      </w:r>
      <w:r w:rsidRPr="002B019A">
        <w:rPr>
          <w:sz w:val="24"/>
          <w:szCs w:val="24"/>
        </w:rPr>
        <w:t xml:space="preserve"> Ukupno je </w:t>
      </w:r>
      <w:r>
        <w:rPr>
          <w:sz w:val="24"/>
          <w:szCs w:val="24"/>
        </w:rPr>
        <w:t xml:space="preserve">tijekom 2024. </w:t>
      </w:r>
      <w:r w:rsidRPr="002B019A">
        <w:rPr>
          <w:sz w:val="24"/>
          <w:szCs w:val="24"/>
        </w:rPr>
        <w:t xml:space="preserve">usvojeno 525 stajališta, uključujući 79 stajališta za </w:t>
      </w:r>
      <w:r w:rsidRPr="002B019A">
        <w:rPr>
          <w:sz w:val="24"/>
          <w:szCs w:val="24"/>
        </w:rPr>
        <w:lastRenderedPageBreak/>
        <w:t>sastanke Vijeća EU-a u svim formatima, 46 stajališta za radne skupine Vijeća te 400 stajališta za sastanke COREPER-a, čime je potvrđena visoka razina koordinacije i dosljedna provedba hrvatskih interesa u europskom zakonodavnom i političkom procesu.</w:t>
      </w:r>
    </w:p>
    <w:p w14:paraId="015A31CE" w14:textId="77777777" w:rsidR="00FB178A" w:rsidRPr="00F45F18" w:rsidRDefault="00FB178A" w:rsidP="00FB178A">
      <w:pPr>
        <w:spacing w:after="240" w:line="276" w:lineRule="auto"/>
        <w:jc w:val="both"/>
        <w:rPr>
          <w:sz w:val="24"/>
          <w:szCs w:val="24"/>
        </w:rPr>
      </w:pPr>
      <w:r>
        <w:rPr>
          <w:sz w:val="24"/>
          <w:szCs w:val="24"/>
        </w:rPr>
        <w:t xml:space="preserve">Nadalje, </w:t>
      </w:r>
      <w:r w:rsidRPr="00CF7D07">
        <w:rPr>
          <w:sz w:val="24"/>
          <w:szCs w:val="24"/>
        </w:rPr>
        <w:t xml:space="preserve">Hrvatska je tijekom 2024. nastavila redovito i pravodobno provoditi upravne i stručne poslove u području trgovinske i investicijske politike te Zajedničke trgovinske politike EU-a, sudjelujući u oblikovanju europskih politika kroz radna tijela Vijeća EU-a i pripremu nacionalnih stajališta za donošenje mjera trgovinske politike, kao i kroz rješavanje pojedinačnih predmeta na nacionalnoj razini. Aktivnim sudjelovanjem na sastancima Radne skupine za vize i Radne skupine za konzularna pitanja (COCON) u potpunosti su ostvareni postavljeni ciljevi te je osigurana provedba preporuka iz </w:t>
      </w:r>
      <w:proofErr w:type="spellStart"/>
      <w:r w:rsidRPr="00CF7D07">
        <w:rPr>
          <w:sz w:val="24"/>
          <w:szCs w:val="24"/>
        </w:rPr>
        <w:t>schengenske</w:t>
      </w:r>
      <w:proofErr w:type="spellEnd"/>
      <w:r w:rsidRPr="00CF7D07">
        <w:rPr>
          <w:sz w:val="24"/>
          <w:szCs w:val="24"/>
        </w:rPr>
        <w:t xml:space="preserve"> evaluacije u području Zajedničke </w:t>
      </w:r>
      <w:proofErr w:type="spellStart"/>
      <w:r w:rsidRPr="00CF7D07">
        <w:rPr>
          <w:sz w:val="24"/>
          <w:szCs w:val="24"/>
        </w:rPr>
        <w:t>vizne</w:t>
      </w:r>
      <w:proofErr w:type="spellEnd"/>
      <w:r w:rsidRPr="00CF7D07">
        <w:rPr>
          <w:sz w:val="24"/>
          <w:szCs w:val="24"/>
        </w:rPr>
        <w:t xml:space="preserve"> politike. Nadalje, u svrhu jačanja otpornosti na sigurnosne i hibridne prijetnje, Hrvatska je nastavila sudjelovati u radu Europskog centra izvrsnosti za suzbijanje hibridnih prijetnji, pridonoseći jačanju koordinacije, razmjene znanja i izgradnji kapaciteta unutar europskog sigurnosnog okvira.</w:t>
      </w:r>
    </w:p>
    <w:p w14:paraId="7C356DB2" w14:textId="77777777" w:rsidR="00FB178A" w:rsidRDefault="00FB178A" w:rsidP="00FB178A">
      <w:pPr>
        <w:spacing w:after="240" w:line="276" w:lineRule="auto"/>
        <w:jc w:val="both"/>
        <w:rPr>
          <w:sz w:val="24"/>
          <w:szCs w:val="24"/>
        </w:rPr>
      </w:pPr>
      <w:r w:rsidRPr="00A01A88">
        <w:rPr>
          <w:sz w:val="24"/>
          <w:szCs w:val="24"/>
        </w:rPr>
        <w:t xml:space="preserve">Aktivnosti usmjerene na promicanje i poštivanje međunarodnog prava u međunarodnim odnosima, koordinaciju preuzimanja pravne stečevine EU-a, sudjelovanje u </w:t>
      </w:r>
      <w:proofErr w:type="spellStart"/>
      <w:r w:rsidRPr="00A01A88">
        <w:rPr>
          <w:sz w:val="24"/>
          <w:szCs w:val="24"/>
        </w:rPr>
        <w:t>predsudskim</w:t>
      </w:r>
      <w:proofErr w:type="spellEnd"/>
      <w:r w:rsidRPr="00A01A88">
        <w:rPr>
          <w:sz w:val="24"/>
          <w:szCs w:val="24"/>
        </w:rPr>
        <w:t xml:space="preserve"> i sudskim postupcima zbog povrede prava EU-a te na sklapanje, potvrđivanje i objavu međunarodnih ugovora provedene su sukladno planu i u propisanim rokovima, uz redovitu međuresornu koordinaciju i jačanje pravne usklađenosti. </w:t>
      </w:r>
      <w:r>
        <w:rPr>
          <w:sz w:val="24"/>
          <w:szCs w:val="24"/>
        </w:rPr>
        <w:t>Provedba</w:t>
      </w:r>
      <w:r w:rsidRPr="00A01A88">
        <w:rPr>
          <w:sz w:val="24"/>
          <w:szCs w:val="24"/>
        </w:rPr>
        <w:t xml:space="preserve"> </w:t>
      </w:r>
      <w:r>
        <w:rPr>
          <w:sz w:val="24"/>
          <w:szCs w:val="24"/>
        </w:rPr>
        <w:t xml:space="preserve">ugovorenih </w:t>
      </w:r>
      <w:r w:rsidRPr="00A01A88">
        <w:rPr>
          <w:sz w:val="24"/>
          <w:szCs w:val="24"/>
        </w:rPr>
        <w:t>projekata kulturne promidžbe i javne diplomacije napredovala je prema planiranom okviru</w:t>
      </w:r>
      <w:r>
        <w:rPr>
          <w:sz w:val="24"/>
          <w:szCs w:val="24"/>
        </w:rPr>
        <w:t xml:space="preserve"> te je</w:t>
      </w:r>
      <w:r w:rsidRPr="00A01A88">
        <w:rPr>
          <w:sz w:val="24"/>
          <w:szCs w:val="24"/>
        </w:rPr>
        <w:t xml:space="preserve"> tijekom 2024. ugovoreno 20 novih projekata usmjerenih informiranju hrvatske javnosti o članstvu Hrvatske u EU-u</w:t>
      </w:r>
      <w:r>
        <w:rPr>
          <w:sz w:val="24"/>
          <w:szCs w:val="24"/>
        </w:rPr>
        <w:t xml:space="preserve">. Istovremeno, </w:t>
      </w:r>
      <w:r w:rsidRPr="00A01A88">
        <w:rPr>
          <w:sz w:val="24"/>
          <w:szCs w:val="24"/>
        </w:rPr>
        <w:t>za aktivnosti kulturne promidžbe, javne diplomacije i međunarodne vidljivosti Hrvatske</w:t>
      </w:r>
      <w:r>
        <w:rPr>
          <w:sz w:val="24"/>
          <w:szCs w:val="24"/>
        </w:rPr>
        <w:t xml:space="preserve">, tijekom 2024. </w:t>
      </w:r>
      <w:r w:rsidRPr="00A01A88">
        <w:rPr>
          <w:sz w:val="24"/>
          <w:szCs w:val="24"/>
        </w:rPr>
        <w:t>ugovoreno</w:t>
      </w:r>
      <w:r>
        <w:rPr>
          <w:sz w:val="24"/>
          <w:szCs w:val="24"/>
        </w:rPr>
        <w:t xml:space="preserve"> je ukupno</w:t>
      </w:r>
      <w:r w:rsidRPr="00A01A88">
        <w:rPr>
          <w:sz w:val="24"/>
          <w:szCs w:val="24"/>
        </w:rPr>
        <w:t xml:space="preserve"> 105 projekata, uključujući programe predstavljanja hrvatske kulture u inozemstvu, jačanja kulturnih veza i suradničkih inicijativa s državama partnerima. Navedenim aktivnostima do</w:t>
      </w:r>
      <w:r>
        <w:rPr>
          <w:sz w:val="24"/>
          <w:szCs w:val="24"/>
        </w:rPr>
        <w:t>prinosi se jačanju</w:t>
      </w:r>
      <w:r w:rsidRPr="00A01A88">
        <w:rPr>
          <w:sz w:val="24"/>
          <w:szCs w:val="24"/>
        </w:rPr>
        <w:t xml:space="preserve"> međunarodn</w:t>
      </w:r>
      <w:r>
        <w:rPr>
          <w:sz w:val="24"/>
          <w:szCs w:val="24"/>
        </w:rPr>
        <w:t>e</w:t>
      </w:r>
      <w:r w:rsidRPr="00A01A88">
        <w:rPr>
          <w:sz w:val="24"/>
          <w:szCs w:val="24"/>
        </w:rPr>
        <w:t xml:space="preserve"> prisutnost</w:t>
      </w:r>
      <w:r>
        <w:rPr>
          <w:sz w:val="24"/>
          <w:szCs w:val="24"/>
        </w:rPr>
        <w:t>i</w:t>
      </w:r>
      <w:r w:rsidRPr="00A01A88">
        <w:rPr>
          <w:sz w:val="24"/>
          <w:szCs w:val="24"/>
        </w:rPr>
        <w:t xml:space="preserve"> Hrvatske te </w:t>
      </w:r>
      <w:r>
        <w:rPr>
          <w:sz w:val="24"/>
          <w:szCs w:val="24"/>
        </w:rPr>
        <w:t>većoj</w:t>
      </w:r>
      <w:r w:rsidRPr="00A01A88">
        <w:rPr>
          <w:sz w:val="24"/>
          <w:szCs w:val="24"/>
        </w:rPr>
        <w:t xml:space="preserve"> prepoznatljivost nacionalnih kulturnih, umjetničkih i društvenih postignuća.</w:t>
      </w:r>
    </w:p>
    <w:p w14:paraId="28BE38E8" w14:textId="77777777" w:rsidR="00FB178A" w:rsidRPr="00F45F18" w:rsidRDefault="00FB178A" w:rsidP="00FB178A">
      <w:pPr>
        <w:spacing w:after="240" w:line="276" w:lineRule="auto"/>
        <w:ind w:firstLine="720"/>
        <w:jc w:val="both"/>
        <w:rPr>
          <w:b/>
          <w:bCs/>
          <w:sz w:val="24"/>
          <w:szCs w:val="24"/>
        </w:rPr>
      </w:pPr>
      <w:r w:rsidRPr="00F45F18">
        <w:rPr>
          <w:b/>
          <w:bCs/>
          <w:sz w:val="24"/>
          <w:szCs w:val="24"/>
        </w:rPr>
        <w:t>Jačanje globalnog položaja Hrvatske na bilateralnom i multilateralnom planu</w:t>
      </w:r>
    </w:p>
    <w:p w14:paraId="2499E93C" w14:textId="77777777" w:rsidR="00FB178A" w:rsidRPr="00266F26" w:rsidRDefault="00FB178A" w:rsidP="00FB178A">
      <w:pPr>
        <w:spacing w:after="240" w:line="276" w:lineRule="auto"/>
        <w:ind w:firstLine="720"/>
        <w:jc w:val="both"/>
        <w:rPr>
          <w:sz w:val="24"/>
          <w:szCs w:val="24"/>
        </w:rPr>
      </w:pPr>
      <w:r>
        <w:rPr>
          <w:sz w:val="24"/>
          <w:szCs w:val="24"/>
        </w:rPr>
        <w:t>Tijekom</w:t>
      </w:r>
      <w:r w:rsidRPr="00266F26">
        <w:rPr>
          <w:sz w:val="24"/>
          <w:szCs w:val="24"/>
        </w:rPr>
        <w:t xml:space="preserve"> 2024. nastavljeno je sustavno jačanje globalnog položaja Hrvatske kroz aktivno bilateralno i multilateralno djelovanje te koordinirani angažman u ključnim međunarodnim organizacijama. Mreža od 90 diplomatsko-konzularnih predstavništava </w:t>
      </w:r>
      <w:r>
        <w:rPr>
          <w:sz w:val="24"/>
          <w:szCs w:val="24"/>
        </w:rPr>
        <w:t>diljem svijeta predstavljala je</w:t>
      </w:r>
      <w:r w:rsidRPr="00266F26">
        <w:rPr>
          <w:sz w:val="24"/>
          <w:szCs w:val="24"/>
        </w:rPr>
        <w:t xml:space="preserve"> temelj međunarodnog djelovanja države, pridonoseći jačanju političke stabilnosti, sigurnosti, gospodarske konkurentnosti i vanjskopolitičke vidljivosti Hrvatske. Kroz djelovanje </w:t>
      </w:r>
      <w:r>
        <w:rPr>
          <w:sz w:val="24"/>
          <w:szCs w:val="24"/>
        </w:rPr>
        <w:t xml:space="preserve">predstavništava </w:t>
      </w:r>
      <w:r w:rsidRPr="00266F26">
        <w:rPr>
          <w:sz w:val="24"/>
          <w:szCs w:val="24"/>
        </w:rPr>
        <w:t>osnaž</w:t>
      </w:r>
      <w:r>
        <w:rPr>
          <w:sz w:val="24"/>
          <w:szCs w:val="24"/>
        </w:rPr>
        <w:t xml:space="preserve">uju se </w:t>
      </w:r>
      <w:r w:rsidRPr="00266F26">
        <w:rPr>
          <w:sz w:val="24"/>
          <w:szCs w:val="24"/>
        </w:rPr>
        <w:t>bilateralni odnosi, poti</w:t>
      </w:r>
      <w:r>
        <w:rPr>
          <w:sz w:val="24"/>
          <w:szCs w:val="24"/>
        </w:rPr>
        <w:t xml:space="preserve">če se </w:t>
      </w:r>
      <w:r w:rsidRPr="00266F26">
        <w:rPr>
          <w:sz w:val="24"/>
          <w:szCs w:val="24"/>
        </w:rPr>
        <w:t>sklapanje međunarodnih ugovora i akata te osigura</w:t>
      </w:r>
      <w:r>
        <w:rPr>
          <w:sz w:val="24"/>
          <w:szCs w:val="24"/>
        </w:rPr>
        <w:t>v</w:t>
      </w:r>
      <w:r w:rsidRPr="00266F26">
        <w:rPr>
          <w:sz w:val="24"/>
          <w:szCs w:val="24"/>
        </w:rPr>
        <w:t xml:space="preserve">a kontinuirana podrška </w:t>
      </w:r>
      <w:r>
        <w:rPr>
          <w:sz w:val="24"/>
          <w:szCs w:val="24"/>
        </w:rPr>
        <w:t xml:space="preserve">drugim </w:t>
      </w:r>
      <w:r w:rsidRPr="00266F26">
        <w:rPr>
          <w:sz w:val="24"/>
          <w:szCs w:val="24"/>
        </w:rPr>
        <w:t xml:space="preserve">državnim institucijama u pripremi i provedbi međunarodnih aktivnosti. </w:t>
      </w:r>
      <w:r>
        <w:rPr>
          <w:sz w:val="24"/>
          <w:szCs w:val="24"/>
        </w:rPr>
        <w:t>U djelovanju p</w:t>
      </w:r>
      <w:r w:rsidRPr="00266F26">
        <w:rPr>
          <w:sz w:val="24"/>
          <w:szCs w:val="24"/>
        </w:rPr>
        <w:t>osebna se pozornost posveć</w:t>
      </w:r>
      <w:r>
        <w:rPr>
          <w:sz w:val="24"/>
          <w:szCs w:val="24"/>
        </w:rPr>
        <w:t xml:space="preserve">uje </w:t>
      </w:r>
      <w:r w:rsidRPr="00266F26">
        <w:rPr>
          <w:sz w:val="24"/>
          <w:szCs w:val="24"/>
        </w:rPr>
        <w:t>zaštiti položaja Hrvata u susjednim državama i jačanju povezanosti domovinske i iseljene Hrvatske, uz redovito održavanje bilateralnih susreta na svim razinama.</w:t>
      </w:r>
    </w:p>
    <w:p w14:paraId="3F956B2E" w14:textId="77777777" w:rsidR="00FB178A" w:rsidRDefault="00FB178A" w:rsidP="00FB178A">
      <w:pPr>
        <w:spacing w:after="240" w:line="276" w:lineRule="auto"/>
        <w:jc w:val="both"/>
        <w:rPr>
          <w:sz w:val="24"/>
          <w:szCs w:val="24"/>
        </w:rPr>
      </w:pPr>
      <w:r w:rsidRPr="00266F26">
        <w:rPr>
          <w:sz w:val="24"/>
          <w:szCs w:val="24"/>
        </w:rPr>
        <w:t xml:space="preserve">Na multilateralnom planu dodatno je ojačana međunarodna prepoznatljivost Hrvatske aktivnim </w:t>
      </w:r>
      <w:r w:rsidRPr="00266F26">
        <w:rPr>
          <w:sz w:val="24"/>
          <w:szCs w:val="24"/>
        </w:rPr>
        <w:lastRenderedPageBreak/>
        <w:t xml:space="preserve">sudjelovanjem u radu EU-a, NATO-a, UN-a </w:t>
      </w:r>
      <w:r>
        <w:rPr>
          <w:sz w:val="24"/>
          <w:szCs w:val="24"/>
        </w:rPr>
        <w:t>te</w:t>
      </w:r>
      <w:r w:rsidRPr="00266F26">
        <w:rPr>
          <w:sz w:val="24"/>
          <w:szCs w:val="24"/>
        </w:rPr>
        <w:t xml:space="preserve"> drugih međunarodnih organizacija, uključujući uspješan dovršetak</w:t>
      </w:r>
      <w:r>
        <w:rPr>
          <w:sz w:val="24"/>
          <w:szCs w:val="24"/>
        </w:rPr>
        <w:t xml:space="preserve"> članstva</w:t>
      </w:r>
      <w:r w:rsidRPr="00266F26">
        <w:rPr>
          <w:sz w:val="24"/>
          <w:szCs w:val="24"/>
        </w:rPr>
        <w:t xml:space="preserve"> u Gospodarskom i socijalnom vijeću (2022.</w:t>
      </w:r>
      <w:r>
        <w:rPr>
          <w:sz w:val="24"/>
          <w:szCs w:val="24"/>
        </w:rPr>
        <w:t xml:space="preserve"> - </w:t>
      </w:r>
      <w:r w:rsidRPr="00266F26">
        <w:rPr>
          <w:sz w:val="24"/>
          <w:szCs w:val="24"/>
        </w:rPr>
        <w:t>2024.) te Komisiji za izgradnju mira (2023.</w:t>
      </w:r>
      <w:r>
        <w:rPr>
          <w:sz w:val="24"/>
          <w:szCs w:val="24"/>
        </w:rPr>
        <w:t xml:space="preserve"> - </w:t>
      </w:r>
      <w:r w:rsidRPr="00266F26">
        <w:rPr>
          <w:sz w:val="24"/>
          <w:szCs w:val="24"/>
        </w:rPr>
        <w:t xml:space="preserve">2024.). Istodobno </w:t>
      </w:r>
      <w:r>
        <w:rPr>
          <w:sz w:val="24"/>
          <w:szCs w:val="24"/>
        </w:rPr>
        <w:t>j</w:t>
      </w:r>
      <w:r w:rsidRPr="00266F26">
        <w:rPr>
          <w:sz w:val="24"/>
          <w:szCs w:val="24"/>
        </w:rPr>
        <w:t>e nastav</w:t>
      </w:r>
      <w:r>
        <w:rPr>
          <w:sz w:val="24"/>
          <w:szCs w:val="24"/>
        </w:rPr>
        <w:t>ljen</w:t>
      </w:r>
      <w:r w:rsidRPr="00266F26">
        <w:rPr>
          <w:sz w:val="24"/>
          <w:szCs w:val="24"/>
        </w:rPr>
        <w:t xml:space="preserve"> intenzivan rad na praćenju političkih i gospodarskih prilika u regijama Sjeverne i Južne Amerike, Azije, Euroazije, Oceanije i Afrike, uz posebne aktivnosti usmjerene na jačanje prisutnosti u afričkim državama i stvaranje </w:t>
      </w:r>
      <w:r>
        <w:rPr>
          <w:sz w:val="24"/>
          <w:szCs w:val="24"/>
        </w:rPr>
        <w:t>pred</w:t>
      </w:r>
      <w:r w:rsidRPr="00266F26">
        <w:rPr>
          <w:sz w:val="24"/>
          <w:szCs w:val="24"/>
        </w:rPr>
        <w:t xml:space="preserve">uvjeta za </w:t>
      </w:r>
      <w:r>
        <w:rPr>
          <w:sz w:val="24"/>
          <w:szCs w:val="24"/>
        </w:rPr>
        <w:t>planirano</w:t>
      </w:r>
      <w:r w:rsidRPr="00266F26">
        <w:rPr>
          <w:sz w:val="24"/>
          <w:szCs w:val="24"/>
        </w:rPr>
        <w:t xml:space="preserve"> otvaranje diplomatskog predstavništva u Etiopiji.</w:t>
      </w:r>
      <w:r>
        <w:rPr>
          <w:sz w:val="24"/>
          <w:szCs w:val="24"/>
        </w:rPr>
        <w:t xml:space="preserve"> </w:t>
      </w:r>
    </w:p>
    <w:p w14:paraId="623D8905" w14:textId="77777777" w:rsidR="00FB178A" w:rsidRDefault="00FB178A" w:rsidP="00FB178A">
      <w:pPr>
        <w:spacing w:after="240" w:line="276" w:lineRule="auto"/>
        <w:jc w:val="both"/>
        <w:rPr>
          <w:sz w:val="24"/>
          <w:szCs w:val="24"/>
        </w:rPr>
      </w:pPr>
      <w:r w:rsidRPr="00475252">
        <w:rPr>
          <w:sz w:val="24"/>
          <w:szCs w:val="24"/>
        </w:rPr>
        <w:t>U okviru jačanja bilateralnih odnosa, posebna se pozornost kontinuirano posvećuje suradnji s državama Sjeverne i Južne Amerike, pri čemu se ostvaruju konkretni i mjerljivi rezultati od izravne koristi za hrvatske građane i gospodarstvo</w:t>
      </w:r>
      <w:r>
        <w:rPr>
          <w:sz w:val="24"/>
          <w:szCs w:val="24"/>
        </w:rPr>
        <w:t xml:space="preserve">. </w:t>
      </w:r>
      <w:r w:rsidRPr="00775EA3">
        <w:rPr>
          <w:sz w:val="24"/>
          <w:szCs w:val="24"/>
        </w:rPr>
        <w:t xml:space="preserve">Odnosi sa Sjedinjenim Američkim Državama, tradicionalno stabilni i utemeljeni na snažnom strateškom partnerstvu, dodatno se produbljuju kroz provedbu niza važnih inicijativa koje olakšavaju mobilnost, gospodarsku suradnju i institucionalnu povezanost naših dviju država. Sudjelovanje Hrvatske u američkom Programu izuzeća od viza te pristupanje programu Global </w:t>
      </w:r>
      <w:proofErr w:type="spellStart"/>
      <w:r w:rsidRPr="00775EA3">
        <w:rPr>
          <w:sz w:val="24"/>
          <w:szCs w:val="24"/>
        </w:rPr>
        <w:t>Entry</w:t>
      </w:r>
      <w:proofErr w:type="spellEnd"/>
      <w:r w:rsidRPr="00775EA3">
        <w:rPr>
          <w:sz w:val="24"/>
          <w:szCs w:val="24"/>
        </w:rPr>
        <w:t xml:space="preserve"> značajno doprinose lakšim putovanjima i snažnijem povezivanju naših građana i poslovnih zajednica. Uspostava Strateškog dijaloga predstavlja okvir za sustavnu i sadržajnu koordinaciju o ključnim političkim, sigurnosnim i gospodarskim pitanjima. U odnosima s Kanadom dodatno su osnaženi politička koordinacija i suradnja u okviru partnerstva Europske unije i Kanade. U Zajedničkoj izjavi Zajedničkog ministarskog odbora Kanade i EU potvrđena je važnost zajedničkih napora u promicanju mira, stabilnosti i otpornosti u regijama od zajedničkog interesa, uključujući Zapadni Balkan, istočno Sredozemlje, Bliski istok, Sjevernu Afriku i Južni Kavkaz.</w:t>
      </w:r>
    </w:p>
    <w:p w14:paraId="6DBE5F54" w14:textId="77777777" w:rsidR="00FB178A" w:rsidRPr="00D55158" w:rsidRDefault="00FB178A" w:rsidP="00FB178A">
      <w:pPr>
        <w:spacing w:after="240" w:line="276" w:lineRule="auto"/>
        <w:jc w:val="both"/>
        <w:rPr>
          <w:sz w:val="24"/>
          <w:szCs w:val="24"/>
        </w:rPr>
      </w:pPr>
      <w:r w:rsidRPr="00D55158">
        <w:rPr>
          <w:sz w:val="24"/>
          <w:szCs w:val="24"/>
        </w:rPr>
        <w:t xml:space="preserve">Kroz političke konzultacije i susrete s dužnosnicima država Sjeverne i Južne Amerike sustavno se promiču hrvatski vanjskopolitički prioriteti, uključujući politiku proširenja Europske unije prema državama jugoistočne Europe. Poseban naglasak pritom se stavlja na europski put Bosne i Hercegovine, s ciljem očuvanja stabilnosti, funkcionalnosti i ravnopravnosti konstitutivnih naroda. Za daljnje aktivnosti jačanja trgovinskih veza za zemljama Južne Amerike, od posebne je važnosti bilo i hrvatsko zalaganje za postizanje političkog dogovora oko Sporazuma o partnerstvu između EU-a i </w:t>
      </w:r>
      <w:proofErr w:type="spellStart"/>
      <w:r w:rsidRPr="00D55158">
        <w:rPr>
          <w:sz w:val="24"/>
          <w:szCs w:val="24"/>
        </w:rPr>
        <w:t>Mercosura</w:t>
      </w:r>
      <w:proofErr w:type="spellEnd"/>
      <w:r w:rsidRPr="00D55158">
        <w:rPr>
          <w:sz w:val="24"/>
          <w:szCs w:val="24"/>
        </w:rPr>
        <w:t>. Istodobno, u suradnji s diplomatsko-konzularnom mrežom i brojnim iseljeničkim zajednicama, dodatno se jača povezanost hrvatskog iseljeništva s domovinom kroz projekte kulturne, obrazovne i gospodarske suradnje te sustavno promicanje hrvatskog jezika i nacionalnog identiteta, pri čemu posebice naglašavamo projekt „Susreti hrvatske dijaspore“, koji je Vlada</w:t>
      </w:r>
      <w:r>
        <w:rPr>
          <w:sz w:val="24"/>
          <w:szCs w:val="24"/>
        </w:rPr>
        <w:t xml:space="preserve"> </w:t>
      </w:r>
      <w:r>
        <w:rPr>
          <w:color w:val="000000" w:themeColor="text1"/>
          <w:sz w:val="24"/>
          <w:szCs w:val="24"/>
        </w:rPr>
        <w:t>Republike Hrvatske</w:t>
      </w:r>
      <w:r w:rsidRPr="00D55158">
        <w:rPr>
          <w:sz w:val="24"/>
          <w:szCs w:val="24"/>
        </w:rPr>
        <w:t xml:space="preserve"> 2024. godine prepoznala kao projekt od strateškog značaja za Hrvate izvan Republike Hrvatske.</w:t>
      </w:r>
    </w:p>
    <w:p w14:paraId="3B5C038A" w14:textId="77777777" w:rsidR="00FB178A" w:rsidRDefault="00FB178A" w:rsidP="00FB178A">
      <w:pPr>
        <w:spacing w:after="240" w:line="276" w:lineRule="auto"/>
        <w:jc w:val="both"/>
        <w:rPr>
          <w:sz w:val="24"/>
          <w:szCs w:val="24"/>
        </w:rPr>
      </w:pPr>
      <w:r w:rsidRPr="00A51F4A">
        <w:rPr>
          <w:sz w:val="24"/>
          <w:szCs w:val="24"/>
        </w:rPr>
        <w:t>Pored jačanja međunarodne vidljivosti kroz bilateralno i multilateralno djelovanje, dodatno se učvrstio globalni doprinos Hrvatske kroz razvojnu i humanitarnu suradnju, koja ostaje jedno od ključnih prioritetnih područja vanjske politike. Sustavnom provedbom aktivnosti usmjerenih na suzbijanje siromaštva te poticanje uravnoteženog i pravednijeg globalnog razvoja nastavlja se graditi čvrst institucionalni i zakonodavni okvir za dugoročno učinkovito djelovanje, uz jačanje partnerstava koja promiču međunarodnu solidarnost i održivi razvoj.</w:t>
      </w:r>
      <w:r>
        <w:rPr>
          <w:sz w:val="24"/>
          <w:szCs w:val="24"/>
        </w:rPr>
        <w:t xml:space="preserve"> </w:t>
      </w:r>
      <w:r w:rsidRPr="00A51F4A">
        <w:rPr>
          <w:sz w:val="24"/>
          <w:szCs w:val="24"/>
        </w:rPr>
        <w:t xml:space="preserve">Na tom je tragu u veljači 2024. na snagu </w:t>
      </w:r>
      <w:r>
        <w:rPr>
          <w:sz w:val="24"/>
          <w:szCs w:val="24"/>
        </w:rPr>
        <w:t xml:space="preserve">stupio </w:t>
      </w:r>
      <w:r w:rsidRPr="00A51F4A">
        <w:rPr>
          <w:sz w:val="24"/>
          <w:szCs w:val="24"/>
        </w:rPr>
        <w:t>Zakon o međunarodnoj razvojnoj suradnji i humanitarnoj pomoći (</w:t>
      </w:r>
      <w:r>
        <w:rPr>
          <w:sz w:val="24"/>
          <w:szCs w:val="24"/>
        </w:rPr>
        <w:t xml:space="preserve">„Narodne </w:t>
      </w:r>
      <w:r>
        <w:rPr>
          <w:sz w:val="24"/>
          <w:szCs w:val="24"/>
        </w:rPr>
        <w:lastRenderedPageBreak/>
        <w:t>novine“, broj</w:t>
      </w:r>
      <w:r w:rsidRPr="00A51F4A">
        <w:rPr>
          <w:sz w:val="24"/>
          <w:szCs w:val="24"/>
        </w:rPr>
        <w:t xml:space="preserve"> 14/24</w:t>
      </w:r>
      <w:r>
        <w:rPr>
          <w:sz w:val="24"/>
          <w:szCs w:val="24"/>
        </w:rPr>
        <w:t>.</w:t>
      </w:r>
      <w:r w:rsidRPr="00A51F4A">
        <w:rPr>
          <w:sz w:val="24"/>
          <w:szCs w:val="24"/>
        </w:rPr>
        <w:t xml:space="preserve">), kojim su jasno definirani ciljevi, instrumenti, načini koordinacije, provedbe i financiranja razvojnih i humanitarnih aktivnosti Hrvatske. Ovim </w:t>
      </w:r>
      <w:r>
        <w:rPr>
          <w:sz w:val="24"/>
          <w:szCs w:val="24"/>
        </w:rPr>
        <w:t>su</w:t>
      </w:r>
      <w:r w:rsidRPr="00A51F4A">
        <w:rPr>
          <w:sz w:val="24"/>
          <w:szCs w:val="24"/>
        </w:rPr>
        <w:t xml:space="preserve"> propisom </w:t>
      </w:r>
      <w:r>
        <w:rPr>
          <w:sz w:val="24"/>
          <w:szCs w:val="24"/>
        </w:rPr>
        <w:t xml:space="preserve">hrvatski pravni okvir i </w:t>
      </w:r>
      <w:r w:rsidRPr="00A51F4A">
        <w:rPr>
          <w:sz w:val="24"/>
          <w:szCs w:val="24"/>
        </w:rPr>
        <w:t>sustav donatorske politike dodatno profesionaliziran</w:t>
      </w:r>
      <w:r>
        <w:rPr>
          <w:sz w:val="24"/>
          <w:szCs w:val="24"/>
        </w:rPr>
        <w:t>i</w:t>
      </w:r>
      <w:r w:rsidRPr="00A51F4A">
        <w:rPr>
          <w:sz w:val="24"/>
          <w:szCs w:val="24"/>
        </w:rPr>
        <w:t xml:space="preserve"> te usklađen</w:t>
      </w:r>
      <w:r>
        <w:rPr>
          <w:sz w:val="24"/>
          <w:szCs w:val="24"/>
        </w:rPr>
        <w:t>i</w:t>
      </w:r>
      <w:r w:rsidRPr="00A51F4A">
        <w:rPr>
          <w:sz w:val="24"/>
          <w:szCs w:val="24"/>
        </w:rPr>
        <w:t xml:space="preserve"> s relevantnim dokumentima, standardima i strateškim ciljevima EU-a, UN-a i OECD-a, čime je stvorena stabilna osnova za </w:t>
      </w:r>
      <w:r>
        <w:rPr>
          <w:sz w:val="24"/>
          <w:szCs w:val="24"/>
        </w:rPr>
        <w:t xml:space="preserve">daljnje </w:t>
      </w:r>
      <w:r w:rsidRPr="00A51F4A">
        <w:rPr>
          <w:sz w:val="24"/>
          <w:szCs w:val="24"/>
        </w:rPr>
        <w:t>jačanje međunarodne uloge Hrvatske kao odgovorne i pouzdane partnerice u globalnim razvojnim procesima.</w:t>
      </w:r>
      <w:r w:rsidRPr="00551597">
        <w:rPr>
          <w:sz w:val="24"/>
          <w:szCs w:val="24"/>
        </w:rPr>
        <w:t xml:space="preserve"> </w:t>
      </w:r>
      <w:r w:rsidRPr="008564C7">
        <w:rPr>
          <w:sz w:val="24"/>
          <w:szCs w:val="24"/>
        </w:rPr>
        <w:t>U 2024. Hrvatska je nastavila povećavati izdvajanja za međunarodnu razvojnu pomoć unatoč trendu smanjenja na globalnoj razini, čime je potvrđena dugoročna predanost ciljevima održivog razvoja te pružanju podrške zemljama i regijama suočenima s krizama.</w:t>
      </w:r>
    </w:p>
    <w:p w14:paraId="54009FDF" w14:textId="77777777" w:rsidR="00FB178A" w:rsidRDefault="00FB178A" w:rsidP="00FB178A">
      <w:pPr>
        <w:spacing w:after="240" w:line="276" w:lineRule="auto"/>
        <w:jc w:val="both"/>
        <w:rPr>
          <w:sz w:val="24"/>
          <w:szCs w:val="24"/>
        </w:rPr>
      </w:pPr>
      <w:r w:rsidRPr="004F2213">
        <w:rPr>
          <w:sz w:val="24"/>
          <w:szCs w:val="24"/>
        </w:rPr>
        <w:t xml:space="preserve">Provedene su opsežne aktivnosti usmjerene na podršku međunarodnim organizacijama te institucijama i tijelima EU-a koje djeluju u području razvojne suradnje i humanitarne pomoći, pri čemu se Hrvatska i u 2024. kontinuirano potvrđuje kao pouzdan i odgovoran partner zemalja u potrebi. </w:t>
      </w:r>
      <w:r w:rsidRPr="008564C7">
        <w:rPr>
          <w:sz w:val="24"/>
          <w:szCs w:val="24"/>
        </w:rPr>
        <w:t>Ključni iskorak za Hrvatsku u 2024. predstavlja stjecanje statusa sudionika (</w:t>
      </w:r>
      <w:proofErr w:type="spellStart"/>
      <w:r w:rsidRPr="008564C7">
        <w:rPr>
          <w:sz w:val="24"/>
          <w:szCs w:val="24"/>
        </w:rPr>
        <w:t>eng</w:t>
      </w:r>
      <w:proofErr w:type="spellEnd"/>
      <w:r w:rsidRPr="008564C7">
        <w:rPr>
          <w:sz w:val="24"/>
          <w:szCs w:val="24"/>
        </w:rPr>
        <w:t>. Participant) u Odboru za razvojnu pomoć Organizacije za gospodarsku suradnju i razvoj (OECD DAC), što dodatno naglašava njezi</w:t>
      </w:r>
      <w:r>
        <w:rPr>
          <w:sz w:val="24"/>
          <w:szCs w:val="24"/>
        </w:rPr>
        <w:t>n</w:t>
      </w:r>
      <w:r w:rsidRPr="008564C7">
        <w:rPr>
          <w:sz w:val="24"/>
          <w:szCs w:val="24"/>
        </w:rPr>
        <w:t xml:space="preserve"> osnaženi položaj u međunarodnoj razvojnoj suradnji.</w:t>
      </w:r>
      <w:r w:rsidRPr="00F5351F">
        <w:t xml:space="preserve"> </w:t>
      </w:r>
      <w:r w:rsidRPr="004F2213">
        <w:rPr>
          <w:sz w:val="24"/>
          <w:szCs w:val="24"/>
        </w:rPr>
        <w:t xml:space="preserve">Svoje razvojno-humanitarno djelovanje Hrvatska je, u skladu s pristupom većine međunarodnih aktera, </w:t>
      </w:r>
      <w:r>
        <w:rPr>
          <w:sz w:val="24"/>
          <w:szCs w:val="24"/>
        </w:rPr>
        <w:t xml:space="preserve">tijekom 2024. </w:t>
      </w:r>
      <w:r w:rsidRPr="004F2213">
        <w:rPr>
          <w:sz w:val="24"/>
          <w:szCs w:val="24"/>
        </w:rPr>
        <w:t xml:space="preserve">osobito usmjerila na pružanje pomoći ratom pogođenoj Ukrajini i stanovništvu zahvaćenom posljedicama ruske agresije. Takvo usmjerenje i dalje predstavlja strateški prioritet, budući da Hrvatska u globalnoj donatorskoj zajednici zauzima posebno mjesto zahvaljujući vlastitom iskustvu ratnog i poslijeratnog oporavka, obnovi institucija, demokratskoj tranziciji i </w:t>
      </w:r>
      <w:r>
        <w:rPr>
          <w:sz w:val="24"/>
          <w:szCs w:val="24"/>
        </w:rPr>
        <w:t xml:space="preserve">sudjelovanju u </w:t>
      </w:r>
      <w:r w:rsidRPr="004F2213">
        <w:rPr>
          <w:sz w:val="24"/>
          <w:szCs w:val="24"/>
        </w:rPr>
        <w:t>euroatlantskim integracijama.</w:t>
      </w:r>
      <w:r>
        <w:rPr>
          <w:sz w:val="24"/>
          <w:szCs w:val="24"/>
        </w:rPr>
        <w:t xml:space="preserve"> </w:t>
      </w:r>
      <w:r w:rsidRPr="004F2213">
        <w:rPr>
          <w:sz w:val="24"/>
          <w:szCs w:val="24"/>
        </w:rPr>
        <w:t xml:space="preserve">U tom je kontekstu dodatno osnažena </w:t>
      </w:r>
      <w:proofErr w:type="spellStart"/>
      <w:r w:rsidRPr="004F2213">
        <w:rPr>
          <w:sz w:val="24"/>
          <w:szCs w:val="24"/>
        </w:rPr>
        <w:t>visokopolitička</w:t>
      </w:r>
      <w:proofErr w:type="spellEnd"/>
      <w:r w:rsidRPr="004F2213">
        <w:rPr>
          <w:sz w:val="24"/>
          <w:szCs w:val="24"/>
        </w:rPr>
        <w:t xml:space="preserve"> suradnja između Hrvatske i Ukrajine, uključujući održavanje niza sastanaka na vrhu Ukrajina </w:t>
      </w:r>
      <w:r>
        <w:rPr>
          <w:sz w:val="24"/>
          <w:szCs w:val="24"/>
        </w:rPr>
        <w:t>-</w:t>
      </w:r>
      <w:r w:rsidRPr="004F2213">
        <w:rPr>
          <w:sz w:val="24"/>
          <w:szCs w:val="24"/>
        </w:rPr>
        <w:t xml:space="preserve"> Jugoistočna Europa. Posebno se ističe sastanak održan u listopadu 2024. u Dubrovniku, na kojem je potpisan Sporazum o dugoročnoj suradnji i potpori, čime je potvrđena trajna predanost Hrvatske pružanju sveobuhvatne pomoći Ukrajini i unapr</w:t>
      </w:r>
      <w:r>
        <w:rPr>
          <w:sz w:val="24"/>
          <w:szCs w:val="24"/>
        </w:rPr>
        <w:t>j</w:t>
      </w:r>
      <w:r w:rsidRPr="004F2213">
        <w:rPr>
          <w:sz w:val="24"/>
          <w:szCs w:val="24"/>
        </w:rPr>
        <w:t>eđenju njezina procesa oporavka i europske integracije.</w:t>
      </w:r>
    </w:p>
    <w:p w14:paraId="37020694" w14:textId="77777777" w:rsidR="00FB178A" w:rsidRDefault="00FB178A" w:rsidP="00FB178A">
      <w:pPr>
        <w:spacing w:before="240" w:after="240" w:line="276" w:lineRule="auto"/>
        <w:jc w:val="both"/>
        <w:rPr>
          <w:sz w:val="24"/>
          <w:szCs w:val="24"/>
        </w:rPr>
      </w:pPr>
      <w:r w:rsidRPr="00F831B2">
        <w:rPr>
          <w:sz w:val="24"/>
          <w:szCs w:val="24"/>
        </w:rPr>
        <w:t xml:space="preserve">U cilju jačanja gospodarske suradnje, unapređenja vanjske trgovine te učinkovitije provedbe razvojne i humanitarne pomoći, Hrvatska je tijekom 2024. aktivno zastupala svoje interese u svim relevantnim formatima Vijeća EU-a nadležnim za međunarodnu trgovinu. Sustavno su izrađivana nacionalna stajališta i koordinirano zastupani hrvatski interesi u vezi s multilateralnim trgovinskim pregovorima u okviru Svjetske trgovinske organizacije, kao i u okviru </w:t>
      </w:r>
      <w:proofErr w:type="spellStart"/>
      <w:r w:rsidRPr="00F831B2">
        <w:rPr>
          <w:sz w:val="24"/>
          <w:szCs w:val="24"/>
        </w:rPr>
        <w:t>plurilateralnih</w:t>
      </w:r>
      <w:proofErr w:type="spellEnd"/>
      <w:r w:rsidRPr="00F831B2">
        <w:rPr>
          <w:sz w:val="24"/>
          <w:szCs w:val="24"/>
        </w:rPr>
        <w:t xml:space="preserve"> procesa koje EU vodi s trećim zemljama. Paralelno je osigurano pravodobno sudjelovanje u pregovorima, sklapanju i provedbi sporazuma o slobodnoj trgovini EU-a, čime se dodatno doprinosi otvaranju novih tržišnih mogućnosti, jačanju izvozne konkurentnosti i sveukupnom međunarodnom pozicioniranju hrvatskog gospodarstva.</w:t>
      </w:r>
    </w:p>
    <w:p w14:paraId="63C32A10" w14:textId="77777777" w:rsidR="00FB178A" w:rsidRPr="00F45F18" w:rsidRDefault="00FB178A" w:rsidP="00FB178A">
      <w:pPr>
        <w:spacing w:before="240" w:after="240" w:line="276" w:lineRule="auto"/>
        <w:jc w:val="both"/>
        <w:rPr>
          <w:sz w:val="24"/>
          <w:szCs w:val="24"/>
        </w:rPr>
      </w:pPr>
      <w:r w:rsidRPr="008564C7">
        <w:rPr>
          <w:sz w:val="24"/>
          <w:szCs w:val="24"/>
        </w:rPr>
        <w:t>Tijekom 2024</w:t>
      </w:r>
      <w:r>
        <w:rPr>
          <w:sz w:val="24"/>
          <w:szCs w:val="24"/>
        </w:rPr>
        <w:t xml:space="preserve">. </w:t>
      </w:r>
      <w:r w:rsidRPr="008564C7">
        <w:rPr>
          <w:sz w:val="24"/>
          <w:szCs w:val="24"/>
        </w:rPr>
        <w:t xml:space="preserve">poduzimale su se mjere usmjerene na jačanje gospodarske diplomacije i unaprjeđenje bilateralnih gospodarskih odnosa, kao i na daljnje pozicioniranje Hrvatske kao atraktivne poslovne i ulagačke destinacije te promicanje hrvatskih proizvoda i usluga na međunarodnom tržištu. Pritom su provedene aktivnosti podrške hrvatskim tvrtkama radi širenja </w:t>
      </w:r>
      <w:r w:rsidRPr="008564C7">
        <w:rPr>
          <w:sz w:val="24"/>
          <w:szCs w:val="24"/>
        </w:rPr>
        <w:lastRenderedPageBreak/>
        <w:t>poslovanja u inozemstvu i povećanja izvoza. Istodobno su realizirane promotivne aktivnosti usmjerene na predstavljanje gospodarskih potencijala Republike Hrvatske i privlačenje novih ulaganja, s ciljem osiguravanja dugoročno održivog i stabilnog gospodarskog rasta.</w:t>
      </w:r>
    </w:p>
    <w:p w14:paraId="5131A0E5" w14:textId="77777777" w:rsidR="00FB178A" w:rsidRPr="00F45F18" w:rsidRDefault="00FB178A" w:rsidP="00FB178A">
      <w:pPr>
        <w:spacing w:after="240" w:line="276" w:lineRule="auto"/>
        <w:jc w:val="both"/>
        <w:rPr>
          <w:sz w:val="24"/>
          <w:szCs w:val="24"/>
        </w:rPr>
      </w:pPr>
      <w:r w:rsidRPr="004F6464">
        <w:rPr>
          <w:sz w:val="24"/>
          <w:szCs w:val="24"/>
        </w:rPr>
        <w:t xml:space="preserve">Hrvatska i u 2024. </w:t>
      </w:r>
      <w:r>
        <w:rPr>
          <w:sz w:val="24"/>
          <w:szCs w:val="24"/>
        </w:rPr>
        <w:t xml:space="preserve">nastavlja </w:t>
      </w:r>
      <w:r w:rsidRPr="004F6464">
        <w:rPr>
          <w:sz w:val="24"/>
          <w:szCs w:val="24"/>
        </w:rPr>
        <w:t>snažno promi</w:t>
      </w:r>
      <w:r>
        <w:rPr>
          <w:sz w:val="24"/>
          <w:szCs w:val="24"/>
        </w:rPr>
        <w:t>cati</w:t>
      </w:r>
      <w:r w:rsidRPr="004F6464">
        <w:rPr>
          <w:sz w:val="24"/>
          <w:szCs w:val="24"/>
        </w:rPr>
        <w:t xml:space="preserve"> europsku perspektivu kao ključni preduvjet dugoročne stabilnosti, sigurnosti i razvoja </w:t>
      </w:r>
      <w:r>
        <w:rPr>
          <w:sz w:val="24"/>
          <w:szCs w:val="24"/>
        </w:rPr>
        <w:t xml:space="preserve">zemalja </w:t>
      </w:r>
      <w:r w:rsidRPr="004F6464">
        <w:rPr>
          <w:sz w:val="24"/>
          <w:szCs w:val="24"/>
        </w:rPr>
        <w:t>u najbližem susjedstvu</w:t>
      </w:r>
      <w:r>
        <w:rPr>
          <w:sz w:val="24"/>
          <w:szCs w:val="24"/>
        </w:rPr>
        <w:t xml:space="preserve">. Također </w:t>
      </w:r>
      <w:r w:rsidRPr="004F6464">
        <w:rPr>
          <w:sz w:val="24"/>
          <w:szCs w:val="24"/>
        </w:rPr>
        <w:t xml:space="preserve">nastavlja </w:t>
      </w:r>
      <w:r>
        <w:rPr>
          <w:sz w:val="24"/>
          <w:szCs w:val="24"/>
        </w:rPr>
        <w:t>i</w:t>
      </w:r>
      <w:r w:rsidRPr="004F6464">
        <w:rPr>
          <w:sz w:val="24"/>
          <w:szCs w:val="24"/>
        </w:rPr>
        <w:t xml:space="preserve"> sustavno jačati i produbljivati odnose sa zemljama jugoistočne i srednje Europe </w:t>
      </w:r>
      <w:r>
        <w:rPr>
          <w:sz w:val="24"/>
          <w:szCs w:val="24"/>
        </w:rPr>
        <w:t>te</w:t>
      </w:r>
      <w:r w:rsidRPr="004F6464">
        <w:rPr>
          <w:sz w:val="24"/>
          <w:szCs w:val="24"/>
        </w:rPr>
        <w:t xml:space="preserve"> šireg sredozemnog prostora. Posebna se pozornost posvećuje uređenju preostalih bilateralnih pitanja sa susjednim državama kako bi se dodatno učvrstila dobrosusjedska suradnja i potaknulo stvaranje predvidivog političkog i gospodarskog okruženja. U okviru zaštite nacionalnih interesa na moru, kao i ukupnog interesa </w:t>
      </w:r>
      <w:r>
        <w:rPr>
          <w:sz w:val="24"/>
          <w:szCs w:val="24"/>
        </w:rPr>
        <w:t>EU</w:t>
      </w:r>
      <w:r w:rsidRPr="004F6464">
        <w:rPr>
          <w:sz w:val="24"/>
          <w:szCs w:val="24"/>
        </w:rPr>
        <w:t>, stupio je na snagu Ugovor</w:t>
      </w:r>
      <w:r>
        <w:rPr>
          <w:sz w:val="24"/>
          <w:szCs w:val="24"/>
        </w:rPr>
        <w:t xml:space="preserve"> između Republike Hrvatske i Talijanske republike</w:t>
      </w:r>
      <w:r w:rsidRPr="004F6464">
        <w:rPr>
          <w:sz w:val="24"/>
          <w:szCs w:val="24"/>
        </w:rPr>
        <w:t xml:space="preserve"> o razgraničenju isključivih gospodarskih pojaseva, čime je trajno definirano jedno od ključnih otvorenih pitanja te su stvoreni jasni uvjeti za održivo upravljanje pomorskim resursima i</w:t>
      </w:r>
      <w:r>
        <w:rPr>
          <w:sz w:val="24"/>
          <w:szCs w:val="24"/>
        </w:rPr>
        <w:t xml:space="preserve"> </w:t>
      </w:r>
      <w:r w:rsidRPr="004F6464">
        <w:rPr>
          <w:sz w:val="24"/>
          <w:szCs w:val="24"/>
        </w:rPr>
        <w:t>sigurnost</w:t>
      </w:r>
      <w:r>
        <w:rPr>
          <w:sz w:val="24"/>
          <w:szCs w:val="24"/>
        </w:rPr>
        <w:t>i</w:t>
      </w:r>
      <w:r w:rsidRPr="004F6464">
        <w:rPr>
          <w:sz w:val="24"/>
          <w:szCs w:val="24"/>
        </w:rPr>
        <w:t xml:space="preserve"> na Jadranu.</w:t>
      </w:r>
      <w:r>
        <w:rPr>
          <w:sz w:val="24"/>
          <w:szCs w:val="24"/>
        </w:rPr>
        <w:t xml:space="preserve"> Dodatno</w:t>
      </w:r>
      <w:r w:rsidRPr="002467F2">
        <w:rPr>
          <w:sz w:val="24"/>
          <w:szCs w:val="24"/>
        </w:rPr>
        <w:t xml:space="preserve">, </w:t>
      </w:r>
      <w:r>
        <w:rPr>
          <w:sz w:val="24"/>
          <w:szCs w:val="24"/>
        </w:rPr>
        <w:t>Hrvatska je nastavila</w:t>
      </w:r>
      <w:r w:rsidRPr="002467F2">
        <w:rPr>
          <w:sz w:val="24"/>
          <w:szCs w:val="24"/>
        </w:rPr>
        <w:t xml:space="preserve"> aktivno djelovanje u svim relevantnim formatima regionalne suradnje uz snažno i dosljedno zagovaranje europske perspektive država zapadnog Balkana, čime se dodatno učvršćuje položaj Hrvatske kao njihova pouzdanog i konstruktivnog partnera. Kroz ciljane aktivnosti prijenosa znanja i iskustava, </w:t>
      </w:r>
      <w:r>
        <w:rPr>
          <w:sz w:val="24"/>
          <w:szCs w:val="24"/>
        </w:rPr>
        <w:t xml:space="preserve">Hrvatska je osigurala </w:t>
      </w:r>
      <w:r w:rsidRPr="002467F2">
        <w:rPr>
          <w:sz w:val="24"/>
          <w:szCs w:val="24"/>
        </w:rPr>
        <w:t>financiran</w:t>
      </w:r>
      <w:r>
        <w:rPr>
          <w:sz w:val="24"/>
          <w:szCs w:val="24"/>
        </w:rPr>
        <w:t>je</w:t>
      </w:r>
      <w:r w:rsidRPr="002467F2">
        <w:rPr>
          <w:sz w:val="24"/>
          <w:szCs w:val="24"/>
        </w:rPr>
        <w:t xml:space="preserve"> provedb</w:t>
      </w:r>
      <w:r>
        <w:rPr>
          <w:sz w:val="24"/>
          <w:szCs w:val="24"/>
        </w:rPr>
        <w:t>e</w:t>
      </w:r>
      <w:r w:rsidRPr="002467F2">
        <w:rPr>
          <w:sz w:val="24"/>
          <w:szCs w:val="24"/>
        </w:rPr>
        <w:t xml:space="preserve"> programa stručne i tehničke pomoći tranzicijskim zemljama</w:t>
      </w:r>
      <w:r>
        <w:rPr>
          <w:sz w:val="24"/>
          <w:szCs w:val="24"/>
        </w:rPr>
        <w:t xml:space="preserve">. Navedeno je </w:t>
      </w:r>
      <w:r w:rsidRPr="002467F2">
        <w:rPr>
          <w:sz w:val="24"/>
          <w:szCs w:val="24"/>
        </w:rPr>
        <w:t>osobito</w:t>
      </w:r>
      <w:r>
        <w:rPr>
          <w:sz w:val="24"/>
          <w:szCs w:val="24"/>
        </w:rPr>
        <w:t xml:space="preserve"> vidljivo</w:t>
      </w:r>
      <w:r w:rsidRPr="002467F2">
        <w:rPr>
          <w:sz w:val="24"/>
          <w:szCs w:val="24"/>
        </w:rPr>
        <w:t xml:space="preserve"> u područjima vezanim uz proces europske integracije, pripreme za članstvo u NATO-u te drugim segmentima javnih politika u kojima Hrvatska raspolaže prepoznatom stručnom, reformsko-institucionalnom i komparativnom predno</w:t>
      </w:r>
      <w:r>
        <w:rPr>
          <w:sz w:val="24"/>
          <w:szCs w:val="24"/>
        </w:rPr>
        <w:t>sti,</w:t>
      </w:r>
      <w:r w:rsidRPr="002467F2">
        <w:rPr>
          <w:sz w:val="24"/>
          <w:szCs w:val="24"/>
        </w:rPr>
        <w:t xml:space="preserve"> u odnosu na druge pružatelje tehničke pomoći.</w:t>
      </w:r>
    </w:p>
    <w:p w14:paraId="77F65F68" w14:textId="77777777" w:rsidR="00FB178A" w:rsidRPr="00F45F18" w:rsidRDefault="00FB178A" w:rsidP="00FB178A">
      <w:pPr>
        <w:spacing w:after="240" w:line="276" w:lineRule="auto"/>
        <w:jc w:val="both"/>
        <w:rPr>
          <w:sz w:val="24"/>
          <w:szCs w:val="24"/>
        </w:rPr>
      </w:pPr>
      <w:r w:rsidRPr="00797357">
        <w:rPr>
          <w:sz w:val="24"/>
          <w:szCs w:val="24"/>
        </w:rPr>
        <w:t>Kao članica U</w:t>
      </w:r>
      <w:r>
        <w:rPr>
          <w:sz w:val="24"/>
          <w:szCs w:val="24"/>
        </w:rPr>
        <w:t>N-a</w:t>
      </w:r>
      <w:r w:rsidRPr="00797357">
        <w:rPr>
          <w:sz w:val="24"/>
          <w:szCs w:val="24"/>
        </w:rPr>
        <w:t xml:space="preserve">, Hrvatska već više od tri desetljeća aktivno afirmira svoju ulogu u međunarodnoj zajednici, promiče prijateljske odnose među državama i sudjeluje u rješavanju gospodarskih, socijalnih, kulturnih i humanitarnih izazova. Poseban naglasak stavlja se na zaštitu ljudskih prava i temeljnih sloboda, dok se kroz sudjelovanje u raspravama i odlučivanju u glavnim tijelima UN-a doprinosi oblikovanju globalnih političkih prioriteta. U području održivog razvoja, Hrvatska je u 2024. ostvarila iznimno visok rezultat, zauzevši osmo mjesto među 167 </w:t>
      </w:r>
      <w:r>
        <w:rPr>
          <w:sz w:val="24"/>
          <w:szCs w:val="24"/>
        </w:rPr>
        <w:t>zemalja</w:t>
      </w:r>
      <w:r w:rsidRPr="00797357">
        <w:rPr>
          <w:sz w:val="24"/>
          <w:szCs w:val="24"/>
        </w:rPr>
        <w:t xml:space="preserve"> </w:t>
      </w:r>
      <w:r>
        <w:rPr>
          <w:sz w:val="24"/>
          <w:szCs w:val="24"/>
        </w:rPr>
        <w:t xml:space="preserve">uključenih </w:t>
      </w:r>
      <w:r w:rsidRPr="00797357">
        <w:rPr>
          <w:sz w:val="24"/>
          <w:szCs w:val="24"/>
        </w:rPr>
        <w:t>u Izvješć</w:t>
      </w:r>
      <w:r>
        <w:rPr>
          <w:sz w:val="24"/>
          <w:szCs w:val="24"/>
        </w:rPr>
        <w:t>e</w:t>
      </w:r>
      <w:r w:rsidRPr="00797357">
        <w:rPr>
          <w:sz w:val="24"/>
          <w:szCs w:val="24"/>
        </w:rPr>
        <w:t xml:space="preserve"> o održivom razvoju. Takav plasman potvrđuje snažnu usklađenost nacionalnih </w:t>
      </w:r>
      <w:r>
        <w:rPr>
          <w:sz w:val="24"/>
          <w:szCs w:val="24"/>
        </w:rPr>
        <w:t xml:space="preserve">razvojnih </w:t>
      </w:r>
      <w:r w:rsidRPr="00797357">
        <w:rPr>
          <w:sz w:val="24"/>
          <w:szCs w:val="24"/>
        </w:rPr>
        <w:t xml:space="preserve">politika s </w:t>
      </w:r>
      <w:r>
        <w:rPr>
          <w:sz w:val="24"/>
          <w:szCs w:val="24"/>
        </w:rPr>
        <w:t xml:space="preserve">UN </w:t>
      </w:r>
      <w:proofErr w:type="spellStart"/>
      <w:r w:rsidRPr="00797357">
        <w:rPr>
          <w:sz w:val="24"/>
          <w:szCs w:val="24"/>
        </w:rPr>
        <w:t>Agendom</w:t>
      </w:r>
      <w:proofErr w:type="spellEnd"/>
      <w:r w:rsidRPr="00797357">
        <w:rPr>
          <w:sz w:val="24"/>
          <w:szCs w:val="24"/>
        </w:rPr>
        <w:t xml:space="preserve"> 2030</w:t>
      </w:r>
      <w:r>
        <w:rPr>
          <w:sz w:val="24"/>
          <w:szCs w:val="24"/>
        </w:rPr>
        <w:t>. Također, pokazuje</w:t>
      </w:r>
      <w:r w:rsidRPr="00797357">
        <w:rPr>
          <w:sz w:val="24"/>
          <w:szCs w:val="24"/>
        </w:rPr>
        <w:t xml:space="preserve"> </w:t>
      </w:r>
      <w:r>
        <w:rPr>
          <w:sz w:val="24"/>
          <w:szCs w:val="24"/>
        </w:rPr>
        <w:t>predanost Hrvatske</w:t>
      </w:r>
      <w:r w:rsidRPr="00797357">
        <w:rPr>
          <w:sz w:val="24"/>
          <w:szCs w:val="24"/>
        </w:rPr>
        <w:t xml:space="preserve"> ostvarivanju ciljeva održivog razvoja u ekonomskom, društvenom i okolišnom segmentu</w:t>
      </w:r>
      <w:r>
        <w:rPr>
          <w:sz w:val="24"/>
          <w:szCs w:val="24"/>
        </w:rPr>
        <w:t>. Ta je predanost</w:t>
      </w:r>
      <w:r w:rsidRPr="00797357">
        <w:rPr>
          <w:sz w:val="24"/>
          <w:szCs w:val="24"/>
        </w:rPr>
        <w:t xml:space="preserve"> </w:t>
      </w:r>
      <w:r>
        <w:rPr>
          <w:sz w:val="24"/>
          <w:szCs w:val="24"/>
        </w:rPr>
        <w:t>vidljiva kroz</w:t>
      </w:r>
      <w:r w:rsidRPr="00797357">
        <w:rPr>
          <w:sz w:val="24"/>
          <w:szCs w:val="24"/>
        </w:rPr>
        <w:t xml:space="preserve"> stabilan rast BDP-a, unaprjeđenj</w:t>
      </w:r>
      <w:r>
        <w:rPr>
          <w:sz w:val="24"/>
          <w:szCs w:val="24"/>
        </w:rPr>
        <w:t>e</w:t>
      </w:r>
      <w:r w:rsidRPr="00797357">
        <w:rPr>
          <w:sz w:val="24"/>
          <w:szCs w:val="24"/>
        </w:rPr>
        <w:t xml:space="preserve"> socijalnih pokazatelja, rast ulaganja u inovacije i održivu energiju te poboljšanj</w:t>
      </w:r>
      <w:r>
        <w:rPr>
          <w:sz w:val="24"/>
          <w:szCs w:val="24"/>
        </w:rPr>
        <w:t>a</w:t>
      </w:r>
      <w:r w:rsidRPr="00797357">
        <w:rPr>
          <w:sz w:val="24"/>
          <w:szCs w:val="24"/>
        </w:rPr>
        <w:t xml:space="preserve"> u kvaliteti upravljanja i institucionalnoj učinkovitosti.</w:t>
      </w:r>
    </w:p>
    <w:p w14:paraId="41B72067" w14:textId="77777777" w:rsidR="00FB178A" w:rsidRPr="00D337E1" w:rsidRDefault="00FB178A" w:rsidP="00FB178A">
      <w:pPr>
        <w:spacing w:after="240" w:line="276" w:lineRule="auto"/>
        <w:jc w:val="both"/>
        <w:rPr>
          <w:sz w:val="24"/>
          <w:szCs w:val="24"/>
        </w:rPr>
      </w:pPr>
      <w:r w:rsidRPr="00D337E1">
        <w:rPr>
          <w:sz w:val="24"/>
          <w:szCs w:val="24"/>
        </w:rPr>
        <w:t>U okviru procesa pristupanja Hrvatske OECD-u</w:t>
      </w:r>
      <w:r>
        <w:rPr>
          <w:sz w:val="24"/>
          <w:szCs w:val="24"/>
        </w:rPr>
        <w:t>,</w:t>
      </w:r>
      <w:r w:rsidRPr="00D337E1">
        <w:rPr>
          <w:sz w:val="24"/>
          <w:szCs w:val="24"/>
        </w:rPr>
        <w:t xml:space="preserve"> tijekom 2024. nastavljena je intenzivna tehnička i politička suradnja, uz </w:t>
      </w:r>
      <w:r>
        <w:rPr>
          <w:sz w:val="24"/>
          <w:szCs w:val="24"/>
        </w:rPr>
        <w:t>kontinuiranu</w:t>
      </w:r>
      <w:r w:rsidRPr="00D337E1">
        <w:rPr>
          <w:sz w:val="24"/>
          <w:szCs w:val="24"/>
        </w:rPr>
        <w:t xml:space="preserve"> </w:t>
      </w:r>
      <w:r>
        <w:rPr>
          <w:sz w:val="24"/>
          <w:szCs w:val="24"/>
        </w:rPr>
        <w:t xml:space="preserve">pripremu, </w:t>
      </w:r>
      <w:r w:rsidRPr="00D337E1">
        <w:rPr>
          <w:sz w:val="24"/>
          <w:szCs w:val="24"/>
        </w:rPr>
        <w:t xml:space="preserve">predstavljanje i obranu </w:t>
      </w:r>
      <w:r>
        <w:rPr>
          <w:sz w:val="24"/>
          <w:szCs w:val="24"/>
        </w:rPr>
        <w:t xml:space="preserve">pojedinačnih </w:t>
      </w:r>
      <w:r w:rsidRPr="00D337E1">
        <w:rPr>
          <w:sz w:val="24"/>
          <w:szCs w:val="24"/>
        </w:rPr>
        <w:t>izvješća u resornim i međuresornim radnim skupinama u ukupno 25 odbora i 26 supsidijarnih tijela</w:t>
      </w:r>
      <w:r>
        <w:rPr>
          <w:sz w:val="24"/>
          <w:szCs w:val="24"/>
        </w:rPr>
        <w:t xml:space="preserve"> OECD-a</w:t>
      </w:r>
      <w:r w:rsidRPr="00D337E1">
        <w:rPr>
          <w:sz w:val="24"/>
          <w:szCs w:val="24"/>
        </w:rPr>
        <w:t xml:space="preserve">. Do </w:t>
      </w:r>
      <w:r>
        <w:rPr>
          <w:sz w:val="24"/>
          <w:szCs w:val="24"/>
        </w:rPr>
        <w:t>kraja</w:t>
      </w:r>
      <w:r w:rsidRPr="00D337E1">
        <w:rPr>
          <w:sz w:val="24"/>
          <w:szCs w:val="24"/>
        </w:rPr>
        <w:t xml:space="preserve"> 2024. Hrvatska je formalno primljena u 19 odbora (76%) i 22 supsidijarna tijela (84%)</w:t>
      </w:r>
      <w:r>
        <w:rPr>
          <w:sz w:val="24"/>
          <w:szCs w:val="24"/>
        </w:rPr>
        <w:t xml:space="preserve"> OECD-a. </w:t>
      </w:r>
      <w:r w:rsidRPr="00D337E1">
        <w:rPr>
          <w:sz w:val="24"/>
          <w:szCs w:val="24"/>
        </w:rPr>
        <w:t xml:space="preserve">S obzirom </w:t>
      </w:r>
      <w:r>
        <w:rPr>
          <w:sz w:val="24"/>
          <w:szCs w:val="24"/>
        </w:rPr>
        <w:t xml:space="preserve">na to </w:t>
      </w:r>
      <w:r w:rsidRPr="00D337E1">
        <w:rPr>
          <w:sz w:val="24"/>
          <w:szCs w:val="24"/>
        </w:rPr>
        <w:t>da držav</w:t>
      </w:r>
      <w:r>
        <w:rPr>
          <w:sz w:val="24"/>
          <w:szCs w:val="24"/>
        </w:rPr>
        <w:t>e</w:t>
      </w:r>
      <w:r w:rsidRPr="00D337E1">
        <w:rPr>
          <w:sz w:val="24"/>
          <w:szCs w:val="24"/>
        </w:rPr>
        <w:t xml:space="preserve"> članic</w:t>
      </w:r>
      <w:r>
        <w:rPr>
          <w:sz w:val="24"/>
          <w:szCs w:val="24"/>
        </w:rPr>
        <w:t>e</w:t>
      </w:r>
      <w:r w:rsidRPr="00D337E1">
        <w:rPr>
          <w:sz w:val="24"/>
          <w:szCs w:val="24"/>
        </w:rPr>
        <w:t xml:space="preserve"> Vijeća OECD-a procjenjuj</w:t>
      </w:r>
      <w:r>
        <w:rPr>
          <w:sz w:val="24"/>
          <w:szCs w:val="24"/>
        </w:rPr>
        <w:t>u</w:t>
      </w:r>
      <w:r w:rsidRPr="00D337E1">
        <w:rPr>
          <w:sz w:val="24"/>
          <w:szCs w:val="24"/>
        </w:rPr>
        <w:t xml:space="preserve"> spremnost zemlje kandidatkinje na temelju vjerodostojnih statističkih podataka, značajni napori </w:t>
      </w:r>
      <w:r>
        <w:rPr>
          <w:sz w:val="24"/>
          <w:szCs w:val="24"/>
        </w:rPr>
        <w:t xml:space="preserve">tijekom 2024. bili su </w:t>
      </w:r>
      <w:r w:rsidRPr="00D337E1">
        <w:rPr>
          <w:sz w:val="24"/>
          <w:szCs w:val="24"/>
        </w:rPr>
        <w:t xml:space="preserve">usmjereni </w:t>
      </w:r>
      <w:r>
        <w:rPr>
          <w:sz w:val="24"/>
          <w:szCs w:val="24"/>
        </w:rPr>
        <w:t xml:space="preserve">i </w:t>
      </w:r>
      <w:r w:rsidRPr="00D337E1">
        <w:rPr>
          <w:sz w:val="24"/>
          <w:szCs w:val="24"/>
        </w:rPr>
        <w:t xml:space="preserve">na usklađivanje nacionalnog statističkog sustava s OECD standardima i bazama </w:t>
      </w:r>
      <w:r w:rsidRPr="00D337E1">
        <w:rPr>
          <w:sz w:val="24"/>
          <w:szCs w:val="24"/>
        </w:rPr>
        <w:lastRenderedPageBreak/>
        <w:t xml:space="preserve">podataka, </w:t>
      </w:r>
      <w:r>
        <w:rPr>
          <w:sz w:val="24"/>
          <w:szCs w:val="24"/>
        </w:rPr>
        <w:t>u</w:t>
      </w:r>
      <w:r w:rsidRPr="00D337E1">
        <w:rPr>
          <w:sz w:val="24"/>
          <w:szCs w:val="24"/>
        </w:rPr>
        <w:t xml:space="preserve"> čemu je </w:t>
      </w:r>
      <w:r>
        <w:rPr>
          <w:sz w:val="24"/>
          <w:szCs w:val="24"/>
        </w:rPr>
        <w:t>ostvaren</w:t>
      </w:r>
      <w:r w:rsidRPr="00D337E1">
        <w:rPr>
          <w:sz w:val="24"/>
          <w:szCs w:val="24"/>
        </w:rPr>
        <w:t xml:space="preserve"> značajan napredak, </w:t>
      </w:r>
      <w:r>
        <w:rPr>
          <w:sz w:val="24"/>
          <w:szCs w:val="24"/>
        </w:rPr>
        <w:t>no</w:t>
      </w:r>
      <w:r w:rsidRPr="00D337E1">
        <w:rPr>
          <w:sz w:val="24"/>
          <w:szCs w:val="24"/>
        </w:rPr>
        <w:t xml:space="preserve"> </w:t>
      </w:r>
      <w:r>
        <w:rPr>
          <w:sz w:val="24"/>
          <w:szCs w:val="24"/>
        </w:rPr>
        <w:t xml:space="preserve">istovremeno su </w:t>
      </w:r>
      <w:r w:rsidRPr="00D337E1">
        <w:rPr>
          <w:sz w:val="24"/>
          <w:szCs w:val="24"/>
        </w:rPr>
        <w:t>prepoznate</w:t>
      </w:r>
      <w:r>
        <w:rPr>
          <w:sz w:val="24"/>
          <w:szCs w:val="24"/>
        </w:rPr>
        <w:t xml:space="preserve"> i </w:t>
      </w:r>
      <w:r w:rsidRPr="00D337E1">
        <w:rPr>
          <w:sz w:val="24"/>
          <w:szCs w:val="24"/>
        </w:rPr>
        <w:t xml:space="preserve">mogućnosti </w:t>
      </w:r>
      <w:r>
        <w:rPr>
          <w:sz w:val="24"/>
          <w:szCs w:val="24"/>
        </w:rPr>
        <w:t xml:space="preserve">za uvođenje </w:t>
      </w:r>
      <w:r w:rsidRPr="00D337E1">
        <w:rPr>
          <w:sz w:val="24"/>
          <w:szCs w:val="24"/>
        </w:rPr>
        <w:t xml:space="preserve">poboljšanja, osobito na </w:t>
      </w:r>
      <w:proofErr w:type="spellStart"/>
      <w:r w:rsidRPr="00D337E1">
        <w:rPr>
          <w:sz w:val="24"/>
          <w:szCs w:val="24"/>
        </w:rPr>
        <w:t>podnacionalnoj</w:t>
      </w:r>
      <w:proofErr w:type="spellEnd"/>
      <w:r w:rsidRPr="00D337E1">
        <w:rPr>
          <w:sz w:val="24"/>
          <w:szCs w:val="24"/>
        </w:rPr>
        <w:t xml:space="preserve"> razini.</w:t>
      </w:r>
    </w:p>
    <w:p w14:paraId="2962E091" w14:textId="77777777" w:rsidR="00FB178A" w:rsidRDefault="00FB178A" w:rsidP="00FB178A">
      <w:pPr>
        <w:spacing w:after="240" w:line="276" w:lineRule="auto"/>
        <w:jc w:val="both"/>
        <w:rPr>
          <w:sz w:val="24"/>
          <w:szCs w:val="24"/>
        </w:rPr>
      </w:pPr>
      <w:r>
        <w:rPr>
          <w:sz w:val="24"/>
          <w:szCs w:val="24"/>
        </w:rPr>
        <w:t>Na području jačanja m</w:t>
      </w:r>
      <w:r w:rsidRPr="00D337E1">
        <w:rPr>
          <w:sz w:val="24"/>
          <w:szCs w:val="24"/>
        </w:rPr>
        <w:t>ultilateraln</w:t>
      </w:r>
      <w:r>
        <w:rPr>
          <w:sz w:val="24"/>
          <w:szCs w:val="24"/>
        </w:rPr>
        <w:t>e</w:t>
      </w:r>
      <w:r w:rsidRPr="00D337E1">
        <w:rPr>
          <w:sz w:val="24"/>
          <w:szCs w:val="24"/>
        </w:rPr>
        <w:t xml:space="preserve"> suradnj</w:t>
      </w:r>
      <w:r>
        <w:rPr>
          <w:sz w:val="24"/>
          <w:szCs w:val="24"/>
        </w:rPr>
        <w:t xml:space="preserve">e, stručnjaci iz Hrvatske su kroz </w:t>
      </w:r>
      <w:proofErr w:type="spellStart"/>
      <w:r w:rsidRPr="0004221B">
        <w:rPr>
          <w:i/>
          <w:iCs/>
          <w:sz w:val="24"/>
          <w:szCs w:val="24"/>
        </w:rPr>
        <w:t>peer</w:t>
      </w:r>
      <w:proofErr w:type="spellEnd"/>
      <w:r w:rsidRPr="0004221B">
        <w:rPr>
          <w:i/>
          <w:iCs/>
          <w:sz w:val="24"/>
          <w:szCs w:val="24"/>
        </w:rPr>
        <w:t>-to-</w:t>
      </w:r>
      <w:proofErr w:type="spellStart"/>
      <w:r w:rsidRPr="0004221B">
        <w:rPr>
          <w:i/>
          <w:iCs/>
          <w:sz w:val="24"/>
          <w:szCs w:val="24"/>
        </w:rPr>
        <w:t>peer</w:t>
      </w:r>
      <w:proofErr w:type="spellEnd"/>
      <w:r w:rsidRPr="00D337E1">
        <w:rPr>
          <w:sz w:val="24"/>
          <w:szCs w:val="24"/>
        </w:rPr>
        <w:t xml:space="preserve"> </w:t>
      </w:r>
      <w:r>
        <w:rPr>
          <w:sz w:val="24"/>
          <w:szCs w:val="24"/>
        </w:rPr>
        <w:t xml:space="preserve">suradnju </w:t>
      </w:r>
      <w:r w:rsidRPr="00D337E1">
        <w:rPr>
          <w:sz w:val="24"/>
          <w:szCs w:val="24"/>
        </w:rPr>
        <w:t xml:space="preserve">aktivno dijelili </w:t>
      </w:r>
      <w:r>
        <w:rPr>
          <w:sz w:val="24"/>
          <w:szCs w:val="24"/>
        </w:rPr>
        <w:t xml:space="preserve">vrijedna </w:t>
      </w:r>
      <w:r w:rsidRPr="00D337E1">
        <w:rPr>
          <w:sz w:val="24"/>
          <w:szCs w:val="24"/>
        </w:rPr>
        <w:t xml:space="preserve">iskustva iz područja </w:t>
      </w:r>
      <w:r>
        <w:rPr>
          <w:sz w:val="24"/>
          <w:szCs w:val="24"/>
        </w:rPr>
        <w:t xml:space="preserve">praćenja </w:t>
      </w:r>
      <w:r w:rsidRPr="00D337E1">
        <w:rPr>
          <w:sz w:val="24"/>
          <w:szCs w:val="24"/>
        </w:rPr>
        <w:t>gospodarskih kretanja, makroekonomske politike, strateškog planiranja, upravljanja javnim financijama</w:t>
      </w:r>
      <w:r>
        <w:rPr>
          <w:sz w:val="24"/>
          <w:szCs w:val="24"/>
        </w:rPr>
        <w:t xml:space="preserve"> i drugih područja</w:t>
      </w:r>
      <w:r w:rsidRPr="00D337E1">
        <w:rPr>
          <w:sz w:val="24"/>
          <w:szCs w:val="24"/>
        </w:rPr>
        <w:t xml:space="preserve">. Hrvatska je u više navrata istaknuta kao primjer dobre prakse, osobito u području strateškog planiranja, </w:t>
      </w:r>
      <w:r>
        <w:rPr>
          <w:sz w:val="24"/>
          <w:szCs w:val="24"/>
        </w:rPr>
        <w:t xml:space="preserve">obzirom da </w:t>
      </w:r>
      <w:r w:rsidRPr="00D337E1">
        <w:rPr>
          <w:sz w:val="24"/>
          <w:szCs w:val="24"/>
        </w:rPr>
        <w:t>je</w:t>
      </w:r>
      <w:r>
        <w:rPr>
          <w:sz w:val="24"/>
          <w:szCs w:val="24"/>
        </w:rPr>
        <w:t xml:space="preserve"> njen</w:t>
      </w:r>
      <w:r w:rsidRPr="00D337E1">
        <w:rPr>
          <w:sz w:val="24"/>
          <w:szCs w:val="24"/>
        </w:rPr>
        <w:t xml:space="preserve"> sustav ocijenjen naprednijim od sustava trećine članica OECD-a. Doprinos hrvatskih stručnjaka dodatno je potvrđen kroz suradnju s inicijativom OECD/SIGMA, u kojoj su tijekom 2024. uspješno prenesena domaća iskustva za potrebe </w:t>
      </w:r>
      <w:r>
        <w:rPr>
          <w:sz w:val="24"/>
          <w:szCs w:val="24"/>
        </w:rPr>
        <w:t>razvoja</w:t>
      </w:r>
      <w:r w:rsidRPr="00D337E1">
        <w:rPr>
          <w:sz w:val="24"/>
          <w:szCs w:val="24"/>
        </w:rPr>
        <w:t xml:space="preserve"> i </w:t>
      </w:r>
      <w:r>
        <w:rPr>
          <w:sz w:val="24"/>
          <w:szCs w:val="24"/>
        </w:rPr>
        <w:t xml:space="preserve">unaprjeđenja sustava </w:t>
      </w:r>
      <w:r w:rsidRPr="00D337E1">
        <w:rPr>
          <w:sz w:val="24"/>
          <w:szCs w:val="24"/>
        </w:rPr>
        <w:t>stratešk</w:t>
      </w:r>
      <w:r>
        <w:rPr>
          <w:sz w:val="24"/>
          <w:szCs w:val="24"/>
        </w:rPr>
        <w:t xml:space="preserve">og planiranja u </w:t>
      </w:r>
      <w:r w:rsidRPr="00D337E1">
        <w:rPr>
          <w:sz w:val="24"/>
          <w:szCs w:val="24"/>
        </w:rPr>
        <w:t>Armenij</w:t>
      </w:r>
      <w:r>
        <w:rPr>
          <w:sz w:val="24"/>
          <w:szCs w:val="24"/>
        </w:rPr>
        <w:t>i</w:t>
      </w:r>
      <w:r w:rsidRPr="00D337E1">
        <w:rPr>
          <w:sz w:val="24"/>
          <w:szCs w:val="24"/>
        </w:rPr>
        <w:t xml:space="preserve"> i zemlja</w:t>
      </w:r>
      <w:r>
        <w:rPr>
          <w:sz w:val="24"/>
          <w:szCs w:val="24"/>
        </w:rPr>
        <w:t>ma</w:t>
      </w:r>
      <w:r w:rsidRPr="00D337E1">
        <w:rPr>
          <w:sz w:val="24"/>
          <w:szCs w:val="24"/>
        </w:rPr>
        <w:t xml:space="preserve"> Zapadnog Balkana.</w:t>
      </w:r>
    </w:p>
    <w:p w14:paraId="514DE9A6" w14:textId="77777777" w:rsidR="00FB178A" w:rsidRPr="00F45F18" w:rsidRDefault="00FB178A" w:rsidP="00FB178A">
      <w:pPr>
        <w:spacing w:after="240" w:line="276" w:lineRule="auto"/>
        <w:jc w:val="both"/>
        <w:rPr>
          <w:sz w:val="24"/>
          <w:szCs w:val="24"/>
        </w:rPr>
      </w:pPr>
      <w:r w:rsidRPr="009D5017">
        <w:rPr>
          <w:sz w:val="24"/>
          <w:szCs w:val="24"/>
        </w:rPr>
        <w:t>Nastavljen je snažan diplomatski angažman usmjeren na jačanje bilateralnih odnosa sa susjednim državama te državama srednjoeuropskog i sredozemnog kruga, s ciljem promicanja ključnih vanjskopolitičkih prioriteta i produbljivanja suradnje u područjima od zajedničkog interesa. Unutar formata EU MED-9</w:t>
      </w:r>
      <w:r>
        <w:rPr>
          <w:rStyle w:val="FootnoteReference"/>
          <w:sz w:val="24"/>
          <w:szCs w:val="24"/>
        </w:rPr>
        <w:footnoteReference w:id="14"/>
      </w:r>
      <w:r w:rsidRPr="009D5017">
        <w:rPr>
          <w:sz w:val="24"/>
          <w:szCs w:val="24"/>
        </w:rPr>
        <w:t xml:space="preserve"> dodatno je osnažena suradnja sa sredozemnim članicama EU-a, dok se u okviru Unije za Mediteran aktivno promicao dijalog i partnerstvo s državama mediteranske regije, pri čemu interese E</w:t>
      </w:r>
      <w:r>
        <w:rPr>
          <w:sz w:val="24"/>
          <w:szCs w:val="24"/>
        </w:rPr>
        <w:t>U</w:t>
      </w:r>
      <w:r w:rsidRPr="009D5017">
        <w:rPr>
          <w:sz w:val="24"/>
          <w:szCs w:val="24"/>
        </w:rPr>
        <w:t xml:space="preserve"> u ovom području zastupa povjerenica za Mediteran, Dubravka Šuica.</w:t>
      </w:r>
      <w:r>
        <w:rPr>
          <w:sz w:val="24"/>
          <w:szCs w:val="24"/>
        </w:rPr>
        <w:t xml:space="preserve"> </w:t>
      </w:r>
      <w:r w:rsidRPr="009D5017">
        <w:rPr>
          <w:sz w:val="24"/>
          <w:szCs w:val="24"/>
        </w:rPr>
        <w:t xml:space="preserve">Sve aktivnosti u okviru EU </w:t>
      </w:r>
      <w:proofErr w:type="spellStart"/>
      <w:r w:rsidRPr="009D5017">
        <w:rPr>
          <w:sz w:val="24"/>
          <w:szCs w:val="24"/>
        </w:rPr>
        <w:t>makroregionalnih</w:t>
      </w:r>
      <w:proofErr w:type="spellEnd"/>
      <w:r w:rsidRPr="009D5017">
        <w:rPr>
          <w:sz w:val="24"/>
          <w:szCs w:val="24"/>
        </w:rPr>
        <w:t xml:space="preserve"> strategija, Strategije EU za dunavsku regiju (EUSDR) i Strategije EU za jadransku i jonsku regiju (EUSAIR), provedene su sukladno planu. Hrvatsko predsjedanje EUSAIR-om uspješno je završeno u svibnju 2024., uz realizaciju svih programskih i komunikacijskih obveza. Radi kontinuiteta i ostvarivanja ciljeva, suradnja je nastavljena u TRIO formatu sa Sjevernom Makedonijom i Grčkom, koje su u lipnju 2024. preuzele predsjedanje, čime je osigurana stabilna koordinacija i daljnje jačanje suradnje u jadransko-jonskoj </w:t>
      </w:r>
      <w:proofErr w:type="spellStart"/>
      <w:r w:rsidRPr="009D5017">
        <w:rPr>
          <w:sz w:val="24"/>
          <w:szCs w:val="24"/>
        </w:rPr>
        <w:t>makroregiji</w:t>
      </w:r>
      <w:proofErr w:type="spellEnd"/>
      <w:r>
        <w:rPr>
          <w:sz w:val="24"/>
          <w:szCs w:val="24"/>
        </w:rPr>
        <w:t>.</w:t>
      </w:r>
    </w:p>
    <w:p w14:paraId="35097061" w14:textId="77777777" w:rsidR="00FB178A" w:rsidRDefault="00FB178A" w:rsidP="00FB178A">
      <w:pPr>
        <w:spacing w:after="240" w:line="276" w:lineRule="auto"/>
        <w:jc w:val="both"/>
        <w:rPr>
          <w:sz w:val="24"/>
          <w:szCs w:val="24"/>
        </w:rPr>
      </w:pPr>
      <w:r w:rsidRPr="003431B5">
        <w:rPr>
          <w:sz w:val="24"/>
          <w:szCs w:val="24"/>
        </w:rPr>
        <w:t xml:space="preserve">Kroz projekte kulturne promidžbe i javne diplomacije </w:t>
      </w:r>
      <w:r>
        <w:rPr>
          <w:sz w:val="24"/>
          <w:szCs w:val="24"/>
        </w:rPr>
        <w:t xml:space="preserve">nastavljeno je </w:t>
      </w:r>
      <w:r w:rsidRPr="003431B5">
        <w:rPr>
          <w:sz w:val="24"/>
          <w:szCs w:val="24"/>
        </w:rPr>
        <w:t>sustavno jača</w:t>
      </w:r>
      <w:r>
        <w:rPr>
          <w:sz w:val="24"/>
          <w:szCs w:val="24"/>
        </w:rPr>
        <w:t>nje</w:t>
      </w:r>
      <w:r w:rsidRPr="003431B5">
        <w:rPr>
          <w:sz w:val="24"/>
          <w:szCs w:val="24"/>
        </w:rPr>
        <w:t xml:space="preserve"> međunarodn</w:t>
      </w:r>
      <w:r>
        <w:rPr>
          <w:sz w:val="24"/>
          <w:szCs w:val="24"/>
        </w:rPr>
        <w:t>e</w:t>
      </w:r>
      <w:r w:rsidRPr="003431B5">
        <w:rPr>
          <w:sz w:val="24"/>
          <w:szCs w:val="24"/>
        </w:rPr>
        <w:t xml:space="preserve"> prepoznatljivost</w:t>
      </w:r>
      <w:r>
        <w:rPr>
          <w:sz w:val="24"/>
          <w:szCs w:val="24"/>
        </w:rPr>
        <w:t>i</w:t>
      </w:r>
      <w:r w:rsidRPr="003431B5">
        <w:rPr>
          <w:sz w:val="24"/>
          <w:szCs w:val="24"/>
        </w:rPr>
        <w:t xml:space="preserve"> Hrvatske, osobito provedbom programa vezanih uz obilježavanje važnih obljetnica, kulturnih manifestacija i drugih projekata od strateškog značaja. Uz to, nastavlj</w:t>
      </w:r>
      <w:r>
        <w:rPr>
          <w:sz w:val="24"/>
          <w:szCs w:val="24"/>
        </w:rPr>
        <w:t>eno j</w:t>
      </w:r>
      <w:r w:rsidRPr="003431B5">
        <w:rPr>
          <w:sz w:val="24"/>
          <w:szCs w:val="24"/>
        </w:rPr>
        <w:t>e produbljivanje suradnje s društvima prijateljstva s ciljem jačanja prijateljskih odnosa, međusobnog razumijevanja i povezivanja Hrvatske s drugim državama. Ove aktivnosti provode se kroz programe koji potiču razmjenu i suradnju u području kulture, umjetnosti i znanosti, pri čemu se osobita pažnja usmjerava na očuvanje i unaprjeđenje partnerskih veza utemeljenih na uzajamnom poštovanju i zajedničkoj koristi.</w:t>
      </w:r>
      <w:r>
        <w:rPr>
          <w:sz w:val="24"/>
          <w:szCs w:val="24"/>
        </w:rPr>
        <w:t xml:space="preserve"> </w:t>
      </w:r>
      <w:r w:rsidRPr="00E23DC6">
        <w:rPr>
          <w:sz w:val="24"/>
          <w:szCs w:val="24"/>
        </w:rPr>
        <w:t xml:space="preserve">Sustavnim djelovanjem u multilateralnim organizacijama, razvojem bilateralnih odnosa i jačanjem gospodarske i kulturne diplomacije </w:t>
      </w:r>
      <w:r>
        <w:rPr>
          <w:sz w:val="24"/>
          <w:szCs w:val="24"/>
        </w:rPr>
        <w:t>doprinosi se jačanju</w:t>
      </w:r>
      <w:r w:rsidRPr="00E23DC6">
        <w:rPr>
          <w:sz w:val="24"/>
          <w:szCs w:val="24"/>
        </w:rPr>
        <w:t xml:space="preserve"> </w:t>
      </w:r>
      <w:r>
        <w:rPr>
          <w:sz w:val="24"/>
          <w:szCs w:val="24"/>
        </w:rPr>
        <w:t xml:space="preserve">ugleda </w:t>
      </w:r>
      <w:r w:rsidRPr="00E23DC6">
        <w:rPr>
          <w:sz w:val="24"/>
          <w:szCs w:val="24"/>
        </w:rPr>
        <w:t>Hrvatsk</w:t>
      </w:r>
      <w:r>
        <w:rPr>
          <w:sz w:val="24"/>
          <w:szCs w:val="24"/>
        </w:rPr>
        <w:t>e</w:t>
      </w:r>
      <w:r w:rsidRPr="00E23DC6">
        <w:rPr>
          <w:sz w:val="24"/>
          <w:szCs w:val="24"/>
        </w:rPr>
        <w:t xml:space="preserve"> kao prepoznatljiv</w:t>
      </w:r>
      <w:r>
        <w:rPr>
          <w:sz w:val="24"/>
          <w:szCs w:val="24"/>
        </w:rPr>
        <w:t>e</w:t>
      </w:r>
      <w:r w:rsidRPr="00E23DC6">
        <w:rPr>
          <w:sz w:val="24"/>
          <w:szCs w:val="24"/>
        </w:rPr>
        <w:t>, stabiln</w:t>
      </w:r>
      <w:r>
        <w:rPr>
          <w:sz w:val="24"/>
          <w:szCs w:val="24"/>
        </w:rPr>
        <w:t>e</w:t>
      </w:r>
      <w:r w:rsidRPr="00E23DC6">
        <w:rPr>
          <w:sz w:val="24"/>
          <w:szCs w:val="24"/>
        </w:rPr>
        <w:t xml:space="preserve"> i utjecajn</w:t>
      </w:r>
      <w:r>
        <w:rPr>
          <w:sz w:val="24"/>
          <w:szCs w:val="24"/>
        </w:rPr>
        <w:t>e</w:t>
      </w:r>
      <w:r w:rsidRPr="00E23DC6">
        <w:rPr>
          <w:sz w:val="24"/>
          <w:szCs w:val="24"/>
        </w:rPr>
        <w:t xml:space="preserve"> držav</w:t>
      </w:r>
      <w:r>
        <w:rPr>
          <w:sz w:val="24"/>
          <w:szCs w:val="24"/>
        </w:rPr>
        <w:t>e</w:t>
      </w:r>
      <w:r w:rsidRPr="00E23DC6">
        <w:rPr>
          <w:sz w:val="24"/>
          <w:szCs w:val="24"/>
        </w:rPr>
        <w:t xml:space="preserve"> usmjeren</w:t>
      </w:r>
      <w:r>
        <w:rPr>
          <w:sz w:val="24"/>
          <w:szCs w:val="24"/>
        </w:rPr>
        <w:t>e</w:t>
      </w:r>
      <w:r w:rsidRPr="00E23DC6">
        <w:rPr>
          <w:sz w:val="24"/>
          <w:szCs w:val="24"/>
        </w:rPr>
        <w:t xml:space="preserve"> na promicanje europskih vrijednosti i međunarodne suradnje.</w:t>
      </w:r>
    </w:p>
    <w:p w14:paraId="4629025E" w14:textId="77777777" w:rsidR="00FB178A" w:rsidRDefault="00FB178A" w:rsidP="00FB178A">
      <w:pPr>
        <w:spacing w:after="240" w:line="276" w:lineRule="auto"/>
        <w:jc w:val="both"/>
        <w:rPr>
          <w:sz w:val="24"/>
          <w:szCs w:val="24"/>
        </w:rPr>
      </w:pPr>
    </w:p>
    <w:p w14:paraId="2E4CB4C7" w14:textId="77777777" w:rsidR="00FB178A" w:rsidRDefault="00FB178A" w:rsidP="00FB178A">
      <w:pPr>
        <w:spacing w:line="276" w:lineRule="auto"/>
        <w:ind w:left="720"/>
        <w:jc w:val="both"/>
        <w:rPr>
          <w:b/>
          <w:bCs/>
          <w:sz w:val="24"/>
          <w:szCs w:val="24"/>
        </w:rPr>
      </w:pPr>
      <w:r w:rsidRPr="00F45F18">
        <w:rPr>
          <w:b/>
          <w:bCs/>
          <w:sz w:val="24"/>
          <w:szCs w:val="24"/>
        </w:rPr>
        <w:lastRenderedPageBreak/>
        <w:t>Jačanje položaja Hrvata Bosne i Hercegovine i hrvatskih manjina te zajedništva domovinske i iseljene Hrvatske</w:t>
      </w:r>
    </w:p>
    <w:p w14:paraId="4FC00DF5" w14:textId="77777777" w:rsidR="00FB178A" w:rsidRPr="00F45F18" w:rsidRDefault="00FB178A" w:rsidP="00FB178A">
      <w:pPr>
        <w:spacing w:line="276" w:lineRule="auto"/>
        <w:ind w:left="720"/>
        <w:jc w:val="both"/>
        <w:rPr>
          <w:b/>
          <w:bCs/>
          <w:sz w:val="24"/>
          <w:szCs w:val="24"/>
        </w:rPr>
      </w:pPr>
    </w:p>
    <w:p w14:paraId="15E45DC7" w14:textId="77777777" w:rsidR="00FB178A" w:rsidRPr="009E5E92" w:rsidRDefault="00FB178A" w:rsidP="00FB178A">
      <w:pPr>
        <w:spacing w:after="240" w:line="276" w:lineRule="auto"/>
        <w:ind w:firstLine="720"/>
        <w:jc w:val="both"/>
        <w:rPr>
          <w:sz w:val="24"/>
          <w:szCs w:val="24"/>
        </w:rPr>
      </w:pPr>
      <w:r>
        <w:rPr>
          <w:sz w:val="24"/>
          <w:szCs w:val="24"/>
        </w:rPr>
        <w:t>Hrvatska je</w:t>
      </w:r>
      <w:r w:rsidRPr="00751204">
        <w:rPr>
          <w:sz w:val="24"/>
          <w:szCs w:val="24"/>
        </w:rPr>
        <w:t xml:space="preserve"> nastav</w:t>
      </w:r>
      <w:r>
        <w:rPr>
          <w:sz w:val="24"/>
          <w:szCs w:val="24"/>
        </w:rPr>
        <w:t xml:space="preserve">ila </w:t>
      </w:r>
      <w:r w:rsidRPr="00751204">
        <w:rPr>
          <w:sz w:val="24"/>
          <w:szCs w:val="24"/>
        </w:rPr>
        <w:t>snažn</w:t>
      </w:r>
      <w:r>
        <w:rPr>
          <w:sz w:val="24"/>
          <w:szCs w:val="24"/>
        </w:rPr>
        <w:t>u</w:t>
      </w:r>
      <w:r w:rsidRPr="00751204">
        <w:rPr>
          <w:sz w:val="24"/>
          <w:szCs w:val="24"/>
        </w:rPr>
        <w:t xml:space="preserve"> provedb</w:t>
      </w:r>
      <w:r>
        <w:rPr>
          <w:sz w:val="24"/>
          <w:szCs w:val="24"/>
        </w:rPr>
        <w:t>u</w:t>
      </w:r>
      <w:r w:rsidRPr="00751204">
        <w:rPr>
          <w:sz w:val="24"/>
          <w:szCs w:val="24"/>
        </w:rPr>
        <w:t xml:space="preserve"> </w:t>
      </w:r>
      <w:r>
        <w:rPr>
          <w:sz w:val="24"/>
          <w:szCs w:val="24"/>
        </w:rPr>
        <w:t>napora</w:t>
      </w:r>
      <w:r w:rsidRPr="00751204">
        <w:rPr>
          <w:sz w:val="24"/>
          <w:szCs w:val="24"/>
        </w:rPr>
        <w:t xml:space="preserve"> usmjerenih na zaštitu prava i promicanje interesa Hrvata izvan Hrvatske, jačanje povezanosti s hrvatskim narodom u Bosni i Hercegovini, hrvatskom nacionalnom manjinom u europskim državama te hrvatskim iseljeništvom na svim kontinentima. </w:t>
      </w:r>
      <w:r>
        <w:rPr>
          <w:sz w:val="24"/>
          <w:szCs w:val="24"/>
        </w:rPr>
        <w:t>Tijekom 2024. o</w:t>
      </w:r>
      <w:r w:rsidRPr="00751204">
        <w:rPr>
          <w:sz w:val="24"/>
          <w:szCs w:val="24"/>
        </w:rPr>
        <w:t xml:space="preserve">jačani su institucionalni mehanizmi, povećana su financijska sredstva i proširen je opseg projekata, </w:t>
      </w:r>
      <w:r>
        <w:rPr>
          <w:sz w:val="24"/>
          <w:szCs w:val="24"/>
        </w:rPr>
        <w:t xml:space="preserve">čime je </w:t>
      </w:r>
      <w:r w:rsidRPr="00751204">
        <w:rPr>
          <w:sz w:val="24"/>
          <w:szCs w:val="24"/>
        </w:rPr>
        <w:t>omoguć</w:t>
      </w:r>
      <w:r>
        <w:rPr>
          <w:sz w:val="24"/>
          <w:szCs w:val="24"/>
        </w:rPr>
        <w:t>eno</w:t>
      </w:r>
      <w:r w:rsidRPr="00751204">
        <w:rPr>
          <w:sz w:val="24"/>
          <w:szCs w:val="24"/>
        </w:rPr>
        <w:t xml:space="preserve"> ostvarivanje </w:t>
      </w:r>
      <w:r>
        <w:rPr>
          <w:sz w:val="24"/>
          <w:szCs w:val="24"/>
        </w:rPr>
        <w:t xml:space="preserve">postavljenih ciljeva </w:t>
      </w:r>
      <w:r w:rsidRPr="009E5E92">
        <w:rPr>
          <w:sz w:val="24"/>
          <w:szCs w:val="24"/>
        </w:rPr>
        <w:t xml:space="preserve">u skladu s </w:t>
      </w:r>
      <w:r>
        <w:rPr>
          <w:sz w:val="24"/>
          <w:szCs w:val="24"/>
        </w:rPr>
        <w:t>Ustavom i P</w:t>
      </w:r>
      <w:r w:rsidRPr="009E5E92">
        <w:rPr>
          <w:sz w:val="24"/>
          <w:szCs w:val="24"/>
        </w:rPr>
        <w:t>rogramom Vlade</w:t>
      </w:r>
      <w:r>
        <w:rPr>
          <w:sz w:val="24"/>
          <w:szCs w:val="24"/>
        </w:rPr>
        <w:t xml:space="preserve"> </w:t>
      </w:r>
      <w:r>
        <w:rPr>
          <w:color w:val="000000"/>
          <w:kern w:val="2"/>
          <w:sz w:val="24"/>
          <w:lang w:eastAsia="hr-HR"/>
          <w14:ligatures w14:val="standardContextual"/>
        </w:rPr>
        <w:t>Republike Hrvatske</w:t>
      </w:r>
      <w:r w:rsidRPr="009E5E92">
        <w:rPr>
          <w:sz w:val="24"/>
          <w:szCs w:val="24"/>
        </w:rPr>
        <w:t>.</w:t>
      </w:r>
      <w:r>
        <w:rPr>
          <w:sz w:val="24"/>
          <w:szCs w:val="24"/>
        </w:rPr>
        <w:t xml:space="preserve"> </w:t>
      </w:r>
      <w:r w:rsidRPr="002F2850">
        <w:rPr>
          <w:sz w:val="24"/>
          <w:szCs w:val="24"/>
        </w:rPr>
        <w:t>Ukupno je u 2024. podržano 1.089 projekata</w:t>
      </w:r>
      <w:r w:rsidRPr="002F2850">
        <w:t xml:space="preserve"> </w:t>
      </w:r>
      <w:r w:rsidRPr="002F2850">
        <w:rPr>
          <w:sz w:val="24"/>
          <w:szCs w:val="24"/>
        </w:rPr>
        <w:t>usmjerenih na zaštitu prava i promicanje interesa Hrvata izvan Hrvatske, od čega 479 u B</w:t>
      </w:r>
      <w:r>
        <w:rPr>
          <w:sz w:val="24"/>
          <w:szCs w:val="24"/>
        </w:rPr>
        <w:t xml:space="preserve">osni </w:t>
      </w:r>
      <w:r w:rsidRPr="002F2850">
        <w:rPr>
          <w:sz w:val="24"/>
          <w:szCs w:val="24"/>
        </w:rPr>
        <w:t>i</w:t>
      </w:r>
      <w:r>
        <w:rPr>
          <w:sz w:val="24"/>
          <w:szCs w:val="24"/>
        </w:rPr>
        <w:t xml:space="preserve"> </w:t>
      </w:r>
      <w:r w:rsidRPr="002F2850">
        <w:rPr>
          <w:sz w:val="24"/>
          <w:szCs w:val="24"/>
        </w:rPr>
        <w:t>H</w:t>
      </w:r>
      <w:r>
        <w:rPr>
          <w:sz w:val="24"/>
          <w:szCs w:val="24"/>
        </w:rPr>
        <w:t>ercegovini</w:t>
      </w:r>
      <w:r w:rsidRPr="002F2850">
        <w:rPr>
          <w:sz w:val="24"/>
          <w:szCs w:val="24"/>
        </w:rPr>
        <w:t xml:space="preserve">, 388 projekata hrvatskih manjina te 222 projekta iseljeničkih organizacija. </w:t>
      </w:r>
      <w:r>
        <w:rPr>
          <w:sz w:val="24"/>
          <w:szCs w:val="24"/>
        </w:rPr>
        <w:t xml:space="preserve"> </w:t>
      </w:r>
    </w:p>
    <w:p w14:paraId="74EE52BD" w14:textId="77777777" w:rsidR="00FB178A" w:rsidRDefault="00FB178A" w:rsidP="00FB178A">
      <w:pPr>
        <w:spacing w:after="240" w:line="276" w:lineRule="auto"/>
        <w:jc w:val="both"/>
        <w:rPr>
          <w:sz w:val="24"/>
          <w:szCs w:val="24"/>
        </w:rPr>
      </w:pPr>
      <w:r w:rsidRPr="00421533">
        <w:rPr>
          <w:sz w:val="24"/>
          <w:szCs w:val="24"/>
        </w:rPr>
        <w:t>Tijekom 2024. nastavljen je rad na provedbi Nacionalnog plana razvoja odnosa Republike Hrvatske s Hrvatima izvan Republike Hrvatske do 2027. godine, kojim se ostvaruju ciljevi jačanja položaja Hrvata u Bosni i Hercegovini, hrvatskih manjina u europskim državama te hrvatskog iseljeništva. Unatoč institucionalnim promjenama i preustroju nadležnosti provedenima tijekom godine, provedba planiranih aktivnosti odvijala se sukladno predviđenoj dinamici, uz porast proračunskih sredstava namijenjenih Hrvatima izvan Republike Hrvatske</w:t>
      </w:r>
      <w:r>
        <w:rPr>
          <w:sz w:val="24"/>
          <w:szCs w:val="24"/>
        </w:rPr>
        <w:t>. Navedenim se</w:t>
      </w:r>
      <w:r w:rsidRPr="00421533">
        <w:rPr>
          <w:sz w:val="24"/>
          <w:szCs w:val="24"/>
        </w:rPr>
        <w:t xml:space="preserve"> omogućilo realizaciju većeg broja projekata i programa od planiranog. Provedbom Nacionalnog plana </w:t>
      </w:r>
      <w:r>
        <w:rPr>
          <w:sz w:val="24"/>
          <w:szCs w:val="24"/>
        </w:rPr>
        <w:t>izravno se doprinosi</w:t>
      </w:r>
      <w:r w:rsidRPr="00421533">
        <w:rPr>
          <w:sz w:val="24"/>
          <w:szCs w:val="24"/>
        </w:rPr>
        <w:t xml:space="preserve"> </w:t>
      </w:r>
      <w:r>
        <w:rPr>
          <w:sz w:val="24"/>
          <w:szCs w:val="24"/>
        </w:rPr>
        <w:t>za</w:t>
      </w:r>
      <w:r w:rsidRPr="00421533">
        <w:rPr>
          <w:sz w:val="24"/>
          <w:szCs w:val="24"/>
        </w:rPr>
        <w:t>štit</w:t>
      </w:r>
      <w:r>
        <w:rPr>
          <w:sz w:val="24"/>
          <w:szCs w:val="24"/>
        </w:rPr>
        <w:t>i</w:t>
      </w:r>
      <w:r w:rsidRPr="00421533">
        <w:rPr>
          <w:sz w:val="24"/>
          <w:szCs w:val="24"/>
        </w:rPr>
        <w:t xml:space="preserve"> prava i promi</w:t>
      </w:r>
      <w:r>
        <w:rPr>
          <w:sz w:val="24"/>
          <w:szCs w:val="24"/>
        </w:rPr>
        <w:t xml:space="preserve">canju </w:t>
      </w:r>
      <w:r w:rsidRPr="00421533">
        <w:rPr>
          <w:sz w:val="24"/>
          <w:szCs w:val="24"/>
        </w:rPr>
        <w:t xml:space="preserve"> interes</w:t>
      </w:r>
      <w:r>
        <w:rPr>
          <w:sz w:val="24"/>
          <w:szCs w:val="24"/>
        </w:rPr>
        <w:t>a</w:t>
      </w:r>
      <w:r w:rsidRPr="00421533">
        <w:rPr>
          <w:sz w:val="24"/>
          <w:szCs w:val="24"/>
        </w:rPr>
        <w:t xml:space="preserve"> Hrvata izvan Hrvatske, jača se njihova povezanost s domovinom te potiče i olakšava povratak hrvatskog iseljeništva i njihovih potomaka u Hrvatsku. U </w:t>
      </w:r>
      <w:r>
        <w:rPr>
          <w:sz w:val="24"/>
          <w:szCs w:val="24"/>
        </w:rPr>
        <w:t xml:space="preserve">svim područjima Nacionalnog plana </w:t>
      </w:r>
      <w:r w:rsidRPr="00421533">
        <w:rPr>
          <w:sz w:val="24"/>
          <w:szCs w:val="24"/>
        </w:rPr>
        <w:t xml:space="preserve">zabilježeni su pozitivni pomaci, pri čemu </w:t>
      </w:r>
      <w:r>
        <w:rPr>
          <w:sz w:val="24"/>
          <w:szCs w:val="24"/>
        </w:rPr>
        <w:t>su kod</w:t>
      </w:r>
      <w:r w:rsidRPr="00421533">
        <w:rPr>
          <w:sz w:val="24"/>
          <w:szCs w:val="24"/>
        </w:rPr>
        <w:t xml:space="preserve"> </w:t>
      </w:r>
      <w:r>
        <w:rPr>
          <w:sz w:val="24"/>
          <w:szCs w:val="24"/>
        </w:rPr>
        <w:t xml:space="preserve">većine (70%) odabranih </w:t>
      </w:r>
      <w:r w:rsidRPr="00421533">
        <w:rPr>
          <w:sz w:val="24"/>
          <w:szCs w:val="24"/>
        </w:rPr>
        <w:t xml:space="preserve">pokazatelja </w:t>
      </w:r>
      <w:r>
        <w:rPr>
          <w:sz w:val="24"/>
          <w:szCs w:val="24"/>
        </w:rPr>
        <w:t xml:space="preserve">uspješnosti već dostignute i </w:t>
      </w:r>
      <w:r w:rsidRPr="00421533">
        <w:rPr>
          <w:sz w:val="24"/>
          <w:szCs w:val="24"/>
        </w:rPr>
        <w:t>premaš</w:t>
      </w:r>
      <w:r>
        <w:rPr>
          <w:sz w:val="24"/>
          <w:szCs w:val="24"/>
        </w:rPr>
        <w:t>ene</w:t>
      </w:r>
      <w:r w:rsidRPr="00421533">
        <w:rPr>
          <w:sz w:val="24"/>
          <w:szCs w:val="24"/>
        </w:rPr>
        <w:t xml:space="preserve"> ciljne vrijednosti planirane za 2027., što potvrđuje uspješnost provedbe postavljenih mjera i aktivnosti. Za </w:t>
      </w:r>
      <w:r>
        <w:rPr>
          <w:sz w:val="24"/>
          <w:szCs w:val="24"/>
        </w:rPr>
        <w:t>provedbu Nacionalnog plana tijekom</w:t>
      </w:r>
      <w:r w:rsidRPr="00421533">
        <w:rPr>
          <w:sz w:val="24"/>
          <w:szCs w:val="24"/>
        </w:rPr>
        <w:t xml:space="preserve"> 2024. ukupno je </w:t>
      </w:r>
      <w:r>
        <w:rPr>
          <w:sz w:val="24"/>
          <w:szCs w:val="24"/>
        </w:rPr>
        <w:t>osigurano</w:t>
      </w:r>
      <w:r w:rsidRPr="00421533">
        <w:rPr>
          <w:sz w:val="24"/>
          <w:szCs w:val="24"/>
        </w:rPr>
        <w:t xml:space="preserve"> 24,5 milijuna eura, čime je </w:t>
      </w:r>
      <w:r>
        <w:rPr>
          <w:sz w:val="24"/>
          <w:szCs w:val="24"/>
        </w:rPr>
        <w:t>omogućen</w:t>
      </w:r>
      <w:r w:rsidRPr="00421533">
        <w:rPr>
          <w:sz w:val="24"/>
          <w:szCs w:val="24"/>
        </w:rPr>
        <w:t xml:space="preserve"> kontinuit</w:t>
      </w:r>
      <w:r>
        <w:rPr>
          <w:sz w:val="24"/>
          <w:szCs w:val="24"/>
        </w:rPr>
        <w:t>et</w:t>
      </w:r>
      <w:r w:rsidRPr="00421533">
        <w:rPr>
          <w:sz w:val="24"/>
          <w:szCs w:val="24"/>
        </w:rPr>
        <w:t xml:space="preserve"> </w:t>
      </w:r>
      <w:r>
        <w:rPr>
          <w:sz w:val="24"/>
          <w:szCs w:val="24"/>
        </w:rPr>
        <w:t xml:space="preserve">u pružanju </w:t>
      </w:r>
      <w:r w:rsidRPr="00421533">
        <w:rPr>
          <w:sz w:val="24"/>
          <w:szCs w:val="24"/>
        </w:rPr>
        <w:t xml:space="preserve">potpora Hrvatima izvan Hrvatske i dodatno </w:t>
      </w:r>
      <w:r>
        <w:rPr>
          <w:sz w:val="24"/>
          <w:szCs w:val="24"/>
        </w:rPr>
        <w:t xml:space="preserve">je </w:t>
      </w:r>
      <w:r w:rsidRPr="00421533">
        <w:rPr>
          <w:sz w:val="24"/>
          <w:szCs w:val="24"/>
        </w:rPr>
        <w:t>ojačano zajedništvo domovinske i iseljene Hrvatske</w:t>
      </w:r>
      <w:r>
        <w:rPr>
          <w:sz w:val="24"/>
          <w:szCs w:val="24"/>
        </w:rPr>
        <w:t xml:space="preserve">. </w:t>
      </w:r>
    </w:p>
    <w:p w14:paraId="75E90662" w14:textId="77777777" w:rsidR="00FB178A" w:rsidRDefault="00FB178A" w:rsidP="00FB178A">
      <w:pPr>
        <w:spacing w:after="240" w:line="276" w:lineRule="auto"/>
        <w:jc w:val="both"/>
        <w:rPr>
          <w:sz w:val="24"/>
          <w:szCs w:val="24"/>
        </w:rPr>
      </w:pPr>
      <w:r w:rsidRPr="00410545">
        <w:rPr>
          <w:sz w:val="24"/>
          <w:szCs w:val="24"/>
        </w:rPr>
        <w:t>Jedan od trajnih prioriteta hrvatske vanjske politike ostaje zaštita položaja Hrvata u Bosni i Hercegovini, gdje Hrvatska ima važnu ulogu čimbenika stabilnosti i razvoja. Kroz kontinuirano diplomatsko djelovanje i suradnju s hrvatskim institucijama u B</w:t>
      </w:r>
      <w:r>
        <w:rPr>
          <w:sz w:val="24"/>
          <w:szCs w:val="24"/>
        </w:rPr>
        <w:t xml:space="preserve">osni </w:t>
      </w:r>
      <w:r w:rsidRPr="00410545">
        <w:rPr>
          <w:sz w:val="24"/>
          <w:szCs w:val="24"/>
        </w:rPr>
        <w:t>i</w:t>
      </w:r>
      <w:r>
        <w:rPr>
          <w:sz w:val="24"/>
          <w:szCs w:val="24"/>
        </w:rPr>
        <w:t xml:space="preserve"> </w:t>
      </w:r>
      <w:r w:rsidRPr="00410545">
        <w:rPr>
          <w:sz w:val="24"/>
          <w:szCs w:val="24"/>
        </w:rPr>
        <w:t>H</w:t>
      </w:r>
      <w:r>
        <w:rPr>
          <w:sz w:val="24"/>
          <w:szCs w:val="24"/>
        </w:rPr>
        <w:t>ercegovini</w:t>
      </w:r>
      <w:r w:rsidRPr="00410545">
        <w:rPr>
          <w:sz w:val="24"/>
          <w:szCs w:val="24"/>
        </w:rPr>
        <w:t xml:space="preserve">, Hrvatska se snažno zalaže za očuvanje ustavne ravnopravnosti i konstitutivnosti Hrvata, kao i za unapređenje njihova političkog, društvenog i kulturnog položaja. </w:t>
      </w:r>
      <w:r>
        <w:rPr>
          <w:sz w:val="24"/>
          <w:szCs w:val="24"/>
        </w:rPr>
        <w:t>Diplomatskim a</w:t>
      </w:r>
      <w:r w:rsidRPr="00410545">
        <w:rPr>
          <w:sz w:val="24"/>
          <w:szCs w:val="24"/>
        </w:rPr>
        <w:t>ktivnostima na nacionalnoj i međunarodnoj razini sustavno se doprinosi jačanju svijesti o izazovima s kojima se Hrvati u B</w:t>
      </w:r>
      <w:r>
        <w:rPr>
          <w:sz w:val="24"/>
          <w:szCs w:val="24"/>
        </w:rPr>
        <w:t xml:space="preserve">osni </w:t>
      </w:r>
      <w:r w:rsidRPr="00410545">
        <w:rPr>
          <w:sz w:val="24"/>
          <w:szCs w:val="24"/>
        </w:rPr>
        <w:t>i</w:t>
      </w:r>
      <w:r>
        <w:rPr>
          <w:sz w:val="24"/>
          <w:szCs w:val="24"/>
        </w:rPr>
        <w:t xml:space="preserve"> </w:t>
      </w:r>
      <w:r w:rsidRPr="00410545">
        <w:rPr>
          <w:sz w:val="24"/>
          <w:szCs w:val="24"/>
        </w:rPr>
        <w:t>H</w:t>
      </w:r>
      <w:r>
        <w:rPr>
          <w:sz w:val="24"/>
          <w:szCs w:val="24"/>
        </w:rPr>
        <w:t>ercegovini</w:t>
      </w:r>
      <w:r w:rsidRPr="00410545">
        <w:rPr>
          <w:sz w:val="24"/>
          <w:szCs w:val="24"/>
        </w:rPr>
        <w:t xml:space="preserve"> suočavaju u ostvarivanju svojih prava te se podupiru projekti koji doprinose očuvanju njihova identiteta, političke participacije i dugoročne održivosti zajednice. Na taj se način stvaraju čvrsti temelji za ostanak, razvoj i prosperitet hrvatskog naroda u Bosni i Hercegovini te jača njegova povezanost s Hrvatskom.</w:t>
      </w:r>
      <w:r w:rsidRPr="00431650">
        <w:rPr>
          <w:sz w:val="24"/>
          <w:szCs w:val="24"/>
        </w:rPr>
        <w:t xml:space="preserve"> </w:t>
      </w:r>
    </w:p>
    <w:p w14:paraId="07A6C2D5" w14:textId="77777777" w:rsidR="00FB178A" w:rsidRDefault="00FB178A" w:rsidP="00FB178A">
      <w:pPr>
        <w:spacing w:after="240" w:line="276" w:lineRule="auto"/>
        <w:jc w:val="both"/>
        <w:rPr>
          <w:sz w:val="24"/>
          <w:szCs w:val="24"/>
        </w:rPr>
      </w:pPr>
      <w:r w:rsidRPr="00345651">
        <w:rPr>
          <w:sz w:val="24"/>
          <w:szCs w:val="24"/>
        </w:rPr>
        <w:t>U 2024. nastav</w:t>
      </w:r>
      <w:r>
        <w:rPr>
          <w:sz w:val="24"/>
          <w:szCs w:val="24"/>
        </w:rPr>
        <w:t>ljen je</w:t>
      </w:r>
      <w:r w:rsidRPr="00345651">
        <w:rPr>
          <w:sz w:val="24"/>
          <w:szCs w:val="24"/>
        </w:rPr>
        <w:t xml:space="preserve"> angažman na postizanju ključnih strateških ciljeva - ravnopravnost</w:t>
      </w:r>
      <w:r>
        <w:rPr>
          <w:sz w:val="24"/>
          <w:szCs w:val="24"/>
        </w:rPr>
        <w:t>i</w:t>
      </w:r>
      <w:r w:rsidRPr="00345651">
        <w:rPr>
          <w:sz w:val="24"/>
          <w:szCs w:val="24"/>
        </w:rPr>
        <w:t xml:space="preserve"> Hrvata u Bosni i Hercegovini kroz izmjene Izbornog zakona koje će Hrvatima, kao jednom od triju konstitutivnih naroda, jamčiti legitimnu političku zastupljenost na svim razinama vlasti, snažn</w:t>
      </w:r>
      <w:r>
        <w:rPr>
          <w:sz w:val="24"/>
          <w:szCs w:val="24"/>
        </w:rPr>
        <w:t>u</w:t>
      </w:r>
      <w:r w:rsidRPr="00345651">
        <w:rPr>
          <w:sz w:val="24"/>
          <w:szCs w:val="24"/>
        </w:rPr>
        <w:t xml:space="preserve"> </w:t>
      </w:r>
      <w:r w:rsidRPr="00345651">
        <w:rPr>
          <w:sz w:val="24"/>
          <w:szCs w:val="24"/>
        </w:rPr>
        <w:lastRenderedPageBreak/>
        <w:t>potpor</w:t>
      </w:r>
      <w:r>
        <w:rPr>
          <w:sz w:val="24"/>
          <w:szCs w:val="24"/>
        </w:rPr>
        <w:t>u</w:t>
      </w:r>
      <w:r w:rsidRPr="00345651">
        <w:rPr>
          <w:sz w:val="24"/>
          <w:szCs w:val="24"/>
        </w:rPr>
        <w:t xml:space="preserve"> europskom putu Bosne i Hercegovine i zagovaranje otvaranja pristupnih pregovora Europske unije s Bosnom i Hercegovinom, unaprjeđenje bilateralne i prekogranične suradnje te zagovaranje funkcionalne, cjelovite i stabilne Bosne i Hercegovine na načelu federalizma, decentralizacije i supsidijarnosti.</w:t>
      </w:r>
      <w:r>
        <w:rPr>
          <w:sz w:val="24"/>
          <w:szCs w:val="24"/>
        </w:rPr>
        <w:t xml:space="preserve"> </w:t>
      </w:r>
      <w:r w:rsidRPr="00345651">
        <w:rPr>
          <w:sz w:val="24"/>
          <w:szCs w:val="24"/>
        </w:rPr>
        <w:t>S ciljem pružanja snažne potpore europskom putu Bosne i Hercegovine posebno mjesto zauzima radni posjet predsjednika Vlade</w:t>
      </w:r>
      <w:r>
        <w:rPr>
          <w:sz w:val="24"/>
          <w:szCs w:val="24"/>
        </w:rPr>
        <w:t xml:space="preserve"> </w:t>
      </w:r>
      <w:r>
        <w:rPr>
          <w:color w:val="000000"/>
          <w:kern w:val="2"/>
          <w:sz w:val="24"/>
          <w:lang w:eastAsia="hr-HR"/>
          <w14:ligatures w14:val="standardContextual"/>
        </w:rPr>
        <w:t>Republike Hrvatske</w:t>
      </w:r>
      <w:r w:rsidRPr="007E3B8D">
        <w:rPr>
          <w:color w:val="000000"/>
          <w:kern w:val="2"/>
          <w:sz w:val="24"/>
          <w:lang w:eastAsia="hr-HR"/>
          <w14:ligatures w14:val="standardContextual"/>
        </w:rPr>
        <w:t xml:space="preserve"> </w:t>
      </w:r>
      <w:r>
        <w:rPr>
          <w:color w:val="000000"/>
          <w:kern w:val="2"/>
          <w:sz w:val="24"/>
          <w:lang w:eastAsia="hr-HR"/>
          <w14:ligatures w14:val="standardContextual"/>
        </w:rPr>
        <w:t xml:space="preserve">mr. sc. </w:t>
      </w:r>
      <w:r w:rsidRPr="00345651">
        <w:rPr>
          <w:sz w:val="24"/>
          <w:szCs w:val="24"/>
        </w:rPr>
        <w:t xml:space="preserve">Andreja Plenkovića 23. i 24. siječnja 2024. Sarajevu zajedno s predsjednicom Europske komisije </w:t>
      </w:r>
      <w:proofErr w:type="spellStart"/>
      <w:r w:rsidRPr="00345651">
        <w:rPr>
          <w:sz w:val="24"/>
          <w:szCs w:val="24"/>
        </w:rPr>
        <w:t>Ursulom</w:t>
      </w:r>
      <w:proofErr w:type="spellEnd"/>
      <w:r w:rsidRPr="00345651">
        <w:rPr>
          <w:sz w:val="24"/>
          <w:szCs w:val="24"/>
        </w:rPr>
        <w:t xml:space="preserve"> von </w:t>
      </w:r>
      <w:proofErr w:type="spellStart"/>
      <w:r w:rsidRPr="00345651">
        <w:rPr>
          <w:sz w:val="24"/>
          <w:szCs w:val="24"/>
        </w:rPr>
        <w:t>der</w:t>
      </w:r>
      <w:proofErr w:type="spellEnd"/>
      <w:r w:rsidRPr="00345651">
        <w:rPr>
          <w:sz w:val="24"/>
          <w:szCs w:val="24"/>
        </w:rPr>
        <w:t xml:space="preserve"> </w:t>
      </w:r>
      <w:proofErr w:type="spellStart"/>
      <w:r w:rsidRPr="00345651">
        <w:rPr>
          <w:sz w:val="24"/>
          <w:szCs w:val="24"/>
        </w:rPr>
        <w:t>Leyen</w:t>
      </w:r>
      <w:proofErr w:type="spellEnd"/>
      <w:r w:rsidRPr="00345651">
        <w:rPr>
          <w:sz w:val="24"/>
          <w:szCs w:val="24"/>
        </w:rPr>
        <w:t xml:space="preserve"> i tadašnjim nizozemskim premijerom Markom </w:t>
      </w:r>
      <w:proofErr w:type="spellStart"/>
      <w:r w:rsidRPr="00345651">
        <w:rPr>
          <w:sz w:val="24"/>
          <w:szCs w:val="24"/>
        </w:rPr>
        <w:t>Rutteom</w:t>
      </w:r>
      <w:proofErr w:type="spellEnd"/>
      <w:r>
        <w:rPr>
          <w:sz w:val="24"/>
          <w:szCs w:val="24"/>
        </w:rPr>
        <w:t>. E</w:t>
      </w:r>
      <w:r w:rsidRPr="00345651">
        <w:rPr>
          <w:sz w:val="24"/>
          <w:szCs w:val="24"/>
        </w:rPr>
        <w:t xml:space="preserve">uropski put Bosne i Hercegovine </w:t>
      </w:r>
      <w:r>
        <w:rPr>
          <w:sz w:val="24"/>
          <w:szCs w:val="24"/>
        </w:rPr>
        <w:t xml:space="preserve">promican je </w:t>
      </w:r>
      <w:r w:rsidRPr="00345651">
        <w:rPr>
          <w:sz w:val="24"/>
          <w:szCs w:val="24"/>
        </w:rPr>
        <w:t>u svim relevantnim forumima naglašavajući da je temelj političke stabilnosti ravnopravnost sva tri konstitutivna naroda bez čega neće biti moguće ostvariti istinsku političku stabilnost i dugoročni napredak</w:t>
      </w:r>
      <w:r>
        <w:rPr>
          <w:sz w:val="24"/>
          <w:szCs w:val="24"/>
        </w:rPr>
        <w:t xml:space="preserve">. </w:t>
      </w:r>
      <w:r w:rsidRPr="00345651">
        <w:rPr>
          <w:sz w:val="24"/>
          <w:szCs w:val="24"/>
        </w:rPr>
        <w:t xml:space="preserve">Rezultat tog djelovanja je odluka Europskog vijeća </w:t>
      </w:r>
      <w:r>
        <w:rPr>
          <w:sz w:val="24"/>
          <w:szCs w:val="24"/>
        </w:rPr>
        <w:t>iz</w:t>
      </w:r>
      <w:r w:rsidRPr="00345651">
        <w:rPr>
          <w:sz w:val="24"/>
          <w:szCs w:val="24"/>
        </w:rPr>
        <w:t xml:space="preserve"> ožujka 2024. o otvaranju pristupnih pregovora s Bosnom i Hercegovinom. Republika Hrvatska imala je ključnu ulogu, ne samo svojim glasom u Europskom vijeću nego i ukupnim političkim i diplomatskim angažmanom, u donošenju pozitivnih odluka E</w:t>
      </w:r>
      <w:r>
        <w:rPr>
          <w:sz w:val="24"/>
          <w:szCs w:val="24"/>
        </w:rPr>
        <w:t>U.</w:t>
      </w:r>
    </w:p>
    <w:p w14:paraId="238D2824" w14:textId="77777777" w:rsidR="00FB178A" w:rsidRDefault="00FB178A" w:rsidP="00FB178A">
      <w:pPr>
        <w:spacing w:after="240" w:line="276" w:lineRule="auto"/>
        <w:jc w:val="both"/>
        <w:rPr>
          <w:sz w:val="24"/>
          <w:szCs w:val="24"/>
        </w:rPr>
      </w:pPr>
      <w:r>
        <w:rPr>
          <w:sz w:val="24"/>
          <w:szCs w:val="24"/>
        </w:rPr>
        <w:t>U okviru</w:t>
      </w:r>
      <w:r w:rsidRPr="00431650">
        <w:rPr>
          <w:sz w:val="24"/>
          <w:szCs w:val="24"/>
        </w:rPr>
        <w:t xml:space="preserve"> Javn</w:t>
      </w:r>
      <w:r>
        <w:rPr>
          <w:sz w:val="24"/>
          <w:szCs w:val="24"/>
        </w:rPr>
        <w:t>og</w:t>
      </w:r>
      <w:r w:rsidRPr="00431650">
        <w:rPr>
          <w:sz w:val="24"/>
          <w:szCs w:val="24"/>
        </w:rPr>
        <w:t xml:space="preserve"> natječaj</w:t>
      </w:r>
      <w:r>
        <w:rPr>
          <w:sz w:val="24"/>
          <w:szCs w:val="24"/>
        </w:rPr>
        <w:t>a</w:t>
      </w:r>
      <w:r w:rsidRPr="00431650">
        <w:rPr>
          <w:sz w:val="24"/>
          <w:szCs w:val="24"/>
        </w:rPr>
        <w:t xml:space="preserve"> za financiranje projekata od interesa za hrvatski narod u B</w:t>
      </w:r>
      <w:r>
        <w:rPr>
          <w:sz w:val="24"/>
          <w:szCs w:val="24"/>
        </w:rPr>
        <w:t xml:space="preserve">osni </w:t>
      </w:r>
      <w:r w:rsidRPr="00431650">
        <w:rPr>
          <w:sz w:val="24"/>
          <w:szCs w:val="24"/>
        </w:rPr>
        <w:t>i</w:t>
      </w:r>
      <w:r>
        <w:rPr>
          <w:sz w:val="24"/>
          <w:szCs w:val="24"/>
        </w:rPr>
        <w:t xml:space="preserve"> </w:t>
      </w:r>
      <w:r w:rsidRPr="00431650">
        <w:rPr>
          <w:sz w:val="24"/>
          <w:szCs w:val="24"/>
        </w:rPr>
        <w:t>H</w:t>
      </w:r>
      <w:r>
        <w:rPr>
          <w:sz w:val="24"/>
          <w:szCs w:val="24"/>
        </w:rPr>
        <w:t>ercegovini</w:t>
      </w:r>
      <w:r w:rsidRPr="00431650">
        <w:rPr>
          <w:sz w:val="24"/>
          <w:szCs w:val="24"/>
        </w:rPr>
        <w:t>, Vlada</w:t>
      </w:r>
      <w:r>
        <w:rPr>
          <w:sz w:val="24"/>
          <w:szCs w:val="24"/>
        </w:rPr>
        <w:t xml:space="preserve"> </w:t>
      </w:r>
      <w:r>
        <w:rPr>
          <w:color w:val="000000" w:themeColor="text1"/>
          <w:sz w:val="24"/>
          <w:szCs w:val="24"/>
        </w:rPr>
        <w:t>Republike Hrvatske</w:t>
      </w:r>
      <w:r w:rsidRPr="00431650">
        <w:rPr>
          <w:sz w:val="24"/>
          <w:szCs w:val="24"/>
        </w:rPr>
        <w:t xml:space="preserve"> </w:t>
      </w:r>
      <w:r>
        <w:rPr>
          <w:sz w:val="24"/>
          <w:szCs w:val="24"/>
        </w:rPr>
        <w:t>je tijekom 2024.</w:t>
      </w:r>
      <w:r w:rsidRPr="00431650">
        <w:rPr>
          <w:sz w:val="24"/>
          <w:szCs w:val="24"/>
        </w:rPr>
        <w:t xml:space="preserve"> odobrila financiranje 199 projekata u područjima obrazovanja, znanosti, kulture, zdravstva, gospodarstva i poljoprivrede, a dodijeljeno je </w:t>
      </w:r>
      <w:r>
        <w:rPr>
          <w:sz w:val="24"/>
          <w:szCs w:val="24"/>
        </w:rPr>
        <w:t xml:space="preserve">i </w:t>
      </w:r>
      <w:r w:rsidRPr="00431650">
        <w:rPr>
          <w:sz w:val="24"/>
          <w:szCs w:val="24"/>
        </w:rPr>
        <w:t>1.108 stipendija studentima koji studiraju u B</w:t>
      </w:r>
      <w:r>
        <w:rPr>
          <w:sz w:val="24"/>
          <w:szCs w:val="24"/>
        </w:rPr>
        <w:t xml:space="preserve">osni </w:t>
      </w:r>
      <w:r w:rsidRPr="00431650">
        <w:rPr>
          <w:sz w:val="24"/>
          <w:szCs w:val="24"/>
        </w:rPr>
        <w:t>i</w:t>
      </w:r>
      <w:r>
        <w:rPr>
          <w:sz w:val="24"/>
          <w:szCs w:val="24"/>
        </w:rPr>
        <w:t xml:space="preserve"> </w:t>
      </w:r>
      <w:r w:rsidRPr="00431650">
        <w:rPr>
          <w:sz w:val="24"/>
          <w:szCs w:val="24"/>
        </w:rPr>
        <w:t>H</w:t>
      </w:r>
      <w:r>
        <w:rPr>
          <w:sz w:val="24"/>
          <w:szCs w:val="24"/>
        </w:rPr>
        <w:t>ercegovini obzirom na to da su oni</w:t>
      </w:r>
      <w:r w:rsidRPr="003117C7">
        <w:rPr>
          <w:sz w:val="24"/>
          <w:szCs w:val="24"/>
        </w:rPr>
        <w:t xml:space="preserve"> ključn</w:t>
      </w:r>
      <w:r>
        <w:rPr>
          <w:sz w:val="24"/>
          <w:szCs w:val="24"/>
        </w:rPr>
        <w:t>i</w:t>
      </w:r>
      <w:r w:rsidRPr="003117C7">
        <w:rPr>
          <w:sz w:val="24"/>
          <w:szCs w:val="24"/>
        </w:rPr>
        <w:t xml:space="preserve"> dioni</w:t>
      </w:r>
      <w:r>
        <w:rPr>
          <w:sz w:val="24"/>
          <w:szCs w:val="24"/>
        </w:rPr>
        <w:t>ci</w:t>
      </w:r>
      <w:r w:rsidRPr="003117C7">
        <w:rPr>
          <w:sz w:val="24"/>
          <w:szCs w:val="24"/>
        </w:rPr>
        <w:t xml:space="preserve"> u procesu europskih integracija B</w:t>
      </w:r>
      <w:r>
        <w:rPr>
          <w:sz w:val="24"/>
          <w:szCs w:val="24"/>
        </w:rPr>
        <w:t xml:space="preserve">osne </w:t>
      </w:r>
      <w:r w:rsidRPr="003117C7">
        <w:rPr>
          <w:sz w:val="24"/>
          <w:szCs w:val="24"/>
        </w:rPr>
        <w:t>i</w:t>
      </w:r>
      <w:r>
        <w:rPr>
          <w:sz w:val="24"/>
          <w:szCs w:val="24"/>
        </w:rPr>
        <w:t xml:space="preserve"> </w:t>
      </w:r>
      <w:r w:rsidRPr="003117C7">
        <w:rPr>
          <w:sz w:val="24"/>
          <w:szCs w:val="24"/>
        </w:rPr>
        <w:t>H</w:t>
      </w:r>
      <w:r>
        <w:rPr>
          <w:sz w:val="24"/>
          <w:szCs w:val="24"/>
        </w:rPr>
        <w:t>ercegovine</w:t>
      </w:r>
      <w:r w:rsidRPr="003117C7">
        <w:rPr>
          <w:sz w:val="24"/>
          <w:szCs w:val="24"/>
        </w:rPr>
        <w:t xml:space="preserve"> i jamstvo europske budućnosti B</w:t>
      </w:r>
      <w:r>
        <w:rPr>
          <w:sz w:val="24"/>
          <w:szCs w:val="24"/>
        </w:rPr>
        <w:t xml:space="preserve">osne </w:t>
      </w:r>
      <w:r w:rsidRPr="003117C7">
        <w:rPr>
          <w:sz w:val="24"/>
          <w:szCs w:val="24"/>
        </w:rPr>
        <w:t>i</w:t>
      </w:r>
      <w:r>
        <w:rPr>
          <w:sz w:val="24"/>
          <w:szCs w:val="24"/>
        </w:rPr>
        <w:t xml:space="preserve"> </w:t>
      </w:r>
      <w:r w:rsidRPr="003117C7">
        <w:rPr>
          <w:sz w:val="24"/>
          <w:szCs w:val="24"/>
        </w:rPr>
        <w:t>H</w:t>
      </w:r>
      <w:r>
        <w:rPr>
          <w:sz w:val="24"/>
          <w:szCs w:val="24"/>
        </w:rPr>
        <w:t>ercegovine</w:t>
      </w:r>
      <w:r w:rsidRPr="003117C7">
        <w:rPr>
          <w:sz w:val="24"/>
          <w:szCs w:val="24"/>
        </w:rPr>
        <w:t xml:space="preserve">. </w:t>
      </w:r>
      <w:r w:rsidRPr="00431650">
        <w:rPr>
          <w:sz w:val="24"/>
          <w:szCs w:val="24"/>
        </w:rPr>
        <w:t>Za hrvatske manjine u 12 europskih država dodijeljena je potpora za 212 programa i projekata, dok je kroz natječaj za hrvatsko iseljeništvo u 25 država svijeta sufinancirano 140 projekata. Održano je više od 80 bilateralnih i stručnih susreta</w:t>
      </w:r>
      <w:r>
        <w:rPr>
          <w:sz w:val="24"/>
          <w:szCs w:val="24"/>
        </w:rPr>
        <w:t xml:space="preserve"> u Hrvatskoj i 11 europskih zemalja. D</w:t>
      </w:r>
      <w:r w:rsidRPr="00431650">
        <w:rPr>
          <w:sz w:val="24"/>
          <w:szCs w:val="24"/>
        </w:rPr>
        <w:t xml:space="preserve">onesene </w:t>
      </w:r>
      <w:r>
        <w:rPr>
          <w:sz w:val="24"/>
          <w:szCs w:val="24"/>
        </w:rPr>
        <w:t>su</w:t>
      </w:r>
      <w:r w:rsidRPr="00431650">
        <w:rPr>
          <w:sz w:val="24"/>
          <w:szCs w:val="24"/>
        </w:rPr>
        <w:t xml:space="preserve"> odluke o </w:t>
      </w:r>
      <w:r>
        <w:rPr>
          <w:sz w:val="24"/>
          <w:szCs w:val="24"/>
        </w:rPr>
        <w:t xml:space="preserve">financiranju </w:t>
      </w:r>
      <w:r w:rsidRPr="00431650">
        <w:rPr>
          <w:sz w:val="24"/>
          <w:szCs w:val="24"/>
        </w:rPr>
        <w:t>23 projekta od strateške važnosti za Hrvate izvan Hrvatske, čime je ojačana institucionalna suradnja i vidljivost hrvatskih zajednica. Dodatno, potpisan je sporazum s H</w:t>
      </w:r>
      <w:r>
        <w:rPr>
          <w:sz w:val="24"/>
          <w:szCs w:val="24"/>
        </w:rPr>
        <w:t xml:space="preserve">rvatskom radiotelevizijom </w:t>
      </w:r>
      <w:r w:rsidRPr="00431650">
        <w:rPr>
          <w:sz w:val="24"/>
          <w:szCs w:val="24"/>
        </w:rPr>
        <w:t xml:space="preserve"> o provedbi 35 emisija i objavi informacija namijenjenih Hrvatima izvan domovine, čime je osnažena komunikacija i informiranost dijaspore.</w:t>
      </w:r>
      <w:r>
        <w:rPr>
          <w:sz w:val="24"/>
          <w:szCs w:val="24"/>
        </w:rPr>
        <w:t xml:space="preserve"> </w:t>
      </w:r>
      <w:r w:rsidRPr="00F3465F">
        <w:rPr>
          <w:sz w:val="24"/>
          <w:szCs w:val="24"/>
        </w:rPr>
        <w:t>Is</w:t>
      </w:r>
      <w:r>
        <w:rPr>
          <w:sz w:val="24"/>
          <w:szCs w:val="24"/>
        </w:rPr>
        <w:t>tovremeno,</w:t>
      </w:r>
      <w:r w:rsidRPr="00F3465F">
        <w:rPr>
          <w:sz w:val="24"/>
          <w:szCs w:val="24"/>
        </w:rPr>
        <w:t xml:space="preserve"> organizirana</w:t>
      </w:r>
      <w:r>
        <w:rPr>
          <w:sz w:val="24"/>
          <w:szCs w:val="24"/>
        </w:rPr>
        <w:t xml:space="preserve"> su</w:t>
      </w:r>
      <w:r w:rsidRPr="00F3465F">
        <w:rPr>
          <w:sz w:val="24"/>
          <w:szCs w:val="24"/>
        </w:rPr>
        <w:t xml:space="preserve"> četiri stručna događanja i radionice usmjerene na jačanje znanja i vještina pripadnika hrvatske nacionalne manjine</w:t>
      </w:r>
      <w:r>
        <w:rPr>
          <w:sz w:val="24"/>
          <w:szCs w:val="24"/>
        </w:rPr>
        <w:t xml:space="preserve">. Na temelju natječaja za upis i osiguranih upisnih mjesta u posebnoj kvoti na hrvatska visoka učilišta je tijekom 2024. upisano 57 studenata pripadnika hrvatske nacionalne manjine i hrvatskog iseljeništva. </w:t>
      </w:r>
      <w:r w:rsidRPr="00B37A82">
        <w:rPr>
          <w:sz w:val="24"/>
          <w:szCs w:val="24"/>
        </w:rPr>
        <w:t xml:space="preserve">Na bilateralnom polju </w:t>
      </w:r>
      <w:r>
        <w:rPr>
          <w:sz w:val="24"/>
          <w:szCs w:val="24"/>
        </w:rPr>
        <w:t xml:space="preserve">pripremane </w:t>
      </w:r>
      <w:r w:rsidRPr="00B37A82">
        <w:rPr>
          <w:sz w:val="24"/>
          <w:szCs w:val="24"/>
        </w:rPr>
        <w:t>su sjednice Međuvladinih mješovitih odbora za praćenje provedbe Sporazuma o zaštiti prava hrvatske manjine u Republici Sjevernoj Makedoniji i makedonske manjine u Hrvatskoj.</w:t>
      </w:r>
    </w:p>
    <w:p w14:paraId="7949C0D8" w14:textId="77777777" w:rsidR="00FB178A" w:rsidRPr="00F45F18" w:rsidRDefault="00FB178A" w:rsidP="00FB178A">
      <w:pPr>
        <w:spacing w:line="276" w:lineRule="auto"/>
        <w:jc w:val="both"/>
        <w:rPr>
          <w:sz w:val="24"/>
          <w:szCs w:val="24"/>
        </w:rPr>
      </w:pPr>
      <w:r w:rsidRPr="009C6B3B">
        <w:rPr>
          <w:sz w:val="24"/>
          <w:szCs w:val="24"/>
        </w:rPr>
        <w:t xml:space="preserve">U području razvijanja povezanosti i odnosa s Hrvatima izvan Hrvatske, provedene su brojne aktivnosti usmjerene na jačanje kulturnih, obrazovnih i gospodarskih veza. Tijekom 2024. sufinanciran je 581 kulturni projekt hrvatskih zajednica izvan domovine, a kroz programe poticanja učenja hrvatskog jezika otvoreno je 7 novih mjesta za učenje u inozemstvu. Internetskim tečajevima </w:t>
      </w:r>
      <w:r>
        <w:rPr>
          <w:sz w:val="24"/>
          <w:szCs w:val="24"/>
        </w:rPr>
        <w:t xml:space="preserve">za učenje </w:t>
      </w:r>
      <w:r w:rsidRPr="009C6B3B">
        <w:rPr>
          <w:sz w:val="24"/>
          <w:szCs w:val="24"/>
        </w:rPr>
        <w:t>hrvatskog jezika pristupilo je više od 27.000 polaznika iz cijelog svijeta. Nastavljena je i institucionalna suradnja kroz održavanje 6 sjednica Odbora za Hrvate izvan R</w:t>
      </w:r>
      <w:r>
        <w:rPr>
          <w:sz w:val="24"/>
          <w:szCs w:val="24"/>
        </w:rPr>
        <w:t>epublike Hrvatske Hrvatskoga sabora</w:t>
      </w:r>
      <w:r w:rsidRPr="009C6B3B">
        <w:rPr>
          <w:sz w:val="24"/>
          <w:szCs w:val="24"/>
        </w:rPr>
        <w:t xml:space="preserve"> i </w:t>
      </w:r>
      <w:r>
        <w:rPr>
          <w:sz w:val="24"/>
          <w:szCs w:val="24"/>
        </w:rPr>
        <w:t>Treće</w:t>
      </w:r>
      <w:r w:rsidRPr="009C6B3B">
        <w:rPr>
          <w:sz w:val="24"/>
          <w:szCs w:val="24"/>
        </w:rPr>
        <w:t xml:space="preserve"> plenarne sjednice Savjeta Vlade </w:t>
      </w:r>
      <w:r w:rsidRPr="00CC3C3F">
        <w:rPr>
          <w:sz w:val="24"/>
          <w:szCs w:val="24"/>
        </w:rPr>
        <w:t xml:space="preserve">Republike Hrvatske </w:t>
      </w:r>
      <w:r w:rsidRPr="009C6B3B">
        <w:rPr>
          <w:sz w:val="24"/>
          <w:szCs w:val="24"/>
        </w:rPr>
        <w:t>za Hrvate izvan Hrvatske, uz uspješnu provedbu 53 programa Hrvatske matice iseljenika.</w:t>
      </w:r>
    </w:p>
    <w:p w14:paraId="1D782185" w14:textId="77777777" w:rsidR="00FB178A" w:rsidRDefault="00FB178A" w:rsidP="00FB178A">
      <w:pPr>
        <w:spacing w:line="276" w:lineRule="auto"/>
        <w:jc w:val="both"/>
      </w:pPr>
      <w:r>
        <w:br w:type="page"/>
      </w:r>
    </w:p>
    <w:p w14:paraId="24AAB952" w14:textId="77777777" w:rsidR="00FB178A" w:rsidRPr="001C2529" w:rsidRDefault="00FB178A" w:rsidP="00FB178A">
      <w:pPr>
        <w:pStyle w:val="Heading2"/>
        <w:spacing w:after="240"/>
        <w:rPr>
          <w:sz w:val="24"/>
          <w:szCs w:val="24"/>
        </w:rPr>
      </w:pPr>
      <w:bookmarkStart w:id="71" w:name="_Toc133420950"/>
      <w:bookmarkStart w:id="72" w:name="_Toc223002935"/>
      <w:r w:rsidRPr="001C2529">
        <w:rPr>
          <w:sz w:val="24"/>
          <w:szCs w:val="24"/>
        </w:rPr>
        <w:lastRenderedPageBreak/>
        <w:t>5. Zdrav, aktivan i kvalitetan život</w:t>
      </w:r>
      <w:bookmarkEnd w:id="71"/>
      <w:bookmarkEnd w:id="72"/>
    </w:p>
    <w:p w14:paraId="449435A3" w14:textId="77777777" w:rsidR="00FB178A" w:rsidRPr="001C2529" w:rsidRDefault="00FB178A" w:rsidP="00FB178A">
      <w:pPr>
        <w:pStyle w:val="Heading3"/>
        <w:rPr>
          <w:szCs w:val="24"/>
        </w:rPr>
      </w:pPr>
      <w:bookmarkStart w:id="73" w:name="_Toc130784366"/>
      <w:bookmarkStart w:id="74" w:name="_Toc133420951"/>
      <w:bookmarkStart w:id="75" w:name="_Toc223002936"/>
      <w:r w:rsidRPr="001C2529">
        <w:rPr>
          <w:szCs w:val="24"/>
        </w:rPr>
        <w:t>5.1. Ostvarene vrijednosti pokazatelja uspješnosti</w:t>
      </w:r>
      <w:bookmarkEnd w:id="73"/>
      <w:bookmarkEnd w:id="74"/>
      <w:bookmarkEnd w:id="75"/>
      <w:r w:rsidRPr="001C2529">
        <w:rPr>
          <w:szCs w:val="24"/>
        </w:rPr>
        <w:t xml:space="preserve"> </w:t>
      </w:r>
    </w:p>
    <w:tbl>
      <w:tblPr>
        <w:tblStyle w:val="TableGrid"/>
        <w:tblW w:w="0" w:type="auto"/>
        <w:jc w:val="center"/>
        <w:tblInd w:w="0" w:type="dxa"/>
        <w:tblBorders>
          <w:top w:val="dotted" w:sz="2" w:space="0" w:color="auto"/>
          <w:left w:val="dotted" w:sz="2" w:space="0" w:color="auto"/>
          <w:bottom w:val="dotted" w:sz="2" w:space="0" w:color="auto"/>
          <w:right w:val="dotted" w:sz="2" w:space="0" w:color="auto"/>
          <w:insideH w:val="dotted" w:sz="2" w:space="0" w:color="auto"/>
        </w:tblBorders>
        <w:shd w:val="clear" w:color="auto" w:fill="FFFFFF" w:themeFill="background1"/>
        <w:tblLook w:val="04A0" w:firstRow="1" w:lastRow="0" w:firstColumn="1" w:lastColumn="0" w:noHBand="0" w:noVBand="1"/>
      </w:tblPr>
      <w:tblGrid>
        <w:gridCol w:w="2263"/>
        <w:gridCol w:w="2410"/>
        <w:gridCol w:w="1843"/>
        <w:gridCol w:w="2550"/>
      </w:tblGrid>
      <w:tr w:rsidR="00FB178A" w:rsidRPr="00145379" w14:paraId="17A02618" w14:textId="77777777" w:rsidTr="009E18ED">
        <w:trPr>
          <w:trHeight w:val="771"/>
          <w:jc w:val="center"/>
        </w:trPr>
        <w:tc>
          <w:tcPr>
            <w:tcW w:w="2263" w:type="dxa"/>
            <w:tcBorders>
              <w:top w:val="dotted" w:sz="4" w:space="0" w:color="auto"/>
              <w:left w:val="dotted" w:sz="4" w:space="0" w:color="auto"/>
              <w:bottom w:val="dotted" w:sz="4" w:space="0" w:color="auto"/>
              <w:right w:val="dotted" w:sz="4" w:space="0" w:color="auto"/>
            </w:tcBorders>
            <w:shd w:val="clear" w:color="auto" w:fill="B6DDE8" w:themeFill="accent5" w:themeFillTint="66"/>
            <w:vAlign w:val="center"/>
          </w:tcPr>
          <w:p w14:paraId="04DA868F" w14:textId="77777777" w:rsidR="00FB178A" w:rsidRPr="00145379" w:rsidRDefault="00FB178A" w:rsidP="009E18ED">
            <w:pPr>
              <w:pStyle w:val="BodyText"/>
              <w:spacing w:line="276" w:lineRule="auto"/>
              <w:jc w:val="center"/>
              <w:rPr>
                <w:b/>
                <w:bCs/>
                <w:color w:val="000000" w:themeColor="text1"/>
              </w:rPr>
            </w:pPr>
            <w:r w:rsidRPr="00145379">
              <w:rPr>
                <w:b/>
                <w:bCs/>
                <w:color w:val="000000" w:themeColor="text1"/>
              </w:rPr>
              <w:t>Pokazatelj uspješnosti</w:t>
            </w:r>
          </w:p>
        </w:tc>
        <w:tc>
          <w:tcPr>
            <w:tcW w:w="2410" w:type="dxa"/>
            <w:tcBorders>
              <w:top w:val="dotted" w:sz="4" w:space="0" w:color="auto"/>
              <w:left w:val="dotted" w:sz="4" w:space="0" w:color="auto"/>
              <w:bottom w:val="dotted" w:sz="4" w:space="0" w:color="auto"/>
              <w:right w:val="dotted" w:sz="4" w:space="0" w:color="auto"/>
            </w:tcBorders>
            <w:shd w:val="clear" w:color="auto" w:fill="B6DDE8" w:themeFill="accent5" w:themeFillTint="66"/>
            <w:vAlign w:val="center"/>
          </w:tcPr>
          <w:p w14:paraId="4E68D558" w14:textId="77777777" w:rsidR="00FB178A" w:rsidRPr="00145379" w:rsidRDefault="00FB178A" w:rsidP="009E18ED">
            <w:pPr>
              <w:pStyle w:val="BodyText"/>
              <w:spacing w:line="276" w:lineRule="auto"/>
              <w:jc w:val="center"/>
              <w:rPr>
                <w:b/>
                <w:bCs/>
                <w:color w:val="000000" w:themeColor="text1"/>
              </w:rPr>
            </w:pPr>
            <w:r w:rsidRPr="00145379">
              <w:rPr>
                <w:b/>
                <w:bCs/>
                <w:color w:val="000000" w:themeColor="text1"/>
              </w:rPr>
              <w:t xml:space="preserve">Početna </w:t>
            </w:r>
          </w:p>
          <w:p w14:paraId="26CD700E" w14:textId="77777777" w:rsidR="00FB178A" w:rsidRPr="00145379" w:rsidRDefault="00FB178A" w:rsidP="009E18ED">
            <w:pPr>
              <w:pStyle w:val="BodyText"/>
              <w:spacing w:line="276" w:lineRule="auto"/>
              <w:jc w:val="center"/>
              <w:rPr>
                <w:b/>
                <w:bCs/>
                <w:color w:val="000000" w:themeColor="text1"/>
              </w:rPr>
            </w:pPr>
            <w:r w:rsidRPr="00145379">
              <w:rPr>
                <w:b/>
                <w:bCs/>
                <w:color w:val="000000" w:themeColor="text1"/>
              </w:rPr>
              <w:t>vrijednost</w:t>
            </w:r>
          </w:p>
        </w:tc>
        <w:tc>
          <w:tcPr>
            <w:tcW w:w="1843" w:type="dxa"/>
            <w:tcBorders>
              <w:top w:val="dotted" w:sz="4" w:space="0" w:color="auto"/>
              <w:left w:val="dotted" w:sz="4" w:space="0" w:color="auto"/>
              <w:bottom w:val="dotted" w:sz="4" w:space="0" w:color="auto"/>
              <w:right w:val="dotted" w:sz="4" w:space="0" w:color="auto"/>
            </w:tcBorders>
            <w:shd w:val="clear" w:color="auto" w:fill="B6DDE8" w:themeFill="accent5" w:themeFillTint="66"/>
            <w:vAlign w:val="center"/>
          </w:tcPr>
          <w:p w14:paraId="32508FD2" w14:textId="77777777" w:rsidR="00FB178A" w:rsidRPr="00145379" w:rsidRDefault="00FB178A" w:rsidP="009E18ED">
            <w:pPr>
              <w:pStyle w:val="BodyText"/>
              <w:spacing w:line="276" w:lineRule="auto"/>
              <w:jc w:val="center"/>
              <w:rPr>
                <w:b/>
                <w:bCs/>
                <w:color w:val="000000" w:themeColor="text1"/>
              </w:rPr>
            </w:pPr>
            <w:r w:rsidRPr="00145379">
              <w:rPr>
                <w:b/>
                <w:bCs/>
                <w:color w:val="000000" w:themeColor="text1"/>
              </w:rPr>
              <w:t xml:space="preserve">Ciljna </w:t>
            </w:r>
          </w:p>
          <w:p w14:paraId="57AA30BF" w14:textId="77777777" w:rsidR="00FB178A" w:rsidRPr="00145379" w:rsidRDefault="00FB178A" w:rsidP="009E18ED">
            <w:pPr>
              <w:pStyle w:val="BodyText"/>
              <w:spacing w:line="276" w:lineRule="auto"/>
              <w:jc w:val="center"/>
              <w:rPr>
                <w:b/>
                <w:bCs/>
                <w:color w:val="000000" w:themeColor="text1"/>
              </w:rPr>
            </w:pPr>
            <w:r w:rsidRPr="00145379">
              <w:rPr>
                <w:b/>
                <w:bCs/>
                <w:color w:val="000000" w:themeColor="text1"/>
              </w:rPr>
              <w:t>vrijednost</w:t>
            </w:r>
          </w:p>
        </w:tc>
        <w:tc>
          <w:tcPr>
            <w:tcW w:w="2550" w:type="dxa"/>
            <w:tcBorders>
              <w:top w:val="dotted" w:sz="4" w:space="0" w:color="auto"/>
              <w:left w:val="dotted" w:sz="4" w:space="0" w:color="auto"/>
              <w:bottom w:val="dotted" w:sz="4" w:space="0" w:color="auto"/>
              <w:right w:val="dotted" w:sz="4" w:space="0" w:color="auto"/>
            </w:tcBorders>
            <w:shd w:val="clear" w:color="auto" w:fill="B6DDE8" w:themeFill="accent5" w:themeFillTint="66"/>
            <w:vAlign w:val="center"/>
          </w:tcPr>
          <w:p w14:paraId="371CF7D6" w14:textId="77777777" w:rsidR="00FB178A" w:rsidRPr="00145379" w:rsidRDefault="00FB178A" w:rsidP="009E18ED">
            <w:pPr>
              <w:pStyle w:val="BodyText"/>
              <w:spacing w:line="276" w:lineRule="auto"/>
              <w:jc w:val="center"/>
              <w:rPr>
                <w:b/>
                <w:bCs/>
                <w:color w:val="000000" w:themeColor="text1"/>
              </w:rPr>
            </w:pPr>
            <w:r w:rsidRPr="00145379">
              <w:rPr>
                <w:b/>
                <w:bCs/>
                <w:color w:val="000000" w:themeColor="text1"/>
              </w:rPr>
              <w:t xml:space="preserve">Ostvarena </w:t>
            </w:r>
          </w:p>
          <w:p w14:paraId="6D5CAE85" w14:textId="77777777" w:rsidR="00FB178A" w:rsidRPr="00145379" w:rsidRDefault="00FB178A" w:rsidP="009E18ED">
            <w:pPr>
              <w:pStyle w:val="BodyText"/>
              <w:spacing w:line="276" w:lineRule="auto"/>
              <w:jc w:val="center"/>
              <w:rPr>
                <w:b/>
                <w:bCs/>
                <w:color w:val="000000" w:themeColor="text1"/>
              </w:rPr>
            </w:pPr>
            <w:r w:rsidRPr="00145379">
              <w:rPr>
                <w:b/>
                <w:bCs/>
                <w:color w:val="000000" w:themeColor="text1"/>
              </w:rPr>
              <w:t>vrijednost</w:t>
            </w:r>
          </w:p>
        </w:tc>
      </w:tr>
      <w:tr w:rsidR="00FB178A" w:rsidRPr="00145379" w14:paraId="613094D6" w14:textId="77777777" w:rsidTr="009E18ED">
        <w:trPr>
          <w:trHeight w:val="1366"/>
          <w:jc w:val="center"/>
        </w:trPr>
        <w:tc>
          <w:tcPr>
            <w:tcW w:w="2263" w:type="dxa"/>
            <w:tcBorders>
              <w:top w:val="dotted" w:sz="4" w:space="0" w:color="auto"/>
            </w:tcBorders>
            <w:shd w:val="clear" w:color="auto" w:fill="FFFFFF" w:themeFill="background1"/>
            <w:vAlign w:val="center"/>
          </w:tcPr>
          <w:p w14:paraId="75E23145" w14:textId="77777777" w:rsidR="00FB178A" w:rsidRPr="00145379" w:rsidRDefault="00FB178A" w:rsidP="009E18ED">
            <w:pPr>
              <w:pStyle w:val="BodyText"/>
              <w:spacing w:line="276" w:lineRule="auto"/>
              <w:rPr>
                <w:color w:val="000000" w:themeColor="text1"/>
              </w:rPr>
            </w:pPr>
            <w:r w:rsidRPr="00145379">
              <w:rPr>
                <w:color w:val="000000" w:themeColor="text1"/>
              </w:rPr>
              <w:t>Očekivani broj godina zdravog života</w:t>
            </w:r>
          </w:p>
        </w:tc>
        <w:tc>
          <w:tcPr>
            <w:tcW w:w="2410" w:type="dxa"/>
            <w:tcBorders>
              <w:top w:val="dotted" w:sz="4" w:space="0" w:color="auto"/>
            </w:tcBorders>
            <w:shd w:val="clear" w:color="auto" w:fill="DAEEF3" w:themeFill="accent5" w:themeFillTint="33"/>
            <w:vAlign w:val="center"/>
          </w:tcPr>
          <w:p w14:paraId="01891A02" w14:textId="77777777" w:rsidR="00FB178A" w:rsidRPr="00145379" w:rsidRDefault="00FB178A" w:rsidP="009E18ED">
            <w:pPr>
              <w:pStyle w:val="BodyText"/>
              <w:spacing w:line="276" w:lineRule="auto"/>
              <w:ind w:left="-110" w:right="-114"/>
              <w:jc w:val="center"/>
              <w:rPr>
                <w:color w:val="000000" w:themeColor="text1"/>
              </w:rPr>
            </w:pPr>
            <w:r w:rsidRPr="00145379">
              <w:rPr>
                <w:color w:val="000000" w:themeColor="text1"/>
              </w:rPr>
              <w:t>58,5 godina (žene)</w:t>
            </w:r>
          </w:p>
          <w:p w14:paraId="03B76E9C" w14:textId="77777777" w:rsidR="00FB178A" w:rsidRPr="00145379" w:rsidRDefault="00FB178A" w:rsidP="009E18ED">
            <w:pPr>
              <w:pStyle w:val="BodyText"/>
              <w:spacing w:line="276" w:lineRule="auto"/>
              <w:ind w:left="-110" w:right="-114"/>
              <w:jc w:val="center"/>
              <w:rPr>
                <w:color w:val="000000" w:themeColor="text1"/>
              </w:rPr>
            </w:pPr>
            <w:r w:rsidRPr="00145379">
              <w:rPr>
                <w:color w:val="000000" w:themeColor="text1"/>
              </w:rPr>
              <w:t>56,5 godina (muškarci)</w:t>
            </w:r>
          </w:p>
          <w:p w14:paraId="2F1B0CC6" w14:textId="77777777" w:rsidR="00FB178A" w:rsidRPr="00145379" w:rsidRDefault="00FB178A" w:rsidP="009E18ED">
            <w:pPr>
              <w:pStyle w:val="BodyText"/>
              <w:spacing w:line="276" w:lineRule="auto"/>
              <w:ind w:left="-110" w:right="-114"/>
              <w:jc w:val="center"/>
              <w:rPr>
                <w:color w:val="000000" w:themeColor="text1"/>
              </w:rPr>
            </w:pPr>
            <w:r w:rsidRPr="00145379">
              <w:rPr>
                <w:color w:val="000000" w:themeColor="text1"/>
              </w:rPr>
              <w:t>(2018.)</w:t>
            </w:r>
          </w:p>
        </w:tc>
        <w:tc>
          <w:tcPr>
            <w:tcW w:w="1843" w:type="dxa"/>
            <w:tcBorders>
              <w:top w:val="dotted" w:sz="4" w:space="0" w:color="auto"/>
            </w:tcBorders>
            <w:shd w:val="clear" w:color="auto" w:fill="FFFFFF" w:themeFill="background1"/>
            <w:vAlign w:val="center"/>
          </w:tcPr>
          <w:p w14:paraId="3BC5CC73" w14:textId="77777777" w:rsidR="00FB178A" w:rsidRPr="00145379" w:rsidRDefault="00FB178A" w:rsidP="009E18ED">
            <w:pPr>
              <w:pStyle w:val="BodyText"/>
              <w:spacing w:line="276" w:lineRule="auto"/>
              <w:jc w:val="center"/>
              <w:rPr>
                <w:color w:val="000000" w:themeColor="text1"/>
              </w:rPr>
            </w:pPr>
            <w:r w:rsidRPr="00145379">
              <w:rPr>
                <w:color w:val="000000" w:themeColor="text1"/>
              </w:rPr>
              <w:t>&gt; 64 godine žene</w:t>
            </w:r>
          </w:p>
          <w:p w14:paraId="2E411B07" w14:textId="77777777" w:rsidR="00FB178A" w:rsidRPr="00145379" w:rsidRDefault="00FB178A" w:rsidP="009E18ED">
            <w:pPr>
              <w:pStyle w:val="BodyText"/>
              <w:spacing w:line="276" w:lineRule="auto"/>
              <w:jc w:val="center"/>
              <w:rPr>
                <w:color w:val="000000" w:themeColor="text1"/>
              </w:rPr>
            </w:pPr>
            <w:r w:rsidRPr="00145379">
              <w:rPr>
                <w:color w:val="000000" w:themeColor="text1"/>
              </w:rPr>
              <w:t>&gt; 64 godine muškarci</w:t>
            </w:r>
          </w:p>
        </w:tc>
        <w:tc>
          <w:tcPr>
            <w:tcW w:w="2550" w:type="dxa"/>
            <w:tcBorders>
              <w:top w:val="dotted" w:sz="4" w:space="0" w:color="auto"/>
            </w:tcBorders>
            <w:shd w:val="clear" w:color="auto" w:fill="DAEEF3" w:themeFill="accent5" w:themeFillTint="33"/>
            <w:vAlign w:val="center"/>
          </w:tcPr>
          <w:p w14:paraId="12B6A307" w14:textId="77777777" w:rsidR="00FB178A" w:rsidRDefault="00FB178A" w:rsidP="009E18ED">
            <w:pPr>
              <w:pStyle w:val="BodyText"/>
              <w:spacing w:line="276" w:lineRule="auto"/>
              <w:jc w:val="center"/>
              <w:rPr>
                <w:color w:val="000000" w:themeColor="text1"/>
              </w:rPr>
            </w:pPr>
            <w:r>
              <w:rPr>
                <w:color w:val="000000" w:themeColor="text1"/>
              </w:rPr>
              <w:t>62,4 godine (žene)</w:t>
            </w:r>
          </w:p>
          <w:p w14:paraId="039901F6" w14:textId="77777777" w:rsidR="00FB178A" w:rsidRDefault="00FB178A" w:rsidP="009E18ED">
            <w:pPr>
              <w:pStyle w:val="BodyText"/>
              <w:spacing w:line="276" w:lineRule="auto"/>
              <w:jc w:val="center"/>
              <w:rPr>
                <w:color w:val="000000" w:themeColor="text1"/>
              </w:rPr>
            </w:pPr>
            <w:r>
              <w:rPr>
                <w:color w:val="000000" w:themeColor="text1"/>
              </w:rPr>
              <w:t>60,4 godina (muškarci)</w:t>
            </w:r>
          </w:p>
          <w:p w14:paraId="1FECF99C" w14:textId="77777777" w:rsidR="00FB178A" w:rsidRPr="00145379" w:rsidRDefault="00FB178A" w:rsidP="009E18ED">
            <w:pPr>
              <w:pStyle w:val="BodyText"/>
              <w:spacing w:line="276" w:lineRule="auto"/>
              <w:jc w:val="center"/>
              <w:rPr>
                <w:color w:val="000000" w:themeColor="text1"/>
              </w:rPr>
            </w:pPr>
            <w:r>
              <w:rPr>
                <w:color w:val="000000" w:themeColor="text1"/>
              </w:rPr>
              <w:t>(2023.)</w:t>
            </w:r>
          </w:p>
        </w:tc>
      </w:tr>
      <w:tr w:rsidR="00FB178A" w:rsidRPr="00145379" w14:paraId="226544ED" w14:textId="77777777" w:rsidTr="009E18ED">
        <w:trPr>
          <w:jc w:val="center"/>
        </w:trPr>
        <w:tc>
          <w:tcPr>
            <w:tcW w:w="2263" w:type="dxa"/>
            <w:shd w:val="clear" w:color="auto" w:fill="FFFFFF" w:themeFill="background1"/>
            <w:vAlign w:val="center"/>
          </w:tcPr>
          <w:p w14:paraId="1FCAB44E" w14:textId="77777777" w:rsidR="00FB178A" w:rsidRPr="00145379" w:rsidRDefault="00FB178A" w:rsidP="009E18ED">
            <w:pPr>
              <w:pStyle w:val="BodyText"/>
              <w:spacing w:line="276" w:lineRule="auto"/>
              <w:rPr>
                <w:color w:val="000000" w:themeColor="text1"/>
              </w:rPr>
            </w:pPr>
            <w:r w:rsidRPr="00145379">
              <w:rPr>
                <w:color w:val="000000" w:themeColor="text1"/>
              </w:rPr>
              <w:t>Osobe u riziku od siromaštva i socijalne isključenosti</w:t>
            </w:r>
          </w:p>
        </w:tc>
        <w:tc>
          <w:tcPr>
            <w:tcW w:w="2410" w:type="dxa"/>
            <w:shd w:val="clear" w:color="auto" w:fill="DAEEF3" w:themeFill="accent5" w:themeFillTint="33"/>
            <w:vAlign w:val="center"/>
          </w:tcPr>
          <w:p w14:paraId="3E73D0A7" w14:textId="77777777" w:rsidR="00FB178A" w:rsidRPr="00145379" w:rsidRDefault="00FB178A" w:rsidP="009E18ED">
            <w:pPr>
              <w:pStyle w:val="BodyText"/>
              <w:spacing w:line="276" w:lineRule="auto"/>
              <w:jc w:val="center"/>
              <w:rPr>
                <w:color w:val="000000" w:themeColor="text1"/>
              </w:rPr>
            </w:pPr>
            <w:r w:rsidRPr="00145379">
              <w:rPr>
                <w:color w:val="000000" w:themeColor="text1"/>
              </w:rPr>
              <w:t>23,3% (2019.)</w:t>
            </w:r>
          </w:p>
        </w:tc>
        <w:tc>
          <w:tcPr>
            <w:tcW w:w="1843" w:type="dxa"/>
            <w:shd w:val="clear" w:color="auto" w:fill="FFFFFF" w:themeFill="background1"/>
            <w:vAlign w:val="center"/>
          </w:tcPr>
          <w:p w14:paraId="7C1878F8" w14:textId="77777777" w:rsidR="00FB178A" w:rsidRPr="00145379" w:rsidRDefault="00FB178A" w:rsidP="009E18ED">
            <w:pPr>
              <w:pStyle w:val="BodyText"/>
              <w:spacing w:line="276" w:lineRule="auto"/>
              <w:jc w:val="center"/>
              <w:rPr>
                <w:color w:val="000000" w:themeColor="text1"/>
              </w:rPr>
            </w:pPr>
            <w:r w:rsidRPr="00145379">
              <w:rPr>
                <w:color w:val="000000" w:themeColor="text1"/>
              </w:rPr>
              <w:t>&lt; 15%</w:t>
            </w:r>
          </w:p>
        </w:tc>
        <w:tc>
          <w:tcPr>
            <w:tcW w:w="2550" w:type="dxa"/>
            <w:shd w:val="clear" w:color="auto" w:fill="DAEEF3" w:themeFill="accent5" w:themeFillTint="33"/>
            <w:vAlign w:val="center"/>
          </w:tcPr>
          <w:p w14:paraId="51E5CE49" w14:textId="77777777" w:rsidR="00FB178A" w:rsidRDefault="00FB178A" w:rsidP="009E18ED">
            <w:pPr>
              <w:pStyle w:val="BodyText"/>
              <w:spacing w:line="276" w:lineRule="auto"/>
              <w:jc w:val="center"/>
              <w:rPr>
                <w:color w:val="000000" w:themeColor="text1"/>
              </w:rPr>
            </w:pPr>
            <w:r>
              <w:rPr>
                <w:color w:val="000000" w:themeColor="text1"/>
              </w:rPr>
              <w:t xml:space="preserve">21,7% </w:t>
            </w:r>
          </w:p>
          <w:p w14:paraId="78279AA9" w14:textId="77777777" w:rsidR="00FB178A" w:rsidRPr="00145379" w:rsidRDefault="00FB178A" w:rsidP="009E18ED">
            <w:pPr>
              <w:pStyle w:val="BodyText"/>
              <w:spacing w:line="276" w:lineRule="auto"/>
              <w:jc w:val="center"/>
              <w:rPr>
                <w:color w:val="000000" w:themeColor="text1"/>
              </w:rPr>
            </w:pPr>
            <w:r>
              <w:rPr>
                <w:color w:val="000000" w:themeColor="text1"/>
              </w:rPr>
              <w:t>(2024.)</w:t>
            </w:r>
          </w:p>
        </w:tc>
      </w:tr>
    </w:tbl>
    <w:p w14:paraId="2211F192" w14:textId="77777777" w:rsidR="00FB178A" w:rsidRPr="00145379" w:rsidRDefault="00FB178A" w:rsidP="00FB178A">
      <w:pPr>
        <w:spacing w:line="276" w:lineRule="auto"/>
        <w:rPr>
          <w:sz w:val="24"/>
          <w:szCs w:val="24"/>
        </w:rPr>
      </w:pPr>
    </w:p>
    <w:p w14:paraId="256D2DBB" w14:textId="77777777" w:rsidR="00FB178A" w:rsidRPr="00145379" w:rsidRDefault="00FB178A" w:rsidP="00FB178A">
      <w:pPr>
        <w:pStyle w:val="Heading3"/>
      </w:pPr>
      <w:bookmarkStart w:id="76" w:name="_Toc223002937"/>
      <w:r w:rsidRPr="7B8BC2C2">
        <w:t>5.2. Opis napretka u provedbi strateškog cilja Zdrav, aktivan i kvalitetan život</w:t>
      </w:r>
      <w:bookmarkEnd w:id="76"/>
    </w:p>
    <w:p w14:paraId="6880218B" w14:textId="77777777" w:rsidR="00FB178A" w:rsidRDefault="00FB178A" w:rsidP="00FB178A">
      <w:pPr>
        <w:widowControl/>
        <w:autoSpaceDE/>
        <w:autoSpaceDN/>
        <w:spacing w:before="240" w:line="276" w:lineRule="auto"/>
        <w:ind w:firstLine="709"/>
        <w:jc w:val="both"/>
        <w:rPr>
          <w:rFonts w:eastAsia="Calibri"/>
          <w:b/>
          <w:bCs/>
          <w:kern w:val="2"/>
          <w:sz w:val="24"/>
          <w:szCs w:val="24"/>
        </w:rPr>
      </w:pPr>
      <w:r w:rsidRPr="00145379">
        <w:rPr>
          <w:rFonts w:eastAsia="Calibri"/>
          <w:b/>
          <w:bCs/>
          <w:kern w:val="2"/>
          <w:sz w:val="24"/>
          <w:szCs w:val="24"/>
        </w:rPr>
        <w:t>Kvalitetna i dostupna zdravstvena zaštita i zdravstvena skrb</w:t>
      </w:r>
    </w:p>
    <w:p w14:paraId="1693BDB2" w14:textId="77777777" w:rsidR="00FB178A" w:rsidRDefault="00FB178A" w:rsidP="00FB178A">
      <w:pPr>
        <w:widowControl/>
        <w:autoSpaceDE/>
        <w:autoSpaceDN/>
        <w:spacing w:before="240" w:line="276" w:lineRule="auto"/>
        <w:ind w:firstLine="709"/>
        <w:jc w:val="both"/>
        <w:rPr>
          <w:rFonts w:eastAsia="Calibri"/>
          <w:sz w:val="24"/>
          <w:szCs w:val="24"/>
        </w:rPr>
      </w:pPr>
      <w:r w:rsidRPr="00312CA9">
        <w:rPr>
          <w:rFonts w:eastAsia="Calibri"/>
          <w:sz w:val="24"/>
          <w:szCs w:val="24"/>
        </w:rPr>
        <w:t xml:space="preserve">U </w:t>
      </w:r>
      <w:r>
        <w:rPr>
          <w:rFonts w:eastAsia="Calibri"/>
          <w:sz w:val="24"/>
          <w:szCs w:val="24"/>
        </w:rPr>
        <w:t xml:space="preserve">Hrvatskoj je u </w:t>
      </w:r>
      <w:r w:rsidRPr="00312CA9">
        <w:rPr>
          <w:rFonts w:eastAsia="Calibri"/>
          <w:sz w:val="24"/>
          <w:szCs w:val="24"/>
        </w:rPr>
        <w:t xml:space="preserve">2024. zabilježen daljnji napredak u osiguravanju kvalitetne i dostupne zdravstvene zaštite i skrbi, uz vidljivo jačanje institucionalnih kapaciteta, povećanje broja zdravstvenih radnika te širenje obuhvata preventivnih i dijagnostičkih programa, osobito na razini primarne zdravstvene zaštite. Istodobno je nastavljen razvoj digitalnih javnih usluga u zdravstvu, uključujući nove funkcionalnosti u sustavu e-Građani, čime je </w:t>
      </w:r>
      <w:r>
        <w:rPr>
          <w:rFonts w:eastAsia="Calibri"/>
          <w:sz w:val="24"/>
          <w:szCs w:val="24"/>
        </w:rPr>
        <w:t xml:space="preserve">građanima </w:t>
      </w:r>
      <w:r w:rsidRPr="00312CA9">
        <w:rPr>
          <w:rFonts w:eastAsia="Calibri"/>
          <w:sz w:val="24"/>
          <w:szCs w:val="24"/>
        </w:rPr>
        <w:t xml:space="preserve">dodatno pojednostavljen pristup zdravstvenim informacijama i administrativnim postupcima. Prema posljednjim dostupnim podacima </w:t>
      </w:r>
      <w:r>
        <w:rPr>
          <w:rFonts w:eastAsia="Calibri"/>
          <w:sz w:val="24"/>
          <w:szCs w:val="24"/>
        </w:rPr>
        <w:t>(</w:t>
      </w:r>
      <w:r w:rsidRPr="00312CA9">
        <w:rPr>
          <w:rFonts w:eastAsia="Calibri"/>
          <w:sz w:val="24"/>
          <w:szCs w:val="24"/>
        </w:rPr>
        <w:t>2023.</w:t>
      </w:r>
      <w:r>
        <w:rPr>
          <w:rFonts w:eastAsia="Calibri"/>
          <w:sz w:val="24"/>
          <w:szCs w:val="24"/>
        </w:rPr>
        <w:t>)</w:t>
      </w:r>
      <w:r w:rsidRPr="00312CA9">
        <w:rPr>
          <w:rFonts w:eastAsia="Calibri"/>
          <w:sz w:val="24"/>
          <w:szCs w:val="24"/>
        </w:rPr>
        <w:t xml:space="preserve">, očekivani broj godina zdravog života pri rođenju u Hrvatskoj iznosio je 61,4 (60,4 za muškarce i 62,4 za žene), što predstavlja porast u odnosu na </w:t>
      </w:r>
      <w:r>
        <w:rPr>
          <w:rFonts w:eastAsia="Calibri"/>
          <w:sz w:val="24"/>
          <w:szCs w:val="24"/>
        </w:rPr>
        <w:t>2023.</w:t>
      </w:r>
      <w:r w:rsidRPr="00312CA9">
        <w:rPr>
          <w:rFonts w:eastAsia="Calibri"/>
          <w:sz w:val="24"/>
          <w:szCs w:val="24"/>
        </w:rPr>
        <w:t xml:space="preserve"> (59 za muškarce i 61,5 za žene)</w:t>
      </w:r>
      <w:r>
        <w:rPr>
          <w:rFonts w:eastAsia="Calibri"/>
          <w:sz w:val="24"/>
          <w:szCs w:val="24"/>
        </w:rPr>
        <w:t xml:space="preserve"> i nastavak smanjenja razlike u odnosu na</w:t>
      </w:r>
      <w:r w:rsidRPr="00312CA9">
        <w:rPr>
          <w:rFonts w:eastAsia="Calibri"/>
          <w:sz w:val="24"/>
          <w:szCs w:val="24"/>
        </w:rPr>
        <w:t xml:space="preserve"> prosječne vrijednosti E</w:t>
      </w:r>
      <w:r>
        <w:rPr>
          <w:rFonts w:eastAsia="Calibri"/>
          <w:sz w:val="24"/>
          <w:szCs w:val="24"/>
        </w:rPr>
        <w:t>U-a</w:t>
      </w:r>
      <w:r w:rsidRPr="00312CA9">
        <w:rPr>
          <w:rFonts w:eastAsia="Calibri"/>
          <w:sz w:val="24"/>
          <w:szCs w:val="24"/>
        </w:rPr>
        <w:t xml:space="preserve"> (62,8</w:t>
      </w:r>
      <w:r>
        <w:rPr>
          <w:rFonts w:eastAsia="Calibri"/>
          <w:sz w:val="24"/>
          <w:szCs w:val="24"/>
        </w:rPr>
        <w:t xml:space="preserve"> godina</w:t>
      </w:r>
      <w:r w:rsidRPr="00312CA9">
        <w:rPr>
          <w:rFonts w:eastAsia="Calibri"/>
          <w:sz w:val="24"/>
          <w:szCs w:val="24"/>
        </w:rPr>
        <w:t xml:space="preserve"> za muškarce i 63,3</w:t>
      </w:r>
      <w:r>
        <w:rPr>
          <w:rFonts w:eastAsia="Calibri"/>
          <w:sz w:val="24"/>
          <w:szCs w:val="24"/>
        </w:rPr>
        <w:t xml:space="preserve"> godine</w:t>
      </w:r>
      <w:r w:rsidRPr="00312CA9">
        <w:rPr>
          <w:rFonts w:eastAsia="Calibri"/>
          <w:sz w:val="24"/>
          <w:szCs w:val="24"/>
        </w:rPr>
        <w:t xml:space="preserve"> za žene). Ovakav trend upućuje na postupno produljenje razdoblja kvalitetnog i funkcionalnog života stanovništv</w:t>
      </w:r>
      <w:r>
        <w:rPr>
          <w:rFonts w:eastAsia="Calibri"/>
          <w:sz w:val="24"/>
          <w:szCs w:val="24"/>
        </w:rPr>
        <w:t>a, ali</w:t>
      </w:r>
      <w:r w:rsidRPr="00312CA9">
        <w:rPr>
          <w:rFonts w:eastAsia="Calibri"/>
          <w:sz w:val="24"/>
          <w:szCs w:val="24"/>
        </w:rPr>
        <w:t xml:space="preserve"> i na potrebu dodatnog jačanja mjera prevencije kroničnih nezaraznih bolesti, promicanja zdravih životnih navika te smanjenja zdravstvenih nejednakosti, osobito među starijom populacijom i ranjivim skupinama.</w:t>
      </w:r>
    </w:p>
    <w:p w14:paraId="3CE1143B" w14:textId="77777777" w:rsidR="00FB178A" w:rsidRDefault="00FB178A" w:rsidP="00FB178A">
      <w:pPr>
        <w:widowControl/>
        <w:autoSpaceDE/>
        <w:autoSpaceDN/>
        <w:spacing w:before="240" w:line="276" w:lineRule="auto"/>
        <w:jc w:val="both"/>
        <w:rPr>
          <w:color w:val="000000"/>
          <w:kern w:val="2"/>
          <w:sz w:val="24"/>
          <w:szCs w:val="24"/>
          <w:lang w:eastAsia="hr-HR"/>
          <w14:ligatures w14:val="standardContextual"/>
        </w:rPr>
      </w:pPr>
      <w:r>
        <w:rPr>
          <w:color w:val="000000"/>
          <w:kern w:val="2"/>
          <w:sz w:val="24"/>
          <w:szCs w:val="24"/>
          <w:lang w:eastAsia="hr-HR"/>
          <w14:ligatures w14:val="standardContextual"/>
        </w:rPr>
        <w:t xml:space="preserve">Prema </w:t>
      </w:r>
      <w:r w:rsidRPr="004F566B">
        <w:rPr>
          <w:color w:val="000000"/>
          <w:kern w:val="2"/>
          <w:sz w:val="24"/>
          <w:szCs w:val="24"/>
          <w:lang w:eastAsia="hr-HR"/>
          <w14:ligatures w14:val="standardContextual"/>
        </w:rPr>
        <w:t>OECD-</w:t>
      </w:r>
      <w:r>
        <w:rPr>
          <w:color w:val="000000"/>
          <w:kern w:val="2"/>
          <w:sz w:val="24"/>
          <w:szCs w:val="24"/>
          <w:lang w:eastAsia="hr-HR"/>
          <w14:ligatures w14:val="standardContextual"/>
        </w:rPr>
        <w:t>ovom</w:t>
      </w:r>
      <w:r w:rsidRPr="004F566B">
        <w:rPr>
          <w:color w:val="000000"/>
          <w:kern w:val="2"/>
          <w:sz w:val="24"/>
          <w:szCs w:val="24"/>
          <w:lang w:eastAsia="hr-HR"/>
          <w14:ligatures w14:val="standardContextual"/>
        </w:rPr>
        <w:t xml:space="preserve"> izvješć</w:t>
      </w:r>
      <w:r>
        <w:rPr>
          <w:color w:val="000000"/>
          <w:kern w:val="2"/>
          <w:sz w:val="24"/>
          <w:szCs w:val="24"/>
          <w:lang w:eastAsia="hr-HR"/>
          <w14:ligatures w14:val="standardContextual"/>
        </w:rPr>
        <w:t>u</w:t>
      </w:r>
      <w:r w:rsidRPr="004F566B">
        <w:rPr>
          <w:color w:val="000000"/>
          <w:kern w:val="2"/>
          <w:sz w:val="24"/>
          <w:szCs w:val="24"/>
          <w:lang w:eastAsia="hr-HR"/>
          <w14:ligatures w14:val="standardContextual"/>
        </w:rPr>
        <w:t xml:space="preserve"> </w:t>
      </w:r>
      <w:r w:rsidRPr="0004221B">
        <w:rPr>
          <w:i/>
          <w:iCs/>
          <w:color w:val="000000"/>
          <w:kern w:val="2"/>
          <w:sz w:val="24"/>
          <w:szCs w:val="24"/>
          <w:lang w:eastAsia="hr-HR"/>
          <w14:ligatures w14:val="standardContextual"/>
        </w:rPr>
        <w:t>Health at a Glance 2025</w:t>
      </w:r>
      <w:r>
        <w:rPr>
          <w:color w:val="000000"/>
          <w:kern w:val="2"/>
          <w:sz w:val="24"/>
          <w:szCs w:val="24"/>
          <w:lang w:eastAsia="hr-HR"/>
          <w14:ligatures w14:val="standardContextual"/>
        </w:rPr>
        <w:t xml:space="preserve">, s podacima za 2024. </w:t>
      </w:r>
      <w:r w:rsidRPr="004F566B">
        <w:rPr>
          <w:color w:val="000000"/>
          <w:kern w:val="2"/>
          <w:sz w:val="24"/>
          <w:szCs w:val="24"/>
          <w:lang w:eastAsia="hr-HR"/>
          <w14:ligatures w14:val="standardContextual"/>
        </w:rPr>
        <w:t>Hrvatska</w:t>
      </w:r>
      <w:r>
        <w:rPr>
          <w:color w:val="000000"/>
          <w:kern w:val="2"/>
          <w:sz w:val="24"/>
          <w:szCs w:val="24"/>
          <w:lang w:eastAsia="hr-HR"/>
          <w14:ligatures w14:val="standardContextual"/>
        </w:rPr>
        <w:t xml:space="preserve"> </w:t>
      </w:r>
      <w:r w:rsidRPr="004F566B">
        <w:rPr>
          <w:color w:val="000000"/>
          <w:kern w:val="2"/>
          <w:sz w:val="24"/>
          <w:szCs w:val="24"/>
          <w:lang w:eastAsia="hr-HR"/>
          <w14:ligatures w14:val="standardContextual"/>
        </w:rPr>
        <w:t xml:space="preserve">u području kvalitete i dostupnosti zdravstvene zaštite ostvaruje djelomičan napredak, </w:t>
      </w:r>
      <w:r>
        <w:rPr>
          <w:color w:val="000000"/>
          <w:kern w:val="2"/>
          <w:sz w:val="24"/>
          <w:szCs w:val="24"/>
          <w:lang w:eastAsia="hr-HR"/>
          <w14:ligatures w14:val="standardContextual"/>
        </w:rPr>
        <w:t>no</w:t>
      </w:r>
      <w:r w:rsidRPr="004F566B">
        <w:rPr>
          <w:color w:val="000000"/>
          <w:kern w:val="2"/>
          <w:sz w:val="24"/>
          <w:szCs w:val="24"/>
          <w:lang w:eastAsia="hr-HR"/>
          <w14:ligatures w14:val="standardContextual"/>
        </w:rPr>
        <w:t xml:space="preserve"> i dalje zaostaje za prosjekom </w:t>
      </w:r>
      <w:r>
        <w:rPr>
          <w:color w:val="000000"/>
          <w:kern w:val="2"/>
          <w:sz w:val="24"/>
          <w:szCs w:val="24"/>
          <w:lang w:eastAsia="hr-HR"/>
          <w14:ligatures w14:val="standardContextual"/>
        </w:rPr>
        <w:t>zemljama OECD-a</w:t>
      </w:r>
      <w:r w:rsidRPr="004F566B">
        <w:rPr>
          <w:color w:val="000000"/>
          <w:kern w:val="2"/>
          <w:sz w:val="24"/>
          <w:szCs w:val="24"/>
          <w:lang w:eastAsia="hr-HR"/>
          <w14:ligatures w14:val="standardContextual"/>
        </w:rPr>
        <w:t xml:space="preserve"> u ključnim </w:t>
      </w:r>
      <w:r>
        <w:rPr>
          <w:color w:val="000000"/>
          <w:kern w:val="2"/>
          <w:sz w:val="24"/>
          <w:szCs w:val="24"/>
          <w:lang w:eastAsia="hr-HR"/>
          <w14:ligatures w14:val="standardContextual"/>
        </w:rPr>
        <w:t xml:space="preserve">zdravstvenim </w:t>
      </w:r>
      <w:r w:rsidRPr="004F566B">
        <w:rPr>
          <w:color w:val="000000"/>
          <w:kern w:val="2"/>
          <w:sz w:val="24"/>
          <w:szCs w:val="24"/>
          <w:lang w:eastAsia="hr-HR"/>
          <w14:ligatures w14:val="standardContextual"/>
        </w:rPr>
        <w:t xml:space="preserve">ishodima. Struktura smrtnosti u Hrvatskoj odgovara obrascu većine OECD zemalja, </w:t>
      </w:r>
      <w:r>
        <w:rPr>
          <w:color w:val="000000"/>
          <w:kern w:val="2"/>
          <w:sz w:val="24"/>
          <w:szCs w:val="24"/>
          <w:lang w:eastAsia="hr-HR"/>
          <w14:ligatures w14:val="standardContextual"/>
        </w:rPr>
        <w:t>prema</w:t>
      </w:r>
      <w:r w:rsidRPr="004F566B">
        <w:rPr>
          <w:color w:val="000000"/>
          <w:kern w:val="2"/>
          <w:sz w:val="24"/>
          <w:szCs w:val="24"/>
          <w:lang w:eastAsia="hr-HR"/>
          <w14:ligatures w14:val="standardContextual"/>
        </w:rPr>
        <w:t xml:space="preserve"> kojima su bolesti krvožilnog sustava i novotvorine glavni uzroci smrti (u prosjeku oko 28% svih smrti otpada na bolesti krvožilnog sustava, a oko 20% na maligne bolesti), pri čemu je Hrvatska svrstana među zemlje s povišenom smrtnošću od kardiovaskularnih bolesti. Posebno je zabrinjavajuća </w:t>
      </w:r>
      <w:r>
        <w:rPr>
          <w:color w:val="000000"/>
          <w:kern w:val="2"/>
          <w:sz w:val="24"/>
          <w:szCs w:val="24"/>
          <w:lang w:eastAsia="hr-HR"/>
          <w14:ligatures w14:val="standardContextual"/>
        </w:rPr>
        <w:t xml:space="preserve">visoka </w:t>
      </w:r>
      <w:r w:rsidRPr="004F566B">
        <w:rPr>
          <w:color w:val="000000"/>
          <w:kern w:val="2"/>
          <w:sz w:val="24"/>
          <w:szCs w:val="24"/>
          <w:lang w:eastAsia="hr-HR"/>
          <w14:ligatures w14:val="standardContextual"/>
        </w:rPr>
        <w:t xml:space="preserve">smrtnost od </w:t>
      </w:r>
      <w:proofErr w:type="spellStart"/>
      <w:r w:rsidRPr="004F566B">
        <w:rPr>
          <w:color w:val="000000"/>
          <w:kern w:val="2"/>
          <w:sz w:val="24"/>
          <w:szCs w:val="24"/>
          <w:lang w:eastAsia="hr-HR"/>
          <w14:ligatures w14:val="standardContextual"/>
        </w:rPr>
        <w:t>ishemijske</w:t>
      </w:r>
      <w:proofErr w:type="spellEnd"/>
      <w:r w:rsidRPr="004F566B">
        <w:rPr>
          <w:color w:val="000000"/>
          <w:kern w:val="2"/>
          <w:sz w:val="24"/>
          <w:szCs w:val="24"/>
          <w:lang w:eastAsia="hr-HR"/>
          <w14:ligatures w14:val="standardContextual"/>
        </w:rPr>
        <w:t xml:space="preserve"> bolesti srca, gdje Hrvatska bilježi stopu od 161 smrti na 100</w:t>
      </w:r>
      <w:r>
        <w:rPr>
          <w:color w:val="000000"/>
          <w:kern w:val="2"/>
          <w:sz w:val="24"/>
          <w:szCs w:val="24"/>
          <w:lang w:eastAsia="hr-HR"/>
          <w14:ligatures w14:val="standardContextual"/>
        </w:rPr>
        <w:t>.</w:t>
      </w:r>
      <w:r w:rsidRPr="004F566B">
        <w:rPr>
          <w:color w:val="000000"/>
          <w:kern w:val="2"/>
          <w:sz w:val="24"/>
          <w:szCs w:val="24"/>
          <w:lang w:eastAsia="hr-HR"/>
          <w14:ligatures w14:val="standardContextual"/>
        </w:rPr>
        <w:t>000 stanovnika</w:t>
      </w:r>
      <w:r>
        <w:rPr>
          <w:color w:val="000000"/>
          <w:kern w:val="2"/>
          <w:sz w:val="24"/>
          <w:szCs w:val="24"/>
          <w:lang w:eastAsia="hr-HR"/>
          <w14:ligatures w14:val="standardContextual"/>
        </w:rPr>
        <w:t xml:space="preserve">, što je značajno iznad </w:t>
      </w:r>
      <w:r w:rsidRPr="004F566B">
        <w:rPr>
          <w:color w:val="000000"/>
          <w:kern w:val="2"/>
          <w:sz w:val="24"/>
          <w:szCs w:val="24"/>
          <w:lang w:eastAsia="hr-HR"/>
          <w14:ligatures w14:val="standardContextual"/>
        </w:rPr>
        <w:t>prosjek</w:t>
      </w:r>
      <w:r>
        <w:rPr>
          <w:color w:val="000000"/>
          <w:kern w:val="2"/>
          <w:sz w:val="24"/>
          <w:szCs w:val="24"/>
          <w:lang w:eastAsia="hr-HR"/>
          <w14:ligatures w14:val="standardContextual"/>
        </w:rPr>
        <w:t xml:space="preserve">a </w:t>
      </w:r>
      <w:r w:rsidRPr="004F566B">
        <w:rPr>
          <w:color w:val="000000"/>
          <w:kern w:val="2"/>
          <w:sz w:val="24"/>
          <w:szCs w:val="24"/>
          <w:lang w:eastAsia="hr-HR"/>
          <w14:ligatures w14:val="standardContextual"/>
        </w:rPr>
        <w:t xml:space="preserve">OECD-a </w:t>
      </w:r>
      <w:r>
        <w:rPr>
          <w:color w:val="000000"/>
          <w:kern w:val="2"/>
          <w:sz w:val="24"/>
          <w:szCs w:val="24"/>
          <w:lang w:eastAsia="hr-HR"/>
          <w14:ligatures w14:val="standardContextual"/>
        </w:rPr>
        <w:t>(</w:t>
      </w:r>
      <w:r w:rsidRPr="004F566B">
        <w:rPr>
          <w:color w:val="000000"/>
          <w:kern w:val="2"/>
          <w:sz w:val="24"/>
          <w:szCs w:val="24"/>
          <w:lang w:eastAsia="hr-HR"/>
          <w14:ligatures w14:val="standardContextual"/>
        </w:rPr>
        <w:t>112 smrti</w:t>
      </w:r>
      <w:r>
        <w:rPr>
          <w:color w:val="000000"/>
          <w:kern w:val="2"/>
          <w:sz w:val="24"/>
          <w:szCs w:val="24"/>
          <w:lang w:eastAsia="hr-HR"/>
          <w14:ligatures w14:val="standardContextual"/>
        </w:rPr>
        <w:t>). Dodatno,</w:t>
      </w:r>
      <w:r w:rsidRPr="004F566B">
        <w:rPr>
          <w:color w:val="000000"/>
          <w:kern w:val="2"/>
          <w:sz w:val="24"/>
          <w:szCs w:val="24"/>
          <w:lang w:eastAsia="hr-HR"/>
          <w14:ligatures w14:val="standardContextual"/>
        </w:rPr>
        <w:t xml:space="preserve"> Hrvatska</w:t>
      </w:r>
      <w:r>
        <w:rPr>
          <w:color w:val="000000"/>
          <w:kern w:val="2"/>
          <w:sz w:val="24"/>
          <w:szCs w:val="24"/>
          <w:lang w:eastAsia="hr-HR"/>
          <w14:ligatures w14:val="standardContextual"/>
        </w:rPr>
        <w:t xml:space="preserve"> je </w:t>
      </w:r>
      <w:r w:rsidRPr="004F566B">
        <w:rPr>
          <w:color w:val="000000"/>
          <w:kern w:val="2"/>
          <w:sz w:val="24"/>
          <w:szCs w:val="24"/>
          <w:lang w:eastAsia="hr-HR"/>
          <w14:ligatures w14:val="standardContextual"/>
        </w:rPr>
        <w:t>među rijetkim državama u kojima stopa smrtnosti</w:t>
      </w:r>
      <w:r>
        <w:rPr>
          <w:color w:val="000000"/>
          <w:kern w:val="2"/>
          <w:sz w:val="24"/>
          <w:szCs w:val="24"/>
          <w:lang w:eastAsia="hr-HR"/>
          <w14:ligatures w14:val="standardContextual"/>
        </w:rPr>
        <w:t xml:space="preserve"> (102)</w:t>
      </w:r>
      <w:r w:rsidRPr="004F566B">
        <w:rPr>
          <w:color w:val="000000"/>
          <w:kern w:val="2"/>
          <w:sz w:val="24"/>
          <w:szCs w:val="24"/>
          <w:lang w:eastAsia="hr-HR"/>
          <w14:ligatures w14:val="standardContextual"/>
        </w:rPr>
        <w:t xml:space="preserve"> </w:t>
      </w:r>
      <w:r w:rsidRPr="004813A0">
        <w:rPr>
          <w:color w:val="000000"/>
          <w:kern w:val="2"/>
          <w:sz w:val="24"/>
          <w:szCs w:val="24"/>
          <w:lang w:eastAsia="hr-HR"/>
          <w14:ligatures w14:val="standardContextual"/>
        </w:rPr>
        <w:t xml:space="preserve">od cerebrovaskularnih bolesti </w:t>
      </w:r>
      <w:r w:rsidRPr="004F566B">
        <w:rPr>
          <w:color w:val="000000"/>
          <w:kern w:val="2"/>
          <w:sz w:val="24"/>
          <w:szCs w:val="24"/>
          <w:lang w:eastAsia="hr-HR"/>
          <w14:ligatures w14:val="standardContextual"/>
        </w:rPr>
        <w:t>prelazi 100 smrti na 100</w:t>
      </w:r>
      <w:r>
        <w:rPr>
          <w:color w:val="000000"/>
          <w:kern w:val="2"/>
          <w:sz w:val="24"/>
          <w:szCs w:val="24"/>
          <w:lang w:eastAsia="hr-HR"/>
          <w14:ligatures w14:val="standardContextual"/>
        </w:rPr>
        <w:t>.</w:t>
      </w:r>
      <w:r w:rsidRPr="004F566B">
        <w:rPr>
          <w:color w:val="000000"/>
          <w:kern w:val="2"/>
          <w:sz w:val="24"/>
          <w:szCs w:val="24"/>
          <w:lang w:eastAsia="hr-HR"/>
          <w14:ligatures w14:val="standardContextual"/>
        </w:rPr>
        <w:t xml:space="preserve">000 stanovnika, </w:t>
      </w:r>
      <w:r>
        <w:rPr>
          <w:color w:val="000000"/>
          <w:kern w:val="2"/>
          <w:sz w:val="24"/>
          <w:szCs w:val="24"/>
          <w:lang w:eastAsia="hr-HR"/>
          <w14:ligatures w14:val="standardContextual"/>
        </w:rPr>
        <w:t xml:space="preserve">što je </w:t>
      </w:r>
      <w:r w:rsidRPr="004F566B">
        <w:rPr>
          <w:color w:val="000000"/>
          <w:kern w:val="2"/>
          <w:sz w:val="24"/>
          <w:szCs w:val="24"/>
          <w:lang w:eastAsia="hr-HR"/>
          <w14:ligatures w14:val="standardContextual"/>
        </w:rPr>
        <w:t xml:space="preserve">značajno iznad </w:t>
      </w:r>
      <w:r w:rsidRPr="004F566B">
        <w:rPr>
          <w:color w:val="000000"/>
          <w:kern w:val="2"/>
          <w:sz w:val="24"/>
          <w:szCs w:val="24"/>
          <w:lang w:eastAsia="hr-HR"/>
          <w14:ligatures w14:val="standardContextual"/>
        </w:rPr>
        <w:lastRenderedPageBreak/>
        <w:t>OECD prosjeka</w:t>
      </w:r>
      <w:r>
        <w:rPr>
          <w:color w:val="000000"/>
          <w:kern w:val="2"/>
          <w:sz w:val="24"/>
          <w:szCs w:val="24"/>
          <w:lang w:eastAsia="hr-HR"/>
          <w14:ligatures w14:val="standardContextual"/>
        </w:rPr>
        <w:t xml:space="preserve"> (54 smrti)</w:t>
      </w:r>
      <w:r w:rsidRPr="004F566B">
        <w:rPr>
          <w:color w:val="000000"/>
          <w:kern w:val="2"/>
          <w:sz w:val="24"/>
          <w:szCs w:val="24"/>
          <w:lang w:eastAsia="hr-HR"/>
          <w14:ligatures w14:val="standardContextual"/>
        </w:rPr>
        <w:t xml:space="preserve">. </w:t>
      </w:r>
      <w:r>
        <w:rPr>
          <w:color w:val="000000"/>
          <w:kern w:val="2"/>
          <w:sz w:val="24"/>
          <w:szCs w:val="24"/>
          <w:lang w:eastAsia="hr-HR"/>
          <w14:ligatures w14:val="standardContextual"/>
        </w:rPr>
        <w:t xml:space="preserve">Stopom smrtnosti od novotvorina (razni oblici raka) od 268 smrti na 100.000 stanovnika Hrvatska je s Mađarskom (275 smrti) u vrhu zemalja s najvišom stopom smrtnosti od tih bolesti, znatno iznad prosjeka OECD-a od 191 smrti na 100.000 stanovnika. Također, </w:t>
      </w:r>
      <w:r w:rsidRPr="004F566B">
        <w:rPr>
          <w:color w:val="000000"/>
          <w:kern w:val="2"/>
          <w:sz w:val="24"/>
          <w:szCs w:val="24"/>
          <w:lang w:eastAsia="hr-HR"/>
          <w14:ligatures w14:val="standardContextual"/>
        </w:rPr>
        <w:t xml:space="preserve">Hrvatska </w:t>
      </w:r>
      <w:r>
        <w:rPr>
          <w:color w:val="000000"/>
          <w:kern w:val="2"/>
          <w:sz w:val="24"/>
          <w:szCs w:val="24"/>
          <w:lang w:eastAsia="hr-HR"/>
          <w14:ligatures w14:val="standardContextual"/>
        </w:rPr>
        <w:t xml:space="preserve">se s 251 smrti na 100.000 stanovnika, </w:t>
      </w:r>
      <w:r w:rsidRPr="004F566B">
        <w:rPr>
          <w:color w:val="000000"/>
          <w:kern w:val="2"/>
          <w:sz w:val="24"/>
          <w:szCs w:val="24"/>
          <w:lang w:eastAsia="hr-HR"/>
          <w14:ligatures w14:val="standardContextual"/>
        </w:rPr>
        <w:t>svrstava u skupinu zemalja s visoki</w:t>
      </w:r>
      <w:r>
        <w:rPr>
          <w:color w:val="000000"/>
          <w:kern w:val="2"/>
          <w:sz w:val="24"/>
          <w:szCs w:val="24"/>
          <w:lang w:eastAsia="hr-HR"/>
          <w14:ligatures w14:val="standardContextual"/>
        </w:rPr>
        <w:t>m</w:t>
      </w:r>
      <w:r w:rsidRPr="004F566B">
        <w:rPr>
          <w:color w:val="000000"/>
          <w:kern w:val="2"/>
          <w:sz w:val="24"/>
          <w:szCs w:val="24"/>
          <w:lang w:eastAsia="hr-HR"/>
          <w14:ligatures w14:val="standardContextual"/>
        </w:rPr>
        <w:t xml:space="preserve"> razinama </w:t>
      </w:r>
      <w:proofErr w:type="spellStart"/>
      <w:r w:rsidRPr="004F566B">
        <w:rPr>
          <w:color w:val="000000"/>
          <w:kern w:val="2"/>
          <w:sz w:val="24"/>
          <w:szCs w:val="24"/>
          <w:lang w:eastAsia="hr-HR"/>
          <w14:ligatures w14:val="standardContextual"/>
        </w:rPr>
        <w:t>preventabilne</w:t>
      </w:r>
      <w:proofErr w:type="spellEnd"/>
      <w:r w:rsidRPr="004F566B">
        <w:rPr>
          <w:color w:val="000000"/>
          <w:kern w:val="2"/>
          <w:sz w:val="24"/>
          <w:szCs w:val="24"/>
          <w:lang w:eastAsia="hr-HR"/>
          <w14:ligatures w14:val="standardContextual"/>
        </w:rPr>
        <w:t xml:space="preserve"> smrtnosti</w:t>
      </w:r>
      <w:r>
        <w:rPr>
          <w:color w:val="000000"/>
          <w:kern w:val="2"/>
          <w:sz w:val="24"/>
          <w:szCs w:val="24"/>
          <w:lang w:eastAsia="hr-HR"/>
          <w14:ligatures w14:val="standardContextual"/>
        </w:rPr>
        <w:t xml:space="preserve"> (prosjek OECD-a - 145 smrti na 100.000 stanovnika)</w:t>
      </w:r>
      <w:r w:rsidRPr="004F566B">
        <w:rPr>
          <w:color w:val="000000"/>
          <w:kern w:val="2"/>
          <w:sz w:val="24"/>
          <w:szCs w:val="24"/>
          <w:lang w:eastAsia="hr-HR"/>
          <w14:ligatures w14:val="standardContextual"/>
        </w:rPr>
        <w:t>.</w:t>
      </w:r>
      <w:r>
        <w:rPr>
          <w:color w:val="000000"/>
          <w:kern w:val="2"/>
          <w:sz w:val="24"/>
          <w:szCs w:val="24"/>
          <w:lang w:eastAsia="hr-HR"/>
          <w14:ligatures w14:val="standardContextual"/>
        </w:rPr>
        <w:t xml:space="preserve"> </w:t>
      </w:r>
    </w:p>
    <w:p w14:paraId="21D1E89D" w14:textId="77777777" w:rsidR="00FB178A" w:rsidRDefault="00FB178A" w:rsidP="00FB178A">
      <w:pPr>
        <w:widowControl/>
        <w:autoSpaceDE/>
        <w:autoSpaceDN/>
        <w:spacing w:before="240" w:line="276" w:lineRule="auto"/>
        <w:jc w:val="both"/>
        <w:rPr>
          <w:color w:val="000000"/>
          <w:kern w:val="2"/>
          <w:sz w:val="24"/>
          <w:szCs w:val="24"/>
          <w:lang w:eastAsia="hr-HR"/>
          <w14:ligatures w14:val="standardContextual"/>
        </w:rPr>
      </w:pPr>
      <w:r w:rsidRPr="00B22517">
        <w:rPr>
          <w:color w:val="000000"/>
          <w:kern w:val="2"/>
          <w:sz w:val="24"/>
          <w:szCs w:val="24"/>
          <w:lang w:eastAsia="hr-HR"/>
          <w14:ligatures w14:val="standardContextual"/>
        </w:rPr>
        <w:t>Prema podacima za</w:t>
      </w:r>
      <w:r>
        <w:rPr>
          <w:color w:val="000000"/>
          <w:kern w:val="2"/>
          <w:sz w:val="24"/>
          <w:szCs w:val="24"/>
          <w:lang w:eastAsia="hr-HR"/>
          <w14:ligatures w14:val="standardContextual"/>
        </w:rPr>
        <w:t xml:space="preserve"> </w:t>
      </w:r>
      <w:r w:rsidRPr="00B22517">
        <w:rPr>
          <w:color w:val="000000"/>
          <w:kern w:val="2"/>
          <w:sz w:val="24"/>
          <w:szCs w:val="24"/>
          <w:lang w:eastAsia="hr-HR"/>
          <w14:ligatures w14:val="standardContextual"/>
        </w:rPr>
        <w:t>202</w:t>
      </w:r>
      <w:r>
        <w:rPr>
          <w:color w:val="000000"/>
          <w:kern w:val="2"/>
          <w:sz w:val="24"/>
          <w:szCs w:val="24"/>
          <w:lang w:eastAsia="hr-HR"/>
          <w14:ligatures w14:val="standardContextual"/>
        </w:rPr>
        <w:t>4</w:t>
      </w:r>
      <w:r w:rsidRPr="00B22517">
        <w:rPr>
          <w:color w:val="000000"/>
          <w:kern w:val="2"/>
          <w:sz w:val="24"/>
          <w:szCs w:val="24"/>
          <w:lang w:eastAsia="hr-HR"/>
          <w14:ligatures w14:val="standardContextual"/>
        </w:rPr>
        <w:t xml:space="preserve">., ukupan broj kreveta u bolnicama iznosio je </w:t>
      </w:r>
      <w:r>
        <w:rPr>
          <w:color w:val="000000"/>
          <w:kern w:val="2"/>
          <w:sz w:val="24"/>
          <w:szCs w:val="24"/>
          <w:lang w:eastAsia="hr-HR"/>
          <w14:ligatures w14:val="standardContextual"/>
        </w:rPr>
        <w:t xml:space="preserve">21.795 </w:t>
      </w:r>
      <w:r w:rsidRPr="00B22517">
        <w:rPr>
          <w:color w:val="000000"/>
          <w:kern w:val="2"/>
          <w:sz w:val="24"/>
          <w:szCs w:val="24"/>
          <w:lang w:eastAsia="hr-HR"/>
          <w14:ligatures w14:val="standardContextual"/>
        </w:rPr>
        <w:t xml:space="preserve">te je </w:t>
      </w:r>
      <w:r>
        <w:rPr>
          <w:color w:val="000000"/>
          <w:kern w:val="2"/>
          <w:sz w:val="24"/>
          <w:szCs w:val="24"/>
          <w:lang w:eastAsia="hr-HR"/>
          <w14:ligatures w14:val="standardContextual"/>
        </w:rPr>
        <w:t>dodatno</w:t>
      </w:r>
      <w:r w:rsidRPr="00B22517">
        <w:rPr>
          <w:color w:val="000000"/>
          <w:kern w:val="2"/>
          <w:sz w:val="24"/>
          <w:szCs w:val="24"/>
          <w:lang w:eastAsia="hr-HR"/>
          <w14:ligatures w14:val="standardContextual"/>
        </w:rPr>
        <w:t xml:space="preserve">  </w:t>
      </w:r>
      <w:r>
        <w:rPr>
          <w:color w:val="000000"/>
          <w:kern w:val="2"/>
          <w:sz w:val="24"/>
          <w:szCs w:val="24"/>
          <w:lang w:eastAsia="hr-HR"/>
          <w14:ligatures w14:val="standardContextual"/>
        </w:rPr>
        <w:t xml:space="preserve">smanjen </w:t>
      </w:r>
      <w:r w:rsidRPr="00B22517">
        <w:rPr>
          <w:color w:val="000000"/>
          <w:kern w:val="2"/>
          <w:sz w:val="24"/>
          <w:szCs w:val="24"/>
          <w:lang w:eastAsia="hr-HR"/>
          <w14:ligatures w14:val="standardContextual"/>
        </w:rPr>
        <w:t>za 1% u</w:t>
      </w:r>
      <w:r>
        <w:rPr>
          <w:color w:val="000000"/>
          <w:kern w:val="2"/>
          <w:sz w:val="24"/>
          <w:szCs w:val="24"/>
          <w:lang w:eastAsia="hr-HR"/>
          <w14:ligatures w14:val="standardContextual"/>
        </w:rPr>
        <w:t xml:space="preserve"> odnosu</w:t>
      </w:r>
      <w:r w:rsidRPr="00B22517">
        <w:rPr>
          <w:color w:val="000000"/>
          <w:kern w:val="2"/>
          <w:sz w:val="24"/>
          <w:szCs w:val="24"/>
          <w:lang w:eastAsia="hr-HR"/>
          <w14:ligatures w14:val="standardContextual"/>
        </w:rPr>
        <w:t xml:space="preserve"> na 202</w:t>
      </w:r>
      <w:r>
        <w:rPr>
          <w:color w:val="000000"/>
          <w:kern w:val="2"/>
          <w:sz w:val="24"/>
          <w:szCs w:val="24"/>
          <w:lang w:eastAsia="hr-HR"/>
          <w14:ligatures w14:val="standardContextual"/>
        </w:rPr>
        <w:t>3</w:t>
      </w:r>
      <w:r w:rsidRPr="00B22517">
        <w:rPr>
          <w:color w:val="000000"/>
          <w:kern w:val="2"/>
          <w:sz w:val="24"/>
          <w:szCs w:val="24"/>
          <w:lang w:eastAsia="hr-HR"/>
          <w14:ligatures w14:val="standardContextual"/>
        </w:rPr>
        <w:t>.</w:t>
      </w:r>
      <w:r>
        <w:rPr>
          <w:color w:val="000000"/>
          <w:kern w:val="2"/>
          <w:sz w:val="24"/>
          <w:szCs w:val="24"/>
          <w:lang w:eastAsia="hr-HR"/>
          <w14:ligatures w14:val="standardContextual"/>
        </w:rPr>
        <w:t xml:space="preserve"> (22.011), uglavnom </w:t>
      </w:r>
      <w:r w:rsidRPr="00B22517">
        <w:rPr>
          <w:color w:val="000000"/>
          <w:kern w:val="2"/>
          <w:sz w:val="24"/>
          <w:szCs w:val="24"/>
          <w:lang w:eastAsia="hr-HR"/>
          <w14:ligatures w14:val="standardContextual"/>
        </w:rPr>
        <w:t xml:space="preserve">zbog </w:t>
      </w:r>
      <w:r>
        <w:rPr>
          <w:color w:val="000000"/>
          <w:kern w:val="2"/>
          <w:sz w:val="24"/>
          <w:szCs w:val="24"/>
          <w:lang w:eastAsia="hr-HR"/>
          <w14:ligatures w14:val="standardContextual"/>
        </w:rPr>
        <w:t xml:space="preserve">nastavka radova na </w:t>
      </w:r>
      <w:r w:rsidRPr="00B22517">
        <w:rPr>
          <w:color w:val="000000"/>
          <w:kern w:val="2"/>
          <w:sz w:val="24"/>
          <w:szCs w:val="24"/>
          <w:lang w:eastAsia="hr-HR"/>
          <w14:ligatures w14:val="standardContextual"/>
        </w:rPr>
        <w:t>sanacij</w:t>
      </w:r>
      <w:r>
        <w:rPr>
          <w:color w:val="000000"/>
          <w:kern w:val="2"/>
          <w:sz w:val="24"/>
          <w:szCs w:val="24"/>
          <w:lang w:eastAsia="hr-HR"/>
          <w14:ligatures w14:val="standardContextual"/>
        </w:rPr>
        <w:t xml:space="preserve">i i obnovi </w:t>
      </w:r>
      <w:r w:rsidRPr="00B22517">
        <w:rPr>
          <w:color w:val="000000"/>
          <w:kern w:val="2"/>
          <w:sz w:val="24"/>
          <w:szCs w:val="24"/>
          <w:lang w:eastAsia="hr-HR"/>
          <w14:ligatures w14:val="standardContextual"/>
        </w:rPr>
        <w:t>od potresa više zdravstvenih ustanova u Zagrebu.</w:t>
      </w:r>
      <w:r>
        <w:rPr>
          <w:color w:val="000000"/>
          <w:kern w:val="2"/>
          <w:sz w:val="24"/>
          <w:szCs w:val="24"/>
          <w:lang w:eastAsia="hr-HR"/>
          <w14:ligatures w14:val="standardContextual"/>
        </w:rPr>
        <w:t xml:space="preserve"> </w:t>
      </w:r>
      <w:r w:rsidRPr="00B22517">
        <w:rPr>
          <w:color w:val="000000"/>
          <w:kern w:val="2"/>
          <w:sz w:val="24"/>
          <w:szCs w:val="24"/>
          <w:lang w:eastAsia="hr-HR"/>
          <w14:ligatures w14:val="standardContextual"/>
        </w:rPr>
        <w:t>Uslijed smanjenja, broj kreveta na 1.000 stanovnika u 202</w:t>
      </w:r>
      <w:r>
        <w:rPr>
          <w:color w:val="000000"/>
          <w:kern w:val="2"/>
          <w:sz w:val="24"/>
          <w:szCs w:val="24"/>
          <w:lang w:eastAsia="hr-HR"/>
          <w14:ligatures w14:val="standardContextual"/>
        </w:rPr>
        <w:t>4</w:t>
      </w:r>
      <w:r w:rsidRPr="00B22517">
        <w:rPr>
          <w:color w:val="000000"/>
          <w:kern w:val="2"/>
          <w:sz w:val="24"/>
          <w:szCs w:val="24"/>
          <w:lang w:eastAsia="hr-HR"/>
          <w14:ligatures w14:val="standardContextual"/>
        </w:rPr>
        <w:t>. je</w:t>
      </w:r>
      <w:r>
        <w:rPr>
          <w:color w:val="000000"/>
          <w:kern w:val="2"/>
          <w:sz w:val="24"/>
          <w:szCs w:val="24"/>
          <w:lang w:eastAsia="hr-HR"/>
          <w14:ligatures w14:val="standardContextual"/>
        </w:rPr>
        <w:t xml:space="preserve"> blago</w:t>
      </w:r>
      <w:r w:rsidRPr="00B22517">
        <w:rPr>
          <w:color w:val="000000"/>
          <w:kern w:val="2"/>
          <w:sz w:val="24"/>
          <w:szCs w:val="24"/>
          <w:lang w:eastAsia="hr-HR"/>
          <w14:ligatures w14:val="standardContextual"/>
        </w:rPr>
        <w:t xml:space="preserve"> pao na 5,</w:t>
      </w:r>
      <w:r>
        <w:rPr>
          <w:color w:val="000000"/>
          <w:kern w:val="2"/>
          <w:sz w:val="24"/>
          <w:szCs w:val="24"/>
          <w:lang w:eastAsia="hr-HR"/>
          <w14:ligatures w14:val="standardContextual"/>
        </w:rPr>
        <w:t>64</w:t>
      </w:r>
      <w:r w:rsidRPr="00B22517">
        <w:rPr>
          <w:color w:val="000000"/>
          <w:kern w:val="2"/>
          <w:sz w:val="24"/>
          <w:szCs w:val="24"/>
          <w:lang w:eastAsia="hr-HR"/>
          <w14:ligatures w14:val="standardContextual"/>
        </w:rPr>
        <w:t xml:space="preserve"> (5,</w:t>
      </w:r>
      <w:r>
        <w:rPr>
          <w:color w:val="000000"/>
          <w:kern w:val="2"/>
          <w:sz w:val="24"/>
          <w:szCs w:val="24"/>
          <w:lang w:eastAsia="hr-HR"/>
          <w14:ligatures w14:val="standardContextual"/>
        </w:rPr>
        <w:t>70</w:t>
      </w:r>
      <w:r w:rsidRPr="00B22517">
        <w:rPr>
          <w:color w:val="000000"/>
          <w:kern w:val="2"/>
          <w:sz w:val="24"/>
          <w:szCs w:val="24"/>
          <w:lang w:eastAsia="hr-HR"/>
          <w14:ligatures w14:val="standardContextual"/>
        </w:rPr>
        <w:t xml:space="preserve"> u 202</w:t>
      </w:r>
      <w:r>
        <w:rPr>
          <w:color w:val="000000"/>
          <w:kern w:val="2"/>
          <w:sz w:val="24"/>
          <w:szCs w:val="24"/>
          <w:lang w:eastAsia="hr-HR"/>
          <w14:ligatures w14:val="standardContextual"/>
        </w:rPr>
        <w:t>3</w:t>
      </w:r>
      <w:r w:rsidRPr="00B22517">
        <w:rPr>
          <w:color w:val="000000"/>
          <w:kern w:val="2"/>
          <w:sz w:val="24"/>
          <w:szCs w:val="24"/>
          <w:lang w:eastAsia="hr-HR"/>
          <w14:ligatures w14:val="standardContextual"/>
        </w:rPr>
        <w:t>.), no</w:t>
      </w:r>
      <w:r>
        <w:rPr>
          <w:color w:val="000000"/>
          <w:kern w:val="2"/>
          <w:sz w:val="24"/>
          <w:szCs w:val="24"/>
          <w:lang w:eastAsia="hr-HR"/>
          <w14:ligatures w14:val="standardContextual"/>
        </w:rPr>
        <w:t xml:space="preserve"> i dalje je viši od prosjeka zemalja OECD-a (4,2 kreveta na 1.000 stanovnika). </w:t>
      </w:r>
      <w:r w:rsidRPr="00C203DD">
        <w:rPr>
          <w:color w:val="000000"/>
          <w:kern w:val="2"/>
          <w:sz w:val="24"/>
          <w:szCs w:val="24"/>
          <w:lang w:eastAsia="hr-HR"/>
          <w14:ligatures w14:val="standardContextual"/>
        </w:rPr>
        <w:t xml:space="preserve">U </w:t>
      </w:r>
      <w:r>
        <w:rPr>
          <w:color w:val="000000"/>
          <w:kern w:val="2"/>
          <w:sz w:val="24"/>
          <w:szCs w:val="24"/>
          <w:lang w:eastAsia="hr-HR"/>
          <w14:ligatures w14:val="standardContextual"/>
        </w:rPr>
        <w:t>pogledu</w:t>
      </w:r>
      <w:r w:rsidRPr="00C203DD">
        <w:rPr>
          <w:color w:val="000000"/>
          <w:kern w:val="2"/>
          <w:sz w:val="24"/>
          <w:szCs w:val="24"/>
          <w:lang w:eastAsia="hr-HR"/>
          <w14:ligatures w14:val="standardContextual"/>
        </w:rPr>
        <w:t xml:space="preserve"> dostupnosti zdravstvene usluge, tijekom 2024. </w:t>
      </w:r>
      <w:r>
        <w:rPr>
          <w:color w:val="000000"/>
          <w:kern w:val="2"/>
          <w:sz w:val="24"/>
          <w:szCs w:val="24"/>
          <w:lang w:eastAsia="hr-HR"/>
          <w14:ligatures w14:val="standardContextual"/>
        </w:rPr>
        <w:t xml:space="preserve">je </w:t>
      </w:r>
      <w:r w:rsidRPr="00C203DD">
        <w:rPr>
          <w:color w:val="000000"/>
          <w:kern w:val="2"/>
          <w:sz w:val="24"/>
          <w:szCs w:val="24"/>
          <w:lang w:eastAsia="hr-HR"/>
          <w14:ligatures w14:val="standardContextual"/>
        </w:rPr>
        <w:t>zabilježen nastavak pozitivnih trendova</w:t>
      </w:r>
      <w:r>
        <w:rPr>
          <w:color w:val="000000"/>
          <w:kern w:val="2"/>
          <w:sz w:val="24"/>
          <w:szCs w:val="24"/>
          <w:lang w:eastAsia="hr-HR"/>
          <w14:ligatures w14:val="standardContextual"/>
        </w:rPr>
        <w:t>, s</w:t>
      </w:r>
      <w:r w:rsidRPr="00C203DD">
        <w:rPr>
          <w:color w:val="000000"/>
          <w:kern w:val="2"/>
          <w:sz w:val="24"/>
          <w:szCs w:val="24"/>
          <w:lang w:eastAsia="hr-HR"/>
          <w14:ligatures w14:val="standardContextual"/>
        </w:rPr>
        <w:t xml:space="preserve"> ud</w:t>
      </w:r>
      <w:r>
        <w:rPr>
          <w:color w:val="000000"/>
          <w:kern w:val="2"/>
          <w:sz w:val="24"/>
          <w:szCs w:val="24"/>
          <w:lang w:eastAsia="hr-HR"/>
          <w14:ligatures w14:val="standardContextual"/>
        </w:rPr>
        <w:t>jelom</w:t>
      </w:r>
      <w:r w:rsidRPr="00C203DD">
        <w:rPr>
          <w:color w:val="000000"/>
          <w:kern w:val="2"/>
          <w:sz w:val="24"/>
          <w:szCs w:val="24"/>
          <w:lang w:eastAsia="hr-HR"/>
          <w14:ligatures w14:val="standardContextual"/>
        </w:rPr>
        <w:t xml:space="preserve"> kadrovske popunjenosti Mreže javne zdravstvene službe</w:t>
      </w:r>
      <w:r>
        <w:rPr>
          <w:color w:val="000000"/>
          <w:kern w:val="2"/>
          <w:sz w:val="24"/>
          <w:szCs w:val="24"/>
          <w:lang w:eastAsia="hr-HR"/>
          <w14:ligatures w14:val="standardContextual"/>
        </w:rPr>
        <w:t xml:space="preserve"> koji je</w:t>
      </w:r>
      <w:r w:rsidRPr="00C203DD">
        <w:rPr>
          <w:color w:val="000000"/>
          <w:kern w:val="2"/>
          <w:sz w:val="24"/>
          <w:szCs w:val="24"/>
          <w:lang w:eastAsia="hr-HR"/>
          <w14:ligatures w14:val="standardContextual"/>
        </w:rPr>
        <w:t xml:space="preserve"> porastao na 89,5% (85,06% u 2023.)</w:t>
      </w:r>
      <w:r>
        <w:rPr>
          <w:color w:val="000000"/>
          <w:kern w:val="2"/>
          <w:sz w:val="24"/>
          <w:szCs w:val="24"/>
          <w:lang w:eastAsia="hr-HR"/>
          <w14:ligatures w14:val="standardContextual"/>
        </w:rPr>
        <w:t xml:space="preserve"> te</w:t>
      </w:r>
      <w:r w:rsidRPr="00C203DD">
        <w:rPr>
          <w:color w:val="000000"/>
          <w:kern w:val="2"/>
          <w:sz w:val="24"/>
          <w:szCs w:val="24"/>
          <w:lang w:eastAsia="hr-HR"/>
          <w14:ligatures w14:val="standardContextual"/>
        </w:rPr>
        <w:t xml:space="preserve"> 2.563 ugovoren</w:t>
      </w:r>
      <w:r>
        <w:rPr>
          <w:color w:val="000000"/>
          <w:kern w:val="2"/>
          <w:sz w:val="24"/>
          <w:szCs w:val="24"/>
          <w:lang w:eastAsia="hr-HR"/>
          <w14:ligatures w14:val="standardContextual"/>
        </w:rPr>
        <w:t>ih</w:t>
      </w:r>
      <w:r w:rsidRPr="00C203DD">
        <w:rPr>
          <w:color w:val="000000"/>
          <w:kern w:val="2"/>
          <w:sz w:val="24"/>
          <w:szCs w:val="24"/>
          <w:lang w:eastAsia="hr-HR"/>
          <w14:ligatures w14:val="standardContextual"/>
        </w:rPr>
        <w:t xml:space="preserve"> tim</w:t>
      </w:r>
      <w:r>
        <w:rPr>
          <w:color w:val="000000"/>
          <w:kern w:val="2"/>
          <w:sz w:val="24"/>
          <w:szCs w:val="24"/>
          <w:lang w:eastAsia="hr-HR"/>
          <w14:ligatures w14:val="standardContextual"/>
        </w:rPr>
        <w:t>ova</w:t>
      </w:r>
      <w:r w:rsidRPr="00C203DD">
        <w:rPr>
          <w:color w:val="000000"/>
          <w:kern w:val="2"/>
          <w:sz w:val="24"/>
          <w:szCs w:val="24"/>
          <w:lang w:eastAsia="hr-HR"/>
          <w14:ligatures w14:val="standardContextual"/>
        </w:rPr>
        <w:t xml:space="preserve"> u djelatnostima obiteljske medicine i zdravstvene zaštite predškolske djece</w:t>
      </w:r>
      <w:r>
        <w:rPr>
          <w:color w:val="000000"/>
          <w:kern w:val="2"/>
          <w:sz w:val="24"/>
          <w:szCs w:val="24"/>
          <w:lang w:eastAsia="hr-HR"/>
          <w14:ligatures w14:val="standardContextual"/>
        </w:rPr>
        <w:t>.</w:t>
      </w:r>
    </w:p>
    <w:p w14:paraId="0CD585F6" w14:textId="77777777" w:rsidR="00FB178A" w:rsidRDefault="00FB178A" w:rsidP="00FB178A">
      <w:pPr>
        <w:widowControl/>
        <w:autoSpaceDE/>
        <w:autoSpaceDN/>
        <w:spacing w:before="240" w:line="276" w:lineRule="auto"/>
        <w:jc w:val="both"/>
        <w:rPr>
          <w:color w:val="000000"/>
          <w:kern w:val="2"/>
          <w:sz w:val="24"/>
          <w:szCs w:val="24"/>
          <w:lang w:eastAsia="hr-HR"/>
          <w14:ligatures w14:val="standardContextual"/>
        </w:rPr>
      </w:pPr>
      <w:r>
        <w:rPr>
          <w:color w:val="000000"/>
          <w:kern w:val="2"/>
          <w:sz w:val="24"/>
          <w:szCs w:val="24"/>
          <w:lang w:eastAsia="hr-HR"/>
          <w14:ligatures w14:val="standardContextual"/>
        </w:rPr>
        <w:t>Nastavljeni su p</w:t>
      </w:r>
      <w:r w:rsidRPr="00910DAE">
        <w:rPr>
          <w:color w:val="000000"/>
          <w:kern w:val="2"/>
          <w:sz w:val="24"/>
          <w:szCs w:val="24"/>
          <w:lang w:eastAsia="hr-HR"/>
          <w14:ligatures w14:val="standardContextual"/>
        </w:rPr>
        <w:t>ozitivni poma</w:t>
      </w:r>
      <w:r>
        <w:rPr>
          <w:color w:val="000000"/>
          <w:kern w:val="2"/>
          <w:sz w:val="24"/>
          <w:szCs w:val="24"/>
          <w:lang w:eastAsia="hr-HR"/>
          <w14:ligatures w14:val="standardContextual"/>
        </w:rPr>
        <w:t>ci</w:t>
      </w:r>
      <w:r w:rsidRPr="00910DAE">
        <w:rPr>
          <w:color w:val="000000"/>
          <w:kern w:val="2"/>
          <w:sz w:val="24"/>
          <w:szCs w:val="24"/>
          <w:lang w:eastAsia="hr-HR"/>
          <w14:ligatures w14:val="standardContextual"/>
        </w:rPr>
        <w:t xml:space="preserve"> u osiguravanju dostatne radne snage u zdravstvu</w:t>
      </w:r>
      <w:r>
        <w:rPr>
          <w:color w:val="000000"/>
          <w:kern w:val="2"/>
          <w:sz w:val="24"/>
          <w:szCs w:val="24"/>
          <w:lang w:eastAsia="hr-HR"/>
          <w14:ligatures w14:val="standardContextual"/>
        </w:rPr>
        <w:t xml:space="preserve"> te je</w:t>
      </w:r>
      <w:r w:rsidRPr="00910DAE">
        <w:rPr>
          <w:color w:val="000000"/>
          <w:kern w:val="2"/>
          <w:sz w:val="24"/>
          <w:szCs w:val="24"/>
          <w:lang w:eastAsia="hr-HR"/>
          <w14:ligatures w14:val="standardContextual"/>
        </w:rPr>
        <w:t xml:space="preserve"> </w:t>
      </w:r>
      <w:r>
        <w:rPr>
          <w:color w:val="000000"/>
          <w:kern w:val="2"/>
          <w:sz w:val="24"/>
          <w:szCs w:val="24"/>
          <w:lang w:eastAsia="hr-HR"/>
          <w14:ligatures w14:val="standardContextual"/>
        </w:rPr>
        <w:t>u Hrvatskoj krajem 2024. ukupno</w:t>
      </w:r>
      <w:r w:rsidRPr="00910DAE">
        <w:rPr>
          <w:color w:val="000000"/>
          <w:kern w:val="2"/>
          <w:sz w:val="24"/>
          <w:szCs w:val="24"/>
          <w:lang w:eastAsia="hr-HR"/>
          <w14:ligatures w14:val="standardContextual"/>
        </w:rPr>
        <w:t xml:space="preserve"> bilo zaposleno </w:t>
      </w:r>
      <w:r w:rsidRPr="00E4785D">
        <w:rPr>
          <w:color w:val="000000"/>
          <w:kern w:val="2"/>
          <w:sz w:val="24"/>
          <w:szCs w:val="24"/>
          <w:lang w:eastAsia="hr-HR"/>
          <w14:ligatures w14:val="standardContextual"/>
        </w:rPr>
        <w:t xml:space="preserve">78.479 </w:t>
      </w:r>
      <w:r w:rsidRPr="00910DAE">
        <w:rPr>
          <w:color w:val="000000"/>
          <w:kern w:val="2"/>
          <w:sz w:val="24"/>
          <w:szCs w:val="24"/>
          <w:lang w:eastAsia="hr-HR"/>
          <w14:ligatures w14:val="standardContextual"/>
        </w:rPr>
        <w:t xml:space="preserve">zdravstvenih djelatnika, uz porast broja zaposlenih od </w:t>
      </w:r>
      <w:r>
        <w:rPr>
          <w:color w:val="000000"/>
          <w:kern w:val="2"/>
          <w:sz w:val="24"/>
          <w:szCs w:val="24"/>
          <w:lang w:eastAsia="hr-HR"/>
          <w14:ligatures w14:val="standardContextual"/>
        </w:rPr>
        <w:t>2</w:t>
      </w:r>
      <w:r w:rsidRPr="00910DAE">
        <w:rPr>
          <w:color w:val="000000"/>
          <w:kern w:val="2"/>
          <w:sz w:val="24"/>
          <w:szCs w:val="24"/>
          <w:lang w:eastAsia="hr-HR"/>
          <w14:ligatures w14:val="standardContextual"/>
        </w:rPr>
        <w:t>% u odnosu na 202</w:t>
      </w:r>
      <w:r>
        <w:rPr>
          <w:color w:val="000000"/>
          <w:kern w:val="2"/>
          <w:sz w:val="24"/>
          <w:szCs w:val="24"/>
          <w:lang w:eastAsia="hr-HR"/>
          <w14:ligatures w14:val="standardContextual"/>
        </w:rPr>
        <w:t>3</w:t>
      </w:r>
      <w:r w:rsidRPr="00910DAE">
        <w:rPr>
          <w:color w:val="000000"/>
          <w:kern w:val="2"/>
          <w:sz w:val="24"/>
          <w:szCs w:val="24"/>
          <w:lang w:eastAsia="hr-HR"/>
          <w14:ligatures w14:val="standardContextual"/>
        </w:rPr>
        <w:t>. te prosječno 20</w:t>
      </w:r>
      <w:r>
        <w:rPr>
          <w:color w:val="000000"/>
          <w:kern w:val="2"/>
          <w:sz w:val="24"/>
          <w:szCs w:val="24"/>
          <w:lang w:eastAsia="hr-HR"/>
          <w14:ligatures w14:val="standardContextual"/>
        </w:rPr>
        <w:t>,4</w:t>
      </w:r>
      <w:r w:rsidRPr="00910DAE">
        <w:rPr>
          <w:color w:val="000000"/>
          <w:kern w:val="2"/>
          <w:sz w:val="24"/>
          <w:szCs w:val="24"/>
          <w:lang w:eastAsia="hr-HR"/>
          <w14:ligatures w14:val="standardContextual"/>
        </w:rPr>
        <w:t xml:space="preserve"> zdravstvenih djelatnika na 1.000 stanovnika (</w:t>
      </w:r>
      <w:r>
        <w:rPr>
          <w:color w:val="000000"/>
          <w:kern w:val="2"/>
          <w:sz w:val="24"/>
          <w:szCs w:val="24"/>
          <w:lang w:eastAsia="hr-HR"/>
          <w14:ligatures w14:val="standardContextual"/>
        </w:rPr>
        <w:t>20</w:t>
      </w:r>
      <w:r w:rsidRPr="00910DAE">
        <w:rPr>
          <w:color w:val="000000"/>
          <w:kern w:val="2"/>
          <w:sz w:val="24"/>
          <w:szCs w:val="24"/>
          <w:lang w:eastAsia="hr-HR"/>
          <w14:ligatures w14:val="standardContextual"/>
        </w:rPr>
        <w:t xml:space="preserve"> u 202</w:t>
      </w:r>
      <w:r>
        <w:rPr>
          <w:color w:val="000000"/>
          <w:kern w:val="2"/>
          <w:sz w:val="24"/>
          <w:szCs w:val="24"/>
          <w:lang w:eastAsia="hr-HR"/>
          <w14:ligatures w14:val="standardContextual"/>
        </w:rPr>
        <w:t>3</w:t>
      </w:r>
      <w:r w:rsidRPr="00910DAE">
        <w:rPr>
          <w:color w:val="000000"/>
          <w:kern w:val="2"/>
          <w:sz w:val="24"/>
          <w:szCs w:val="24"/>
          <w:lang w:eastAsia="hr-HR"/>
          <w14:ligatures w14:val="standardContextual"/>
        </w:rPr>
        <w:t>.</w:t>
      </w:r>
      <w:r>
        <w:rPr>
          <w:color w:val="000000"/>
          <w:kern w:val="2"/>
          <w:sz w:val="24"/>
          <w:szCs w:val="24"/>
          <w:lang w:eastAsia="hr-HR"/>
          <w14:ligatures w14:val="standardContextual"/>
        </w:rPr>
        <w:t xml:space="preserve"> godini</w:t>
      </w:r>
      <w:r w:rsidRPr="00910DAE">
        <w:rPr>
          <w:color w:val="000000"/>
          <w:kern w:val="2"/>
          <w:sz w:val="24"/>
          <w:szCs w:val="24"/>
          <w:lang w:eastAsia="hr-HR"/>
          <w14:ligatures w14:val="standardContextual"/>
        </w:rPr>
        <w:t xml:space="preserve">). </w:t>
      </w:r>
      <w:r>
        <w:rPr>
          <w:color w:val="000000"/>
          <w:kern w:val="2"/>
          <w:sz w:val="24"/>
          <w:szCs w:val="24"/>
          <w:lang w:eastAsia="hr-HR"/>
          <w14:ligatures w14:val="standardContextual"/>
        </w:rPr>
        <w:t>U</w:t>
      </w:r>
      <w:r w:rsidRPr="00910DAE">
        <w:rPr>
          <w:color w:val="000000"/>
          <w:kern w:val="2"/>
          <w:sz w:val="24"/>
          <w:szCs w:val="24"/>
          <w:lang w:eastAsia="hr-HR"/>
          <w14:ligatures w14:val="standardContextual"/>
        </w:rPr>
        <w:t xml:space="preserve"> ukupno</w:t>
      </w:r>
      <w:r>
        <w:rPr>
          <w:color w:val="000000"/>
          <w:kern w:val="2"/>
          <w:sz w:val="24"/>
          <w:szCs w:val="24"/>
          <w:lang w:eastAsia="hr-HR"/>
          <w14:ligatures w14:val="standardContextual"/>
        </w:rPr>
        <w:t>m</w:t>
      </w:r>
      <w:r w:rsidRPr="00910DAE">
        <w:rPr>
          <w:color w:val="000000"/>
          <w:kern w:val="2"/>
          <w:sz w:val="24"/>
          <w:szCs w:val="24"/>
          <w:lang w:eastAsia="hr-HR"/>
          <w14:ligatures w14:val="standardContextual"/>
        </w:rPr>
        <w:t xml:space="preserve"> broj</w:t>
      </w:r>
      <w:r>
        <w:rPr>
          <w:color w:val="000000"/>
          <w:kern w:val="2"/>
          <w:sz w:val="24"/>
          <w:szCs w:val="24"/>
          <w:lang w:eastAsia="hr-HR"/>
          <w14:ligatures w14:val="standardContextual"/>
        </w:rPr>
        <w:t>u</w:t>
      </w:r>
      <w:r w:rsidRPr="00910DAE">
        <w:rPr>
          <w:color w:val="000000"/>
          <w:kern w:val="2"/>
          <w:sz w:val="24"/>
          <w:szCs w:val="24"/>
          <w:lang w:eastAsia="hr-HR"/>
          <w14:ligatures w14:val="standardContextual"/>
        </w:rPr>
        <w:t xml:space="preserve"> zaposlenih, doktora medicine je bilo 16.</w:t>
      </w:r>
      <w:r>
        <w:rPr>
          <w:color w:val="000000"/>
          <w:kern w:val="2"/>
          <w:sz w:val="24"/>
          <w:szCs w:val="24"/>
          <w:lang w:eastAsia="hr-HR"/>
          <w14:ligatures w14:val="standardContextual"/>
        </w:rPr>
        <w:t>550</w:t>
      </w:r>
      <w:r w:rsidRPr="00910DAE">
        <w:rPr>
          <w:color w:val="000000"/>
          <w:kern w:val="2"/>
          <w:sz w:val="24"/>
          <w:szCs w:val="24"/>
          <w:lang w:eastAsia="hr-HR"/>
          <w14:ligatures w14:val="standardContextual"/>
        </w:rPr>
        <w:t xml:space="preserve"> (</w:t>
      </w:r>
      <w:r>
        <w:rPr>
          <w:color w:val="000000"/>
          <w:kern w:val="2"/>
          <w:sz w:val="24"/>
          <w:szCs w:val="24"/>
          <w:lang w:eastAsia="hr-HR"/>
          <w14:ligatures w14:val="standardContextual"/>
        </w:rPr>
        <w:t>2</w:t>
      </w:r>
      <w:r w:rsidRPr="00910DAE">
        <w:rPr>
          <w:color w:val="000000"/>
          <w:kern w:val="2"/>
          <w:sz w:val="24"/>
          <w:szCs w:val="24"/>
          <w:lang w:eastAsia="hr-HR"/>
          <w14:ligatures w14:val="standardContextual"/>
        </w:rPr>
        <w:t>,</w:t>
      </w:r>
      <w:r>
        <w:rPr>
          <w:color w:val="000000"/>
          <w:kern w:val="2"/>
          <w:sz w:val="24"/>
          <w:szCs w:val="24"/>
          <w:lang w:eastAsia="hr-HR"/>
          <w14:ligatures w14:val="standardContextual"/>
        </w:rPr>
        <w:t>75</w:t>
      </w:r>
      <w:r w:rsidRPr="00910DAE">
        <w:rPr>
          <w:color w:val="000000"/>
          <w:kern w:val="2"/>
          <w:sz w:val="24"/>
          <w:szCs w:val="24"/>
          <w:lang w:eastAsia="hr-HR"/>
          <w14:ligatures w14:val="standardContextual"/>
        </w:rPr>
        <w:t>% više u odnosu na 202</w:t>
      </w:r>
      <w:r>
        <w:rPr>
          <w:color w:val="000000"/>
          <w:kern w:val="2"/>
          <w:sz w:val="24"/>
          <w:szCs w:val="24"/>
          <w:lang w:eastAsia="hr-HR"/>
          <w14:ligatures w14:val="standardContextual"/>
        </w:rPr>
        <w:t>3</w:t>
      </w:r>
      <w:r w:rsidRPr="00910DAE">
        <w:rPr>
          <w:color w:val="000000"/>
          <w:kern w:val="2"/>
          <w:sz w:val="24"/>
          <w:szCs w:val="24"/>
          <w:lang w:eastAsia="hr-HR"/>
          <w14:ligatures w14:val="standardContextual"/>
        </w:rPr>
        <w:t>.), odnosno prosječno 4,</w:t>
      </w:r>
      <w:r>
        <w:rPr>
          <w:color w:val="000000"/>
          <w:kern w:val="2"/>
          <w:sz w:val="24"/>
          <w:szCs w:val="24"/>
          <w:lang w:eastAsia="hr-HR"/>
          <w14:ligatures w14:val="standardContextual"/>
        </w:rPr>
        <w:t>28</w:t>
      </w:r>
      <w:r w:rsidRPr="00910DAE">
        <w:rPr>
          <w:color w:val="000000"/>
          <w:kern w:val="2"/>
          <w:sz w:val="24"/>
          <w:szCs w:val="24"/>
          <w:lang w:eastAsia="hr-HR"/>
          <w14:ligatures w14:val="standardContextual"/>
        </w:rPr>
        <w:t xml:space="preserve"> doktora na 1.000 stanovnika (4,</w:t>
      </w:r>
      <w:r>
        <w:rPr>
          <w:color w:val="000000"/>
          <w:kern w:val="2"/>
          <w:sz w:val="24"/>
          <w:szCs w:val="24"/>
          <w:lang w:eastAsia="hr-HR"/>
          <w14:ligatures w14:val="standardContextual"/>
        </w:rPr>
        <w:t>16</w:t>
      </w:r>
      <w:r w:rsidRPr="00910DAE">
        <w:rPr>
          <w:color w:val="000000"/>
          <w:kern w:val="2"/>
          <w:sz w:val="24"/>
          <w:szCs w:val="24"/>
          <w:lang w:eastAsia="hr-HR"/>
          <w14:ligatures w14:val="standardContextual"/>
        </w:rPr>
        <w:t xml:space="preserve"> u 202</w:t>
      </w:r>
      <w:r>
        <w:rPr>
          <w:color w:val="000000"/>
          <w:kern w:val="2"/>
          <w:sz w:val="24"/>
          <w:szCs w:val="24"/>
          <w:lang w:eastAsia="hr-HR"/>
          <w14:ligatures w14:val="standardContextual"/>
        </w:rPr>
        <w:t>3</w:t>
      </w:r>
      <w:r w:rsidRPr="00910DAE">
        <w:rPr>
          <w:color w:val="000000"/>
          <w:kern w:val="2"/>
          <w:sz w:val="24"/>
          <w:szCs w:val="24"/>
          <w:lang w:eastAsia="hr-HR"/>
          <w14:ligatures w14:val="standardContextual"/>
        </w:rPr>
        <w:t>.)</w:t>
      </w:r>
      <w:r>
        <w:rPr>
          <w:color w:val="000000"/>
          <w:kern w:val="2"/>
          <w:sz w:val="24"/>
          <w:szCs w:val="24"/>
          <w:lang w:eastAsia="hr-HR"/>
          <w14:ligatures w14:val="standardContextual"/>
        </w:rPr>
        <w:t>, više od prosjeka zemalja OECD-a (3,9 doktora na 1.000 stanovnika)</w:t>
      </w:r>
      <w:r w:rsidRPr="00910DAE">
        <w:rPr>
          <w:color w:val="000000"/>
          <w:kern w:val="2"/>
          <w:sz w:val="24"/>
          <w:szCs w:val="24"/>
          <w:lang w:eastAsia="hr-HR"/>
          <w14:ligatures w14:val="standardContextual"/>
        </w:rPr>
        <w:t>. Doktora dentalne medicine bilo je zaposleno ukupno 4.</w:t>
      </w:r>
      <w:r>
        <w:rPr>
          <w:color w:val="000000"/>
          <w:kern w:val="2"/>
          <w:sz w:val="24"/>
          <w:szCs w:val="24"/>
          <w:lang w:eastAsia="hr-HR"/>
          <w14:ligatures w14:val="standardContextual"/>
        </w:rPr>
        <w:t>124</w:t>
      </w:r>
      <w:r w:rsidRPr="00910DAE">
        <w:rPr>
          <w:color w:val="000000"/>
          <w:kern w:val="2"/>
          <w:sz w:val="24"/>
          <w:szCs w:val="24"/>
          <w:lang w:eastAsia="hr-HR"/>
          <w14:ligatures w14:val="standardContextual"/>
        </w:rPr>
        <w:t xml:space="preserve"> (</w:t>
      </w:r>
      <w:r>
        <w:rPr>
          <w:color w:val="000000"/>
          <w:kern w:val="2"/>
          <w:sz w:val="24"/>
          <w:szCs w:val="24"/>
          <w:lang w:eastAsia="hr-HR"/>
          <w14:ligatures w14:val="standardContextual"/>
        </w:rPr>
        <w:t>2,76</w:t>
      </w:r>
      <w:r w:rsidRPr="00910DAE">
        <w:rPr>
          <w:color w:val="000000"/>
          <w:kern w:val="2"/>
          <w:sz w:val="24"/>
          <w:szCs w:val="24"/>
          <w:lang w:eastAsia="hr-HR"/>
          <w14:ligatures w14:val="standardContextual"/>
        </w:rPr>
        <w:t>% više u odnosu na 202</w:t>
      </w:r>
      <w:r>
        <w:rPr>
          <w:color w:val="000000"/>
          <w:kern w:val="2"/>
          <w:sz w:val="24"/>
          <w:szCs w:val="24"/>
          <w:lang w:eastAsia="hr-HR"/>
          <w14:ligatures w14:val="standardContextual"/>
        </w:rPr>
        <w:t>3</w:t>
      </w:r>
      <w:r w:rsidRPr="00910DAE">
        <w:rPr>
          <w:color w:val="000000"/>
          <w:kern w:val="2"/>
          <w:sz w:val="24"/>
          <w:szCs w:val="24"/>
          <w:lang w:eastAsia="hr-HR"/>
          <w14:ligatures w14:val="standardContextual"/>
        </w:rPr>
        <w:t>.), odnosno 1,0</w:t>
      </w:r>
      <w:r>
        <w:rPr>
          <w:color w:val="000000"/>
          <w:kern w:val="2"/>
          <w:sz w:val="24"/>
          <w:szCs w:val="24"/>
          <w:lang w:eastAsia="hr-HR"/>
          <w14:ligatures w14:val="standardContextual"/>
        </w:rPr>
        <w:t>6</w:t>
      </w:r>
      <w:r w:rsidRPr="00910DAE">
        <w:rPr>
          <w:color w:val="000000"/>
          <w:kern w:val="2"/>
          <w:sz w:val="24"/>
          <w:szCs w:val="24"/>
          <w:lang w:eastAsia="hr-HR"/>
          <w14:ligatures w14:val="standardContextual"/>
        </w:rPr>
        <w:t xml:space="preserve"> doktora dentalne medicine na 1.000 stanovnika (1,0</w:t>
      </w:r>
      <w:r>
        <w:rPr>
          <w:color w:val="000000"/>
          <w:kern w:val="2"/>
          <w:sz w:val="24"/>
          <w:szCs w:val="24"/>
          <w:lang w:eastAsia="hr-HR"/>
          <w14:ligatures w14:val="standardContextual"/>
        </w:rPr>
        <w:t>4</w:t>
      </w:r>
      <w:r w:rsidRPr="00910DAE">
        <w:rPr>
          <w:color w:val="000000"/>
          <w:kern w:val="2"/>
          <w:sz w:val="24"/>
          <w:szCs w:val="24"/>
          <w:lang w:eastAsia="hr-HR"/>
          <w14:ligatures w14:val="standardContextual"/>
        </w:rPr>
        <w:t xml:space="preserve"> u 202</w:t>
      </w:r>
      <w:r>
        <w:rPr>
          <w:color w:val="000000"/>
          <w:kern w:val="2"/>
          <w:sz w:val="24"/>
          <w:szCs w:val="24"/>
          <w:lang w:eastAsia="hr-HR"/>
          <w14:ligatures w14:val="standardContextual"/>
        </w:rPr>
        <w:t>3</w:t>
      </w:r>
      <w:r w:rsidRPr="00910DAE">
        <w:rPr>
          <w:color w:val="000000"/>
          <w:kern w:val="2"/>
          <w:sz w:val="24"/>
          <w:szCs w:val="24"/>
          <w:lang w:eastAsia="hr-HR"/>
          <w14:ligatures w14:val="standardContextual"/>
        </w:rPr>
        <w:t>.</w:t>
      </w:r>
      <w:r>
        <w:rPr>
          <w:color w:val="000000"/>
          <w:kern w:val="2"/>
          <w:sz w:val="24"/>
          <w:szCs w:val="24"/>
          <w:lang w:eastAsia="hr-HR"/>
          <w14:ligatures w14:val="standardContextual"/>
        </w:rPr>
        <w:t xml:space="preserve"> godini</w:t>
      </w:r>
      <w:r w:rsidRPr="00910DAE">
        <w:rPr>
          <w:color w:val="000000"/>
          <w:kern w:val="2"/>
          <w:sz w:val="24"/>
          <w:szCs w:val="24"/>
          <w:lang w:eastAsia="hr-HR"/>
          <w14:ligatures w14:val="standardContextual"/>
        </w:rPr>
        <w:t>).</w:t>
      </w:r>
      <w:r>
        <w:rPr>
          <w:color w:val="000000"/>
          <w:kern w:val="2"/>
          <w:sz w:val="24"/>
          <w:szCs w:val="24"/>
          <w:lang w:eastAsia="hr-HR"/>
          <w14:ligatures w14:val="standardContextual"/>
        </w:rPr>
        <w:t xml:space="preserve"> Iznadprosječan je i broj medicinskih sestara na 1.000 stanovnika, koji je u 2024. iznosio 9,5 sestara na 1.000 stanovnika i porastao je u odnosu na 2023. (8,9 sestara na 1.000 stanovnika), dok prosjek zemalja OECD-a iznosi 9,2 sestara na 1.000 stanovnika. U pogledu ukupnih rashoda za zdravstvenu skrb i zaštitu, s udjelom od 7,15% BDP-a (1.446 eura po stanovniku) Hrvatska je znatno ispod prosjeka zemalja OECD-a, koje u prosjeku ulažu 9,3% BDP-a (5.490 eura po stanovniku). </w:t>
      </w:r>
      <w:r w:rsidRPr="0010033C">
        <w:rPr>
          <w:color w:val="000000"/>
          <w:kern w:val="2"/>
          <w:sz w:val="24"/>
          <w:szCs w:val="24"/>
          <w:lang w:eastAsia="hr-HR"/>
          <w14:ligatures w14:val="standardContextual"/>
        </w:rPr>
        <w:t>Usporedb</w:t>
      </w:r>
      <w:r>
        <w:rPr>
          <w:color w:val="000000"/>
          <w:kern w:val="2"/>
          <w:sz w:val="24"/>
          <w:szCs w:val="24"/>
          <w:lang w:eastAsia="hr-HR"/>
          <w14:ligatures w14:val="standardContextual"/>
        </w:rPr>
        <w:t>om</w:t>
      </w:r>
      <w:r w:rsidRPr="0010033C">
        <w:rPr>
          <w:color w:val="000000"/>
          <w:kern w:val="2"/>
          <w:sz w:val="24"/>
          <w:szCs w:val="24"/>
          <w:lang w:eastAsia="hr-HR"/>
          <w14:ligatures w14:val="standardContextual"/>
        </w:rPr>
        <w:t xml:space="preserve"> s OECD </w:t>
      </w:r>
      <w:r>
        <w:rPr>
          <w:color w:val="000000"/>
          <w:kern w:val="2"/>
          <w:sz w:val="24"/>
          <w:szCs w:val="24"/>
          <w:lang w:eastAsia="hr-HR"/>
          <w14:ligatures w14:val="standardContextual"/>
        </w:rPr>
        <w:t>zemljama</w:t>
      </w:r>
      <w:r w:rsidRPr="0010033C">
        <w:rPr>
          <w:color w:val="000000"/>
          <w:kern w:val="2"/>
          <w:sz w:val="24"/>
          <w:szCs w:val="24"/>
          <w:lang w:eastAsia="hr-HR"/>
          <w14:ligatures w14:val="standardContextual"/>
        </w:rPr>
        <w:t xml:space="preserve"> </w:t>
      </w:r>
      <w:r>
        <w:rPr>
          <w:color w:val="000000"/>
          <w:kern w:val="2"/>
          <w:sz w:val="24"/>
          <w:szCs w:val="24"/>
          <w:lang w:eastAsia="hr-HR"/>
          <w14:ligatures w14:val="standardContextual"/>
        </w:rPr>
        <w:t>vidljivo</w:t>
      </w:r>
      <w:r w:rsidRPr="0010033C">
        <w:rPr>
          <w:color w:val="000000"/>
          <w:kern w:val="2"/>
          <w:sz w:val="24"/>
          <w:szCs w:val="24"/>
          <w:lang w:eastAsia="hr-HR"/>
          <w14:ligatures w14:val="standardContextual"/>
        </w:rPr>
        <w:t xml:space="preserve"> </w:t>
      </w:r>
      <w:r>
        <w:rPr>
          <w:color w:val="000000"/>
          <w:kern w:val="2"/>
          <w:sz w:val="24"/>
          <w:szCs w:val="24"/>
          <w:lang w:eastAsia="hr-HR"/>
          <w14:ligatures w14:val="standardContextual"/>
        </w:rPr>
        <w:t xml:space="preserve">je </w:t>
      </w:r>
      <w:r w:rsidRPr="0010033C">
        <w:rPr>
          <w:color w:val="000000"/>
          <w:kern w:val="2"/>
          <w:sz w:val="24"/>
          <w:szCs w:val="24"/>
          <w:lang w:eastAsia="hr-HR"/>
          <w14:ligatures w14:val="standardContextual"/>
        </w:rPr>
        <w:t xml:space="preserve">da, unatoč </w:t>
      </w:r>
      <w:r>
        <w:rPr>
          <w:color w:val="000000"/>
          <w:kern w:val="2"/>
          <w:sz w:val="24"/>
          <w:szCs w:val="24"/>
          <w:lang w:eastAsia="hr-HR"/>
          <w14:ligatures w14:val="standardContextual"/>
        </w:rPr>
        <w:t xml:space="preserve">pomacima u </w:t>
      </w:r>
      <w:r w:rsidRPr="0010033C">
        <w:rPr>
          <w:color w:val="000000"/>
          <w:kern w:val="2"/>
          <w:sz w:val="24"/>
          <w:szCs w:val="24"/>
          <w:lang w:eastAsia="hr-HR"/>
          <w14:ligatures w14:val="standardContextual"/>
        </w:rPr>
        <w:t xml:space="preserve">povećanju kapaciteta i </w:t>
      </w:r>
      <w:r>
        <w:rPr>
          <w:color w:val="000000"/>
          <w:kern w:val="2"/>
          <w:sz w:val="24"/>
          <w:szCs w:val="24"/>
          <w:lang w:eastAsia="hr-HR"/>
          <w14:ligatures w14:val="standardContextual"/>
        </w:rPr>
        <w:t xml:space="preserve">nastavku </w:t>
      </w:r>
      <w:r w:rsidRPr="0010033C">
        <w:rPr>
          <w:color w:val="000000"/>
          <w:kern w:val="2"/>
          <w:sz w:val="24"/>
          <w:szCs w:val="24"/>
          <w:lang w:eastAsia="hr-HR"/>
          <w14:ligatures w14:val="standardContextual"/>
        </w:rPr>
        <w:t>strukturni</w:t>
      </w:r>
      <w:r>
        <w:rPr>
          <w:color w:val="000000"/>
          <w:kern w:val="2"/>
          <w:sz w:val="24"/>
          <w:szCs w:val="24"/>
          <w:lang w:eastAsia="hr-HR"/>
          <w14:ligatures w14:val="standardContextual"/>
        </w:rPr>
        <w:t xml:space="preserve">h </w:t>
      </w:r>
      <w:r w:rsidRPr="0010033C">
        <w:rPr>
          <w:color w:val="000000"/>
          <w:kern w:val="2"/>
          <w:sz w:val="24"/>
          <w:szCs w:val="24"/>
          <w:lang w:eastAsia="hr-HR"/>
          <w14:ligatures w14:val="standardContextual"/>
        </w:rPr>
        <w:t>reforma</w:t>
      </w:r>
      <w:r>
        <w:rPr>
          <w:color w:val="000000"/>
          <w:kern w:val="2"/>
          <w:sz w:val="24"/>
          <w:szCs w:val="24"/>
          <w:lang w:eastAsia="hr-HR"/>
          <w14:ligatures w14:val="standardContextual"/>
        </w:rPr>
        <w:t xml:space="preserve"> u zdravstvu</w:t>
      </w:r>
      <w:r w:rsidRPr="0010033C">
        <w:rPr>
          <w:color w:val="000000"/>
          <w:kern w:val="2"/>
          <w:sz w:val="24"/>
          <w:szCs w:val="24"/>
          <w:lang w:eastAsia="hr-HR"/>
          <w14:ligatures w14:val="standardContextual"/>
        </w:rPr>
        <w:t xml:space="preserve">, </w:t>
      </w:r>
      <w:r>
        <w:rPr>
          <w:color w:val="000000"/>
          <w:kern w:val="2"/>
          <w:sz w:val="24"/>
          <w:szCs w:val="24"/>
          <w:lang w:eastAsia="hr-HR"/>
          <w14:ligatures w14:val="standardContextual"/>
        </w:rPr>
        <w:t xml:space="preserve">ostaju aktualni </w:t>
      </w:r>
      <w:r w:rsidRPr="0010033C">
        <w:rPr>
          <w:color w:val="000000"/>
          <w:kern w:val="2"/>
          <w:sz w:val="24"/>
          <w:szCs w:val="24"/>
          <w:lang w:eastAsia="hr-HR"/>
          <w14:ligatures w14:val="standardContextual"/>
        </w:rPr>
        <w:t>ključni izazovi hrvatskog zdravstvenog sustava</w:t>
      </w:r>
      <w:r>
        <w:rPr>
          <w:color w:val="000000"/>
          <w:kern w:val="2"/>
          <w:sz w:val="24"/>
          <w:szCs w:val="24"/>
          <w:lang w:eastAsia="hr-HR"/>
          <w14:ligatures w14:val="standardContextual"/>
        </w:rPr>
        <w:t>,</w:t>
      </w:r>
      <w:r w:rsidRPr="0010033C">
        <w:rPr>
          <w:color w:val="000000"/>
          <w:kern w:val="2"/>
          <w:sz w:val="24"/>
          <w:szCs w:val="24"/>
          <w:lang w:eastAsia="hr-HR"/>
          <w14:ligatures w14:val="standardContextual"/>
        </w:rPr>
        <w:t xml:space="preserve"> </w:t>
      </w:r>
      <w:r>
        <w:rPr>
          <w:color w:val="000000"/>
          <w:kern w:val="2"/>
          <w:sz w:val="24"/>
          <w:szCs w:val="24"/>
          <w:lang w:eastAsia="hr-HR"/>
          <w14:ligatures w14:val="standardContextual"/>
        </w:rPr>
        <w:t>koj</w:t>
      </w:r>
      <w:r w:rsidRPr="0010033C">
        <w:rPr>
          <w:color w:val="000000"/>
          <w:kern w:val="2"/>
          <w:sz w:val="24"/>
          <w:szCs w:val="24"/>
          <w:lang w:eastAsia="hr-HR"/>
          <w14:ligatures w14:val="standardContextual"/>
        </w:rPr>
        <w:t>i obuhvaćaju visoku smrtnost od kardiovaskularnih bolesti</w:t>
      </w:r>
      <w:r>
        <w:rPr>
          <w:color w:val="000000"/>
          <w:kern w:val="2"/>
          <w:sz w:val="24"/>
          <w:szCs w:val="24"/>
          <w:lang w:eastAsia="hr-HR"/>
          <w14:ligatures w14:val="standardContextual"/>
        </w:rPr>
        <w:t xml:space="preserve"> i novotvorina</w:t>
      </w:r>
      <w:r w:rsidRPr="0010033C">
        <w:rPr>
          <w:color w:val="000000"/>
          <w:kern w:val="2"/>
          <w:sz w:val="24"/>
          <w:szCs w:val="24"/>
          <w:lang w:eastAsia="hr-HR"/>
          <w14:ligatures w14:val="standardContextual"/>
        </w:rPr>
        <w:t>, ne</w:t>
      </w:r>
      <w:r>
        <w:rPr>
          <w:color w:val="000000"/>
          <w:kern w:val="2"/>
          <w:sz w:val="24"/>
          <w:szCs w:val="24"/>
          <w:lang w:eastAsia="hr-HR"/>
          <w14:ligatures w14:val="standardContextual"/>
        </w:rPr>
        <w:t>ravnomjerno raspoređene</w:t>
      </w:r>
      <w:r w:rsidRPr="0010033C">
        <w:rPr>
          <w:color w:val="000000"/>
          <w:kern w:val="2"/>
          <w:sz w:val="24"/>
          <w:szCs w:val="24"/>
          <w:lang w:eastAsia="hr-HR"/>
          <w14:ligatures w14:val="standardContextual"/>
        </w:rPr>
        <w:t xml:space="preserve"> bolničke</w:t>
      </w:r>
      <w:r>
        <w:rPr>
          <w:color w:val="000000"/>
          <w:kern w:val="2"/>
          <w:sz w:val="24"/>
          <w:szCs w:val="24"/>
          <w:lang w:eastAsia="hr-HR"/>
          <w14:ligatures w14:val="standardContextual"/>
        </w:rPr>
        <w:t xml:space="preserve"> kapacitete</w:t>
      </w:r>
      <w:r w:rsidRPr="0010033C">
        <w:rPr>
          <w:color w:val="000000"/>
          <w:kern w:val="2"/>
          <w:sz w:val="24"/>
          <w:szCs w:val="24"/>
          <w:lang w:eastAsia="hr-HR"/>
          <w14:ligatures w14:val="standardContextual"/>
        </w:rPr>
        <w:t xml:space="preserve"> i </w:t>
      </w:r>
      <w:r>
        <w:rPr>
          <w:color w:val="000000"/>
          <w:kern w:val="2"/>
          <w:sz w:val="24"/>
          <w:szCs w:val="24"/>
          <w:lang w:eastAsia="hr-HR"/>
          <w14:ligatures w14:val="standardContextual"/>
        </w:rPr>
        <w:t xml:space="preserve">nedostatne kapacitete </w:t>
      </w:r>
      <w:r w:rsidRPr="0010033C">
        <w:rPr>
          <w:color w:val="000000"/>
          <w:kern w:val="2"/>
          <w:sz w:val="24"/>
          <w:szCs w:val="24"/>
          <w:lang w:eastAsia="hr-HR"/>
          <w14:ligatures w14:val="standardContextual"/>
        </w:rPr>
        <w:t>dugotrajne skrbi</w:t>
      </w:r>
      <w:r>
        <w:rPr>
          <w:color w:val="000000"/>
          <w:kern w:val="2"/>
          <w:sz w:val="24"/>
          <w:szCs w:val="24"/>
          <w:lang w:eastAsia="hr-HR"/>
          <w14:ligatures w14:val="standardContextual"/>
        </w:rPr>
        <w:t>,</w:t>
      </w:r>
      <w:r w:rsidRPr="0010033C">
        <w:rPr>
          <w:color w:val="000000"/>
          <w:kern w:val="2"/>
          <w:sz w:val="24"/>
          <w:szCs w:val="24"/>
          <w:lang w:eastAsia="hr-HR"/>
          <w14:ligatures w14:val="standardContextual"/>
        </w:rPr>
        <w:t xml:space="preserve"> </w:t>
      </w:r>
      <w:r>
        <w:rPr>
          <w:color w:val="000000"/>
          <w:kern w:val="2"/>
          <w:sz w:val="24"/>
          <w:szCs w:val="24"/>
          <w:lang w:eastAsia="hr-HR"/>
          <w14:ligatures w14:val="standardContextual"/>
        </w:rPr>
        <w:t>uz izraženu</w:t>
      </w:r>
      <w:r w:rsidRPr="0010033C">
        <w:rPr>
          <w:color w:val="000000"/>
          <w:kern w:val="2"/>
          <w:sz w:val="24"/>
          <w:szCs w:val="24"/>
          <w:lang w:eastAsia="hr-HR"/>
          <w14:ligatures w14:val="standardContextual"/>
        </w:rPr>
        <w:t xml:space="preserve"> potrebu za </w:t>
      </w:r>
      <w:r>
        <w:rPr>
          <w:color w:val="000000"/>
          <w:kern w:val="2"/>
          <w:sz w:val="24"/>
          <w:szCs w:val="24"/>
          <w:lang w:eastAsia="hr-HR"/>
          <w14:ligatures w14:val="standardContextual"/>
        </w:rPr>
        <w:t xml:space="preserve">snažnijim </w:t>
      </w:r>
      <w:r w:rsidRPr="0010033C">
        <w:rPr>
          <w:color w:val="000000"/>
          <w:kern w:val="2"/>
          <w:sz w:val="24"/>
          <w:szCs w:val="24"/>
          <w:lang w:eastAsia="hr-HR"/>
          <w14:ligatures w14:val="standardContextual"/>
        </w:rPr>
        <w:t>jačanjem kadrovskih resursa.</w:t>
      </w:r>
    </w:p>
    <w:p w14:paraId="7680E74F" w14:textId="77777777" w:rsidR="00FB178A" w:rsidRDefault="00FB178A" w:rsidP="00FB178A">
      <w:pPr>
        <w:widowControl/>
        <w:autoSpaceDE/>
        <w:autoSpaceDN/>
        <w:spacing w:before="240" w:line="276" w:lineRule="auto"/>
        <w:jc w:val="both"/>
        <w:rPr>
          <w:color w:val="000000"/>
          <w:kern w:val="2"/>
          <w:sz w:val="24"/>
          <w:szCs w:val="24"/>
          <w:lang w:eastAsia="hr-HR"/>
          <w14:ligatures w14:val="standardContextual"/>
        </w:rPr>
      </w:pPr>
      <w:r w:rsidRPr="001A1AB7">
        <w:rPr>
          <w:color w:val="000000"/>
          <w:kern w:val="2"/>
          <w:sz w:val="24"/>
          <w:szCs w:val="24"/>
          <w:lang w:eastAsia="hr-HR"/>
          <w14:ligatures w14:val="standardContextual"/>
        </w:rPr>
        <w:t>Prema Izvješću o poslovanju HZZO-a za 2024.</w:t>
      </w:r>
      <w:r>
        <w:rPr>
          <w:color w:val="000000"/>
          <w:kern w:val="2"/>
          <w:sz w:val="24"/>
          <w:szCs w:val="24"/>
          <w:lang w:eastAsia="hr-HR"/>
          <w14:ligatures w14:val="standardContextual"/>
        </w:rPr>
        <w:t>,</w:t>
      </w:r>
      <w:r w:rsidRPr="001A1AB7">
        <w:rPr>
          <w:color w:val="000000"/>
          <w:kern w:val="2"/>
          <w:sz w:val="24"/>
          <w:szCs w:val="24"/>
          <w:lang w:eastAsia="hr-HR"/>
          <w14:ligatures w14:val="standardContextual"/>
        </w:rPr>
        <w:t xml:space="preserve"> nastavljen je trend jačanja financijske održivosti i kapaciteta sustava obveznog zdravstvenog osiguranja, uz istodobno širenje obujma i dostupnosti zdravstvenih usluga. Ukupni prihodi HZZO-a iznos</w:t>
      </w:r>
      <w:r>
        <w:rPr>
          <w:color w:val="000000"/>
          <w:kern w:val="2"/>
          <w:sz w:val="24"/>
          <w:szCs w:val="24"/>
          <w:lang w:eastAsia="hr-HR"/>
          <w14:ligatures w14:val="standardContextual"/>
        </w:rPr>
        <w:t>ili su</w:t>
      </w:r>
      <w:r w:rsidRPr="001A1AB7">
        <w:rPr>
          <w:color w:val="000000"/>
          <w:kern w:val="2"/>
          <w:sz w:val="24"/>
          <w:szCs w:val="24"/>
          <w:lang w:eastAsia="hr-HR"/>
          <w14:ligatures w14:val="standardContextual"/>
        </w:rPr>
        <w:t xml:space="preserve"> 5,94 m</w:t>
      </w:r>
      <w:r>
        <w:rPr>
          <w:color w:val="000000"/>
          <w:kern w:val="2"/>
          <w:sz w:val="24"/>
          <w:szCs w:val="24"/>
          <w:lang w:eastAsia="hr-HR"/>
          <w14:ligatures w14:val="standardContextual"/>
        </w:rPr>
        <w:t>ilijarde</w:t>
      </w:r>
      <w:r w:rsidRPr="001A1AB7">
        <w:rPr>
          <w:color w:val="000000"/>
          <w:kern w:val="2"/>
          <w:sz w:val="24"/>
          <w:szCs w:val="24"/>
          <w:lang w:eastAsia="hr-HR"/>
          <w14:ligatures w14:val="standardContextual"/>
        </w:rPr>
        <w:t xml:space="preserve"> eura, što </w:t>
      </w:r>
      <w:r>
        <w:rPr>
          <w:color w:val="000000"/>
          <w:kern w:val="2"/>
          <w:sz w:val="24"/>
          <w:szCs w:val="24"/>
          <w:lang w:eastAsia="hr-HR"/>
          <w14:ligatures w14:val="standardContextual"/>
        </w:rPr>
        <w:t>predstavlja</w:t>
      </w:r>
      <w:r w:rsidRPr="001A1AB7">
        <w:rPr>
          <w:color w:val="000000"/>
          <w:kern w:val="2"/>
          <w:sz w:val="24"/>
          <w:szCs w:val="24"/>
          <w:lang w:eastAsia="hr-HR"/>
          <w14:ligatures w14:val="standardContextual"/>
        </w:rPr>
        <w:t xml:space="preserve"> porast od 15,76% u odnosu na 2023. pri čemu </w:t>
      </w:r>
      <w:r>
        <w:rPr>
          <w:color w:val="000000"/>
          <w:kern w:val="2"/>
          <w:sz w:val="24"/>
          <w:szCs w:val="24"/>
          <w:lang w:eastAsia="hr-HR"/>
          <w14:ligatures w14:val="standardContextual"/>
        </w:rPr>
        <w:t xml:space="preserve">su </w:t>
      </w:r>
      <w:r w:rsidRPr="001A1AB7">
        <w:rPr>
          <w:color w:val="000000"/>
          <w:kern w:val="2"/>
          <w:sz w:val="24"/>
          <w:szCs w:val="24"/>
          <w:lang w:eastAsia="hr-HR"/>
          <w14:ligatures w14:val="standardContextual"/>
        </w:rPr>
        <w:t>prihodi od doprinosa, kao glavni izvor financiranja iznos</w:t>
      </w:r>
      <w:r>
        <w:rPr>
          <w:color w:val="000000"/>
          <w:kern w:val="2"/>
          <w:sz w:val="24"/>
          <w:szCs w:val="24"/>
          <w:lang w:eastAsia="hr-HR"/>
          <w14:ligatures w14:val="standardContextual"/>
        </w:rPr>
        <w:t>ili</w:t>
      </w:r>
      <w:r w:rsidRPr="001A1AB7">
        <w:rPr>
          <w:color w:val="000000"/>
          <w:kern w:val="2"/>
          <w:sz w:val="24"/>
          <w:szCs w:val="24"/>
          <w:lang w:eastAsia="hr-HR"/>
          <w14:ligatures w14:val="standardContextual"/>
        </w:rPr>
        <w:t xml:space="preserve"> 4,77 m</w:t>
      </w:r>
      <w:r>
        <w:rPr>
          <w:color w:val="000000"/>
          <w:kern w:val="2"/>
          <w:sz w:val="24"/>
          <w:szCs w:val="24"/>
          <w:lang w:eastAsia="hr-HR"/>
          <w14:ligatures w14:val="standardContextual"/>
        </w:rPr>
        <w:t>ilijardi</w:t>
      </w:r>
      <w:r w:rsidRPr="001A1AB7">
        <w:rPr>
          <w:color w:val="000000"/>
          <w:kern w:val="2"/>
          <w:sz w:val="24"/>
          <w:szCs w:val="24"/>
          <w:lang w:eastAsia="hr-HR"/>
          <w14:ligatures w14:val="standardContextual"/>
        </w:rPr>
        <w:t xml:space="preserve"> eura (80,26%</w:t>
      </w:r>
      <w:r>
        <w:rPr>
          <w:color w:val="000000"/>
          <w:kern w:val="2"/>
          <w:sz w:val="24"/>
          <w:szCs w:val="24"/>
          <w:lang w:eastAsia="hr-HR"/>
          <w14:ligatures w14:val="standardContextual"/>
        </w:rPr>
        <w:t>)</w:t>
      </w:r>
      <w:r w:rsidRPr="001A1AB7">
        <w:rPr>
          <w:color w:val="000000"/>
          <w:kern w:val="2"/>
          <w:sz w:val="24"/>
          <w:szCs w:val="24"/>
          <w:lang w:eastAsia="hr-HR"/>
          <w14:ligatures w14:val="standardContextual"/>
        </w:rPr>
        <w:t xml:space="preserve"> uz rast od 19,10%</w:t>
      </w:r>
      <w:r>
        <w:rPr>
          <w:color w:val="000000"/>
          <w:kern w:val="2"/>
          <w:sz w:val="24"/>
          <w:szCs w:val="24"/>
          <w:lang w:eastAsia="hr-HR"/>
          <w14:ligatures w14:val="standardContextual"/>
        </w:rPr>
        <w:t xml:space="preserve"> u odnosu na 2023. godinu. Istovremeno, </w:t>
      </w:r>
      <w:r w:rsidRPr="001A1AB7">
        <w:rPr>
          <w:color w:val="000000"/>
          <w:kern w:val="2"/>
          <w:sz w:val="24"/>
          <w:szCs w:val="24"/>
          <w:lang w:eastAsia="hr-HR"/>
          <w14:ligatures w14:val="standardContextual"/>
        </w:rPr>
        <w:t xml:space="preserve">proračunski </w:t>
      </w:r>
      <w:r>
        <w:rPr>
          <w:color w:val="000000"/>
          <w:kern w:val="2"/>
          <w:sz w:val="24"/>
          <w:szCs w:val="24"/>
          <w:lang w:eastAsia="hr-HR"/>
          <w14:ligatures w14:val="standardContextual"/>
        </w:rPr>
        <w:t>rashodi</w:t>
      </w:r>
      <w:r w:rsidRPr="001A1AB7">
        <w:rPr>
          <w:color w:val="000000"/>
          <w:kern w:val="2"/>
          <w:sz w:val="24"/>
          <w:szCs w:val="24"/>
          <w:lang w:eastAsia="hr-HR"/>
          <w14:ligatures w14:val="standardContextual"/>
        </w:rPr>
        <w:t xml:space="preserve"> </w:t>
      </w:r>
      <w:r>
        <w:rPr>
          <w:color w:val="000000"/>
          <w:kern w:val="2"/>
          <w:sz w:val="24"/>
          <w:szCs w:val="24"/>
          <w:lang w:eastAsia="hr-HR"/>
          <w14:ligatures w14:val="standardContextual"/>
        </w:rPr>
        <w:t xml:space="preserve">su </w:t>
      </w:r>
      <w:r w:rsidRPr="001A1AB7">
        <w:rPr>
          <w:color w:val="000000"/>
          <w:kern w:val="2"/>
          <w:sz w:val="24"/>
          <w:szCs w:val="24"/>
          <w:lang w:eastAsia="hr-HR"/>
          <w14:ligatures w14:val="standardContextual"/>
        </w:rPr>
        <w:t xml:space="preserve">dosegnuli 780,46 </w:t>
      </w:r>
      <w:r>
        <w:rPr>
          <w:color w:val="000000"/>
          <w:kern w:val="2"/>
          <w:sz w:val="24"/>
          <w:szCs w:val="24"/>
          <w:lang w:eastAsia="hr-HR"/>
          <w14:ligatures w14:val="standardContextual"/>
        </w:rPr>
        <w:t>milijuna</w:t>
      </w:r>
      <w:r w:rsidRPr="001A1AB7">
        <w:rPr>
          <w:color w:val="000000"/>
          <w:kern w:val="2"/>
          <w:sz w:val="24"/>
          <w:szCs w:val="24"/>
          <w:lang w:eastAsia="hr-HR"/>
          <w14:ligatures w14:val="standardContextual"/>
        </w:rPr>
        <w:t xml:space="preserve"> eura</w:t>
      </w:r>
      <w:r>
        <w:rPr>
          <w:color w:val="000000"/>
          <w:kern w:val="2"/>
          <w:sz w:val="24"/>
          <w:szCs w:val="24"/>
          <w:lang w:eastAsia="hr-HR"/>
          <w14:ligatures w14:val="standardContextual"/>
        </w:rPr>
        <w:t xml:space="preserve"> te su bili </w:t>
      </w:r>
      <w:r w:rsidRPr="001A1AB7">
        <w:rPr>
          <w:color w:val="000000"/>
          <w:kern w:val="2"/>
          <w:sz w:val="24"/>
          <w:szCs w:val="24"/>
          <w:lang w:eastAsia="hr-HR"/>
          <w14:ligatures w14:val="standardContextual"/>
        </w:rPr>
        <w:t>9,84% viš</w:t>
      </w:r>
      <w:r>
        <w:rPr>
          <w:color w:val="000000"/>
          <w:kern w:val="2"/>
          <w:sz w:val="24"/>
          <w:szCs w:val="24"/>
          <w:lang w:eastAsia="hr-HR"/>
          <w14:ligatures w14:val="standardContextual"/>
        </w:rPr>
        <w:t>i</w:t>
      </w:r>
      <w:r w:rsidRPr="001A1AB7">
        <w:rPr>
          <w:color w:val="000000"/>
          <w:kern w:val="2"/>
          <w:sz w:val="24"/>
          <w:szCs w:val="24"/>
          <w:lang w:eastAsia="hr-HR"/>
          <w14:ligatures w14:val="standardContextual"/>
        </w:rPr>
        <w:t xml:space="preserve"> nego </w:t>
      </w:r>
      <w:r>
        <w:rPr>
          <w:color w:val="000000"/>
          <w:kern w:val="2"/>
          <w:sz w:val="24"/>
          <w:szCs w:val="24"/>
          <w:lang w:eastAsia="hr-HR"/>
          <w14:ligatures w14:val="standardContextual"/>
        </w:rPr>
        <w:t>tijekom 2023.</w:t>
      </w:r>
      <w:r w:rsidRPr="001A1AB7">
        <w:rPr>
          <w:color w:val="000000"/>
          <w:kern w:val="2"/>
          <w:sz w:val="24"/>
          <w:szCs w:val="24"/>
          <w:lang w:eastAsia="hr-HR"/>
          <w14:ligatures w14:val="standardContextual"/>
        </w:rPr>
        <w:t xml:space="preserve"> godine. Ukupni rashodi </w:t>
      </w:r>
      <w:r>
        <w:rPr>
          <w:color w:val="000000"/>
          <w:kern w:val="2"/>
          <w:sz w:val="24"/>
          <w:szCs w:val="24"/>
          <w:lang w:eastAsia="hr-HR"/>
          <w14:ligatures w14:val="standardContextual"/>
        </w:rPr>
        <w:t>HZZO-a su</w:t>
      </w:r>
      <w:r w:rsidRPr="001A1AB7">
        <w:rPr>
          <w:color w:val="000000"/>
          <w:kern w:val="2"/>
          <w:sz w:val="24"/>
          <w:szCs w:val="24"/>
          <w:lang w:eastAsia="hr-HR"/>
          <w14:ligatures w14:val="standardContextual"/>
        </w:rPr>
        <w:t xml:space="preserve"> </w:t>
      </w:r>
      <w:r>
        <w:rPr>
          <w:color w:val="000000"/>
          <w:kern w:val="2"/>
          <w:sz w:val="24"/>
          <w:szCs w:val="24"/>
          <w:lang w:eastAsia="hr-HR"/>
          <w14:ligatures w14:val="standardContextual"/>
        </w:rPr>
        <w:t xml:space="preserve">u 2024. </w:t>
      </w:r>
      <w:r w:rsidRPr="001A1AB7">
        <w:rPr>
          <w:color w:val="000000"/>
          <w:kern w:val="2"/>
          <w:sz w:val="24"/>
          <w:szCs w:val="24"/>
          <w:lang w:eastAsia="hr-HR"/>
          <w14:ligatures w14:val="standardContextual"/>
        </w:rPr>
        <w:t>iznosili 5,88 m</w:t>
      </w:r>
      <w:r>
        <w:rPr>
          <w:color w:val="000000"/>
          <w:kern w:val="2"/>
          <w:sz w:val="24"/>
          <w:szCs w:val="24"/>
          <w:lang w:eastAsia="hr-HR"/>
          <w14:ligatures w14:val="standardContextual"/>
        </w:rPr>
        <w:t>ilijardi</w:t>
      </w:r>
      <w:r w:rsidRPr="001A1AB7">
        <w:rPr>
          <w:color w:val="000000"/>
          <w:kern w:val="2"/>
          <w:sz w:val="24"/>
          <w:szCs w:val="24"/>
          <w:lang w:eastAsia="hr-HR"/>
          <w14:ligatures w14:val="standardContextual"/>
        </w:rPr>
        <w:t xml:space="preserve"> eura</w:t>
      </w:r>
      <w:r>
        <w:rPr>
          <w:color w:val="000000"/>
          <w:kern w:val="2"/>
          <w:sz w:val="24"/>
          <w:szCs w:val="24"/>
          <w:lang w:eastAsia="hr-HR"/>
          <w14:ligatures w14:val="standardContextual"/>
        </w:rPr>
        <w:t xml:space="preserve"> te su porasli </w:t>
      </w:r>
      <w:r w:rsidRPr="001A1AB7">
        <w:rPr>
          <w:color w:val="000000"/>
          <w:kern w:val="2"/>
          <w:sz w:val="24"/>
          <w:szCs w:val="24"/>
          <w:lang w:eastAsia="hr-HR"/>
          <w14:ligatures w14:val="standardContextual"/>
        </w:rPr>
        <w:t xml:space="preserve">14,84%, pri čemu </w:t>
      </w:r>
      <w:r>
        <w:rPr>
          <w:color w:val="000000"/>
          <w:kern w:val="2"/>
          <w:sz w:val="24"/>
          <w:szCs w:val="24"/>
          <w:lang w:eastAsia="hr-HR"/>
          <w14:ligatures w14:val="standardContextual"/>
        </w:rPr>
        <w:t xml:space="preserve">su rashodi za </w:t>
      </w:r>
      <w:r w:rsidRPr="001A1AB7">
        <w:rPr>
          <w:color w:val="000000"/>
          <w:kern w:val="2"/>
          <w:sz w:val="24"/>
          <w:szCs w:val="24"/>
          <w:lang w:eastAsia="hr-HR"/>
          <w14:ligatures w14:val="standardContextual"/>
        </w:rPr>
        <w:t>zdravstven</w:t>
      </w:r>
      <w:r>
        <w:rPr>
          <w:color w:val="000000"/>
          <w:kern w:val="2"/>
          <w:sz w:val="24"/>
          <w:szCs w:val="24"/>
          <w:lang w:eastAsia="hr-HR"/>
          <w14:ligatures w14:val="standardContextual"/>
        </w:rPr>
        <w:t>u</w:t>
      </w:r>
      <w:r w:rsidRPr="001A1AB7">
        <w:rPr>
          <w:color w:val="000000"/>
          <w:kern w:val="2"/>
          <w:sz w:val="24"/>
          <w:szCs w:val="24"/>
          <w:lang w:eastAsia="hr-HR"/>
          <w14:ligatures w14:val="standardContextual"/>
        </w:rPr>
        <w:t xml:space="preserve"> zaštit</w:t>
      </w:r>
      <w:r>
        <w:rPr>
          <w:color w:val="000000"/>
          <w:kern w:val="2"/>
          <w:sz w:val="24"/>
          <w:szCs w:val="24"/>
          <w:lang w:eastAsia="hr-HR"/>
          <w14:ligatures w14:val="standardContextual"/>
        </w:rPr>
        <w:t>u temeljem</w:t>
      </w:r>
      <w:r w:rsidRPr="001A1AB7">
        <w:rPr>
          <w:color w:val="000000"/>
          <w:kern w:val="2"/>
          <w:sz w:val="24"/>
          <w:szCs w:val="24"/>
          <w:lang w:eastAsia="hr-HR"/>
          <w14:ligatures w14:val="standardContextual"/>
        </w:rPr>
        <w:t xml:space="preserve"> obveznog i dopunskog osiguranja </w:t>
      </w:r>
      <w:r>
        <w:rPr>
          <w:color w:val="000000"/>
          <w:kern w:val="2"/>
          <w:sz w:val="24"/>
          <w:szCs w:val="24"/>
          <w:lang w:eastAsia="hr-HR"/>
          <w14:ligatures w14:val="standardContextual"/>
        </w:rPr>
        <w:t>iznosili 5,31 milijardu eura (</w:t>
      </w:r>
      <w:r w:rsidRPr="001A1AB7">
        <w:rPr>
          <w:color w:val="000000"/>
          <w:kern w:val="2"/>
          <w:sz w:val="24"/>
          <w:szCs w:val="24"/>
          <w:lang w:eastAsia="hr-HR"/>
          <w14:ligatures w14:val="standardContextual"/>
        </w:rPr>
        <w:t xml:space="preserve">90,28% </w:t>
      </w:r>
      <w:r>
        <w:rPr>
          <w:color w:val="000000"/>
          <w:kern w:val="2"/>
          <w:sz w:val="24"/>
          <w:szCs w:val="24"/>
          <w:lang w:eastAsia="hr-HR"/>
          <w14:ligatures w14:val="standardContextual"/>
        </w:rPr>
        <w:t xml:space="preserve">ukupnih </w:t>
      </w:r>
      <w:r w:rsidRPr="001A1AB7">
        <w:rPr>
          <w:color w:val="000000"/>
          <w:kern w:val="2"/>
          <w:sz w:val="24"/>
          <w:szCs w:val="24"/>
          <w:lang w:eastAsia="hr-HR"/>
          <w14:ligatures w14:val="standardContextual"/>
        </w:rPr>
        <w:t>rashoda</w:t>
      </w:r>
      <w:r>
        <w:rPr>
          <w:color w:val="000000"/>
          <w:kern w:val="2"/>
          <w:sz w:val="24"/>
          <w:szCs w:val="24"/>
          <w:lang w:eastAsia="hr-HR"/>
          <w14:ligatures w14:val="standardContextual"/>
        </w:rPr>
        <w:t xml:space="preserve">) i porasli su </w:t>
      </w:r>
      <w:r w:rsidRPr="001A1AB7">
        <w:rPr>
          <w:color w:val="000000"/>
          <w:kern w:val="2"/>
          <w:sz w:val="24"/>
          <w:szCs w:val="24"/>
          <w:lang w:eastAsia="hr-HR"/>
          <w14:ligatures w14:val="standardContextual"/>
        </w:rPr>
        <w:t>15,61%</w:t>
      </w:r>
      <w:r>
        <w:rPr>
          <w:color w:val="000000"/>
          <w:kern w:val="2"/>
          <w:sz w:val="24"/>
          <w:szCs w:val="24"/>
          <w:lang w:eastAsia="hr-HR"/>
          <w14:ligatures w14:val="standardContextual"/>
        </w:rPr>
        <w:t xml:space="preserve"> u odnosu na 2023. godinu</w:t>
      </w:r>
      <w:r w:rsidRPr="001A1AB7">
        <w:rPr>
          <w:color w:val="000000"/>
          <w:kern w:val="2"/>
          <w:sz w:val="24"/>
          <w:szCs w:val="24"/>
          <w:lang w:eastAsia="hr-HR"/>
          <w14:ligatures w14:val="standardContextual"/>
        </w:rPr>
        <w:t>. U</w:t>
      </w:r>
      <w:r>
        <w:rPr>
          <w:color w:val="000000"/>
          <w:kern w:val="2"/>
          <w:sz w:val="24"/>
          <w:szCs w:val="24"/>
          <w:lang w:eastAsia="hr-HR"/>
          <w14:ligatures w14:val="standardContextual"/>
        </w:rPr>
        <w:t xml:space="preserve"> okviru </w:t>
      </w:r>
      <w:r>
        <w:rPr>
          <w:color w:val="000000"/>
          <w:kern w:val="2"/>
          <w:sz w:val="24"/>
          <w:szCs w:val="24"/>
          <w:lang w:eastAsia="hr-HR"/>
          <w14:ligatures w14:val="standardContextual"/>
        </w:rPr>
        <w:lastRenderedPageBreak/>
        <w:t>rashoda</w:t>
      </w:r>
      <w:r w:rsidRPr="001A1AB7">
        <w:rPr>
          <w:color w:val="000000"/>
          <w:kern w:val="2"/>
          <w:sz w:val="24"/>
          <w:szCs w:val="24"/>
          <w:lang w:eastAsia="hr-HR"/>
          <w14:ligatures w14:val="standardContextual"/>
        </w:rPr>
        <w:t xml:space="preserve">, bolnička zdravstvena zaštita </w:t>
      </w:r>
      <w:r>
        <w:rPr>
          <w:color w:val="000000"/>
          <w:kern w:val="2"/>
          <w:sz w:val="24"/>
          <w:szCs w:val="24"/>
          <w:lang w:eastAsia="hr-HR"/>
          <w14:ligatures w14:val="standardContextual"/>
        </w:rPr>
        <w:t>čini</w:t>
      </w:r>
      <w:r w:rsidRPr="001A1AB7">
        <w:rPr>
          <w:color w:val="000000"/>
          <w:kern w:val="2"/>
          <w:sz w:val="24"/>
          <w:szCs w:val="24"/>
          <w:lang w:eastAsia="hr-HR"/>
          <w14:ligatures w14:val="standardContextual"/>
        </w:rPr>
        <w:t xml:space="preserve"> vrijednosno najznačajnij</w:t>
      </w:r>
      <w:r>
        <w:rPr>
          <w:color w:val="000000"/>
          <w:kern w:val="2"/>
          <w:sz w:val="24"/>
          <w:szCs w:val="24"/>
          <w:lang w:eastAsia="hr-HR"/>
          <w14:ligatures w14:val="standardContextual"/>
        </w:rPr>
        <w:t>u</w:t>
      </w:r>
      <w:r w:rsidRPr="001A1AB7">
        <w:rPr>
          <w:color w:val="000000"/>
          <w:kern w:val="2"/>
          <w:sz w:val="24"/>
          <w:szCs w:val="24"/>
          <w:lang w:eastAsia="hr-HR"/>
          <w14:ligatures w14:val="standardContextual"/>
        </w:rPr>
        <w:t xml:space="preserve"> stavk</w:t>
      </w:r>
      <w:r>
        <w:rPr>
          <w:color w:val="000000"/>
          <w:kern w:val="2"/>
          <w:sz w:val="24"/>
          <w:szCs w:val="24"/>
          <w:lang w:eastAsia="hr-HR"/>
          <w14:ligatures w14:val="standardContextual"/>
        </w:rPr>
        <w:t>u</w:t>
      </w:r>
      <w:r w:rsidRPr="001A1AB7">
        <w:rPr>
          <w:color w:val="000000"/>
          <w:kern w:val="2"/>
          <w:sz w:val="24"/>
          <w:szCs w:val="24"/>
          <w:lang w:eastAsia="hr-HR"/>
          <w14:ligatures w14:val="standardContextual"/>
        </w:rPr>
        <w:t xml:space="preserve"> s 2,38 m</w:t>
      </w:r>
      <w:r>
        <w:rPr>
          <w:color w:val="000000"/>
          <w:kern w:val="2"/>
          <w:sz w:val="24"/>
          <w:szCs w:val="24"/>
          <w:lang w:eastAsia="hr-HR"/>
          <w14:ligatures w14:val="standardContextual"/>
        </w:rPr>
        <w:t>ilijardi</w:t>
      </w:r>
      <w:r w:rsidRPr="001A1AB7">
        <w:rPr>
          <w:color w:val="000000"/>
          <w:kern w:val="2"/>
          <w:sz w:val="24"/>
          <w:szCs w:val="24"/>
          <w:lang w:eastAsia="hr-HR"/>
          <w14:ligatures w14:val="standardContextual"/>
        </w:rPr>
        <w:t xml:space="preserve"> eura </w:t>
      </w:r>
      <w:r>
        <w:rPr>
          <w:color w:val="000000"/>
          <w:kern w:val="2"/>
          <w:sz w:val="24"/>
          <w:szCs w:val="24"/>
          <w:lang w:eastAsia="hr-HR"/>
          <w14:ligatures w14:val="standardContextual"/>
        </w:rPr>
        <w:t xml:space="preserve">i porast od </w:t>
      </w:r>
      <w:r w:rsidRPr="001A1AB7">
        <w:rPr>
          <w:color w:val="000000"/>
          <w:kern w:val="2"/>
          <w:sz w:val="24"/>
          <w:szCs w:val="24"/>
          <w:lang w:eastAsia="hr-HR"/>
          <w14:ligatures w14:val="standardContextual"/>
        </w:rPr>
        <w:t>15,88%</w:t>
      </w:r>
      <w:r>
        <w:rPr>
          <w:color w:val="000000"/>
          <w:kern w:val="2"/>
          <w:sz w:val="24"/>
          <w:szCs w:val="24"/>
          <w:lang w:eastAsia="hr-HR"/>
          <w14:ligatures w14:val="standardContextual"/>
        </w:rPr>
        <w:t xml:space="preserve"> u odnosu na 2023., nakon koje </w:t>
      </w:r>
      <w:r w:rsidRPr="001A1AB7">
        <w:rPr>
          <w:color w:val="000000"/>
          <w:kern w:val="2"/>
          <w:sz w:val="24"/>
          <w:szCs w:val="24"/>
          <w:lang w:eastAsia="hr-HR"/>
          <w14:ligatures w14:val="standardContextual"/>
        </w:rPr>
        <w:t>slijede primarna zdravstvena zaštita s 873,88 mi</w:t>
      </w:r>
      <w:r>
        <w:rPr>
          <w:color w:val="000000"/>
          <w:kern w:val="2"/>
          <w:sz w:val="24"/>
          <w:szCs w:val="24"/>
          <w:lang w:eastAsia="hr-HR"/>
          <w14:ligatures w14:val="standardContextual"/>
        </w:rPr>
        <w:t xml:space="preserve">lijuna </w:t>
      </w:r>
      <w:r w:rsidRPr="001A1AB7">
        <w:rPr>
          <w:color w:val="000000"/>
          <w:kern w:val="2"/>
          <w:sz w:val="24"/>
          <w:szCs w:val="24"/>
          <w:lang w:eastAsia="hr-HR"/>
          <w14:ligatures w14:val="standardContextual"/>
        </w:rPr>
        <w:t>eura</w:t>
      </w:r>
      <w:r>
        <w:rPr>
          <w:color w:val="000000"/>
          <w:kern w:val="2"/>
          <w:sz w:val="24"/>
          <w:szCs w:val="24"/>
          <w:lang w:eastAsia="hr-HR"/>
          <w14:ligatures w14:val="standardContextual"/>
        </w:rPr>
        <w:t xml:space="preserve"> i porast od </w:t>
      </w:r>
      <w:r w:rsidRPr="001A1AB7">
        <w:rPr>
          <w:color w:val="000000"/>
          <w:kern w:val="2"/>
          <w:sz w:val="24"/>
          <w:szCs w:val="24"/>
          <w:lang w:eastAsia="hr-HR"/>
          <w14:ligatures w14:val="standardContextual"/>
        </w:rPr>
        <w:t>24,44%</w:t>
      </w:r>
      <w:r>
        <w:rPr>
          <w:color w:val="000000"/>
          <w:kern w:val="2"/>
          <w:sz w:val="24"/>
          <w:szCs w:val="24"/>
          <w:lang w:eastAsia="hr-HR"/>
          <w14:ligatures w14:val="standardContextual"/>
        </w:rPr>
        <w:t xml:space="preserve"> te</w:t>
      </w:r>
      <w:r w:rsidRPr="001A1AB7">
        <w:rPr>
          <w:color w:val="000000"/>
          <w:kern w:val="2"/>
          <w:sz w:val="24"/>
          <w:szCs w:val="24"/>
          <w:lang w:eastAsia="hr-HR"/>
          <w14:ligatures w14:val="standardContextual"/>
        </w:rPr>
        <w:t xml:space="preserve"> </w:t>
      </w:r>
      <w:r>
        <w:rPr>
          <w:color w:val="000000"/>
          <w:kern w:val="2"/>
          <w:sz w:val="24"/>
          <w:szCs w:val="24"/>
          <w:lang w:eastAsia="hr-HR"/>
          <w14:ligatures w14:val="standardContextual"/>
        </w:rPr>
        <w:t xml:space="preserve">troškovi </w:t>
      </w:r>
      <w:r w:rsidRPr="001A1AB7">
        <w:rPr>
          <w:color w:val="000000"/>
          <w:kern w:val="2"/>
          <w:sz w:val="24"/>
          <w:szCs w:val="24"/>
          <w:lang w:eastAsia="hr-HR"/>
          <w14:ligatures w14:val="standardContextual"/>
        </w:rPr>
        <w:t>lijekov</w:t>
      </w:r>
      <w:r>
        <w:rPr>
          <w:color w:val="000000"/>
          <w:kern w:val="2"/>
          <w:sz w:val="24"/>
          <w:szCs w:val="24"/>
          <w:lang w:eastAsia="hr-HR"/>
          <w14:ligatures w14:val="standardContextual"/>
        </w:rPr>
        <w:t>a</w:t>
      </w:r>
      <w:r w:rsidRPr="001A1AB7">
        <w:rPr>
          <w:color w:val="000000"/>
          <w:kern w:val="2"/>
          <w:sz w:val="24"/>
          <w:szCs w:val="24"/>
          <w:lang w:eastAsia="hr-HR"/>
          <w14:ligatures w14:val="standardContextual"/>
        </w:rPr>
        <w:t xml:space="preserve"> na recepte s 737,55 mi</w:t>
      </w:r>
      <w:r>
        <w:rPr>
          <w:color w:val="000000"/>
          <w:kern w:val="2"/>
          <w:sz w:val="24"/>
          <w:szCs w:val="24"/>
          <w:lang w:eastAsia="hr-HR"/>
          <w14:ligatures w14:val="standardContextual"/>
        </w:rPr>
        <w:t>lijuna</w:t>
      </w:r>
      <w:r w:rsidRPr="001A1AB7">
        <w:rPr>
          <w:color w:val="000000"/>
          <w:kern w:val="2"/>
          <w:sz w:val="24"/>
          <w:szCs w:val="24"/>
          <w:lang w:eastAsia="hr-HR"/>
          <w14:ligatures w14:val="standardContextual"/>
        </w:rPr>
        <w:t xml:space="preserve"> eura </w:t>
      </w:r>
      <w:r>
        <w:rPr>
          <w:color w:val="000000"/>
          <w:kern w:val="2"/>
          <w:sz w:val="24"/>
          <w:szCs w:val="24"/>
          <w:lang w:eastAsia="hr-HR"/>
          <w14:ligatures w14:val="standardContextual"/>
        </w:rPr>
        <w:t xml:space="preserve">s porastom od </w:t>
      </w:r>
      <w:r w:rsidRPr="001A1AB7">
        <w:rPr>
          <w:color w:val="000000"/>
          <w:kern w:val="2"/>
          <w:sz w:val="24"/>
          <w:szCs w:val="24"/>
          <w:lang w:eastAsia="hr-HR"/>
          <w14:ligatures w14:val="standardContextual"/>
        </w:rPr>
        <w:t>9,96%</w:t>
      </w:r>
      <w:r>
        <w:rPr>
          <w:color w:val="000000"/>
          <w:kern w:val="2"/>
          <w:sz w:val="24"/>
          <w:szCs w:val="24"/>
          <w:lang w:eastAsia="hr-HR"/>
          <w14:ligatures w14:val="standardContextual"/>
        </w:rPr>
        <w:t>. Za posebno skupe lijekove osigurano je</w:t>
      </w:r>
      <w:r w:rsidRPr="001A1AB7">
        <w:rPr>
          <w:color w:val="000000"/>
          <w:kern w:val="2"/>
          <w:sz w:val="24"/>
          <w:szCs w:val="24"/>
          <w:lang w:eastAsia="hr-HR"/>
          <w14:ligatures w14:val="standardContextual"/>
        </w:rPr>
        <w:t xml:space="preserve"> dodatnih 406,47 mil</w:t>
      </w:r>
      <w:r>
        <w:rPr>
          <w:color w:val="000000"/>
          <w:kern w:val="2"/>
          <w:sz w:val="24"/>
          <w:szCs w:val="24"/>
          <w:lang w:eastAsia="hr-HR"/>
          <w14:ligatures w14:val="standardContextual"/>
        </w:rPr>
        <w:t>ijuna</w:t>
      </w:r>
      <w:r w:rsidRPr="001A1AB7">
        <w:rPr>
          <w:color w:val="000000"/>
          <w:kern w:val="2"/>
          <w:sz w:val="24"/>
          <w:szCs w:val="24"/>
          <w:lang w:eastAsia="hr-HR"/>
          <w14:ligatures w14:val="standardContextual"/>
        </w:rPr>
        <w:t xml:space="preserve"> eura</w:t>
      </w:r>
      <w:r>
        <w:rPr>
          <w:color w:val="000000"/>
          <w:kern w:val="2"/>
          <w:sz w:val="24"/>
          <w:szCs w:val="24"/>
          <w:lang w:eastAsia="hr-HR"/>
          <w14:ligatures w14:val="standardContextual"/>
        </w:rPr>
        <w:t>,</w:t>
      </w:r>
      <w:r w:rsidRPr="001A1AB7">
        <w:rPr>
          <w:color w:val="000000"/>
          <w:kern w:val="2"/>
          <w:sz w:val="24"/>
          <w:szCs w:val="24"/>
          <w:lang w:eastAsia="hr-HR"/>
          <w14:ligatures w14:val="standardContextual"/>
        </w:rPr>
        <w:t xml:space="preserve"> 5,92%</w:t>
      </w:r>
      <w:r>
        <w:rPr>
          <w:color w:val="000000"/>
          <w:kern w:val="2"/>
          <w:sz w:val="24"/>
          <w:szCs w:val="24"/>
          <w:lang w:eastAsia="hr-HR"/>
          <w14:ligatures w14:val="standardContextual"/>
        </w:rPr>
        <w:t xml:space="preserve"> više nego u 2023. godini</w:t>
      </w:r>
      <w:r w:rsidRPr="001A1AB7">
        <w:rPr>
          <w:color w:val="000000"/>
          <w:kern w:val="2"/>
          <w:sz w:val="24"/>
          <w:szCs w:val="24"/>
          <w:lang w:eastAsia="hr-HR"/>
          <w14:ligatures w14:val="standardContextual"/>
        </w:rPr>
        <w:t>. Istodobno</w:t>
      </w:r>
      <w:r>
        <w:rPr>
          <w:color w:val="000000"/>
          <w:kern w:val="2"/>
          <w:sz w:val="24"/>
          <w:szCs w:val="24"/>
          <w:lang w:eastAsia="hr-HR"/>
          <w14:ligatures w14:val="standardContextual"/>
        </w:rPr>
        <w:t xml:space="preserve">, </w:t>
      </w:r>
      <w:r w:rsidRPr="001A1AB7">
        <w:rPr>
          <w:color w:val="000000"/>
          <w:kern w:val="2"/>
          <w:sz w:val="24"/>
          <w:szCs w:val="24"/>
          <w:lang w:eastAsia="hr-HR"/>
          <w14:ligatures w14:val="standardContextual"/>
        </w:rPr>
        <w:t>zabilježen</w:t>
      </w:r>
      <w:r>
        <w:rPr>
          <w:color w:val="000000"/>
          <w:kern w:val="2"/>
          <w:sz w:val="24"/>
          <w:szCs w:val="24"/>
          <w:lang w:eastAsia="hr-HR"/>
          <w14:ligatures w14:val="standardContextual"/>
        </w:rPr>
        <w:t xml:space="preserve"> je</w:t>
      </w:r>
      <w:r w:rsidRPr="001A1AB7">
        <w:rPr>
          <w:color w:val="000000"/>
          <w:kern w:val="2"/>
          <w:sz w:val="24"/>
          <w:szCs w:val="24"/>
          <w:lang w:eastAsia="hr-HR"/>
          <w14:ligatures w14:val="standardContextual"/>
        </w:rPr>
        <w:t xml:space="preserve"> porast obujma korištenja usluga, s 60,1 milijuna posjeta u primarnoj zdravstvenoj zaštiti (3,7</w:t>
      </w:r>
      <w:r>
        <w:rPr>
          <w:color w:val="000000"/>
          <w:kern w:val="2"/>
          <w:sz w:val="24"/>
          <w:szCs w:val="24"/>
          <w:lang w:eastAsia="hr-HR"/>
          <w14:ligatures w14:val="standardContextual"/>
        </w:rPr>
        <w:t>1</w:t>
      </w:r>
      <w:r w:rsidRPr="001A1AB7">
        <w:rPr>
          <w:color w:val="000000"/>
          <w:kern w:val="2"/>
          <w:sz w:val="24"/>
          <w:szCs w:val="24"/>
          <w:lang w:eastAsia="hr-HR"/>
          <w14:ligatures w14:val="standardContextual"/>
        </w:rPr>
        <w:t>%</w:t>
      </w:r>
      <w:r>
        <w:rPr>
          <w:color w:val="000000"/>
          <w:kern w:val="2"/>
          <w:sz w:val="24"/>
          <w:szCs w:val="24"/>
          <w:lang w:eastAsia="hr-HR"/>
          <w14:ligatures w14:val="standardContextual"/>
        </w:rPr>
        <w:t xml:space="preserve"> više</w:t>
      </w:r>
      <w:r w:rsidRPr="001A1AB7">
        <w:rPr>
          <w:color w:val="000000"/>
          <w:kern w:val="2"/>
          <w:sz w:val="24"/>
          <w:szCs w:val="24"/>
          <w:lang w:eastAsia="hr-HR"/>
          <w14:ligatures w14:val="standardContextual"/>
        </w:rPr>
        <w:t>) i 73,8 milijuna izdanih recepata (3,74%</w:t>
      </w:r>
      <w:r>
        <w:rPr>
          <w:color w:val="000000"/>
          <w:kern w:val="2"/>
          <w:sz w:val="24"/>
          <w:szCs w:val="24"/>
          <w:lang w:eastAsia="hr-HR"/>
          <w14:ligatures w14:val="standardContextual"/>
        </w:rPr>
        <w:t xml:space="preserve"> više</w:t>
      </w:r>
      <w:r w:rsidRPr="001A1AB7">
        <w:rPr>
          <w:color w:val="000000"/>
          <w:kern w:val="2"/>
          <w:sz w:val="24"/>
          <w:szCs w:val="24"/>
          <w:lang w:eastAsia="hr-HR"/>
          <w14:ligatures w14:val="standardContextual"/>
        </w:rPr>
        <w:t>), uz prosječn</w:t>
      </w:r>
      <w:r>
        <w:rPr>
          <w:color w:val="000000"/>
          <w:kern w:val="2"/>
          <w:sz w:val="24"/>
          <w:szCs w:val="24"/>
          <w:lang w:eastAsia="hr-HR"/>
          <w14:ligatures w14:val="standardContextual"/>
        </w:rPr>
        <w:t>ih</w:t>
      </w:r>
      <w:r w:rsidRPr="001A1AB7">
        <w:rPr>
          <w:color w:val="000000"/>
          <w:kern w:val="2"/>
          <w:sz w:val="24"/>
          <w:szCs w:val="24"/>
          <w:lang w:eastAsia="hr-HR"/>
          <w14:ligatures w14:val="standardContextual"/>
        </w:rPr>
        <w:t xml:space="preserve"> 18 recepata godišnje po osiguranoj osobi</w:t>
      </w:r>
      <w:r>
        <w:rPr>
          <w:color w:val="000000"/>
          <w:kern w:val="2"/>
          <w:sz w:val="24"/>
          <w:szCs w:val="24"/>
          <w:lang w:eastAsia="hr-HR"/>
          <w14:ligatures w14:val="standardContextual"/>
        </w:rPr>
        <w:t xml:space="preserve"> (17,3 u 2023.)</w:t>
      </w:r>
      <w:r w:rsidRPr="001A1AB7">
        <w:rPr>
          <w:color w:val="000000"/>
          <w:kern w:val="2"/>
          <w:sz w:val="24"/>
          <w:szCs w:val="24"/>
          <w:lang w:eastAsia="hr-HR"/>
          <w14:ligatures w14:val="standardContextual"/>
        </w:rPr>
        <w:t xml:space="preserve">, te stabilan broj slučajeva bolničkog liječenja i bolničkih dana, uz </w:t>
      </w:r>
      <w:r>
        <w:rPr>
          <w:color w:val="000000"/>
          <w:kern w:val="2"/>
          <w:sz w:val="24"/>
          <w:szCs w:val="24"/>
          <w:lang w:eastAsia="hr-HR"/>
          <w14:ligatures w14:val="standardContextual"/>
        </w:rPr>
        <w:t xml:space="preserve">blago </w:t>
      </w:r>
      <w:r w:rsidRPr="001A1AB7">
        <w:rPr>
          <w:color w:val="000000"/>
          <w:kern w:val="2"/>
          <w:sz w:val="24"/>
          <w:szCs w:val="24"/>
          <w:lang w:eastAsia="hr-HR"/>
          <w14:ligatures w14:val="standardContextual"/>
        </w:rPr>
        <w:t>produljenje prosječnog trajanja liječenja akutnih bolesti na 6,23 dana</w:t>
      </w:r>
      <w:r>
        <w:rPr>
          <w:color w:val="000000"/>
          <w:kern w:val="2"/>
          <w:sz w:val="24"/>
          <w:szCs w:val="24"/>
          <w:lang w:eastAsia="hr-HR"/>
          <w14:ligatures w14:val="standardContextual"/>
        </w:rPr>
        <w:t xml:space="preserve"> (6,20 dana u 2023. godini)</w:t>
      </w:r>
      <w:r w:rsidRPr="001A1AB7">
        <w:rPr>
          <w:color w:val="000000"/>
          <w:kern w:val="2"/>
          <w:sz w:val="24"/>
          <w:szCs w:val="24"/>
          <w:lang w:eastAsia="hr-HR"/>
          <w14:ligatures w14:val="standardContextual"/>
        </w:rPr>
        <w:t xml:space="preserve">. Dodatno, u svibnju 2024. </w:t>
      </w:r>
      <w:r>
        <w:rPr>
          <w:color w:val="000000"/>
          <w:kern w:val="2"/>
          <w:sz w:val="24"/>
          <w:szCs w:val="24"/>
          <w:lang w:eastAsia="hr-HR"/>
          <w14:ligatures w14:val="standardContextual"/>
        </w:rPr>
        <w:t>pokrenuta</w:t>
      </w:r>
      <w:r w:rsidRPr="001A1AB7">
        <w:rPr>
          <w:color w:val="000000"/>
          <w:kern w:val="2"/>
          <w:sz w:val="24"/>
          <w:szCs w:val="24"/>
          <w:lang w:eastAsia="hr-HR"/>
          <w14:ligatures w14:val="standardContextual"/>
        </w:rPr>
        <w:t xml:space="preserve"> je </w:t>
      </w:r>
      <w:r>
        <w:rPr>
          <w:color w:val="000000"/>
          <w:kern w:val="2"/>
          <w:sz w:val="24"/>
          <w:szCs w:val="24"/>
          <w:lang w:eastAsia="hr-HR"/>
          <w14:ligatures w14:val="standardContextual"/>
        </w:rPr>
        <w:t>izrada</w:t>
      </w:r>
      <w:r w:rsidRPr="001A1AB7">
        <w:rPr>
          <w:color w:val="000000"/>
          <w:kern w:val="2"/>
          <w:sz w:val="24"/>
          <w:szCs w:val="24"/>
          <w:lang w:eastAsia="hr-HR"/>
          <w14:ligatures w14:val="standardContextual"/>
        </w:rPr>
        <w:t xml:space="preserve"> novog poslovnog informacijskog sustava e</w:t>
      </w:r>
      <w:r>
        <w:rPr>
          <w:color w:val="000000"/>
          <w:kern w:val="2"/>
          <w:sz w:val="24"/>
          <w:szCs w:val="24"/>
          <w:lang w:eastAsia="hr-HR"/>
          <w14:ligatures w14:val="standardContextual"/>
        </w:rPr>
        <w:t>-</w:t>
      </w:r>
      <w:r w:rsidRPr="001A1AB7">
        <w:rPr>
          <w:color w:val="000000"/>
          <w:kern w:val="2"/>
          <w:sz w:val="24"/>
          <w:szCs w:val="24"/>
          <w:lang w:eastAsia="hr-HR"/>
          <w14:ligatures w14:val="standardContextual"/>
        </w:rPr>
        <w:t xml:space="preserve">HZZO, s ciljem učinkovitijeg upravljanja i nadzora nad sustavom </w:t>
      </w:r>
      <w:r>
        <w:rPr>
          <w:color w:val="000000"/>
          <w:kern w:val="2"/>
          <w:sz w:val="24"/>
          <w:szCs w:val="24"/>
          <w:lang w:eastAsia="hr-HR"/>
          <w14:ligatures w14:val="standardContextual"/>
        </w:rPr>
        <w:t xml:space="preserve">zdravstvenog osiguranja </w:t>
      </w:r>
      <w:r w:rsidRPr="001A1AB7">
        <w:rPr>
          <w:color w:val="000000"/>
          <w:kern w:val="2"/>
          <w:sz w:val="24"/>
          <w:szCs w:val="24"/>
          <w:lang w:eastAsia="hr-HR"/>
          <w14:ligatures w14:val="standardContextual"/>
        </w:rPr>
        <w:t>te boljeg korištenja podataka, što</w:t>
      </w:r>
      <w:r>
        <w:rPr>
          <w:color w:val="000000"/>
          <w:kern w:val="2"/>
          <w:sz w:val="24"/>
          <w:szCs w:val="24"/>
          <w:lang w:eastAsia="hr-HR"/>
          <w14:ligatures w14:val="standardContextual"/>
        </w:rPr>
        <w:t xml:space="preserve"> će</w:t>
      </w:r>
      <w:r w:rsidRPr="001A1AB7">
        <w:rPr>
          <w:color w:val="000000"/>
          <w:kern w:val="2"/>
          <w:sz w:val="24"/>
          <w:szCs w:val="24"/>
          <w:lang w:eastAsia="hr-HR"/>
          <w14:ligatures w14:val="standardContextual"/>
        </w:rPr>
        <w:t xml:space="preserve"> zajedno s financijskim viškom od 56,28 mil</w:t>
      </w:r>
      <w:r>
        <w:rPr>
          <w:color w:val="000000"/>
          <w:kern w:val="2"/>
          <w:sz w:val="24"/>
          <w:szCs w:val="24"/>
          <w:lang w:eastAsia="hr-HR"/>
          <w14:ligatures w14:val="standardContextual"/>
        </w:rPr>
        <w:t xml:space="preserve">ijuna </w:t>
      </w:r>
      <w:r w:rsidRPr="001A1AB7">
        <w:rPr>
          <w:color w:val="000000"/>
          <w:kern w:val="2"/>
          <w:sz w:val="24"/>
          <w:szCs w:val="24"/>
          <w:lang w:eastAsia="hr-HR"/>
          <w14:ligatures w14:val="standardContextual"/>
        </w:rPr>
        <w:t xml:space="preserve">eura </w:t>
      </w:r>
      <w:r>
        <w:rPr>
          <w:color w:val="000000"/>
          <w:kern w:val="2"/>
          <w:sz w:val="24"/>
          <w:szCs w:val="24"/>
          <w:lang w:eastAsia="hr-HR"/>
          <w14:ligatures w14:val="standardContextual"/>
        </w:rPr>
        <w:t xml:space="preserve">ostvarenim tijekom 2024. </w:t>
      </w:r>
      <w:r w:rsidRPr="001A1AB7">
        <w:rPr>
          <w:color w:val="000000"/>
          <w:kern w:val="2"/>
          <w:sz w:val="24"/>
          <w:szCs w:val="24"/>
          <w:lang w:eastAsia="hr-HR"/>
          <w14:ligatures w14:val="standardContextual"/>
        </w:rPr>
        <w:t>pridon</w:t>
      </w:r>
      <w:r>
        <w:rPr>
          <w:color w:val="000000"/>
          <w:kern w:val="2"/>
          <w:sz w:val="24"/>
          <w:szCs w:val="24"/>
          <w:lang w:eastAsia="hr-HR"/>
          <w14:ligatures w14:val="standardContextual"/>
        </w:rPr>
        <w:t>ijeti</w:t>
      </w:r>
      <w:r w:rsidRPr="001A1AB7">
        <w:rPr>
          <w:color w:val="000000"/>
          <w:kern w:val="2"/>
          <w:sz w:val="24"/>
          <w:szCs w:val="24"/>
          <w:lang w:eastAsia="hr-HR"/>
          <w14:ligatures w14:val="standardContextual"/>
        </w:rPr>
        <w:t xml:space="preserve"> stabilnosti, kvaliteti i dostupnosti zdravstvene zaštite</w:t>
      </w:r>
      <w:r>
        <w:rPr>
          <w:color w:val="000000"/>
          <w:kern w:val="2"/>
          <w:sz w:val="24"/>
          <w:szCs w:val="24"/>
          <w:lang w:eastAsia="hr-HR"/>
          <w14:ligatures w14:val="standardContextual"/>
        </w:rPr>
        <w:t xml:space="preserve"> u narednom razdoblju. </w:t>
      </w:r>
    </w:p>
    <w:p w14:paraId="4A36C3B3" w14:textId="77777777" w:rsidR="00FB178A" w:rsidRDefault="00FB178A" w:rsidP="00FB178A">
      <w:pPr>
        <w:widowControl/>
        <w:autoSpaceDE/>
        <w:autoSpaceDN/>
        <w:spacing w:before="240" w:line="276" w:lineRule="auto"/>
        <w:jc w:val="both"/>
        <w:rPr>
          <w:color w:val="000000"/>
          <w:kern w:val="2"/>
          <w:sz w:val="24"/>
          <w:szCs w:val="24"/>
          <w:lang w:eastAsia="hr-HR"/>
          <w14:ligatures w14:val="standardContextual"/>
        </w:rPr>
      </w:pPr>
      <w:r w:rsidRPr="006D7DBF">
        <w:rPr>
          <w:color w:val="000000"/>
          <w:kern w:val="2"/>
          <w:sz w:val="24"/>
          <w:szCs w:val="24"/>
          <w:lang w:eastAsia="hr-HR"/>
          <w14:ligatures w14:val="standardContextual"/>
        </w:rPr>
        <w:t xml:space="preserve">U 2024. povećana su ulaganja u prevenciju i ranu dijagnostiku, osobito u području onkoloških bolesti, pri čemu je Nacionalni program ranog otkrivanja raka dojke ostvario značajan napredak u </w:t>
      </w:r>
      <w:r>
        <w:rPr>
          <w:color w:val="000000"/>
          <w:kern w:val="2"/>
          <w:sz w:val="24"/>
          <w:szCs w:val="24"/>
          <w:lang w:eastAsia="hr-HR"/>
          <w14:ligatures w14:val="standardContextual"/>
        </w:rPr>
        <w:t>ostvarenim</w:t>
      </w:r>
      <w:r w:rsidRPr="006D7DBF">
        <w:rPr>
          <w:color w:val="000000"/>
          <w:kern w:val="2"/>
          <w:sz w:val="24"/>
          <w:szCs w:val="24"/>
          <w:lang w:eastAsia="hr-HR"/>
          <w14:ligatures w14:val="standardContextual"/>
        </w:rPr>
        <w:t xml:space="preserve"> rezultatima. Odaziv žena na </w:t>
      </w:r>
      <w:proofErr w:type="spellStart"/>
      <w:r w:rsidRPr="006D7DBF">
        <w:rPr>
          <w:color w:val="000000"/>
          <w:kern w:val="2"/>
          <w:sz w:val="24"/>
          <w:szCs w:val="24"/>
          <w:lang w:eastAsia="hr-HR"/>
          <w14:ligatures w14:val="standardContextual"/>
        </w:rPr>
        <w:t>mamografske</w:t>
      </w:r>
      <w:proofErr w:type="spellEnd"/>
      <w:r w:rsidRPr="006D7DBF">
        <w:rPr>
          <w:color w:val="000000"/>
          <w:kern w:val="2"/>
          <w:sz w:val="24"/>
          <w:szCs w:val="24"/>
          <w:lang w:eastAsia="hr-HR"/>
          <w14:ligatures w14:val="standardContextual"/>
        </w:rPr>
        <w:t xml:space="preserve"> preglede dosegnuo je 74%, </w:t>
      </w:r>
      <w:r>
        <w:rPr>
          <w:color w:val="000000"/>
          <w:kern w:val="2"/>
          <w:sz w:val="24"/>
          <w:szCs w:val="24"/>
          <w:lang w:eastAsia="hr-HR"/>
          <w14:ligatures w14:val="standardContextual"/>
        </w:rPr>
        <w:t xml:space="preserve">dok je u prethodnom </w:t>
      </w:r>
      <w:r w:rsidRPr="006D7DBF">
        <w:rPr>
          <w:color w:val="000000"/>
          <w:kern w:val="2"/>
          <w:sz w:val="24"/>
          <w:szCs w:val="24"/>
          <w:lang w:eastAsia="hr-HR"/>
          <w14:ligatures w14:val="standardContextual"/>
        </w:rPr>
        <w:t>ciklusu pozivanja</w:t>
      </w:r>
      <w:r>
        <w:rPr>
          <w:color w:val="000000"/>
          <w:kern w:val="2"/>
          <w:sz w:val="24"/>
          <w:szCs w:val="24"/>
          <w:lang w:eastAsia="hr-HR"/>
          <w14:ligatures w14:val="standardContextual"/>
        </w:rPr>
        <w:t xml:space="preserve"> iznosio</w:t>
      </w:r>
      <w:r w:rsidRPr="006D7DBF">
        <w:rPr>
          <w:color w:val="000000"/>
          <w:kern w:val="2"/>
          <w:sz w:val="24"/>
          <w:szCs w:val="24"/>
          <w:lang w:eastAsia="hr-HR"/>
          <w14:ligatures w14:val="standardContextual"/>
        </w:rPr>
        <w:t xml:space="preserve"> 70%, </w:t>
      </w:r>
      <w:r>
        <w:rPr>
          <w:color w:val="000000"/>
          <w:kern w:val="2"/>
          <w:sz w:val="24"/>
          <w:szCs w:val="24"/>
          <w:lang w:eastAsia="hr-HR"/>
          <w14:ligatures w14:val="standardContextual"/>
        </w:rPr>
        <w:t>te je</w:t>
      </w:r>
      <w:r w:rsidRPr="006D7DBF">
        <w:rPr>
          <w:color w:val="000000"/>
          <w:kern w:val="2"/>
          <w:sz w:val="24"/>
          <w:szCs w:val="24"/>
          <w:lang w:eastAsia="hr-HR"/>
          <w14:ligatures w14:val="standardContextual"/>
        </w:rPr>
        <w:t xml:space="preserve"> ukupno </w:t>
      </w:r>
      <w:r>
        <w:rPr>
          <w:color w:val="000000"/>
          <w:kern w:val="2"/>
          <w:sz w:val="24"/>
          <w:szCs w:val="24"/>
          <w:lang w:eastAsia="hr-HR"/>
          <w14:ligatures w14:val="standardContextual"/>
        </w:rPr>
        <w:t xml:space="preserve">obavljeno </w:t>
      </w:r>
      <w:r w:rsidRPr="006D7DBF">
        <w:rPr>
          <w:color w:val="000000"/>
          <w:kern w:val="2"/>
          <w:sz w:val="24"/>
          <w:szCs w:val="24"/>
          <w:lang w:eastAsia="hr-HR"/>
          <w14:ligatures w14:val="standardContextual"/>
        </w:rPr>
        <w:t xml:space="preserve">130.889 mamografija, od kojih je 7.074 zahtijevalo dodatnu dijagnostičku obradu. </w:t>
      </w:r>
      <w:r>
        <w:rPr>
          <w:color w:val="000000"/>
          <w:kern w:val="2"/>
          <w:sz w:val="24"/>
          <w:szCs w:val="24"/>
          <w:lang w:eastAsia="hr-HR"/>
          <w14:ligatures w14:val="standardContextual"/>
        </w:rPr>
        <w:t>Obzirom da</w:t>
      </w:r>
      <w:r w:rsidRPr="006D7DBF">
        <w:rPr>
          <w:color w:val="000000"/>
          <w:kern w:val="2"/>
          <w:sz w:val="24"/>
          <w:szCs w:val="24"/>
          <w:lang w:eastAsia="hr-HR"/>
          <w14:ligatures w14:val="standardContextual"/>
        </w:rPr>
        <w:t xml:space="preserve"> nije moguće u stvarnom vremenu pratiti broj novootkrivenih karcinoma, </w:t>
      </w:r>
      <w:r>
        <w:rPr>
          <w:color w:val="000000"/>
          <w:kern w:val="2"/>
          <w:sz w:val="24"/>
          <w:szCs w:val="24"/>
          <w:lang w:eastAsia="hr-HR"/>
          <w14:ligatures w14:val="standardContextual"/>
        </w:rPr>
        <w:t xml:space="preserve">prema </w:t>
      </w:r>
      <w:r w:rsidRPr="006D7DBF">
        <w:rPr>
          <w:color w:val="000000"/>
          <w:kern w:val="2"/>
          <w:sz w:val="24"/>
          <w:szCs w:val="24"/>
          <w:lang w:eastAsia="hr-HR"/>
          <w14:ligatures w14:val="standardContextual"/>
        </w:rPr>
        <w:t>iskustv</w:t>
      </w:r>
      <w:r>
        <w:rPr>
          <w:color w:val="000000"/>
          <w:kern w:val="2"/>
          <w:sz w:val="24"/>
          <w:szCs w:val="24"/>
          <w:lang w:eastAsia="hr-HR"/>
          <w14:ligatures w14:val="standardContextual"/>
        </w:rPr>
        <w:t>im</w:t>
      </w:r>
      <w:r w:rsidRPr="006D7DBF">
        <w:rPr>
          <w:color w:val="000000"/>
          <w:kern w:val="2"/>
          <w:sz w:val="24"/>
          <w:szCs w:val="24"/>
          <w:lang w:eastAsia="hr-HR"/>
          <w14:ligatures w14:val="standardContextual"/>
        </w:rPr>
        <w:t xml:space="preserve">a iz </w:t>
      </w:r>
      <w:r>
        <w:rPr>
          <w:color w:val="000000"/>
          <w:kern w:val="2"/>
          <w:sz w:val="24"/>
          <w:szCs w:val="24"/>
          <w:lang w:eastAsia="hr-HR"/>
          <w14:ligatures w14:val="standardContextual"/>
        </w:rPr>
        <w:t>šestog</w:t>
      </w:r>
      <w:r w:rsidRPr="006D7DBF">
        <w:rPr>
          <w:color w:val="000000"/>
          <w:kern w:val="2"/>
          <w:sz w:val="24"/>
          <w:szCs w:val="24"/>
          <w:lang w:eastAsia="hr-HR"/>
          <w14:ligatures w14:val="standardContextual"/>
        </w:rPr>
        <w:t xml:space="preserve"> ciklusa, </w:t>
      </w:r>
      <w:r>
        <w:rPr>
          <w:color w:val="000000"/>
          <w:kern w:val="2"/>
          <w:sz w:val="24"/>
          <w:szCs w:val="24"/>
          <w:lang w:eastAsia="hr-HR"/>
          <w14:ligatures w14:val="standardContextual"/>
        </w:rPr>
        <w:t xml:space="preserve">kada je bilo ukupno </w:t>
      </w:r>
      <w:r w:rsidRPr="006D7DBF">
        <w:rPr>
          <w:color w:val="000000"/>
          <w:kern w:val="2"/>
          <w:sz w:val="24"/>
          <w:szCs w:val="24"/>
          <w:lang w:eastAsia="hr-HR"/>
          <w14:ligatures w14:val="standardContextual"/>
        </w:rPr>
        <w:t>1.345 potvrđenih novih dijagnoza raka dojke</w:t>
      </w:r>
      <w:r>
        <w:rPr>
          <w:color w:val="000000"/>
          <w:kern w:val="2"/>
          <w:sz w:val="24"/>
          <w:szCs w:val="24"/>
          <w:lang w:eastAsia="hr-HR"/>
          <w14:ligatures w14:val="standardContextual"/>
        </w:rPr>
        <w:t>, vidljiv je</w:t>
      </w:r>
      <w:r w:rsidRPr="006D7DBF">
        <w:rPr>
          <w:color w:val="000000"/>
          <w:kern w:val="2"/>
          <w:sz w:val="24"/>
          <w:szCs w:val="24"/>
          <w:lang w:eastAsia="hr-HR"/>
          <w14:ligatures w14:val="standardContextual"/>
        </w:rPr>
        <w:t xml:space="preserve"> značajan doprinos programa smanjenju </w:t>
      </w:r>
      <w:r>
        <w:rPr>
          <w:color w:val="000000"/>
          <w:kern w:val="2"/>
          <w:sz w:val="24"/>
          <w:szCs w:val="24"/>
          <w:lang w:eastAsia="hr-HR"/>
          <w14:ligatures w14:val="standardContextual"/>
        </w:rPr>
        <w:t xml:space="preserve">smrtnosti </w:t>
      </w:r>
      <w:r w:rsidRPr="006D7DBF">
        <w:rPr>
          <w:color w:val="000000"/>
          <w:kern w:val="2"/>
          <w:sz w:val="24"/>
          <w:szCs w:val="24"/>
          <w:lang w:eastAsia="hr-HR"/>
          <w14:ligatures w14:val="standardContextual"/>
        </w:rPr>
        <w:t>od raka dojke.</w:t>
      </w:r>
      <w:r>
        <w:rPr>
          <w:color w:val="000000"/>
          <w:kern w:val="2"/>
          <w:sz w:val="24"/>
          <w:szCs w:val="24"/>
          <w:lang w:eastAsia="hr-HR"/>
          <w14:ligatures w14:val="standardContextual"/>
        </w:rPr>
        <w:t xml:space="preserve"> U p</w:t>
      </w:r>
      <w:r w:rsidRPr="00D017F8">
        <w:rPr>
          <w:color w:val="000000"/>
          <w:kern w:val="2"/>
          <w:sz w:val="24"/>
          <w:szCs w:val="24"/>
          <w:lang w:eastAsia="hr-HR"/>
          <w14:ligatures w14:val="standardContextual"/>
        </w:rPr>
        <w:t xml:space="preserve">osljednjih osam godina </w:t>
      </w:r>
      <w:r w:rsidRPr="00121D87">
        <w:rPr>
          <w:color w:val="000000"/>
          <w:kern w:val="2"/>
          <w:sz w:val="24"/>
          <w:szCs w:val="24"/>
          <w:lang w:eastAsia="hr-HR"/>
          <w14:ligatures w14:val="standardContextual"/>
        </w:rPr>
        <w:t>zabilježen je kontinuirani pad mortaliteta od raka dojke za 30%. </w:t>
      </w:r>
      <w:r w:rsidRPr="006D7DBF">
        <w:rPr>
          <w:color w:val="000000"/>
          <w:kern w:val="2"/>
          <w:sz w:val="24"/>
          <w:szCs w:val="24"/>
          <w:lang w:eastAsia="hr-HR"/>
          <w14:ligatures w14:val="standardContextual"/>
        </w:rPr>
        <w:t xml:space="preserve">Dodatno je osnažena stručna baza provedbe kroz održavanje četiri radionice za specijaliste radiologije i inženjere medicinske radiologije. </w:t>
      </w:r>
      <w:r>
        <w:rPr>
          <w:color w:val="000000"/>
          <w:kern w:val="2"/>
          <w:sz w:val="24"/>
          <w:szCs w:val="24"/>
          <w:lang w:eastAsia="hr-HR"/>
          <w14:ligatures w14:val="standardContextual"/>
        </w:rPr>
        <w:t>Dodatno, kao v</w:t>
      </w:r>
      <w:r w:rsidRPr="006D7DBF">
        <w:rPr>
          <w:color w:val="000000"/>
          <w:kern w:val="2"/>
          <w:sz w:val="24"/>
          <w:szCs w:val="24"/>
          <w:lang w:eastAsia="hr-HR"/>
          <w14:ligatures w14:val="standardContextual"/>
        </w:rPr>
        <w:t xml:space="preserve">ažna inovacija </w:t>
      </w:r>
      <w:r>
        <w:rPr>
          <w:color w:val="000000"/>
          <w:kern w:val="2"/>
          <w:sz w:val="24"/>
          <w:szCs w:val="24"/>
          <w:lang w:eastAsia="hr-HR"/>
          <w14:ligatures w14:val="standardContextual"/>
        </w:rPr>
        <w:t>u</w:t>
      </w:r>
      <w:r w:rsidRPr="006D7DBF">
        <w:rPr>
          <w:color w:val="000000"/>
          <w:kern w:val="2"/>
          <w:sz w:val="24"/>
          <w:szCs w:val="24"/>
          <w:lang w:eastAsia="hr-HR"/>
          <w14:ligatures w14:val="standardContextual"/>
        </w:rPr>
        <w:t xml:space="preserve"> 2024. je</w:t>
      </w:r>
      <w:r>
        <w:rPr>
          <w:color w:val="000000"/>
          <w:kern w:val="2"/>
          <w:sz w:val="24"/>
          <w:szCs w:val="24"/>
          <w:lang w:eastAsia="hr-HR"/>
          <w14:ligatures w14:val="standardContextual"/>
        </w:rPr>
        <w:t xml:space="preserve"> uvedena </w:t>
      </w:r>
      <w:r w:rsidRPr="006D7DBF">
        <w:rPr>
          <w:color w:val="000000"/>
          <w:kern w:val="2"/>
          <w:sz w:val="24"/>
          <w:szCs w:val="24"/>
          <w:lang w:eastAsia="hr-HR"/>
          <w14:ligatures w14:val="standardContextual"/>
        </w:rPr>
        <w:t xml:space="preserve">dopuna </w:t>
      </w:r>
      <w:proofErr w:type="spellStart"/>
      <w:r w:rsidRPr="006D7DBF">
        <w:rPr>
          <w:color w:val="000000"/>
          <w:kern w:val="2"/>
          <w:sz w:val="24"/>
          <w:szCs w:val="24"/>
          <w:lang w:eastAsia="hr-HR"/>
          <w14:ligatures w14:val="standardContextual"/>
        </w:rPr>
        <w:t>mamografskog</w:t>
      </w:r>
      <w:proofErr w:type="spellEnd"/>
      <w:r w:rsidRPr="006D7DBF">
        <w:rPr>
          <w:color w:val="000000"/>
          <w:kern w:val="2"/>
          <w:sz w:val="24"/>
          <w:szCs w:val="24"/>
          <w:lang w:eastAsia="hr-HR"/>
          <w14:ligatures w14:val="standardContextual"/>
        </w:rPr>
        <w:t xml:space="preserve"> nalaza magnetskom rezonancijom dojki kod žena u dobi od 50 do 70 godina s vrlo gustim žljezdanim tkivom, čime se poboljšava dijagnostička osjetljivost probira u visokorizičnoj skupini. Kako bi se povećala osviještenost i potaknula veća uključenost žena u probir, provedena je opsežna promotivna kampanja koja je obuhvatila višemjesečno emitiranje televizijskih i radijskih spotova, rad </w:t>
      </w:r>
      <w:r>
        <w:rPr>
          <w:color w:val="000000"/>
          <w:kern w:val="2"/>
          <w:sz w:val="24"/>
          <w:szCs w:val="24"/>
          <w:lang w:eastAsia="hr-HR"/>
          <w14:ligatures w14:val="standardContextual"/>
        </w:rPr>
        <w:t xml:space="preserve">pozivnog </w:t>
      </w:r>
      <w:r w:rsidRPr="006D7DBF">
        <w:rPr>
          <w:color w:val="000000"/>
          <w:kern w:val="2"/>
          <w:sz w:val="24"/>
          <w:szCs w:val="24"/>
          <w:lang w:eastAsia="hr-HR"/>
          <w14:ligatures w14:val="standardContextual"/>
        </w:rPr>
        <w:t>centra, javnozdravstvene akcije s distribucijom informativnih materijala te ciljane kampanje plakata, tiska, digitalnih medija i internetskih platformi, uz aktivno sudjelovanje stručnjaka Programa u medijskim istupima.</w:t>
      </w:r>
    </w:p>
    <w:p w14:paraId="31FE8990" w14:textId="77777777" w:rsidR="00FB178A" w:rsidRDefault="00FB178A" w:rsidP="00FB178A">
      <w:pPr>
        <w:widowControl/>
        <w:autoSpaceDE/>
        <w:autoSpaceDN/>
        <w:spacing w:before="240" w:after="240" w:line="276" w:lineRule="auto"/>
        <w:jc w:val="both"/>
        <w:rPr>
          <w:color w:val="000000"/>
          <w:kern w:val="2"/>
          <w:sz w:val="24"/>
          <w:szCs w:val="24"/>
          <w:lang w:eastAsia="hr-HR"/>
          <w14:ligatures w14:val="standardContextual"/>
        </w:rPr>
      </w:pPr>
      <w:r w:rsidRPr="00BE2ED7">
        <w:rPr>
          <w:color w:val="000000"/>
          <w:kern w:val="2"/>
          <w:sz w:val="24"/>
          <w:szCs w:val="24"/>
          <w:lang w:eastAsia="hr-HR"/>
          <w14:ligatures w14:val="standardContextual"/>
        </w:rPr>
        <w:t xml:space="preserve">Tijekom 2024. </w:t>
      </w:r>
      <w:r>
        <w:rPr>
          <w:color w:val="000000"/>
          <w:kern w:val="2"/>
          <w:sz w:val="24"/>
          <w:szCs w:val="24"/>
          <w:lang w:eastAsia="hr-HR"/>
          <w14:ligatures w14:val="standardContextual"/>
        </w:rPr>
        <w:t>n</w:t>
      </w:r>
      <w:r w:rsidRPr="00BE2ED7">
        <w:rPr>
          <w:color w:val="000000"/>
          <w:kern w:val="2"/>
          <w:sz w:val="24"/>
          <w:szCs w:val="24"/>
          <w:lang w:eastAsia="hr-HR"/>
          <w14:ligatures w14:val="standardContextual"/>
        </w:rPr>
        <w:t xml:space="preserve">astavljena je provedba Nacionalnog programa ranog otkrivanja raka debelog crijeva, uz redovito praćenje ključnih pokazatelja na nacionalnoj i županijskoj razini. Od početka provedbe </w:t>
      </w:r>
      <w:r>
        <w:rPr>
          <w:color w:val="000000"/>
          <w:kern w:val="2"/>
          <w:sz w:val="24"/>
          <w:szCs w:val="24"/>
          <w:lang w:eastAsia="hr-HR"/>
          <w14:ligatures w14:val="standardContextual"/>
        </w:rPr>
        <w:t>(</w:t>
      </w:r>
      <w:r w:rsidRPr="00BE2ED7">
        <w:rPr>
          <w:color w:val="000000"/>
          <w:kern w:val="2"/>
          <w:sz w:val="24"/>
          <w:szCs w:val="24"/>
          <w:lang w:eastAsia="hr-HR"/>
          <w14:ligatures w14:val="standardContextual"/>
        </w:rPr>
        <w:t>2008.</w:t>
      </w:r>
      <w:r>
        <w:rPr>
          <w:color w:val="000000"/>
          <w:kern w:val="2"/>
          <w:sz w:val="24"/>
          <w:szCs w:val="24"/>
          <w:lang w:eastAsia="hr-HR"/>
          <w14:ligatures w14:val="standardContextual"/>
        </w:rPr>
        <w:t>)</w:t>
      </w:r>
      <w:r w:rsidRPr="00BE2ED7">
        <w:rPr>
          <w:color w:val="000000"/>
          <w:kern w:val="2"/>
          <w:sz w:val="24"/>
          <w:szCs w:val="24"/>
          <w:lang w:eastAsia="hr-HR"/>
          <w14:ligatures w14:val="standardContextual"/>
        </w:rPr>
        <w:t xml:space="preserve"> 2 milijuna građana imalo je mogućnost sudjelovati u jednom ili više ciklusa programa. </w:t>
      </w:r>
      <w:r>
        <w:rPr>
          <w:color w:val="000000"/>
          <w:kern w:val="2"/>
          <w:sz w:val="24"/>
          <w:szCs w:val="24"/>
          <w:lang w:eastAsia="hr-HR"/>
          <w14:ligatures w14:val="standardContextual"/>
        </w:rPr>
        <w:t>Z</w:t>
      </w:r>
      <w:r w:rsidRPr="00BE2ED7">
        <w:rPr>
          <w:color w:val="000000"/>
          <w:kern w:val="2"/>
          <w:sz w:val="24"/>
          <w:szCs w:val="24"/>
          <w:lang w:eastAsia="hr-HR"/>
          <w14:ligatures w14:val="standardContextual"/>
        </w:rPr>
        <w:t xml:space="preserve">avršeno </w:t>
      </w:r>
      <w:r>
        <w:rPr>
          <w:color w:val="000000"/>
          <w:kern w:val="2"/>
          <w:sz w:val="24"/>
          <w:szCs w:val="24"/>
          <w:lang w:eastAsia="hr-HR"/>
          <w14:ligatures w14:val="standardContextual"/>
        </w:rPr>
        <w:t xml:space="preserve">je ukupno </w:t>
      </w:r>
      <w:r w:rsidRPr="00BE2ED7">
        <w:rPr>
          <w:color w:val="000000"/>
          <w:kern w:val="2"/>
          <w:sz w:val="24"/>
          <w:szCs w:val="24"/>
          <w:lang w:eastAsia="hr-HR"/>
          <w14:ligatures w14:val="standardContextual"/>
        </w:rPr>
        <w:t>pet ciklusa</w:t>
      </w:r>
      <w:r>
        <w:rPr>
          <w:color w:val="000000"/>
          <w:kern w:val="2"/>
          <w:sz w:val="24"/>
          <w:szCs w:val="24"/>
          <w:lang w:eastAsia="hr-HR"/>
          <w14:ligatures w14:val="standardContextual"/>
        </w:rPr>
        <w:t xml:space="preserve"> programa</w:t>
      </w:r>
      <w:r w:rsidRPr="00BE2ED7">
        <w:rPr>
          <w:color w:val="000000"/>
          <w:kern w:val="2"/>
          <w:sz w:val="24"/>
          <w:szCs w:val="24"/>
          <w:lang w:eastAsia="hr-HR"/>
          <w14:ligatures w14:val="standardContextual"/>
        </w:rPr>
        <w:t xml:space="preserve">, dok je šesti </w:t>
      </w:r>
      <w:r>
        <w:rPr>
          <w:color w:val="000000"/>
          <w:kern w:val="2"/>
          <w:sz w:val="24"/>
          <w:szCs w:val="24"/>
          <w:lang w:eastAsia="hr-HR"/>
          <w14:ligatures w14:val="standardContextual"/>
        </w:rPr>
        <w:t xml:space="preserve">ciklus u tijeku, </w:t>
      </w:r>
      <w:r w:rsidRPr="00FB2821">
        <w:rPr>
          <w:color w:val="000000"/>
          <w:kern w:val="2"/>
          <w:sz w:val="24"/>
          <w:szCs w:val="24"/>
          <w:lang w:eastAsia="hr-HR"/>
          <w14:ligatures w14:val="standardContextual"/>
        </w:rPr>
        <w:t xml:space="preserve">ali </w:t>
      </w:r>
      <w:r>
        <w:rPr>
          <w:color w:val="000000"/>
          <w:kern w:val="2"/>
          <w:sz w:val="24"/>
          <w:szCs w:val="24"/>
          <w:lang w:eastAsia="hr-HR"/>
          <w14:ligatures w14:val="standardContextual"/>
        </w:rPr>
        <w:t xml:space="preserve">je </w:t>
      </w:r>
      <w:r w:rsidRPr="00FB2821">
        <w:rPr>
          <w:color w:val="000000"/>
          <w:kern w:val="2"/>
          <w:sz w:val="24"/>
          <w:szCs w:val="24"/>
          <w:lang w:eastAsia="hr-HR"/>
          <w14:ligatures w14:val="standardContextual"/>
        </w:rPr>
        <w:t>obustavlje</w:t>
      </w:r>
      <w:r>
        <w:rPr>
          <w:color w:val="000000"/>
          <w:kern w:val="2"/>
          <w:sz w:val="24"/>
          <w:szCs w:val="24"/>
          <w:lang w:eastAsia="hr-HR"/>
          <w14:ligatures w14:val="standardContextual"/>
        </w:rPr>
        <w:t xml:space="preserve">n zbog reorganizacije vezane uz </w:t>
      </w:r>
      <w:r w:rsidRPr="00FB2821">
        <w:rPr>
          <w:color w:val="000000"/>
          <w:kern w:val="2"/>
          <w:sz w:val="24"/>
          <w:szCs w:val="24"/>
          <w:lang w:eastAsia="hr-HR"/>
          <w14:ligatures w14:val="standardContextual"/>
        </w:rPr>
        <w:t>uvo</w:t>
      </w:r>
      <w:r>
        <w:rPr>
          <w:color w:val="000000"/>
          <w:kern w:val="2"/>
          <w:sz w:val="24"/>
          <w:szCs w:val="24"/>
          <w:lang w:eastAsia="hr-HR"/>
          <w14:ligatures w14:val="standardContextual"/>
        </w:rPr>
        <w:t xml:space="preserve">đenje osjetljivijeg testa fekalnog </w:t>
      </w:r>
      <w:proofErr w:type="spellStart"/>
      <w:r>
        <w:rPr>
          <w:color w:val="000000"/>
          <w:kern w:val="2"/>
          <w:sz w:val="24"/>
          <w:szCs w:val="24"/>
          <w:lang w:eastAsia="hr-HR"/>
          <w14:ligatures w14:val="standardContextual"/>
        </w:rPr>
        <w:t>imunokemijskog</w:t>
      </w:r>
      <w:proofErr w:type="spellEnd"/>
      <w:r>
        <w:rPr>
          <w:color w:val="000000"/>
          <w:kern w:val="2"/>
          <w:sz w:val="24"/>
          <w:szCs w:val="24"/>
          <w:lang w:eastAsia="hr-HR"/>
          <w14:ligatures w14:val="standardContextual"/>
        </w:rPr>
        <w:t xml:space="preserve"> </w:t>
      </w:r>
      <w:r w:rsidRPr="00FB2821">
        <w:rPr>
          <w:color w:val="000000"/>
          <w:kern w:val="2"/>
          <w:sz w:val="24"/>
          <w:szCs w:val="24"/>
          <w:lang w:eastAsia="hr-HR"/>
          <w14:ligatures w14:val="standardContextual"/>
        </w:rPr>
        <w:t>testa (FIT)</w:t>
      </w:r>
      <w:r w:rsidRPr="00BE2ED7">
        <w:rPr>
          <w:color w:val="000000"/>
          <w:kern w:val="2"/>
          <w:sz w:val="24"/>
          <w:szCs w:val="24"/>
          <w:lang w:eastAsia="hr-HR"/>
          <w14:ligatures w14:val="standardContextual"/>
        </w:rPr>
        <w:t xml:space="preserve">. Ukupni odaziv u petom ciklusu iznosio je 34%, uz 25% testiranih unutar programa, pri čemu je u više od polovice županija zabilježen porast odaziva zahvaljujući edukaciji građana i angažmanu patronažnih </w:t>
      </w:r>
      <w:r>
        <w:rPr>
          <w:color w:val="000000"/>
          <w:kern w:val="2"/>
          <w:sz w:val="24"/>
          <w:szCs w:val="24"/>
          <w:lang w:eastAsia="hr-HR"/>
          <w14:ligatures w14:val="standardContextual"/>
        </w:rPr>
        <w:t>službi</w:t>
      </w:r>
      <w:r w:rsidRPr="00BE2ED7">
        <w:rPr>
          <w:color w:val="000000"/>
          <w:kern w:val="2"/>
          <w:sz w:val="24"/>
          <w:szCs w:val="24"/>
          <w:lang w:eastAsia="hr-HR"/>
          <w14:ligatures w14:val="standardContextual"/>
        </w:rPr>
        <w:t xml:space="preserve">, unatoč privremenom usporavanju tijekom pandemije. U petom ciklusu obavljeno je 4.611 kolonoskopija, od kojih je u 1.930 slučajeva provedena </w:t>
      </w:r>
      <w:proofErr w:type="spellStart"/>
      <w:r w:rsidRPr="00BE2ED7">
        <w:rPr>
          <w:color w:val="000000"/>
          <w:kern w:val="2"/>
          <w:sz w:val="24"/>
          <w:szCs w:val="24"/>
          <w:lang w:eastAsia="hr-HR"/>
          <w14:ligatures w14:val="standardContextual"/>
        </w:rPr>
        <w:t>polipektomija</w:t>
      </w:r>
      <w:proofErr w:type="spellEnd"/>
      <w:r w:rsidRPr="00BE2ED7">
        <w:rPr>
          <w:color w:val="000000"/>
          <w:kern w:val="2"/>
          <w:sz w:val="24"/>
          <w:szCs w:val="24"/>
          <w:lang w:eastAsia="hr-HR"/>
          <w14:ligatures w14:val="standardContextual"/>
        </w:rPr>
        <w:t xml:space="preserve">, a kod dijela pacijenata otkrivene su stanične promjene čime je spriječen mogući nastanak raka. Program </w:t>
      </w:r>
      <w:r w:rsidRPr="00BE2ED7">
        <w:rPr>
          <w:color w:val="000000"/>
          <w:kern w:val="2"/>
          <w:sz w:val="24"/>
          <w:szCs w:val="24"/>
          <w:lang w:eastAsia="hr-HR"/>
          <w14:ligatures w14:val="standardContextual"/>
        </w:rPr>
        <w:lastRenderedPageBreak/>
        <w:t>je dodatno unaprijeđen kroz edukacije za zdravstvene djelatnike, pripremu elaborata za uvođenje osjetljivijeg</w:t>
      </w:r>
      <w:r>
        <w:rPr>
          <w:color w:val="000000"/>
          <w:kern w:val="2"/>
          <w:sz w:val="24"/>
          <w:szCs w:val="24"/>
          <w:lang w:eastAsia="hr-HR"/>
          <w14:ligatures w14:val="standardContextual"/>
        </w:rPr>
        <w:t xml:space="preserve"> (FIT)</w:t>
      </w:r>
      <w:r w:rsidRPr="00BE2ED7">
        <w:rPr>
          <w:color w:val="000000"/>
          <w:kern w:val="2"/>
          <w:sz w:val="24"/>
          <w:szCs w:val="24"/>
          <w:lang w:eastAsia="hr-HR"/>
          <w14:ligatures w14:val="standardContextual"/>
        </w:rPr>
        <w:t xml:space="preserve"> testa</w:t>
      </w:r>
      <w:r>
        <w:rPr>
          <w:color w:val="000000"/>
          <w:kern w:val="2"/>
          <w:sz w:val="24"/>
          <w:szCs w:val="24"/>
          <w:lang w:eastAsia="hr-HR"/>
          <w14:ligatures w14:val="standardContextual"/>
        </w:rPr>
        <w:t xml:space="preserve"> </w:t>
      </w:r>
      <w:r w:rsidRPr="00BE2ED7">
        <w:rPr>
          <w:color w:val="000000"/>
          <w:kern w:val="2"/>
          <w:sz w:val="24"/>
          <w:szCs w:val="24"/>
          <w:lang w:eastAsia="hr-HR"/>
          <w14:ligatures w14:val="standardContextual"/>
        </w:rPr>
        <w:t xml:space="preserve">te provedbu </w:t>
      </w:r>
      <w:proofErr w:type="spellStart"/>
      <w:r w:rsidRPr="00BE2ED7">
        <w:rPr>
          <w:color w:val="000000"/>
          <w:kern w:val="2"/>
          <w:sz w:val="24"/>
          <w:szCs w:val="24"/>
          <w:lang w:eastAsia="hr-HR"/>
          <w14:ligatures w14:val="standardContextual"/>
        </w:rPr>
        <w:t>farmakoekonomske</w:t>
      </w:r>
      <w:proofErr w:type="spellEnd"/>
      <w:r w:rsidRPr="00BE2ED7">
        <w:rPr>
          <w:color w:val="000000"/>
          <w:kern w:val="2"/>
          <w:sz w:val="24"/>
          <w:szCs w:val="24"/>
          <w:lang w:eastAsia="hr-HR"/>
          <w14:ligatures w14:val="standardContextual"/>
        </w:rPr>
        <w:t xml:space="preserve"> analize. </w:t>
      </w:r>
      <w:r>
        <w:rPr>
          <w:color w:val="000000"/>
          <w:kern w:val="2"/>
          <w:sz w:val="24"/>
          <w:szCs w:val="24"/>
          <w:lang w:eastAsia="hr-HR"/>
          <w14:ligatures w14:val="standardContextual"/>
        </w:rPr>
        <w:t>Provedene j</w:t>
      </w:r>
      <w:r w:rsidRPr="00BE2ED7">
        <w:rPr>
          <w:color w:val="000000"/>
          <w:kern w:val="2"/>
          <w:sz w:val="24"/>
          <w:szCs w:val="24"/>
          <w:lang w:eastAsia="hr-HR"/>
          <w14:ligatures w14:val="standardContextual"/>
        </w:rPr>
        <w:t xml:space="preserve">avnozdravstvene aktivnosti, uključujući obilježavanje </w:t>
      </w:r>
      <w:r>
        <w:rPr>
          <w:color w:val="000000"/>
          <w:kern w:val="2"/>
          <w:sz w:val="24"/>
          <w:szCs w:val="24"/>
          <w:lang w:eastAsia="hr-HR"/>
          <w14:ligatures w14:val="standardContextual"/>
        </w:rPr>
        <w:t>„</w:t>
      </w:r>
      <w:r w:rsidRPr="00BE2ED7">
        <w:rPr>
          <w:color w:val="000000"/>
          <w:kern w:val="2"/>
          <w:sz w:val="24"/>
          <w:szCs w:val="24"/>
          <w:lang w:eastAsia="hr-HR"/>
          <w14:ligatures w14:val="standardContextual"/>
        </w:rPr>
        <w:t>Mjeseca svjesnosti o raku debelog crijeva</w:t>
      </w:r>
      <w:r>
        <w:rPr>
          <w:color w:val="000000"/>
          <w:kern w:val="2"/>
          <w:sz w:val="24"/>
          <w:szCs w:val="24"/>
          <w:lang w:eastAsia="hr-HR"/>
          <w14:ligatures w14:val="standardContextual"/>
        </w:rPr>
        <w:t>“</w:t>
      </w:r>
      <w:r w:rsidRPr="00BE2ED7">
        <w:rPr>
          <w:color w:val="000000"/>
          <w:kern w:val="2"/>
          <w:sz w:val="24"/>
          <w:szCs w:val="24"/>
          <w:lang w:eastAsia="hr-HR"/>
          <w14:ligatures w14:val="standardContextual"/>
        </w:rPr>
        <w:t xml:space="preserve"> i akcij</w:t>
      </w:r>
      <w:r>
        <w:rPr>
          <w:color w:val="000000"/>
          <w:kern w:val="2"/>
          <w:sz w:val="24"/>
          <w:szCs w:val="24"/>
          <w:lang w:eastAsia="hr-HR"/>
          <w14:ligatures w14:val="standardContextual"/>
        </w:rPr>
        <w:t>a</w:t>
      </w:r>
      <w:r w:rsidRPr="00BE2ED7">
        <w:rPr>
          <w:color w:val="000000"/>
          <w:kern w:val="2"/>
          <w:sz w:val="24"/>
          <w:szCs w:val="24"/>
          <w:lang w:eastAsia="hr-HR"/>
          <w14:ligatures w14:val="standardContextual"/>
        </w:rPr>
        <w:t xml:space="preserve"> „Dan plave zvijezde“ u Zagrebu, dodatno su pridonijele podizanju svijesti o važnosti ranog otkrivanja </w:t>
      </w:r>
      <w:r>
        <w:rPr>
          <w:color w:val="000000"/>
          <w:kern w:val="2"/>
          <w:sz w:val="24"/>
          <w:szCs w:val="24"/>
          <w:lang w:eastAsia="hr-HR"/>
          <w14:ligatures w14:val="standardContextual"/>
        </w:rPr>
        <w:t xml:space="preserve">ove </w:t>
      </w:r>
      <w:r w:rsidRPr="00BE2ED7">
        <w:rPr>
          <w:color w:val="000000"/>
          <w:kern w:val="2"/>
          <w:sz w:val="24"/>
          <w:szCs w:val="24"/>
          <w:lang w:eastAsia="hr-HR"/>
          <w14:ligatures w14:val="standardContextual"/>
        </w:rPr>
        <w:t>bolesti. Pr</w:t>
      </w:r>
      <w:r>
        <w:rPr>
          <w:color w:val="000000"/>
          <w:kern w:val="2"/>
          <w:sz w:val="24"/>
          <w:szCs w:val="24"/>
          <w:lang w:eastAsia="hr-HR"/>
          <w14:ligatures w14:val="standardContextual"/>
        </w:rPr>
        <w:t>ovedba Programa na ovaj način</w:t>
      </w:r>
      <w:r w:rsidRPr="00BE2ED7">
        <w:rPr>
          <w:color w:val="000000"/>
          <w:kern w:val="2"/>
          <w:sz w:val="24"/>
          <w:szCs w:val="24"/>
          <w:lang w:eastAsia="hr-HR"/>
          <w14:ligatures w14:val="standardContextual"/>
        </w:rPr>
        <w:t xml:space="preserve"> kontinuirano napreduje u pogledu kvalitete, organizacije i edukacije, s ciljem smanjenja smrtnosti i poboljšanja ishoda liječenja raka debelog crijeva u Hrvatskoj.</w:t>
      </w:r>
    </w:p>
    <w:p w14:paraId="0CF0237F" w14:textId="77777777" w:rsidR="00FB178A" w:rsidRDefault="00FB178A" w:rsidP="00FB178A">
      <w:pPr>
        <w:widowControl/>
        <w:autoSpaceDE/>
        <w:autoSpaceDN/>
        <w:spacing w:after="156" w:line="276" w:lineRule="auto"/>
        <w:ind w:right="43"/>
        <w:jc w:val="both"/>
        <w:rPr>
          <w:color w:val="000000"/>
          <w:kern w:val="2"/>
          <w:sz w:val="24"/>
          <w:szCs w:val="24"/>
          <w:lang w:eastAsia="hr-HR"/>
          <w14:ligatures w14:val="standardContextual"/>
        </w:rPr>
      </w:pPr>
      <w:r w:rsidRPr="00F87335">
        <w:rPr>
          <w:color w:val="000000"/>
          <w:kern w:val="2"/>
          <w:sz w:val="24"/>
          <w:szCs w:val="24"/>
          <w:lang w:eastAsia="hr-HR"/>
          <w14:ligatures w14:val="standardContextual"/>
        </w:rPr>
        <w:t xml:space="preserve">Aktivnosti Nacionalnog programa „Živjeti zdravo“ </w:t>
      </w:r>
      <w:r>
        <w:rPr>
          <w:color w:val="000000"/>
          <w:kern w:val="2"/>
          <w:sz w:val="24"/>
          <w:szCs w:val="24"/>
          <w:lang w:eastAsia="hr-HR"/>
          <w14:ligatures w14:val="standardContextual"/>
        </w:rPr>
        <w:t>nastavljene su i tijekom</w:t>
      </w:r>
      <w:r w:rsidRPr="00F87335">
        <w:rPr>
          <w:color w:val="000000"/>
          <w:kern w:val="2"/>
          <w:sz w:val="24"/>
          <w:szCs w:val="24"/>
          <w:lang w:eastAsia="hr-HR"/>
          <w14:ligatures w14:val="standardContextual"/>
        </w:rPr>
        <w:t xml:space="preserve"> 2024. </w:t>
      </w:r>
      <w:r>
        <w:rPr>
          <w:color w:val="000000"/>
          <w:kern w:val="2"/>
          <w:sz w:val="24"/>
          <w:szCs w:val="24"/>
          <w:lang w:eastAsia="hr-HR"/>
          <w14:ligatures w14:val="standardContextual"/>
        </w:rPr>
        <w:t xml:space="preserve">te su </w:t>
      </w:r>
      <w:r w:rsidRPr="00F87335">
        <w:rPr>
          <w:color w:val="000000"/>
          <w:kern w:val="2"/>
          <w:sz w:val="24"/>
          <w:szCs w:val="24"/>
          <w:lang w:eastAsia="hr-HR"/>
          <w14:ligatures w14:val="standardContextual"/>
        </w:rPr>
        <w:t xml:space="preserve">pokazale visoku razinu učinkovitosti u promicanju zdravih životnih navika među različitim dobnim skupinama, kroz rad savjetovališta, edukativne kampanje, provedbu školskih i predškolskih inicijativa, poticanje tjelesne aktivnosti u zajednici, unapređenje prehrambenih standarda te promociju zdravlja na radnom mjestu. </w:t>
      </w:r>
      <w:r>
        <w:rPr>
          <w:color w:val="000000"/>
          <w:kern w:val="2"/>
          <w:sz w:val="24"/>
          <w:szCs w:val="24"/>
          <w:lang w:eastAsia="hr-HR"/>
          <w14:ligatures w14:val="standardContextual"/>
        </w:rPr>
        <w:t>U kontekstu promicanja zdravih životnih navika, n</w:t>
      </w:r>
      <w:r w:rsidRPr="00F87335">
        <w:rPr>
          <w:color w:val="000000"/>
          <w:kern w:val="2"/>
          <w:sz w:val="24"/>
          <w:szCs w:val="24"/>
          <w:lang w:eastAsia="hr-HR"/>
          <w14:ligatures w14:val="standardContextual"/>
        </w:rPr>
        <w:t xml:space="preserve">astavljena je </w:t>
      </w:r>
      <w:r>
        <w:rPr>
          <w:color w:val="000000"/>
          <w:kern w:val="2"/>
          <w:sz w:val="24"/>
          <w:szCs w:val="24"/>
          <w:lang w:eastAsia="hr-HR"/>
          <w14:ligatures w14:val="standardContextual"/>
        </w:rPr>
        <w:t>primjena</w:t>
      </w:r>
      <w:r w:rsidRPr="00F87335">
        <w:rPr>
          <w:color w:val="000000"/>
          <w:kern w:val="2"/>
          <w:sz w:val="24"/>
          <w:szCs w:val="24"/>
          <w:lang w:eastAsia="hr-HR"/>
          <w14:ligatures w14:val="standardContextual"/>
        </w:rPr>
        <w:t xml:space="preserve"> Nacionalnih smjernica za prehranu učenika te provedba javnozdravstvenih kampanja </w:t>
      </w:r>
      <w:r>
        <w:rPr>
          <w:color w:val="000000"/>
          <w:kern w:val="2"/>
          <w:sz w:val="24"/>
          <w:szCs w:val="24"/>
          <w:lang w:eastAsia="hr-HR"/>
          <w14:ligatures w14:val="standardContextual"/>
        </w:rPr>
        <w:t>poticanja djece</w:t>
      </w:r>
      <w:r w:rsidRPr="00F51C0C">
        <w:rPr>
          <w:color w:val="000000"/>
          <w:kern w:val="2"/>
          <w:sz w:val="24"/>
          <w:szCs w:val="24"/>
          <w:lang w:eastAsia="hr-HR"/>
          <w14:ligatures w14:val="standardContextual"/>
        </w:rPr>
        <w:t xml:space="preserve"> na svakodnevnu tjelesnu aktivnost</w:t>
      </w:r>
      <w:r>
        <w:rPr>
          <w:color w:val="000000"/>
          <w:kern w:val="2"/>
          <w:sz w:val="24"/>
          <w:szCs w:val="24"/>
          <w:lang w:eastAsia="hr-HR"/>
          <w14:ligatures w14:val="standardContextual"/>
        </w:rPr>
        <w:t>,</w:t>
      </w:r>
      <w:r w:rsidRPr="00F51C0C">
        <w:rPr>
          <w:color w:val="000000"/>
          <w:kern w:val="2"/>
          <w:sz w:val="24"/>
          <w:szCs w:val="24"/>
          <w:lang w:eastAsia="hr-HR"/>
          <w14:ligatures w14:val="standardContextual"/>
        </w:rPr>
        <w:t xml:space="preserve"> </w:t>
      </w:r>
      <w:r w:rsidRPr="00F87335">
        <w:rPr>
          <w:color w:val="000000"/>
          <w:kern w:val="2"/>
          <w:sz w:val="24"/>
          <w:szCs w:val="24"/>
          <w:lang w:eastAsia="hr-HR"/>
          <w14:ligatures w14:val="standardContextual"/>
        </w:rPr>
        <w:t xml:space="preserve">kao što su </w:t>
      </w:r>
      <w:r>
        <w:rPr>
          <w:color w:val="000000"/>
          <w:kern w:val="2"/>
          <w:sz w:val="24"/>
          <w:szCs w:val="24"/>
          <w:lang w:eastAsia="hr-HR"/>
          <w14:ligatures w14:val="standardContextual"/>
        </w:rPr>
        <w:t>„</w:t>
      </w:r>
      <w:r w:rsidRPr="00F87335">
        <w:rPr>
          <w:color w:val="000000"/>
          <w:kern w:val="2"/>
          <w:sz w:val="24"/>
          <w:szCs w:val="24"/>
          <w:lang w:eastAsia="hr-HR"/>
          <w14:ligatures w14:val="standardContextual"/>
        </w:rPr>
        <w:t>Tjedan školskog doručka</w:t>
      </w:r>
      <w:r>
        <w:rPr>
          <w:color w:val="000000"/>
          <w:kern w:val="2"/>
          <w:sz w:val="24"/>
          <w:szCs w:val="24"/>
          <w:lang w:eastAsia="hr-HR"/>
          <w14:ligatures w14:val="standardContextual"/>
        </w:rPr>
        <w:t>“</w:t>
      </w:r>
      <w:r w:rsidRPr="00F87335">
        <w:rPr>
          <w:color w:val="000000"/>
          <w:kern w:val="2"/>
          <w:sz w:val="24"/>
          <w:szCs w:val="24"/>
          <w:lang w:eastAsia="hr-HR"/>
          <w14:ligatures w14:val="standardContextual"/>
        </w:rPr>
        <w:t xml:space="preserve"> i </w:t>
      </w:r>
      <w:r>
        <w:rPr>
          <w:color w:val="000000"/>
          <w:kern w:val="2"/>
          <w:sz w:val="24"/>
          <w:szCs w:val="24"/>
          <w:lang w:eastAsia="hr-HR"/>
          <w14:ligatures w14:val="standardContextual"/>
        </w:rPr>
        <w:t>„</w:t>
      </w:r>
      <w:r w:rsidRPr="00F87335">
        <w:rPr>
          <w:color w:val="000000"/>
          <w:kern w:val="2"/>
          <w:sz w:val="24"/>
          <w:szCs w:val="24"/>
          <w:lang w:eastAsia="hr-HR"/>
          <w14:ligatures w14:val="standardContextual"/>
        </w:rPr>
        <w:t>Tjedan zdravlja u vrtiću</w:t>
      </w:r>
      <w:r>
        <w:rPr>
          <w:color w:val="000000"/>
          <w:kern w:val="2"/>
          <w:sz w:val="24"/>
          <w:szCs w:val="24"/>
          <w:lang w:eastAsia="hr-HR"/>
          <w14:ligatures w14:val="standardContextual"/>
        </w:rPr>
        <w:t>“</w:t>
      </w:r>
      <w:r w:rsidRPr="00F87335">
        <w:rPr>
          <w:color w:val="000000"/>
          <w:kern w:val="2"/>
          <w:sz w:val="24"/>
          <w:szCs w:val="24"/>
          <w:lang w:eastAsia="hr-HR"/>
          <w14:ligatures w14:val="standardContextual"/>
        </w:rPr>
        <w:t xml:space="preserve">, obilježavanje </w:t>
      </w:r>
      <w:r>
        <w:rPr>
          <w:color w:val="000000"/>
          <w:kern w:val="2"/>
          <w:sz w:val="24"/>
          <w:szCs w:val="24"/>
          <w:lang w:eastAsia="hr-HR"/>
          <w14:ligatures w14:val="standardContextual"/>
        </w:rPr>
        <w:t>„</w:t>
      </w:r>
      <w:r w:rsidRPr="00F87335">
        <w:rPr>
          <w:color w:val="000000"/>
          <w:kern w:val="2"/>
          <w:sz w:val="24"/>
          <w:szCs w:val="24"/>
          <w:lang w:eastAsia="hr-HR"/>
          <w14:ligatures w14:val="standardContextual"/>
        </w:rPr>
        <w:t>Dana kretanja za zdravlje</w:t>
      </w:r>
      <w:r>
        <w:rPr>
          <w:color w:val="000000"/>
          <w:kern w:val="2"/>
          <w:sz w:val="24"/>
          <w:szCs w:val="24"/>
          <w:lang w:eastAsia="hr-HR"/>
          <w14:ligatures w14:val="standardContextual"/>
        </w:rPr>
        <w:t>“</w:t>
      </w:r>
      <w:r w:rsidRPr="00F87335">
        <w:rPr>
          <w:color w:val="000000"/>
          <w:kern w:val="2"/>
          <w:sz w:val="24"/>
          <w:szCs w:val="24"/>
          <w:lang w:eastAsia="hr-HR"/>
          <w14:ligatures w14:val="standardContextual"/>
        </w:rPr>
        <w:t xml:space="preserve"> i provedbu projekta „Poligon za tjelesnu aktivnost školske djece“. U</w:t>
      </w:r>
      <w:r w:rsidRPr="00DA684C">
        <w:t xml:space="preserve"> </w:t>
      </w:r>
      <w:r w:rsidRPr="0004221B">
        <w:rPr>
          <w:sz w:val="24"/>
          <w:szCs w:val="24"/>
        </w:rPr>
        <w:t>području</w:t>
      </w:r>
      <w:r>
        <w:t xml:space="preserve"> </w:t>
      </w:r>
      <w:r w:rsidRPr="00DA684C">
        <w:rPr>
          <w:color w:val="000000"/>
          <w:kern w:val="2"/>
          <w:sz w:val="24"/>
          <w:szCs w:val="24"/>
          <w:lang w:eastAsia="hr-HR"/>
          <w14:ligatures w14:val="standardContextual"/>
        </w:rPr>
        <w:t>sustavno</w:t>
      </w:r>
      <w:r>
        <w:rPr>
          <w:color w:val="000000"/>
          <w:kern w:val="2"/>
          <w:sz w:val="24"/>
          <w:szCs w:val="24"/>
          <w:lang w:eastAsia="hr-HR"/>
          <w14:ligatures w14:val="standardContextual"/>
        </w:rPr>
        <w:t>g</w:t>
      </w:r>
      <w:r w:rsidRPr="00DA684C">
        <w:rPr>
          <w:color w:val="000000"/>
          <w:kern w:val="2"/>
          <w:sz w:val="24"/>
          <w:szCs w:val="24"/>
          <w:lang w:eastAsia="hr-HR"/>
          <w14:ligatures w14:val="standardContextual"/>
        </w:rPr>
        <w:t xml:space="preserve"> promicanj</w:t>
      </w:r>
      <w:r>
        <w:rPr>
          <w:color w:val="000000"/>
          <w:kern w:val="2"/>
          <w:sz w:val="24"/>
          <w:szCs w:val="24"/>
          <w:lang w:eastAsia="hr-HR"/>
          <w14:ligatures w14:val="standardContextual"/>
        </w:rPr>
        <w:t>a</w:t>
      </w:r>
      <w:r w:rsidRPr="00DA684C">
        <w:rPr>
          <w:color w:val="000000"/>
          <w:kern w:val="2"/>
          <w:sz w:val="24"/>
          <w:szCs w:val="24"/>
          <w:lang w:eastAsia="hr-HR"/>
          <w14:ligatures w14:val="standardContextual"/>
        </w:rPr>
        <w:t xml:space="preserve"> mentalnog zdravlja</w:t>
      </w:r>
      <w:r>
        <w:rPr>
          <w:color w:val="000000"/>
          <w:kern w:val="2"/>
          <w:sz w:val="24"/>
          <w:szCs w:val="24"/>
          <w:lang w:eastAsia="hr-HR"/>
          <w14:ligatures w14:val="standardContextual"/>
        </w:rPr>
        <w:t xml:space="preserve"> u</w:t>
      </w:r>
      <w:r w:rsidRPr="00F87335">
        <w:rPr>
          <w:color w:val="000000"/>
          <w:kern w:val="2"/>
          <w:sz w:val="24"/>
          <w:szCs w:val="24"/>
          <w:lang w:eastAsia="hr-HR"/>
          <w14:ligatures w14:val="standardContextual"/>
        </w:rPr>
        <w:t xml:space="preserve"> okviru programa </w:t>
      </w:r>
      <w:r>
        <w:rPr>
          <w:color w:val="000000"/>
          <w:kern w:val="2"/>
          <w:sz w:val="24"/>
          <w:szCs w:val="24"/>
          <w:lang w:eastAsia="hr-HR"/>
          <w14:ligatures w14:val="standardContextual"/>
        </w:rPr>
        <w:t>„</w:t>
      </w:r>
      <w:proofErr w:type="spellStart"/>
      <w:r w:rsidRPr="00F87335">
        <w:rPr>
          <w:color w:val="000000"/>
          <w:kern w:val="2"/>
          <w:sz w:val="24"/>
          <w:szCs w:val="24"/>
          <w:lang w:eastAsia="hr-HR"/>
          <w14:ligatures w14:val="standardContextual"/>
        </w:rPr>
        <w:t>PoMoZi</w:t>
      </w:r>
      <w:proofErr w:type="spellEnd"/>
      <w:r w:rsidRPr="00F87335">
        <w:rPr>
          <w:color w:val="000000"/>
          <w:kern w:val="2"/>
          <w:sz w:val="24"/>
          <w:szCs w:val="24"/>
          <w:lang w:eastAsia="hr-HR"/>
          <w14:ligatures w14:val="standardContextual"/>
        </w:rPr>
        <w:t xml:space="preserve"> Da</w:t>
      </w:r>
      <w:r>
        <w:rPr>
          <w:color w:val="000000"/>
          <w:kern w:val="2"/>
          <w:sz w:val="24"/>
          <w:szCs w:val="24"/>
          <w:lang w:eastAsia="hr-HR"/>
          <w14:ligatures w14:val="standardContextual"/>
        </w:rPr>
        <w:t>“</w:t>
      </w:r>
      <w:r w:rsidRPr="00F87335">
        <w:rPr>
          <w:color w:val="000000"/>
          <w:kern w:val="2"/>
          <w:sz w:val="24"/>
          <w:szCs w:val="24"/>
          <w:lang w:eastAsia="hr-HR"/>
          <w14:ligatures w14:val="standardContextual"/>
        </w:rPr>
        <w:t xml:space="preserve"> proveden</w:t>
      </w:r>
      <w:r>
        <w:rPr>
          <w:color w:val="000000"/>
          <w:kern w:val="2"/>
          <w:sz w:val="24"/>
          <w:szCs w:val="24"/>
          <w:lang w:eastAsia="hr-HR"/>
          <w14:ligatures w14:val="standardContextual"/>
        </w:rPr>
        <w:t>o je</w:t>
      </w:r>
      <w:r w:rsidRPr="00F87335">
        <w:rPr>
          <w:color w:val="000000"/>
          <w:kern w:val="2"/>
          <w:sz w:val="24"/>
          <w:szCs w:val="24"/>
          <w:lang w:eastAsia="hr-HR"/>
          <w14:ligatures w14:val="standardContextual"/>
        </w:rPr>
        <w:t xml:space="preserve"> ukupno 27 trodnevnih edukacija</w:t>
      </w:r>
      <w:r>
        <w:rPr>
          <w:color w:val="000000"/>
          <w:kern w:val="2"/>
          <w:sz w:val="24"/>
          <w:szCs w:val="24"/>
          <w:lang w:eastAsia="hr-HR"/>
          <w14:ligatures w14:val="standardContextual"/>
        </w:rPr>
        <w:t>,</w:t>
      </w:r>
      <w:r w:rsidRPr="00F87335">
        <w:rPr>
          <w:color w:val="000000"/>
          <w:kern w:val="2"/>
          <w:sz w:val="24"/>
          <w:szCs w:val="24"/>
          <w:lang w:eastAsia="hr-HR"/>
          <w14:ligatures w14:val="standardContextual"/>
        </w:rPr>
        <w:t xml:space="preserve"> koje su obuhvatile 467 odgojno-obrazovnih djelatnika, pri čemu </w:t>
      </w:r>
      <w:r>
        <w:rPr>
          <w:color w:val="000000"/>
          <w:kern w:val="2"/>
          <w:sz w:val="24"/>
          <w:szCs w:val="24"/>
          <w:lang w:eastAsia="hr-HR"/>
          <w14:ligatures w14:val="standardContextual"/>
        </w:rPr>
        <w:t xml:space="preserve">je </w:t>
      </w:r>
      <w:r w:rsidRPr="00F87335">
        <w:rPr>
          <w:color w:val="000000"/>
          <w:kern w:val="2"/>
          <w:sz w:val="24"/>
          <w:szCs w:val="24"/>
          <w:lang w:eastAsia="hr-HR"/>
          <w14:ligatures w14:val="standardContextual"/>
        </w:rPr>
        <w:t xml:space="preserve">napredna razina </w:t>
      </w:r>
      <w:r>
        <w:rPr>
          <w:color w:val="000000"/>
          <w:kern w:val="2"/>
          <w:sz w:val="24"/>
          <w:szCs w:val="24"/>
          <w:lang w:eastAsia="hr-HR"/>
          <w14:ligatures w14:val="standardContextual"/>
        </w:rPr>
        <w:t xml:space="preserve">edukacija </w:t>
      </w:r>
      <w:r w:rsidRPr="00F87335">
        <w:rPr>
          <w:color w:val="000000"/>
          <w:kern w:val="2"/>
          <w:sz w:val="24"/>
          <w:szCs w:val="24"/>
          <w:lang w:eastAsia="hr-HR"/>
          <w14:ligatures w14:val="standardContextual"/>
        </w:rPr>
        <w:t>uključ</w:t>
      </w:r>
      <w:r>
        <w:rPr>
          <w:color w:val="000000"/>
          <w:kern w:val="2"/>
          <w:sz w:val="24"/>
          <w:szCs w:val="24"/>
          <w:lang w:eastAsia="hr-HR"/>
          <w14:ligatures w14:val="standardContextual"/>
        </w:rPr>
        <w:t>ivala</w:t>
      </w:r>
      <w:r w:rsidRPr="00F87335">
        <w:rPr>
          <w:color w:val="000000"/>
          <w:kern w:val="2"/>
          <w:sz w:val="24"/>
          <w:szCs w:val="24"/>
          <w:lang w:eastAsia="hr-HR"/>
          <w14:ligatures w14:val="standardContextual"/>
        </w:rPr>
        <w:t xml:space="preserve"> praktičnu primjenu vještina psihološke prve pomoći. Dodatno su objavljena tri priručnika</w:t>
      </w:r>
      <w:r>
        <w:rPr>
          <w:color w:val="000000"/>
          <w:kern w:val="2"/>
          <w:sz w:val="24"/>
          <w:szCs w:val="24"/>
          <w:lang w:eastAsia="hr-HR"/>
          <w14:ligatures w14:val="standardContextual"/>
        </w:rPr>
        <w:t xml:space="preserve"> za obrazovne djelatnike</w:t>
      </w:r>
      <w:r w:rsidRPr="00F87335">
        <w:rPr>
          <w:color w:val="000000"/>
          <w:kern w:val="2"/>
          <w:sz w:val="24"/>
          <w:szCs w:val="24"/>
          <w:lang w:eastAsia="hr-HR"/>
          <w14:ligatures w14:val="standardContextual"/>
        </w:rPr>
        <w:t>, čime je osnažena stručna podloga za sustavno promicanje mentalnog zdravlja i zdravih životnih navika u odgojno-obrazovnom sustavu.</w:t>
      </w:r>
    </w:p>
    <w:p w14:paraId="738E6BDE" w14:textId="77777777" w:rsidR="00FB178A" w:rsidRDefault="00FB178A" w:rsidP="00FB178A">
      <w:pPr>
        <w:widowControl/>
        <w:autoSpaceDE/>
        <w:autoSpaceDN/>
        <w:spacing w:after="156" w:line="276" w:lineRule="auto"/>
        <w:ind w:right="43"/>
        <w:jc w:val="both"/>
        <w:rPr>
          <w:color w:val="000000"/>
          <w:kern w:val="2"/>
          <w:sz w:val="24"/>
          <w:szCs w:val="24"/>
          <w:lang w:eastAsia="hr-HR"/>
          <w14:ligatures w14:val="standardContextual"/>
        </w:rPr>
      </w:pPr>
      <w:r w:rsidRPr="00051C4E">
        <w:rPr>
          <w:color w:val="000000"/>
          <w:kern w:val="2"/>
          <w:sz w:val="24"/>
          <w:szCs w:val="24"/>
          <w:lang w:eastAsia="hr-HR"/>
          <w14:ligatures w14:val="standardContextual"/>
        </w:rPr>
        <w:t xml:space="preserve">U siječnju 2024. započela je provedba Nacionalnog programa probira i ranog otkrivanja porodične </w:t>
      </w:r>
      <w:proofErr w:type="spellStart"/>
      <w:r w:rsidRPr="00051C4E">
        <w:rPr>
          <w:color w:val="000000"/>
          <w:kern w:val="2"/>
          <w:sz w:val="24"/>
          <w:szCs w:val="24"/>
          <w:lang w:eastAsia="hr-HR"/>
          <w14:ligatures w14:val="standardContextual"/>
        </w:rPr>
        <w:t>hiperkolesterolemije</w:t>
      </w:r>
      <w:proofErr w:type="spellEnd"/>
      <w:r w:rsidRPr="00051C4E">
        <w:rPr>
          <w:color w:val="000000"/>
          <w:kern w:val="2"/>
          <w:sz w:val="24"/>
          <w:szCs w:val="24"/>
          <w:lang w:eastAsia="hr-HR"/>
          <w14:ligatures w14:val="standardContextual"/>
        </w:rPr>
        <w:t xml:space="preserve"> za razdoblje do 2026. godine</w:t>
      </w:r>
      <w:r>
        <w:rPr>
          <w:color w:val="000000"/>
          <w:kern w:val="2"/>
          <w:sz w:val="24"/>
          <w:szCs w:val="24"/>
          <w:lang w:eastAsia="hr-HR"/>
          <w14:ligatures w14:val="standardContextual"/>
        </w:rPr>
        <w:t xml:space="preserve">. Programom </w:t>
      </w:r>
      <w:r w:rsidRPr="00051C4E">
        <w:rPr>
          <w:color w:val="000000"/>
          <w:kern w:val="2"/>
          <w:sz w:val="24"/>
          <w:szCs w:val="24"/>
          <w:lang w:eastAsia="hr-HR"/>
          <w14:ligatures w14:val="standardContextual"/>
        </w:rPr>
        <w:t xml:space="preserve">se </w:t>
      </w:r>
      <w:r>
        <w:rPr>
          <w:color w:val="000000"/>
          <w:kern w:val="2"/>
          <w:sz w:val="24"/>
          <w:szCs w:val="24"/>
          <w:lang w:eastAsia="hr-HR"/>
          <w14:ligatures w14:val="standardContextual"/>
        </w:rPr>
        <w:t xml:space="preserve">uvodi </w:t>
      </w:r>
      <w:r w:rsidRPr="00051C4E">
        <w:rPr>
          <w:color w:val="000000"/>
          <w:kern w:val="2"/>
          <w:sz w:val="24"/>
          <w:szCs w:val="24"/>
          <w:lang w:eastAsia="hr-HR"/>
          <w14:ligatures w14:val="standardContextual"/>
        </w:rPr>
        <w:t xml:space="preserve">sustavno mjerenje </w:t>
      </w:r>
      <w:proofErr w:type="spellStart"/>
      <w:r w:rsidRPr="00051C4E">
        <w:rPr>
          <w:color w:val="000000"/>
          <w:kern w:val="2"/>
          <w:sz w:val="24"/>
          <w:szCs w:val="24"/>
          <w:lang w:eastAsia="hr-HR"/>
          <w14:ligatures w14:val="standardContextual"/>
        </w:rPr>
        <w:t>lipidnog</w:t>
      </w:r>
      <w:proofErr w:type="spellEnd"/>
      <w:r w:rsidRPr="00051C4E">
        <w:rPr>
          <w:color w:val="000000"/>
          <w:kern w:val="2"/>
          <w:sz w:val="24"/>
          <w:szCs w:val="24"/>
          <w:lang w:eastAsia="hr-HR"/>
          <w14:ligatures w14:val="standardContextual"/>
        </w:rPr>
        <w:t xml:space="preserve"> statusa djece u </w:t>
      </w:r>
      <w:r>
        <w:rPr>
          <w:color w:val="000000"/>
          <w:kern w:val="2"/>
          <w:sz w:val="24"/>
          <w:szCs w:val="24"/>
          <w:lang w:eastAsia="hr-HR"/>
          <w14:ligatures w14:val="standardContextual"/>
        </w:rPr>
        <w:t>okviru</w:t>
      </w:r>
      <w:r w:rsidRPr="00051C4E">
        <w:rPr>
          <w:color w:val="000000"/>
          <w:kern w:val="2"/>
          <w:sz w:val="24"/>
          <w:szCs w:val="24"/>
          <w:lang w:eastAsia="hr-HR"/>
          <w14:ligatures w14:val="standardContextual"/>
        </w:rPr>
        <w:t xml:space="preserve"> obveznih sistematskih pregleda prije upisa u 1. razred osnovne škole, pod nadzorom specijalista školske i adolescentne medicine te pedijatara u primarnoj i bolničkoj zdravstvenoj zaštiti. Program</w:t>
      </w:r>
      <w:r>
        <w:rPr>
          <w:color w:val="000000"/>
          <w:kern w:val="2"/>
          <w:sz w:val="24"/>
          <w:szCs w:val="24"/>
          <w:lang w:eastAsia="hr-HR"/>
          <w14:ligatures w14:val="standardContextual"/>
        </w:rPr>
        <w:t xml:space="preserve"> je</w:t>
      </w:r>
      <w:r w:rsidRPr="00051C4E">
        <w:rPr>
          <w:color w:val="000000"/>
          <w:kern w:val="2"/>
          <w:sz w:val="24"/>
          <w:szCs w:val="24"/>
          <w:lang w:eastAsia="hr-HR"/>
          <w14:ligatures w14:val="standardContextual"/>
        </w:rPr>
        <w:t xml:space="preserve"> </w:t>
      </w:r>
      <w:r w:rsidRPr="009B69FE">
        <w:rPr>
          <w:color w:val="000000"/>
          <w:kern w:val="2"/>
          <w:sz w:val="24"/>
          <w:szCs w:val="24"/>
          <w:lang w:eastAsia="hr-HR"/>
          <w14:ligatures w14:val="standardContextual"/>
        </w:rPr>
        <w:t xml:space="preserve">usmjeren je na rano otkrivanje nasljedne </w:t>
      </w:r>
      <w:proofErr w:type="spellStart"/>
      <w:r w:rsidRPr="009B69FE">
        <w:rPr>
          <w:color w:val="000000"/>
          <w:kern w:val="2"/>
          <w:sz w:val="24"/>
          <w:szCs w:val="24"/>
          <w:lang w:eastAsia="hr-HR"/>
          <w14:ligatures w14:val="standardContextual"/>
        </w:rPr>
        <w:t>hiperkolesterolemije</w:t>
      </w:r>
      <w:proofErr w:type="spellEnd"/>
      <w:r w:rsidRPr="009B69FE">
        <w:rPr>
          <w:color w:val="000000"/>
          <w:kern w:val="2"/>
          <w:sz w:val="24"/>
          <w:szCs w:val="24"/>
          <w:lang w:eastAsia="hr-HR"/>
          <w14:ligatures w14:val="standardContextual"/>
        </w:rPr>
        <w:t xml:space="preserve"> radi smanjenja rizika od kardiovaskularnih bolesti u odrasloj dobi</w:t>
      </w:r>
      <w:r>
        <w:rPr>
          <w:color w:val="000000"/>
          <w:kern w:val="2"/>
          <w:sz w:val="24"/>
          <w:szCs w:val="24"/>
          <w:lang w:eastAsia="hr-HR"/>
          <w14:ligatures w14:val="standardContextual"/>
        </w:rPr>
        <w:t>, a</w:t>
      </w:r>
      <w:r w:rsidRPr="00051C4E">
        <w:rPr>
          <w:color w:val="000000"/>
          <w:kern w:val="2"/>
          <w:sz w:val="24"/>
          <w:szCs w:val="24"/>
          <w:lang w:eastAsia="hr-HR"/>
          <w14:ligatures w14:val="standardContextual"/>
        </w:rPr>
        <w:t xml:space="preserve"> provodi</w:t>
      </w:r>
      <w:r>
        <w:rPr>
          <w:color w:val="000000"/>
          <w:kern w:val="2"/>
          <w:sz w:val="24"/>
          <w:szCs w:val="24"/>
          <w:lang w:eastAsia="hr-HR"/>
          <w14:ligatures w14:val="standardContextual"/>
        </w:rPr>
        <w:t xml:space="preserve"> se</w:t>
      </w:r>
      <w:r w:rsidRPr="00051C4E">
        <w:rPr>
          <w:color w:val="000000"/>
          <w:kern w:val="2"/>
          <w:sz w:val="24"/>
          <w:szCs w:val="24"/>
          <w:lang w:eastAsia="hr-HR"/>
          <w14:ligatures w14:val="standardContextual"/>
        </w:rPr>
        <w:t xml:space="preserve"> u svim ambulantama školske i sveučilišne medicine županijskih zavoda za javno zdravstvo, kao i u pedijatrijskim službama bolnica te ordinacijama liječnika</w:t>
      </w:r>
      <w:r>
        <w:rPr>
          <w:color w:val="000000"/>
          <w:kern w:val="2"/>
          <w:sz w:val="24"/>
          <w:szCs w:val="24"/>
          <w:lang w:eastAsia="hr-HR"/>
          <w14:ligatures w14:val="standardContextual"/>
        </w:rPr>
        <w:t xml:space="preserve"> obiteljske medicine</w:t>
      </w:r>
      <w:r w:rsidRPr="00051C4E">
        <w:rPr>
          <w:color w:val="000000"/>
          <w:kern w:val="2"/>
          <w:sz w:val="24"/>
          <w:szCs w:val="24"/>
          <w:lang w:eastAsia="hr-HR"/>
          <w14:ligatures w14:val="standardContextual"/>
        </w:rPr>
        <w:t>.</w:t>
      </w:r>
    </w:p>
    <w:p w14:paraId="39CD0E59" w14:textId="77777777" w:rsidR="00FB178A" w:rsidRPr="007458C2" w:rsidRDefault="00FB178A" w:rsidP="00FB178A">
      <w:pPr>
        <w:widowControl/>
        <w:autoSpaceDE/>
        <w:autoSpaceDN/>
        <w:spacing w:after="187" w:line="262" w:lineRule="auto"/>
        <w:ind w:right="43"/>
        <w:jc w:val="both"/>
        <w:rPr>
          <w:color w:val="000000"/>
          <w:kern w:val="2"/>
          <w:sz w:val="24"/>
          <w:szCs w:val="24"/>
          <w:lang w:eastAsia="hr-HR"/>
          <w14:ligatures w14:val="standardContextual"/>
        </w:rPr>
      </w:pPr>
      <w:r w:rsidRPr="00E24B9D">
        <w:rPr>
          <w:color w:val="000000"/>
          <w:kern w:val="2"/>
          <w:sz w:val="24"/>
          <w:szCs w:val="24"/>
          <w:lang w:eastAsia="hr-HR"/>
          <w14:ligatures w14:val="standardContextual"/>
        </w:rPr>
        <w:t xml:space="preserve">Nadalje, </w:t>
      </w:r>
      <w:r>
        <w:rPr>
          <w:color w:val="000000"/>
          <w:kern w:val="2"/>
          <w:sz w:val="24"/>
          <w:szCs w:val="24"/>
          <w:lang w:eastAsia="hr-HR"/>
          <w14:ligatures w14:val="standardContextual"/>
        </w:rPr>
        <w:t xml:space="preserve">nastavljena je provedba </w:t>
      </w:r>
      <w:r w:rsidRPr="00E24B9D">
        <w:rPr>
          <w:color w:val="000000"/>
          <w:kern w:val="2"/>
          <w:sz w:val="24"/>
          <w:szCs w:val="24"/>
          <w:lang w:eastAsia="hr-HR"/>
          <w14:ligatures w14:val="standardContextual"/>
        </w:rPr>
        <w:t>Nacionaln</w:t>
      </w:r>
      <w:r>
        <w:rPr>
          <w:color w:val="000000"/>
          <w:kern w:val="2"/>
          <w:sz w:val="24"/>
          <w:szCs w:val="24"/>
          <w:lang w:eastAsia="hr-HR"/>
          <w14:ligatures w14:val="standardContextual"/>
        </w:rPr>
        <w:t xml:space="preserve">og </w:t>
      </w:r>
      <w:r w:rsidRPr="00E24B9D">
        <w:rPr>
          <w:color w:val="000000"/>
          <w:kern w:val="2"/>
          <w:sz w:val="24"/>
          <w:szCs w:val="24"/>
          <w:lang w:eastAsia="hr-HR"/>
          <w14:ligatures w14:val="standardContextual"/>
        </w:rPr>
        <w:t>program</w:t>
      </w:r>
      <w:r>
        <w:rPr>
          <w:color w:val="000000"/>
          <w:kern w:val="2"/>
          <w:sz w:val="24"/>
          <w:szCs w:val="24"/>
          <w:lang w:eastAsia="hr-HR"/>
          <w14:ligatures w14:val="standardContextual"/>
        </w:rPr>
        <w:t>a</w:t>
      </w:r>
      <w:r w:rsidRPr="00E24B9D">
        <w:rPr>
          <w:color w:val="000000"/>
          <w:kern w:val="2"/>
          <w:sz w:val="24"/>
          <w:szCs w:val="24"/>
          <w:lang w:eastAsia="hr-HR"/>
          <w14:ligatures w14:val="standardContextual"/>
        </w:rPr>
        <w:t xml:space="preserve"> prevencije i ranog otkrivanja </w:t>
      </w:r>
      <w:proofErr w:type="spellStart"/>
      <w:r w:rsidRPr="00E24B9D">
        <w:rPr>
          <w:color w:val="000000"/>
          <w:kern w:val="2"/>
          <w:sz w:val="24"/>
          <w:szCs w:val="24"/>
          <w:lang w:eastAsia="hr-HR"/>
          <w14:ligatures w14:val="standardContextual"/>
        </w:rPr>
        <w:t>melanoma</w:t>
      </w:r>
      <w:proofErr w:type="spellEnd"/>
      <w:r w:rsidRPr="00E24B9D">
        <w:rPr>
          <w:color w:val="000000"/>
          <w:kern w:val="2"/>
          <w:sz w:val="24"/>
          <w:szCs w:val="24"/>
          <w:lang w:eastAsia="hr-HR"/>
          <w14:ligatures w14:val="standardContextual"/>
        </w:rPr>
        <w:t xml:space="preserve"> za razdoblje 2023.</w:t>
      </w:r>
      <w:r>
        <w:rPr>
          <w:color w:val="000000"/>
          <w:kern w:val="2"/>
          <w:sz w:val="24"/>
          <w:szCs w:val="24"/>
          <w:lang w:eastAsia="hr-HR"/>
          <w14:ligatures w14:val="standardContextual"/>
        </w:rPr>
        <w:t xml:space="preserve"> - </w:t>
      </w:r>
      <w:r w:rsidRPr="00E24B9D">
        <w:rPr>
          <w:color w:val="000000"/>
          <w:kern w:val="2"/>
          <w:sz w:val="24"/>
          <w:szCs w:val="24"/>
          <w:lang w:eastAsia="hr-HR"/>
          <w14:ligatures w14:val="standardContextual"/>
        </w:rPr>
        <w:t xml:space="preserve">2026., </w:t>
      </w:r>
      <w:r>
        <w:rPr>
          <w:color w:val="000000"/>
          <w:kern w:val="2"/>
          <w:sz w:val="24"/>
          <w:szCs w:val="24"/>
          <w:lang w:eastAsia="hr-HR"/>
          <w14:ligatures w14:val="standardContextual"/>
        </w:rPr>
        <w:t>s ciljem</w:t>
      </w:r>
      <w:r w:rsidRPr="00E24B9D">
        <w:rPr>
          <w:color w:val="000000"/>
          <w:kern w:val="2"/>
          <w:sz w:val="24"/>
          <w:szCs w:val="24"/>
          <w:lang w:eastAsia="hr-HR"/>
          <w14:ligatures w14:val="standardContextual"/>
        </w:rPr>
        <w:t xml:space="preserve"> unapređenj</w:t>
      </w:r>
      <w:r>
        <w:rPr>
          <w:color w:val="000000"/>
          <w:kern w:val="2"/>
          <w:sz w:val="24"/>
          <w:szCs w:val="24"/>
          <w:lang w:eastAsia="hr-HR"/>
          <w14:ligatures w14:val="standardContextual"/>
        </w:rPr>
        <w:t>a</w:t>
      </w:r>
      <w:r w:rsidRPr="00E24B9D">
        <w:rPr>
          <w:color w:val="000000"/>
          <w:kern w:val="2"/>
          <w:sz w:val="24"/>
          <w:szCs w:val="24"/>
          <w:lang w:eastAsia="hr-HR"/>
          <w14:ligatures w14:val="standardContextual"/>
        </w:rPr>
        <w:t xml:space="preserve"> prevencije, ranog otkrivanja </w:t>
      </w:r>
      <w:r>
        <w:rPr>
          <w:color w:val="000000"/>
          <w:kern w:val="2"/>
          <w:sz w:val="24"/>
          <w:szCs w:val="24"/>
          <w:lang w:eastAsia="hr-HR"/>
          <w14:ligatures w14:val="standardContextual"/>
        </w:rPr>
        <w:t>te povećanja</w:t>
      </w:r>
      <w:r w:rsidRPr="00E24B9D">
        <w:rPr>
          <w:color w:val="000000"/>
          <w:kern w:val="2"/>
          <w:sz w:val="24"/>
          <w:szCs w:val="24"/>
          <w:lang w:eastAsia="hr-HR"/>
          <w14:ligatures w14:val="standardContextual"/>
        </w:rPr>
        <w:t xml:space="preserve"> </w:t>
      </w:r>
      <w:proofErr w:type="spellStart"/>
      <w:r w:rsidRPr="00E24B9D">
        <w:rPr>
          <w:color w:val="000000"/>
          <w:kern w:val="2"/>
          <w:sz w:val="24"/>
          <w:szCs w:val="24"/>
          <w:lang w:eastAsia="hr-HR"/>
          <w14:ligatures w14:val="standardContextual"/>
        </w:rPr>
        <w:t>preživljenja</w:t>
      </w:r>
      <w:proofErr w:type="spellEnd"/>
      <w:r w:rsidRPr="00E24B9D">
        <w:rPr>
          <w:color w:val="000000"/>
          <w:kern w:val="2"/>
          <w:sz w:val="24"/>
          <w:szCs w:val="24"/>
          <w:lang w:eastAsia="hr-HR"/>
          <w14:ligatures w14:val="standardContextual"/>
        </w:rPr>
        <w:t xml:space="preserve"> oboljelih od </w:t>
      </w:r>
      <w:proofErr w:type="spellStart"/>
      <w:r w:rsidRPr="00E24B9D">
        <w:rPr>
          <w:color w:val="000000"/>
          <w:kern w:val="2"/>
          <w:sz w:val="24"/>
          <w:szCs w:val="24"/>
          <w:lang w:eastAsia="hr-HR"/>
          <w14:ligatures w14:val="standardContextual"/>
        </w:rPr>
        <w:t>melanoma</w:t>
      </w:r>
      <w:proofErr w:type="spellEnd"/>
      <w:r w:rsidRPr="00E24B9D">
        <w:rPr>
          <w:color w:val="000000"/>
          <w:kern w:val="2"/>
          <w:sz w:val="24"/>
          <w:szCs w:val="24"/>
          <w:lang w:eastAsia="hr-HR"/>
          <w14:ligatures w14:val="standardContextual"/>
        </w:rPr>
        <w:t>. Prema podacima Registra za rak, Hrvatska</w:t>
      </w:r>
      <w:r>
        <w:rPr>
          <w:color w:val="000000"/>
          <w:kern w:val="2"/>
          <w:sz w:val="24"/>
          <w:szCs w:val="24"/>
          <w:lang w:eastAsia="hr-HR"/>
          <w14:ligatures w14:val="standardContextual"/>
        </w:rPr>
        <w:t xml:space="preserve"> se</w:t>
      </w:r>
      <w:r w:rsidRPr="00E24B9D">
        <w:rPr>
          <w:color w:val="000000"/>
          <w:kern w:val="2"/>
          <w:sz w:val="24"/>
          <w:szCs w:val="24"/>
          <w:lang w:eastAsia="hr-HR"/>
          <w14:ligatures w14:val="standardContextual"/>
        </w:rPr>
        <w:t xml:space="preserve"> nalazi </w:t>
      </w:r>
      <w:r>
        <w:rPr>
          <w:color w:val="000000"/>
          <w:kern w:val="2"/>
          <w:sz w:val="24"/>
          <w:szCs w:val="24"/>
          <w:lang w:eastAsia="hr-HR"/>
          <w14:ligatures w14:val="standardContextual"/>
        </w:rPr>
        <w:t>u</w:t>
      </w:r>
      <w:r w:rsidRPr="00E24B9D">
        <w:rPr>
          <w:color w:val="000000"/>
          <w:kern w:val="2"/>
          <w:sz w:val="24"/>
          <w:szCs w:val="24"/>
          <w:lang w:eastAsia="hr-HR"/>
          <w14:ligatures w14:val="standardContextual"/>
        </w:rPr>
        <w:t xml:space="preserve"> sredin</w:t>
      </w:r>
      <w:r>
        <w:rPr>
          <w:color w:val="000000"/>
          <w:kern w:val="2"/>
          <w:sz w:val="24"/>
          <w:szCs w:val="24"/>
          <w:lang w:eastAsia="hr-HR"/>
          <w14:ligatures w14:val="standardContextual"/>
        </w:rPr>
        <w:t>i</w:t>
      </w:r>
      <w:r w:rsidRPr="00E24B9D">
        <w:rPr>
          <w:color w:val="000000"/>
          <w:kern w:val="2"/>
          <w:sz w:val="24"/>
          <w:szCs w:val="24"/>
          <w:lang w:eastAsia="hr-HR"/>
          <w14:ligatures w14:val="standardContextual"/>
        </w:rPr>
        <w:t xml:space="preserve"> EU</w:t>
      </w:r>
      <w:r>
        <w:rPr>
          <w:color w:val="000000"/>
          <w:kern w:val="2"/>
          <w:sz w:val="24"/>
          <w:szCs w:val="24"/>
          <w:lang w:eastAsia="hr-HR"/>
          <w14:ligatures w14:val="standardContextual"/>
        </w:rPr>
        <w:t xml:space="preserve">-a </w:t>
      </w:r>
      <w:r w:rsidRPr="00E24B9D">
        <w:rPr>
          <w:color w:val="000000"/>
          <w:kern w:val="2"/>
          <w:sz w:val="24"/>
          <w:szCs w:val="24"/>
          <w:lang w:eastAsia="hr-HR"/>
          <w14:ligatures w14:val="standardContextual"/>
        </w:rPr>
        <w:t xml:space="preserve">po </w:t>
      </w:r>
      <w:proofErr w:type="spellStart"/>
      <w:r w:rsidRPr="00E24B9D">
        <w:rPr>
          <w:color w:val="000000"/>
          <w:kern w:val="2"/>
          <w:sz w:val="24"/>
          <w:szCs w:val="24"/>
          <w:lang w:eastAsia="hr-HR"/>
          <w14:ligatures w14:val="standardContextual"/>
        </w:rPr>
        <w:t>incidenciji</w:t>
      </w:r>
      <w:proofErr w:type="spellEnd"/>
      <w:r>
        <w:rPr>
          <w:color w:val="000000"/>
          <w:kern w:val="2"/>
          <w:sz w:val="24"/>
          <w:szCs w:val="24"/>
          <w:lang w:eastAsia="hr-HR"/>
          <w14:ligatures w14:val="standardContextual"/>
        </w:rPr>
        <w:t xml:space="preserve"> </w:t>
      </w:r>
      <w:proofErr w:type="spellStart"/>
      <w:r>
        <w:rPr>
          <w:color w:val="000000"/>
          <w:kern w:val="2"/>
          <w:sz w:val="24"/>
          <w:szCs w:val="24"/>
          <w:lang w:eastAsia="hr-HR"/>
          <w14:ligatures w14:val="standardContextual"/>
        </w:rPr>
        <w:t>melanoma</w:t>
      </w:r>
      <w:proofErr w:type="spellEnd"/>
      <w:r>
        <w:rPr>
          <w:color w:val="000000"/>
          <w:kern w:val="2"/>
          <w:sz w:val="24"/>
          <w:szCs w:val="24"/>
          <w:lang w:eastAsia="hr-HR"/>
          <w14:ligatures w14:val="standardContextual"/>
        </w:rPr>
        <w:t xml:space="preserve"> (</w:t>
      </w:r>
      <w:r w:rsidRPr="00E24B9D">
        <w:rPr>
          <w:color w:val="000000"/>
          <w:kern w:val="2"/>
          <w:sz w:val="24"/>
          <w:szCs w:val="24"/>
          <w:lang w:eastAsia="hr-HR"/>
          <w14:ligatures w14:val="standardContextual"/>
        </w:rPr>
        <w:t>18,6/100.000</w:t>
      </w:r>
      <w:r>
        <w:rPr>
          <w:color w:val="000000"/>
          <w:kern w:val="2"/>
          <w:sz w:val="24"/>
          <w:szCs w:val="24"/>
          <w:lang w:eastAsia="hr-HR"/>
          <w14:ligatures w14:val="standardContextual"/>
        </w:rPr>
        <w:t>)</w:t>
      </w:r>
      <w:r w:rsidRPr="00E24B9D">
        <w:rPr>
          <w:color w:val="000000"/>
          <w:kern w:val="2"/>
          <w:sz w:val="24"/>
          <w:szCs w:val="24"/>
          <w:lang w:eastAsia="hr-HR"/>
          <w14:ligatures w14:val="standardContextual"/>
        </w:rPr>
        <w:t xml:space="preserve">, </w:t>
      </w:r>
      <w:r>
        <w:rPr>
          <w:color w:val="000000"/>
          <w:kern w:val="2"/>
          <w:sz w:val="24"/>
          <w:szCs w:val="24"/>
          <w:lang w:eastAsia="hr-HR"/>
          <w14:ligatures w14:val="standardContextual"/>
        </w:rPr>
        <w:t>dok</w:t>
      </w:r>
      <w:r w:rsidRPr="00E24B9D">
        <w:rPr>
          <w:color w:val="000000"/>
          <w:kern w:val="2"/>
          <w:sz w:val="24"/>
          <w:szCs w:val="24"/>
          <w:lang w:eastAsia="hr-HR"/>
          <w14:ligatures w14:val="standardContextual"/>
        </w:rPr>
        <w:t xml:space="preserve"> </w:t>
      </w:r>
      <w:r>
        <w:rPr>
          <w:color w:val="000000"/>
          <w:kern w:val="2"/>
          <w:sz w:val="24"/>
          <w:szCs w:val="24"/>
          <w:lang w:eastAsia="hr-HR"/>
          <w14:ligatures w14:val="standardContextual"/>
        </w:rPr>
        <w:t xml:space="preserve">je prema </w:t>
      </w:r>
      <w:r w:rsidRPr="002A35BA">
        <w:rPr>
          <w:color w:val="000000"/>
          <w:kern w:val="2"/>
          <w:sz w:val="24"/>
          <w:szCs w:val="24"/>
          <w:lang w:eastAsia="hr-HR"/>
          <w14:ligatures w14:val="standardContextual"/>
        </w:rPr>
        <w:t>stop</w:t>
      </w:r>
      <w:r>
        <w:rPr>
          <w:color w:val="000000"/>
          <w:kern w:val="2"/>
          <w:sz w:val="24"/>
          <w:szCs w:val="24"/>
          <w:lang w:eastAsia="hr-HR"/>
          <w14:ligatures w14:val="standardContextual"/>
        </w:rPr>
        <w:t>i</w:t>
      </w:r>
      <w:r w:rsidRPr="002A35BA">
        <w:rPr>
          <w:color w:val="000000"/>
          <w:kern w:val="2"/>
          <w:sz w:val="24"/>
          <w:szCs w:val="24"/>
          <w:lang w:eastAsia="hr-HR"/>
          <w14:ligatures w14:val="standardContextual"/>
        </w:rPr>
        <w:t xml:space="preserve"> smrtnosti od </w:t>
      </w:r>
      <w:proofErr w:type="spellStart"/>
      <w:r w:rsidRPr="002A35BA">
        <w:rPr>
          <w:color w:val="000000"/>
          <w:kern w:val="2"/>
          <w:sz w:val="24"/>
          <w:szCs w:val="24"/>
          <w:lang w:eastAsia="hr-HR"/>
          <w14:ligatures w14:val="standardContextual"/>
        </w:rPr>
        <w:t>melanoma</w:t>
      </w:r>
      <w:proofErr w:type="spellEnd"/>
      <w:r w:rsidRPr="002A35BA">
        <w:rPr>
          <w:color w:val="000000"/>
          <w:kern w:val="2"/>
          <w:sz w:val="24"/>
          <w:szCs w:val="24"/>
          <w:lang w:eastAsia="hr-HR"/>
          <w14:ligatures w14:val="standardContextual"/>
        </w:rPr>
        <w:t xml:space="preserve"> (5,9</w:t>
      </w:r>
      <w:r>
        <w:rPr>
          <w:color w:val="000000"/>
          <w:kern w:val="2"/>
          <w:sz w:val="24"/>
          <w:szCs w:val="24"/>
          <w:lang w:eastAsia="hr-HR"/>
          <w14:ligatures w14:val="standardContextual"/>
        </w:rPr>
        <w:t xml:space="preserve"> smrti</w:t>
      </w:r>
      <w:r w:rsidRPr="002A35BA">
        <w:rPr>
          <w:color w:val="000000"/>
          <w:kern w:val="2"/>
          <w:sz w:val="24"/>
          <w:szCs w:val="24"/>
          <w:lang w:eastAsia="hr-HR"/>
          <w14:ligatures w14:val="standardContextual"/>
        </w:rPr>
        <w:t>/100.000</w:t>
      </w:r>
      <w:r>
        <w:rPr>
          <w:color w:val="000000"/>
          <w:kern w:val="2"/>
          <w:sz w:val="24"/>
          <w:szCs w:val="24"/>
          <w:lang w:eastAsia="hr-HR"/>
          <w14:ligatures w14:val="standardContextual"/>
        </w:rPr>
        <w:t xml:space="preserve"> stanovnika</w:t>
      </w:r>
      <w:r w:rsidRPr="002A35BA">
        <w:rPr>
          <w:color w:val="000000"/>
          <w:kern w:val="2"/>
          <w:sz w:val="24"/>
          <w:szCs w:val="24"/>
          <w:lang w:eastAsia="hr-HR"/>
          <w14:ligatures w14:val="standardContextual"/>
        </w:rPr>
        <w:t>)</w:t>
      </w:r>
      <w:r>
        <w:rPr>
          <w:color w:val="000000"/>
          <w:kern w:val="2"/>
          <w:sz w:val="24"/>
          <w:szCs w:val="24"/>
          <w:lang w:eastAsia="hr-HR"/>
          <w14:ligatures w14:val="standardContextual"/>
        </w:rPr>
        <w:t xml:space="preserve"> </w:t>
      </w:r>
      <w:r w:rsidRPr="00E24B9D">
        <w:rPr>
          <w:color w:val="000000"/>
          <w:kern w:val="2"/>
          <w:sz w:val="24"/>
          <w:szCs w:val="24"/>
          <w:lang w:eastAsia="hr-HR"/>
          <w14:ligatures w14:val="standardContextual"/>
        </w:rPr>
        <w:t xml:space="preserve">među zemljama </w:t>
      </w:r>
      <w:r>
        <w:rPr>
          <w:color w:val="000000"/>
          <w:kern w:val="2"/>
          <w:sz w:val="24"/>
          <w:szCs w:val="24"/>
          <w:lang w:eastAsia="hr-HR"/>
          <w14:ligatures w14:val="standardContextual"/>
        </w:rPr>
        <w:t xml:space="preserve">EU-a </w:t>
      </w:r>
      <w:r w:rsidRPr="00E24B9D">
        <w:rPr>
          <w:color w:val="000000"/>
          <w:kern w:val="2"/>
          <w:sz w:val="24"/>
          <w:szCs w:val="24"/>
          <w:lang w:eastAsia="hr-HR"/>
          <w14:ligatures w14:val="standardContextual"/>
        </w:rPr>
        <w:t xml:space="preserve">s najvišom </w:t>
      </w:r>
      <w:r>
        <w:rPr>
          <w:color w:val="000000"/>
          <w:kern w:val="2"/>
          <w:sz w:val="24"/>
          <w:szCs w:val="24"/>
          <w:lang w:eastAsia="hr-HR"/>
          <w14:ligatures w14:val="standardContextual"/>
        </w:rPr>
        <w:t xml:space="preserve">stopom </w:t>
      </w:r>
      <w:r w:rsidRPr="00E24B9D">
        <w:rPr>
          <w:color w:val="000000"/>
          <w:kern w:val="2"/>
          <w:sz w:val="24"/>
          <w:szCs w:val="24"/>
          <w:lang w:eastAsia="hr-HR"/>
          <w14:ligatures w14:val="standardContextual"/>
        </w:rPr>
        <w:t>smrtno</w:t>
      </w:r>
      <w:r>
        <w:rPr>
          <w:color w:val="000000"/>
          <w:kern w:val="2"/>
          <w:sz w:val="24"/>
          <w:szCs w:val="24"/>
          <w:lang w:eastAsia="hr-HR"/>
          <w14:ligatures w14:val="standardContextual"/>
        </w:rPr>
        <w:t xml:space="preserve">sti </w:t>
      </w:r>
      <w:r w:rsidRPr="00E24B9D">
        <w:rPr>
          <w:color w:val="000000"/>
          <w:kern w:val="2"/>
          <w:sz w:val="24"/>
          <w:szCs w:val="24"/>
          <w:lang w:eastAsia="hr-HR"/>
          <w14:ligatures w14:val="standardContextual"/>
        </w:rPr>
        <w:t xml:space="preserve">od </w:t>
      </w:r>
      <w:r>
        <w:rPr>
          <w:color w:val="000000"/>
          <w:kern w:val="2"/>
          <w:sz w:val="24"/>
          <w:szCs w:val="24"/>
          <w:lang w:eastAsia="hr-HR"/>
          <w14:ligatures w14:val="standardContextual"/>
        </w:rPr>
        <w:t>te bolesti</w:t>
      </w:r>
      <w:r w:rsidRPr="00E24B9D">
        <w:rPr>
          <w:color w:val="000000"/>
          <w:kern w:val="2"/>
          <w:sz w:val="24"/>
          <w:szCs w:val="24"/>
          <w:lang w:eastAsia="hr-HR"/>
          <w14:ligatures w14:val="standardContextual"/>
        </w:rPr>
        <w:t xml:space="preserve">. Ciljevi Programa uključuju smanjenje udjela </w:t>
      </w:r>
      <w:proofErr w:type="spellStart"/>
      <w:r w:rsidRPr="00E24B9D">
        <w:rPr>
          <w:color w:val="000000"/>
          <w:kern w:val="2"/>
          <w:sz w:val="24"/>
          <w:szCs w:val="24"/>
          <w:lang w:eastAsia="hr-HR"/>
          <w14:ligatures w14:val="standardContextual"/>
        </w:rPr>
        <w:t>uznapredovalih</w:t>
      </w:r>
      <w:proofErr w:type="spellEnd"/>
      <w:r w:rsidRPr="00E24B9D">
        <w:rPr>
          <w:color w:val="000000"/>
          <w:kern w:val="2"/>
          <w:sz w:val="24"/>
          <w:szCs w:val="24"/>
          <w:lang w:eastAsia="hr-HR"/>
          <w14:ligatures w14:val="standardContextual"/>
        </w:rPr>
        <w:t xml:space="preserve"> </w:t>
      </w:r>
      <w:proofErr w:type="spellStart"/>
      <w:r w:rsidRPr="00E24B9D">
        <w:rPr>
          <w:color w:val="000000"/>
          <w:kern w:val="2"/>
          <w:sz w:val="24"/>
          <w:szCs w:val="24"/>
          <w:lang w:eastAsia="hr-HR"/>
          <w14:ligatures w14:val="standardContextual"/>
        </w:rPr>
        <w:t>melanoma</w:t>
      </w:r>
      <w:proofErr w:type="spellEnd"/>
      <w:r w:rsidRPr="00E24B9D">
        <w:rPr>
          <w:color w:val="000000"/>
          <w:kern w:val="2"/>
          <w:sz w:val="24"/>
          <w:szCs w:val="24"/>
          <w:lang w:eastAsia="hr-HR"/>
          <w14:ligatures w14:val="standardContextual"/>
        </w:rPr>
        <w:t xml:space="preserve"> pri postavljanju dijagnoze te smanjenje udjela slučajeva bez zabilježenog stadija bolesti</w:t>
      </w:r>
      <w:r>
        <w:rPr>
          <w:color w:val="000000"/>
          <w:kern w:val="2"/>
          <w:sz w:val="24"/>
          <w:szCs w:val="24"/>
          <w:lang w:eastAsia="hr-HR"/>
          <w14:ligatures w14:val="standardContextual"/>
        </w:rPr>
        <w:t>, prvenstveno kroz</w:t>
      </w:r>
      <w:r w:rsidRPr="00E24B9D">
        <w:rPr>
          <w:color w:val="000000"/>
          <w:kern w:val="2"/>
          <w:sz w:val="24"/>
          <w:szCs w:val="24"/>
          <w:lang w:eastAsia="hr-HR"/>
          <w14:ligatures w14:val="standardContextual"/>
        </w:rPr>
        <w:t xml:space="preserve"> jačanje </w:t>
      </w:r>
      <w:r>
        <w:rPr>
          <w:color w:val="000000"/>
          <w:kern w:val="2"/>
          <w:sz w:val="24"/>
          <w:szCs w:val="24"/>
          <w:lang w:eastAsia="hr-HR"/>
          <w14:ligatures w14:val="standardContextual"/>
        </w:rPr>
        <w:t>osviještenosti</w:t>
      </w:r>
      <w:r w:rsidRPr="00E24B9D">
        <w:rPr>
          <w:color w:val="000000"/>
          <w:kern w:val="2"/>
          <w:sz w:val="24"/>
          <w:szCs w:val="24"/>
          <w:lang w:eastAsia="hr-HR"/>
          <w14:ligatures w14:val="standardContextual"/>
        </w:rPr>
        <w:t>, rano otkrivanj</w:t>
      </w:r>
      <w:r>
        <w:rPr>
          <w:color w:val="000000"/>
          <w:kern w:val="2"/>
          <w:sz w:val="24"/>
          <w:szCs w:val="24"/>
          <w:lang w:eastAsia="hr-HR"/>
          <w14:ligatures w14:val="standardContextual"/>
        </w:rPr>
        <w:t>e</w:t>
      </w:r>
      <w:r w:rsidRPr="00E24B9D">
        <w:rPr>
          <w:color w:val="000000"/>
          <w:kern w:val="2"/>
          <w:sz w:val="24"/>
          <w:szCs w:val="24"/>
          <w:lang w:eastAsia="hr-HR"/>
          <w14:ligatures w14:val="standardContextual"/>
        </w:rPr>
        <w:t xml:space="preserve"> i organiziran</w:t>
      </w:r>
      <w:r>
        <w:rPr>
          <w:color w:val="000000"/>
          <w:kern w:val="2"/>
          <w:sz w:val="24"/>
          <w:szCs w:val="24"/>
          <w:lang w:eastAsia="hr-HR"/>
          <w14:ligatures w14:val="standardContextual"/>
        </w:rPr>
        <w:t>i</w:t>
      </w:r>
      <w:r w:rsidRPr="00E24B9D">
        <w:rPr>
          <w:color w:val="000000"/>
          <w:kern w:val="2"/>
          <w:sz w:val="24"/>
          <w:szCs w:val="24"/>
          <w:lang w:eastAsia="hr-HR"/>
          <w14:ligatures w14:val="standardContextual"/>
        </w:rPr>
        <w:t xml:space="preserve"> probir za visokorizične skupine. </w:t>
      </w:r>
      <w:r>
        <w:rPr>
          <w:color w:val="000000"/>
          <w:kern w:val="2"/>
          <w:sz w:val="24"/>
          <w:szCs w:val="24"/>
          <w:lang w:eastAsia="hr-HR"/>
          <w14:ligatures w14:val="standardContextual"/>
        </w:rPr>
        <w:t>Također, pokrenuta je</w:t>
      </w:r>
      <w:r w:rsidRPr="00E24B9D">
        <w:rPr>
          <w:color w:val="000000"/>
          <w:kern w:val="2"/>
          <w:sz w:val="24"/>
          <w:szCs w:val="24"/>
          <w:lang w:eastAsia="hr-HR"/>
          <w14:ligatures w14:val="standardContextual"/>
        </w:rPr>
        <w:t xml:space="preserve"> priprem</w:t>
      </w:r>
      <w:r>
        <w:rPr>
          <w:color w:val="000000"/>
          <w:kern w:val="2"/>
          <w:sz w:val="24"/>
          <w:szCs w:val="24"/>
          <w:lang w:eastAsia="hr-HR"/>
          <w14:ligatures w14:val="standardContextual"/>
        </w:rPr>
        <w:t xml:space="preserve">a za </w:t>
      </w:r>
      <w:r w:rsidRPr="00E24B9D">
        <w:rPr>
          <w:color w:val="000000"/>
          <w:kern w:val="2"/>
          <w:sz w:val="24"/>
          <w:szCs w:val="24"/>
          <w:lang w:eastAsia="hr-HR"/>
          <w14:ligatures w14:val="standardContextual"/>
        </w:rPr>
        <w:t xml:space="preserve">Posebni program prevencije i ranog otkrivanja </w:t>
      </w:r>
      <w:proofErr w:type="spellStart"/>
      <w:r w:rsidRPr="00E24B9D">
        <w:rPr>
          <w:color w:val="000000"/>
          <w:kern w:val="2"/>
          <w:sz w:val="24"/>
          <w:szCs w:val="24"/>
          <w:lang w:eastAsia="hr-HR"/>
          <w14:ligatures w14:val="standardContextual"/>
        </w:rPr>
        <w:t>melanoma</w:t>
      </w:r>
      <w:proofErr w:type="spellEnd"/>
      <w:r w:rsidRPr="00E24B9D">
        <w:rPr>
          <w:color w:val="000000"/>
          <w:kern w:val="2"/>
          <w:sz w:val="24"/>
          <w:szCs w:val="24"/>
          <w:lang w:eastAsia="hr-HR"/>
          <w14:ligatures w14:val="standardContextual"/>
        </w:rPr>
        <w:t xml:space="preserve"> na području Grada Zagreba, usmjeren na visokorizičnu populaciju odraslih osoba u dobi od 50 do 75 godina, s planom </w:t>
      </w:r>
      <w:r w:rsidRPr="00E24B9D">
        <w:rPr>
          <w:color w:val="000000"/>
          <w:kern w:val="2"/>
          <w:sz w:val="24"/>
          <w:szCs w:val="24"/>
          <w:lang w:eastAsia="hr-HR"/>
          <w14:ligatures w14:val="standardContextual"/>
        </w:rPr>
        <w:lastRenderedPageBreak/>
        <w:t>probira 10.000 osoba putem pregleda liječni</w:t>
      </w:r>
      <w:r>
        <w:rPr>
          <w:color w:val="000000"/>
          <w:kern w:val="2"/>
          <w:sz w:val="24"/>
          <w:szCs w:val="24"/>
          <w:lang w:eastAsia="hr-HR"/>
          <w14:ligatures w14:val="standardContextual"/>
        </w:rPr>
        <w:t>ka</w:t>
      </w:r>
      <w:r w:rsidRPr="00E24B9D">
        <w:rPr>
          <w:color w:val="000000"/>
          <w:kern w:val="2"/>
          <w:sz w:val="24"/>
          <w:szCs w:val="24"/>
          <w:lang w:eastAsia="hr-HR"/>
          <w14:ligatures w14:val="standardContextual"/>
        </w:rPr>
        <w:t xml:space="preserve"> opće/obiteljske medicine, čime </w:t>
      </w:r>
      <w:r>
        <w:rPr>
          <w:color w:val="000000"/>
          <w:kern w:val="2"/>
          <w:sz w:val="24"/>
          <w:szCs w:val="24"/>
          <w:lang w:eastAsia="hr-HR"/>
          <w14:ligatures w14:val="standardContextual"/>
        </w:rPr>
        <w:t xml:space="preserve">će </w:t>
      </w:r>
      <w:r w:rsidRPr="00E24B9D">
        <w:rPr>
          <w:color w:val="000000"/>
          <w:kern w:val="2"/>
          <w:sz w:val="24"/>
          <w:szCs w:val="24"/>
          <w:lang w:eastAsia="hr-HR"/>
          <w14:ligatures w14:val="standardContextual"/>
        </w:rPr>
        <w:t>se dodatno ojača</w:t>
      </w:r>
      <w:r>
        <w:rPr>
          <w:color w:val="000000"/>
          <w:kern w:val="2"/>
          <w:sz w:val="24"/>
          <w:szCs w:val="24"/>
          <w:lang w:eastAsia="hr-HR"/>
          <w14:ligatures w14:val="standardContextual"/>
        </w:rPr>
        <w:t>ti</w:t>
      </w:r>
      <w:r w:rsidRPr="00E24B9D">
        <w:rPr>
          <w:color w:val="000000"/>
          <w:kern w:val="2"/>
          <w:sz w:val="24"/>
          <w:szCs w:val="24"/>
          <w:lang w:eastAsia="hr-HR"/>
          <w14:ligatures w14:val="standardContextual"/>
        </w:rPr>
        <w:t xml:space="preserve"> kapacitet</w:t>
      </w:r>
      <w:r>
        <w:rPr>
          <w:color w:val="000000"/>
          <w:kern w:val="2"/>
          <w:sz w:val="24"/>
          <w:szCs w:val="24"/>
          <w:lang w:eastAsia="hr-HR"/>
          <w14:ligatures w14:val="standardContextual"/>
        </w:rPr>
        <w:t>i</w:t>
      </w:r>
      <w:r w:rsidRPr="00E24B9D">
        <w:rPr>
          <w:color w:val="000000"/>
          <w:kern w:val="2"/>
          <w:sz w:val="24"/>
          <w:szCs w:val="24"/>
          <w:lang w:eastAsia="hr-HR"/>
          <w14:ligatures w14:val="standardContextual"/>
        </w:rPr>
        <w:t xml:space="preserve"> za rano otkrivanje malignih tumora kože i smanjenje smrtnosti od </w:t>
      </w:r>
      <w:proofErr w:type="spellStart"/>
      <w:r w:rsidRPr="00E24B9D">
        <w:rPr>
          <w:color w:val="000000"/>
          <w:kern w:val="2"/>
          <w:sz w:val="24"/>
          <w:szCs w:val="24"/>
          <w:lang w:eastAsia="hr-HR"/>
          <w14:ligatures w14:val="standardContextual"/>
        </w:rPr>
        <w:t>melanoma</w:t>
      </w:r>
      <w:proofErr w:type="spellEnd"/>
      <w:r w:rsidRPr="00E24B9D">
        <w:rPr>
          <w:color w:val="000000"/>
          <w:kern w:val="2"/>
          <w:sz w:val="24"/>
          <w:szCs w:val="24"/>
          <w:lang w:eastAsia="hr-HR"/>
          <w14:ligatures w14:val="standardContextual"/>
        </w:rPr>
        <w:t>.</w:t>
      </w:r>
    </w:p>
    <w:p w14:paraId="0AAC38FD" w14:textId="77777777" w:rsidR="00FB178A" w:rsidRPr="00202F6B" w:rsidRDefault="00FB178A" w:rsidP="00FB178A">
      <w:pPr>
        <w:pStyle w:val="paragraph"/>
        <w:spacing w:line="276" w:lineRule="auto"/>
        <w:jc w:val="both"/>
        <w:rPr>
          <w:rFonts w:eastAsia="Calibri"/>
          <w:lang w:eastAsia="en-US"/>
        </w:rPr>
      </w:pPr>
      <w:r w:rsidRPr="00935F14">
        <w:rPr>
          <w:color w:val="000000"/>
          <w:kern w:val="2"/>
          <w14:ligatures w14:val="standardContextual"/>
        </w:rPr>
        <w:t>Tijekom 2024. intenzivirane su aktivnosti ranog otkrivanja bolesti, s posebnim naglaskom na rak prostate</w:t>
      </w:r>
      <w:r>
        <w:rPr>
          <w:color w:val="000000"/>
          <w:kern w:val="2"/>
          <w14:ligatures w14:val="standardContextual"/>
        </w:rPr>
        <w:t xml:space="preserve"> i</w:t>
      </w:r>
      <w:r w:rsidRPr="00935F14">
        <w:rPr>
          <w:color w:val="000000"/>
          <w:kern w:val="2"/>
          <w14:ligatures w14:val="standardContextual"/>
        </w:rPr>
        <w:t xml:space="preserve"> rak vrata maternice. Na području Grada Zagreba pokrenut je Posebni program probira i ranog otkrivanja raka prostate, usmjeren na muškarce u dobi od 55 do 69 godina, s planiranim obuhvatom 10.000 osoba</w:t>
      </w:r>
      <w:r>
        <w:rPr>
          <w:color w:val="000000"/>
          <w:kern w:val="2"/>
          <w14:ligatures w14:val="standardContextual"/>
        </w:rPr>
        <w:t>.</w:t>
      </w:r>
      <w:r w:rsidRPr="00935F14">
        <w:rPr>
          <w:color w:val="000000"/>
          <w:kern w:val="2"/>
          <w14:ligatures w14:val="standardContextual"/>
        </w:rPr>
        <w:t xml:space="preserve"> </w:t>
      </w:r>
      <w:r>
        <w:rPr>
          <w:color w:val="000000"/>
          <w:kern w:val="2"/>
          <w14:ligatures w14:val="standardContextual"/>
        </w:rPr>
        <w:t>P</w:t>
      </w:r>
      <w:r w:rsidRPr="00935F14">
        <w:rPr>
          <w:color w:val="000000"/>
          <w:kern w:val="2"/>
          <w14:ligatures w14:val="standardContextual"/>
        </w:rPr>
        <w:t xml:space="preserve">rogram se provodi do postizanja ciljnog broja sudionika, uz primjenu standardiziranog protokola koji osigurava visoku razinu kvalitete i sigurnosti postupka. Istodobno </w:t>
      </w:r>
      <w:r w:rsidRPr="00202F6B">
        <w:rPr>
          <w:rFonts w:eastAsia="Calibri"/>
          <w:lang w:eastAsia="en-US"/>
        </w:rPr>
        <w:t xml:space="preserve">je nastavljen pilot-projekt Nacionalnog programa ranog otkrivanja raka vrata maternice u Virovitičko-podravskoj županiji, čime se osigurava kontinuitet organiziranog probira i dodatno jačaju kapaciteti za rano otkrivanje i pravodobno liječenje ovog oblika raka. </w:t>
      </w:r>
    </w:p>
    <w:p w14:paraId="0C12EE6C" w14:textId="77777777" w:rsidR="00FB178A" w:rsidRPr="00202F6B" w:rsidRDefault="00FB178A" w:rsidP="00FB178A">
      <w:pPr>
        <w:pStyle w:val="paragraph"/>
        <w:spacing w:line="276" w:lineRule="auto"/>
        <w:jc w:val="both"/>
        <w:rPr>
          <w:rFonts w:eastAsia="Calibri"/>
          <w:lang w:eastAsia="en-US"/>
        </w:rPr>
      </w:pPr>
      <w:r w:rsidRPr="00202F6B">
        <w:rPr>
          <w:rFonts w:eastAsia="Calibri"/>
          <w:lang w:eastAsia="en-US"/>
        </w:rPr>
        <w:t>Na području svih županija nastavljene su mjere ranog otkrivanja teškoća mentalnog zdravlja školske djece, u bliskoj suradnji zdravstvenih i odgojno-obrazovnih ustanova, čime se uspostavlja sustavan pristup praćenju dobrobiti učenika. U školskoj godini 2023./2024. proveden je probir mentalnog zdravlja YP CORE</w:t>
      </w:r>
      <w:r w:rsidRPr="00202F6B">
        <w:rPr>
          <w:rFonts w:eastAsia="Calibri"/>
          <w:lang w:eastAsia="en-US"/>
        </w:rPr>
        <w:footnoteReference w:id="15"/>
      </w:r>
      <w:r w:rsidRPr="00202F6B">
        <w:rPr>
          <w:rFonts w:eastAsia="Calibri"/>
          <w:lang w:eastAsia="en-US"/>
        </w:rPr>
        <w:t xml:space="preserve"> upitnikom, kojim je obuhvaćeno gotovo 35.000 učenika i oko 40.000 učenica osmih razreda osnovnih škola (87,3% obuhvata), te više od 21.500 učenika i učenica prvih razreda srednjih škola (89% obuhvata). Rezultati upućuju na pozitivne nalaze mentalnog rizika kod 5,2% učenika i 8,7% učenica osmih razreda te 4,7% učenika i 7,1% učenica prvih razreda srednjih škola. Ovakav organizirani rani probir omogućuje pravovremeno upućivanje djece i mladih na stručnu pomoć, čime se sprječava razvoj težih mentalnih poremećaja te dugoročno doprinosi smanjenju potrebe za bolničkim liječenjem.</w:t>
      </w:r>
    </w:p>
    <w:p w14:paraId="4D5154AA" w14:textId="77777777" w:rsidR="00FB178A" w:rsidRPr="00202F6B" w:rsidRDefault="00FB178A" w:rsidP="00FB178A">
      <w:pPr>
        <w:pStyle w:val="paragraph"/>
        <w:spacing w:line="276" w:lineRule="auto"/>
        <w:jc w:val="both"/>
        <w:rPr>
          <w:rFonts w:eastAsia="Calibri"/>
          <w:lang w:eastAsia="en-US"/>
        </w:rPr>
      </w:pPr>
      <w:r w:rsidRPr="00202F6B">
        <w:rPr>
          <w:rFonts w:eastAsia="Calibri"/>
          <w:lang w:eastAsia="en-US"/>
        </w:rPr>
        <w:t xml:space="preserve">Provedene aktivnosti u području prevencije i suzbijanja ovisnosti tijekom 2024. značajno su doprinijele unapređenju kvalitete programa prevencije, liječenja, psihosocijalnog tretmana i resocijalizacije osoba s problemom ovisnosti, uz istodobno jačanje institucionalne infrastrukture za učinkovitije suočavanje s problematikom ovisnosti i zlouporabe droga. Posebno se ističu napori usmjereni na provođenje znanstveno-istraživačkih projekata kojima se prate složeniji aspekti ovisnosti, uvode inovativni programi smanjenja šteta te pravovremeno prate pojave novih </w:t>
      </w:r>
      <w:proofErr w:type="spellStart"/>
      <w:r w:rsidRPr="00202F6B">
        <w:rPr>
          <w:rFonts w:eastAsia="Calibri"/>
          <w:lang w:eastAsia="en-US"/>
        </w:rPr>
        <w:t>psihoaktivnih</w:t>
      </w:r>
      <w:proofErr w:type="spellEnd"/>
      <w:r w:rsidRPr="00202F6B">
        <w:rPr>
          <w:rFonts w:eastAsia="Calibri"/>
          <w:lang w:eastAsia="en-US"/>
        </w:rPr>
        <w:t xml:space="preserve"> tvari i povezanih zdravstvenih rizika. U tom kontekstu, ostvareni su značajni rezultati kroz kontinuirani rad savjetovališta. Savjetovalište za promicanje pravilne prehrane i tjelesne aktivnosti pružalo je savjetovanja o prehrani, tjelesnoj aktivnosti i regulaciji tjelesne mase, uz nastavak probnog programa edukacije o debljini. Savjetovalište za promicanje mentalnog zdravlja pružalo je besplatne i anonimne usluge </w:t>
      </w:r>
      <w:proofErr w:type="spellStart"/>
      <w:r w:rsidRPr="00202F6B">
        <w:rPr>
          <w:rFonts w:eastAsia="Calibri"/>
          <w:lang w:eastAsia="en-US"/>
        </w:rPr>
        <w:t>psihoedukacije</w:t>
      </w:r>
      <w:proofErr w:type="spellEnd"/>
      <w:r w:rsidRPr="00202F6B">
        <w:rPr>
          <w:rFonts w:eastAsia="Calibri"/>
          <w:lang w:eastAsia="en-US"/>
        </w:rPr>
        <w:t xml:space="preserve">, psihološke prve pomoći i inicijalne stručne podrške, s više od 1.000 provedenih individualnih, telefonskih i online savjetovanja. Savjetovalište za promicanje spolnog zdravlja kontinuirano je provodilo savjetovanja, edukacije i testiranja na HIV, hepatitis B, hepatitis C, sifilis te na sedam drugih </w:t>
      </w:r>
      <w:r w:rsidRPr="00202F6B">
        <w:rPr>
          <w:rFonts w:eastAsia="Calibri"/>
          <w:lang w:eastAsia="en-US"/>
        </w:rPr>
        <w:lastRenderedPageBreak/>
        <w:t>spolno prenosivih infekcija, uz poseban naglasak na uvođenje dodatnih testova i brzih testova za sifilis.</w:t>
      </w:r>
    </w:p>
    <w:p w14:paraId="4429D6C6" w14:textId="77777777" w:rsidR="00FB178A" w:rsidRPr="00202F6B" w:rsidRDefault="00FB178A" w:rsidP="00FB178A">
      <w:pPr>
        <w:pStyle w:val="paragraph"/>
        <w:spacing w:line="276" w:lineRule="auto"/>
        <w:jc w:val="both"/>
        <w:rPr>
          <w:rFonts w:eastAsia="Calibri"/>
          <w:lang w:eastAsia="en-US"/>
        </w:rPr>
      </w:pPr>
      <w:r w:rsidRPr="00202F6B">
        <w:rPr>
          <w:rFonts w:eastAsia="Calibri"/>
          <w:lang w:eastAsia="en-US"/>
        </w:rPr>
        <w:t xml:space="preserve">Nastavljen je sveobuhvatan pristup borbi s ovisnostima, koji obuhvaća mjere prevencije, liječenja, psihosocijalnog tretmana, resocijalizacije i smanjenja šteta, uz suradnju zdravstvenog, socijalnog, kazneno-represivnog, odgojno-obrazovnog sustava. Liječenje osoba s problemom ovisnosti provodi se kroz farmakoterapiju i psihosocijalni tretman u okviru zdravstvenog sustava i terapijskih udruga, a dodatno je unaprijeđeno izradom Protokola postupanja i suradnje u liječenju ovisnosti o alkoholu i kockanju te nastavkom provedbe drugog Modula edukacije o psihosocijalnim i </w:t>
      </w:r>
      <w:proofErr w:type="spellStart"/>
      <w:r w:rsidRPr="00202F6B">
        <w:rPr>
          <w:rFonts w:eastAsia="Calibri"/>
          <w:lang w:eastAsia="en-US"/>
        </w:rPr>
        <w:t>tretmanskim</w:t>
      </w:r>
      <w:proofErr w:type="spellEnd"/>
      <w:r w:rsidRPr="00202F6B">
        <w:rPr>
          <w:rFonts w:eastAsia="Calibri"/>
          <w:lang w:eastAsia="en-US"/>
        </w:rPr>
        <w:t xml:space="preserve"> aspektima ovisnosti o kockanju. Program resocijalizacije obuhvaća profesionalno usmjeravanje, obrazovanje, zapošljavanje i socijalnu reintegraciju korisnika, a novim nacionalnim programom širi se krug korisnika na osobe s ovisnošću o alkoholu i kockanju te se uvodi posebne programe za ciljne skupine poput žena i maloljetnika, uz naglasak na veću dostupnost i lakše uključivanje u tretman. Ukupno je zbog ovisnosti tijekom 2024. liječenju pristupilo 5.904 osoba, od čega 4.489 zbog </w:t>
      </w:r>
      <w:proofErr w:type="spellStart"/>
      <w:r w:rsidRPr="00202F6B">
        <w:rPr>
          <w:rFonts w:eastAsia="Calibri"/>
          <w:lang w:eastAsia="en-US"/>
        </w:rPr>
        <w:t>opioida</w:t>
      </w:r>
      <w:proofErr w:type="spellEnd"/>
      <w:r w:rsidRPr="00202F6B">
        <w:rPr>
          <w:rFonts w:eastAsia="Calibri"/>
          <w:lang w:eastAsia="en-US"/>
        </w:rPr>
        <w:t xml:space="preserve"> (76%), a 1.415 zbog </w:t>
      </w:r>
      <w:proofErr w:type="spellStart"/>
      <w:r w:rsidRPr="00202F6B">
        <w:rPr>
          <w:rFonts w:eastAsia="Calibri"/>
          <w:lang w:eastAsia="en-US"/>
        </w:rPr>
        <w:t>neopijatskih</w:t>
      </w:r>
      <w:proofErr w:type="spellEnd"/>
      <w:r w:rsidRPr="00202F6B">
        <w:rPr>
          <w:rFonts w:eastAsia="Calibri"/>
          <w:lang w:eastAsia="en-US"/>
        </w:rPr>
        <w:t xml:space="preserve"> </w:t>
      </w:r>
      <w:proofErr w:type="spellStart"/>
      <w:r w:rsidRPr="00202F6B">
        <w:rPr>
          <w:rFonts w:eastAsia="Calibri"/>
          <w:lang w:eastAsia="en-US"/>
        </w:rPr>
        <w:t>psihoaktivnih</w:t>
      </w:r>
      <w:proofErr w:type="spellEnd"/>
      <w:r w:rsidRPr="00202F6B">
        <w:rPr>
          <w:rFonts w:eastAsia="Calibri"/>
          <w:lang w:eastAsia="en-US"/>
        </w:rPr>
        <w:t xml:space="preserve"> tvari (24%), uz blagi pad broja ovisnika o </w:t>
      </w:r>
      <w:proofErr w:type="spellStart"/>
      <w:r w:rsidRPr="00202F6B">
        <w:rPr>
          <w:rFonts w:eastAsia="Calibri"/>
          <w:lang w:eastAsia="en-US"/>
        </w:rPr>
        <w:t>opioidima</w:t>
      </w:r>
      <w:proofErr w:type="spellEnd"/>
      <w:r w:rsidRPr="00202F6B">
        <w:rPr>
          <w:rFonts w:eastAsia="Calibri"/>
          <w:lang w:eastAsia="en-US"/>
        </w:rPr>
        <w:t>. Od ukupno liječenih osoba, većina su muškarci (82,4%), od kojih je najveći broj u dobi od 45-49 godina, dok je najveći broj liječenih žena u dobi od 40-44 godine. Broj hospitalizacija zbog ovisnosti o alkoholu ostao je na istoj razini kao i prethodne godine (6.055), dok je broj dolazaka u dnevne bolnice zbog ovisnosti o duhanu smanjen (138 dolazaka). Broj osoba na liječenju zbog ovisnosti o kockanju bio je 217, a u terapijskim zajednicama liječeno je ukupno 350 osoba.</w:t>
      </w:r>
    </w:p>
    <w:p w14:paraId="14213BAE" w14:textId="77777777" w:rsidR="00FB178A" w:rsidRDefault="00FB178A" w:rsidP="00FB178A">
      <w:pPr>
        <w:pStyle w:val="paragraph"/>
        <w:spacing w:line="276" w:lineRule="auto"/>
        <w:jc w:val="both"/>
        <w:rPr>
          <w:color w:val="000000"/>
          <w:kern w:val="2"/>
          <w14:ligatures w14:val="standardContextual"/>
        </w:rPr>
      </w:pPr>
      <w:r w:rsidRPr="00202F6B">
        <w:rPr>
          <w:rFonts w:eastAsia="Calibri"/>
          <w:lang w:eastAsia="en-US"/>
        </w:rPr>
        <w:t>U području prevencije ovisnosti provedene su brojne aktivnosti i programi na svim razinama, uz primjenu znanstveno utemeljenih programa i strategija okruženja, uglavnom u odgojno-obrazovnom</w:t>
      </w:r>
      <w:r w:rsidRPr="00751F3C">
        <w:rPr>
          <w:color w:val="000000"/>
          <w:kern w:val="2"/>
          <w14:ligatures w14:val="standardContextual"/>
        </w:rPr>
        <w:t xml:space="preserve"> sustavu. Uspostavljena je Stručna radna skupina za izradu Nacionalnih standarda prevencije ovisnosti, a dodatno su osnaženi informiranje i dostupnost podrške kroz Info liniju za ovisnosti te novi </w:t>
      </w:r>
      <w:r>
        <w:rPr>
          <w:color w:val="000000"/>
          <w:kern w:val="2"/>
          <w14:ligatures w14:val="standardContextual"/>
        </w:rPr>
        <w:t>mrežni</w:t>
      </w:r>
      <w:r w:rsidRPr="00751F3C">
        <w:rPr>
          <w:color w:val="000000"/>
          <w:kern w:val="2"/>
          <w14:ligatures w14:val="standardContextual"/>
        </w:rPr>
        <w:t xml:space="preserve"> portal o ovisnostima</w:t>
      </w:r>
      <w:r>
        <w:rPr>
          <w:color w:val="000000"/>
          <w:kern w:val="2"/>
          <w14:ligatures w14:val="standardContextual"/>
        </w:rPr>
        <w:t>. U</w:t>
      </w:r>
      <w:r w:rsidRPr="00751F3C">
        <w:rPr>
          <w:color w:val="000000"/>
          <w:kern w:val="2"/>
          <w14:ligatures w14:val="standardContextual"/>
        </w:rPr>
        <w:t xml:space="preserve"> </w:t>
      </w:r>
      <w:r>
        <w:rPr>
          <w:color w:val="000000"/>
          <w:kern w:val="2"/>
          <w14:ligatures w14:val="standardContextual"/>
        </w:rPr>
        <w:t>okviru</w:t>
      </w:r>
      <w:r w:rsidRPr="00751F3C">
        <w:rPr>
          <w:color w:val="000000"/>
          <w:kern w:val="2"/>
          <w14:ligatures w14:val="standardContextual"/>
        </w:rPr>
        <w:t xml:space="preserve"> Univerzalnog preventivnog kurikuluma i standarda kvalitete,</w:t>
      </w:r>
      <w:r w:rsidRPr="00951E90">
        <w:t xml:space="preserve"> </w:t>
      </w:r>
      <w:r w:rsidRPr="0004221B">
        <w:t>organizirane su</w:t>
      </w:r>
      <w:r>
        <w:t xml:space="preserve"> e</w:t>
      </w:r>
      <w:r w:rsidRPr="00951E90">
        <w:rPr>
          <w:color w:val="000000"/>
          <w:kern w:val="2"/>
          <w14:ligatures w14:val="standardContextual"/>
        </w:rPr>
        <w:t>dukacije</w:t>
      </w:r>
      <w:r>
        <w:rPr>
          <w:color w:val="000000"/>
          <w:kern w:val="2"/>
          <w14:ligatures w14:val="standardContextual"/>
        </w:rPr>
        <w:t xml:space="preserve">, </w:t>
      </w:r>
      <w:r w:rsidRPr="00751F3C">
        <w:rPr>
          <w:color w:val="000000"/>
          <w:kern w:val="2"/>
          <w14:ligatures w14:val="standardContextual"/>
        </w:rPr>
        <w:t>okrugl</w:t>
      </w:r>
      <w:r>
        <w:rPr>
          <w:color w:val="000000"/>
          <w:kern w:val="2"/>
          <w14:ligatures w14:val="standardContextual"/>
        </w:rPr>
        <w:t>i</w:t>
      </w:r>
      <w:r w:rsidRPr="00751F3C">
        <w:rPr>
          <w:color w:val="000000"/>
          <w:kern w:val="2"/>
          <w14:ligatures w14:val="standardContextual"/>
        </w:rPr>
        <w:t xml:space="preserve"> stolov</w:t>
      </w:r>
      <w:r>
        <w:rPr>
          <w:color w:val="000000"/>
          <w:kern w:val="2"/>
          <w14:ligatures w14:val="standardContextual"/>
        </w:rPr>
        <w:t>i</w:t>
      </w:r>
      <w:r w:rsidRPr="00751F3C">
        <w:rPr>
          <w:color w:val="000000"/>
          <w:kern w:val="2"/>
          <w14:ligatures w14:val="standardContextual"/>
        </w:rPr>
        <w:t xml:space="preserve"> </w:t>
      </w:r>
      <w:r>
        <w:rPr>
          <w:color w:val="000000"/>
          <w:kern w:val="2"/>
          <w14:ligatures w14:val="standardContextual"/>
        </w:rPr>
        <w:t>te je održana i n</w:t>
      </w:r>
      <w:r w:rsidRPr="00751F3C">
        <w:rPr>
          <w:color w:val="000000"/>
          <w:kern w:val="2"/>
          <w14:ligatures w14:val="standardContextual"/>
        </w:rPr>
        <w:t>acionaln</w:t>
      </w:r>
      <w:r>
        <w:rPr>
          <w:color w:val="000000"/>
          <w:kern w:val="2"/>
          <w14:ligatures w14:val="standardContextual"/>
        </w:rPr>
        <w:t>a</w:t>
      </w:r>
      <w:r w:rsidRPr="00751F3C">
        <w:rPr>
          <w:color w:val="000000"/>
          <w:kern w:val="2"/>
          <w14:ligatures w14:val="standardContextual"/>
        </w:rPr>
        <w:t xml:space="preserve"> REITOX akademij</w:t>
      </w:r>
      <w:r>
        <w:rPr>
          <w:color w:val="000000"/>
          <w:kern w:val="2"/>
          <w14:ligatures w14:val="standardContextual"/>
        </w:rPr>
        <w:t xml:space="preserve">a. Istovremeno, nastavljena je provedba </w:t>
      </w:r>
      <w:r w:rsidRPr="00751F3C">
        <w:rPr>
          <w:color w:val="000000"/>
          <w:kern w:val="2"/>
          <w14:ligatures w14:val="standardContextual"/>
        </w:rPr>
        <w:t>program</w:t>
      </w:r>
      <w:r>
        <w:rPr>
          <w:color w:val="000000"/>
          <w:kern w:val="2"/>
          <w14:ligatures w14:val="standardContextual"/>
        </w:rPr>
        <w:t>a</w:t>
      </w:r>
      <w:r w:rsidRPr="00751F3C">
        <w:rPr>
          <w:color w:val="000000"/>
          <w:kern w:val="2"/>
          <w14:ligatures w14:val="standardContextual"/>
        </w:rPr>
        <w:t xml:space="preserve"> „Imam stav” u školama Zagrebačke i Istarske županije s fokusom na prevenciju uporabe alkohola, cigareta i droga. </w:t>
      </w:r>
      <w:r>
        <w:rPr>
          <w:color w:val="000000"/>
          <w:kern w:val="2"/>
          <w14:ligatures w14:val="standardContextual"/>
        </w:rPr>
        <w:t>Također, s</w:t>
      </w:r>
      <w:r w:rsidRPr="00751F3C">
        <w:rPr>
          <w:color w:val="000000"/>
          <w:kern w:val="2"/>
          <w14:ligatures w14:val="standardContextual"/>
        </w:rPr>
        <w:t xml:space="preserve"> cilj</w:t>
      </w:r>
      <w:r>
        <w:rPr>
          <w:color w:val="000000"/>
          <w:kern w:val="2"/>
          <w14:ligatures w14:val="standardContextual"/>
        </w:rPr>
        <w:t>em</w:t>
      </w:r>
      <w:r w:rsidRPr="00751F3C">
        <w:rPr>
          <w:color w:val="000000"/>
          <w:kern w:val="2"/>
          <w14:ligatures w14:val="standardContextual"/>
        </w:rPr>
        <w:t xml:space="preserve"> smanjenja štete povezanih s uporabom droga </w:t>
      </w:r>
      <w:r>
        <w:rPr>
          <w:color w:val="000000"/>
          <w:kern w:val="2"/>
          <w14:ligatures w14:val="standardContextual"/>
        </w:rPr>
        <w:t>uz</w:t>
      </w:r>
      <w:r w:rsidRPr="00751F3C">
        <w:rPr>
          <w:color w:val="000000"/>
          <w:kern w:val="2"/>
          <w14:ligatures w14:val="standardContextual"/>
        </w:rPr>
        <w:t xml:space="preserve"> jačanj</w:t>
      </w:r>
      <w:r>
        <w:rPr>
          <w:color w:val="000000"/>
          <w:kern w:val="2"/>
          <w14:ligatures w14:val="standardContextual"/>
        </w:rPr>
        <w:t>e</w:t>
      </w:r>
      <w:r w:rsidRPr="00751F3C">
        <w:rPr>
          <w:color w:val="000000"/>
          <w:kern w:val="2"/>
          <w14:ligatures w14:val="standardContextual"/>
        </w:rPr>
        <w:t xml:space="preserve"> međusektorske suradnje, revidirane su Smjernice za provedbu programa smanjenja štete</w:t>
      </w:r>
      <w:r>
        <w:rPr>
          <w:color w:val="000000"/>
          <w:kern w:val="2"/>
          <w14:ligatures w14:val="standardContextual"/>
        </w:rPr>
        <w:t xml:space="preserve"> te je </w:t>
      </w:r>
      <w:r w:rsidRPr="00751F3C">
        <w:rPr>
          <w:color w:val="000000"/>
          <w:kern w:val="2"/>
          <w14:ligatures w14:val="standardContextual"/>
        </w:rPr>
        <w:t xml:space="preserve">pokrenut je pilot-projekt uvođenja kućnih doza </w:t>
      </w:r>
      <w:proofErr w:type="spellStart"/>
      <w:r w:rsidRPr="00751F3C">
        <w:rPr>
          <w:color w:val="000000"/>
          <w:kern w:val="2"/>
          <w14:ligatures w14:val="standardContextual"/>
        </w:rPr>
        <w:t>naloksona</w:t>
      </w:r>
      <w:proofErr w:type="spellEnd"/>
      <w:r w:rsidRPr="00751F3C">
        <w:rPr>
          <w:color w:val="000000"/>
          <w:kern w:val="2"/>
          <w14:ligatures w14:val="standardContextual"/>
        </w:rPr>
        <w:t xml:space="preserve"> te su pripremljeni pilot-projekti praćenja intoksikacija drogama i toksikoloških analiza za 2025.</w:t>
      </w:r>
      <w:r>
        <w:rPr>
          <w:color w:val="000000"/>
          <w:kern w:val="2"/>
          <w14:ligatures w14:val="standardContextual"/>
        </w:rPr>
        <w:t xml:space="preserve"> godinu. Proveden je 4. val istraživanja </w:t>
      </w:r>
      <w:r w:rsidRPr="00751F3C">
        <w:rPr>
          <w:color w:val="000000"/>
          <w:kern w:val="2"/>
          <w14:ligatures w14:val="standardContextual"/>
        </w:rPr>
        <w:t xml:space="preserve">zlouporabe sredstava ovisnosti u općoj populaciji </w:t>
      </w:r>
      <w:r>
        <w:rPr>
          <w:color w:val="000000"/>
          <w:kern w:val="2"/>
          <w14:ligatures w14:val="standardContextual"/>
        </w:rPr>
        <w:t>i</w:t>
      </w:r>
      <w:r w:rsidRPr="00751F3C">
        <w:rPr>
          <w:color w:val="000000"/>
          <w:kern w:val="2"/>
          <w14:ligatures w14:val="standardContextual"/>
        </w:rPr>
        <w:t xml:space="preserve"> kvalitativno istraživanje uporabe stimulativnih droga</w:t>
      </w:r>
      <w:r>
        <w:rPr>
          <w:color w:val="000000"/>
          <w:kern w:val="2"/>
          <w14:ligatures w14:val="standardContextual"/>
        </w:rPr>
        <w:t xml:space="preserve"> te je </w:t>
      </w:r>
      <w:r w:rsidRPr="00751F3C">
        <w:rPr>
          <w:color w:val="000000"/>
          <w:kern w:val="2"/>
          <w14:ligatures w14:val="standardContextual"/>
        </w:rPr>
        <w:t xml:space="preserve">održano je 12 edukacija i stručnih skupova </w:t>
      </w:r>
      <w:r>
        <w:rPr>
          <w:color w:val="000000"/>
          <w:kern w:val="2"/>
          <w14:ligatures w14:val="standardContextual"/>
        </w:rPr>
        <w:t xml:space="preserve">za </w:t>
      </w:r>
      <w:r w:rsidRPr="00751F3C">
        <w:rPr>
          <w:color w:val="000000"/>
          <w:kern w:val="2"/>
          <w14:ligatures w14:val="standardContextual"/>
        </w:rPr>
        <w:t>sudionik</w:t>
      </w:r>
      <w:r>
        <w:rPr>
          <w:color w:val="000000"/>
          <w:kern w:val="2"/>
          <w14:ligatures w14:val="standardContextual"/>
        </w:rPr>
        <w:t>e</w:t>
      </w:r>
      <w:r w:rsidRPr="00751F3C">
        <w:rPr>
          <w:color w:val="000000"/>
          <w:kern w:val="2"/>
          <w14:ligatures w14:val="standardContextual"/>
        </w:rPr>
        <w:t xml:space="preserve"> iz različitih sustava. </w:t>
      </w:r>
    </w:p>
    <w:p w14:paraId="59FB3C34" w14:textId="77777777" w:rsidR="00FB178A" w:rsidRDefault="00FB178A" w:rsidP="00FB178A">
      <w:pPr>
        <w:pStyle w:val="paragraph"/>
        <w:ind w:firstLine="709"/>
        <w:rPr>
          <w:rFonts w:eastAsia="Calibri"/>
          <w:b/>
          <w:kern w:val="2"/>
        </w:rPr>
      </w:pPr>
      <w:r w:rsidRPr="00145379">
        <w:rPr>
          <w:rFonts w:eastAsia="Calibri"/>
          <w:b/>
          <w:bCs/>
          <w:kern w:val="2"/>
        </w:rPr>
        <w:t>Zdravlje, zdrave prehrambene navike i aktivni život kroz sport</w:t>
      </w:r>
    </w:p>
    <w:p w14:paraId="1641875C" w14:textId="77777777" w:rsidR="00FB178A" w:rsidRDefault="00FB178A" w:rsidP="00FB178A">
      <w:pPr>
        <w:pStyle w:val="paragraph"/>
        <w:spacing w:line="276" w:lineRule="auto"/>
        <w:ind w:firstLine="709"/>
        <w:jc w:val="both"/>
        <w:rPr>
          <w:rFonts w:eastAsia="Calibri"/>
        </w:rPr>
      </w:pPr>
      <w:r w:rsidRPr="00F10258">
        <w:rPr>
          <w:rFonts w:eastAsia="Calibri"/>
          <w:lang w:eastAsia="en-US"/>
        </w:rPr>
        <w:t xml:space="preserve">Iako je Hrvatska prepoznata kao zemlja vrhunskih sportaša, podaci Svjetske zdravstvene organizacije i istraživanja </w:t>
      </w:r>
      <w:proofErr w:type="spellStart"/>
      <w:r w:rsidRPr="00F10258">
        <w:rPr>
          <w:rFonts w:eastAsia="Calibri"/>
          <w:lang w:eastAsia="en-US"/>
        </w:rPr>
        <w:t>Eurobarometra</w:t>
      </w:r>
      <w:proofErr w:type="spellEnd"/>
      <w:r w:rsidRPr="00F10258">
        <w:rPr>
          <w:rFonts w:eastAsia="Calibri"/>
          <w:lang w:eastAsia="en-US"/>
        </w:rPr>
        <w:t xml:space="preserve"> potvrđuju dugotrajan trend nedostatne tjelesne aktivnosti stanovništva te visok udio osoba koje se uopće ne bave sportom, što je u skladu s europskim </w:t>
      </w:r>
      <w:r w:rsidRPr="00F10258">
        <w:rPr>
          <w:rFonts w:eastAsia="Calibri"/>
          <w:lang w:eastAsia="en-US"/>
        </w:rPr>
        <w:lastRenderedPageBreak/>
        <w:t>prosjekom u kojem do 45% građana nikada ne vježba.</w:t>
      </w:r>
      <w:r>
        <w:rPr>
          <w:rFonts w:eastAsia="Calibri"/>
          <w:lang w:eastAsia="en-US"/>
        </w:rPr>
        <w:t xml:space="preserve"> </w:t>
      </w:r>
      <w:r w:rsidRPr="00F10258">
        <w:rPr>
          <w:rFonts w:eastAsia="Calibri"/>
          <w:lang w:eastAsia="en-US"/>
        </w:rPr>
        <w:t xml:space="preserve">U tom kontekstu, tijekom 2024. nastavljen je sustavan rad na stvaranju preduvjeta za zdraviji i aktivniji način života, kroz ulaganja u sportsku infrastrukturu, programe masovnog sporta i rekreacije te </w:t>
      </w:r>
      <w:r>
        <w:rPr>
          <w:rFonts w:eastAsia="Calibri"/>
          <w:lang w:eastAsia="en-US"/>
        </w:rPr>
        <w:t xml:space="preserve">provedbu </w:t>
      </w:r>
      <w:r w:rsidRPr="00F10258">
        <w:rPr>
          <w:rFonts w:eastAsia="Calibri"/>
          <w:lang w:eastAsia="en-US"/>
        </w:rPr>
        <w:t>ciljan</w:t>
      </w:r>
      <w:r>
        <w:rPr>
          <w:rFonts w:eastAsia="Calibri"/>
          <w:lang w:eastAsia="en-US"/>
        </w:rPr>
        <w:t>ih</w:t>
      </w:r>
      <w:r w:rsidRPr="00F10258">
        <w:rPr>
          <w:rFonts w:eastAsia="Calibri"/>
          <w:lang w:eastAsia="en-US"/>
        </w:rPr>
        <w:t xml:space="preserve"> mjera usmjeren</w:t>
      </w:r>
      <w:r>
        <w:rPr>
          <w:rFonts w:eastAsia="Calibri"/>
          <w:lang w:eastAsia="en-US"/>
        </w:rPr>
        <w:t>ih</w:t>
      </w:r>
      <w:r w:rsidRPr="00F10258">
        <w:rPr>
          <w:rFonts w:eastAsia="Calibri"/>
          <w:lang w:eastAsia="en-US"/>
        </w:rPr>
        <w:t xml:space="preserve"> djeci, mladima i ranjivim skupinama</w:t>
      </w:r>
      <w:r>
        <w:rPr>
          <w:rFonts w:eastAsia="Calibri"/>
          <w:lang w:eastAsia="en-US"/>
        </w:rPr>
        <w:t>.</w:t>
      </w:r>
    </w:p>
    <w:p w14:paraId="6AF2A08C" w14:textId="77777777" w:rsidR="00FB178A" w:rsidRPr="0004221B" w:rsidRDefault="00FB178A" w:rsidP="00FB178A">
      <w:pPr>
        <w:pStyle w:val="paragraph"/>
        <w:spacing w:line="276" w:lineRule="auto"/>
        <w:jc w:val="both"/>
        <w:rPr>
          <w:rFonts w:eastAsia="Calibri"/>
          <w:kern w:val="2"/>
        </w:rPr>
      </w:pPr>
      <w:r w:rsidRPr="00D60A15">
        <w:rPr>
          <w:rFonts w:eastAsia="Calibri"/>
        </w:rPr>
        <w:t xml:space="preserve">Radi unaprjeđenja uvjeta za bavljenje sportom i rekreacijom, u 2024. provedeni su brojni natječaji i javni pozivi u području sporta, uz ukupno osigurano financiranje od 16,1 milijun eura. </w:t>
      </w:r>
      <w:r>
        <w:rPr>
          <w:rFonts w:eastAsia="Calibri"/>
        </w:rPr>
        <w:t xml:space="preserve">Sredstvima iz državnog proračuna Republike Hrvatske </w:t>
      </w:r>
      <w:r w:rsidRPr="00D60A15">
        <w:rPr>
          <w:rFonts w:eastAsia="Calibri"/>
        </w:rPr>
        <w:t xml:space="preserve">sufinancirana </w:t>
      </w:r>
      <w:r>
        <w:rPr>
          <w:rFonts w:eastAsia="Calibri"/>
        </w:rPr>
        <w:t xml:space="preserve">je </w:t>
      </w:r>
      <w:r w:rsidRPr="00D60A15">
        <w:rPr>
          <w:rFonts w:eastAsia="Calibri"/>
        </w:rPr>
        <w:t xml:space="preserve">provedba 96 projekata izgradnje, dogradnje i opremanja sportskih građevina na području cijele Hrvatske, u ukupnom iznosu od 12,2 milijuna eura, čime </w:t>
      </w:r>
      <w:r>
        <w:rPr>
          <w:rFonts w:eastAsia="Calibri"/>
        </w:rPr>
        <w:t>j</w:t>
      </w:r>
      <w:r w:rsidRPr="00D60A15">
        <w:rPr>
          <w:rFonts w:eastAsia="Calibri"/>
        </w:rPr>
        <w:t>e značajno unaprje</w:t>
      </w:r>
      <w:r>
        <w:rPr>
          <w:rFonts w:eastAsia="Calibri"/>
        </w:rPr>
        <w:t>đena</w:t>
      </w:r>
      <w:r w:rsidRPr="00D60A15">
        <w:rPr>
          <w:rFonts w:eastAsia="Calibri"/>
        </w:rPr>
        <w:t xml:space="preserve"> dostupnost sportske infrastrukture na lokalnoj razini. </w:t>
      </w:r>
      <w:r>
        <w:rPr>
          <w:rFonts w:eastAsia="Calibri"/>
        </w:rPr>
        <w:t>Istovremeno,</w:t>
      </w:r>
      <w:r w:rsidRPr="00D60A15">
        <w:rPr>
          <w:rFonts w:eastAsia="Calibri"/>
        </w:rPr>
        <w:t xml:space="preserve"> proved</w:t>
      </w:r>
      <w:r>
        <w:rPr>
          <w:rFonts w:eastAsia="Calibri"/>
        </w:rPr>
        <w:t xml:space="preserve">ena su </w:t>
      </w:r>
      <w:r w:rsidRPr="00D60A15">
        <w:rPr>
          <w:rFonts w:eastAsia="Calibri"/>
        </w:rPr>
        <w:t>192 programa poticanja lokalnog sporta i sportskih natjecanja</w:t>
      </w:r>
      <w:r>
        <w:rPr>
          <w:rFonts w:eastAsia="Calibri"/>
        </w:rPr>
        <w:t>,</w:t>
      </w:r>
      <w:r w:rsidRPr="00D60A15">
        <w:rPr>
          <w:rFonts w:eastAsia="Calibri"/>
        </w:rPr>
        <w:t xml:space="preserve"> </w:t>
      </w:r>
      <w:r w:rsidRPr="00526523">
        <w:rPr>
          <w:rFonts w:eastAsia="Calibri"/>
        </w:rPr>
        <w:t>pri čemu je besplatno sudjelovanje u sportskim programima omogućeno za oko 66.200 djece</w:t>
      </w:r>
      <w:r>
        <w:rPr>
          <w:rFonts w:eastAsia="Calibri"/>
        </w:rPr>
        <w:t>. Također, provedena su</w:t>
      </w:r>
      <w:r w:rsidRPr="00D60A15">
        <w:rPr>
          <w:rFonts w:eastAsia="Calibri"/>
        </w:rPr>
        <w:t xml:space="preserve"> 32 programa obuke neplivača „Hrvatska pliva“</w:t>
      </w:r>
      <w:r>
        <w:rPr>
          <w:rFonts w:eastAsia="Calibri"/>
        </w:rPr>
        <w:t>,</w:t>
      </w:r>
      <w:r w:rsidRPr="00D60A15">
        <w:rPr>
          <w:rFonts w:eastAsia="Calibri"/>
        </w:rPr>
        <w:t xml:space="preserve">  </w:t>
      </w:r>
      <w:r>
        <w:rPr>
          <w:rFonts w:eastAsia="Calibri"/>
        </w:rPr>
        <w:t xml:space="preserve">kojima je </w:t>
      </w:r>
      <w:r w:rsidRPr="00D60A15">
        <w:rPr>
          <w:rFonts w:eastAsia="Calibri"/>
        </w:rPr>
        <w:t xml:space="preserve">obuku neplivača uspješno završilo oko 8.500 polaznika. U odnosu na 2023., za provedbu </w:t>
      </w:r>
      <w:r>
        <w:rPr>
          <w:rFonts w:eastAsia="Calibri"/>
        </w:rPr>
        <w:t xml:space="preserve">javnih </w:t>
      </w:r>
      <w:r w:rsidRPr="00D60A15">
        <w:rPr>
          <w:rFonts w:eastAsia="Calibri"/>
        </w:rPr>
        <w:t xml:space="preserve">natječaja i poziva u području sporta osigurano je 9,2 milijuna eura više, što je omogućilo veći broj sufinanciranih projekata, veći broj </w:t>
      </w:r>
      <w:r>
        <w:rPr>
          <w:rFonts w:eastAsia="Calibri"/>
        </w:rPr>
        <w:t xml:space="preserve">uključenih </w:t>
      </w:r>
      <w:r w:rsidRPr="00D60A15">
        <w:rPr>
          <w:rFonts w:eastAsia="Calibri"/>
        </w:rPr>
        <w:t>korisnika te daljnje širenje mreže sportskih sadržaja u lokalnim zajednicama.</w:t>
      </w:r>
    </w:p>
    <w:p w14:paraId="790609AD" w14:textId="77777777" w:rsidR="00FB178A" w:rsidRDefault="00FB178A" w:rsidP="00FB178A">
      <w:pPr>
        <w:spacing w:after="240" w:line="276" w:lineRule="auto"/>
        <w:jc w:val="both"/>
        <w:rPr>
          <w:rFonts w:eastAsia="Calibri"/>
          <w:sz w:val="24"/>
          <w:szCs w:val="24"/>
        </w:rPr>
      </w:pPr>
      <w:r w:rsidRPr="00EB0A65">
        <w:rPr>
          <w:rFonts w:eastAsia="Calibri"/>
          <w:sz w:val="24"/>
          <w:szCs w:val="24"/>
        </w:rPr>
        <w:t xml:space="preserve">Posebna je pozornost usmjerena na djecu i mlade, s ciljem stvaranja trajnih navika redovitog tjelesnog vježbanja. </w:t>
      </w:r>
      <w:r>
        <w:rPr>
          <w:rFonts w:eastAsia="Calibri"/>
          <w:sz w:val="24"/>
          <w:szCs w:val="24"/>
        </w:rPr>
        <w:t>U</w:t>
      </w:r>
      <w:r w:rsidRPr="00EB0A65">
        <w:rPr>
          <w:rFonts w:eastAsia="Calibri"/>
          <w:sz w:val="24"/>
          <w:szCs w:val="24"/>
        </w:rPr>
        <w:t xml:space="preserve"> </w:t>
      </w:r>
      <w:r>
        <w:rPr>
          <w:rFonts w:eastAsia="Calibri"/>
          <w:sz w:val="24"/>
          <w:szCs w:val="24"/>
        </w:rPr>
        <w:t xml:space="preserve">provedbu </w:t>
      </w:r>
      <w:r w:rsidRPr="00EB0A65">
        <w:rPr>
          <w:rFonts w:eastAsia="Calibri"/>
          <w:sz w:val="24"/>
          <w:szCs w:val="24"/>
        </w:rPr>
        <w:t>program</w:t>
      </w:r>
      <w:r>
        <w:rPr>
          <w:rFonts w:eastAsia="Calibri"/>
          <w:sz w:val="24"/>
          <w:szCs w:val="24"/>
        </w:rPr>
        <w:t>a</w:t>
      </w:r>
      <w:r w:rsidRPr="00EB0A65">
        <w:rPr>
          <w:rFonts w:eastAsia="Calibri"/>
          <w:sz w:val="24"/>
          <w:szCs w:val="24"/>
        </w:rPr>
        <w:t xml:space="preserve"> „Univerzalna sportska škola“, namijenjen</w:t>
      </w:r>
      <w:r>
        <w:rPr>
          <w:rFonts w:eastAsia="Calibri"/>
          <w:sz w:val="24"/>
          <w:szCs w:val="24"/>
        </w:rPr>
        <w:t>og</w:t>
      </w:r>
      <w:r w:rsidRPr="00EB0A65">
        <w:rPr>
          <w:rFonts w:eastAsia="Calibri"/>
          <w:sz w:val="24"/>
          <w:szCs w:val="24"/>
        </w:rPr>
        <w:t xml:space="preserve"> učenicima od 1. do 4. razreda osnovne škole, i „Vježbaonica“, </w:t>
      </w:r>
      <w:r>
        <w:rPr>
          <w:rFonts w:eastAsia="Calibri"/>
          <w:sz w:val="24"/>
          <w:szCs w:val="24"/>
        </w:rPr>
        <w:t>z</w:t>
      </w:r>
      <w:r w:rsidRPr="00EB0A65">
        <w:rPr>
          <w:rFonts w:eastAsia="Calibri"/>
          <w:sz w:val="24"/>
          <w:szCs w:val="24"/>
        </w:rPr>
        <w:t xml:space="preserve">a učenike od 5. do 8. razreda te srednjoškolce, </w:t>
      </w:r>
      <w:r>
        <w:rPr>
          <w:rFonts w:eastAsia="Calibri"/>
          <w:sz w:val="24"/>
          <w:szCs w:val="24"/>
        </w:rPr>
        <w:t>tijekom</w:t>
      </w:r>
      <w:r w:rsidRPr="00EB0A65">
        <w:rPr>
          <w:rFonts w:eastAsia="Calibri"/>
          <w:sz w:val="24"/>
          <w:szCs w:val="24"/>
        </w:rPr>
        <w:t xml:space="preserve"> 2024. </w:t>
      </w:r>
      <w:r>
        <w:rPr>
          <w:rFonts w:eastAsia="Calibri"/>
          <w:sz w:val="24"/>
          <w:szCs w:val="24"/>
        </w:rPr>
        <w:t>uključeno je</w:t>
      </w:r>
      <w:r w:rsidRPr="00EB0A65">
        <w:rPr>
          <w:rFonts w:eastAsia="Calibri"/>
          <w:sz w:val="24"/>
          <w:szCs w:val="24"/>
        </w:rPr>
        <w:t xml:space="preserve"> ukupno 694 škola, </w:t>
      </w:r>
      <w:r>
        <w:rPr>
          <w:rFonts w:eastAsia="Calibri"/>
          <w:sz w:val="24"/>
          <w:szCs w:val="24"/>
        </w:rPr>
        <w:t>gdje je</w:t>
      </w:r>
      <w:r w:rsidRPr="00EB0A65">
        <w:rPr>
          <w:rFonts w:eastAsia="Calibri"/>
          <w:sz w:val="24"/>
          <w:szCs w:val="24"/>
        </w:rPr>
        <w:t xml:space="preserve"> različite sportske programe pohađalo 2</w:t>
      </w:r>
      <w:r>
        <w:rPr>
          <w:rFonts w:eastAsia="Calibri"/>
          <w:sz w:val="24"/>
          <w:szCs w:val="24"/>
        </w:rPr>
        <w:t>7.000</w:t>
      </w:r>
      <w:r w:rsidRPr="00EB0A65">
        <w:rPr>
          <w:rFonts w:eastAsia="Calibri"/>
          <w:sz w:val="24"/>
          <w:szCs w:val="24"/>
        </w:rPr>
        <w:t xml:space="preserve"> polaznika, oko 14% </w:t>
      </w:r>
      <w:r>
        <w:rPr>
          <w:rFonts w:eastAsia="Calibri"/>
          <w:sz w:val="24"/>
          <w:szCs w:val="24"/>
        </w:rPr>
        <w:t xml:space="preserve">polaznika više </w:t>
      </w:r>
      <w:r w:rsidRPr="00EB0A65">
        <w:rPr>
          <w:rFonts w:eastAsia="Calibri"/>
          <w:sz w:val="24"/>
          <w:szCs w:val="24"/>
        </w:rPr>
        <w:t>u odnosu na 2023.</w:t>
      </w:r>
      <w:r>
        <w:rPr>
          <w:rFonts w:eastAsia="Calibri"/>
          <w:sz w:val="24"/>
          <w:szCs w:val="24"/>
        </w:rPr>
        <w:t xml:space="preserve"> godinu.</w:t>
      </w:r>
      <w:r w:rsidRPr="00EB0A65">
        <w:rPr>
          <w:rFonts w:eastAsia="Calibri"/>
          <w:sz w:val="24"/>
          <w:szCs w:val="24"/>
        </w:rPr>
        <w:t xml:space="preserve"> Dodatno, u okviru projekta „Sportski praznici“, koji je proveden tijekom ljetnih školskih praznika, na 96 lokacija u svim županijama i Gradu Zagrebu više od 10.000 djece osnovnoškolske dobi </w:t>
      </w:r>
      <w:r>
        <w:rPr>
          <w:rFonts w:eastAsia="Calibri"/>
          <w:sz w:val="24"/>
          <w:szCs w:val="24"/>
        </w:rPr>
        <w:t xml:space="preserve">je </w:t>
      </w:r>
      <w:r w:rsidRPr="00EB0A65">
        <w:rPr>
          <w:rFonts w:eastAsia="Calibri"/>
          <w:sz w:val="24"/>
          <w:szCs w:val="24"/>
        </w:rPr>
        <w:t>besplatno uključ</w:t>
      </w:r>
      <w:r>
        <w:rPr>
          <w:rFonts w:eastAsia="Calibri"/>
          <w:sz w:val="24"/>
          <w:szCs w:val="24"/>
        </w:rPr>
        <w:t>eno</w:t>
      </w:r>
      <w:r w:rsidRPr="00EB0A65">
        <w:rPr>
          <w:rFonts w:eastAsia="Calibri"/>
          <w:sz w:val="24"/>
          <w:szCs w:val="24"/>
        </w:rPr>
        <w:t xml:space="preserve"> u organizirane programe tjelesne aktivnosti uz stručni nadzor kineziologa i osigurani zdravi obrok, čime se doprinosi </w:t>
      </w:r>
      <w:r>
        <w:rPr>
          <w:rFonts w:eastAsia="Calibri"/>
          <w:sz w:val="24"/>
          <w:szCs w:val="24"/>
        </w:rPr>
        <w:t xml:space="preserve">stjecanju zdravih navika, </w:t>
      </w:r>
      <w:r w:rsidRPr="00EB0A65">
        <w:rPr>
          <w:rFonts w:eastAsia="Calibri"/>
          <w:sz w:val="24"/>
          <w:szCs w:val="24"/>
        </w:rPr>
        <w:t>očuvanju zdravlja i prevenciji pretilosti već u dječjoj dobi.</w:t>
      </w:r>
    </w:p>
    <w:p w14:paraId="77AE248F" w14:textId="77777777" w:rsidR="00FB178A" w:rsidRPr="0004221B" w:rsidRDefault="00FB178A" w:rsidP="00FB178A">
      <w:pPr>
        <w:spacing w:after="240" w:line="276" w:lineRule="auto"/>
        <w:jc w:val="both"/>
        <w:rPr>
          <w:rFonts w:eastAsia="Calibri"/>
          <w:kern w:val="2"/>
          <w:sz w:val="24"/>
          <w:szCs w:val="24"/>
        </w:rPr>
      </w:pPr>
      <w:r w:rsidRPr="00CF0503">
        <w:rPr>
          <w:rFonts w:eastAsia="Calibri"/>
          <w:kern w:val="2"/>
          <w:sz w:val="24"/>
          <w:szCs w:val="24"/>
        </w:rPr>
        <w:t xml:space="preserve">U svrhu stvaranja uvjeta za uključivanje što većeg broja djece i mladih u organizirani sport, putem županijskih sportskih zajednica u 2024. sufinanciran je stručni rad </w:t>
      </w:r>
      <w:r>
        <w:rPr>
          <w:rFonts w:eastAsia="Calibri"/>
          <w:kern w:val="2"/>
          <w:sz w:val="24"/>
          <w:szCs w:val="24"/>
        </w:rPr>
        <w:t xml:space="preserve">i obuka </w:t>
      </w:r>
      <w:r w:rsidRPr="00CF0503">
        <w:rPr>
          <w:rFonts w:eastAsia="Calibri"/>
          <w:kern w:val="2"/>
          <w:sz w:val="24"/>
          <w:szCs w:val="24"/>
        </w:rPr>
        <w:t xml:space="preserve">za 532 trenera u iznosu od 2,6 milijuna eura te nabava sportske opreme u iznosu od 1,2 milijuna eura. </w:t>
      </w:r>
      <w:r>
        <w:rPr>
          <w:rFonts w:eastAsia="Calibri"/>
          <w:kern w:val="2"/>
          <w:sz w:val="24"/>
          <w:szCs w:val="24"/>
        </w:rPr>
        <w:t>Ovi</w:t>
      </w:r>
      <w:r w:rsidRPr="00CF0503">
        <w:rPr>
          <w:rFonts w:eastAsia="Calibri"/>
          <w:kern w:val="2"/>
          <w:sz w:val="24"/>
          <w:szCs w:val="24"/>
        </w:rPr>
        <w:t xml:space="preserve">me se jačaju kadrovski i materijalni kapaciteti sportskih klubova i udruga na lokalnoj razini, osobito onih koji rade s djecom i mladima, te se podiže kvaliteta rada u sportu. Kroz ove programe nastoji se sustavno povezati školski i izvanškolski sport te osigurati </w:t>
      </w:r>
      <w:r>
        <w:rPr>
          <w:rFonts w:eastAsia="Calibri"/>
          <w:kern w:val="2"/>
          <w:sz w:val="24"/>
          <w:szCs w:val="24"/>
        </w:rPr>
        <w:t xml:space="preserve">uvjete </w:t>
      </w:r>
      <w:r w:rsidRPr="00CF0503">
        <w:rPr>
          <w:rFonts w:eastAsia="Calibri"/>
          <w:kern w:val="2"/>
          <w:sz w:val="24"/>
          <w:szCs w:val="24"/>
        </w:rPr>
        <w:t>da djeca i mladi imaju dostupne, kvalitetne i stručno vođene programe t</w:t>
      </w:r>
      <w:r>
        <w:rPr>
          <w:rFonts w:eastAsia="Calibri"/>
          <w:kern w:val="2"/>
          <w:sz w:val="24"/>
          <w:szCs w:val="24"/>
        </w:rPr>
        <w:t>okom</w:t>
      </w:r>
      <w:r w:rsidRPr="00CF0503">
        <w:rPr>
          <w:rFonts w:eastAsia="Calibri"/>
          <w:kern w:val="2"/>
          <w:sz w:val="24"/>
          <w:szCs w:val="24"/>
        </w:rPr>
        <w:t xml:space="preserve"> cijele godine.</w:t>
      </w:r>
    </w:p>
    <w:p w14:paraId="6EBD85BF" w14:textId="77777777" w:rsidR="00FB178A" w:rsidRPr="0004221B" w:rsidRDefault="00FB178A" w:rsidP="00FB178A">
      <w:pPr>
        <w:spacing w:after="240" w:line="276" w:lineRule="auto"/>
        <w:jc w:val="both"/>
        <w:rPr>
          <w:rFonts w:eastAsia="Calibri"/>
          <w:kern w:val="2"/>
          <w:sz w:val="24"/>
          <w:szCs w:val="24"/>
        </w:rPr>
      </w:pPr>
      <w:r w:rsidRPr="0080138D">
        <w:rPr>
          <w:rFonts w:eastAsia="Calibri"/>
          <w:kern w:val="2"/>
          <w:sz w:val="24"/>
          <w:szCs w:val="24"/>
        </w:rPr>
        <w:t xml:space="preserve">Značajan naglasak stavljen je i na uključivanje manje zastupljenih skupina u tjelesnu aktivnost, osobito osoba s invaliditetom i djece s teškoćama u razvoju. U okviru natječaja za sufinanciranje izgradnje, građevinskih zahvata i opremanja sportskih građevina, u 2024. sufinancirana je izgradnja i opremanje 14 vanjskih vježbališta prilagođenih osobama s invaliditetom, čime se jača pristupačnost sportske infrastrukture i potiče </w:t>
      </w:r>
      <w:proofErr w:type="spellStart"/>
      <w:r w:rsidRPr="0080138D">
        <w:rPr>
          <w:rFonts w:eastAsia="Calibri"/>
          <w:kern w:val="2"/>
          <w:sz w:val="24"/>
          <w:szCs w:val="24"/>
        </w:rPr>
        <w:t>inkluzivno</w:t>
      </w:r>
      <w:proofErr w:type="spellEnd"/>
      <w:r w:rsidRPr="0080138D">
        <w:rPr>
          <w:rFonts w:eastAsia="Calibri"/>
          <w:kern w:val="2"/>
          <w:sz w:val="24"/>
          <w:szCs w:val="24"/>
        </w:rPr>
        <w:t xml:space="preserve"> bavljenje sportom. U </w:t>
      </w:r>
      <w:r>
        <w:rPr>
          <w:rFonts w:eastAsia="Calibri"/>
          <w:kern w:val="2"/>
          <w:sz w:val="24"/>
          <w:szCs w:val="24"/>
        </w:rPr>
        <w:t xml:space="preserve">okviru </w:t>
      </w:r>
      <w:r w:rsidRPr="0080138D">
        <w:rPr>
          <w:rFonts w:eastAsia="Calibri"/>
          <w:kern w:val="2"/>
          <w:sz w:val="24"/>
          <w:szCs w:val="24"/>
        </w:rPr>
        <w:t>program</w:t>
      </w:r>
      <w:r>
        <w:rPr>
          <w:rFonts w:eastAsia="Calibri"/>
          <w:kern w:val="2"/>
          <w:sz w:val="24"/>
          <w:szCs w:val="24"/>
        </w:rPr>
        <w:t>a</w:t>
      </w:r>
      <w:r w:rsidRPr="0080138D">
        <w:rPr>
          <w:rFonts w:eastAsia="Calibri"/>
          <w:kern w:val="2"/>
          <w:sz w:val="24"/>
          <w:szCs w:val="24"/>
        </w:rPr>
        <w:t xml:space="preserve"> </w:t>
      </w:r>
      <w:r w:rsidRPr="0080138D">
        <w:rPr>
          <w:rFonts w:eastAsia="Calibri"/>
          <w:kern w:val="2"/>
          <w:sz w:val="24"/>
          <w:szCs w:val="24"/>
        </w:rPr>
        <w:lastRenderedPageBreak/>
        <w:t>„Univerzalna sportska škola“ omogućeno je sudjelovanje</w:t>
      </w:r>
      <w:r>
        <w:rPr>
          <w:rFonts w:eastAsia="Calibri"/>
          <w:kern w:val="2"/>
          <w:sz w:val="24"/>
          <w:szCs w:val="24"/>
        </w:rPr>
        <w:t xml:space="preserve"> u prilagođenim sadržajima</w:t>
      </w:r>
      <w:r w:rsidRPr="0080138D">
        <w:rPr>
          <w:rFonts w:eastAsia="Calibri"/>
          <w:kern w:val="2"/>
          <w:sz w:val="24"/>
          <w:szCs w:val="24"/>
        </w:rPr>
        <w:t xml:space="preserve"> za </w:t>
      </w:r>
      <w:r>
        <w:rPr>
          <w:rFonts w:eastAsia="Calibri"/>
          <w:kern w:val="2"/>
          <w:sz w:val="24"/>
          <w:szCs w:val="24"/>
        </w:rPr>
        <w:t>više od 100</w:t>
      </w:r>
      <w:r w:rsidRPr="0080138D">
        <w:rPr>
          <w:rFonts w:eastAsia="Calibri"/>
          <w:kern w:val="2"/>
          <w:sz w:val="24"/>
          <w:szCs w:val="24"/>
        </w:rPr>
        <w:t xml:space="preserve"> učenika s različitim </w:t>
      </w:r>
      <w:r>
        <w:rPr>
          <w:rFonts w:eastAsia="Calibri"/>
          <w:kern w:val="2"/>
          <w:sz w:val="24"/>
          <w:szCs w:val="24"/>
        </w:rPr>
        <w:t>po</w:t>
      </w:r>
      <w:r w:rsidRPr="0080138D">
        <w:rPr>
          <w:rFonts w:eastAsia="Calibri"/>
          <w:kern w:val="2"/>
          <w:sz w:val="24"/>
          <w:szCs w:val="24"/>
        </w:rPr>
        <w:t>teškoćama</w:t>
      </w:r>
      <w:r>
        <w:rPr>
          <w:rFonts w:eastAsia="Calibri"/>
          <w:kern w:val="2"/>
          <w:sz w:val="24"/>
          <w:szCs w:val="24"/>
        </w:rPr>
        <w:t xml:space="preserve"> u razvoju</w:t>
      </w:r>
      <w:r w:rsidRPr="0080138D">
        <w:rPr>
          <w:rFonts w:eastAsia="Calibri"/>
          <w:kern w:val="2"/>
          <w:sz w:val="24"/>
          <w:szCs w:val="24"/>
        </w:rPr>
        <w:t>. Dodatno</w:t>
      </w:r>
      <w:r>
        <w:rPr>
          <w:rFonts w:eastAsia="Calibri"/>
          <w:kern w:val="2"/>
          <w:sz w:val="24"/>
          <w:szCs w:val="24"/>
        </w:rPr>
        <w:t>,</w:t>
      </w:r>
      <w:r w:rsidRPr="0080138D">
        <w:rPr>
          <w:rFonts w:eastAsia="Calibri"/>
          <w:kern w:val="2"/>
          <w:sz w:val="24"/>
          <w:szCs w:val="24"/>
        </w:rPr>
        <w:t xml:space="preserve"> pokrenut</w:t>
      </w:r>
      <w:r>
        <w:rPr>
          <w:rFonts w:eastAsia="Calibri"/>
          <w:kern w:val="2"/>
          <w:sz w:val="24"/>
          <w:szCs w:val="24"/>
        </w:rPr>
        <w:t xml:space="preserve"> je</w:t>
      </w:r>
      <w:r w:rsidRPr="0080138D">
        <w:rPr>
          <w:rFonts w:eastAsia="Calibri"/>
          <w:kern w:val="2"/>
          <w:sz w:val="24"/>
          <w:szCs w:val="24"/>
        </w:rPr>
        <w:t xml:space="preserve"> projekt „Jačanje sustava </w:t>
      </w:r>
      <w:proofErr w:type="spellStart"/>
      <w:r w:rsidRPr="0080138D">
        <w:rPr>
          <w:rFonts w:eastAsia="Calibri"/>
          <w:kern w:val="2"/>
          <w:sz w:val="24"/>
          <w:szCs w:val="24"/>
        </w:rPr>
        <w:t>parasporta</w:t>
      </w:r>
      <w:proofErr w:type="spellEnd"/>
      <w:r w:rsidRPr="0080138D">
        <w:rPr>
          <w:rFonts w:eastAsia="Calibri"/>
          <w:kern w:val="2"/>
          <w:sz w:val="24"/>
          <w:szCs w:val="24"/>
        </w:rPr>
        <w:t xml:space="preserve"> u Republici Hrvatskoj“, usmjeren na poticanj</w:t>
      </w:r>
      <w:r>
        <w:rPr>
          <w:rFonts w:eastAsia="Calibri"/>
          <w:kern w:val="2"/>
          <w:sz w:val="24"/>
          <w:szCs w:val="24"/>
        </w:rPr>
        <w:t>e</w:t>
      </w:r>
      <w:r w:rsidRPr="0080138D">
        <w:rPr>
          <w:rFonts w:eastAsia="Calibri"/>
          <w:kern w:val="2"/>
          <w:sz w:val="24"/>
          <w:szCs w:val="24"/>
        </w:rPr>
        <w:t xml:space="preserve"> osoba s invaliditetom i djece s teškoćama u razvoju </w:t>
      </w:r>
      <w:r>
        <w:rPr>
          <w:rFonts w:eastAsia="Calibri"/>
          <w:kern w:val="2"/>
          <w:sz w:val="24"/>
          <w:szCs w:val="24"/>
        </w:rPr>
        <w:t>za uključivanje u</w:t>
      </w:r>
      <w:r w:rsidRPr="0080138D">
        <w:rPr>
          <w:rFonts w:eastAsia="Calibri"/>
          <w:kern w:val="2"/>
          <w:sz w:val="24"/>
          <w:szCs w:val="24"/>
        </w:rPr>
        <w:t xml:space="preserve"> </w:t>
      </w:r>
      <w:proofErr w:type="spellStart"/>
      <w:r w:rsidRPr="0080138D">
        <w:rPr>
          <w:rFonts w:eastAsia="Calibri"/>
          <w:kern w:val="2"/>
          <w:sz w:val="24"/>
          <w:szCs w:val="24"/>
        </w:rPr>
        <w:t>parasportske</w:t>
      </w:r>
      <w:proofErr w:type="spellEnd"/>
      <w:r w:rsidRPr="0080138D">
        <w:rPr>
          <w:rFonts w:eastAsia="Calibri"/>
          <w:kern w:val="2"/>
          <w:sz w:val="24"/>
          <w:szCs w:val="24"/>
        </w:rPr>
        <w:t xml:space="preserve"> aktivnosti te osnaživanje stručnih kapaciteta trenera i instruktora</w:t>
      </w:r>
      <w:r>
        <w:rPr>
          <w:rFonts w:eastAsia="Calibri"/>
          <w:kern w:val="2"/>
          <w:sz w:val="24"/>
          <w:szCs w:val="24"/>
        </w:rPr>
        <w:t xml:space="preserve">. Za provedbu projekta </w:t>
      </w:r>
      <w:r w:rsidRPr="0080138D">
        <w:rPr>
          <w:rFonts w:eastAsia="Calibri"/>
          <w:kern w:val="2"/>
          <w:sz w:val="24"/>
          <w:szCs w:val="24"/>
        </w:rPr>
        <w:t xml:space="preserve">u 2024. </w:t>
      </w:r>
      <w:r>
        <w:rPr>
          <w:rFonts w:eastAsia="Calibri"/>
          <w:kern w:val="2"/>
          <w:sz w:val="24"/>
          <w:szCs w:val="24"/>
        </w:rPr>
        <w:t>osigurano je</w:t>
      </w:r>
      <w:r w:rsidRPr="0080138D">
        <w:rPr>
          <w:rFonts w:eastAsia="Calibri"/>
          <w:kern w:val="2"/>
          <w:sz w:val="24"/>
          <w:szCs w:val="24"/>
        </w:rPr>
        <w:t xml:space="preserve"> 1,6 milijuna eura, a </w:t>
      </w:r>
      <w:r>
        <w:rPr>
          <w:rFonts w:eastAsia="Calibri"/>
          <w:kern w:val="2"/>
          <w:sz w:val="24"/>
          <w:szCs w:val="24"/>
        </w:rPr>
        <w:t xml:space="preserve">predviđeno je trajanje </w:t>
      </w:r>
      <w:r w:rsidRPr="0080138D">
        <w:rPr>
          <w:rFonts w:eastAsia="Calibri"/>
          <w:kern w:val="2"/>
          <w:sz w:val="24"/>
          <w:szCs w:val="24"/>
        </w:rPr>
        <w:t>provedb</w:t>
      </w:r>
      <w:r>
        <w:rPr>
          <w:rFonts w:eastAsia="Calibri"/>
          <w:kern w:val="2"/>
          <w:sz w:val="24"/>
          <w:szCs w:val="24"/>
        </w:rPr>
        <w:t>e</w:t>
      </w:r>
      <w:r w:rsidRPr="0080138D">
        <w:rPr>
          <w:rFonts w:eastAsia="Calibri"/>
          <w:kern w:val="2"/>
          <w:sz w:val="24"/>
          <w:szCs w:val="24"/>
        </w:rPr>
        <w:t xml:space="preserve"> projekta do kraja 2027.</w:t>
      </w:r>
      <w:r>
        <w:rPr>
          <w:rFonts w:eastAsia="Calibri"/>
          <w:kern w:val="2"/>
          <w:sz w:val="24"/>
          <w:szCs w:val="24"/>
        </w:rPr>
        <w:t xml:space="preserve"> godine.</w:t>
      </w:r>
    </w:p>
    <w:p w14:paraId="77C0DDB4" w14:textId="77777777" w:rsidR="00FB178A" w:rsidRDefault="00FB178A" w:rsidP="00FB178A">
      <w:pPr>
        <w:widowControl/>
        <w:autoSpaceDE/>
        <w:autoSpaceDN/>
        <w:spacing w:before="240" w:after="240" w:line="276" w:lineRule="auto"/>
        <w:ind w:firstLine="709"/>
        <w:jc w:val="both"/>
        <w:rPr>
          <w:rFonts w:eastAsia="Calibri"/>
          <w:b/>
          <w:bCs/>
          <w:kern w:val="2"/>
          <w:sz w:val="24"/>
          <w:szCs w:val="24"/>
        </w:rPr>
      </w:pPr>
      <w:r>
        <w:rPr>
          <w:rFonts w:eastAsia="Calibri"/>
          <w:b/>
          <w:bCs/>
          <w:kern w:val="2"/>
          <w:sz w:val="24"/>
          <w:szCs w:val="24"/>
        </w:rPr>
        <w:t>D</w:t>
      </w:r>
      <w:r w:rsidRPr="00145379">
        <w:rPr>
          <w:rFonts w:eastAsia="Calibri"/>
          <w:b/>
          <w:bCs/>
          <w:kern w:val="2"/>
          <w:sz w:val="24"/>
          <w:szCs w:val="24"/>
        </w:rPr>
        <w:t>ostojanstveno starenje</w:t>
      </w:r>
    </w:p>
    <w:p w14:paraId="3D064331" w14:textId="77777777" w:rsidR="00FB178A" w:rsidRDefault="00FB178A" w:rsidP="00FB178A">
      <w:pPr>
        <w:widowControl/>
        <w:autoSpaceDE/>
        <w:autoSpaceDN/>
        <w:spacing w:before="240" w:after="240" w:line="276" w:lineRule="auto"/>
        <w:ind w:firstLine="709"/>
        <w:jc w:val="both"/>
        <w:rPr>
          <w:rFonts w:eastAsia="Calibri"/>
          <w:kern w:val="2"/>
          <w:sz w:val="24"/>
          <w:szCs w:val="24"/>
        </w:rPr>
      </w:pPr>
      <w:r w:rsidRPr="0004221B">
        <w:rPr>
          <w:rFonts w:eastAsia="Calibri"/>
          <w:kern w:val="2"/>
          <w:sz w:val="24"/>
          <w:szCs w:val="24"/>
        </w:rPr>
        <w:t xml:space="preserve">Tijekom 2024. ostvaren je daljnji napredak u osiguravanju dostojanstvenog starenja kroz jačanje održivosti mirovinskog sustava i povećanje socijalne zaštite starijih osoba. Unatoč nepovoljnim demografskim kretanjima, odnos broja osiguranika i korisnika mirovina nastavio se poboljšavati te je na dan 31. prosinca 2024. iznosio 1,39:1 (1.708.872 osiguranika </w:t>
      </w:r>
      <w:r>
        <w:rPr>
          <w:rFonts w:eastAsia="Calibri"/>
          <w:kern w:val="2"/>
          <w:sz w:val="24"/>
          <w:szCs w:val="24"/>
        </w:rPr>
        <w:t>uz</w:t>
      </w:r>
      <w:r w:rsidRPr="0004221B">
        <w:rPr>
          <w:rFonts w:eastAsia="Calibri"/>
          <w:kern w:val="2"/>
          <w:sz w:val="24"/>
          <w:szCs w:val="24"/>
        </w:rPr>
        <w:t xml:space="preserve"> 1.227.302 korisnika mirovine), u odnosu na 1,35:1 u 2023., što potvrđuje širenje baze osiguranika i povećanje fiskalne održivosti sustava generacijske solidarnosti. Mirovine su u 2024. usklađene </w:t>
      </w:r>
      <w:r>
        <w:rPr>
          <w:rFonts w:eastAsia="Calibri"/>
          <w:kern w:val="2"/>
          <w:sz w:val="24"/>
          <w:szCs w:val="24"/>
        </w:rPr>
        <w:t xml:space="preserve">za </w:t>
      </w:r>
      <w:r w:rsidRPr="0004221B">
        <w:rPr>
          <w:rFonts w:eastAsia="Calibri"/>
          <w:kern w:val="2"/>
          <w:sz w:val="24"/>
          <w:szCs w:val="24"/>
        </w:rPr>
        <w:t xml:space="preserve">ukupno 11,89% (4,19% od 1. siječnja </w:t>
      </w:r>
      <w:r>
        <w:rPr>
          <w:rFonts w:eastAsia="Calibri"/>
          <w:kern w:val="2"/>
          <w:sz w:val="24"/>
          <w:szCs w:val="24"/>
        </w:rPr>
        <w:t>te</w:t>
      </w:r>
      <w:r w:rsidRPr="0004221B">
        <w:rPr>
          <w:rFonts w:eastAsia="Calibri"/>
          <w:kern w:val="2"/>
          <w:sz w:val="24"/>
          <w:szCs w:val="24"/>
        </w:rPr>
        <w:t xml:space="preserve"> 7,46% od 1. srpnja), pri čemu je prosječna sveukupna neto mirovina dosegla 624,23 eura, odnosno 45,9% prosječne neto plaće, a prosječna starosna mirovina određena na temelju 40 i više godina </w:t>
      </w:r>
      <w:r>
        <w:rPr>
          <w:rFonts w:eastAsia="Calibri"/>
          <w:kern w:val="2"/>
          <w:sz w:val="24"/>
          <w:szCs w:val="24"/>
        </w:rPr>
        <w:t xml:space="preserve">radnog </w:t>
      </w:r>
      <w:r w:rsidRPr="0004221B">
        <w:rPr>
          <w:rFonts w:eastAsia="Calibri"/>
          <w:kern w:val="2"/>
          <w:sz w:val="24"/>
          <w:szCs w:val="24"/>
        </w:rPr>
        <w:t>staža iznosila</w:t>
      </w:r>
      <w:r>
        <w:rPr>
          <w:rFonts w:eastAsia="Calibri"/>
          <w:kern w:val="2"/>
          <w:sz w:val="24"/>
          <w:szCs w:val="24"/>
        </w:rPr>
        <w:t xml:space="preserve"> je</w:t>
      </w:r>
      <w:r w:rsidRPr="0004221B">
        <w:rPr>
          <w:rFonts w:eastAsia="Calibri"/>
          <w:kern w:val="2"/>
          <w:sz w:val="24"/>
          <w:szCs w:val="24"/>
        </w:rPr>
        <w:t xml:space="preserve"> 915,62 eura ili 67,28% prosječne neto plaće, čime se dodatno nagrađuje dugotrajan radni staž. </w:t>
      </w:r>
      <w:r w:rsidRPr="001D0B7D">
        <w:rPr>
          <w:rFonts w:eastAsia="Calibri"/>
          <w:kern w:val="2"/>
          <w:sz w:val="24"/>
          <w:szCs w:val="24"/>
        </w:rPr>
        <w:t>Mogućnost istovremenog korištenja osobne mirovine i dijela obiteljske mirovine umrlog bračnog druga u prosincu 2024. iskoristilo je 110.791 korisnika, čime im je mirovinsko primanje u prosjeku povećano za 112,00 eura. Prosječna najniža mirovina, bez međunarodnih ugovora, u prosincu 2024. iznosila je 395,56 eura (13% više). Također, u prosincu 2024. bilo je zaposleno više od 32</w:t>
      </w:r>
      <w:r>
        <w:rPr>
          <w:rFonts w:eastAsia="Calibri"/>
          <w:kern w:val="2"/>
          <w:sz w:val="24"/>
          <w:szCs w:val="24"/>
        </w:rPr>
        <w:t>.000</w:t>
      </w:r>
      <w:r w:rsidRPr="001D0B7D">
        <w:rPr>
          <w:rFonts w:eastAsia="Calibri"/>
          <w:kern w:val="2"/>
          <w:sz w:val="24"/>
          <w:szCs w:val="24"/>
        </w:rPr>
        <w:t xml:space="preserve"> korisnika mirovine (18% više), što je rezultat proširenja kruga umirovljenika koji mogu raditi do polovice punog radnog vremena uz istovremeno korištenje cijele mirovine.</w:t>
      </w:r>
    </w:p>
    <w:p w14:paraId="344C91EF" w14:textId="77777777" w:rsidR="00FB178A" w:rsidRPr="0004221B" w:rsidRDefault="00FB178A" w:rsidP="00FB178A">
      <w:pPr>
        <w:widowControl/>
        <w:autoSpaceDE/>
        <w:autoSpaceDN/>
        <w:spacing w:before="240" w:after="240" w:line="276" w:lineRule="auto"/>
        <w:jc w:val="both"/>
        <w:rPr>
          <w:rFonts w:eastAsia="Calibri"/>
          <w:kern w:val="2"/>
          <w:sz w:val="24"/>
          <w:szCs w:val="24"/>
        </w:rPr>
      </w:pPr>
      <w:r w:rsidRPr="001D0B7D">
        <w:rPr>
          <w:rFonts w:eastAsia="Calibri"/>
          <w:kern w:val="2"/>
          <w:sz w:val="24"/>
          <w:szCs w:val="24"/>
        </w:rPr>
        <w:t xml:space="preserve">Kako bi se </w:t>
      </w:r>
      <w:r>
        <w:rPr>
          <w:rFonts w:eastAsia="Calibri"/>
          <w:kern w:val="2"/>
          <w:sz w:val="24"/>
          <w:szCs w:val="24"/>
        </w:rPr>
        <w:t xml:space="preserve">dodatno </w:t>
      </w:r>
      <w:r w:rsidRPr="001D0B7D">
        <w:rPr>
          <w:rFonts w:eastAsia="Calibri"/>
          <w:kern w:val="2"/>
          <w:sz w:val="24"/>
          <w:szCs w:val="24"/>
        </w:rPr>
        <w:t xml:space="preserve">podigla osnovna razina socijalne zaštite starijih sugrađana, od siječnja 2024. </w:t>
      </w:r>
      <w:r>
        <w:rPr>
          <w:rFonts w:eastAsia="Calibri"/>
          <w:kern w:val="2"/>
          <w:sz w:val="24"/>
          <w:szCs w:val="24"/>
        </w:rPr>
        <w:t xml:space="preserve">Zakonom o </w:t>
      </w:r>
      <w:r w:rsidRPr="001D0B7D">
        <w:rPr>
          <w:rFonts w:eastAsia="Calibri"/>
          <w:kern w:val="2"/>
          <w:sz w:val="24"/>
          <w:szCs w:val="24"/>
        </w:rPr>
        <w:t>izmjenama</w:t>
      </w:r>
      <w:r>
        <w:rPr>
          <w:rFonts w:eastAsia="Calibri"/>
          <w:kern w:val="2"/>
          <w:sz w:val="24"/>
          <w:szCs w:val="24"/>
        </w:rPr>
        <w:t xml:space="preserve"> i dopunama</w:t>
      </w:r>
      <w:r w:rsidRPr="001D0B7D">
        <w:rPr>
          <w:rFonts w:eastAsia="Calibri"/>
          <w:kern w:val="2"/>
          <w:sz w:val="24"/>
          <w:szCs w:val="24"/>
        </w:rPr>
        <w:t xml:space="preserve"> Zakona o nacionalnoj naknadi za starije osobe</w:t>
      </w:r>
      <w:r>
        <w:rPr>
          <w:rFonts w:eastAsia="Calibri"/>
          <w:kern w:val="2"/>
          <w:sz w:val="24"/>
          <w:szCs w:val="24"/>
        </w:rPr>
        <w:t xml:space="preserve"> („Narodne novine“, broj 156/23.)</w:t>
      </w:r>
      <w:r w:rsidRPr="001D0B7D">
        <w:rPr>
          <w:rFonts w:eastAsia="Calibri"/>
          <w:kern w:val="2"/>
          <w:sz w:val="24"/>
          <w:szCs w:val="24"/>
        </w:rPr>
        <w:t>, podignut je iznos nacionalne naknade sa 120,71 eura na 150,00 eura. Ublaženi su uvjeti za ostvarivanje prava na nacionalnu naknadu, povećan je cenzus za ostvarivanje prava i omogućena je isplata putem pošte. Time su stvoreni preduvjeti za povećanje obuhvata te je na isplati za prosinac 2024. bilo 17.849 korisnika nacionalne naknade, odnosno 145,25% više u odnosu na prosinac 2023. kada je bilo 7.278 korisnika. U cilju posebne zaštite umirovljenika te radi ublažavanja posljedica rasta troškova života, u 2024. osigurana je isplata tri jednokratna novčana primanja. U ožujku i rujnu 2024. isplatom jednokratnog novčanog primanja obuhvaćeno je oko 800.000 umirovljenika, dok je u prosincu 2024. osigurana isplata svim umirovljenicima i korisnicima nacionalne naknade za starije osobe.</w:t>
      </w:r>
      <w:r>
        <w:rPr>
          <w:rFonts w:eastAsia="Calibri"/>
          <w:kern w:val="2"/>
          <w:sz w:val="24"/>
          <w:szCs w:val="24"/>
        </w:rPr>
        <w:t xml:space="preserve"> </w:t>
      </w:r>
      <w:r w:rsidRPr="0004221B">
        <w:rPr>
          <w:rFonts w:eastAsia="Calibri"/>
          <w:kern w:val="2"/>
          <w:sz w:val="24"/>
          <w:szCs w:val="24"/>
        </w:rPr>
        <w:t>Navedeni</w:t>
      </w:r>
      <w:r>
        <w:rPr>
          <w:rFonts w:eastAsia="Calibri"/>
          <w:kern w:val="2"/>
          <w:sz w:val="24"/>
          <w:szCs w:val="24"/>
        </w:rPr>
        <w:t>m</w:t>
      </w:r>
      <w:r w:rsidRPr="0004221B">
        <w:rPr>
          <w:rFonts w:eastAsia="Calibri"/>
          <w:kern w:val="2"/>
          <w:sz w:val="24"/>
          <w:szCs w:val="24"/>
        </w:rPr>
        <w:t xml:space="preserve"> pozitivni</w:t>
      </w:r>
      <w:r>
        <w:rPr>
          <w:rFonts w:eastAsia="Calibri"/>
          <w:kern w:val="2"/>
          <w:sz w:val="24"/>
          <w:szCs w:val="24"/>
        </w:rPr>
        <w:t>m</w:t>
      </w:r>
      <w:r w:rsidRPr="0004221B">
        <w:rPr>
          <w:rFonts w:eastAsia="Calibri"/>
          <w:kern w:val="2"/>
          <w:sz w:val="24"/>
          <w:szCs w:val="24"/>
        </w:rPr>
        <w:t xml:space="preserve"> pomaci</w:t>
      </w:r>
      <w:r>
        <w:rPr>
          <w:rFonts w:eastAsia="Calibri"/>
          <w:kern w:val="2"/>
          <w:sz w:val="24"/>
          <w:szCs w:val="24"/>
        </w:rPr>
        <w:t>ma</w:t>
      </w:r>
      <w:r w:rsidRPr="0004221B">
        <w:rPr>
          <w:rFonts w:eastAsia="Calibri"/>
          <w:kern w:val="2"/>
          <w:sz w:val="24"/>
          <w:szCs w:val="24"/>
        </w:rPr>
        <w:t xml:space="preserve">, uključujući usklađivanje mirovina, ciljano povećanje najnižih </w:t>
      </w:r>
      <w:r>
        <w:rPr>
          <w:rFonts w:eastAsia="Calibri"/>
          <w:kern w:val="2"/>
          <w:sz w:val="24"/>
          <w:szCs w:val="24"/>
        </w:rPr>
        <w:t>mirovina</w:t>
      </w:r>
      <w:r w:rsidRPr="0004221B">
        <w:rPr>
          <w:rFonts w:eastAsia="Calibri"/>
          <w:kern w:val="2"/>
          <w:sz w:val="24"/>
          <w:szCs w:val="24"/>
        </w:rPr>
        <w:t xml:space="preserve"> te širenje obuhvata nacionalne naknade za starije osobe, doprinos</w:t>
      </w:r>
      <w:r>
        <w:rPr>
          <w:rFonts w:eastAsia="Calibri"/>
          <w:kern w:val="2"/>
          <w:sz w:val="24"/>
          <w:szCs w:val="24"/>
        </w:rPr>
        <w:t>i se</w:t>
      </w:r>
      <w:r w:rsidRPr="0004221B">
        <w:rPr>
          <w:rFonts w:eastAsia="Calibri"/>
          <w:kern w:val="2"/>
          <w:sz w:val="24"/>
          <w:szCs w:val="24"/>
        </w:rPr>
        <w:t xml:space="preserve"> smanjenju rizika od siromaštva u starijoj dobi i jačanju socijalne sigurnosti umirovljenika, ali istodobno upućuju na potrebu nastavka napora radi daljnjeg približavanja razin</w:t>
      </w:r>
      <w:r>
        <w:rPr>
          <w:rFonts w:eastAsia="Calibri"/>
          <w:kern w:val="2"/>
          <w:sz w:val="24"/>
          <w:szCs w:val="24"/>
        </w:rPr>
        <w:t>e</w:t>
      </w:r>
      <w:r w:rsidRPr="0004221B">
        <w:rPr>
          <w:rFonts w:eastAsia="Calibri"/>
          <w:kern w:val="2"/>
          <w:sz w:val="24"/>
          <w:szCs w:val="24"/>
        </w:rPr>
        <w:t xml:space="preserve"> primanja starijih osoba </w:t>
      </w:r>
      <w:r>
        <w:rPr>
          <w:rFonts w:eastAsia="Calibri"/>
          <w:kern w:val="2"/>
          <w:sz w:val="24"/>
          <w:szCs w:val="24"/>
        </w:rPr>
        <w:t>primanjima</w:t>
      </w:r>
      <w:r w:rsidRPr="0004221B">
        <w:rPr>
          <w:rFonts w:eastAsia="Calibri"/>
          <w:kern w:val="2"/>
          <w:sz w:val="24"/>
          <w:szCs w:val="24"/>
        </w:rPr>
        <w:t xml:space="preserve"> radno aktivnog stanovništva. </w:t>
      </w:r>
    </w:p>
    <w:p w14:paraId="78873D36" w14:textId="77777777" w:rsidR="00FB178A" w:rsidRDefault="00FB178A" w:rsidP="00FB178A">
      <w:pPr>
        <w:spacing w:line="276" w:lineRule="auto"/>
        <w:ind w:right="9"/>
        <w:jc w:val="both"/>
        <w:rPr>
          <w:rFonts w:eastAsia="Calibri"/>
          <w:kern w:val="2"/>
          <w:sz w:val="24"/>
          <w:szCs w:val="24"/>
        </w:rPr>
      </w:pPr>
      <w:r w:rsidRPr="00CB0923">
        <w:rPr>
          <w:rFonts w:eastAsia="Calibri"/>
          <w:kern w:val="2"/>
          <w:sz w:val="24"/>
          <w:szCs w:val="24"/>
        </w:rPr>
        <w:lastRenderedPageBreak/>
        <w:t xml:space="preserve">U okviru NPOO reformske mjere C4.2 „Unaprjeđenje mirovinskoga sustava kroz povećanje adekvatnosti mirovina“, u prosincu 2024. dovršena je i </w:t>
      </w:r>
      <w:r>
        <w:rPr>
          <w:rFonts w:eastAsia="Calibri"/>
          <w:kern w:val="2"/>
          <w:sz w:val="24"/>
          <w:szCs w:val="24"/>
        </w:rPr>
        <w:t xml:space="preserve">javno </w:t>
      </w:r>
      <w:r w:rsidRPr="00CB0923">
        <w:rPr>
          <w:rFonts w:eastAsia="Calibri"/>
          <w:kern w:val="2"/>
          <w:sz w:val="24"/>
          <w:szCs w:val="24"/>
        </w:rPr>
        <w:t xml:space="preserve">objavljena studija „Analiza i zaključci Radne skupine za analizu stanja mirovinskoga sustava“. </w:t>
      </w:r>
      <w:r>
        <w:rPr>
          <w:rFonts w:eastAsia="Calibri"/>
          <w:kern w:val="2"/>
          <w:sz w:val="24"/>
          <w:szCs w:val="24"/>
        </w:rPr>
        <w:t>Analiza</w:t>
      </w:r>
      <w:r w:rsidRPr="00CB0923">
        <w:rPr>
          <w:rFonts w:eastAsia="Calibri"/>
          <w:kern w:val="2"/>
          <w:sz w:val="24"/>
          <w:szCs w:val="24"/>
        </w:rPr>
        <w:t>, koj</w:t>
      </w:r>
      <w:r>
        <w:rPr>
          <w:rFonts w:eastAsia="Calibri"/>
          <w:kern w:val="2"/>
          <w:sz w:val="24"/>
          <w:szCs w:val="24"/>
        </w:rPr>
        <w:t>a</w:t>
      </w:r>
      <w:r w:rsidRPr="00CB0923">
        <w:rPr>
          <w:rFonts w:eastAsia="Calibri"/>
          <w:kern w:val="2"/>
          <w:sz w:val="24"/>
          <w:szCs w:val="24"/>
        </w:rPr>
        <w:t xml:space="preserve"> je rezultat dvogodišnjeg rada Radne skupine, daje cjelovit pregled stanja i predlaže smjernice za izmjene </w:t>
      </w:r>
      <w:r>
        <w:rPr>
          <w:rFonts w:eastAsia="Calibri"/>
          <w:kern w:val="2"/>
          <w:sz w:val="24"/>
          <w:szCs w:val="24"/>
        </w:rPr>
        <w:t xml:space="preserve">regulatornog okvira radi </w:t>
      </w:r>
      <w:r w:rsidRPr="00A86416">
        <w:rPr>
          <w:rFonts w:eastAsia="Calibri"/>
          <w:kern w:val="2"/>
          <w:sz w:val="24"/>
          <w:szCs w:val="24"/>
        </w:rPr>
        <w:t>prilagođavanj</w:t>
      </w:r>
      <w:r>
        <w:rPr>
          <w:rFonts w:eastAsia="Calibri"/>
          <w:kern w:val="2"/>
          <w:sz w:val="24"/>
          <w:szCs w:val="24"/>
        </w:rPr>
        <w:t>a</w:t>
      </w:r>
      <w:r w:rsidRPr="00A86416">
        <w:rPr>
          <w:rFonts w:eastAsia="Calibri"/>
          <w:kern w:val="2"/>
          <w:sz w:val="24"/>
          <w:szCs w:val="24"/>
        </w:rPr>
        <w:t xml:space="preserve"> demografskim i gospodarskim trendovima</w:t>
      </w:r>
      <w:r w:rsidRPr="00CB0923">
        <w:rPr>
          <w:rFonts w:eastAsia="Calibri"/>
          <w:kern w:val="2"/>
          <w:sz w:val="24"/>
          <w:szCs w:val="24"/>
        </w:rPr>
        <w:t xml:space="preserve">. Ključni nalazi upućuju na </w:t>
      </w:r>
      <w:r>
        <w:rPr>
          <w:rFonts w:eastAsia="Calibri"/>
          <w:kern w:val="2"/>
          <w:sz w:val="24"/>
          <w:szCs w:val="24"/>
        </w:rPr>
        <w:t xml:space="preserve">očekivani nastavak </w:t>
      </w:r>
      <w:r w:rsidRPr="00CB0923">
        <w:rPr>
          <w:rFonts w:eastAsia="Calibri"/>
          <w:kern w:val="2"/>
          <w:sz w:val="24"/>
          <w:szCs w:val="24"/>
        </w:rPr>
        <w:t>snažn</w:t>
      </w:r>
      <w:r>
        <w:rPr>
          <w:rFonts w:eastAsia="Calibri"/>
          <w:kern w:val="2"/>
          <w:sz w:val="24"/>
          <w:szCs w:val="24"/>
        </w:rPr>
        <w:t>ih</w:t>
      </w:r>
      <w:r w:rsidRPr="00CB0923">
        <w:rPr>
          <w:rFonts w:eastAsia="Calibri"/>
          <w:kern w:val="2"/>
          <w:sz w:val="24"/>
          <w:szCs w:val="24"/>
        </w:rPr>
        <w:t xml:space="preserve"> demografsk</w:t>
      </w:r>
      <w:r>
        <w:rPr>
          <w:rFonts w:eastAsia="Calibri"/>
          <w:kern w:val="2"/>
          <w:sz w:val="24"/>
          <w:szCs w:val="24"/>
        </w:rPr>
        <w:t>ih</w:t>
      </w:r>
      <w:r w:rsidRPr="00CB0923">
        <w:rPr>
          <w:rFonts w:eastAsia="Calibri"/>
          <w:kern w:val="2"/>
          <w:sz w:val="24"/>
          <w:szCs w:val="24"/>
        </w:rPr>
        <w:t xml:space="preserve"> pritis</w:t>
      </w:r>
      <w:r>
        <w:rPr>
          <w:rFonts w:eastAsia="Calibri"/>
          <w:kern w:val="2"/>
          <w:sz w:val="24"/>
          <w:szCs w:val="24"/>
        </w:rPr>
        <w:t>a</w:t>
      </w:r>
      <w:r w:rsidRPr="00CB0923">
        <w:rPr>
          <w:rFonts w:eastAsia="Calibri"/>
          <w:kern w:val="2"/>
          <w:sz w:val="24"/>
          <w:szCs w:val="24"/>
        </w:rPr>
        <w:t>k</w:t>
      </w:r>
      <w:r>
        <w:rPr>
          <w:rFonts w:eastAsia="Calibri"/>
          <w:kern w:val="2"/>
          <w:sz w:val="24"/>
          <w:szCs w:val="24"/>
        </w:rPr>
        <w:t xml:space="preserve">a, </w:t>
      </w:r>
      <w:r w:rsidRPr="00CB0923">
        <w:rPr>
          <w:rFonts w:eastAsia="Calibri"/>
          <w:kern w:val="2"/>
          <w:sz w:val="24"/>
          <w:szCs w:val="24"/>
        </w:rPr>
        <w:t xml:space="preserve">uz istodobno produljenje životnog vijeka te </w:t>
      </w:r>
      <w:r>
        <w:rPr>
          <w:rFonts w:eastAsia="Calibri"/>
          <w:kern w:val="2"/>
          <w:sz w:val="24"/>
          <w:szCs w:val="24"/>
        </w:rPr>
        <w:t xml:space="preserve">i dalje </w:t>
      </w:r>
      <w:r w:rsidRPr="00CB0923">
        <w:rPr>
          <w:rFonts w:eastAsia="Calibri"/>
          <w:kern w:val="2"/>
          <w:sz w:val="24"/>
          <w:szCs w:val="24"/>
        </w:rPr>
        <w:t xml:space="preserve">nepovoljan omjer osiguranika i umirovljenika. Prosječni mirovinski staž korisnika mirovina </w:t>
      </w:r>
      <w:r>
        <w:rPr>
          <w:rFonts w:eastAsia="Calibri"/>
          <w:kern w:val="2"/>
          <w:sz w:val="24"/>
          <w:szCs w:val="24"/>
        </w:rPr>
        <w:t xml:space="preserve">u Hrvatskoj </w:t>
      </w:r>
      <w:r w:rsidRPr="00CB0923">
        <w:rPr>
          <w:rFonts w:eastAsia="Calibri"/>
          <w:kern w:val="2"/>
          <w:sz w:val="24"/>
          <w:szCs w:val="24"/>
        </w:rPr>
        <w:t xml:space="preserve">u iznosi 31 godinu, u odnosu na prosjek EU-a od 36,9 godina, dok očekivani „zdravi“ životni vijek </w:t>
      </w:r>
      <w:r>
        <w:rPr>
          <w:rFonts w:eastAsia="Calibri"/>
          <w:kern w:val="2"/>
          <w:sz w:val="24"/>
          <w:szCs w:val="24"/>
        </w:rPr>
        <w:t xml:space="preserve">nakon odlaska u mirovinu </w:t>
      </w:r>
      <w:r w:rsidRPr="00CB0923">
        <w:rPr>
          <w:rFonts w:eastAsia="Calibri"/>
          <w:kern w:val="2"/>
          <w:sz w:val="24"/>
          <w:szCs w:val="24"/>
        </w:rPr>
        <w:t>iznosi 5,2 godine, znatno ispod prosjeka EU-a od 9,9 godina. Istodobno, stopa zaposlenosti osoba u dobi</w:t>
      </w:r>
      <w:r>
        <w:rPr>
          <w:rFonts w:eastAsia="Calibri"/>
          <w:kern w:val="2"/>
          <w:sz w:val="24"/>
          <w:szCs w:val="24"/>
        </w:rPr>
        <w:t xml:space="preserve"> od</w:t>
      </w:r>
      <w:r w:rsidRPr="00CB0923">
        <w:rPr>
          <w:rFonts w:eastAsia="Calibri"/>
          <w:kern w:val="2"/>
          <w:sz w:val="24"/>
          <w:szCs w:val="24"/>
        </w:rPr>
        <w:t xml:space="preserve"> 60</w:t>
      </w:r>
      <w:r>
        <w:rPr>
          <w:rFonts w:eastAsia="Calibri"/>
          <w:kern w:val="2"/>
          <w:sz w:val="24"/>
          <w:szCs w:val="24"/>
        </w:rPr>
        <w:t xml:space="preserve"> do </w:t>
      </w:r>
      <w:r w:rsidRPr="00CB0923">
        <w:rPr>
          <w:rFonts w:eastAsia="Calibri"/>
          <w:kern w:val="2"/>
          <w:sz w:val="24"/>
          <w:szCs w:val="24"/>
        </w:rPr>
        <w:t xml:space="preserve">64 godine </w:t>
      </w:r>
      <w:r>
        <w:rPr>
          <w:rFonts w:eastAsia="Calibri"/>
          <w:kern w:val="2"/>
          <w:sz w:val="24"/>
          <w:szCs w:val="24"/>
        </w:rPr>
        <w:t xml:space="preserve">u Hrvatskoj </w:t>
      </w:r>
      <w:r w:rsidRPr="00CB0923">
        <w:rPr>
          <w:rFonts w:eastAsia="Calibri"/>
          <w:kern w:val="2"/>
          <w:sz w:val="24"/>
          <w:szCs w:val="24"/>
        </w:rPr>
        <w:t xml:space="preserve">iznosi 42% u odnosu na prosjek EU-a od 55%, </w:t>
      </w:r>
      <w:r>
        <w:rPr>
          <w:rFonts w:eastAsia="Calibri"/>
          <w:kern w:val="2"/>
          <w:sz w:val="24"/>
          <w:szCs w:val="24"/>
        </w:rPr>
        <w:t>unatoč tome što više od</w:t>
      </w:r>
      <w:r w:rsidRPr="00CB0923">
        <w:rPr>
          <w:rFonts w:eastAsia="Calibri"/>
          <w:kern w:val="2"/>
          <w:sz w:val="24"/>
          <w:szCs w:val="24"/>
        </w:rPr>
        <w:t xml:space="preserve"> 3</w:t>
      </w:r>
      <w:r>
        <w:rPr>
          <w:rFonts w:eastAsia="Calibri"/>
          <w:kern w:val="2"/>
          <w:sz w:val="24"/>
          <w:szCs w:val="24"/>
        </w:rPr>
        <w:t>2 tisuće</w:t>
      </w:r>
      <w:r w:rsidRPr="00CB0923">
        <w:rPr>
          <w:rFonts w:eastAsia="Calibri"/>
          <w:kern w:val="2"/>
          <w:sz w:val="24"/>
          <w:szCs w:val="24"/>
        </w:rPr>
        <w:t xml:space="preserve"> umirovljenika već koristi mogućnost rada do polovice punog radnog vremena uz istodobnu isplatu mirovine. </w:t>
      </w:r>
      <w:r>
        <w:rPr>
          <w:rFonts w:eastAsia="Calibri"/>
          <w:kern w:val="2"/>
          <w:sz w:val="24"/>
          <w:szCs w:val="24"/>
        </w:rPr>
        <w:t xml:space="preserve">U skladu s Analizom </w:t>
      </w:r>
      <w:r w:rsidRPr="00CB0923">
        <w:rPr>
          <w:rFonts w:eastAsia="Calibri"/>
          <w:kern w:val="2"/>
          <w:sz w:val="24"/>
          <w:szCs w:val="24"/>
        </w:rPr>
        <w:t>predl</w:t>
      </w:r>
      <w:r>
        <w:rPr>
          <w:rFonts w:eastAsia="Calibri"/>
          <w:kern w:val="2"/>
          <w:sz w:val="24"/>
          <w:szCs w:val="24"/>
        </w:rPr>
        <w:t>ožen je</w:t>
      </w:r>
      <w:r w:rsidRPr="00CB0923">
        <w:rPr>
          <w:rFonts w:eastAsia="Calibri"/>
          <w:kern w:val="2"/>
          <w:sz w:val="24"/>
          <w:szCs w:val="24"/>
        </w:rPr>
        <w:t xml:space="preserve"> skup mjera usmjerenih na daljnje povećanje adekvatnosti i održivosti mirovina, uključujući jače poticanje duljeg ostanka u svijetu rada kroz prilagodbu modela bonifikacije, proširenje mogućnosti rada uz mirovinu (osobito za obrtnike i druge samostalne obveznike doprinosa), dodatno povećanje najnižih i obiteljskih mirovina, redefiniranje indeksa usklađivanja mirovina u korist većeg oslanjanja na rast plaća</w:t>
      </w:r>
      <w:r>
        <w:rPr>
          <w:rFonts w:eastAsia="Calibri"/>
          <w:kern w:val="2"/>
          <w:sz w:val="24"/>
          <w:szCs w:val="24"/>
        </w:rPr>
        <w:t xml:space="preserve"> </w:t>
      </w:r>
      <w:r w:rsidRPr="00CB0923">
        <w:rPr>
          <w:rFonts w:eastAsia="Calibri"/>
          <w:kern w:val="2"/>
          <w:sz w:val="24"/>
          <w:szCs w:val="24"/>
        </w:rPr>
        <w:t>te jačanje uloge kapitaliziranih stupova</w:t>
      </w:r>
      <w:r>
        <w:rPr>
          <w:rFonts w:eastAsia="Calibri"/>
          <w:kern w:val="2"/>
          <w:sz w:val="24"/>
          <w:szCs w:val="24"/>
        </w:rPr>
        <w:t xml:space="preserve"> mirovinske štednje</w:t>
      </w:r>
      <w:r w:rsidRPr="00CB0923">
        <w:rPr>
          <w:rFonts w:eastAsia="Calibri"/>
          <w:kern w:val="2"/>
          <w:sz w:val="24"/>
          <w:szCs w:val="24"/>
        </w:rPr>
        <w:t xml:space="preserve"> i </w:t>
      </w:r>
      <w:r>
        <w:rPr>
          <w:rFonts w:eastAsia="Calibri"/>
          <w:kern w:val="2"/>
          <w:sz w:val="24"/>
          <w:szCs w:val="24"/>
        </w:rPr>
        <w:t xml:space="preserve">jačanje </w:t>
      </w:r>
      <w:r w:rsidRPr="00CB0923">
        <w:rPr>
          <w:rFonts w:eastAsia="Calibri"/>
          <w:kern w:val="2"/>
          <w:sz w:val="24"/>
          <w:szCs w:val="24"/>
        </w:rPr>
        <w:t>financijske pismenosti građana kao preduvjeta za dugoročno primjerenije mirovine.</w:t>
      </w:r>
    </w:p>
    <w:p w14:paraId="77443414" w14:textId="77777777" w:rsidR="00FB178A" w:rsidRDefault="00FB178A" w:rsidP="00FB178A">
      <w:pPr>
        <w:spacing w:line="276" w:lineRule="auto"/>
        <w:ind w:right="9" w:firstLine="709"/>
        <w:jc w:val="both"/>
        <w:rPr>
          <w:rFonts w:eastAsia="Calibri"/>
          <w:kern w:val="2"/>
          <w:sz w:val="24"/>
          <w:szCs w:val="24"/>
        </w:rPr>
      </w:pPr>
    </w:p>
    <w:p w14:paraId="0E8EE006" w14:textId="77777777" w:rsidR="00FB178A" w:rsidRDefault="00FB178A" w:rsidP="00FB178A">
      <w:pPr>
        <w:spacing w:line="276" w:lineRule="auto"/>
        <w:ind w:right="9"/>
        <w:jc w:val="both"/>
        <w:rPr>
          <w:rFonts w:eastAsia="Calibri"/>
          <w:kern w:val="2"/>
          <w:sz w:val="24"/>
          <w:szCs w:val="24"/>
        </w:rPr>
      </w:pPr>
      <w:r w:rsidRPr="004841FE">
        <w:rPr>
          <w:rFonts w:eastAsia="Calibri"/>
          <w:kern w:val="2"/>
          <w:sz w:val="24"/>
          <w:szCs w:val="24"/>
        </w:rPr>
        <w:t>Nadalje, ukupna neto imovina obveznih mirovinskih fondova na dan 31. prosinca 2024. iznosila je 23,2 m</w:t>
      </w:r>
      <w:r>
        <w:rPr>
          <w:rFonts w:eastAsia="Calibri"/>
          <w:kern w:val="2"/>
          <w:sz w:val="24"/>
          <w:szCs w:val="24"/>
        </w:rPr>
        <w:t>ilijarde</w:t>
      </w:r>
      <w:r w:rsidRPr="004841FE">
        <w:rPr>
          <w:rFonts w:eastAsia="Calibri"/>
          <w:kern w:val="2"/>
          <w:sz w:val="24"/>
          <w:szCs w:val="24"/>
        </w:rPr>
        <w:t xml:space="preserve"> eura, što predstavlja porast od približno 3 m</w:t>
      </w:r>
      <w:r>
        <w:rPr>
          <w:rFonts w:eastAsia="Calibri"/>
          <w:kern w:val="2"/>
          <w:sz w:val="24"/>
          <w:szCs w:val="24"/>
        </w:rPr>
        <w:t>ilijarde</w:t>
      </w:r>
      <w:r w:rsidRPr="004841FE">
        <w:rPr>
          <w:rFonts w:eastAsia="Calibri"/>
          <w:kern w:val="2"/>
          <w:sz w:val="24"/>
          <w:szCs w:val="24"/>
        </w:rPr>
        <w:t xml:space="preserve"> eura </w:t>
      </w:r>
      <w:r>
        <w:rPr>
          <w:rFonts w:eastAsia="Calibri"/>
          <w:kern w:val="2"/>
          <w:sz w:val="24"/>
          <w:szCs w:val="24"/>
        </w:rPr>
        <w:t>(</w:t>
      </w:r>
      <w:r w:rsidRPr="004841FE">
        <w:rPr>
          <w:rFonts w:eastAsia="Calibri"/>
          <w:kern w:val="2"/>
          <w:sz w:val="24"/>
          <w:szCs w:val="24"/>
        </w:rPr>
        <w:t>14,8%</w:t>
      </w:r>
      <w:r>
        <w:rPr>
          <w:rFonts w:eastAsia="Calibri"/>
          <w:kern w:val="2"/>
          <w:sz w:val="24"/>
          <w:szCs w:val="24"/>
        </w:rPr>
        <w:t>)</w:t>
      </w:r>
      <w:r w:rsidRPr="004841FE">
        <w:rPr>
          <w:rFonts w:eastAsia="Calibri"/>
          <w:kern w:val="2"/>
          <w:sz w:val="24"/>
          <w:szCs w:val="24"/>
        </w:rPr>
        <w:t xml:space="preserve"> u odnosu na kraj 2023., uz 2.248.825 evidentiranih osiguranika. Sustav dobrovoljne mirovinske štednje također bilježi rast, pri čemu je u dobrovoljnim mirovinskim fondovima krajem 2024. </w:t>
      </w:r>
      <w:r>
        <w:rPr>
          <w:rFonts w:eastAsia="Calibri"/>
          <w:kern w:val="2"/>
          <w:sz w:val="24"/>
          <w:szCs w:val="24"/>
        </w:rPr>
        <w:t>evidentirano</w:t>
      </w:r>
      <w:r w:rsidRPr="004841FE">
        <w:rPr>
          <w:rFonts w:eastAsia="Calibri"/>
          <w:kern w:val="2"/>
          <w:sz w:val="24"/>
          <w:szCs w:val="24"/>
        </w:rPr>
        <w:t xml:space="preserve"> 466</w:t>
      </w:r>
      <w:r>
        <w:rPr>
          <w:rFonts w:eastAsia="Calibri"/>
          <w:kern w:val="2"/>
          <w:sz w:val="24"/>
          <w:szCs w:val="24"/>
        </w:rPr>
        <w:t>.000</w:t>
      </w:r>
      <w:r w:rsidRPr="004841FE">
        <w:rPr>
          <w:rFonts w:eastAsia="Calibri"/>
          <w:kern w:val="2"/>
          <w:sz w:val="24"/>
          <w:szCs w:val="24"/>
        </w:rPr>
        <w:t xml:space="preserve"> članova, a </w:t>
      </w:r>
      <w:r>
        <w:rPr>
          <w:rFonts w:eastAsia="Calibri"/>
          <w:kern w:val="2"/>
          <w:sz w:val="24"/>
          <w:szCs w:val="24"/>
        </w:rPr>
        <w:t xml:space="preserve">njihova </w:t>
      </w:r>
      <w:r w:rsidRPr="004841FE">
        <w:rPr>
          <w:rFonts w:eastAsia="Calibri"/>
          <w:kern w:val="2"/>
          <w:sz w:val="24"/>
          <w:szCs w:val="24"/>
        </w:rPr>
        <w:t>ukupna neto imovina dosegla je 1,45 m</w:t>
      </w:r>
      <w:r>
        <w:rPr>
          <w:rFonts w:eastAsia="Calibri"/>
          <w:kern w:val="2"/>
          <w:sz w:val="24"/>
          <w:szCs w:val="24"/>
        </w:rPr>
        <w:t>ilijardi</w:t>
      </w:r>
      <w:r w:rsidRPr="004841FE">
        <w:rPr>
          <w:rFonts w:eastAsia="Calibri"/>
          <w:kern w:val="2"/>
          <w:sz w:val="24"/>
          <w:szCs w:val="24"/>
        </w:rPr>
        <w:t xml:space="preserve"> eura, </w:t>
      </w:r>
      <w:r>
        <w:rPr>
          <w:rFonts w:eastAsia="Calibri"/>
          <w:kern w:val="2"/>
          <w:sz w:val="24"/>
          <w:szCs w:val="24"/>
        </w:rPr>
        <w:t>uz porast od</w:t>
      </w:r>
      <w:r w:rsidRPr="004841FE">
        <w:rPr>
          <w:rFonts w:eastAsia="Calibri"/>
          <w:kern w:val="2"/>
          <w:sz w:val="24"/>
          <w:szCs w:val="24"/>
        </w:rPr>
        <w:t xml:space="preserve"> 14,8%</w:t>
      </w:r>
      <w:r>
        <w:rPr>
          <w:rFonts w:eastAsia="Calibri"/>
          <w:kern w:val="2"/>
          <w:sz w:val="24"/>
          <w:szCs w:val="24"/>
        </w:rPr>
        <w:t xml:space="preserve"> u odnosu na prethodnu godinu</w:t>
      </w:r>
      <w:r w:rsidRPr="004841FE">
        <w:rPr>
          <w:rFonts w:eastAsia="Calibri"/>
          <w:kern w:val="2"/>
          <w:sz w:val="24"/>
          <w:szCs w:val="24"/>
        </w:rPr>
        <w:t xml:space="preserve">. </w:t>
      </w:r>
      <w:r>
        <w:rPr>
          <w:rFonts w:eastAsia="Calibri"/>
          <w:kern w:val="2"/>
          <w:sz w:val="24"/>
          <w:szCs w:val="24"/>
        </w:rPr>
        <w:t xml:space="preserve">Na dan </w:t>
      </w:r>
      <w:r w:rsidRPr="008D5C93">
        <w:rPr>
          <w:rFonts w:eastAsia="Calibri"/>
          <w:kern w:val="2"/>
          <w:sz w:val="24"/>
          <w:szCs w:val="24"/>
        </w:rPr>
        <w:t>1. siječnja 2024</w:t>
      </w:r>
      <w:r>
        <w:rPr>
          <w:rFonts w:eastAsia="Calibri"/>
          <w:kern w:val="2"/>
          <w:sz w:val="24"/>
          <w:szCs w:val="24"/>
        </w:rPr>
        <w:t>.</w:t>
      </w:r>
      <w:r w:rsidRPr="008D5C93">
        <w:rPr>
          <w:rFonts w:eastAsia="Calibri"/>
          <w:kern w:val="2"/>
          <w:sz w:val="24"/>
          <w:szCs w:val="24"/>
        </w:rPr>
        <w:t xml:space="preserve"> stupil</w:t>
      </w:r>
      <w:r>
        <w:rPr>
          <w:rFonts w:eastAsia="Calibri"/>
          <w:kern w:val="2"/>
          <w:sz w:val="24"/>
          <w:szCs w:val="24"/>
        </w:rPr>
        <w:t>i su</w:t>
      </w:r>
      <w:r w:rsidRPr="008D5C93">
        <w:rPr>
          <w:rFonts w:eastAsia="Calibri"/>
          <w:kern w:val="2"/>
          <w:sz w:val="24"/>
          <w:szCs w:val="24"/>
        </w:rPr>
        <w:t xml:space="preserve"> na snagu</w:t>
      </w:r>
      <w:r>
        <w:rPr>
          <w:rFonts w:eastAsia="Calibri"/>
          <w:kern w:val="2"/>
          <w:sz w:val="24"/>
          <w:szCs w:val="24"/>
        </w:rPr>
        <w:t xml:space="preserve"> Zakon o  i</w:t>
      </w:r>
      <w:r w:rsidRPr="004841FE">
        <w:rPr>
          <w:rFonts w:eastAsia="Calibri"/>
          <w:kern w:val="2"/>
          <w:sz w:val="24"/>
          <w:szCs w:val="24"/>
        </w:rPr>
        <w:t>zmjen</w:t>
      </w:r>
      <w:r>
        <w:rPr>
          <w:rFonts w:eastAsia="Calibri"/>
          <w:kern w:val="2"/>
          <w:sz w:val="24"/>
          <w:szCs w:val="24"/>
        </w:rPr>
        <w:t>ama</w:t>
      </w:r>
      <w:r w:rsidRPr="004841FE">
        <w:rPr>
          <w:rFonts w:eastAsia="Calibri"/>
          <w:kern w:val="2"/>
          <w:sz w:val="24"/>
          <w:szCs w:val="24"/>
        </w:rPr>
        <w:t xml:space="preserve"> i dopun</w:t>
      </w:r>
      <w:r>
        <w:rPr>
          <w:rFonts w:eastAsia="Calibri"/>
          <w:kern w:val="2"/>
          <w:sz w:val="24"/>
          <w:szCs w:val="24"/>
        </w:rPr>
        <w:t>ama</w:t>
      </w:r>
      <w:r w:rsidRPr="004841FE">
        <w:rPr>
          <w:rFonts w:eastAsia="Calibri"/>
          <w:kern w:val="2"/>
          <w:sz w:val="24"/>
          <w:szCs w:val="24"/>
        </w:rPr>
        <w:t xml:space="preserve"> Zakona o obveznim mirovinskim fondovima</w:t>
      </w:r>
      <w:r>
        <w:rPr>
          <w:rFonts w:eastAsia="Calibri"/>
          <w:kern w:val="2"/>
          <w:sz w:val="24"/>
          <w:szCs w:val="24"/>
        </w:rPr>
        <w:t xml:space="preserve"> („Narodne novine“, broj 156/23.)</w:t>
      </w:r>
      <w:r w:rsidRPr="004841FE">
        <w:rPr>
          <w:rFonts w:eastAsia="Calibri"/>
          <w:kern w:val="2"/>
          <w:sz w:val="24"/>
          <w:szCs w:val="24"/>
        </w:rPr>
        <w:t xml:space="preserve">, </w:t>
      </w:r>
      <w:r>
        <w:rPr>
          <w:rFonts w:eastAsia="Calibri"/>
          <w:kern w:val="2"/>
          <w:sz w:val="24"/>
          <w:szCs w:val="24"/>
        </w:rPr>
        <w:t>Zakon o izmjenama i dopunama</w:t>
      </w:r>
      <w:r w:rsidRPr="004841FE">
        <w:rPr>
          <w:rFonts w:eastAsia="Calibri"/>
          <w:kern w:val="2"/>
          <w:sz w:val="24"/>
          <w:szCs w:val="24"/>
        </w:rPr>
        <w:t xml:space="preserve"> Zakona o dobrovoljnim mirovinskim fondovima i </w:t>
      </w:r>
      <w:r>
        <w:rPr>
          <w:rFonts w:eastAsia="Calibri"/>
          <w:kern w:val="2"/>
          <w:sz w:val="24"/>
          <w:szCs w:val="24"/>
        </w:rPr>
        <w:t xml:space="preserve">Zakon o izmjenama i dopunama </w:t>
      </w:r>
      <w:r w:rsidRPr="004841FE">
        <w:rPr>
          <w:rFonts w:eastAsia="Calibri"/>
          <w:kern w:val="2"/>
          <w:sz w:val="24"/>
          <w:szCs w:val="24"/>
        </w:rPr>
        <w:t>Zakona</w:t>
      </w:r>
      <w:r>
        <w:rPr>
          <w:rFonts w:eastAsia="Calibri"/>
          <w:kern w:val="2"/>
          <w:sz w:val="24"/>
          <w:szCs w:val="24"/>
        </w:rPr>
        <w:t xml:space="preserve"> </w:t>
      </w:r>
      <w:r w:rsidRPr="004841FE">
        <w:rPr>
          <w:rFonts w:eastAsia="Calibri"/>
          <w:kern w:val="2"/>
          <w:sz w:val="24"/>
          <w:szCs w:val="24"/>
        </w:rPr>
        <w:t>o mirovinskim osiguravajućim društvima (</w:t>
      </w:r>
      <w:r>
        <w:rPr>
          <w:rFonts w:eastAsia="Calibri"/>
          <w:kern w:val="2"/>
          <w:sz w:val="24"/>
          <w:szCs w:val="24"/>
        </w:rPr>
        <w:t>„Narodne novine“, broj</w:t>
      </w:r>
      <w:r w:rsidRPr="004841FE">
        <w:rPr>
          <w:rFonts w:eastAsia="Calibri"/>
          <w:kern w:val="2"/>
          <w:sz w:val="24"/>
          <w:szCs w:val="24"/>
        </w:rPr>
        <w:t xml:space="preserve"> 156/23</w:t>
      </w:r>
      <w:r>
        <w:rPr>
          <w:rFonts w:eastAsia="Calibri"/>
          <w:kern w:val="2"/>
          <w:sz w:val="24"/>
          <w:szCs w:val="24"/>
        </w:rPr>
        <w:t>.</w:t>
      </w:r>
      <w:r w:rsidRPr="004841FE">
        <w:rPr>
          <w:rFonts w:eastAsia="Calibri"/>
          <w:kern w:val="2"/>
          <w:sz w:val="24"/>
          <w:szCs w:val="24"/>
        </w:rPr>
        <w:t>)</w:t>
      </w:r>
      <w:r>
        <w:rPr>
          <w:rFonts w:eastAsia="Calibri"/>
          <w:kern w:val="2"/>
          <w:sz w:val="24"/>
          <w:szCs w:val="24"/>
        </w:rPr>
        <w:t xml:space="preserve"> kojima su </w:t>
      </w:r>
      <w:r w:rsidRPr="004841FE">
        <w:rPr>
          <w:rFonts w:eastAsia="Calibri"/>
          <w:kern w:val="2"/>
          <w:sz w:val="24"/>
          <w:szCs w:val="24"/>
        </w:rPr>
        <w:t>zajedno s</w:t>
      </w:r>
      <w:r>
        <w:rPr>
          <w:rFonts w:eastAsia="Calibri"/>
          <w:kern w:val="2"/>
          <w:sz w:val="24"/>
          <w:szCs w:val="24"/>
        </w:rPr>
        <w:t>a Zakonom o</w:t>
      </w:r>
      <w:r w:rsidRPr="004841FE">
        <w:rPr>
          <w:rFonts w:eastAsia="Calibri"/>
          <w:kern w:val="2"/>
          <w:sz w:val="24"/>
          <w:szCs w:val="24"/>
        </w:rPr>
        <w:t xml:space="preserve"> izmjen</w:t>
      </w:r>
      <w:r>
        <w:rPr>
          <w:rFonts w:eastAsia="Calibri"/>
          <w:kern w:val="2"/>
          <w:sz w:val="24"/>
          <w:szCs w:val="24"/>
        </w:rPr>
        <w:t>i</w:t>
      </w:r>
      <w:r w:rsidRPr="004841FE">
        <w:rPr>
          <w:rFonts w:eastAsia="Calibri"/>
          <w:kern w:val="2"/>
          <w:sz w:val="24"/>
          <w:szCs w:val="24"/>
        </w:rPr>
        <w:t xml:space="preserve"> Zakona o dodatku na mirovine ostvarene prema Zakonu o mirovinskom osiguranju</w:t>
      </w:r>
      <w:r>
        <w:rPr>
          <w:rFonts w:eastAsia="Calibri"/>
          <w:kern w:val="2"/>
          <w:sz w:val="24"/>
          <w:szCs w:val="24"/>
        </w:rPr>
        <w:t xml:space="preserve"> </w:t>
      </w:r>
      <w:r w:rsidRPr="00D03BD9">
        <w:rPr>
          <w:rFonts w:eastAsia="Calibri"/>
          <w:kern w:val="2"/>
          <w:sz w:val="24"/>
          <w:szCs w:val="24"/>
        </w:rPr>
        <w:t>(</w:t>
      </w:r>
      <w:r>
        <w:rPr>
          <w:rFonts w:eastAsia="Calibri"/>
          <w:kern w:val="2"/>
          <w:sz w:val="24"/>
          <w:szCs w:val="24"/>
        </w:rPr>
        <w:t>„Narodne novine“, broj</w:t>
      </w:r>
      <w:r w:rsidRPr="00D03BD9">
        <w:rPr>
          <w:rFonts w:eastAsia="Calibri"/>
          <w:kern w:val="2"/>
          <w:sz w:val="24"/>
          <w:szCs w:val="24"/>
        </w:rPr>
        <w:t xml:space="preserve"> 156/23</w:t>
      </w:r>
      <w:r>
        <w:rPr>
          <w:rFonts w:eastAsia="Calibri"/>
          <w:kern w:val="2"/>
          <w:sz w:val="24"/>
          <w:szCs w:val="24"/>
        </w:rPr>
        <w:t>.</w:t>
      </w:r>
      <w:r w:rsidRPr="00D03BD9">
        <w:rPr>
          <w:rFonts w:eastAsia="Calibri"/>
          <w:kern w:val="2"/>
          <w:sz w:val="24"/>
          <w:szCs w:val="24"/>
        </w:rPr>
        <w:t>)</w:t>
      </w:r>
      <w:r>
        <w:rPr>
          <w:rFonts w:eastAsia="Calibri"/>
          <w:kern w:val="2"/>
          <w:sz w:val="24"/>
          <w:szCs w:val="24"/>
        </w:rPr>
        <w:t xml:space="preserve">, </w:t>
      </w:r>
      <w:r w:rsidRPr="004841FE">
        <w:rPr>
          <w:rFonts w:eastAsia="Calibri"/>
          <w:kern w:val="2"/>
          <w:sz w:val="24"/>
          <w:szCs w:val="24"/>
        </w:rPr>
        <w:t>stvor</w:t>
      </w:r>
      <w:r>
        <w:rPr>
          <w:rFonts w:eastAsia="Calibri"/>
          <w:kern w:val="2"/>
          <w:sz w:val="24"/>
          <w:szCs w:val="24"/>
        </w:rPr>
        <w:t>eni</w:t>
      </w:r>
      <w:r w:rsidRPr="004841FE">
        <w:rPr>
          <w:rFonts w:eastAsia="Calibri"/>
          <w:kern w:val="2"/>
          <w:sz w:val="24"/>
          <w:szCs w:val="24"/>
        </w:rPr>
        <w:t xml:space="preserve"> povoljnij</w:t>
      </w:r>
      <w:r>
        <w:rPr>
          <w:rFonts w:eastAsia="Calibri"/>
          <w:kern w:val="2"/>
          <w:sz w:val="24"/>
          <w:szCs w:val="24"/>
        </w:rPr>
        <w:t>i</w:t>
      </w:r>
      <w:r w:rsidRPr="004841FE">
        <w:rPr>
          <w:rFonts w:eastAsia="Calibri"/>
          <w:kern w:val="2"/>
          <w:sz w:val="24"/>
          <w:szCs w:val="24"/>
        </w:rPr>
        <w:t xml:space="preserve"> uvjet</w:t>
      </w:r>
      <w:r>
        <w:rPr>
          <w:rFonts w:eastAsia="Calibri"/>
          <w:kern w:val="2"/>
          <w:sz w:val="24"/>
          <w:szCs w:val="24"/>
        </w:rPr>
        <w:t>i</w:t>
      </w:r>
      <w:r w:rsidRPr="004841FE">
        <w:rPr>
          <w:rFonts w:eastAsia="Calibri"/>
          <w:kern w:val="2"/>
          <w:sz w:val="24"/>
          <w:szCs w:val="24"/>
        </w:rPr>
        <w:t xml:space="preserve"> za kapitaliziranu mirovinsku štednju</w:t>
      </w:r>
      <w:r>
        <w:rPr>
          <w:rFonts w:eastAsia="Calibri"/>
          <w:kern w:val="2"/>
          <w:sz w:val="24"/>
          <w:szCs w:val="24"/>
        </w:rPr>
        <w:t>, čime je</w:t>
      </w:r>
      <w:r w:rsidRPr="004841FE">
        <w:rPr>
          <w:rFonts w:eastAsia="Calibri"/>
          <w:kern w:val="2"/>
          <w:sz w:val="24"/>
          <w:szCs w:val="24"/>
        </w:rPr>
        <w:t xml:space="preserve"> uklon</w:t>
      </w:r>
      <w:r>
        <w:rPr>
          <w:rFonts w:eastAsia="Calibri"/>
          <w:kern w:val="2"/>
          <w:sz w:val="24"/>
          <w:szCs w:val="24"/>
        </w:rPr>
        <w:t>jena</w:t>
      </w:r>
      <w:r w:rsidRPr="004841FE">
        <w:rPr>
          <w:rFonts w:eastAsia="Calibri"/>
          <w:kern w:val="2"/>
          <w:sz w:val="24"/>
          <w:szCs w:val="24"/>
        </w:rPr>
        <w:t xml:space="preserve"> dosadašnj</w:t>
      </w:r>
      <w:r>
        <w:rPr>
          <w:rFonts w:eastAsia="Calibri"/>
          <w:kern w:val="2"/>
          <w:sz w:val="24"/>
          <w:szCs w:val="24"/>
        </w:rPr>
        <w:t>a</w:t>
      </w:r>
      <w:r w:rsidRPr="004841FE">
        <w:rPr>
          <w:rFonts w:eastAsia="Calibri"/>
          <w:kern w:val="2"/>
          <w:sz w:val="24"/>
          <w:szCs w:val="24"/>
        </w:rPr>
        <w:t xml:space="preserve"> nepovoljnij</w:t>
      </w:r>
      <w:r>
        <w:rPr>
          <w:rFonts w:eastAsia="Calibri"/>
          <w:kern w:val="2"/>
          <w:sz w:val="24"/>
          <w:szCs w:val="24"/>
        </w:rPr>
        <w:t>a</w:t>
      </w:r>
      <w:r w:rsidRPr="004841FE">
        <w:rPr>
          <w:rFonts w:eastAsia="Calibri"/>
          <w:kern w:val="2"/>
          <w:sz w:val="24"/>
          <w:szCs w:val="24"/>
        </w:rPr>
        <w:t xml:space="preserve"> pozicij</w:t>
      </w:r>
      <w:r>
        <w:rPr>
          <w:rFonts w:eastAsia="Calibri"/>
          <w:kern w:val="2"/>
          <w:sz w:val="24"/>
          <w:szCs w:val="24"/>
        </w:rPr>
        <w:t>a</w:t>
      </w:r>
      <w:r w:rsidRPr="004841FE">
        <w:rPr>
          <w:rFonts w:eastAsia="Calibri"/>
          <w:kern w:val="2"/>
          <w:sz w:val="24"/>
          <w:szCs w:val="24"/>
        </w:rPr>
        <w:t xml:space="preserve"> korisnika </w:t>
      </w:r>
      <w:r w:rsidRPr="00486861">
        <w:rPr>
          <w:rFonts w:eastAsia="Calibri"/>
          <w:kern w:val="2"/>
          <w:sz w:val="24"/>
          <w:szCs w:val="24"/>
        </w:rPr>
        <w:t>koji biraju mirovinu iz oba mirovinska stupa</w:t>
      </w:r>
      <w:r w:rsidRPr="004841FE">
        <w:rPr>
          <w:rFonts w:eastAsia="Calibri"/>
          <w:kern w:val="2"/>
          <w:sz w:val="24"/>
          <w:szCs w:val="24"/>
        </w:rPr>
        <w:t xml:space="preserve">. </w:t>
      </w:r>
      <w:r>
        <w:rPr>
          <w:rFonts w:eastAsia="Calibri"/>
          <w:kern w:val="2"/>
          <w:sz w:val="24"/>
          <w:szCs w:val="24"/>
        </w:rPr>
        <w:t>U skladu s time,</w:t>
      </w:r>
      <w:r w:rsidRPr="004841FE">
        <w:rPr>
          <w:rFonts w:eastAsia="Calibri"/>
          <w:kern w:val="2"/>
          <w:sz w:val="24"/>
          <w:szCs w:val="24"/>
        </w:rPr>
        <w:t xml:space="preserve"> udio novih umirovljenika koji su u 2024. odabrali kombiniranu mirovinu iz I. i II. stupa porastao je na oko 35%, u odnosu na 21% </w:t>
      </w:r>
      <w:r>
        <w:rPr>
          <w:rFonts w:eastAsia="Calibri"/>
          <w:kern w:val="2"/>
          <w:sz w:val="24"/>
          <w:szCs w:val="24"/>
        </w:rPr>
        <w:t xml:space="preserve">koliko je iznosio </w:t>
      </w:r>
      <w:r w:rsidRPr="004841FE">
        <w:rPr>
          <w:rFonts w:eastAsia="Calibri"/>
          <w:kern w:val="2"/>
          <w:sz w:val="24"/>
          <w:szCs w:val="24"/>
        </w:rPr>
        <w:t xml:space="preserve">u 2023., što potvrđuje jačanje povjerenja </w:t>
      </w:r>
      <w:r>
        <w:rPr>
          <w:rFonts w:eastAsia="Calibri"/>
          <w:kern w:val="2"/>
          <w:sz w:val="24"/>
          <w:szCs w:val="24"/>
        </w:rPr>
        <w:t xml:space="preserve">korisnika </w:t>
      </w:r>
      <w:r w:rsidRPr="004841FE">
        <w:rPr>
          <w:rFonts w:eastAsia="Calibri"/>
          <w:kern w:val="2"/>
          <w:sz w:val="24"/>
          <w:szCs w:val="24"/>
        </w:rPr>
        <w:t>u kapitalizirani dio mirovinskog sustava i doprinos</w:t>
      </w:r>
      <w:r>
        <w:rPr>
          <w:rFonts w:eastAsia="Calibri"/>
          <w:kern w:val="2"/>
          <w:sz w:val="24"/>
          <w:szCs w:val="24"/>
        </w:rPr>
        <w:t>i</w:t>
      </w:r>
      <w:r w:rsidRPr="004841FE">
        <w:rPr>
          <w:rFonts w:eastAsia="Calibri"/>
          <w:kern w:val="2"/>
          <w:sz w:val="24"/>
          <w:szCs w:val="24"/>
        </w:rPr>
        <w:t xml:space="preserve"> cilju povećanja adekvatnosti mirovina.</w:t>
      </w:r>
    </w:p>
    <w:p w14:paraId="1A350A4B" w14:textId="77777777" w:rsidR="00FB178A" w:rsidRPr="0004221B" w:rsidRDefault="00FB178A" w:rsidP="00FB178A">
      <w:pPr>
        <w:spacing w:line="276" w:lineRule="auto"/>
        <w:ind w:right="9" w:firstLine="709"/>
        <w:jc w:val="both"/>
        <w:rPr>
          <w:rFonts w:eastAsia="Calibri"/>
          <w:kern w:val="2"/>
          <w:sz w:val="24"/>
          <w:szCs w:val="24"/>
        </w:rPr>
      </w:pPr>
    </w:p>
    <w:p w14:paraId="7FD896FD" w14:textId="77777777" w:rsidR="00FB178A" w:rsidRDefault="00FB178A" w:rsidP="00FB178A">
      <w:pPr>
        <w:spacing w:after="240" w:line="276" w:lineRule="auto"/>
        <w:ind w:firstLine="709"/>
        <w:jc w:val="both"/>
        <w:rPr>
          <w:rFonts w:eastAsia="Calibri"/>
          <w:b/>
          <w:bCs/>
          <w:kern w:val="2"/>
          <w:sz w:val="24"/>
          <w:szCs w:val="24"/>
        </w:rPr>
      </w:pPr>
      <w:r w:rsidRPr="00145379">
        <w:rPr>
          <w:rFonts w:eastAsia="Calibri"/>
          <w:b/>
          <w:bCs/>
          <w:kern w:val="2"/>
          <w:sz w:val="24"/>
          <w:szCs w:val="24"/>
        </w:rPr>
        <w:t>Socijalna solidarnost i odgovornost</w:t>
      </w:r>
    </w:p>
    <w:p w14:paraId="33256D82" w14:textId="77777777" w:rsidR="00FB178A" w:rsidRDefault="00FB178A" w:rsidP="00FB178A">
      <w:pPr>
        <w:spacing w:after="240" w:line="276" w:lineRule="auto"/>
        <w:ind w:firstLine="709"/>
        <w:jc w:val="both"/>
        <w:rPr>
          <w:rFonts w:eastAsia="Calibri"/>
          <w:kern w:val="2"/>
          <w:sz w:val="24"/>
          <w:szCs w:val="24"/>
        </w:rPr>
      </w:pPr>
      <w:r w:rsidRPr="0004221B">
        <w:rPr>
          <w:rFonts w:eastAsia="Calibri"/>
          <w:kern w:val="2"/>
          <w:sz w:val="24"/>
          <w:szCs w:val="24"/>
        </w:rPr>
        <w:t xml:space="preserve">U okviru provedbe politike socijalne solidarnosti i odgovornosti </w:t>
      </w:r>
      <w:r>
        <w:rPr>
          <w:rFonts w:eastAsia="Calibri"/>
          <w:kern w:val="2"/>
          <w:sz w:val="24"/>
          <w:szCs w:val="24"/>
        </w:rPr>
        <w:t>tijekom</w:t>
      </w:r>
      <w:r w:rsidRPr="0004221B">
        <w:rPr>
          <w:rFonts w:eastAsia="Calibri"/>
          <w:kern w:val="2"/>
          <w:sz w:val="24"/>
          <w:szCs w:val="24"/>
        </w:rPr>
        <w:t xml:space="preserve"> 2024. posebna je pozornost bila usmjerena na osobe koje nisu u mogućnosti samostalno zadovoljiti osnovne životne </w:t>
      </w:r>
      <w:r w:rsidRPr="0004221B">
        <w:rPr>
          <w:rFonts w:eastAsia="Calibri"/>
          <w:kern w:val="2"/>
          <w:sz w:val="24"/>
          <w:szCs w:val="24"/>
        </w:rPr>
        <w:lastRenderedPageBreak/>
        <w:t xml:space="preserve">potrebe </w:t>
      </w:r>
      <w:r>
        <w:rPr>
          <w:rFonts w:eastAsia="Calibri"/>
          <w:kern w:val="2"/>
          <w:sz w:val="24"/>
          <w:szCs w:val="24"/>
        </w:rPr>
        <w:t>uz kontinuirano</w:t>
      </w:r>
      <w:r w:rsidRPr="0004221B">
        <w:rPr>
          <w:rFonts w:eastAsia="Calibri"/>
          <w:kern w:val="2"/>
          <w:sz w:val="24"/>
          <w:szCs w:val="24"/>
        </w:rPr>
        <w:t xml:space="preserve"> praćenje učinaka sustava socijalne zaštite na smanjenje</w:t>
      </w:r>
      <w:r>
        <w:rPr>
          <w:rFonts w:eastAsia="Calibri"/>
          <w:kern w:val="2"/>
          <w:sz w:val="24"/>
          <w:szCs w:val="24"/>
        </w:rPr>
        <w:t xml:space="preserve"> razine</w:t>
      </w:r>
      <w:r w:rsidRPr="0004221B">
        <w:rPr>
          <w:rFonts w:eastAsia="Calibri"/>
          <w:kern w:val="2"/>
          <w:sz w:val="24"/>
          <w:szCs w:val="24"/>
        </w:rPr>
        <w:t xml:space="preserve"> siromaštva i socijalne isključenosti. Prema podacima za 2024., </w:t>
      </w:r>
      <w:r>
        <w:rPr>
          <w:rFonts w:eastAsia="Calibri"/>
          <w:kern w:val="2"/>
          <w:sz w:val="24"/>
          <w:szCs w:val="24"/>
        </w:rPr>
        <w:t xml:space="preserve">zabilježen je </w:t>
      </w:r>
      <w:r w:rsidRPr="00C07DF1">
        <w:rPr>
          <w:rFonts w:eastAsia="Calibri"/>
          <w:kern w:val="2"/>
          <w:sz w:val="24"/>
          <w:szCs w:val="24"/>
        </w:rPr>
        <w:t>blagi porast udjela osoba u riziku od siromaštva i socijalne isključenosti</w:t>
      </w:r>
      <w:r w:rsidRPr="0073016C">
        <w:t xml:space="preserve"> </w:t>
      </w:r>
      <w:r w:rsidRPr="0073016C">
        <w:rPr>
          <w:rFonts w:eastAsia="Calibri"/>
          <w:kern w:val="2"/>
          <w:sz w:val="24"/>
          <w:szCs w:val="24"/>
        </w:rPr>
        <w:t>na 21,7%</w:t>
      </w:r>
      <w:r>
        <w:rPr>
          <w:rFonts w:eastAsia="Calibri"/>
          <w:kern w:val="2"/>
          <w:sz w:val="24"/>
          <w:szCs w:val="24"/>
        </w:rPr>
        <w:t xml:space="preserve"> (</w:t>
      </w:r>
      <w:r w:rsidRPr="00C07DF1">
        <w:rPr>
          <w:rFonts w:eastAsia="Calibri"/>
          <w:kern w:val="2"/>
          <w:sz w:val="24"/>
          <w:szCs w:val="24"/>
        </w:rPr>
        <w:t>s 20,7%</w:t>
      </w:r>
      <w:r>
        <w:rPr>
          <w:rFonts w:eastAsia="Calibri"/>
          <w:kern w:val="2"/>
          <w:sz w:val="24"/>
          <w:szCs w:val="24"/>
        </w:rPr>
        <w:t xml:space="preserve"> u 2023.)</w:t>
      </w:r>
      <w:r w:rsidRPr="00C07DF1">
        <w:rPr>
          <w:rFonts w:eastAsia="Calibri"/>
          <w:kern w:val="2"/>
          <w:sz w:val="24"/>
          <w:szCs w:val="24"/>
        </w:rPr>
        <w:t xml:space="preserve"> </w:t>
      </w:r>
      <w:r w:rsidRPr="0004221B">
        <w:rPr>
          <w:rFonts w:eastAsia="Calibri"/>
          <w:kern w:val="2"/>
          <w:sz w:val="24"/>
          <w:szCs w:val="24"/>
        </w:rPr>
        <w:t>uz blago nepovoljniji položaj u odnosu na prosjek E</w:t>
      </w:r>
      <w:r>
        <w:rPr>
          <w:rFonts w:eastAsia="Calibri"/>
          <w:kern w:val="2"/>
          <w:sz w:val="24"/>
          <w:szCs w:val="24"/>
        </w:rPr>
        <w:t>U</w:t>
      </w:r>
      <w:r w:rsidRPr="0004221B">
        <w:rPr>
          <w:rFonts w:eastAsia="Calibri"/>
          <w:kern w:val="2"/>
          <w:sz w:val="24"/>
          <w:szCs w:val="24"/>
        </w:rPr>
        <w:t xml:space="preserve"> od 21,0%. </w:t>
      </w:r>
      <w:r>
        <w:rPr>
          <w:rFonts w:eastAsia="Calibri"/>
          <w:kern w:val="2"/>
          <w:sz w:val="24"/>
          <w:szCs w:val="24"/>
        </w:rPr>
        <w:t xml:space="preserve">S druge strane, </w:t>
      </w:r>
      <w:r w:rsidRPr="0004221B">
        <w:rPr>
          <w:rFonts w:eastAsia="Calibri"/>
          <w:kern w:val="2"/>
          <w:sz w:val="24"/>
          <w:szCs w:val="24"/>
        </w:rPr>
        <w:t xml:space="preserve">zabilježeno </w:t>
      </w:r>
      <w:r>
        <w:rPr>
          <w:rFonts w:eastAsia="Calibri"/>
          <w:kern w:val="2"/>
          <w:sz w:val="24"/>
          <w:szCs w:val="24"/>
        </w:rPr>
        <w:t xml:space="preserve">je </w:t>
      </w:r>
      <w:r w:rsidRPr="0004221B">
        <w:rPr>
          <w:rFonts w:eastAsia="Calibri"/>
          <w:kern w:val="2"/>
          <w:sz w:val="24"/>
          <w:szCs w:val="24"/>
        </w:rPr>
        <w:t xml:space="preserve">smanjenje materijalne i socijalne deprivacije, koja je u 2024. iznosila 5,2% (6,2% u 2023.), uz istovremeni </w:t>
      </w:r>
      <w:r>
        <w:rPr>
          <w:rFonts w:eastAsia="Calibri"/>
          <w:kern w:val="2"/>
          <w:sz w:val="24"/>
          <w:szCs w:val="24"/>
        </w:rPr>
        <w:t xml:space="preserve">značajni </w:t>
      </w:r>
      <w:r w:rsidRPr="0004221B">
        <w:rPr>
          <w:rFonts w:eastAsia="Calibri"/>
          <w:kern w:val="2"/>
          <w:sz w:val="24"/>
          <w:szCs w:val="24"/>
        </w:rPr>
        <w:t xml:space="preserve">rast prosječnog raspoloživog dohotka po kućanstvu </w:t>
      </w:r>
      <w:r w:rsidRPr="00734EB7">
        <w:rPr>
          <w:rFonts w:eastAsia="Calibri"/>
          <w:kern w:val="2"/>
          <w:sz w:val="24"/>
          <w:szCs w:val="24"/>
        </w:rPr>
        <w:t xml:space="preserve">na 23.092 eura </w:t>
      </w:r>
      <w:r>
        <w:rPr>
          <w:rFonts w:eastAsia="Calibri"/>
          <w:kern w:val="2"/>
          <w:sz w:val="24"/>
          <w:szCs w:val="24"/>
        </w:rPr>
        <w:t>(</w:t>
      </w:r>
      <w:r w:rsidRPr="0004221B">
        <w:rPr>
          <w:rFonts w:eastAsia="Calibri"/>
          <w:kern w:val="2"/>
          <w:sz w:val="24"/>
          <w:szCs w:val="24"/>
        </w:rPr>
        <w:t>18.843 eura u 2023.</w:t>
      </w:r>
      <w:r>
        <w:rPr>
          <w:rFonts w:eastAsia="Calibri"/>
          <w:kern w:val="2"/>
          <w:sz w:val="24"/>
          <w:szCs w:val="24"/>
        </w:rPr>
        <w:t>)</w:t>
      </w:r>
      <w:r w:rsidRPr="0004221B">
        <w:rPr>
          <w:rFonts w:eastAsia="Calibri"/>
          <w:kern w:val="2"/>
          <w:sz w:val="24"/>
          <w:szCs w:val="24"/>
        </w:rPr>
        <w:t xml:space="preserve"> te porast prosječnog ekvivalentnog raspoloživog dohotka na 13.411 eura</w:t>
      </w:r>
      <w:r>
        <w:rPr>
          <w:rFonts w:eastAsia="Calibri"/>
          <w:kern w:val="2"/>
          <w:sz w:val="24"/>
          <w:szCs w:val="24"/>
        </w:rPr>
        <w:t xml:space="preserve"> (</w:t>
      </w:r>
      <w:r w:rsidRPr="00F4166F">
        <w:rPr>
          <w:rFonts w:eastAsia="Calibri"/>
          <w:kern w:val="2"/>
          <w:sz w:val="24"/>
          <w:szCs w:val="24"/>
        </w:rPr>
        <w:t>10.891 eura</w:t>
      </w:r>
      <w:r>
        <w:rPr>
          <w:rFonts w:eastAsia="Calibri"/>
          <w:kern w:val="2"/>
          <w:sz w:val="24"/>
          <w:szCs w:val="24"/>
        </w:rPr>
        <w:t xml:space="preserve"> u 2023. godini)</w:t>
      </w:r>
      <w:r w:rsidRPr="0004221B">
        <w:rPr>
          <w:rFonts w:eastAsia="Calibri"/>
          <w:kern w:val="2"/>
          <w:sz w:val="24"/>
          <w:szCs w:val="24"/>
        </w:rPr>
        <w:t xml:space="preserve">. </w:t>
      </w:r>
      <w:r>
        <w:rPr>
          <w:rFonts w:eastAsia="Calibri"/>
          <w:kern w:val="2"/>
          <w:sz w:val="24"/>
          <w:szCs w:val="24"/>
        </w:rPr>
        <w:t>Nadalje, s</w:t>
      </w:r>
      <w:r w:rsidRPr="0004221B">
        <w:rPr>
          <w:rFonts w:eastAsia="Calibri"/>
          <w:kern w:val="2"/>
          <w:sz w:val="24"/>
          <w:szCs w:val="24"/>
        </w:rPr>
        <w:t xml:space="preserve">topa rizika od siromaštva porasla je na 20,3% (19,3% u 2023.), </w:t>
      </w:r>
      <w:r>
        <w:rPr>
          <w:rFonts w:eastAsia="Calibri"/>
          <w:kern w:val="2"/>
          <w:sz w:val="24"/>
          <w:szCs w:val="24"/>
        </w:rPr>
        <w:t>kao i</w:t>
      </w:r>
      <w:r w:rsidRPr="0004221B">
        <w:rPr>
          <w:rFonts w:eastAsia="Calibri"/>
          <w:kern w:val="2"/>
          <w:sz w:val="24"/>
          <w:szCs w:val="24"/>
        </w:rPr>
        <w:t xml:space="preserve"> stopa rizika od siromaštva </w:t>
      </w:r>
      <w:r>
        <w:rPr>
          <w:rFonts w:eastAsia="Calibri"/>
          <w:kern w:val="2"/>
          <w:sz w:val="24"/>
          <w:szCs w:val="24"/>
        </w:rPr>
        <w:t xml:space="preserve">bez socijalnih transfera koja je </w:t>
      </w:r>
      <w:r w:rsidRPr="0004221B">
        <w:rPr>
          <w:rFonts w:eastAsia="Calibri"/>
          <w:kern w:val="2"/>
          <w:sz w:val="24"/>
          <w:szCs w:val="24"/>
        </w:rPr>
        <w:t>iznosila 25,9% (24,4% u 2023.), što potvrđuje značajnu ulogu socijalnih naknada u ublažavanju dohodovne nejednakosti i zaštiti najranjivijih skupina</w:t>
      </w:r>
      <w:r>
        <w:rPr>
          <w:rFonts w:eastAsia="Calibri"/>
          <w:kern w:val="2"/>
          <w:sz w:val="24"/>
          <w:szCs w:val="24"/>
        </w:rPr>
        <w:t xml:space="preserve"> od siromaštva</w:t>
      </w:r>
      <w:r w:rsidRPr="0004221B">
        <w:rPr>
          <w:rFonts w:eastAsia="Calibri"/>
          <w:kern w:val="2"/>
          <w:sz w:val="24"/>
          <w:szCs w:val="24"/>
        </w:rPr>
        <w:t xml:space="preserve">. </w:t>
      </w:r>
    </w:p>
    <w:p w14:paraId="3DE6E8F9" w14:textId="77777777" w:rsidR="00FB178A" w:rsidRDefault="00FB178A" w:rsidP="00FB178A">
      <w:pPr>
        <w:spacing w:after="240" w:line="276" w:lineRule="auto"/>
        <w:jc w:val="both"/>
        <w:rPr>
          <w:rFonts w:eastAsia="Calibri"/>
          <w:b/>
          <w:bCs/>
          <w:kern w:val="2"/>
          <w:sz w:val="24"/>
          <w:szCs w:val="24"/>
        </w:rPr>
      </w:pPr>
      <w:r>
        <w:rPr>
          <w:rFonts w:eastAsia="Calibri"/>
          <w:kern w:val="2"/>
          <w:sz w:val="24"/>
          <w:szCs w:val="24"/>
        </w:rPr>
        <w:t>U</w:t>
      </w:r>
      <w:r w:rsidRPr="00470478">
        <w:rPr>
          <w:rFonts w:eastAsia="Calibri"/>
          <w:kern w:val="2"/>
          <w:sz w:val="24"/>
          <w:szCs w:val="24"/>
        </w:rPr>
        <w:t xml:space="preserve"> 2024. prvi put</w:t>
      </w:r>
      <w:r>
        <w:rPr>
          <w:rFonts w:eastAsia="Calibri"/>
          <w:kern w:val="2"/>
          <w:sz w:val="24"/>
          <w:szCs w:val="24"/>
        </w:rPr>
        <w:t xml:space="preserve"> su pokazatelji rizika od siromaštva </w:t>
      </w:r>
      <w:r w:rsidRPr="00470478">
        <w:rPr>
          <w:rFonts w:eastAsia="Calibri"/>
          <w:kern w:val="2"/>
          <w:sz w:val="24"/>
          <w:szCs w:val="24"/>
        </w:rPr>
        <w:t>izračuna</w:t>
      </w:r>
      <w:r>
        <w:rPr>
          <w:rFonts w:eastAsia="Calibri"/>
          <w:kern w:val="2"/>
          <w:sz w:val="24"/>
          <w:szCs w:val="24"/>
        </w:rPr>
        <w:t>ti</w:t>
      </w:r>
      <w:r w:rsidRPr="00470478">
        <w:rPr>
          <w:rFonts w:eastAsia="Calibri"/>
          <w:kern w:val="2"/>
          <w:sz w:val="24"/>
          <w:szCs w:val="24"/>
        </w:rPr>
        <w:t xml:space="preserve"> na temelju administrativnih izvora podataka o dohotku, što predstavlja metodološku promjenu u odnosu na prethodne godine kada su se podaci prikupljali pretežito anketiranjem kućanstava ili kombinacijom anketnih i administrativnih izvora.</w:t>
      </w:r>
      <w:r>
        <w:rPr>
          <w:rFonts w:eastAsia="Calibri"/>
          <w:kern w:val="2"/>
          <w:sz w:val="24"/>
          <w:szCs w:val="24"/>
        </w:rPr>
        <w:t xml:space="preserve"> Zbog ove promjene, potrebno je </w:t>
      </w:r>
      <w:r w:rsidRPr="00CE6A3D">
        <w:rPr>
          <w:rFonts w:eastAsia="Calibri"/>
          <w:kern w:val="2"/>
          <w:sz w:val="24"/>
          <w:szCs w:val="24"/>
        </w:rPr>
        <w:t>pristupiti s oprezom prilikom izravnih usporedb</w:t>
      </w:r>
      <w:r>
        <w:rPr>
          <w:rFonts w:eastAsia="Calibri"/>
          <w:kern w:val="2"/>
          <w:sz w:val="24"/>
          <w:szCs w:val="24"/>
        </w:rPr>
        <w:t>i</w:t>
      </w:r>
      <w:r w:rsidRPr="00CE6A3D">
        <w:rPr>
          <w:rFonts w:eastAsia="Calibri"/>
          <w:kern w:val="2"/>
          <w:sz w:val="24"/>
          <w:szCs w:val="24"/>
        </w:rPr>
        <w:t xml:space="preserve"> podataka iz 2024. s prethodnim razdobljima</w:t>
      </w:r>
      <w:r>
        <w:rPr>
          <w:rFonts w:eastAsia="Calibri"/>
          <w:kern w:val="2"/>
          <w:sz w:val="24"/>
          <w:szCs w:val="24"/>
        </w:rPr>
        <w:t>. Promatrano u navedenom kontekstu, n</w:t>
      </w:r>
      <w:r w:rsidRPr="0004221B">
        <w:rPr>
          <w:rFonts w:eastAsia="Calibri"/>
          <w:kern w:val="2"/>
          <w:sz w:val="24"/>
          <w:szCs w:val="24"/>
        </w:rPr>
        <w:t>apor</w:t>
      </w:r>
      <w:r>
        <w:rPr>
          <w:rFonts w:eastAsia="Calibri"/>
          <w:kern w:val="2"/>
          <w:sz w:val="24"/>
          <w:szCs w:val="24"/>
        </w:rPr>
        <w:t>i</w:t>
      </w:r>
      <w:r w:rsidRPr="0004221B">
        <w:rPr>
          <w:rFonts w:eastAsia="Calibri"/>
          <w:kern w:val="2"/>
          <w:sz w:val="24"/>
          <w:szCs w:val="24"/>
        </w:rPr>
        <w:t xml:space="preserve"> usmjereni na </w:t>
      </w:r>
      <w:r>
        <w:rPr>
          <w:rFonts w:eastAsia="Calibri"/>
          <w:kern w:val="2"/>
          <w:sz w:val="24"/>
          <w:szCs w:val="24"/>
        </w:rPr>
        <w:t xml:space="preserve">potporu </w:t>
      </w:r>
      <w:r w:rsidRPr="0004221B">
        <w:rPr>
          <w:rFonts w:eastAsia="Calibri"/>
          <w:kern w:val="2"/>
          <w:sz w:val="24"/>
          <w:szCs w:val="24"/>
        </w:rPr>
        <w:t>ranjiv</w:t>
      </w:r>
      <w:r>
        <w:rPr>
          <w:rFonts w:eastAsia="Calibri"/>
          <w:kern w:val="2"/>
          <w:sz w:val="24"/>
          <w:szCs w:val="24"/>
        </w:rPr>
        <w:t>im</w:t>
      </w:r>
      <w:r w:rsidRPr="0004221B">
        <w:rPr>
          <w:rFonts w:eastAsia="Calibri"/>
          <w:kern w:val="2"/>
          <w:sz w:val="24"/>
          <w:szCs w:val="24"/>
        </w:rPr>
        <w:t xml:space="preserve"> skupin</w:t>
      </w:r>
      <w:r>
        <w:rPr>
          <w:rFonts w:eastAsia="Calibri"/>
          <w:kern w:val="2"/>
          <w:sz w:val="24"/>
          <w:szCs w:val="24"/>
        </w:rPr>
        <w:t>ama dali su rezultate te je</w:t>
      </w:r>
      <w:r w:rsidRPr="0004221B">
        <w:rPr>
          <w:rFonts w:eastAsia="Calibri"/>
          <w:kern w:val="2"/>
          <w:sz w:val="24"/>
          <w:szCs w:val="24"/>
        </w:rPr>
        <w:t xml:space="preserve"> </w:t>
      </w:r>
      <w:r>
        <w:rPr>
          <w:rFonts w:eastAsia="Calibri"/>
          <w:kern w:val="2"/>
          <w:sz w:val="24"/>
          <w:szCs w:val="24"/>
        </w:rPr>
        <w:t>zabilježen</w:t>
      </w:r>
      <w:r w:rsidRPr="0004221B">
        <w:rPr>
          <w:rFonts w:eastAsia="Calibri"/>
          <w:kern w:val="2"/>
          <w:sz w:val="24"/>
          <w:szCs w:val="24"/>
        </w:rPr>
        <w:t xml:space="preserve"> pad stope teške materijalne i socijalne deprivacije na 2,0% u 2024.</w:t>
      </w:r>
      <w:r>
        <w:rPr>
          <w:rFonts w:eastAsia="Calibri"/>
          <w:kern w:val="2"/>
          <w:sz w:val="24"/>
          <w:szCs w:val="24"/>
        </w:rPr>
        <w:t xml:space="preserve"> (</w:t>
      </w:r>
      <w:r w:rsidRPr="00F4166F">
        <w:rPr>
          <w:rFonts w:eastAsia="Calibri"/>
          <w:kern w:val="2"/>
          <w:sz w:val="24"/>
          <w:szCs w:val="24"/>
        </w:rPr>
        <w:t>s 4,6% u 2020.</w:t>
      </w:r>
      <w:r>
        <w:rPr>
          <w:rFonts w:eastAsia="Calibri"/>
          <w:kern w:val="2"/>
          <w:sz w:val="24"/>
          <w:szCs w:val="24"/>
        </w:rPr>
        <w:t>)</w:t>
      </w:r>
      <w:r w:rsidRPr="0004221B">
        <w:rPr>
          <w:rFonts w:eastAsia="Calibri"/>
          <w:kern w:val="2"/>
          <w:sz w:val="24"/>
          <w:szCs w:val="24"/>
        </w:rPr>
        <w:t>, uz istodobn</w:t>
      </w:r>
      <w:r>
        <w:rPr>
          <w:rFonts w:eastAsia="Calibri"/>
          <w:kern w:val="2"/>
          <w:sz w:val="24"/>
          <w:szCs w:val="24"/>
        </w:rPr>
        <w:t>i porast</w:t>
      </w:r>
      <w:r w:rsidRPr="0004221B">
        <w:rPr>
          <w:rFonts w:eastAsia="Calibri"/>
          <w:kern w:val="2"/>
          <w:sz w:val="24"/>
          <w:szCs w:val="24"/>
        </w:rPr>
        <w:t xml:space="preserve"> </w:t>
      </w:r>
      <w:r>
        <w:rPr>
          <w:rFonts w:eastAsia="Calibri"/>
          <w:kern w:val="2"/>
          <w:sz w:val="24"/>
          <w:szCs w:val="24"/>
        </w:rPr>
        <w:t xml:space="preserve">stope </w:t>
      </w:r>
      <w:r w:rsidRPr="00A24BAA">
        <w:rPr>
          <w:rFonts w:eastAsia="Calibri"/>
          <w:kern w:val="2"/>
          <w:sz w:val="24"/>
          <w:szCs w:val="24"/>
        </w:rPr>
        <w:t xml:space="preserve">rizika od siromaštva </w:t>
      </w:r>
      <w:r>
        <w:rPr>
          <w:rFonts w:eastAsia="Calibri"/>
          <w:kern w:val="2"/>
          <w:sz w:val="24"/>
          <w:szCs w:val="24"/>
        </w:rPr>
        <w:t xml:space="preserve">i socijalne isključenosti </w:t>
      </w:r>
      <w:r w:rsidRPr="00A24BAA">
        <w:rPr>
          <w:rFonts w:eastAsia="Calibri"/>
          <w:kern w:val="2"/>
          <w:sz w:val="24"/>
          <w:szCs w:val="24"/>
        </w:rPr>
        <w:t>djece (dobna skupina 0</w:t>
      </w:r>
      <w:r>
        <w:rPr>
          <w:rFonts w:eastAsia="Calibri"/>
          <w:kern w:val="2"/>
          <w:sz w:val="24"/>
          <w:szCs w:val="24"/>
        </w:rPr>
        <w:t>-</w:t>
      </w:r>
      <w:r w:rsidRPr="00A24BAA">
        <w:rPr>
          <w:rFonts w:eastAsia="Calibri"/>
          <w:kern w:val="2"/>
          <w:sz w:val="24"/>
          <w:szCs w:val="24"/>
        </w:rPr>
        <w:t xml:space="preserve">17 godina), koja </w:t>
      </w:r>
      <w:r>
        <w:rPr>
          <w:rFonts w:eastAsia="Calibri"/>
          <w:kern w:val="2"/>
          <w:sz w:val="24"/>
          <w:szCs w:val="24"/>
        </w:rPr>
        <w:t xml:space="preserve">je u 2024. </w:t>
      </w:r>
      <w:r w:rsidRPr="00A24BAA">
        <w:rPr>
          <w:rFonts w:eastAsia="Calibri"/>
          <w:kern w:val="2"/>
          <w:sz w:val="24"/>
          <w:szCs w:val="24"/>
        </w:rPr>
        <w:t>iznosi</w:t>
      </w:r>
      <w:r>
        <w:rPr>
          <w:rFonts w:eastAsia="Calibri"/>
          <w:kern w:val="2"/>
          <w:sz w:val="24"/>
          <w:szCs w:val="24"/>
        </w:rPr>
        <w:t>la</w:t>
      </w:r>
      <w:r w:rsidRPr="00A24BAA">
        <w:rPr>
          <w:rFonts w:eastAsia="Calibri"/>
          <w:kern w:val="2"/>
          <w:sz w:val="24"/>
          <w:szCs w:val="24"/>
        </w:rPr>
        <w:t xml:space="preserve"> 1</w:t>
      </w:r>
      <w:r>
        <w:rPr>
          <w:rFonts w:eastAsia="Calibri"/>
          <w:kern w:val="2"/>
          <w:sz w:val="24"/>
          <w:szCs w:val="24"/>
        </w:rPr>
        <w:t>9</w:t>
      </w:r>
      <w:r w:rsidRPr="00A24BAA">
        <w:rPr>
          <w:rFonts w:eastAsia="Calibri"/>
          <w:kern w:val="2"/>
          <w:sz w:val="24"/>
          <w:szCs w:val="24"/>
        </w:rPr>
        <w:t>,3%</w:t>
      </w:r>
      <w:r>
        <w:rPr>
          <w:rFonts w:eastAsia="Calibri"/>
          <w:kern w:val="2"/>
          <w:sz w:val="24"/>
          <w:szCs w:val="24"/>
        </w:rPr>
        <w:t xml:space="preserve"> (17,3</w:t>
      </w:r>
      <w:r w:rsidRPr="00A24BAA">
        <w:rPr>
          <w:rFonts w:eastAsia="Calibri"/>
          <w:kern w:val="2"/>
          <w:sz w:val="24"/>
          <w:szCs w:val="24"/>
        </w:rPr>
        <w:t>% u 202</w:t>
      </w:r>
      <w:r>
        <w:rPr>
          <w:rFonts w:eastAsia="Calibri"/>
          <w:kern w:val="2"/>
          <w:sz w:val="24"/>
          <w:szCs w:val="24"/>
        </w:rPr>
        <w:t>3</w:t>
      </w:r>
      <w:r w:rsidRPr="00A24BAA">
        <w:rPr>
          <w:rFonts w:eastAsia="Calibri"/>
          <w:kern w:val="2"/>
          <w:sz w:val="24"/>
          <w:szCs w:val="24"/>
        </w:rPr>
        <w:t>.</w:t>
      </w:r>
      <w:r>
        <w:rPr>
          <w:rFonts w:eastAsia="Calibri"/>
          <w:kern w:val="2"/>
          <w:sz w:val="24"/>
          <w:szCs w:val="24"/>
        </w:rPr>
        <w:t xml:space="preserve"> godini). </w:t>
      </w:r>
      <w:r w:rsidRPr="004F6870">
        <w:rPr>
          <w:rFonts w:eastAsia="Calibri"/>
          <w:kern w:val="2"/>
          <w:sz w:val="24"/>
          <w:szCs w:val="24"/>
        </w:rPr>
        <w:t xml:space="preserve">Učinke mjera socijalne politike potrebno je promatrati </w:t>
      </w:r>
      <w:r>
        <w:rPr>
          <w:rFonts w:eastAsia="Calibri"/>
          <w:kern w:val="2"/>
          <w:sz w:val="24"/>
          <w:szCs w:val="24"/>
        </w:rPr>
        <w:t xml:space="preserve">i </w:t>
      </w:r>
      <w:r w:rsidRPr="004F6870">
        <w:rPr>
          <w:rFonts w:eastAsia="Calibri"/>
          <w:kern w:val="2"/>
          <w:sz w:val="24"/>
          <w:szCs w:val="24"/>
        </w:rPr>
        <w:t xml:space="preserve">u kontekstu nastavka rasta životnih troškova i posljedica energetske krize, koje su </w:t>
      </w:r>
      <w:r>
        <w:rPr>
          <w:rFonts w:eastAsia="Calibri"/>
          <w:kern w:val="2"/>
          <w:sz w:val="24"/>
          <w:szCs w:val="24"/>
        </w:rPr>
        <w:t>tijekom</w:t>
      </w:r>
      <w:r w:rsidRPr="004F6870">
        <w:rPr>
          <w:rFonts w:eastAsia="Calibri"/>
          <w:kern w:val="2"/>
          <w:sz w:val="24"/>
          <w:szCs w:val="24"/>
        </w:rPr>
        <w:t xml:space="preserve"> 2024. dodatno povećale pritisak na raspoloživ</w:t>
      </w:r>
      <w:r>
        <w:rPr>
          <w:rFonts w:eastAsia="Calibri"/>
          <w:kern w:val="2"/>
          <w:sz w:val="24"/>
          <w:szCs w:val="24"/>
        </w:rPr>
        <w:t>i</w:t>
      </w:r>
      <w:r w:rsidRPr="004F6870">
        <w:rPr>
          <w:rFonts w:eastAsia="Calibri"/>
          <w:kern w:val="2"/>
          <w:sz w:val="24"/>
          <w:szCs w:val="24"/>
        </w:rPr>
        <w:t xml:space="preserve"> doho</w:t>
      </w:r>
      <w:r>
        <w:rPr>
          <w:rFonts w:eastAsia="Calibri"/>
          <w:kern w:val="2"/>
          <w:sz w:val="24"/>
          <w:szCs w:val="24"/>
        </w:rPr>
        <w:t>dak</w:t>
      </w:r>
      <w:r w:rsidRPr="004F6870">
        <w:rPr>
          <w:rFonts w:eastAsia="Calibri"/>
          <w:kern w:val="2"/>
          <w:sz w:val="24"/>
          <w:szCs w:val="24"/>
        </w:rPr>
        <w:t xml:space="preserve"> kućanstava </w:t>
      </w:r>
      <w:r>
        <w:rPr>
          <w:rFonts w:eastAsia="Calibri"/>
          <w:kern w:val="2"/>
          <w:sz w:val="24"/>
          <w:szCs w:val="24"/>
        </w:rPr>
        <w:t>te</w:t>
      </w:r>
      <w:r w:rsidRPr="004F6870">
        <w:rPr>
          <w:rFonts w:eastAsia="Calibri"/>
          <w:kern w:val="2"/>
          <w:sz w:val="24"/>
          <w:szCs w:val="24"/>
        </w:rPr>
        <w:t xml:space="preserve"> pridonijele rastu stope rizika od siromaštva</w:t>
      </w:r>
      <w:r>
        <w:rPr>
          <w:rFonts w:eastAsia="Calibri"/>
          <w:kern w:val="2"/>
          <w:sz w:val="24"/>
          <w:szCs w:val="24"/>
        </w:rPr>
        <w:t xml:space="preserve">. </w:t>
      </w:r>
    </w:p>
    <w:p w14:paraId="5E845CA4" w14:textId="77777777" w:rsidR="00FB178A" w:rsidRDefault="00FB178A" w:rsidP="00FB178A">
      <w:pPr>
        <w:widowControl/>
        <w:autoSpaceDE/>
        <w:autoSpaceDN/>
        <w:spacing w:before="240" w:after="240" w:line="276" w:lineRule="auto"/>
        <w:jc w:val="both"/>
        <w:rPr>
          <w:rFonts w:eastAsia="Calibri"/>
          <w:b/>
          <w:bCs/>
          <w:kern w:val="2"/>
          <w:sz w:val="24"/>
          <w:szCs w:val="24"/>
        </w:rPr>
      </w:pPr>
      <w:r>
        <w:rPr>
          <w:rFonts w:eastAsia="Calibri"/>
          <w:kern w:val="2"/>
          <w:sz w:val="24"/>
          <w:szCs w:val="24"/>
        </w:rPr>
        <w:t xml:space="preserve">S ciljem </w:t>
      </w:r>
      <w:r w:rsidRPr="000E6442">
        <w:rPr>
          <w:rFonts w:eastAsia="Calibri"/>
          <w:kern w:val="2"/>
          <w:sz w:val="24"/>
          <w:szCs w:val="24"/>
        </w:rPr>
        <w:t>osigura</w:t>
      </w:r>
      <w:r>
        <w:rPr>
          <w:rFonts w:eastAsia="Calibri"/>
          <w:kern w:val="2"/>
          <w:sz w:val="24"/>
          <w:szCs w:val="24"/>
        </w:rPr>
        <w:t>nja</w:t>
      </w:r>
      <w:r w:rsidRPr="000E6442">
        <w:rPr>
          <w:rFonts w:eastAsia="Calibri"/>
          <w:kern w:val="2"/>
          <w:sz w:val="24"/>
          <w:szCs w:val="24"/>
        </w:rPr>
        <w:t xml:space="preserve"> kontinuitet</w:t>
      </w:r>
      <w:r>
        <w:rPr>
          <w:rFonts w:eastAsia="Calibri"/>
          <w:kern w:val="2"/>
          <w:sz w:val="24"/>
          <w:szCs w:val="24"/>
        </w:rPr>
        <w:t>a</w:t>
      </w:r>
      <w:r w:rsidRPr="000E6442">
        <w:rPr>
          <w:rFonts w:eastAsia="Calibri"/>
          <w:kern w:val="2"/>
          <w:sz w:val="24"/>
          <w:szCs w:val="24"/>
        </w:rPr>
        <w:t xml:space="preserve"> </w:t>
      </w:r>
      <w:r>
        <w:rPr>
          <w:rFonts w:eastAsia="Calibri"/>
          <w:kern w:val="2"/>
          <w:sz w:val="24"/>
          <w:szCs w:val="24"/>
        </w:rPr>
        <w:t xml:space="preserve">u provedbi </w:t>
      </w:r>
      <w:r w:rsidRPr="000E6442">
        <w:rPr>
          <w:rFonts w:eastAsia="Calibri"/>
          <w:kern w:val="2"/>
          <w:sz w:val="24"/>
          <w:szCs w:val="24"/>
        </w:rPr>
        <w:t>politike smanjivanja regionalnih nejednakosti u pristupu socijalnim uslugama</w:t>
      </w:r>
      <w:r>
        <w:rPr>
          <w:rFonts w:eastAsia="Calibri"/>
          <w:kern w:val="2"/>
          <w:sz w:val="24"/>
          <w:szCs w:val="24"/>
        </w:rPr>
        <w:t>, u</w:t>
      </w:r>
      <w:r w:rsidRPr="0004221B">
        <w:rPr>
          <w:rFonts w:eastAsia="Calibri"/>
          <w:kern w:val="2"/>
          <w:sz w:val="24"/>
          <w:szCs w:val="24"/>
        </w:rPr>
        <w:t xml:space="preserve"> 2024. </w:t>
      </w:r>
      <w:r>
        <w:rPr>
          <w:rFonts w:eastAsia="Calibri"/>
          <w:kern w:val="2"/>
          <w:sz w:val="24"/>
          <w:szCs w:val="24"/>
        </w:rPr>
        <w:t xml:space="preserve">je </w:t>
      </w:r>
      <w:r w:rsidRPr="0004221B">
        <w:rPr>
          <w:rFonts w:eastAsia="Calibri"/>
          <w:kern w:val="2"/>
          <w:sz w:val="24"/>
          <w:szCs w:val="24"/>
        </w:rPr>
        <w:t xml:space="preserve">nastavljena provedba Nacionalnog plana razvoja socijalnih usluga za razdoblje </w:t>
      </w:r>
      <w:r>
        <w:rPr>
          <w:rFonts w:eastAsia="Calibri"/>
          <w:kern w:val="2"/>
          <w:sz w:val="24"/>
          <w:szCs w:val="24"/>
        </w:rPr>
        <w:t xml:space="preserve">od </w:t>
      </w:r>
      <w:r w:rsidRPr="0004221B">
        <w:rPr>
          <w:rFonts w:eastAsia="Calibri"/>
          <w:kern w:val="2"/>
          <w:sz w:val="24"/>
          <w:szCs w:val="24"/>
        </w:rPr>
        <w:t>2021.</w:t>
      </w:r>
      <w:r>
        <w:rPr>
          <w:rFonts w:eastAsia="Calibri"/>
          <w:kern w:val="2"/>
          <w:sz w:val="24"/>
          <w:szCs w:val="24"/>
        </w:rPr>
        <w:t xml:space="preserve"> do </w:t>
      </w:r>
      <w:r w:rsidRPr="0004221B">
        <w:rPr>
          <w:rFonts w:eastAsia="Calibri"/>
          <w:kern w:val="2"/>
          <w:sz w:val="24"/>
          <w:szCs w:val="24"/>
        </w:rPr>
        <w:t>2027.</w:t>
      </w:r>
      <w:r>
        <w:rPr>
          <w:rFonts w:eastAsia="Calibri"/>
          <w:kern w:val="2"/>
          <w:sz w:val="24"/>
          <w:szCs w:val="24"/>
        </w:rPr>
        <w:t xml:space="preserve"> godine. Nacionalnim planom se osigurava kontinuitet politike smanjivanja regionalnih nejednakosti u pristupu socijalnim uslugama što je </w:t>
      </w:r>
      <w:r w:rsidRPr="0004221B">
        <w:rPr>
          <w:rFonts w:eastAsia="Calibri"/>
          <w:kern w:val="2"/>
          <w:sz w:val="24"/>
          <w:szCs w:val="24"/>
        </w:rPr>
        <w:t>ključn</w:t>
      </w:r>
      <w:r>
        <w:rPr>
          <w:rFonts w:eastAsia="Calibri"/>
          <w:kern w:val="2"/>
          <w:sz w:val="24"/>
          <w:szCs w:val="24"/>
        </w:rPr>
        <w:t>a</w:t>
      </w:r>
      <w:r w:rsidRPr="0004221B">
        <w:rPr>
          <w:rFonts w:eastAsia="Calibri"/>
          <w:kern w:val="2"/>
          <w:sz w:val="24"/>
          <w:szCs w:val="24"/>
        </w:rPr>
        <w:t xml:space="preserve"> pretpostavk</w:t>
      </w:r>
      <w:r>
        <w:rPr>
          <w:rFonts w:eastAsia="Calibri"/>
          <w:kern w:val="2"/>
          <w:sz w:val="24"/>
          <w:szCs w:val="24"/>
        </w:rPr>
        <w:t>a</w:t>
      </w:r>
      <w:r w:rsidRPr="0004221B">
        <w:rPr>
          <w:rFonts w:eastAsia="Calibri"/>
          <w:kern w:val="2"/>
          <w:sz w:val="24"/>
          <w:szCs w:val="24"/>
        </w:rPr>
        <w:t xml:space="preserve"> razvoja suvremenog</w:t>
      </w:r>
      <w:r>
        <w:rPr>
          <w:rFonts w:eastAsia="Calibri"/>
          <w:kern w:val="2"/>
          <w:sz w:val="24"/>
          <w:szCs w:val="24"/>
        </w:rPr>
        <w:t xml:space="preserve"> i</w:t>
      </w:r>
      <w:r w:rsidRPr="0004221B">
        <w:rPr>
          <w:rFonts w:eastAsia="Calibri"/>
          <w:kern w:val="2"/>
          <w:sz w:val="24"/>
          <w:szCs w:val="24"/>
        </w:rPr>
        <w:t xml:space="preserve"> </w:t>
      </w:r>
      <w:proofErr w:type="spellStart"/>
      <w:r w:rsidRPr="0004221B">
        <w:rPr>
          <w:rFonts w:eastAsia="Calibri"/>
          <w:kern w:val="2"/>
          <w:sz w:val="24"/>
          <w:szCs w:val="24"/>
        </w:rPr>
        <w:t>inkluzivnog</w:t>
      </w:r>
      <w:proofErr w:type="spellEnd"/>
      <w:r w:rsidRPr="0004221B">
        <w:rPr>
          <w:rFonts w:eastAsia="Calibri"/>
          <w:kern w:val="2"/>
          <w:sz w:val="24"/>
          <w:szCs w:val="24"/>
        </w:rPr>
        <w:t xml:space="preserve"> društva. U izvještajnoj godini, kroz niz javnih poziva i projekata, dodatno je proširena mreža pružatelja socijalnih usluga te je udio dostupnih socijalnih usluga po županijama dosegnuo 50%, dok je u procesu </w:t>
      </w:r>
      <w:proofErr w:type="spellStart"/>
      <w:r w:rsidRPr="0004221B">
        <w:rPr>
          <w:rFonts w:eastAsia="Calibri"/>
          <w:kern w:val="2"/>
          <w:sz w:val="24"/>
          <w:szCs w:val="24"/>
        </w:rPr>
        <w:t>deinstitucionalizacije</w:t>
      </w:r>
      <w:proofErr w:type="spellEnd"/>
      <w:r w:rsidRPr="0004221B">
        <w:rPr>
          <w:rFonts w:eastAsia="Calibri"/>
          <w:kern w:val="2"/>
          <w:sz w:val="24"/>
          <w:szCs w:val="24"/>
        </w:rPr>
        <w:t xml:space="preserve"> zabilježen blagi pomak u korist </w:t>
      </w:r>
      <w:proofErr w:type="spellStart"/>
      <w:r w:rsidRPr="0004221B">
        <w:rPr>
          <w:rFonts w:eastAsia="Calibri"/>
          <w:kern w:val="2"/>
          <w:sz w:val="24"/>
          <w:szCs w:val="24"/>
        </w:rPr>
        <w:t>izvaninstitucijskih</w:t>
      </w:r>
      <w:proofErr w:type="spellEnd"/>
      <w:r w:rsidRPr="0004221B">
        <w:rPr>
          <w:rFonts w:eastAsia="Calibri"/>
          <w:kern w:val="2"/>
          <w:sz w:val="24"/>
          <w:szCs w:val="24"/>
        </w:rPr>
        <w:t xml:space="preserve"> usluga (44,94% korisnika) </w:t>
      </w:r>
      <w:r>
        <w:rPr>
          <w:rFonts w:eastAsia="Calibri"/>
          <w:kern w:val="2"/>
          <w:sz w:val="24"/>
          <w:szCs w:val="24"/>
        </w:rPr>
        <w:t>te</w:t>
      </w:r>
      <w:r w:rsidRPr="0004221B">
        <w:rPr>
          <w:rFonts w:eastAsia="Calibri"/>
          <w:kern w:val="2"/>
          <w:sz w:val="24"/>
          <w:szCs w:val="24"/>
        </w:rPr>
        <w:t xml:space="preserve"> smanjenje udjela korisnika u institucijskim oblicima skrbi (55,06%</w:t>
      </w:r>
      <w:r>
        <w:rPr>
          <w:rFonts w:eastAsia="Calibri"/>
          <w:kern w:val="2"/>
          <w:sz w:val="24"/>
          <w:szCs w:val="24"/>
        </w:rPr>
        <w:t xml:space="preserve"> korisnika</w:t>
      </w:r>
      <w:r w:rsidRPr="0004221B">
        <w:rPr>
          <w:rFonts w:eastAsia="Calibri"/>
          <w:kern w:val="2"/>
          <w:sz w:val="24"/>
          <w:szCs w:val="24"/>
        </w:rPr>
        <w:t xml:space="preserve">). </w:t>
      </w:r>
      <w:r>
        <w:rPr>
          <w:rFonts w:eastAsia="Calibri"/>
          <w:kern w:val="2"/>
          <w:sz w:val="24"/>
          <w:szCs w:val="24"/>
        </w:rPr>
        <w:t xml:space="preserve">Istovremeno, </w:t>
      </w:r>
      <w:r w:rsidRPr="0004221B">
        <w:rPr>
          <w:rFonts w:eastAsia="Calibri"/>
          <w:kern w:val="2"/>
          <w:sz w:val="24"/>
          <w:szCs w:val="24"/>
        </w:rPr>
        <w:t>provedene</w:t>
      </w:r>
      <w:r>
        <w:rPr>
          <w:rFonts w:eastAsia="Calibri"/>
          <w:kern w:val="2"/>
          <w:sz w:val="24"/>
          <w:szCs w:val="24"/>
        </w:rPr>
        <w:t xml:space="preserve"> su</w:t>
      </w:r>
      <w:r w:rsidRPr="0004221B">
        <w:rPr>
          <w:rFonts w:eastAsia="Calibri"/>
          <w:kern w:val="2"/>
          <w:sz w:val="24"/>
          <w:szCs w:val="24"/>
        </w:rPr>
        <w:t xml:space="preserve"> mjere za unaprjeđenje upravljanja sustavom socijalnih usluga, uključujući unaprjeđenje zakonodavnog okvira te uspostavu informacijskog sustava za upravljanje podacima i automatizirani izračun cijena socijalnih usluga, čime se povećava udio korisnika kojima se usluge pružaju po cijeni utvrđenoj standardiziranom metodologijom. Navedene aktivnosti stvaraju preduvjete za daljnje širenje usluga u zajednici, osobito za starije osobe i druge ranjive skupine, te za postupno smanjenje oslanjanja na klasične institucionalne oblike smještaja.</w:t>
      </w:r>
    </w:p>
    <w:p w14:paraId="16E2E4A9" w14:textId="77777777" w:rsidR="00FB178A" w:rsidRDefault="00FB178A" w:rsidP="00FB178A">
      <w:pPr>
        <w:spacing w:after="227" w:line="276" w:lineRule="auto"/>
        <w:ind w:right="9"/>
        <w:jc w:val="both"/>
        <w:rPr>
          <w:rFonts w:eastAsia="Calibri"/>
          <w:kern w:val="2"/>
          <w:sz w:val="24"/>
          <w:szCs w:val="24"/>
        </w:rPr>
      </w:pPr>
      <w:r>
        <w:rPr>
          <w:rFonts w:eastAsia="Calibri"/>
          <w:kern w:val="2"/>
          <w:sz w:val="24"/>
          <w:szCs w:val="24"/>
        </w:rPr>
        <w:t>T</w:t>
      </w:r>
      <w:r w:rsidRPr="006A0833">
        <w:rPr>
          <w:rFonts w:eastAsia="Calibri"/>
          <w:kern w:val="2"/>
          <w:sz w:val="24"/>
          <w:szCs w:val="24"/>
        </w:rPr>
        <w:t>ijekom 2024. nastavljena je provedba Nacionalnog plana borbe protiv siromaštva i socijalne isključenosti 2021.</w:t>
      </w:r>
      <w:r>
        <w:rPr>
          <w:rFonts w:eastAsia="Calibri"/>
          <w:kern w:val="2"/>
          <w:sz w:val="24"/>
          <w:szCs w:val="24"/>
        </w:rPr>
        <w:t>-</w:t>
      </w:r>
      <w:r w:rsidRPr="006A0833">
        <w:rPr>
          <w:rFonts w:eastAsia="Calibri"/>
          <w:kern w:val="2"/>
          <w:sz w:val="24"/>
          <w:szCs w:val="24"/>
        </w:rPr>
        <w:t>2027. kao ključnog</w:t>
      </w:r>
      <w:r>
        <w:rPr>
          <w:rFonts w:eastAsia="Calibri"/>
          <w:kern w:val="2"/>
          <w:sz w:val="24"/>
          <w:szCs w:val="24"/>
        </w:rPr>
        <w:t xml:space="preserve"> akta</w:t>
      </w:r>
      <w:r w:rsidRPr="006A0833">
        <w:rPr>
          <w:rFonts w:eastAsia="Calibri"/>
          <w:kern w:val="2"/>
          <w:sz w:val="24"/>
          <w:szCs w:val="24"/>
        </w:rPr>
        <w:t xml:space="preserve"> politike socijalne solidarnosti i odgovornosti</w:t>
      </w:r>
      <w:r>
        <w:rPr>
          <w:rFonts w:eastAsia="Calibri"/>
          <w:kern w:val="2"/>
          <w:sz w:val="24"/>
          <w:szCs w:val="24"/>
        </w:rPr>
        <w:t>,</w:t>
      </w:r>
      <w:r w:rsidRPr="006A0833">
        <w:rPr>
          <w:rFonts w:eastAsia="Calibri"/>
          <w:kern w:val="2"/>
          <w:sz w:val="24"/>
          <w:szCs w:val="24"/>
        </w:rPr>
        <w:t xml:space="preserve"> </w:t>
      </w:r>
      <w:r w:rsidRPr="006A0833">
        <w:rPr>
          <w:rFonts w:eastAsia="Calibri"/>
          <w:kern w:val="2"/>
          <w:sz w:val="24"/>
          <w:szCs w:val="24"/>
        </w:rPr>
        <w:lastRenderedPageBreak/>
        <w:t>usmjeren</w:t>
      </w:r>
      <w:r>
        <w:rPr>
          <w:rFonts w:eastAsia="Calibri"/>
          <w:kern w:val="2"/>
          <w:sz w:val="24"/>
          <w:szCs w:val="24"/>
        </w:rPr>
        <w:t>og</w:t>
      </w:r>
      <w:r w:rsidRPr="006A0833">
        <w:rPr>
          <w:rFonts w:eastAsia="Calibri"/>
          <w:kern w:val="2"/>
          <w:sz w:val="24"/>
          <w:szCs w:val="24"/>
        </w:rPr>
        <w:t xml:space="preserve"> na zaštitu najranjivijih skupina, osiguravanje minimalnog životnog standarda te smanjenje društvenih nejednakosti. Plan se provodi kroz širok spektar sektorskih politika</w:t>
      </w:r>
      <w:r>
        <w:rPr>
          <w:rFonts w:eastAsia="Calibri"/>
          <w:kern w:val="2"/>
          <w:sz w:val="24"/>
          <w:szCs w:val="24"/>
        </w:rPr>
        <w:t>,</w:t>
      </w:r>
      <w:r w:rsidRPr="006A0833">
        <w:rPr>
          <w:rFonts w:eastAsia="Calibri"/>
          <w:kern w:val="2"/>
          <w:sz w:val="24"/>
          <w:szCs w:val="24"/>
        </w:rPr>
        <w:t xml:space="preserve"> od zdravstva, obrazovanja, zapošljavanja i mirovinskog sustava do stambene politike, socijalne skrbi, regionalnog razvoja, kulture, sporta i digitalizacije</w:t>
      </w:r>
      <w:r>
        <w:rPr>
          <w:rFonts w:eastAsia="Calibri"/>
          <w:kern w:val="2"/>
          <w:sz w:val="24"/>
          <w:szCs w:val="24"/>
        </w:rPr>
        <w:t>,</w:t>
      </w:r>
      <w:r w:rsidRPr="006A0833">
        <w:rPr>
          <w:rFonts w:eastAsia="Calibri"/>
          <w:kern w:val="2"/>
          <w:sz w:val="24"/>
          <w:szCs w:val="24"/>
        </w:rPr>
        <w:t xml:space="preserve"> čime se osigurava sustavan pristup jačanju socijalne uključenosti u svim segmentima društva. U </w:t>
      </w:r>
      <w:r>
        <w:rPr>
          <w:rFonts w:eastAsia="Calibri"/>
          <w:kern w:val="2"/>
          <w:sz w:val="24"/>
          <w:szCs w:val="24"/>
        </w:rPr>
        <w:t>okviru</w:t>
      </w:r>
      <w:r w:rsidRPr="006A0833">
        <w:rPr>
          <w:rFonts w:eastAsia="Calibri"/>
          <w:kern w:val="2"/>
          <w:sz w:val="24"/>
          <w:szCs w:val="24"/>
        </w:rPr>
        <w:t xml:space="preserve"> </w:t>
      </w:r>
      <w:r>
        <w:rPr>
          <w:rFonts w:eastAsia="Calibri"/>
          <w:kern w:val="2"/>
          <w:sz w:val="24"/>
          <w:szCs w:val="24"/>
        </w:rPr>
        <w:t>Nacionalnog plana, tijekom 2024.</w:t>
      </w:r>
      <w:r w:rsidRPr="006A0833">
        <w:rPr>
          <w:rFonts w:eastAsia="Calibri"/>
          <w:kern w:val="2"/>
          <w:sz w:val="24"/>
          <w:szCs w:val="24"/>
        </w:rPr>
        <w:t xml:space="preserve"> </w:t>
      </w:r>
      <w:r>
        <w:rPr>
          <w:rFonts w:eastAsia="Calibri"/>
          <w:kern w:val="2"/>
          <w:sz w:val="24"/>
          <w:szCs w:val="24"/>
        </w:rPr>
        <w:t>za</w:t>
      </w:r>
      <w:r w:rsidRPr="006E5A9C">
        <w:rPr>
          <w:rFonts w:eastAsia="Calibri"/>
          <w:kern w:val="2"/>
          <w:sz w:val="24"/>
          <w:szCs w:val="24"/>
        </w:rPr>
        <w:t xml:space="preserve">vršena je prva faza projekta </w:t>
      </w:r>
      <w:r w:rsidRPr="006A0833">
        <w:rPr>
          <w:rFonts w:eastAsia="Calibri"/>
          <w:kern w:val="2"/>
          <w:sz w:val="24"/>
          <w:szCs w:val="24"/>
        </w:rPr>
        <w:t xml:space="preserve">„Sveobuhvatna dijagnoza siromaštva i socijalne isključenosti“ financiranog iz Instrumenta </w:t>
      </w:r>
      <w:r>
        <w:rPr>
          <w:rFonts w:eastAsia="Calibri"/>
          <w:kern w:val="2"/>
          <w:sz w:val="24"/>
          <w:szCs w:val="24"/>
        </w:rPr>
        <w:t xml:space="preserve">tehničke pomoći. Projektom </w:t>
      </w:r>
      <w:r w:rsidRPr="006A0833">
        <w:rPr>
          <w:rFonts w:eastAsia="Calibri"/>
          <w:kern w:val="2"/>
          <w:sz w:val="24"/>
          <w:szCs w:val="24"/>
        </w:rPr>
        <w:t xml:space="preserve">je razvijena metodologija za uspostavu baze podataka i praćenje pokazatelja siromaštva i socijalne isključenosti na </w:t>
      </w:r>
      <w:proofErr w:type="spellStart"/>
      <w:r w:rsidRPr="006A0833">
        <w:rPr>
          <w:rFonts w:eastAsia="Calibri"/>
          <w:kern w:val="2"/>
          <w:sz w:val="24"/>
          <w:szCs w:val="24"/>
        </w:rPr>
        <w:t>podnacionalnoj</w:t>
      </w:r>
      <w:proofErr w:type="spellEnd"/>
      <w:r w:rsidRPr="006A0833">
        <w:rPr>
          <w:rFonts w:eastAsia="Calibri"/>
          <w:kern w:val="2"/>
          <w:sz w:val="24"/>
          <w:szCs w:val="24"/>
        </w:rPr>
        <w:t xml:space="preserve"> razini te </w:t>
      </w:r>
      <w:r>
        <w:rPr>
          <w:rFonts w:eastAsia="Calibri"/>
          <w:kern w:val="2"/>
          <w:sz w:val="24"/>
          <w:szCs w:val="24"/>
        </w:rPr>
        <w:t xml:space="preserve">su </w:t>
      </w:r>
      <w:r w:rsidRPr="006A0833">
        <w:rPr>
          <w:rFonts w:eastAsia="Calibri"/>
          <w:kern w:val="2"/>
          <w:sz w:val="24"/>
          <w:szCs w:val="24"/>
        </w:rPr>
        <w:t>izrađene preporuke za analizu podataka i izvješćivanje. Dodatno, razvijen je i u produkciju</w:t>
      </w:r>
      <w:r>
        <w:rPr>
          <w:rFonts w:eastAsia="Calibri"/>
          <w:kern w:val="2"/>
          <w:sz w:val="24"/>
          <w:szCs w:val="24"/>
        </w:rPr>
        <w:t xml:space="preserve"> stavljen</w:t>
      </w:r>
      <w:r w:rsidRPr="006A0833">
        <w:rPr>
          <w:rFonts w:eastAsia="Calibri"/>
          <w:kern w:val="2"/>
          <w:sz w:val="24"/>
          <w:szCs w:val="24"/>
        </w:rPr>
        <w:t xml:space="preserve"> informacijski sustav kojim se povezuje Hrvatski zavod za socijalni rad s pružateljima socijalnih usluga</w:t>
      </w:r>
      <w:r>
        <w:rPr>
          <w:rFonts w:eastAsia="Calibri"/>
          <w:kern w:val="2"/>
          <w:sz w:val="24"/>
          <w:szCs w:val="24"/>
        </w:rPr>
        <w:t>,</w:t>
      </w:r>
      <w:r w:rsidRPr="006A0833">
        <w:rPr>
          <w:rFonts w:eastAsia="Calibri"/>
          <w:kern w:val="2"/>
          <w:sz w:val="24"/>
          <w:szCs w:val="24"/>
        </w:rPr>
        <w:t xml:space="preserve"> radi boljeg praćenja korisnika i </w:t>
      </w:r>
      <w:r>
        <w:rPr>
          <w:rFonts w:eastAsia="Calibri"/>
          <w:kern w:val="2"/>
          <w:sz w:val="24"/>
          <w:szCs w:val="24"/>
        </w:rPr>
        <w:t xml:space="preserve">nadzora nad </w:t>
      </w:r>
      <w:r w:rsidRPr="006A0833">
        <w:rPr>
          <w:rFonts w:eastAsia="Calibri"/>
          <w:kern w:val="2"/>
          <w:sz w:val="24"/>
          <w:szCs w:val="24"/>
        </w:rPr>
        <w:t>usluga</w:t>
      </w:r>
      <w:r>
        <w:rPr>
          <w:rFonts w:eastAsia="Calibri"/>
          <w:kern w:val="2"/>
          <w:sz w:val="24"/>
          <w:szCs w:val="24"/>
        </w:rPr>
        <w:t>ma. Također,</w:t>
      </w:r>
      <w:r w:rsidRPr="006A0833">
        <w:rPr>
          <w:rFonts w:eastAsia="Calibri"/>
          <w:kern w:val="2"/>
          <w:sz w:val="24"/>
          <w:szCs w:val="24"/>
        </w:rPr>
        <w:t xml:space="preserve"> </w:t>
      </w:r>
      <w:r>
        <w:rPr>
          <w:rFonts w:eastAsia="Calibri"/>
          <w:kern w:val="2"/>
          <w:sz w:val="24"/>
          <w:szCs w:val="24"/>
        </w:rPr>
        <w:t>pokrenuta je</w:t>
      </w:r>
      <w:r w:rsidRPr="006A0833">
        <w:rPr>
          <w:rFonts w:eastAsia="Calibri"/>
          <w:kern w:val="2"/>
          <w:sz w:val="24"/>
          <w:szCs w:val="24"/>
        </w:rPr>
        <w:t xml:space="preserve"> uspostava Registra korisnika socijalnih usluga</w:t>
      </w:r>
      <w:r>
        <w:rPr>
          <w:rFonts w:eastAsia="Calibri"/>
          <w:kern w:val="2"/>
          <w:sz w:val="24"/>
          <w:szCs w:val="24"/>
        </w:rPr>
        <w:t>, koja će sadržavati</w:t>
      </w:r>
      <w:r w:rsidRPr="006A0833">
        <w:rPr>
          <w:rFonts w:eastAsia="Calibri"/>
          <w:kern w:val="2"/>
          <w:sz w:val="24"/>
          <w:szCs w:val="24"/>
        </w:rPr>
        <w:t xml:space="preserve"> i list</w:t>
      </w:r>
      <w:r>
        <w:rPr>
          <w:rFonts w:eastAsia="Calibri"/>
          <w:kern w:val="2"/>
          <w:sz w:val="24"/>
          <w:szCs w:val="24"/>
        </w:rPr>
        <w:t xml:space="preserve">u </w:t>
      </w:r>
      <w:r w:rsidRPr="008564C7">
        <w:rPr>
          <w:rFonts w:eastAsia="Calibri"/>
          <w:kern w:val="2"/>
          <w:sz w:val="24"/>
          <w:szCs w:val="24"/>
        </w:rPr>
        <w:t>zaprimljenih zahtjeva za pružanjem usluge</w:t>
      </w:r>
      <w:r w:rsidRPr="006A0833">
        <w:rPr>
          <w:rFonts w:eastAsia="Calibri"/>
          <w:kern w:val="2"/>
          <w:sz w:val="24"/>
          <w:szCs w:val="24"/>
        </w:rPr>
        <w:t xml:space="preserve">, što će u narednom razdoblju omogućiti sveobuhvatan i pravovremen uvid u </w:t>
      </w:r>
      <w:r>
        <w:rPr>
          <w:rFonts w:eastAsia="Calibri"/>
          <w:kern w:val="2"/>
          <w:sz w:val="24"/>
          <w:szCs w:val="24"/>
        </w:rPr>
        <w:t xml:space="preserve">stvarne </w:t>
      </w:r>
      <w:r w:rsidRPr="006A0833">
        <w:rPr>
          <w:rFonts w:eastAsia="Calibri"/>
          <w:kern w:val="2"/>
          <w:sz w:val="24"/>
          <w:szCs w:val="24"/>
        </w:rPr>
        <w:t xml:space="preserve">potrebe sustava te učinkovitije upravljanje mjerama </w:t>
      </w:r>
      <w:r>
        <w:rPr>
          <w:rFonts w:eastAsia="Calibri"/>
          <w:kern w:val="2"/>
          <w:sz w:val="24"/>
          <w:szCs w:val="24"/>
        </w:rPr>
        <w:t xml:space="preserve">i kapacitetima </w:t>
      </w:r>
      <w:r w:rsidRPr="006A0833">
        <w:rPr>
          <w:rFonts w:eastAsia="Calibri"/>
          <w:kern w:val="2"/>
          <w:sz w:val="24"/>
          <w:szCs w:val="24"/>
        </w:rPr>
        <w:t>za</w:t>
      </w:r>
      <w:r>
        <w:rPr>
          <w:rFonts w:eastAsia="Calibri"/>
          <w:kern w:val="2"/>
          <w:sz w:val="24"/>
          <w:szCs w:val="24"/>
        </w:rPr>
        <w:t xml:space="preserve"> </w:t>
      </w:r>
      <w:r w:rsidRPr="006A0833">
        <w:rPr>
          <w:rFonts w:eastAsia="Calibri"/>
          <w:kern w:val="2"/>
          <w:sz w:val="24"/>
          <w:szCs w:val="24"/>
        </w:rPr>
        <w:t>smanjenje siromaštva i socijalne isključenosti</w:t>
      </w:r>
      <w:r>
        <w:rPr>
          <w:rFonts w:eastAsia="Calibri"/>
          <w:kern w:val="2"/>
          <w:sz w:val="24"/>
          <w:szCs w:val="24"/>
        </w:rPr>
        <w:t xml:space="preserve">. </w:t>
      </w:r>
    </w:p>
    <w:p w14:paraId="196ADC26" w14:textId="77777777" w:rsidR="00FB178A" w:rsidRPr="0004221B" w:rsidRDefault="00FB178A" w:rsidP="00FB178A">
      <w:pPr>
        <w:spacing w:after="227" w:line="276" w:lineRule="auto"/>
        <w:ind w:right="9"/>
        <w:jc w:val="both"/>
        <w:rPr>
          <w:rFonts w:eastAsia="Calibri"/>
          <w:kern w:val="2"/>
          <w:sz w:val="24"/>
          <w:szCs w:val="24"/>
        </w:rPr>
      </w:pPr>
      <w:r w:rsidRPr="006E0ABD">
        <w:rPr>
          <w:rFonts w:eastAsia="Calibri"/>
          <w:kern w:val="2"/>
          <w:sz w:val="24"/>
          <w:szCs w:val="24"/>
        </w:rPr>
        <w:t>U okviru Nacionalnog plana provodi se i mjera usmjerena na osiguranje jednakosti pristupa i sudjelovanja ranjivih skupina u kulturi te unaprjeđenje medijske pismenosti</w:t>
      </w:r>
      <w:r>
        <w:rPr>
          <w:rFonts w:eastAsia="Calibri"/>
          <w:kern w:val="2"/>
          <w:sz w:val="24"/>
          <w:szCs w:val="24"/>
        </w:rPr>
        <w:t xml:space="preserve">. </w:t>
      </w:r>
      <w:r w:rsidRPr="006E0ABD">
        <w:rPr>
          <w:rFonts w:eastAsia="Calibri"/>
          <w:kern w:val="2"/>
          <w:sz w:val="24"/>
          <w:szCs w:val="24"/>
        </w:rPr>
        <w:t xml:space="preserve">U 2024. </w:t>
      </w:r>
      <w:r>
        <w:rPr>
          <w:rFonts w:eastAsia="Calibri"/>
          <w:kern w:val="2"/>
          <w:sz w:val="24"/>
          <w:szCs w:val="24"/>
        </w:rPr>
        <w:t xml:space="preserve">u </w:t>
      </w:r>
      <w:r w:rsidRPr="006E0ABD">
        <w:rPr>
          <w:rFonts w:eastAsia="Calibri"/>
          <w:kern w:val="2"/>
          <w:sz w:val="24"/>
          <w:szCs w:val="24"/>
        </w:rPr>
        <w:t xml:space="preserve">okviru Programa </w:t>
      </w:r>
      <w:r>
        <w:rPr>
          <w:rFonts w:eastAsia="Calibri"/>
          <w:kern w:val="2"/>
          <w:sz w:val="24"/>
          <w:szCs w:val="24"/>
        </w:rPr>
        <w:t>„</w:t>
      </w:r>
      <w:r w:rsidRPr="006E0ABD">
        <w:rPr>
          <w:rFonts w:eastAsia="Calibri"/>
          <w:kern w:val="2"/>
          <w:sz w:val="24"/>
          <w:szCs w:val="24"/>
        </w:rPr>
        <w:t>Učinkoviti ljudski potencijali 2021. – 2027.</w:t>
      </w:r>
      <w:r>
        <w:rPr>
          <w:rFonts w:eastAsia="Calibri"/>
          <w:kern w:val="2"/>
          <w:sz w:val="24"/>
          <w:szCs w:val="24"/>
        </w:rPr>
        <w:t>“</w:t>
      </w:r>
      <w:r w:rsidRPr="006E0ABD">
        <w:rPr>
          <w:rFonts w:eastAsia="Calibri"/>
          <w:kern w:val="2"/>
          <w:sz w:val="24"/>
          <w:szCs w:val="24"/>
        </w:rPr>
        <w:t>, objav</w:t>
      </w:r>
      <w:r>
        <w:rPr>
          <w:rFonts w:eastAsia="Calibri"/>
          <w:kern w:val="2"/>
          <w:sz w:val="24"/>
          <w:szCs w:val="24"/>
        </w:rPr>
        <w:t>ljen</w:t>
      </w:r>
      <w:r w:rsidRPr="006E0ABD">
        <w:rPr>
          <w:rFonts w:eastAsia="Calibri"/>
          <w:kern w:val="2"/>
          <w:sz w:val="24"/>
          <w:szCs w:val="24"/>
        </w:rPr>
        <w:t xml:space="preserve"> je otvoreni privremeni poziv na dostavu projektnih prijedloga „</w:t>
      </w:r>
      <w:proofErr w:type="spellStart"/>
      <w:r w:rsidRPr="006E0ABD">
        <w:rPr>
          <w:rFonts w:eastAsia="Calibri"/>
          <w:kern w:val="2"/>
          <w:sz w:val="24"/>
          <w:szCs w:val="24"/>
        </w:rPr>
        <w:t>Inkluzivne</w:t>
      </w:r>
      <w:proofErr w:type="spellEnd"/>
      <w:r w:rsidRPr="006E0ABD">
        <w:rPr>
          <w:rFonts w:eastAsia="Calibri"/>
          <w:kern w:val="2"/>
          <w:sz w:val="24"/>
          <w:szCs w:val="24"/>
        </w:rPr>
        <w:t xml:space="preserve"> usluge ustanova u kulturi“. Opći cilj Poziva bio je povećanje socijalne uključenosti ranjivih skupina provedbom </w:t>
      </w:r>
      <w:proofErr w:type="spellStart"/>
      <w:r w:rsidRPr="006E0ABD">
        <w:rPr>
          <w:rFonts w:eastAsia="Calibri"/>
          <w:kern w:val="2"/>
          <w:sz w:val="24"/>
          <w:szCs w:val="24"/>
        </w:rPr>
        <w:t>inkluzivnih</w:t>
      </w:r>
      <w:proofErr w:type="spellEnd"/>
      <w:r w:rsidRPr="006E0ABD">
        <w:rPr>
          <w:rFonts w:eastAsia="Calibri"/>
          <w:kern w:val="2"/>
          <w:sz w:val="24"/>
          <w:szCs w:val="24"/>
        </w:rPr>
        <w:t xml:space="preserve"> usluga ustanova u kulturi,  a ukupna raspoloživa financijska sredstva  iznosila su 5</w:t>
      </w:r>
      <w:r>
        <w:rPr>
          <w:rFonts w:eastAsia="Calibri"/>
          <w:kern w:val="2"/>
          <w:sz w:val="24"/>
          <w:szCs w:val="24"/>
        </w:rPr>
        <w:t>,</w:t>
      </w:r>
      <w:r w:rsidRPr="006E0ABD">
        <w:rPr>
          <w:rFonts w:eastAsia="Calibri"/>
          <w:kern w:val="2"/>
          <w:sz w:val="24"/>
          <w:szCs w:val="24"/>
        </w:rPr>
        <w:t>4</w:t>
      </w:r>
      <w:r>
        <w:rPr>
          <w:rFonts w:eastAsia="Calibri"/>
          <w:kern w:val="2"/>
          <w:sz w:val="24"/>
          <w:szCs w:val="24"/>
        </w:rPr>
        <w:t xml:space="preserve"> milijuna eura</w:t>
      </w:r>
      <w:r w:rsidRPr="006E0ABD">
        <w:rPr>
          <w:rFonts w:eastAsia="Calibri"/>
          <w:kern w:val="2"/>
          <w:sz w:val="24"/>
          <w:szCs w:val="24"/>
        </w:rPr>
        <w:t>. U 2024. bio je u tijeku</w:t>
      </w:r>
      <w:r>
        <w:rPr>
          <w:rFonts w:eastAsia="Calibri"/>
          <w:kern w:val="2"/>
          <w:sz w:val="24"/>
          <w:szCs w:val="24"/>
        </w:rPr>
        <w:t xml:space="preserve"> </w:t>
      </w:r>
      <w:r w:rsidRPr="006E0ABD">
        <w:rPr>
          <w:rFonts w:eastAsia="Calibri"/>
          <w:kern w:val="2"/>
          <w:sz w:val="24"/>
          <w:szCs w:val="24"/>
        </w:rPr>
        <w:t>i otvoreni trajni poziv „Obnova javne kulturne infrastrukture</w:t>
      </w:r>
      <w:r>
        <w:rPr>
          <w:rFonts w:eastAsia="Calibri"/>
          <w:kern w:val="2"/>
          <w:sz w:val="24"/>
          <w:szCs w:val="24"/>
        </w:rPr>
        <w:t xml:space="preserve">“. </w:t>
      </w:r>
      <w:r w:rsidRPr="006E0ABD">
        <w:rPr>
          <w:rFonts w:eastAsia="Calibri"/>
          <w:kern w:val="2"/>
          <w:sz w:val="24"/>
          <w:szCs w:val="24"/>
        </w:rPr>
        <w:t>Svrha Poziva bila je povećanje pristupačnosti i sudjelovanja u kulturnom životu svih građana, osobito pripadnika ranjivih skupina i stvaranje preduvjeta za razvoj inovativnih usluga u kulturi</w:t>
      </w:r>
      <w:r>
        <w:rPr>
          <w:rFonts w:eastAsia="Calibri"/>
          <w:kern w:val="2"/>
          <w:sz w:val="24"/>
          <w:szCs w:val="24"/>
        </w:rPr>
        <w:t>. U</w:t>
      </w:r>
      <w:r w:rsidRPr="006E0ABD">
        <w:rPr>
          <w:rFonts w:eastAsia="Calibri"/>
          <w:kern w:val="2"/>
          <w:sz w:val="24"/>
          <w:szCs w:val="24"/>
        </w:rPr>
        <w:t>kupna vrijednost poziva bila je 70 milijuna eura.</w:t>
      </w:r>
    </w:p>
    <w:p w14:paraId="338C4C7C" w14:textId="77777777" w:rsidR="00FB178A" w:rsidRPr="0004221B" w:rsidRDefault="00FB178A" w:rsidP="00FB178A">
      <w:pPr>
        <w:spacing w:after="271" w:line="276" w:lineRule="auto"/>
        <w:ind w:right="9"/>
        <w:jc w:val="both"/>
        <w:rPr>
          <w:rFonts w:eastAsia="Calibri"/>
          <w:kern w:val="2"/>
          <w:sz w:val="24"/>
          <w:szCs w:val="24"/>
        </w:rPr>
      </w:pPr>
      <w:r w:rsidRPr="00EF59AF">
        <w:rPr>
          <w:rFonts w:eastAsia="Calibri"/>
          <w:kern w:val="2"/>
          <w:sz w:val="24"/>
          <w:szCs w:val="24"/>
        </w:rPr>
        <w:t>U svrhu osiguravanja potpore i pomoći u svakodnevnom životu starijim osobama i osobama s invaliditetom</w:t>
      </w:r>
      <w:r>
        <w:rPr>
          <w:rFonts w:eastAsia="Calibri"/>
          <w:kern w:val="2"/>
          <w:sz w:val="24"/>
          <w:szCs w:val="24"/>
        </w:rPr>
        <w:t xml:space="preserve"> </w:t>
      </w:r>
      <w:r w:rsidRPr="00EF59AF">
        <w:rPr>
          <w:rFonts w:eastAsia="Calibri"/>
          <w:kern w:val="2"/>
          <w:sz w:val="24"/>
          <w:szCs w:val="24"/>
        </w:rPr>
        <w:t>u svibnju 2024. godine</w:t>
      </w:r>
      <w:r>
        <w:rPr>
          <w:rFonts w:eastAsia="Calibri"/>
          <w:kern w:val="2"/>
          <w:sz w:val="24"/>
          <w:szCs w:val="24"/>
        </w:rPr>
        <w:t xml:space="preserve"> zatvoren</w:t>
      </w:r>
      <w:r w:rsidRPr="00EF59AF">
        <w:rPr>
          <w:rFonts w:eastAsia="Calibri"/>
          <w:kern w:val="2"/>
          <w:sz w:val="24"/>
          <w:szCs w:val="24"/>
        </w:rPr>
        <w:t xml:space="preserve"> je Poziv „Zaželi“</w:t>
      </w:r>
      <w:r>
        <w:rPr>
          <w:rFonts w:eastAsia="Calibri"/>
          <w:kern w:val="2"/>
          <w:sz w:val="24"/>
          <w:szCs w:val="24"/>
        </w:rPr>
        <w:t>.</w:t>
      </w:r>
      <w:r w:rsidRPr="00EF59AF">
        <w:rPr>
          <w:rFonts w:eastAsia="Calibri"/>
          <w:kern w:val="2"/>
          <w:sz w:val="24"/>
          <w:szCs w:val="24"/>
        </w:rPr>
        <w:t xml:space="preserve"> U okviru  poziva </w:t>
      </w:r>
      <w:r>
        <w:rPr>
          <w:rFonts w:eastAsia="Calibri"/>
          <w:kern w:val="2"/>
          <w:sz w:val="24"/>
          <w:szCs w:val="24"/>
        </w:rPr>
        <w:t xml:space="preserve">financiranog iz </w:t>
      </w:r>
      <w:r w:rsidRPr="00EF59AF">
        <w:rPr>
          <w:rFonts w:eastAsia="Calibri"/>
          <w:kern w:val="2"/>
          <w:sz w:val="24"/>
          <w:szCs w:val="24"/>
        </w:rPr>
        <w:t>Programa „Učinkoviti ljudski potencijali 2021.</w:t>
      </w:r>
      <w:r>
        <w:rPr>
          <w:rFonts w:eastAsia="Calibri"/>
          <w:kern w:val="2"/>
          <w:sz w:val="24"/>
          <w:szCs w:val="24"/>
        </w:rPr>
        <w:t xml:space="preserve"> - </w:t>
      </w:r>
      <w:r w:rsidRPr="00EF59AF">
        <w:rPr>
          <w:rFonts w:eastAsia="Calibri"/>
          <w:kern w:val="2"/>
          <w:sz w:val="24"/>
          <w:szCs w:val="24"/>
        </w:rPr>
        <w:t>2027.“</w:t>
      </w:r>
      <w:r>
        <w:rPr>
          <w:rFonts w:eastAsia="Calibri"/>
          <w:kern w:val="2"/>
          <w:sz w:val="24"/>
          <w:szCs w:val="24"/>
        </w:rPr>
        <w:t xml:space="preserve"> sklopljeno</w:t>
      </w:r>
      <w:r w:rsidRPr="00EF59AF">
        <w:rPr>
          <w:rFonts w:eastAsia="Calibri"/>
          <w:kern w:val="2"/>
          <w:sz w:val="24"/>
          <w:szCs w:val="24"/>
        </w:rPr>
        <w:t xml:space="preserve"> je ukupno 514 ugovora o </w:t>
      </w:r>
      <w:r>
        <w:rPr>
          <w:rFonts w:eastAsia="Calibri"/>
          <w:kern w:val="2"/>
          <w:sz w:val="24"/>
          <w:szCs w:val="24"/>
        </w:rPr>
        <w:t xml:space="preserve">dodjeli </w:t>
      </w:r>
      <w:r w:rsidRPr="00EF59AF">
        <w:rPr>
          <w:rFonts w:eastAsia="Calibri"/>
          <w:kern w:val="2"/>
          <w:sz w:val="24"/>
          <w:szCs w:val="24"/>
        </w:rPr>
        <w:t>bespovratni</w:t>
      </w:r>
      <w:r>
        <w:rPr>
          <w:rFonts w:eastAsia="Calibri"/>
          <w:kern w:val="2"/>
          <w:sz w:val="24"/>
          <w:szCs w:val="24"/>
        </w:rPr>
        <w:t>h</w:t>
      </w:r>
      <w:r w:rsidRPr="00EF59AF">
        <w:rPr>
          <w:rFonts w:eastAsia="Calibri"/>
          <w:kern w:val="2"/>
          <w:sz w:val="24"/>
          <w:szCs w:val="24"/>
        </w:rPr>
        <w:t xml:space="preserve"> sredst</w:t>
      </w:r>
      <w:r>
        <w:rPr>
          <w:rFonts w:eastAsia="Calibri"/>
          <w:kern w:val="2"/>
          <w:sz w:val="24"/>
          <w:szCs w:val="24"/>
        </w:rPr>
        <w:t>a</w:t>
      </w:r>
      <w:r w:rsidRPr="00EF59AF">
        <w:rPr>
          <w:rFonts w:eastAsia="Calibri"/>
          <w:kern w:val="2"/>
          <w:sz w:val="24"/>
          <w:szCs w:val="24"/>
        </w:rPr>
        <w:t>va</w:t>
      </w:r>
      <w:r>
        <w:rPr>
          <w:rFonts w:eastAsia="Calibri"/>
          <w:kern w:val="2"/>
          <w:sz w:val="24"/>
          <w:szCs w:val="24"/>
        </w:rPr>
        <w:t>,</w:t>
      </w:r>
      <w:r w:rsidRPr="00EF59AF">
        <w:rPr>
          <w:rFonts w:eastAsia="Calibri"/>
          <w:kern w:val="2"/>
          <w:sz w:val="24"/>
          <w:szCs w:val="24"/>
        </w:rPr>
        <w:t xml:space="preserve"> u ukupnoj vrijednosti 460,65 milijuna eura</w:t>
      </w:r>
      <w:r>
        <w:rPr>
          <w:rFonts w:eastAsia="Calibri"/>
          <w:kern w:val="2"/>
          <w:sz w:val="24"/>
          <w:szCs w:val="24"/>
        </w:rPr>
        <w:t>. Pozivom se financira</w:t>
      </w:r>
      <w:r w:rsidRPr="00EF59AF">
        <w:rPr>
          <w:rFonts w:eastAsia="Calibri"/>
          <w:kern w:val="2"/>
          <w:sz w:val="24"/>
          <w:szCs w:val="24"/>
        </w:rPr>
        <w:t xml:space="preserve"> dugoročno pružanje usluga pomoći i podrške u zajednici te jačanje kapaciteta lokalnih pružatelja socijalnih usluga. </w:t>
      </w:r>
      <w:r>
        <w:rPr>
          <w:rFonts w:eastAsia="Calibri"/>
          <w:kern w:val="2"/>
          <w:sz w:val="24"/>
          <w:szCs w:val="24"/>
        </w:rPr>
        <w:t>Istovremeno</w:t>
      </w:r>
      <w:r w:rsidRPr="00EF59AF">
        <w:rPr>
          <w:rFonts w:eastAsia="Calibri"/>
          <w:kern w:val="2"/>
          <w:sz w:val="24"/>
          <w:szCs w:val="24"/>
        </w:rPr>
        <w:t xml:space="preserve">, radi povećanja dostupnosti i regionalne pokrivenosti </w:t>
      </w:r>
      <w:proofErr w:type="spellStart"/>
      <w:r w:rsidRPr="00EF59AF">
        <w:rPr>
          <w:rFonts w:eastAsia="Calibri"/>
          <w:kern w:val="2"/>
          <w:sz w:val="24"/>
          <w:szCs w:val="24"/>
        </w:rPr>
        <w:t>izvaninstitucijskim</w:t>
      </w:r>
      <w:proofErr w:type="spellEnd"/>
      <w:r w:rsidRPr="00EF59AF">
        <w:rPr>
          <w:rFonts w:eastAsia="Calibri"/>
          <w:kern w:val="2"/>
          <w:sz w:val="24"/>
          <w:szCs w:val="24"/>
        </w:rPr>
        <w:t xml:space="preserve"> socijalnim uslugama te smanjenja socijalne isključenosti i poboljšanja kvalitete života ranjivih skupina, tijekom 2024. </w:t>
      </w:r>
      <w:r w:rsidRPr="008F5ABD">
        <w:rPr>
          <w:rFonts w:eastAsia="Calibri"/>
          <w:kern w:val="2"/>
          <w:sz w:val="24"/>
          <w:szCs w:val="24"/>
        </w:rPr>
        <w:t>u okviru poziva „Razvoj i širenje mreže socijalnih usluga za razdoblje 2023.</w:t>
      </w:r>
      <w:r>
        <w:rPr>
          <w:rFonts w:eastAsia="Calibri"/>
          <w:kern w:val="2"/>
          <w:sz w:val="24"/>
          <w:szCs w:val="24"/>
        </w:rPr>
        <w:t>-</w:t>
      </w:r>
      <w:r w:rsidRPr="008F5ABD">
        <w:rPr>
          <w:rFonts w:eastAsia="Calibri"/>
          <w:kern w:val="2"/>
          <w:sz w:val="24"/>
          <w:szCs w:val="24"/>
        </w:rPr>
        <w:t>2025.“</w:t>
      </w:r>
      <w:r>
        <w:rPr>
          <w:rFonts w:eastAsia="Calibri"/>
          <w:kern w:val="2"/>
          <w:sz w:val="24"/>
          <w:szCs w:val="24"/>
        </w:rPr>
        <w:t xml:space="preserve"> osigurano je financiranje </w:t>
      </w:r>
      <w:r w:rsidRPr="00EF59AF">
        <w:rPr>
          <w:rFonts w:eastAsia="Calibri"/>
          <w:kern w:val="2"/>
          <w:sz w:val="24"/>
          <w:szCs w:val="24"/>
        </w:rPr>
        <w:t>organizacij</w:t>
      </w:r>
      <w:r>
        <w:rPr>
          <w:rFonts w:eastAsia="Calibri"/>
          <w:kern w:val="2"/>
          <w:sz w:val="24"/>
          <w:szCs w:val="24"/>
        </w:rPr>
        <w:t>a</w:t>
      </w:r>
      <w:r w:rsidRPr="00EF59AF">
        <w:rPr>
          <w:rFonts w:eastAsia="Calibri"/>
          <w:kern w:val="2"/>
          <w:sz w:val="24"/>
          <w:szCs w:val="24"/>
        </w:rPr>
        <w:t xml:space="preserve"> civilnoga društva </w:t>
      </w:r>
      <w:r>
        <w:rPr>
          <w:rFonts w:eastAsia="Calibri"/>
          <w:kern w:val="2"/>
          <w:sz w:val="24"/>
          <w:szCs w:val="24"/>
        </w:rPr>
        <w:t xml:space="preserve">za </w:t>
      </w:r>
      <w:r w:rsidRPr="00EF59AF">
        <w:rPr>
          <w:rFonts w:eastAsia="Calibri"/>
          <w:kern w:val="2"/>
          <w:sz w:val="24"/>
          <w:szCs w:val="24"/>
        </w:rPr>
        <w:t>prov</w:t>
      </w:r>
      <w:r>
        <w:rPr>
          <w:rFonts w:eastAsia="Calibri"/>
          <w:kern w:val="2"/>
          <w:sz w:val="24"/>
          <w:szCs w:val="24"/>
        </w:rPr>
        <w:t>edbu</w:t>
      </w:r>
      <w:r w:rsidRPr="00EF59AF">
        <w:rPr>
          <w:rFonts w:eastAsia="Calibri"/>
          <w:kern w:val="2"/>
          <w:sz w:val="24"/>
          <w:szCs w:val="24"/>
        </w:rPr>
        <w:t xml:space="preserve"> različit</w:t>
      </w:r>
      <w:r>
        <w:rPr>
          <w:rFonts w:eastAsia="Calibri"/>
          <w:kern w:val="2"/>
          <w:sz w:val="24"/>
          <w:szCs w:val="24"/>
        </w:rPr>
        <w:t xml:space="preserve">ih </w:t>
      </w:r>
      <w:r w:rsidRPr="00EF59AF">
        <w:rPr>
          <w:rFonts w:eastAsia="Calibri"/>
          <w:kern w:val="2"/>
          <w:sz w:val="24"/>
          <w:szCs w:val="24"/>
        </w:rPr>
        <w:t>oblik</w:t>
      </w:r>
      <w:r>
        <w:rPr>
          <w:rFonts w:eastAsia="Calibri"/>
          <w:kern w:val="2"/>
          <w:sz w:val="24"/>
          <w:szCs w:val="24"/>
        </w:rPr>
        <w:t>a</w:t>
      </w:r>
      <w:r w:rsidRPr="00EF59AF">
        <w:rPr>
          <w:rFonts w:eastAsia="Calibri"/>
          <w:kern w:val="2"/>
          <w:sz w:val="24"/>
          <w:szCs w:val="24"/>
        </w:rPr>
        <w:t xml:space="preserve"> podrške korisnicima, dodatno doprinoseći cilju jačanja usluga u zajednici i sprječavanju prerane institucionalizacije</w:t>
      </w:r>
      <w:r>
        <w:rPr>
          <w:rFonts w:eastAsia="Calibri"/>
          <w:kern w:val="2"/>
          <w:sz w:val="24"/>
          <w:szCs w:val="24"/>
        </w:rPr>
        <w:t xml:space="preserve"> starijih i osoba s invaliditetom.</w:t>
      </w:r>
    </w:p>
    <w:p w14:paraId="285F111B" w14:textId="77777777" w:rsidR="00FB178A" w:rsidRDefault="00FB178A" w:rsidP="00FB178A">
      <w:pPr>
        <w:spacing w:after="226" w:line="276" w:lineRule="auto"/>
        <w:ind w:right="9"/>
        <w:jc w:val="both"/>
        <w:rPr>
          <w:rFonts w:eastAsia="Calibri"/>
          <w:kern w:val="2"/>
          <w:sz w:val="24"/>
          <w:szCs w:val="24"/>
        </w:rPr>
      </w:pPr>
      <w:r w:rsidRPr="00D534C8">
        <w:rPr>
          <w:rFonts w:eastAsia="Calibri"/>
          <w:kern w:val="2"/>
          <w:sz w:val="24"/>
          <w:szCs w:val="24"/>
        </w:rPr>
        <w:t xml:space="preserve">Tijekom 2024. nastavljene su aktivnosti na provedbi procesa </w:t>
      </w:r>
      <w:proofErr w:type="spellStart"/>
      <w:r w:rsidRPr="00D534C8">
        <w:rPr>
          <w:rFonts w:eastAsia="Calibri"/>
          <w:kern w:val="2"/>
          <w:sz w:val="24"/>
          <w:szCs w:val="24"/>
        </w:rPr>
        <w:t>deinstitucionalizacije</w:t>
      </w:r>
      <w:proofErr w:type="spellEnd"/>
      <w:r w:rsidRPr="00D534C8">
        <w:rPr>
          <w:rFonts w:eastAsia="Calibri"/>
          <w:kern w:val="2"/>
          <w:sz w:val="24"/>
          <w:szCs w:val="24"/>
        </w:rPr>
        <w:t xml:space="preserve"> korisnika, prevenciji njihove institucionalizacije i transformacij</w:t>
      </w:r>
      <w:r>
        <w:rPr>
          <w:rFonts w:eastAsia="Calibri"/>
          <w:kern w:val="2"/>
          <w:sz w:val="24"/>
          <w:szCs w:val="24"/>
        </w:rPr>
        <w:t>e</w:t>
      </w:r>
      <w:r w:rsidRPr="00D534C8">
        <w:rPr>
          <w:rFonts w:eastAsia="Calibri"/>
          <w:kern w:val="2"/>
          <w:sz w:val="24"/>
          <w:szCs w:val="24"/>
        </w:rPr>
        <w:t xml:space="preserve"> pružatelja usluga u okviru Projekta „Prijelaz s institucionalne skrbi na skrb i podršku u zajednici za djecu, mlade i osobe s </w:t>
      </w:r>
      <w:r w:rsidRPr="00D534C8">
        <w:rPr>
          <w:rFonts w:eastAsia="Calibri"/>
          <w:kern w:val="2"/>
          <w:sz w:val="24"/>
          <w:szCs w:val="24"/>
        </w:rPr>
        <w:lastRenderedPageBreak/>
        <w:t xml:space="preserve">invaliditetom“ koji se provodi u suradnji sa Svjetskom bankom. Osigurana je stručna podrška za izradu 38 individualnih planova </w:t>
      </w:r>
      <w:proofErr w:type="spellStart"/>
      <w:r w:rsidRPr="00D534C8">
        <w:rPr>
          <w:rFonts w:eastAsia="Calibri"/>
          <w:kern w:val="2"/>
          <w:sz w:val="24"/>
          <w:szCs w:val="24"/>
        </w:rPr>
        <w:t>deinstitucionalizacije</w:t>
      </w:r>
      <w:proofErr w:type="spellEnd"/>
      <w:r w:rsidRPr="00D534C8">
        <w:rPr>
          <w:rFonts w:eastAsia="Calibri"/>
          <w:kern w:val="2"/>
          <w:sz w:val="24"/>
          <w:szCs w:val="24"/>
        </w:rPr>
        <w:t>, prevencije institucionalizacije i transformacije državnih pružatelja socijalnih usluga, pri čemu je do kraja 2024. usvojeno 26 planova, dok je preostalih 12 izrađeno i njihovo usvajanje planirano u prvom tromjesečju 2025., uz uspostavu mehanizama za praćenje prelaska s institucionalne skrbi na usluge u zajednici</w:t>
      </w:r>
      <w:r>
        <w:rPr>
          <w:rFonts w:eastAsia="Calibri"/>
          <w:kern w:val="2"/>
          <w:sz w:val="24"/>
          <w:szCs w:val="24"/>
        </w:rPr>
        <w:t xml:space="preserve"> (projekt je uspješno završio u veljači 2025)</w:t>
      </w:r>
      <w:r w:rsidRPr="00D534C8">
        <w:rPr>
          <w:rFonts w:eastAsia="Calibri"/>
          <w:kern w:val="2"/>
          <w:sz w:val="24"/>
          <w:szCs w:val="24"/>
        </w:rPr>
        <w:t xml:space="preserve">. </w:t>
      </w:r>
      <w:r>
        <w:rPr>
          <w:rFonts w:eastAsia="Calibri"/>
          <w:kern w:val="2"/>
          <w:sz w:val="24"/>
          <w:szCs w:val="24"/>
        </w:rPr>
        <w:t xml:space="preserve">S ciljem </w:t>
      </w:r>
      <w:r w:rsidRPr="00770891">
        <w:rPr>
          <w:rFonts w:eastAsia="Calibri"/>
          <w:kern w:val="2"/>
          <w:sz w:val="24"/>
          <w:szCs w:val="24"/>
        </w:rPr>
        <w:t>osiguravanj</w:t>
      </w:r>
      <w:r>
        <w:rPr>
          <w:rFonts w:eastAsia="Calibri"/>
          <w:kern w:val="2"/>
          <w:sz w:val="24"/>
          <w:szCs w:val="24"/>
        </w:rPr>
        <w:t>a</w:t>
      </w:r>
      <w:r w:rsidRPr="00770891">
        <w:rPr>
          <w:rFonts w:eastAsia="Calibri"/>
          <w:kern w:val="2"/>
          <w:sz w:val="24"/>
          <w:szCs w:val="24"/>
        </w:rPr>
        <w:t xml:space="preserve"> socijalne uključenosti i unapređenje kvalitete života osoba s invaliditetom i djece s teškoćama u razvoju kroz ulaganja u infrastrukturu i edukaciju</w:t>
      </w:r>
      <w:r>
        <w:rPr>
          <w:rFonts w:eastAsia="Calibri"/>
          <w:kern w:val="2"/>
          <w:sz w:val="24"/>
          <w:szCs w:val="24"/>
        </w:rPr>
        <w:t>, u studenom 2024. objavljen je ograničeni poziv „</w:t>
      </w:r>
      <w:r w:rsidRPr="00D534C8">
        <w:rPr>
          <w:rFonts w:eastAsia="Calibri"/>
          <w:kern w:val="2"/>
          <w:sz w:val="24"/>
          <w:szCs w:val="24"/>
        </w:rPr>
        <w:t>Unaprjeđivanje infrastrukture za pružanje socijalnih usluga u zajednici osobama s invaliditetom“</w:t>
      </w:r>
      <w:r>
        <w:rPr>
          <w:rFonts w:eastAsia="Calibri"/>
          <w:kern w:val="2"/>
          <w:sz w:val="24"/>
          <w:szCs w:val="24"/>
        </w:rPr>
        <w:t>. Za provedbu poziva predviđeno je 48,35 milijuna eura bespovratnih sredstava</w:t>
      </w:r>
      <w:r w:rsidRPr="00D534C8">
        <w:rPr>
          <w:rFonts w:eastAsia="Calibri"/>
          <w:kern w:val="2"/>
          <w:sz w:val="24"/>
          <w:szCs w:val="24"/>
        </w:rPr>
        <w:t xml:space="preserve"> </w:t>
      </w:r>
      <w:r>
        <w:rPr>
          <w:rFonts w:eastAsia="Calibri"/>
          <w:kern w:val="2"/>
          <w:sz w:val="24"/>
          <w:szCs w:val="24"/>
        </w:rPr>
        <w:t>namijenjenih</w:t>
      </w:r>
      <w:r w:rsidRPr="00D534C8">
        <w:rPr>
          <w:rFonts w:eastAsia="Calibri"/>
          <w:kern w:val="2"/>
          <w:sz w:val="24"/>
          <w:szCs w:val="24"/>
        </w:rPr>
        <w:t xml:space="preserve"> jačanj</w:t>
      </w:r>
      <w:r>
        <w:rPr>
          <w:rFonts w:eastAsia="Calibri"/>
          <w:kern w:val="2"/>
          <w:sz w:val="24"/>
          <w:szCs w:val="24"/>
        </w:rPr>
        <w:t>u</w:t>
      </w:r>
      <w:r w:rsidRPr="00D534C8">
        <w:rPr>
          <w:rFonts w:eastAsia="Calibri"/>
          <w:kern w:val="2"/>
          <w:sz w:val="24"/>
          <w:szCs w:val="24"/>
        </w:rPr>
        <w:t xml:space="preserve"> infrastrukture i razvoj</w:t>
      </w:r>
      <w:r>
        <w:rPr>
          <w:rFonts w:eastAsia="Calibri"/>
          <w:kern w:val="2"/>
          <w:sz w:val="24"/>
          <w:szCs w:val="24"/>
        </w:rPr>
        <w:t>u</w:t>
      </w:r>
      <w:r w:rsidRPr="00D534C8">
        <w:rPr>
          <w:rFonts w:eastAsia="Calibri"/>
          <w:kern w:val="2"/>
          <w:sz w:val="24"/>
          <w:szCs w:val="24"/>
        </w:rPr>
        <w:t xml:space="preserve"> mreže usluga u zajednici za djecu s teškoćama u razvoju, osobe s invaliditetom i njihove obitelji</w:t>
      </w:r>
      <w:r>
        <w:rPr>
          <w:rFonts w:eastAsia="Calibri"/>
          <w:kern w:val="2"/>
          <w:sz w:val="24"/>
          <w:szCs w:val="24"/>
        </w:rPr>
        <w:t xml:space="preserve">. </w:t>
      </w:r>
      <w:r w:rsidRPr="00BA0DBE">
        <w:rPr>
          <w:rFonts w:eastAsia="Calibri"/>
          <w:kern w:val="2"/>
          <w:sz w:val="24"/>
          <w:szCs w:val="24"/>
        </w:rPr>
        <w:t>Poziv ne samo da potiče razvoj socijalne infrastrukture, već pruža</w:t>
      </w:r>
      <w:r>
        <w:rPr>
          <w:rFonts w:eastAsia="Calibri"/>
          <w:kern w:val="2"/>
          <w:sz w:val="24"/>
          <w:szCs w:val="24"/>
        </w:rPr>
        <w:t xml:space="preserve"> i</w:t>
      </w:r>
      <w:r w:rsidRPr="00BA0DBE">
        <w:rPr>
          <w:rFonts w:eastAsia="Calibri"/>
          <w:kern w:val="2"/>
          <w:sz w:val="24"/>
          <w:szCs w:val="24"/>
        </w:rPr>
        <w:t xml:space="preserve"> podršku procesu </w:t>
      </w:r>
      <w:proofErr w:type="spellStart"/>
      <w:r w:rsidRPr="00BA0DBE">
        <w:rPr>
          <w:rFonts w:eastAsia="Calibri"/>
          <w:kern w:val="2"/>
          <w:sz w:val="24"/>
          <w:szCs w:val="24"/>
        </w:rPr>
        <w:t>deinstitucionalizacije</w:t>
      </w:r>
      <w:proofErr w:type="spellEnd"/>
      <w:r w:rsidRPr="00BA0DBE">
        <w:rPr>
          <w:rFonts w:eastAsia="Calibri"/>
          <w:kern w:val="2"/>
          <w:sz w:val="24"/>
          <w:szCs w:val="24"/>
        </w:rPr>
        <w:t xml:space="preserve"> i omogućava osnaživanje zajednica kroz organizirano stanovanje i stručnu podršku. </w:t>
      </w:r>
      <w:r>
        <w:rPr>
          <w:rFonts w:eastAsia="Calibri"/>
          <w:kern w:val="2"/>
          <w:sz w:val="24"/>
          <w:szCs w:val="24"/>
        </w:rPr>
        <w:t xml:space="preserve">Također, u prosincu 2024. objavljen je </w:t>
      </w:r>
      <w:r w:rsidRPr="00D534C8">
        <w:rPr>
          <w:rFonts w:eastAsia="Calibri"/>
          <w:kern w:val="2"/>
          <w:sz w:val="24"/>
          <w:szCs w:val="24"/>
        </w:rPr>
        <w:t>drug</w:t>
      </w:r>
      <w:r>
        <w:rPr>
          <w:rFonts w:eastAsia="Calibri"/>
          <w:kern w:val="2"/>
          <w:sz w:val="24"/>
          <w:szCs w:val="24"/>
        </w:rPr>
        <w:t>i</w:t>
      </w:r>
      <w:r w:rsidRPr="00D534C8">
        <w:rPr>
          <w:rFonts w:eastAsia="Calibri"/>
          <w:kern w:val="2"/>
          <w:sz w:val="24"/>
          <w:szCs w:val="24"/>
        </w:rPr>
        <w:t xml:space="preserve"> ograničen</w:t>
      </w:r>
      <w:r>
        <w:rPr>
          <w:rFonts w:eastAsia="Calibri"/>
          <w:kern w:val="2"/>
          <w:sz w:val="24"/>
          <w:szCs w:val="24"/>
        </w:rPr>
        <w:t>i</w:t>
      </w:r>
      <w:r w:rsidRPr="00D534C8">
        <w:rPr>
          <w:rFonts w:eastAsia="Calibri"/>
          <w:kern w:val="2"/>
          <w:sz w:val="24"/>
          <w:szCs w:val="24"/>
        </w:rPr>
        <w:t xml:space="preserve"> poziv „Unaprjeđenje infrastrukture za pružanje socijalnih usluga u zajednici za djecu, mlade i obitelji u riziku od siromaštva i socijalne isključenosti“</w:t>
      </w:r>
      <w:r>
        <w:rPr>
          <w:rFonts w:eastAsia="Calibri"/>
          <w:kern w:val="2"/>
          <w:sz w:val="24"/>
          <w:szCs w:val="24"/>
        </w:rPr>
        <w:t xml:space="preserve">. Za provedbu Poziva osigurano je ukupno 19,12 milijuna eura bespovratnih sredstava, za </w:t>
      </w:r>
      <w:r w:rsidRPr="00D75114">
        <w:rPr>
          <w:rFonts w:eastAsia="Calibri"/>
          <w:kern w:val="2"/>
          <w:sz w:val="24"/>
          <w:szCs w:val="24"/>
        </w:rPr>
        <w:t>unaprjeđenj</w:t>
      </w:r>
      <w:r>
        <w:rPr>
          <w:rFonts w:eastAsia="Calibri"/>
          <w:kern w:val="2"/>
          <w:sz w:val="24"/>
          <w:szCs w:val="24"/>
        </w:rPr>
        <w:t>e</w:t>
      </w:r>
      <w:r w:rsidRPr="00D75114">
        <w:rPr>
          <w:rFonts w:eastAsia="Calibri"/>
          <w:kern w:val="2"/>
          <w:sz w:val="24"/>
          <w:szCs w:val="24"/>
        </w:rPr>
        <w:t xml:space="preserve"> socijalne i stambene infrastruktur</w:t>
      </w:r>
      <w:r>
        <w:rPr>
          <w:rFonts w:eastAsia="Calibri"/>
          <w:kern w:val="2"/>
          <w:sz w:val="24"/>
          <w:szCs w:val="24"/>
        </w:rPr>
        <w:t>e u svrhu</w:t>
      </w:r>
      <w:r w:rsidRPr="00D75114">
        <w:rPr>
          <w:rFonts w:eastAsia="Calibri"/>
          <w:kern w:val="2"/>
          <w:sz w:val="24"/>
          <w:szCs w:val="24"/>
        </w:rPr>
        <w:t xml:space="preserve"> podršk</w:t>
      </w:r>
      <w:r>
        <w:rPr>
          <w:rFonts w:eastAsia="Calibri"/>
          <w:kern w:val="2"/>
          <w:sz w:val="24"/>
          <w:szCs w:val="24"/>
        </w:rPr>
        <w:t>e</w:t>
      </w:r>
      <w:r w:rsidRPr="00D75114">
        <w:rPr>
          <w:rFonts w:eastAsia="Calibri"/>
          <w:kern w:val="2"/>
          <w:sz w:val="24"/>
          <w:szCs w:val="24"/>
        </w:rPr>
        <w:t xml:space="preserve"> procesu </w:t>
      </w:r>
      <w:proofErr w:type="spellStart"/>
      <w:r w:rsidRPr="00D75114">
        <w:rPr>
          <w:rFonts w:eastAsia="Calibri"/>
          <w:kern w:val="2"/>
          <w:sz w:val="24"/>
          <w:szCs w:val="24"/>
        </w:rPr>
        <w:t>deinstitucionalizacije</w:t>
      </w:r>
      <w:proofErr w:type="spellEnd"/>
      <w:r w:rsidRPr="00D75114">
        <w:rPr>
          <w:rFonts w:eastAsia="Calibri"/>
          <w:kern w:val="2"/>
          <w:sz w:val="24"/>
          <w:szCs w:val="24"/>
        </w:rPr>
        <w:t>/transformacije/</w:t>
      </w:r>
      <w:r>
        <w:rPr>
          <w:rFonts w:eastAsia="Calibri"/>
          <w:kern w:val="2"/>
          <w:sz w:val="24"/>
          <w:szCs w:val="24"/>
        </w:rPr>
        <w:t xml:space="preserve"> </w:t>
      </w:r>
      <w:r w:rsidRPr="00D75114">
        <w:rPr>
          <w:rFonts w:eastAsia="Calibri"/>
          <w:kern w:val="2"/>
          <w:sz w:val="24"/>
          <w:szCs w:val="24"/>
        </w:rPr>
        <w:t>prevencije institucionalizacije te razvoj</w:t>
      </w:r>
      <w:r>
        <w:rPr>
          <w:rFonts w:eastAsia="Calibri"/>
          <w:kern w:val="2"/>
          <w:sz w:val="24"/>
          <w:szCs w:val="24"/>
        </w:rPr>
        <w:t>a</w:t>
      </w:r>
      <w:r w:rsidRPr="00D75114">
        <w:rPr>
          <w:rFonts w:eastAsia="Calibri"/>
          <w:kern w:val="2"/>
          <w:sz w:val="24"/>
          <w:szCs w:val="24"/>
        </w:rPr>
        <w:t xml:space="preserve"> mreže </w:t>
      </w:r>
      <w:proofErr w:type="spellStart"/>
      <w:r w:rsidRPr="00D75114">
        <w:rPr>
          <w:rFonts w:eastAsia="Calibri"/>
          <w:kern w:val="2"/>
          <w:sz w:val="24"/>
          <w:szCs w:val="24"/>
        </w:rPr>
        <w:t>izvaninstitucijskih</w:t>
      </w:r>
      <w:proofErr w:type="spellEnd"/>
      <w:r w:rsidRPr="00D75114">
        <w:rPr>
          <w:rFonts w:eastAsia="Calibri"/>
          <w:kern w:val="2"/>
          <w:sz w:val="24"/>
          <w:szCs w:val="24"/>
        </w:rPr>
        <w:t xml:space="preserve"> usluga i službi podrške u zajednici za djecu i mlade bez odgovarajuće roditeljske skrbi, djecu i mlade s problemima u ponašanju, djecu bez pratnje, trudnice i roditelji s djecom do godine dana starosti te članove njihovih obitelji/udomiteljskih obitelji.</w:t>
      </w:r>
    </w:p>
    <w:p w14:paraId="62200D67" w14:textId="77777777" w:rsidR="00FB178A" w:rsidRDefault="00FB178A" w:rsidP="00FB178A">
      <w:pPr>
        <w:spacing w:after="247" w:line="276" w:lineRule="auto"/>
        <w:ind w:right="9"/>
        <w:jc w:val="both"/>
        <w:rPr>
          <w:rFonts w:eastAsia="Calibri"/>
          <w:kern w:val="2"/>
          <w:sz w:val="24"/>
          <w:szCs w:val="24"/>
        </w:rPr>
      </w:pPr>
      <w:r w:rsidRPr="00571300">
        <w:rPr>
          <w:rFonts w:eastAsia="Calibri"/>
          <w:kern w:val="2"/>
          <w:sz w:val="24"/>
          <w:szCs w:val="24"/>
        </w:rPr>
        <w:t xml:space="preserve">Nadalje, s ciljem povećanja dostupnosti usluga za starije osobe, u tijeku je provedba 18 projekata izgradnje i opremanja centara za starije, planiranih u okviru NPOO-a. Financijska alokacija NPOO poziva prvotno je iznosila 49,11 milijuna eura za izgradnju osam centara, no iskazani interes i potrebe na terenu pokazali su da su zahtjevi za takvim uslugama znatno veći, zbog čega je Vlada </w:t>
      </w:r>
      <w:r>
        <w:rPr>
          <w:color w:val="000000" w:themeColor="text1"/>
          <w:sz w:val="24"/>
          <w:szCs w:val="24"/>
        </w:rPr>
        <w:t>Republike Hrvatske</w:t>
      </w:r>
      <w:r w:rsidRPr="00B23F9E">
        <w:rPr>
          <w:color w:val="000000" w:themeColor="text1"/>
          <w:sz w:val="24"/>
          <w:szCs w:val="24"/>
        </w:rPr>
        <w:t xml:space="preserve"> </w:t>
      </w:r>
      <w:r w:rsidRPr="00571300">
        <w:rPr>
          <w:rFonts w:eastAsia="Calibri"/>
          <w:kern w:val="2"/>
          <w:sz w:val="24"/>
          <w:szCs w:val="24"/>
        </w:rPr>
        <w:t xml:space="preserve">osigurala dodatnih 54 milijuna eura iz državnog proračuna, kako bi se u svakoj županiji iz koje je zaprimljen projekt financirala izgradnja najmanje jednog centra za starije osobe. Na poziv je ukupno pristiglo 27 prijava iz 18 županija, a ugovoreno je 18 projekata ukupne vrijednosti 160 milijuna eura, pri čemu je za 15 projekata već tijekom 2024. pokrenuta izgradnja centara. Provedbom ovih ulaganja osigurat će se smještajni kapaciteti za 1.849 starijih osoba kojima je potrebna intenzivna skrb, kao i </w:t>
      </w:r>
      <w:proofErr w:type="spellStart"/>
      <w:r w:rsidRPr="00571300">
        <w:rPr>
          <w:rFonts w:eastAsia="Calibri"/>
          <w:kern w:val="2"/>
          <w:sz w:val="24"/>
          <w:szCs w:val="24"/>
        </w:rPr>
        <w:t>izvaninstitucijske</w:t>
      </w:r>
      <w:proofErr w:type="spellEnd"/>
      <w:r w:rsidRPr="00571300">
        <w:rPr>
          <w:rFonts w:eastAsia="Calibri"/>
          <w:kern w:val="2"/>
          <w:sz w:val="24"/>
          <w:szCs w:val="24"/>
        </w:rPr>
        <w:t xml:space="preserve"> usluge za dodatnih 4.549 korisnika, čime se starijim osobama omogućuje što duži ostanak u vlastitom domu i jača se sustav skrbi u zajednici.</w:t>
      </w:r>
    </w:p>
    <w:p w14:paraId="02AF0509" w14:textId="77777777" w:rsidR="00FB178A" w:rsidRPr="0004221B" w:rsidRDefault="00FB178A" w:rsidP="00FB178A">
      <w:pPr>
        <w:spacing w:after="226" w:line="276" w:lineRule="auto"/>
        <w:ind w:right="9"/>
        <w:jc w:val="both"/>
        <w:rPr>
          <w:rFonts w:eastAsia="Calibri"/>
          <w:kern w:val="2"/>
          <w:sz w:val="24"/>
          <w:szCs w:val="24"/>
        </w:rPr>
      </w:pPr>
      <w:r w:rsidRPr="00A217A8">
        <w:rPr>
          <w:rFonts w:eastAsia="Calibri"/>
          <w:kern w:val="2"/>
          <w:sz w:val="24"/>
          <w:szCs w:val="24"/>
        </w:rPr>
        <w:t>U cilju jačanja kapaciteta pružatelja i podizanja kvalitete</w:t>
      </w:r>
      <w:r>
        <w:rPr>
          <w:rFonts w:eastAsia="Calibri"/>
          <w:kern w:val="2"/>
          <w:sz w:val="24"/>
          <w:szCs w:val="24"/>
        </w:rPr>
        <w:t xml:space="preserve"> </w:t>
      </w:r>
      <w:r w:rsidRPr="007D393F">
        <w:rPr>
          <w:rFonts w:eastAsia="Calibri"/>
          <w:kern w:val="2"/>
          <w:sz w:val="24"/>
          <w:szCs w:val="24"/>
        </w:rPr>
        <w:t>socijalnih usluga</w:t>
      </w:r>
      <w:r w:rsidRPr="00A217A8">
        <w:rPr>
          <w:rFonts w:eastAsia="Calibri"/>
          <w:kern w:val="2"/>
          <w:sz w:val="24"/>
          <w:szCs w:val="24"/>
        </w:rPr>
        <w:t xml:space="preserve">, tijekom 2024. izdana je ukupno 541 suglasnost za zapošljavanje </w:t>
      </w:r>
      <w:r>
        <w:rPr>
          <w:rFonts w:eastAsia="Calibri"/>
          <w:kern w:val="2"/>
          <w:sz w:val="24"/>
          <w:szCs w:val="24"/>
        </w:rPr>
        <w:t>dodatnih</w:t>
      </w:r>
      <w:r w:rsidRPr="00A217A8">
        <w:rPr>
          <w:rFonts w:eastAsia="Calibri"/>
          <w:kern w:val="2"/>
          <w:sz w:val="24"/>
          <w:szCs w:val="24"/>
        </w:rPr>
        <w:t xml:space="preserve"> radnika u državnim ustanovama socijalne skrbi, od čega 354</w:t>
      </w:r>
      <w:r>
        <w:rPr>
          <w:rFonts w:eastAsia="Calibri"/>
          <w:kern w:val="2"/>
          <w:sz w:val="24"/>
          <w:szCs w:val="24"/>
        </w:rPr>
        <w:t xml:space="preserve"> u</w:t>
      </w:r>
      <w:r w:rsidRPr="00A217A8">
        <w:rPr>
          <w:rFonts w:eastAsia="Calibri"/>
          <w:kern w:val="2"/>
          <w:sz w:val="24"/>
          <w:szCs w:val="24"/>
        </w:rPr>
        <w:t xml:space="preserve"> državn</w:t>
      </w:r>
      <w:r>
        <w:rPr>
          <w:rFonts w:eastAsia="Calibri"/>
          <w:kern w:val="2"/>
          <w:sz w:val="24"/>
          <w:szCs w:val="24"/>
        </w:rPr>
        <w:t>im</w:t>
      </w:r>
      <w:r w:rsidRPr="00A217A8">
        <w:rPr>
          <w:rFonts w:eastAsia="Calibri"/>
          <w:kern w:val="2"/>
          <w:sz w:val="24"/>
          <w:szCs w:val="24"/>
        </w:rPr>
        <w:t xml:space="preserve"> domov</w:t>
      </w:r>
      <w:r>
        <w:rPr>
          <w:rFonts w:eastAsia="Calibri"/>
          <w:kern w:val="2"/>
          <w:sz w:val="24"/>
          <w:szCs w:val="24"/>
        </w:rPr>
        <w:t>ima</w:t>
      </w:r>
      <w:r w:rsidRPr="00A217A8">
        <w:rPr>
          <w:rFonts w:eastAsia="Calibri"/>
          <w:kern w:val="2"/>
          <w:sz w:val="24"/>
          <w:szCs w:val="24"/>
        </w:rPr>
        <w:t xml:space="preserve"> socijalne skrbi </w:t>
      </w:r>
      <w:r>
        <w:rPr>
          <w:rFonts w:eastAsia="Calibri"/>
          <w:kern w:val="2"/>
          <w:sz w:val="24"/>
          <w:szCs w:val="24"/>
        </w:rPr>
        <w:t>te</w:t>
      </w:r>
      <w:r w:rsidRPr="00A217A8">
        <w:rPr>
          <w:rFonts w:eastAsia="Calibri"/>
          <w:kern w:val="2"/>
          <w:sz w:val="24"/>
          <w:szCs w:val="24"/>
        </w:rPr>
        <w:t xml:space="preserve"> 187 </w:t>
      </w:r>
      <w:r>
        <w:rPr>
          <w:rFonts w:eastAsia="Calibri"/>
          <w:kern w:val="2"/>
          <w:sz w:val="24"/>
          <w:szCs w:val="24"/>
        </w:rPr>
        <w:t>u</w:t>
      </w:r>
      <w:r w:rsidRPr="00A217A8">
        <w:rPr>
          <w:rFonts w:eastAsia="Calibri"/>
          <w:kern w:val="2"/>
          <w:sz w:val="24"/>
          <w:szCs w:val="24"/>
        </w:rPr>
        <w:t xml:space="preserve"> Hrvatsk</w:t>
      </w:r>
      <w:r>
        <w:rPr>
          <w:rFonts w:eastAsia="Calibri"/>
          <w:kern w:val="2"/>
          <w:sz w:val="24"/>
          <w:szCs w:val="24"/>
        </w:rPr>
        <w:t>om</w:t>
      </w:r>
      <w:r w:rsidRPr="00A217A8">
        <w:rPr>
          <w:rFonts w:eastAsia="Calibri"/>
          <w:kern w:val="2"/>
          <w:sz w:val="24"/>
          <w:szCs w:val="24"/>
        </w:rPr>
        <w:t xml:space="preserve"> zavod</w:t>
      </w:r>
      <w:r>
        <w:rPr>
          <w:rFonts w:eastAsia="Calibri"/>
          <w:kern w:val="2"/>
          <w:sz w:val="24"/>
          <w:szCs w:val="24"/>
        </w:rPr>
        <w:t>u</w:t>
      </w:r>
      <w:r w:rsidRPr="00A217A8">
        <w:rPr>
          <w:rFonts w:eastAsia="Calibri"/>
          <w:kern w:val="2"/>
          <w:sz w:val="24"/>
          <w:szCs w:val="24"/>
        </w:rPr>
        <w:t xml:space="preserve"> za socijalni rad</w:t>
      </w:r>
      <w:r>
        <w:rPr>
          <w:rFonts w:eastAsia="Calibri"/>
          <w:kern w:val="2"/>
          <w:sz w:val="24"/>
          <w:szCs w:val="24"/>
        </w:rPr>
        <w:t>,</w:t>
      </w:r>
      <w:r w:rsidRPr="00A217A8">
        <w:rPr>
          <w:rFonts w:eastAsia="Calibri"/>
          <w:kern w:val="2"/>
          <w:sz w:val="24"/>
          <w:szCs w:val="24"/>
        </w:rPr>
        <w:t xml:space="preserve"> uz</w:t>
      </w:r>
      <w:r>
        <w:rPr>
          <w:rFonts w:eastAsia="Calibri"/>
          <w:kern w:val="2"/>
          <w:sz w:val="24"/>
          <w:szCs w:val="24"/>
        </w:rPr>
        <w:t xml:space="preserve"> financiranje</w:t>
      </w:r>
      <w:r w:rsidRPr="00A217A8">
        <w:rPr>
          <w:rFonts w:eastAsia="Calibri"/>
          <w:kern w:val="2"/>
          <w:sz w:val="24"/>
          <w:szCs w:val="24"/>
        </w:rPr>
        <w:t xml:space="preserve"> prov</w:t>
      </w:r>
      <w:r>
        <w:rPr>
          <w:rFonts w:eastAsia="Calibri"/>
          <w:kern w:val="2"/>
          <w:sz w:val="24"/>
          <w:szCs w:val="24"/>
        </w:rPr>
        <w:t>edbe</w:t>
      </w:r>
      <w:r w:rsidRPr="00A217A8">
        <w:rPr>
          <w:rFonts w:eastAsia="Calibri"/>
          <w:kern w:val="2"/>
          <w:sz w:val="24"/>
          <w:szCs w:val="24"/>
        </w:rPr>
        <w:t xml:space="preserve"> infrastrukturnih zahvata u 22 državna doma radi poboljšanja prostornih uvjeta i povećanja kapaciteta usluga. </w:t>
      </w:r>
      <w:r>
        <w:rPr>
          <w:rFonts w:eastAsia="Calibri"/>
          <w:kern w:val="2"/>
          <w:sz w:val="24"/>
          <w:szCs w:val="24"/>
        </w:rPr>
        <w:t>Dodatno, A</w:t>
      </w:r>
      <w:r w:rsidRPr="00A217A8">
        <w:rPr>
          <w:rFonts w:eastAsia="Calibri"/>
          <w:kern w:val="2"/>
          <w:sz w:val="24"/>
          <w:szCs w:val="24"/>
        </w:rPr>
        <w:t>kademija socijalne skrbi organizirala je 16 edukacija (</w:t>
      </w:r>
      <w:r>
        <w:rPr>
          <w:rFonts w:eastAsia="Calibri"/>
          <w:kern w:val="2"/>
          <w:sz w:val="24"/>
          <w:szCs w:val="24"/>
        </w:rPr>
        <w:t>sedam</w:t>
      </w:r>
      <w:r w:rsidRPr="00A217A8">
        <w:rPr>
          <w:rFonts w:eastAsia="Calibri"/>
          <w:kern w:val="2"/>
          <w:sz w:val="24"/>
          <w:szCs w:val="24"/>
        </w:rPr>
        <w:t xml:space="preserve"> jednodnevnih i </w:t>
      </w:r>
      <w:r>
        <w:rPr>
          <w:rFonts w:eastAsia="Calibri"/>
          <w:kern w:val="2"/>
          <w:sz w:val="24"/>
          <w:szCs w:val="24"/>
        </w:rPr>
        <w:t>devet</w:t>
      </w:r>
      <w:r w:rsidRPr="00A217A8">
        <w:rPr>
          <w:rFonts w:eastAsia="Calibri"/>
          <w:kern w:val="2"/>
          <w:sz w:val="24"/>
          <w:szCs w:val="24"/>
        </w:rPr>
        <w:t xml:space="preserve"> višednevnih), u kojima je educirano 507 stručnih radnika, dok je 548 stručnjaka bilo uključeno u proces supervizije</w:t>
      </w:r>
      <w:r>
        <w:rPr>
          <w:rFonts w:eastAsia="Calibri"/>
          <w:kern w:val="2"/>
          <w:sz w:val="24"/>
          <w:szCs w:val="24"/>
        </w:rPr>
        <w:t>. V</w:t>
      </w:r>
      <w:r w:rsidRPr="00A217A8">
        <w:rPr>
          <w:rFonts w:eastAsia="Calibri"/>
          <w:kern w:val="2"/>
          <w:sz w:val="24"/>
          <w:szCs w:val="24"/>
        </w:rPr>
        <w:t xml:space="preserve">ažan doprinos kvaliteti i </w:t>
      </w:r>
      <w:r w:rsidRPr="00A217A8">
        <w:rPr>
          <w:rFonts w:eastAsia="Calibri"/>
          <w:kern w:val="2"/>
          <w:sz w:val="24"/>
          <w:szCs w:val="24"/>
        </w:rPr>
        <w:lastRenderedPageBreak/>
        <w:t xml:space="preserve">raznovrsnosti </w:t>
      </w:r>
      <w:r>
        <w:rPr>
          <w:rFonts w:eastAsia="Calibri"/>
          <w:kern w:val="2"/>
          <w:sz w:val="24"/>
          <w:szCs w:val="24"/>
        </w:rPr>
        <w:t xml:space="preserve">u pružanju </w:t>
      </w:r>
      <w:r w:rsidRPr="00A217A8">
        <w:rPr>
          <w:rFonts w:eastAsia="Calibri"/>
          <w:kern w:val="2"/>
          <w:sz w:val="24"/>
          <w:szCs w:val="24"/>
        </w:rPr>
        <w:t xml:space="preserve">socijalnih usluga </w:t>
      </w:r>
      <w:r>
        <w:rPr>
          <w:rFonts w:eastAsia="Calibri"/>
          <w:kern w:val="2"/>
          <w:sz w:val="24"/>
          <w:szCs w:val="24"/>
        </w:rPr>
        <w:t xml:space="preserve">tijekom 2024. </w:t>
      </w:r>
      <w:r w:rsidRPr="00A217A8">
        <w:rPr>
          <w:rFonts w:eastAsia="Calibri"/>
          <w:kern w:val="2"/>
          <w:sz w:val="24"/>
          <w:szCs w:val="24"/>
        </w:rPr>
        <w:t>dao je i značajan broj volontera</w:t>
      </w:r>
      <w:r>
        <w:rPr>
          <w:rFonts w:eastAsia="Calibri"/>
          <w:kern w:val="2"/>
          <w:sz w:val="24"/>
          <w:szCs w:val="24"/>
        </w:rPr>
        <w:t xml:space="preserve"> te je </w:t>
      </w:r>
      <w:r w:rsidRPr="00A217A8">
        <w:rPr>
          <w:rFonts w:eastAsia="Calibri"/>
          <w:kern w:val="2"/>
          <w:sz w:val="24"/>
          <w:szCs w:val="24"/>
        </w:rPr>
        <w:t>od ukupno 64.510 angažiranih volontera, njih 12.608</w:t>
      </w:r>
      <w:r>
        <w:rPr>
          <w:rFonts w:eastAsia="Calibri"/>
          <w:kern w:val="2"/>
          <w:sz w:val="24"/>
          <w:szCs w:val="24"/>
        </w:rPr>
        <w:t xml:space="preserve"> izravno</w:t>
      </w:r>
      <w:r w:rsidRPr="00A217A8">
        <w:rPr>
          <w:rFonts w:eastAsia="Calibri"/>
          <w:kern w:val="2"/>
          <w:sz w:val="24"/>
          <w:szCs w:val="24"/>
        </w:rPr>
        <w:t xml:space="preserve"> sudjelovalo u pružanju socijalnih usluga</w:t>
      </w:r>
      <w:r w:rsidRPr="0004221B">
        <w:rPr>
          <w:rFonts w:eastAsia="Calibri"/>
          <w:kern w:val="2"/>
          <w:sz w:val="24"/>
          <w:szCs w:val="24"/>
        </w:rPr>
        <w:t>.</w:t>
      </w:r>
    </w:p>
    <w:p w14:paraId="0F60CADE" w14:textId="77777777" w:rsidR="00FB178A" w:rsidRPr="0004221B" w:rsidRDefault="00FB178A" w:rsidP="00FB178A">
      <w:pPr>
        <w:spacing w:after="248" w:line="276" w:lineRule="auto"/>
        <w:ind w:right="9"/>
        <w:jc w:val="both"/>
        <w:rPr>
          <w:rFonts w:eastAsia="Calibri"/>
          <w:kern w:val="2"/>
          <w:sz w:val="24"/>
          <w:szCs w:val="24"/>
        </w:rPr>
      </w:pPr>
      <w:r w:rsidRPr="005F60A3">
        <w:rPr>
          <w:rFonts w:eastAsia="Calibri"/>
          <w:kern w:val="2"/>
          <w:sz w:val="24"/>
          <w:szCs w:val="24"/>
        </w:rPr>
        <w:t>Radi osiguravanja analitički utemeljenog pristupa razvoju sustava dugotrajne skrbi, u siječnju 2024. potpisan je Ugovor o savjetodavnim uslugama „Jačanje dugotrajne skrbi u Republici Hrvatskoj“ (RAS) između Ministarstva zdravstva, Ministarstva rada, mirovinskoga sustava, obitelji i socijalne politike te Svjetske banke. U okviru tog aranžmana Svjetska banka izradila je Analitičku studiju sustava dugotrajne skrbi, kojom su sagledane potrebe korisnika, postojeći kapaciteti, ključni izazovi te mogući modeli razvoja integriranih usluga u zajednici i institucionalnih oblika skrbi. Preporuke iz Analitičke studije u velikoj su mjeri ugrađene u Operativni plan razvoja integrirane dugotrajne skrbi</w:t>
      </w:r>
      <w:r>
        <w:rPr>
          <w:rFonts w:eastAsia="Calibri"/>
          <w:kern w:val="2"/>
          <w:sz w:val="24"/>
          <w:szCs w:val="24"/>
        </w:rPr>
        <w:t xml:space="preserve"> (</w:t>
      </w:r>
      <w:r w:rsidRPr="00BB0F9E">
        <w:rPr>
          <w:rFonts w:eastAsia="Calibri"/>
          <w:kern w:val="2"/>
          <w:sz w:val="24"/>
          <w:szCs w:val="24"/>
        </w:rPr>
        <w:t>usvojen u svibnju 2025.</w:t>
      </w:r>
      <w:r>
        <w:rPr>
          <w:rFonts w:eastAsia="Calibri"/>
          <w:kern w:val="2"/>
          <w:sz w:val="24"/>
          <w:szCs w:val="24"/>
        </w:rPr>
        <w:t>)</w:t>
      </w:r>
      <w:r w:rsidRPr="005F60A3">
        <w:rPr>
          <w:rFonts w:eastAsia="Calibri"/>
          <w:kern w:val="2"/>
          <w:sz w:val="24"/>
          <w:szCs w:val="24"/>
        </w:rPr>
        <w:t xml:space="preserve"> </w:t>
      </w:r>
      <w:r>
        <w:rPr>
          <w:rFonts w:eastAsia="Calibri"/>
          <w:kern w:val="2"/>
          <w:sz w:val="24"/>
          <w:szCs w:val="24"/>
        </w:rPr>
        <w:t xml:space="preserve">a kojim se </w:t>
      </w:r>
      <w:r w:rsidRPr="005F60A3">
        <w:rPr>
          <w:rFonts w:eastAsia="Calibri"/>
          <w:kern w:val="2"/>
          <w:sz w:val="24"/>
          <w:szCs w:val="24"/>
        </w:rPr>
        <w:t>p</w:t>
      </w:r>
      <w:r>
        <w:rPr>
          <w:rFonts w:eastAsia="Calibri"/>
          <w:kern w:val="2"/>
          <w:sz w:val="24"/>
          <w:szCs w:val="24"/>
        </w:rPr>
        <w:t>ostavlja</w:t>
      </w:r>
      <w:r w:rsidRPr="005F60A3">
        <w:rPr>
          <w:rFonts w:eastAsia="Calibri"/>
          <w:kern w:val="2"/>
          <w:sz w:val="24"/>
          <w:szCs w:val="24"/>
        </w:rPr>
        <w:t xml:space="preserve"> temelj za daljnje normativno, organizacijsko i financijsko unaprjeđenje sustava</w:t>
      </w:r>
      <w:r>
        <w:rPr>
          <w:rFonts w:eastAsia="Calibri"/>
          <w:kern w:val="2"/>
          <w:sz w:val="24"/>
          <w:szCs w:val="24"/>
        </w:rPr>
        <w:t xml:space="preserve"> dugotrajne skrbi.</w:t>
      </w:r>
    </w:p>
    <w:p w14:paraId="0F535AA8" w14:textId="77777777" w:rsidR="00FB178A" w:rsidRPr="0004221B" w:rsidRDefault="00FB178A" w:rsidP="00FB178A">
      <w:pPr>
        <w:spacing w:after="259" w:line="276" w:lineRule="auto"/>
        <w:ind w:right="9"/>
        <w:jc w:val="both"/>
        <w:rPr>
          <w:rFonts w:eastAsia="Calibri"/>
          <w:kern w:val="2"/>
          <w:sz w:val="24"/>
          <w:szCs w:val="24"/>
        </w:rPr>
      </w:pPr>
      <w:r w:rsidRPr="00F7579E">
        <w:rPr>
          <w:rFonts w:eastAsia="Calibri"/>
          <w:kern w:val="2"/>
          <w:sz w:val="24"/>
          <w:szCs w:val="24"/>
        </w:rPr>
        <w:t xml:space="preserve">Tijekom 2024. nastavljene su aktivnosti edukacije i licenciranja stručnjaka za provedbu mjera stručne pomoći i potpore u ostvarivanju skrbi o djetetu te mjere intenzivne stručne pomoći i nadzora nad ostvarivanjem skrbi o djetetu. </w:t>
      </w:r>
      <w:r>
        <w:rPr>
          <w:rFonts w:eastAsia="Calibri"/>
          <w:kern w:val="2"/>
          <w:sz w:val="24"/>
          <w:szCs w:val="24"/>
        </w:rPr>
        <w:t xml:space="preserve">U razdoblju od 2022. do </w:t>
      </w:r>
      <w:r w:rsidRPr="00F7579E">
        <w:rPr>
          <w:rFonts w:eastAsia="Calibri"/>
          <w:kern w:val="2"/>
          <w:sz w:val="24"/>
          <w:szCs w:val="24"/>
        </w:rPr>
        <w:t>2024. ukupno je 798 stručnjaka završilo licencirani program usavršavanja za voditelja mjer</w:t>
      </w:r>
      <w:r>
        <w:rPr>
          <w:rFonts w:eastAsia="Calibri"/>
          <w:kern w:val="2"/>
          <w:sz w:val="24"/>
          <w:szCs w:val="24"/>
        </w:rPr>
        <w:t xml:space="preserve">a stručne pomoći, od čega </w:t>
      </w:r>
      <w:r w:rsidRPr="00F7579E">
        <w:rPr>
          <w:rFonts w:eastAsia="Calibri"/>
          <w:kern w:val="2"/>
          <w:sz w:val="24"/>
          <w:szCs w:val="24"/>
        </w:rPr>
        <w:t>223</w:t>
      </w:r>
      <w:r>
        <w:rPr>
          <w:rFonts w:eastAsia="Calibri"/>
          <w:kern w:val="2"/>
          <w:sz w:val="24"/>
          <w:szCs w:val="24"/>
        </w:rPr>
        <w:t xml:space="preserve"> stručnjaka</w:t>
      </w:r>
      <w:r w:rsidRPr="00F7579E">
        <w:rPr>
          <w:rFonts w:eastAsia="Calibri"/>
          <w:kern w:val="2"/>
          <w:sz w:val="24"/>
          <w:szCs w:val="24"/>
        </w:rPr>
        <w:t xml:space="preserve"> u 2024.</w:t>
      </w:r>
      <w:r>
        <w:rPr>
          <w:rFonts w:eastAsia="Calibri"/>
          <w:kern w:val="2"/>
          <w:sz w:val="24"/>
          <w:szCs w:val="24"/>
        </w:rPr>
        <w:t xml:space="preserve"> godini. U </w:t>
      </w:r>
      <w:r w:rsidRPr="005F64BE">
        <w:rPr>
          <w:rFonts w:eastAsia="Calibri"/>
          <w:kern w:val="2"/>
          <w:sz w:val="24"/>
          <w:szCs w:val="24"/>
        </w:rPr>
        <w:t xml:space="preserve">državnim domovima socijalne skrbi za djecu </w:t>
      </w:r>
      <w:r w:rsidRPr="00F7579E">
        <w:rPr>
          <w:rFonts w:eastAsia="Calibri"/>
          <w:kern w:val="2"/>
          <w:sz w:val="24"/>
          <w:szCs w:val="24"/>
        </w:rPr>
        <w:t>zapo</w:t>
      </w:r>
      <w:r>
        <w:rPr>
          <w:rFonts w:eastAsia="Calibri"/>
          <w:kern w:val="2"/>
          <w:sz w:val="24"/>
          <w:szCs w:val="24"/>
        </w:rPr>
        <w:t xml:space="preserve">sleno je dodatnih </w:t>
      </w:r>
      <w:r w:rsidRPr="00F7579E">
        <w:rPr>
          <w:rFonts w:eastAsia="Calibri"/>
          <w:kern w:val="2"/>
          <w:sz w:val="24"/>
          <w:szCs w:val="24"/>
        </w:rPr>
        <w:t xml:space="preserve">50 voditelja mjera intenzivne stručne pomoći i nadzora, s tendencijom daljnjeg povećanja broja zaposlenih. </w:t>
      </w:r>
      <w:r>
        <w:rPr>
          <w:rFonts w:eastAsia="Calibri"/>
          <w:kern w:val="2"/>
          <w:sz w:val="24"/>
          <w:szCs w:val="24"/>
        </w:rPr>
        <w:t>Istodobn</w:t>
      </w:r>
      <w:r w:rsidRPr="00F7579E">
        <w:rPr>
          <w:rFonts w:eastAsia="Calibri"/>
          <w:kern w:val="2"/>
          <w:sz w:val="24"/>
          <w:szCs w:val="24"/>
        </w:rPr>
        <w:t>o</w:t>
      </w:r>
      <w:r>
        <w:rPr>
          <w:rFonts w:eastAsia="Calibri"/>
          <w:kern w:val="2"/>
          <w:sz w:val="24"/>
          <w:szCs w:val="24"/>
        </w:rPr>
        <w:t xml:space="preserve"> nastavljen je rad na</w:t>
      </w:r>
      <w:r w:rsidRPr="00F7579E">
        <w:rPr>
          <w:rFonts w:eastAsia="Calibri"/>
          <w:kern w:val="2"/>
          <w:sz w:val="24"/>
          <w:szCs w:val="24"/>
        </w:rPr>
        <w:t xml:space="preserve"> razv</w:t>
      </w:r>
      <w:r>
        <w:rPr>
          <w:rFonts w:eastAsia="Calibri"/>
          <w:kern w:val="2"/>
          <w:sz w:val="24"/>
          <w:szCs w:val="24"/>
        </w:rPr>
        <w:t>oju</w:t>
      </w:r>
      <w:r w:rsidRPr="00F7579E">
        <w:rPr>
          <w:rFonts w:eastAsia="Calibri"/>
          <w:kern w:val="2"/>
          <w:sz w:val="24"/>
          <w:szCs w:val="24"/>
        </w:rPr>
        <w:t xml:space="preserve"> nov</w:t>
      </w:r>
      <w:r>
        <w:rPr>
          <w:rFonts w:eastAsia="Calibri"/>
          <w:kern w:val="2"/>
          <w:sz w:val="24"/>
          <w:szCs w:val="24"/>
        </w:rPr>
        <w:t>e</w:t>
      </w:r>
      <w:r w:rsidRPr="00F7579E">
        <w:rPr>
          <w:rFonts w:eastAsia="Calibri"/>
          <w:kern w:val="2"/>
          <w:sz w:val="24"/>
          <w:szCs w:val="24"/>
        </w:rPr>
        <w:t xml:space="preserve"> uslug</w:t>
      </w:r>
      <w:r>
        <w:rPr>
          <w:rFonts w:eastAsia="Calibri"/>
          <w:kern w:val="2"/>
          <w:sz w:val="24"/>
          <w:szCs w:val="24"/>
        </w:rPr>
        <w:t>e</w:t>
      </w:r>
      <w:r w:rsidRPr="00F7579E">
        <w:rPr>
          <w:rFonts w:eastAsia="Calibri"/>
          <w:kern w:val="2"/>
          <w:sz w:val="24"/>
          <w:szCs w:val="24"/>
        </w:rPr>
        <w:t xml:space="preserve"> socijalnog mentorstva, pri čemu je u 2024. zaposleno 157 socijalnih mentora te </w:t>
      </w:r>
      <w:r w:rsidRPr="008E09CF">
        <w:rPr>
          <w:rFonts w:eastAsia="Calibri"/>
          <w:kern w:val="2"/>
          <w:sz w:val="24"/>
          <w:szCs w:val="24"/>
          <w:lang w:val="en-US"/>
        </w:rPr>
        <w:t xml:space="preserve">je </w:t>
      </w:r>
      <w:r w:rsidRPr="008564C7">
        <w:rPr>
          <w:rFonts w:eastAsia="Calibri"/>
          <w:kern w:val="2"/>
          <w:sz w:val="24"/>
          <w:szCs w:val="24"/>
        </w:rPr>
        <w:t>educirano novih 80 stručnih radnika za pružanje usluge socijalnog mentorstva</w:t>
      </w:r>
      <w:r w:rsidRPr="00F7579E">
        <w:rPr>
          <w:rFonts w:eastAsia="Calibri"/>
          <w:kern w:val="2"/>
          <w:sz w:val="24"/>
          <w:szCs w:val="24"/>
        </w:rPr>
        <w:t xml:space="preserve">. </w:t>
      </w:r>
      <w:r>
        <w:rPr>
          <w:rFonts w:eastAsia="Calibri"/>
          <w:kern w:val="2"/>
          <w:sz w:val="24"/>
          <w:szCs w:val="24"/>
        </w:rPr>
        <w:t>Također, n</w:t>
      </w:r>
      <w:r w:rsidRPr="00F7579E">
        <w:rPr>
          <w:rFonts w:eastAsia="Calibri"/>
          <w:kern w:val="2"/>
          <w:sz w:val="24"/>
          <w:szCs w:val="24"/>
        </w:rPr>
        <w:t>adogradnjom informacijskog sustava socijalne skrbi omogućeno je praćenje pružanja usluge socijalnog mentorstv</w:t>
      </w:r>
      <w:r>
        <w:rPr>
          <w:rFonts w:eastAsia="Calibri"/>
          <w:kern w:val="2"/>
          <w:sz w:val="24"/>
          <w:szCs w:val="24"/>
        </w:rPr>
        <w:t>a te je</w:t>
      </w:r>
      <w:r w:rsidRPr="00F7579E">
        <w:rPr>
          <w:rFonts w:eastAsia="Calibri"/>
          <w:kern w:val="2"/>
          <w:sz w:val="24"/>
          <w:szCs w:val="24"/>
        </w:rPr>
        <w:t xml:space="preserve"> u 2024. evidentirano </w:t>
      </w:r>
      <w:r>
        <w:rPr>
          <w:rFonts w:eastAsia="Calibri"/>
          <w:kern w:val="2"/>
          <w:sz w:val="24"/>
          <w:szCs w:val="24"/>
        </w:rPr>
        <w:t>ukupno</w:t>
      </w:r>
      <w:r w:rsidRPr="00F7579E">
        <w:rPr>
          <w:rFonts w:eastAsia="Calibri"/>
          <w:kern w:val="2"/>
          <w:sz w:val="24"/>
          <w:szCs w:val="24"/>
        </w:rPr>
        <w:t xml:space="preserve"> 2.463 pruženih usluga.</w:t>
      </w:r>
    </w:p>
    <w:p w14:paraId="0BC98566" w14:textId="77777777" w:rsidR="00FB178A" w:rsidRDefault="00FB178A" w:rsidP="00FB178A">
      <w:pPr>
        <w:spacing w:after="226" w:line="276" w:lineRule="auto"/>
        <w:ind w:right="9"/>
        <w:jc w:val="both"/>
        <w:rPr>
          <w:rFonts w:eastAsia="Calibri"/>
          <w:kern w:val="2"/>
          <w:sz w:val="24"/>
          <w:szCs w:val="24"/>
        </w:rPr>
      </w:pPr>
      <w:r>
        <w:rPr>
          <w:rFonts w:eastAsia="Calibri"/>
          <w:kern w:val="2"/>
          <w:sz w:val="24"/>
          <w:szCs w:val="24"/>
        </w:rPr>
        <w:t>S</w:t>
      </w:r>
      <w:r w:rsidRPr="002E3CA6">
        <w:rPr>
          <w:rFonts w:eastAsia="Calibri"/>
          <w:kern w:val="2"/>
          <w:sz w:val="24"/>
          <w:szCs w:val="24"/>
        </w:rPr>
        <w:t xml:space="preserve"> ciljem sprječavanja institucionalizacije osoba s invaliditetom, jačanja kvalitete života cijele obitelji i veće uključenosti korisnika u zajednicu</w:t>
      </w:r>
      <w:r>
        <w:rPr>
          <w:rFonts w:eastAsia="Calibri"/>
          <w:kern w:val="2"/>
          <w:sz w:val="24"/>
          <w:szCs w:val="24"/>
        </w:rPr>
        <w:t>, u</w:t>
      </w:r>
      <w:r w:rsidRPr="00FC676B">
        <w:rPr>
          <w:rFonts w:eastAsia="Calibri"/>
          <w:kern w:val="2"/>
          <w:sz w:val="24"/>
          <w:szCs w:val="24"/>
        </w:rPr>
        <w:t xml:space="preserve"> 2024. je objavljen Poziv „Inovativne socijalne usluge - odmor od skrbi“, vrijednosti 3 milijuna eura</w:t>
      </w:r>
      <w:r w:rsidRPr="0004221B">
        <w:rPr>
          <w:sz w:val="24"/>
          <w:szCs w:val="24"/>
        </w:rPr>
        <w:t xml:space="preserve"> bespovratnih sredstava iz</w:t>
      </w:r>
      <w:r w:rsidRPr="0004221B">
        <w:rPr>
          <w:rFonts w:eastAsia="Calibri"/>
          <w:sz w:val="24"/>
          <w:szCs w:val="24"/>
        </w:rPr>
        <w:t xml:space="preserve"> </w:t>
      </w:r>
      <w:r w:rsidRPr="00FC676B">
        <w:rPr>
          <w:rFonts w:eastAsia="Calibri"/>
          <w:kern w:val="2"/>
          <w:sz w:val="24"/>
          <w:szCs w:val="24"/>
        </w:rPr>
        <w:t>Programa „Učinkoviti ljudski potencijali 2021.</w:t>
      </w:r>
      <w:r>
        <w:rPr>
          <w:rFonts w:eastAsia="Calibri"/>
          <w:kern w:val="2"/>
          <w:sz w:val="24"/>
          <w:szCs w:val="24"/>
        </w:rPr>
        <w:t xml:space="preserve"> - </w:t>
      </w:r>
      <w:r w:rsidRPr="00FC676B">
        <w:rPr>
          <w:rFonts w:eastAsia="Calibri"/>
          <w:kern w:val="2"/>
          <w:sz w:val="24"/>
          <w:szCs w:val="24"/>
        </w:rPr>
        <w:t>2027.“</w:t>
      </w:r>
      <w:r>
        <w:rPr>
          <w:rFonts w:eastAsia="Calibri"/>
          <w:kern w:val="2"/>
          <w:sz w:val="24"/>
          <w:szCs w:val="24"/>
        </w:rPr>
        <w:t>. Pozivom se</w:t>
      </w:r>
      <w:r w:rsidRPr="00FC676B">
        <w:rPr>
          <w:rFonts w:eastAsia="Calibri"/>
          <w:kern w:val="2"/>
          <w:sz w:val="24"/>
          <w:szCs w:val="24"/>
        </w:rPr>
        <w:t xml:space="preserve"> uvodi nova usluga namijenjena pružanju podrške roditeljima njegovateljima i njegovateljima koji skrbe o članu kućanstva ovisnom o njihovoj pomoći. </w:t>
      </w:r>
      <w:r>
        <w:rPr>
          <w:rFonts w:eastAsia="Calibri"/>
          <w:kern w:val="2"/>
          <w:sz w:val="24"/>
          <w:szCs w:val="24"/>
        </w:rPr>
        <w:t>Istodobno,</w:t>
      </w:r>
      <w:r w:rsidRPr="00FC676B">
        <w:rPr>
          <w:rFonts w:eastAsia="Calibri"/>
          <w:kern w:val="2"/>
          <w:sz w:val="24"/>
          <w:szCs w:val="24"/>
        </w:rPr>
        <w:t xml:space="preserve"> nastavljen</w:t>
      </w:r>
      <w:r>
        <w:rPr>
          <w:rFonts w:eastAsia="Calibri"/>
          <w:kern w:val="2"/>
          <w:sz w:val="24"/>
          <w:szCs w:val="24"/>
        </w:rPr>
        <w:t xml:space="preserve"> je</w:t>
      </w:r>
      <w:r w:rsidRPr="00FC676B">
        <w:rPr>
          <w:rFonts w:eastAsia="Calibri"/>
          <w:kern w:val="2"/>
          <w:sz w:val="24"/>
          <w:szCs w:val="24"/>
        </w:rPr>
        <w:t xml:space="preserve"> rad na provedbi Nacionalnog akcijskog plana za provedbu Preporuke Vijeća EU o uspostavi europskog jamstva za djecu</w:t>
      </w:r>
      <w:r>
        <w:rPr>
          <w:rFonts w:eastAsia="Calibri"/>
          <w:kern w:val="2"/>
          <w:sz w:val="24"/>
          <w:szCs w:val="24"/>
        </w:rPr>
        <w:t xml:space="preserve">. On je usmjeren </w:t>
      </w:r>
      <w:r w:rsidRPr="00FC676B">
        <w:rPr>
          <w:rFonts w:eastAsia="Calibri"/>
          <w:kern w:val="2"/>
          <w:sz w:val="24"/>
          <w:szCs w:val="24"/>
        </w:rPr>
        <w:t xml:space="preserve">na poboljšanje pristupa djece u riziku od siromaštva i socijalne isključenosti ključnim uslugama, uključujući obrazovanje, zdravstvenu zaštitu, stanovanje, prehranu i socijalne usluge. </w:t>
      </w:r>
      <w:r>
        <w:rPr>
          <w:rFonts w:eastAsia="Calibri"/>
          <w:kern w:val="2"/>
          <w:sz w:val="24"/>
          <w:szCs w:val="24"/>
        </w:rPr>
        <w:t>Od provedenih mjera, p</w:t>
      </w:r>
      <w:r w:rsidRPr="00FC676B">
        <w:rPr>
          <w:rFonts w:eastAsia="Calibri"/>
          <w:kern w:val="2"/>
          <w:sz w:val="24"/>
          <w:szCs w:val="24"/>
        </w:rPr>
        <w:t>osebno se ističe uvođenje besplatnih školskih obroka za svu djecu u osnovnim školama te daljnji razvoj socijalnih usluga u zajednici. U Međimurskoj županiji uspostavljen je Centar za pružanje usluga u zajednici Međimurje, pri čemu rezultati pilot-programa potvrđuju učinkovitost integriranog pristupa u radu s djecom i obiteljima</w:t>
      </w:r>
      <w:r>
        <w:rPr>
          <w:rFonts w:eastAsia="Calibri"/>
          <w:kern w:val="2"/>
          <w:sz w:val="24"/>
          <w:szCs w:val="24"/>
        </w:rPr>
        <w:t>.</w:t>
      </w:r>
    </w:p>
    <w:p w14:paraId="4D0F4D88" w14:textId="77777777" w:rsidR="00FB178A" w:rsidRPr="0004221B" w:rsidRDefault="00FB178A" w:rsidP="00FB178A">
      <w:pPr>
        <w:spacing w:after="226" w:line="276" w:lineRule="auto"/>
        <w:ind w:right="9"/>
        <w:jc w:val="both"/>
        <w:rPr>
          <w:rFonts w:eastAsia="Calibri"/>
          <w:kern w:val="2"/>
          <w:sz w:val="24"/>
          <w:szCs w:val="24"/>
        </w:rPr>
      </w:pPr>
    </w:p>
    <w:p w14:paraId="5F1E2C14" w14:textId="77777777" w:rsidR="00FB178A" w:rsidRPr="0004221B" w:rsidRDefault="00FB178A" w:rsidP="00FB178A">
      <w:pPr>
        <w:spacing w:after="226" w:line="276" w:lineRule="auto"/>
        <w:ind w:right="9"/>
        <w:jc w:val="both"/>
        <w:rPr>
          <w:rFonts w:eastAsia="Calibri"/>
          <w:kern w:val="2"/>
          <w:sz w:val="24"/>
          <w:szCs w:val="24"/>
        </w:rPr>
      </w:pPr>
      <w:r w:rsidRPr="007A2580">
        <w:rPr>
          <w:rFonts w:eastAsia="Calibri"/>
          <w:kern w:val="2"/>
          <w:sz w:val="24"/>
          <w:szCs w:val="24"/>
        </w:rPr>
        <w:lastRenderedPageBreak/>
        <w:t xml:space="preserve">Tijekom 2024. nastavljena je provedba Nacionalnog plana izjednačavanja mogućnosti za osobe s invaliditetom </w:t>
      </w:r>
      <w:r>
        <w:rPr>
          <w:rFonts w:eastAsia="Calibri"/>
          <w:kern w:val="2"/>
          <w:sz w:val="24"/>
          <w:szCs w:val="24"/>
        </w:rPr>
        <w:t xml:space="preserve">za razdoblje od </w:t>
      </w:r>
      <w:r w:rsidRPr="007A2580">
        <w:rPr>
          <w:rFonts w:eastAsia="Calibri"/>
          <w:kern w:val="2"/>
          <w:sz w:val="24"/>
          <w:szCs w:val="24"/>
        </w:rPr>
        <w:t>2021.</w:t>
      </w:r>
      <w:r>
        <w:rPr>
          <w:rFonts w:eastAsia="Calibri"/>
          <w:kern w:val="2"/>
          <w:sz w:val="24"/>
          <w:szCs w:val="24"/>
        </w:rPr>
        <w:t xml:space="preserve"> do </w:t>
      </w:r>
      <w:r w:rsidRPr="007A2580">
        <w:rPr>
          <w:rFonts w:eastAsia="Calibri"/>
          <w:kern w:val="2"/>
          <w:sz w:val="24"/>
          <w:szCs w:val="24"/>
        </w:rPr>
        <w:t>2027.</w:t>
      </w:r>
      <w:r>
        <w:rPr>
          <w:rFonts w:eastAsia="Calibri"/>
          <w:kern w:val="2"/>
          <w:sz w:val="24"/>
          <w:szCs w:val="24"/>
        </w:rPr>
        <w:t xml:space="preserve"> godine</w:t>
      </w:r>
      <w:r w:rsidRPr="007A2580">
        <w:rPr>
          <w:rFonts w:eastAsia="Calibri"/>
          <w:kern w:val="2"/>
          <w:sz w:val="24"/>
          <w:szCs w:val="24"/>
        </w:rPr>
        <w:t>, usmjeren</w:t>
      </w:r>
      <w:r>
        <w:rPr>
          <w:rFonts w:eastAsia="Calibri"/>
          <w:kern w:val="2"/>
          <w:sz w:val="24"/>
          <w:szCs w:val="24"/>
        </w:rPr>
        <w:t>og</w:t>
      </w:r>
      <w:r w:rsidRPr="007A2580">
        <w:rPr>
          <w:rFonts w:eastAsia="Calibri"/>
          <w:kern w:val="2"/>
          <w:sz w:val="24"/>
          <w:szCs w:val="24"/>
        </w:rPr>
        <w:t xml:space="preserve"> na jačanje socijalne uključenosti, neovisnog življenja i ravnopravnog sudjelovanja osoba s invaliditetom u svim područjima društvenog života. </w:t>
      </w:r>
      <w:r>
        <w:rPr>
          <w:rFonts w:eastAsia="Calibri"/>
          <w:kern w:val="2"/>
          <w:sz w:val="24"/>
          <w:szCs w:val="24"/>
        </w:rPr>
        <w:t>S</w:t>
      </w:r>
      <w:r w:rsidRPr="007A2580">
        <w:rPr>
          <w:rFonts w:eastAsia="Calibri"/>
          <w:kern w:val="2"/>
          <w:sz w:val="24"/>
          <w:szCs w:val="24"/>
        </w:rPr>
        <w:t xml:space="preserve"> cilj</w:t>
      </w:r>
      <w:r>
        <w:rPr>
          <w:rFonts w:eastAsia="Calibri"/>
          <w:kern w:val="2"/>
          <w:sz w:val="24"/>
          <w:szCs w:val="24"/>
        </w:rPr>
        <w:t>em</w:t>
      </w:r>
      <w:r w:rsidRPr="007A2580">
        <w:rPr>
          <w:rFonts w:eastAsia="Calibri"/>
          <w:kern w:val="2"/>
          <w:sz w:val="24"/>
          <w:szCs w:val="24"/>
        </w:rPr>
        <w:t xml:space="preserve"> pojednostavljenja sustava prava i povećanja transparentnosti te ekonomičnosti, u siječnju 2024. stupio je na snagu Zakon o </w:t>
      </w:r>
      <w:proofErr w:type="spellStart"/>
      <w:r w:rsidRPr="007A2580">
        <w:rPr>
          <w:rFonts w:eastAsia="Calibri"/>
          <w:kern w:val="2"/>
          <w:sz w:val="24"/>
          <w:szCs w:val="24"/>
        </w:rPr>
        <w:t>inkluzivnom</w:t>
      </w:r>
      <w:proofErr w:type="spellEnd"/>
      <w:r w:rsidRPr="007A2580">
        <w:rPr>
          <w:rFonts w:eastAsia="Calibri"/>
          <w:kern w:val="2"/>
          <w:sz w:val="24"/>
          <w:szCs w:val="24"/>
        </w:rPr>
        <w:t xml:space="preserve"> dodatku (</w:t>
      </w:r>
      <w:r>
        <w:rPr>
          <w:rFonts w:eastAsia="Calibri"/>
          <w:kern w:val="2"/>
          <w:sz w:val="24"/>
          <w:szCs w:val="24"/>
        </w:rPr>
        <w:t>„Narodne novine“, broj</w:t>
      </w:r>
      <w:r w:rsidRPr="007A2580">
        <w:rPr>
          <w:rFonts w:eastAsia="Calibri"/>
          <w:kern w:val="2"/>
          <w:sz w:val="24"/>
          <w:szCs w:val="24"/>
        </w:rPr>
        <w:t xml:space="preserve"> 156/23</w:t>
      </w:r>
      <w:r>
        <w:rPr>
          <w:rFonts w:eastAsia="Calibri"/>
          <w:kern w:val="2"/>
          <w:sz w:val="24"/>
          <w:szCs w:val="24"/>
        </w:rPr>
        <w:t>.</w:t>
      </w:r>
      <w:r w:rsidRPr="007A2580">
        <w:rPr>
          <w:rFonts w:eastAsia="Calibri"/>
          <w:kern w:val="2"/>
          <w:sz w:val="24"/>
          <w:szCs w:val="24"/>
        </w:rPr>
        <w:t xml:space="preserve">), kojim su u jedno pravo objedinjene četiri ranije naknade (osobna invalidnina, doplatak za pomoć i njegu, uvećani doplatak za djecu i naknada do zaposlenja), uz uvođenje samo jednog vještačenja za ostvarivanje toga prava. Zakonom su utvrđeni uvjeti za priznavanje </w:t>
      </w:r>
      <w:proofErr w:type="spellStart"/>
      <w:r w:rsidRPr="007A2580">
        <w:rPr>
          <w:rFonts w:eastAsia="Calibri"/>
          <w:kern w:val="2"/>
          <w:sz w:val="24"/>
          <w:szCs w:val="24"/>
        </w:rPr>
        <w:t>inkluzivnog</w:t>
      </w:r>
      <w:proofErr w:type="spellEnd"/>
      <w:r w:rsidRPr="007A2580">
        <w:rPr>
          <w:rFonts w:eastAsia="Calibri"/>
          <w:kern w:val="2"/>
          <w:sz w:val="24"/>
          <w:szCs w:val="24"/>
        </w:rPr>
        <w:t xml:space="preserve"> dodatka kao novčane naknade namijenjene prevladavanju prepreka koje ograničavaju puno i učinkovito sudjelovanje osoba s invaliditetom u društvu, pri čemu je definirano pet razina potpore</w:t>
      </w:r>
      <w:r>
        <w:rPr>
          <w:rFonts w:eastAsia="Calibri"/>
          <w:kern w:val="2"/>
          <w:sz w:val="24"/>
          <w:szCs w:val="24"/>
        </w:rPr>
        <w:t>,</w:t>
      </w:r>
      <w:r w:rsidRPr="007A2580">
        <w:rPr>
          <w:rFonts w:eastAsia="Calibri"/>
          <w:kern w:val="2"/>
          <w:sz w:val="24"/>
          <w:szCs w:val="24"/>
        </w:rPr>
        <w:t xml:space="preserve"> od 138 eura do 720 eura mjesečno, ovisno o intenzitetu potrebne podrške druge osobe i dodatnim rehabilitacijskim potrebama korisnika</w:t>
      </w:r>
      <w:r>
        <w:rPr>
          <w:rFonts w:eastAsia="Calibri"/>
          <w:kern w:val="2"/>
          <w:sz w:val="24"/>
          <w:szCs w:val="24"/>
        </w:rPr>
        <w:t>.</w:t>
      </w:r>
    </w:p>
    <w:p w14:paraId="238DD4A8" w14:textId="77777777" w:rsidR="00FB178A" w:rsidRDefault="00FB178A" w:rsidP="00FB178A">
      <w:pPr>
        <w:spacing w:after="226" w:line="276" w:lineRule="auto"/>
        <w:ind w:right="9"/>
        <w:jc w:val="both"/>
        <w:rPr>
          <w:rFonts w:eastAsia="Calibri"/>
          <w:kern w:val="2"/>
          <w:sz w:val="24"/>
          <w:szCs w:val="24"/>
        </w:rPr>
      </w:pPr>
      <w:r w:rsidRPr="00241BE7">
        <w:rPr>
          <w:rFonts w:eastAsia="Calibri"/>
          <w:kern w:val="2"/>
          <w:sz w:val="24"/>
          <w:szCs w:val="24"/>
        </w:rPr>
        <w:t>Tijekom 2024. nastav</w:t>
      </w:r>
      <w:r>
        <w:rPr>
          <w:rFonts w:eastAsia="Calibri"/>
          <w:kern w:val="2"/>
          <w:sz w:val="24"/>
          <w:szCs w:val="24"/>
        </w:rPr>
        <w:t>ljena je</w:t>
      </w:r>
      <w:r w:rsidRPr="00241BE7">
        <w:rPr>
          <w:rFonts w:eastAsia="Calibri"/>
          <w:kern w:val="2"/>
          <w:sz w:val="24"/>
          <w:szCs w:val="24"/>
        </w:rPr>
        <w:t xml:space="preserve"> provedba Nacionalnog plana za prava djece u Republici Hrvatskoj za razdoblje </w:t>
      </w:r>
      <w:r>
        <w:rPr>
          <w:rFonts w:eastAsia="Calibri"/>
          <w:kern w:val="2"/>
          <w:sz w:val="24"/>
          <w:szCs w:val="24"/>
        </w:rPr>
        <w:t xml:space="preserve">od </w:t>
      </w:r>
      <w:r w:rsidRPr="00241BE7">
        <w:rPr>
          <w:rFonts w:eastAsia="Calibri"/>
          <w:kern w:val="2"/>
          <w:sz w:val="24"/>
          <w:szCs w:val="24"/>
        </w:rPr>
        <w:t>2022.</w:t>
      </w:r>
      <w:r>
        <w:rPr>
          <w:rFonts w:eastAsia="Calibri"/>
          <w:kern w:val="2"/>
          <w:sz w:val="24"/>
          <w:szCs w:val="24"/>
        </w:rPr>
        <w:t xml:space="preserve"> do </w:t>
      </w:r>
      <w:r w:rsidRPr="00241BE7">
        <w:rPr>
          <w:rFonts w:eastAsia="Calibri"/>
          <w:kern w:val="2"/>
          <w:sz w:val="24"/>
          <w:szCs w:val="24"/>
        </w:rPr>
        <w:t>2026.</w:t>
      </w:r>
      <w:r>
        <w:rPr>
          <w:rFonts w:eastAsia="Calibri"/>
          <w:kern w:val="2"/>
          <w:sz w:val="24"/>
          <w:szCs w:val="24"/>
        </w:rPr>
        <w:t xml:space="preserve"> godine</w:t>
      </w:r>
      <w:r w:rsidRPr="00241BE7">
        <w:rPr>
          <w:rFonts w:eastAsia="Calibri"/>
          <w:kern w:val="2"/>
          <w:sz w:val="24"/>
          <w:szCs w:val="24"/>
        </w:rPr>
        <w:t xml:space="preserve">, uz daljnje jačanje međuresorne suradnje te uspostavu sustavnijeg praćenja pokazatelja položaja djece. Unaprjeđene su usluge podrške djeci i obiteljima u zajednici, posebno kroz jačanje rada </w:t>
      </w:r>
      <w:r w:rsidRPr="008564C7">
        <w:rPr>
          <w:rFonts w:eastAsia="Calibri"/>
          <w:kern w:val="2"/>
          <w:sz w:val="24"/>
          <w:szCs w:val="24"/>
        </w:rPr>
        <w:t>Područnih ureda Hrvatskog zavoda za socijalni rad</w:t>
      </w:r>
      <w:r w:rsidRPr="00241BE7">
        <w:rPr>
          <w:rFonts w:eastAsia="Calibri"/>
          <w:kern w:val="2"/>
          <w:sz w:val="24"/>
          <w:szCs w:val="24"/>
        </w:rPr>
        <w:t xml:space="preserve">, razvoj socijalnog mentorstva, širenje dostupnosti psihološke i savjetodavne pomoći te mjera za zaštitu mentalnog zdravlja djece. Nastavljene su mjere usmjerene na prevenciju nasilja nad djecom, digitalnu sigurnost i suzbijanje svih oblika zlostavljanja i zanemarivanja, uz aktivnosti edukacije stručnjaka u sustavu socijalne skrbi, obrazovanja, zdravstva i pravosuđa. U području obrazovanja dodatno je unaprijeđen obuhvat djece ranim i predškolskim odgojem i obrazovanjem, </w:t>
      </w:r>
      <w:r>
        <w:rPr>
          <w:rFonts w:eastAsia="Calibri"/>
          <w:kern w:val="2"/>
          <w:sz w:val="24"/>
          <w:szCs w:val="24"/>
        </w:rPr>
        <w:t xml:space="preserve">poboljšana je </w:t>
      </w:r>
      <w:r w:rsidRPr="00241BE7">
        <w:rPr>
          <w:rFonts w:eastAsia="Calibri"/>
          <w:kern w:val="2"/>
          <w:sz w:val="24"/>
          <w:szCs w:val="24"/>
        </w:rPr>
        <w:t xml:space="preserve"> praksa za </w:t>
      </w:r>
      <w:r>
        <w:rPr>
          <w:rFonts w:eastAsia="Calibri"/>
          <w:kern w:val="2"/>
          <w:sz w:val="24"/>
          <w:szCs w:val="24"/>
        </w:rPr>
        <w:t xml:space="preserve">uključivanje </w:t>
      </w:r>
      <w:r w:rsidRPr="00241BE7">
        <w:rPr>
          <w:rFonts w:eastAsia="Calibri"/>
          <w:kern w:val="2"/>
          <w:sz w:val="24"/>
          <w:szCs w:val="24"/>
        </w:rPr>
        <w:t>djec</w:t>
      </w:r>
      <w:r>
        <w:rPr>
          <w:rFonts w:eastAsia="Calibri"/>
          <w:kern w:val="2"/>
          <w:sz w:val="24"/>
          <w:szCs w:val="24"/>
        </w:rPr>
        <w:t>e</w:t>
      </w:r>
      <w:r w:rsidRPr="00241BE7">
        <w:rPr>
          <w:rFonts w:eastAsia="Calibri"/>
          <w:kern w:val="2"/>
          <w:sz w:val="24"/>
          <w:szCs w:val="24"/>
        </w:rPr>
        <w:t xml:space="preserve"> s teškoćama u razvoju te je osigurana besplatna prehrana za sve učenike osnovnih škola. Posebna je pozornost posvećena smanjenju dječjeg siromaštva i socijalne isključenosti, uključujući širenje socijalnih usluga u zajednici i razvoj integriranih usluga podrške obiteljima. Rezultati provedbe u 2024. godini ukazuju na postupno jačanje sustava zaštite prava djeteta, ali i na potrebu daljnjeg ulaganja u jednak pristup kvalitetnim uslugama za svu djecu, osobito onu iz ranjivih skupina.</w:t>
      </w:r>
    </w:p>
    <w:p w14:paraId="1323FF42" w14:textId="77777777" w:rsidR="00FB178A" w:rsidRDefault="00FB178A" w:rsidP="00FB178A">
      <w:pPr>
        <w:spacing w:after="134" w:line="276" w:lineRule="auto"/>
        <w:ind w:right="-5"/>
        <w:jc w:val="both"/>
        <w:rPr>
          <w:rFonts w:eastAsia="Calibri"/>
          <w:kern w:val="2"/>
          <w:sz w:val="24"/>
          <w:szCs w:val="24"/>
        </w:rPr>
      </w:pPr>
      <w:r w:rsidRPr="006966C9">
        <w:rPr>
          <w:rFonts w:eastAsia="Calibri"/>
          <w:kern w:val="2"/>
          <w:sz w:val="24"/>
          <w:szCs w:val="24"/>
        </w:rPr>
        <w:t xml:space="preserve">U cilju jačanja podrške roditeljima u riziku i unapređenja kvalitete obiteljske skrbi, osnivanjem Obiteljskog centra (OBC) i Hrvatskog zavoda za socijalni rad unaprijeđene su socijalne usluge usmjerene roditeljstvu i obitelji. </w:t>
      </w:r>
      <w:r>
        <w:rPr>
          <w:rFonts w:eastAsia="Calibri"/>
          <w:kern w:val="2"/>
          <w:sz w:val="24"/>
          <w:szCs w:val="24"/>
        </w:rPr>
        <w:t>U organizaciji OBC-a</w:t>
      </w:r>
      <w:r w:rsidRPr="006966C9">
        <w:rPr>
          <w:rFonts w:eastAsia="Calibri"/>
          <w:kern w:val="2"/>
          <w:sz w:val="24"/>
          <w:szCs w:val="24"/>
        </w:rPr>
        <w:t xml:space="preserve"> tijekom 2024. provo</w:t>
      </w:r>
      <w:r>
        <w:rPr>
          <w:rFonts w:eastAsia="Calibri"/>
          <w:kern w:val="2"/>
          <w:sz w:val="24"/>
          <w:szCs w:val="24"/>
        </w:rPr>
        <w:t>đeni su</w:t>
      </w:r>
      <w:r w:rsidRPr="006966C9">
        <w:rPr>
          <w:rFonts w:eastAsia="Calibri"/>
          <w:kern w:val="2"/>
          <w:sz w:val="24"/>
          <w:szCs w:val="24"/>
        </w:rPr>
        <w:t xml:space="preserve"> verificiran</w:t>
      </w:r>
      <w:r>
        <w:rPr>
          <w:rFonts w:eastAsia="Calibri"/>
          <w:kern w:val="2"/>
          <w:sz w:val="24"/>
          <w:szCs w:val="24"/>
        </w:rPr>
        <w:t>i</w:t>
      </w:r>
      <w:r w:rsidRPr="006966C9">
        <w:rPr>
          <w:rFonts w:eastAsia="Calibri"/>
          <w:kern w:val="2"/>
          <w:sz w:val="24"/>
          <w:szCs w:val="24"/>
        </w:rPr>
        <w:t xml:space="preserve"> program</w:t>
      </w:r>
      <w:r>
        <w:rPr>
          <w:rFonts w:eastAsia="Calibri"/>
          <w:kern w:val="2"/>
          <w:sz w:val="24"/>
          <w:szCs w:val="24"/>
        </w:rPr>
        <w:t>i</w:t>
      </w:r>
      <w:r w:rsidRPr="006966C9">
        <w:rPr>
          <w:rFonts w:eastAsia="Calibri"/>
          <w:kern w:val="2"/>
          <w:sz w:val="24"/>
          <w:szCs w:val="24"/>
        </w:rPr>
        <w:t xml:space="preserve"> podrške roditeljstvu, pri čemu se posebno ističe program </w:t>
      </w:r>
      <w:r>
        <w:rPr>
          <w:rFonts w:eastAsia="Calibri"/>
          <w:kern w:val="2"/>
          <w:sz w:val="24"/>
          <w:szCs w:val="24"/>
        </w:rPr>
        <w:t>„</w:t>
      </w:r>
      <w:r w:rsidRPr="006966C9">
        <w:rPr>
          <w:rFonts w:eastAsia="Calibri"/>
          <w:kern w:val="2"/>
          <w:sz w:val="24"/>
          <w:szCs w:val="24"/>
        </w:rPr>
        <w:t>Rastimo zajedno</w:t>
      </w:r>
      <w:r>
        <w:rPr>
          <w:rFonts w:eastAsia="Calibri"/>
          <w:kern w:val="2"/>
          <w:sz w:val="24"/>
          <w:szCs w:val="24"/>
        </w:rPr>
        <w:t>“</w:t>
      </w:r>
      <w:r w:rsidRPr="006966C9">
        <w:rPr>
          <w:rFonts w:eastAsia="Calibri"/>
          <w:kern w:val="2"/>
          <w:sz w:val="24"/>
          <w:szCs w:val="24"/>
        </w:rPr>
        <w:t xml:space="preserve"> u različitim modulima</w:t>
      </w:r>
      <w:r>
        <w:rPr>
          <w:rFonts w:eastAsia="Calibri"/>
          <w:kern w:val="2"/>
          <w:sz w:val="24"/>
          <w:szCs w:val="24"/>
        </w:rPr>
        <w:t xml:space="preserve">, </w:t>
      </w:r>
      <w:r w:rsidRPr="006966C9">
        <w:rPr>
          <w:rFonts w:eastAsia="Calibri"/>
          <w:kern w:val="2"/>
          <w:sz w:val="24"/>
          <w:szCs w:val="24"/>
        </w:rPr>
        <w:t>za roditelje predškolske djece, roditelje u otežanim okolnostima, razvedene roditelje</w:t>
      </w:r>
      <w:r>
        <w:rPr>
          <w:rFonts w:eastAsia="Calibri"/>
          <w:kern w:val="2"/>
          <w:sz w:val="24"/>
          <w:szCs w:val="24"/>
        </w:rPr>
        <w:t xml:space="preserve"> i</w:t>
      </w:r>
      <w:r w:rsidRPr="006966C9">
        <w:rPr>
          <w:rFonts w:eastAsia="Calibri"/>
          <w:kern w:val="2"/>
          <w:sz w:val="24"/>
          <w:szCs w:val="24"/>
        </w:rPr>
        <w:t xml:space="preserve"> </w:t>
      </w:r>
      <w:proofErr w:type="spellStart"/>
      <w:r w:rsidRPr="006966C9">
        <w:rPr>
          <w:rFonts w:eastAsia="Calibri"/>
          <w:kern w:val="2"/>
          <w:sz w:val="24"/>
          <w:szCs w:val="24"/>
        </w:rPr>
        <w:t>posvojitelje</w:t>
      </w:r>
      <w:proofErr w:type="spellEnd"/>
      <w:r w:rsidRPr="006966C9">
        <w:rPr>
          <w:rFonts w:eastAsia="Calibri"/>
          <w:kern w:val="2"/>
          <w:sz w:val="24"/>
          <w:szCs w:val="24"/>
        </w:rPr>
        <w:t xml:space="preserve">. Škole roditeljskih vještina provodile su se kroz više tematskih radionica „Škola odgovornog roditeljstva“, „Roditeljstvo u ravnoteži“, „Mala škola </w:t>
      </w:r>
      <w:proofErr w:type="spellStart"/>
      <w:r w:rsidRPr="006966C9">
        <w:rPr>
          <w:rFonts w:eastAsia="Calibri"/>
          <w:kern w:val="2"/>
          <w:sz w:val="24"/>
          <w:szCs w:val="24"/>
        </w:rPr>
        <w:t>suroditeljstva</w:t>
      </w:r>
      <w:proofErr w:type="spellEnd"/>
      <w:r w:rsidRPr="006966C9">
        <w:rPr>
          <w:rFonts w:eastAsia="Calibri"/>
          <w:kern w:val="2"/>
          <w:sz w:val="24"/>
          <w:szCs w:val="24"/>
        </w:rPr>
        <w:t xml:space="preserve">“, a ukupno je  provedeno 14 programa i 61 ciklus radionica u kojima je sudjelovalo 650 korisnika, čime je osnažen velik broj obitelji koje odgajaju djecu u otežanim okolnostima. Istodobno, u području zaštite djece žrtava i svjedoka kaznenih djela i povreda prava, područni uredi </w:t>
      </w:r>
      <w:r w:rsidRPr="00A77A59">
        <w:rPr>
          <w:rFonts w:eastAsia="Calibri"/>
          <w:kern w:val="2"/>
          <w:sz w:val="24"/>
          <w:szCs w:val="24"/>
        </w:rPr>
        <w:t xml:space="preserve">Hrvatskog zavoda za socijalni rad </w:t>
      </w:r>
      <w:r w:rsidRPr="006966C9">
        <w:rPr>
          <w:rFonts w:eastAsia="Calibri"/>
          <w:kern w:val="2"/>
          <w:sz w:val="24"/>
          <w:szCs w:val="24"/>
        </w:rPr>
        <w:t xml:space="preserve">evidentirali su 7.335 prijava zbog povreda prava djeteta u 2024., pri čemu stručni djelatnici provode inicijalne razgovore, psihosocijalno savjetovanje i poduzimaju mjere zaštite </w:t>
      </w:r>
      <w:r>
        <w:rPr>
          <w:rFonts w:eastAsia="Calibri"/>
          <w:kern w:val="2"/>
          <w:sz w:val="24"/>
          <w:szCs w:val="24"/>
        </w:rPr>
        <w:t xml:space="preserve">i podrške </w:t>
      </w:r>
      <w:r w:rsidRPr="006966C9">
        <w:rPr>
          <w:rFonts w:eastAsia="Calibri"/>
          <w:kern w:val="2"/>
          <w:sz w:val="24"/>
          <w:szCs w:val="24"/>
        </w:rPr>
        <w:t>u skladu s Obiteljskim zakonom</w:t>
      </w:r>
      <w:r>
        <w:rPr>
          <w:rFonts w:eastAsia="Calibri"/>
          <w:kern w:val="2"/>
          <w:sz w:val="24"/>
          <w:szCs w:val="24"/>
        </w:rPr>
        <w:t xml:space="preserve"> („Narodne novine“, br. 103/</w:t>
      </w:r>
      <w:r w:rsidRPr="00F316B5">
        <w:rPr>
          <w:rFonts w:eastAsia="Calibri"/>
          <w:kern w:val="2"/>
          <w:sz w:val="24"/>
          <w:szCs w:val="24"/>
        </w:rPr>
        <w:t>15</w:t>
      </w:r>
      <w:r>
        <w:rPr>
          <w:rFonts w:eastAsia="Calibri"/>
          <w:kern w:val="2"/>
          <w:sz w:val="24"/>
          <w:szCs w:val="24"/>
        </w:rPr>
        <w:t>., 98/</w:t>
      </w:r>
      <w:r w:rsidRPr="00F316B5">
        <w:rPr>
          <w:rFonts w:eastAsia="Calibri"/>
          <w:kern w:val="2"/>
          <w:sz w:val="24"/>
          <w:szCs w:val="24"/>
        </w:rPr>
        <w:t>19</w:t>
      </w:r>
      <w:r>
        <w:rPr>
          <w:rFonts w:eastAsia="Calibri"/>
          <w:kern w:val="2"/>
          <w:sz w:val="24"/>
          <w:szCs w:val="24"/>
        </w:rPr>
        <w:t>., 47/</w:t>
      </w:r>
      <w:r w:rsidRPr="00F316B5">
        <w:rPr>
          <w:rFonts w:eastAsia="Calibri"/>
          <w:kern w:val="2"/>
          <w:sz w:val="24"/>
          <w:szCs w:val="24"/>
        </w:rPr>
        <w:t>20</w:t>
      </w:r>
      <w:r>
        <w:rPr>
          <w:rFonts w:eastAsia="Calibri"/>
          <w:kern w:val="2"/>
          <w:sz w:val="24"/>
          <w:szCs w:val="24"/>
        </w:rPr>
        <w:t>., 49/</w:t>
      </w:r>
      <w:r w:rsidRPr="00F316B5">
        <w:rPr>
          <w:rFonts w:eastAsia="Calibri"/>
          <w:kern w:val="2"/>
          <w:sz w:val="24"/>
          <w:szCs w:val="24"/>
        </w:rPr>
        <w:t>23</w:t>
      </w:r>
      <w:r>
        <w:rPr>
          <w:rFonts w:eastAsia="Calibri"/>
          <w:kern w:val="2"/>
          <w:sz w:val="24"/>
          <w:szCs w:val="24"/>
        </w:rPr>
        <w:t xml:space="preserve">. – </w:t>
      </w:r>
      <w:r>
        <w:rPr>
          <w:rFonts w:eastAsia="Calibri"/>
          <w:kern w:val="2"/>
          <w:sz w:val="24"/>
          <w:szCs w:val="24"/>
        </w:rPr>
        <w:lastRenderedPageBreak/>
        <w:t>Odluka i Rješenje Ustavnog suda Republike Hrvatske i 156/</w:t>
      </w:r>
      <w:r w:rsidRPr="00F316B5">
        <w:rPr>
          <w:rFonts w:eastAsia="Calibri"/>
          <w:kern w:val="2"/>
          <w:sz w:val="24"/>
          <w:szCs w:val="24"/>
        </w:rPr>
        <w:t>23</w:t>
      </w:r>
      <w:r>
        <w:rPr>
          <w:rFonts w:eastAsia="Calibri"/>
          <w:kern w:val="2"/>
          <w:sz w:val="24"/>
          <w:szCs w:val="24"/>
        </w:rPr>
        <w:t xml:space="preserve">.). </w:t>
      </w:r>
    </w:p>
    <w:p w14:paraId="670452BA" w14:textId="77777777" w:rsidR="00FB178A" w:rsidRPr="0004221B" w:rsidRDefault="00FB178A" w:rsidP="00FB178A">
      <w:pPr>
        <w:spacing w:before="240" w:line="276" w:lineRule="auto"/>
        <w:ind w:right="-5"/>
        <w:jc w:val="both"/>
        <w:rPr>
          <w:rFonts w:eastAsia="Calibri"/>
          <w:kern w:val="2"/>
          <w:sz w:val="24"/>
          <w:szCs w:val="24"/>
        </w:rPr>
      </w:pPr>
      <w:r w:rsidRPr="00420FEC">
        <w:rPr>
          <w:rFonts w:eastAsia="Calibri"/>
          <w:kern w:val="2"/>
          <w:sz w:val="24"/>
          <w:szCs w:val="24"/>
        </w:rPr>
        <w:t xml:space="preserve">Posebna se pozornost posvećuje </w:t>
      </w:r>
      <w:r>
        <w:rPr>
          <w:rFonts w:eastAsia="Calibri"/>
          <w:kern w:val="2"/>
          <w:sz w:val="24"/>
          <w:szCs w:val="24"/>
        </w:rPr>
        <w:t xml:space="preserve">i </w:t>
      </w:r>
      <w:r w:rsidRPr="00420FEC">
        <w:rPr>
          <w:rFonts w:eastAsia="Calibri"/>
          <w:kern w:val="2"/>
          <w:sz w:val="24"/>
          <w:szCs w:val="24"/>
        </w:rPr>
        <w:t>poticanju dječje participacije kroz Vijeća korisnika kod pružatelja usluga smještaja za djecu te Vijeća udomljene djece i mladih. U domovima socijalne skrbi</w:t>
      </w:r>
      <w:r>
        <w:rPr>
          <w:rFonts w:eastAsia="Calibri"/>
          <w:kern w:val="2"/>
          <w:sz w:val="24"/>
          <w:szCs w:val="24"/>
        </w:rPr>
        <w:t xml:space="preserve"> i</w:t>
      </w:r>
      <w:r w:rsidRPr="00420FEC">
        <w:rPr>
          <w:rFonts w:eastAsia="Calibri"/>
          <w:kern w:val="2"/>
          <w:sz w:val="24"/>
          <w:szCs w:val="24"/>
        </w:rPr>
        <w:t xml:space="preserve"> centrima za pružanje usluga u zajednici</w:t>
      </w:r>
      <w:r>
        <w:rPr>
          <w:rFonts w:eastAsia="Calibri"/>
          <w:kern w:val="2"/>
          <w:sz w:val="24"/>
          <w:szCs w:val="24"/>
        </w:rPr>
        <w:t xml:space="preserve"> </w:t>
      </w:r>
      <w:r w:rsidRPr="00420FEC">
        <w:rPr>
          <w:rFonts w:eastAsia="Calibri"/>
          <w:kern w:val="2"/>
          <w:sz w:val="24"/>
          <w:szCs w:val="24"/>
        </w:rPr>
        <w:t xml:space="preserve">djeluje ukupno 73 vijeća djece i mladih s 589 aktivnih korisnika, koja kroz prijedloge i sudjelovanje u donošenju odluka izravno utječu na kvalitetu skrbi. U 2024. održana je </w:t>
      </w:r>
      <w:proofErr w:type="spellStart"/>
      <w:r w:rsidRPr="00420FEC">
        <w:rPr>
          <w:rFonts w:eastAsia="Calibri"/>
          <w:kern w:val="2"/>
          <w:sz w:val="24"/>
          <w:szCs w:val="24"/>
        </w:rPr>
        <w:t>Pretkonferencija</w:t>
      </w:r>
      <w:proofErr w:type="spellEnd"/>
      <w:r w:rsidRPr="00420FEC">
        <w:rPr>
          <w:rFonts w:eastAsia="Calibri"/>
          <w:kern w:val="2"/>
          <w:sz w:val="24"/>
          <w:szCs w:val="24"/>
        </w:rPr>
        <w:t xml:space="preserve"> SKRB</w:t>
      </w:r>
      <w:r>
        <w:rPr>
          <w:rFonts w:eastAsia="Calibri"/>
          <w:kern w:val="2"/>
          <w:sz w:val="24"/>
          <w:szCs w:val="24"/>
        </w:rPr>
        <w:t>-</w:t>
      </w:r>
      <w:r w:rsidRPr="00420FEC">
        <w:rPr>
          <w:rFonts w:eastAsia="Calibri"/>
          <w:kern w:val="2"/>
          <w:sz w:val="24"/>
          <w:szCs w:val="24"/>
        </w:rPr>
        <w:t xml:space="preserve">2024 u Varaždinu i istoimena međunarodna znanstveno-stručna konferencija u Zagrebu, na kojima </w:t>
      </w:r>
      <w:r>
        <w:rPr>
          <w:rFonts w:eastAsia="Calibri"/>
          <w:kern w:val="2"/>
          <w:sz w:val="24"/>
          <w:szCs w:val="24"/>
        </w:rPr>
        <w:t>su</w:t>
      </w:r>
      <w:r w:rsidRPr="00420FEC">
        <w:rPr>
          <w:rFonts w:eastAsia="Calibri"/>
          <w:kern w:val="2"/>
          <w:sz w:val="24"/>
          <w:szCs w:val="24"/>
        </w:rPr>
        <w:t xml:space="preserve"> sudjeloval</w:t>
      </w:r>
      <w:r>
        <w:rPr>
          <w:rFonts w:eastAsia="Calibri"/>
          <w:kern w:val="2"/>
          <w:sz w:val="24"/>
          <w:szCs w:val="24"/>
        </w:rPr>
        <w:t>a</w:t>
      </w:r>
      <w:r w:rsidRPr="00420FEC">
        <w:rPr>
          <w:rFonts w:eastAsia="Calibri"/>
          <w:kern w:val="2"/>
          <w:sz w:val="24"/>
          <w:szCs w:val="24"/>
        </w:rPr>
        <w:t xml:space="preserve"> djec</w:t>
      </w:r>
      <w:r>
        <w:rPr>
          <w:rFonts w:eastAsia="Calibri"/>
          <w:kern w:val="2"/>
          <w:sz w:val="24"/>
          <w:szCs w:val="24"/>
        </w:rPr>
        <w:t>a</w:t>
      </w:r>
      <w:r w:rsidRPr="00420FEC">
        <w:rPr>
          <w:rFonts w:eastAsia="Calibri"/>
          <w:kern w:val="2"/>
          <w:sz w:val="24"/>
          <w:szCs w:val="24"/>
        </w:rPr>
        <w:t xml:space="preserve"> i mladi u dobi od 12 do 19 godina iz 28 ustanova, udruga i udomiteljskih obitelji, uz pratnju njihovih mentora, odgajatelja i udomitelja</w:t>
      </w:r>
      <w:r>
        <w:rPr>
          <w:rFonts w:eastAsia="Calibri"/>
          <w:kern w:val="2"/>
          <w:sz w:val="24"/>
          <w:szCs w:val="24"/>
        </w:rPr>
        <w:t xml:space="preserve">, </w:t>
      </w:r>
      <w:r w:rsidRPr="00420FEC">
        <w:rPr>
          <w:rFonts w:eastAsia="Calibri"/>
          <w:kern w:val="2"/>
          <w:sz w:val="24"/>
          <w:szCs w:val="24"/>
        </w:rPr>
        <w:t>čime je dodatno osnaženo njihovo pravo na sudjelovanje u odlukama koje se tiču razvoja sustava skrbi o djeci.</w:t>
      </w:r>
    </w:p>
    <w:p w14:paraId="2BE69BEA" w14:textId="77777777" w:rsidR="00FB178A" w:rsidRPr="00145379" w:rsidRDefault="00FB178A" w:rsidP="00FB178A">
      <w:pPr>
        <w:spacing w:before="240" w:after="240" w:line="276" w:lineRule="auto"/>
        <w:ind w:left="709"/>
        <w:jc w:val="both"/>
        <w:rPr>
          <w:rFonts w:eastAsia="Calibri"/>
          <w:b/>
          <w:bCs/>
          <w:kern w:val="2"/>
          <w:sz w:val="24"/>
          <w:szCs w:val="24"/>
        </w:rPr>
      </w:pPr>
      <w:r w:rsidRPr="00145379">
        <w:rPr>
          <w:rFonts w:eastAsia="Calibri"/>
          <w:b/>
          <w:bCs/>
          <w:kern w:val="2"/>
          <w:sz w:val="24"/>
          <w:szCs w:val="24"/>
        </w:rPr>
        <w:t>Zaštita dostojanstva hrvatskih branitelja i članova njihovih obitelji te civilnih stradalnika Domovinskog rata i članova njihovih obitelji</w:t>
      </w:r>
    </w:p>
    <w:p w14:paraId="48F81A87" w14:textId="77777777" w:rsidR="00FB178A" w:rsidRDefault="00FB178A" w:rsidP="00FB178A">
      <w:pPr>
        <w:widowControl/>
        <w:autoSpaceDE/>
        <w:autoSpaceDN/>
        <w:spacing w:after="276" w:line="276" w:lineRule="auto"/>
        <w:ind w:right="4" w:firstLine="709"/>
        <w:jc w:val="both"/>
        <w:rPr>
          <w:rFonts w:eastAsia="Calibri"/>
          <w:kern w:val="2"/>
          <w:sz w:val="24"/>
          <w:szCs w:val="24"/>
        </w:rPr>
      </w:pPr>
      <w:bookmarkStart w:id="77" w:name="_Toc133420954"/>
      <w:r w:rsidRPr="006814F1">
        <w:rPr>
          <w:rFonts w:eastAsia="Calibri"/>
          <w:kern w:val="2"/>
          <w:sz w:val="24"/>
          <w:szCs w:val="24"/>
        </w:rPr>
        <w:t xml:space="preserve">Hrvatska i u 2024. nastavlja sustavno jačati zaštitu interesa i dostojanstva sudionika Domovinskog rata te dosljedno provoditi javne politike kojima se osigurava odgovarajuća zdravstvena i socijalna skrb onima kojima </w:t>
      </w:r>
      <w:r>
        <w:rPr>
          <w:rFonts w:eastAsia="Calibri"/>
          <w:kern w:val="2"/>
          <w:sz w:val="24"/>
          <w:szCs w:val="24"/>
        </w:rPr>
        <w:t xml:space="preserve">Hrvatska </w:t>
      </w:r>
      <w:r w:rsidRPr="006814F1">
        <w:rPr>
          <w:rFonts w:eastAsia="Calibri"/>
          <w:kern w:val="2"/>
          <w:sz w:val="24"/>
          <w:szCs w:val="24"/>
        </w:rPr>
        <w:t>duguje trajnu zahvalnost za uspostavu i obranu državne samostalnosti.</w:t>
      </w:r>
    </w:p>
    <w:p w14:paraId="711E818F" w14:textId="77777777" w:rsidR="00FB178A" w:rsidRDefault="00FB178A" w:rsidP="00FB178A">
      <w:pPr>
        <w:widowControl/>
        <w:autoSpaceDE/>
        <w:autoSpaceDN/>
        <w:spacing w:after="189" w:line="276" w:lineRule="auto"/>
        <w:ind w:right="4"/>
        <w:jc w:val="both"/>
        <w:rPr>
          <w:rFonts w:eastAsia="Calibri"/>
          <w:kern w:val="2"/>
          <w:sz w:val="24"/>
          <w:szCs w:val="24"/>
        </w:rPr>
      </w:pPr>
      <w:r w:rsidRPr="00702F77">
        <w:rPr>
          <w:rFonts w:eastAsia="Calibri"/>
          <w:kern w:val="2"/>
          <w:sz w:val="24"/>
          <w:szCs w:val="24"/>
        </w:rPr>
        <w:t xml:space="preserve">Tijekom 2024. provedene su brojne mjere usmjerene na unapređenje kvalitete života hrvatskih branitelja, članova njihovih obitelji i civilnih stradalnika Domovinskog rata. Nastavljena je bolnička medicinska rehabilitacija u četiri specijalne bolnice (Varaždinske Toplice, Krapinske Toplice, Lipik i Lječilište </w:t>
      </w:r>
      <w:proofErr w:type="spellStart"/>
      <w:r w:rsidRPr="00702F77">
        <w:rPr>
          <w:rFonts w:eastAsia="Calibri"/>
          <w:kern w:val="2"/>
          <w:sz w:val="24"/>
          <w:szCs w:val="24"/>
        </w:rPr>
        <w:t>Topusko</w:t>
      </w:r>
      <w:proofErr w:type="spellEnd"/>
      <w:r w:rsidRPr="00702F77">
        <w:rPr>
          <w:rFonts w:eastAsia="Calibri"/>
          <w:kern w:val="2"/>
          <w:sz w:val="24"/>
          <w:szCs w:val="24"/>
        </w:rPr>
        <w:t xml:space="preserve">), u okviru koje je pravo na rehabilitaciju ostvarilo 1.267 korisnika, uz ukupni trošak od </w:t>
      </w:r>
      <w:r>
        <w:rPr>
          <w:rFonts w:eastAsia="Calibri"/>
          <w:kern w:val="2"/>
          <w:sz w:val="24"/>
          <w:szCs w:val="24"/>
        </w:rPr>
        <w:t>0,85 milijuna</w:t>
      </w:r>
      <w:r w:rsidRPr="00702F77">
        <w:rPr>
          <w:rFonts w:eastAsia="Calibri"/>
          <w:kern w:val="2"/>
          <w:sz w:val="24"/>
          <w:szCs w:val="24"/>
        </w:rPr>
        <w:t xml:space="preserve"> eura. Na temelju Programa preventivnih sistematskih pregleda hrvatskih branitelja sklopljena su 34 sporazuma sa zdravstvenim ustanovama te je osigurano 17.766 preventivnih pregleda, a dodatno je za 114 teško bolesnih </w:t>
      </w:r>
      <w:r>
        <w:rPr>
          <w:rFonts w:eastAsia="Calibri"/>
          <w:kern w:val="2"/>
          <w:sz w:val="24"/>
          <w:szCs w:val="24"/>
        </w:rPr>
        <w:t xml:space="preserve">hrvatskih </w:t>
      </w:r>
      <w:r w:rsidRPr="00702F77">
        <w:rPr>
          <w:rFonts w:eastAsia="Calibri"/>
          <w:kern w:val="2"/>
          <w:sz w:val="24"/>
          <w:szCs w:val="24"/>
        </w:rPr>
        <w:t xml:space="preserve">branitelja, putem šest bolničkih ustanova, osigurano dugotrajno liječenje s pojačanom skrbi u ukupnoj vrijednosti 2,2 milijuna eura. U </w:t>
      </w:r>
      <w:r>
        <w:rPr>
          <w:rFonts w:eastAsia="Calibri"/>
          <w:kern w:val="2"/>
          <w:sz w:val="24"/>
          <w:szCs w:val="24"/>
        </w:rPr>
        <w:t>okviru</w:t>
      </w:r>
      <w:r w:rsidRPr="00702F77">
        <w:rPr>
          <w:rFonts w:eastAsia="Calibri"/>
          <w:kern w:val="2"/>
          <w:sz w:val="24"/>
          <w:szCs w:val="24"/>
        </w:rPr>
        <w:t xml:space="preserve"> Nacionalnog programa psihosocijalne i zdravstvene pomoći sudionicima i stradalnicima Domovinskog rata, Drugog svjetskog rata te povratnicima iz mirovnih misija</w:t>
      </w:r>
      <w:r>
        <w:rPr>
          <w:rFonts w:eastAsia="Calibri"/>
          <w:kern w:val="2"/>
          <w:sz w:val="24"/>
          <w:szCs w:val="24"/>
        </w:rPr>
        <w:t>,</w:t>
      </w:r>
      <w:r w:rsidRPr="00702F77">
        <w:rPr>
          <w:rFonts w:eastAsia="Calibri"/>
          <w:kern w:val="2"/>
          <w:sz w:val="24"/>
          <w:szCs w:val="24"/>
        </w:rPr>
        <w:t xml:space="preserve"> provedeno je 107.729 intervencija</w:t>
      </w:r>
      <w:r>
        <w:rPr>
          <w:rFonts w:eastAsia="Calibri"/>
          <w:kern w:val="2"/>
          <w:sz w:val="24"/>
          <w:szCs w:val="24"/>
        </w:rPr>
        <w:t xml:space="preserve"> (3,8% više)</w:t>
      </w:r>
      <w:r w:rsidRPr="00702F77">
        <w:rPr>
          <w:rFonts w:eastAsia="Calibri"/>
          <w:kern w:val="2"/>
          <w:sz w:val="24"/>
          <w:szCs w:val="24"/>
        </w:rPr>
        <w:t xml:space="preserve"> za 91.339 korisnika</w:t>
      </w:r>
      <w:r>
        <w:rPr>
          <w:rFonts w:eastAsia="Calibri"/>
          <w:kern w:val="2"/>
          <w:sz w:val="24"/>
          <w:szCs w:val="24"/>
        </w:rPr>
        <w:t xml:space="preserve"> (2% više)</w:t>
      </w:r>
      <w:r w:rsidRPr="00702F77">
        <w:rPr>
          <w:rFonts w:eastAsia="Calibri"/>
          <w:kern w:val="2"/>
          <w:sz w:val="24"/>
          <w:szCs w:val="24"/>
        </w:rPr>
        <w:t>, uključujući 1.476 mobilnih intervencija, uz utrošak 1,45 milijuna eura</w:t>
      </w:r>
      <w:r>
        <w:rPr>
          <w:rFonts w:eastAsia="Calibri"/>
          <w:kern w:val="2"/>
          <w:sz w:val="24"/>
          <w:szCs w:val="24"/>
        </w:rPr>
        <w:t>. K</w:t>
      </w:r>
      <w:r w:rsidRPr="00702F77">
        <w:rPr>
          <w:rFonts w:eastAsia="Calibri"/>
          <w:kern w:val="2"/>
          <w:sz w:val="24"/>
          <w:szCs w:val="24"/>
        </w:rPr>
        <w:t xml:space="preserve">roz </w:t>
      </w:r>
      <w:r>
        <w:rPr>
          <w:rFonts w:eastAsia="Calibri"/>
          <w:kern w:val="2"/>
          <w:sz w:val="24"/>
          <w:szCs w:val="24"/>
        </w:rPr>
        <w:t>J</w:t>
      </w:r>
      <w:r w:rsidRPr="00702F77">
        <w:rPr>
          <w:rFonts w:eastAsia="Calibri"/>
          <w:kern w:val="2"/>
          <w:sz w:val="24"/>
          <w:szCs w:val="24"/>
        </w:rPr>
        <w:t>avni poziv za psihološko i socijalno osnaživanje te promicanje vrijednosti Domovinskog rata</w:t>
      </w:r>
      <w:r>
        <w:rPr>
          <w:rFonts w:eastAsia="Calibri"/>
          <w:kern w:val="2"/>
          <w:sz w:val="24"/>
          <w:szCs w:val="24"/>
        </w:rPr>
        <w:t>,</w:t>
      </w:r>
      <w:r w:rsidRPr="00702F77">
        <w:rPr>
          <w:rFonts w:eastAsia="Calibri"/>
          <w:kern w:val="2"/>
          <w:sz w:val="24"/>
          <w:szCs w:val="24"/>
        </w:rPr>
        <w:t xml:space="preserve"> financirano</w:t>
      </w:r>
      <w:r>
        <w:rPr>
          <w:rFonts w:eastAsia="Calibri"/>
          <w:kern w:val="2"/>
          <w:sz w:val="24"/>
          <w:szCs w:val="24"/>
        </w:rPr>
        <w:t xml:space="preserve"> je</w:t>
      </w:r>
      <w:r w:rsidRPr="00702F77">
        <w:rPr>
          <w:rFonts w:eastAsia="Calibri"/>
          <w:kern w:val="2"/>
          <w:sz w:val="24"/>
          <w:szCs w:val="24"/>
        </w:rPr>
        <w:t xml:space="preserve"> 378 projekata u iznosu od 2,1 milijun eura. Dodatno je sufinanciran</w:t>
      </w:r>
      <w:r>
        <w:rPr>
          <w:rFonts w:eastAsia="Calibri"/>
          <w:kern w:val="2"/>
          <w:sz w:val="24"/>
          <w:szCs w:val="24"/>
        </w:rPr>
        <w:t xml:space="preserve"> trošak od 0,45 milijuna eura za nabavke</w:t>
      </w:r>
      <w:r w:rsidRPr="00702F77">
        <w:rPr>
          <w:rFonts w:eastAsia="Calibri"/>
          <w:kern w:val="2"/>
          <w:sz w:val="24"/>
          <w:szCs w:val="24"/>
        </w:rPr>
        <w:t xml:space="preserve"> 147 ortopedskih i drugih medicinskih pomagala za 123 korisnika, </w:t>
      </w:r>
      <w:r>
        <w:rPr>
          <w:rFonts w:eastAsia="Calibri"/>
          <w:kern w:val="2"/>
          <w:sz w:val="24"/>
          <w:szCs w:val="24"/>
        </w:rPr>
        <w:t xml:space="preserve">dok je </w:t>
      </w:r>
      <w:r w:rsidRPr="00702F77">
        <w:rPr>
          <w:rFonts w:eastAsia="Calibri"/>
          <w:kern w:val="2"/>
          <w:sz w:val="24"/>
          <w:szCs w:val="24"/>
        </w:rPr>
        <w:t xml:space="preserve">za 40 </w:t>
      </w:r>
      <w:r>
        <w:rPr>
          <w:rFonts w:eastAsia="Calibri"/>
          <w:kern w:val="2"/>
          <w:sz w:val="24"/>
          <w:szCs w:val="24"/>
        </w:rPr>
        <w:t>hrvatskih ratnih vojnih invalida</w:t>
      </w:r>
      <w:r w:rsidRPr="00702F77">
        <w:rPr>
          <w:rFonts w:eastAsia="Calibri"/>
          <w:kern w:val="2"/>
          <w:sz w:val="24"/>
          <w:szCs w:val="24"/>
        </w:rPr>
        <w:t xml:space="preserve"> s težim bolestima osigurano dugotrajno liječenje u vrijednosti 35</w:t>
      </w:r>
      <w:r>
        <w:rPr>
          <w:rFonts w:eastAsia="Calibri"/>
          <w:kern w:val="2"/>
          <w:sz w:val="24"/>
          <w:szCs w:val="24"/>
        </w:rPr>
        <w:t xml:space="preserve"> </w:t>
      </w:r>
      <w:r w:rsidRPr="00702F77">
        <w:rPr>
          <w:rFonts w:eastAsia="Calibri"/>
          <w:kern w:val="2"/>
          <w:sz w:val="24"/>
          <w:szCs w:val="24"/>
        </w:rPr>
        <w:t>7</w:t>
      </w:r>
      <w:r>
        <w:rPr>
          <w:rFonts w:eastAsia="Calibri"/>
          <w:kern w:val="2"/>
          <w:sz w:val="24"/>
          <w:szCs w:val="24"/>
        </w:rPr>
        <w:t>00</w:t>
      </w:r>
      <w:r w:rsidRPr="00702F77">
        <w:rPr>
          <w:rFonts w:eastAsia="Calibri"/>
          <w:kern w:val="2"/>
          <w:sz w:val="24"/>
          <w:szCs w:val="24"/>
        </w:rPr>
        <w:t xml:space="preserve">  eura</w:t>
      </w:r>
      <w:r>
        <w:rPr>
          <w:rFonts w:eastAsia="Calibri"/>
          <w:kern w:val="2"/>
          <w:sz w:val="24"/>
          <w:szCs w:val="24"/>
        </w:rPr>
        <w:t xml:space="preserve">. </w:t>
      </w:r>
      <w:r w:rsidRPr="00702F77">
        <w:rPr>
          <w:rFonts w:eastAsia="Calibri"/>
          <w:kern w:val="2"/>
          <w:sz w:val="24"/>
          <w:szCs w:val="24"/>
        </w:rPr>
        <w:t>Dom hrvatskih veterana u Lipiku prove</w:t>
      </w:r>
      <w:r>
        <w:rPr>
          <w:rFonts w:eastAsia="Calibri"/>
          <w:kern w:val="2"/>
          <w:sz w:val="24"/>
          <w:szCs w:val="24"/>
        </w:rPr>
        <w:t xml:space="preserve">o je tijekom 2024. </w:t>
      </w:r>
      <w:r w:rsidRPr="00702F77">
        <w:rPr>
          <w:rFonts w:eastAsia="Calibri"/>
          <w:kern w:val="2"/>
          <w:sz w:val="24"/>
          <w:szCs w:val="24"/>
        </w:rPr>
        <w:t>rehabilitacijsk</w:t>
      </w:r>
      <w:r>
        <w:rPr>
          <w:rFonts w:eastAsia="Calibri"/>
          <w:kern w:val="2"/>
          <w:sz w:val="24"/>
          <w:szCs w:val="24"/>
        </w:rPr>
        <w:t>e</w:t>
      </w:r>
      <w:r w:rsidRPr="00702F77">
        <w:rPr>
          <w:rFonts w:eastAsia="Calibri"/>
          <w:kern w:val="2"/>
          <w:sz w:val="24"/>
          <w:szCs w:val="24"/>
        </w:rPr>
        <w:t xml:space="preserve"> </w:t>
      </w:r>
      <w:r>
        <w:rPr>
          <w:rFonts w:eastAsia="Calibri"/>
          <w:kern w:val="2"/>
          <w:sz w:val="24"/>
          <w:szCs w:val="24"/>
        </w:rPr>
        <w:t>p</w:t>
      </w:r>
      <w:r w:rsidRPr="00702F77">
        <w:rPr>
          <w:rFonts w:eastAsia="Calibri"/>
          <w:kern w:val="2"/>
          <w:sz w:val="24"/>
          <w:szCs w:val="24"/>
        </w:rPr>
        <w:t>rogram</w:t>
      </w:r>
      <w:r>
        <w:rPr>
          <w:rFonts w:eastAsia="Calibri"/>
          <w:kern w:val="2"/>
          <w:sz w:val="24"/>
          <w:szCs w:val="24"/>
        </w:rPr>
        <w:t>e</w:t>
      </w:r>
      <w:r w:rsidRPr="00702F77">
        <w:rPr>
          <w:rFonts w:eastAsia="Calibri"/>
          <w:kern w:val="2"/>
          <w:sz w:val="24"/>
          <w:szCs w:val="24"/>
        </w:rPr>
        <w:t xml:space="preserve"> za 880 korisnika</w:t>
      </w:r>
      <w:r>
        <w:rPr>
          <w:rFonts w:eastAsia="Calibri"/>
          <w:kern w:val="2"/>
          <w:sz w:val="24"/>
          <w:szCs w:val="24"/>
        </w:rPr>
        <w:t>,</w:t>
      </w:r>
      <w:r w:rsidRPr="00702F77">
        <w:rPr>
          <w:rFonts w:eastAsia="Calibri"/>
          <w:kern w:val="2"/>
          <w:sz w:val="24"/>
          <w:szCs w:val="24"/>
        </w:rPr>
        <w:t xml:space="preserve"> </w:t>
      </w:r>
      <w:r>
        <w:rPr>
          <w:rFonts w:eastAsia="Calibri"/>
          <w:kern w:val="2"/>
          <w:sz w:val="24"/>
          <w:szCs w:val="24"/>
        </w:rPr>
        <w:t>za što je ukupno osigurano</w:t>
      </w:r>
      <w:r w:rsidRPr="00702F77">
        <w:rPr>
          <w:rFonts w:eastAsia="Calibri"/>
          <w:kern w:val="2"/>
          <w:sz w:val="24"/>
          <w:szCs w:val="24"/>
        </w:rPr>
        <w:t xml:space="preserve"> 1,6 milijuna eura, </w:t>
      </w:r>
      <w:r>
        <w:rPr>
          <w:rFonts w:eastAsia="Calibri"/>
          <w:kern w:val="2"/>
          <w:sz w:val="24"/>
          <w:szCs w:val="24"/>
        </w:rPr>
        <w:t xml:space="preserve">a </w:t>
      </w:r>
      <w:r w:rsidRPr="00702F77">
        <w:rPr>
          <w:rFonts w:eastAsia="Calibri"/>
          <w:kern w:val="2"/>
          <w:sz w:val="24"/>
          <w:szCs w:val="24"/>
        </w:rPr>
        <w:t>čime se sustavno jača zdravstvena, psihosocijalna i materijalna sigurnost braniteljsko-stradalničke populacije.</w:t>
      </w:r>
    </w:p>
    <w:p w14:paraId="3A5D46F5" w14:textId="77777777" w:rsidR="00FB178A" w:rsidRPr="0004221B" w:rsidRDefault="00FB178A" w:rsidP="00FB178A">
      <w:pPr>
        <w:widowControl/>
        <w:autoSpaceDE/>
        <w:autoSpaceDN/>
        <w:spacing w:after="189" w:line="276" w:lineRule="auto"/>
        <w:ind w:right="4"/>
        <w:jc w:val="both"/>
        <w:rPr>
          <w:rFonts w:eastAsia="Calibri"/>
          <w:kern w:val="2"/>
          <w:sz w:val="24"/>
          <w:szCs w:val="24"/>
        </w:rPr>
      </w:pPr>
      <w:r>
        <w:rPr>
          <w:rFonts w:eastAsia="Calibri"/>
          <w:kern w:val="2"/>
          <w:sz w:val="24"/>
          <w:szCs w:val="24"/>
        </w:rPr>
        <w:t>N</w:t>
      </w:r>
      <w:r w:rsidRPr="00D64EF5">
        <w:rPr>
          <w:rFonts w:eastAsia="Calibri"/>
          <w:kern w:val="2"/>
          <w:sz w:val="24"/>
          <w:szCs w:val="24"/>
        </w:rPr>
        <w:t>astavljen</w:t>
      </w:r>
      <w:r>
        <w:rPr>
          <w:rFonts w:eastAsia="Calibri"/>
          <w:kern w:val="2"/>
          <w:sz w:val="24"/>
          <w:szCs w:val="24"/>
        </w:rPr>
        <w:t xml:space="preserve"> je</w:t>
      </w:r>
      <w:r w:rsidRPr="00D64EF5">
        <w:rPr>
          <w:rFonts w:eastAsia="Calibri"/>
          <w:kern w:val="2"/>
          <w:sz w:val="24"/>
          <w:szCs w:val="24"/>
        </w:rPr>
        <w:t xml:space="preserve"> rad na poboljšanju stambenih i socioekonomskih uvjeta braniteljsko-stradalničke populacije</w:t>
      </w:r>
      <w:r>
        <w:rPr>
          <w:rFonts w:eastAsia="Calibri"/>
          <w:kern w:val="2"/>
          <w:sz w:val="24"/>
          <w:szCs w:val="24"/>
        </w:rPr>
        <w:t>. Ukupno su</w:t>
      </w:r>
      <w:r w:rsidRPr="00D64EF5">
        <w:rPr>
          <w:rFonts w:eastAsia="Calibri"/>
          <w:kern w:val="2"/>
          <w:sz w:val="24"/>
          <w:szCs w:val="24"/>
        </w:rPr>
        <w:t xml:space="preserve"> u 2024. dodijeljena 52 stana, isplaćen je 121 stambeni kredit </w:t>
      </w:r>
      <w:r>
        <w:rPr>
          <w:rFonts w:eastAsia="Calibri"/>
          <w:kern w:val="2"/>
          <w:sz w:val="24"/>
          <w:szCs w:val="24"/>
        </w:rPr>
        <w:t xml:space="preserve">te je </w:t>
      </w:r>
      <w:r>
        <w:rPr>
          <w:rFonts w:eastAsia="Calibri"/>
          <w:kern w:val="2"/>
          <w:sz w:val="24"/>
          <w:szCs w:val="24"/>
        </w:rPr>
        <w:lastRenderedPageBreak/>
        <w:t>dodijeljeno</w:t>
      </w:r>
      <w:r w:rsidRPr="00D64EF5">
        <w:rPr>
          <w:rFonts w:eastAsia="Calibri"/>
          <w:kern w:val="2"/>
          <w:sz w:val="24"/>
          <w:szCs w:val="24"/>
        </w:rPr>
        <w:t xml:space="preserve"> 157 financijskih potpora za stambeno zbrinjavanje </w:t>
      </w:r>
      <w:r>
        <w:rPr>
          <w:rFonts w:eastAsia="Calibri"/>
          <w:kern w:val="2"/>
          <w:sz w:val="24"/>
          <w:szCs w:val="24"/>
        </w:rPr>
        <w:t xml:space="preserve">branitelja, za što je </w:t>
      </w:r>
      <w:r w:rsidRPr="00D64EF5">
        <w:rPr>
          <w:rFonts w:eastAsia="Calibri"/>
          <w:kern w:val="2"/>
          <w:sz w:val="24"/>
          <w:szCs w:val="24"/>
        </w:rPr>
        <w:t xml:space="preserve">ukupno </w:t>
      </w:r>
      <w:r>
        <w:rPr>
          <w:rFonts w:eastAsia="Calibri"/>
          <w:kern w:val="2"/>
          <w:sz w:val="24"/>
          <w:szCs w:val="24"/>
        </w:rPr>
        <w:t>osigurano</w:t>
      </w:r>
      <w:r w:rsidRPr="00D64EF5">
        <w:rPr>
          <w:rFonts w:eastAsia="Calibri"/>
          <w:kern w:val="2"/>
          <w:sz w:val="24"/>
          <w:szCs w:val="24"/>
        </w:rPr>
        <w:t xml:space="preserve"> 6,4 milijuna eura. U razdoblju od</w:t>
      </w:r>
      <w:r>
        <w:rPr>
          <w:rFonts w:eastAsia="Calibri"/>
          <w:kern w:val="2"/>
          <w:sz w:val="24"/>
          <w:szCs w:val="24"/>
        </w:rPr>
        <w:t xml:space="preserve"> </w:t>
      </w:r>
      <w:r w:rsidRPr="00D64EF5">
        <w:rPr>
          <w:rFonts w:eastAsia="Calibri"/>
          <w:kern w:val="2"/>
          <w:sz w:val="24"/>
          <w:szCs w:val="24"/>
        </w:rPr>
        <w:t xml:space="preserve">ožujka do svibnja 2024. </w:t>
      </w:r>
      <w:r>
        <w:rPr>
          <w:rFonts w:eastAsia="Calibri"/>
          <w:kern w:val="2"/>
          <w:sz w:val="24"/>
          <w:szCs w:val="24"/>
        </w:rPr>
        <w:t>objavljeno</w:t>
      </w:r>
      <w:r w:rsidRPr="00D64EF5">
        <w:rPr>
          <w:rFonts w:eastAsia="Calibri"/>
          <w:kern w:val="2"/>
          <w:sz w:val="24"/>
          <w:szCs w:val="24"/>
        </w:rPr>
        <w:t xml:space="preserve"> je šest javnih poziva za korištenje mjera iz Programa stručnog osposobljavanja i zapošljavanja hrvatskih branitelja i članova njihovih obitelji za razdoblje </w:t>
      </w:r>
      <w:r>
        <w:rPr>
          <w:rFonts w:eastAsia="Calibri"/>
          <w:kern w:val="2"/>
          <w:sz w:val="24"/>
          <w:szCs w:val="24"/>
        </w:rPr>
        <w:t xml:space="preserve">od </w:t>
      </w:r>
      <w:r w:rsidRPr="00D64EF5">
        <w:rPr>
          <w:rFonts w:eastAsia="Calibri"/>
          <w:kern w:val="2"/>
          <w:sz w:val="24"/>
          <w:szCs w:val="24"/>
        </w:rPr>
        <w:t>2024.</w:t>
      </w:r>
      <w:r>
        <w:rPr>
          <w:rFonts w:eastAsia="Calibri"/>
          <w:kern w:val="2"/>
          <w:sz w:val="24"/>
          <w:szCs w:val="24"/>
        </w:rPr>
        <w:t xml:space="preserve"> do </w:t>
      </w:r>
      <w:r w:rsidRPr="00D64EF5">
        <w:rPr>
          <w:rFonts w:eastAsia="Calibri"/>
          <w:kern w:val="2"/>
          <w:sz w:val="24"/>
          <w:szCs w:val="24"/>
        </w:rPr>
        <w:t>2027., na temelju kojih je dodijeljeno 129 potpora u ukupnom iznosu od 1,3 milijun</w:t>
      </w:r>
      <w:r>
        <w:rPr>
          <w:rFonts w:eastAsia="Calibri"/>
          <w:kern w:val="2"/>
          <w:sz w:val="24"/>
          <w:szCs w:val="24"/>
        </w:rPr>
        <w:t xml:space="preserve">a eura, čime se dodatno potiče </w:t>
      </w:r>
      <w:r w:rsidRPr="00D64EF5">
        <w:rPr>
          <w:rFonts w:eastAsia="Calibri"/>
          <w:kern w:val="2"/>
          <w:sz w:val="24"/>
          <w:szCs w:val="24"/>
        </w:rPr>
        <w:t xml:space="preserve">ekonomska aktivacija i održivo uključivanje </w:t>
      </w:r>
      <w:r>
        <w:rPr>
          <w:rFonts w:eastAsia="Calibri"/>
          <w:kern w:val="2"/>
          <w:sz w:val="24"/>
          <w:szCs w:val="24"/>
        </w:rPr>
        <w:t xml:space="preserve">branitelja </w:t>
      </w:r>
      <w:r w:rsidRPr="00D64EF5">
        <w:rPr>
          <w:rFonts w:eastAsia="Calibri"/>
          <w:kern w:val="2"/>
          <w:sz w:val="24"/>
          <w:szCs w:val="24"/>
        </w:rPr>
        <w:t>na tržište rada.</w:t>
      </w:r>
    </w:p>
    <w:p w14:paraId="2777F029" w14:textId="77777777" w:rsidR="00FB178A" w:rsidRPr="0004221B" w:rsidRDefault="00FB178A" w:rsidP="00FB178A">
      <w:pPr>
        <w:widowControl/>
        <w:autoSpaceDE/>
        <w:autoSpaceDN/>
        <w:spacing w:after="292" w:line="276" w:lineRule="auto"/>
        <w:ind w:right="19"/>
        <w:jc w:val="both"/>
        <w:rPr>
          <w:rFonts w:eastAsia="Calibri"/>
          <w:kern w:val="2"/>
          <w:sz w:val="24"/>
          <w:szCs w:val="24"/>
        </w:rPr>
      </w:pPr>
      <w:r>
        <w:rPr>
          <w:rFonts w:eastAsia="Calibri"/>
          <w:kern w:val="2"/>
          <w:sz w:val="24"/>
          <w:szCs w:val="24"/>
        </w:rPr>
        <w:t>Nadalje,</w:t>
      </w:r>
      <w:r w:rsidRPr="00D70E41">
        <w:rPr>
          <w:rFonts w:eastAsia="Calibri"/>
          <w:kern w:val="2"/>
          <w:sz w:val="24"/>
          <w:szCs w:val="24"/>
        </w:rPr>
        <w:t xml:space="preserve"> odobreno je 6.369 zahtjeva za izvanrednu novčanu pomoć u ukupnom iznosu od 2,29 milijuna eura, a sufinancirani su i projekti prilagodbe objekata javne namjene osobama s invaliditetom u vrijednosti 541,1 tisuću eura, za što su sklopljeni ugovori s 27 jedinica lokalne i područne (regionalne) samouprave. Paralelno su provedene opsežne pripremne aktivnosti za EU projekt „Širenje mreže veteranskih centara“, kojim se planira izgradnja pet novih podružnica Javne ustanove Veteranski centar uz sufinanciranje iz Europskog fonda za regionalni razvoj: odabrane su lokacije budućih podružnica, potpisani su sporazumi o suradnji s gradovima u kojima će se centri uspostaviti te je izrađeno pet idejnih projekata. Uz navedeno, provodio se i niz koordinacijskih aktivnosti s relevantnim dionicima radi stvaranja pretpostavki za pravodobnu i učinkovitu provedbu projekta u sljedećem razdoblju</w:t>
      </w:r>
      <w:r>
        <w:rPr>
          <w:rFonts w:eastAsia="Calibri"/>
          <w:kern w:val="2"/>
          <w:sz w:val="24"/>
          <w:szCs w:val="24"/>
        </w:rPr>
        <w:t xml:space="preserve">. </w:t>
      </w:r>
      <w:r w:rsidRPr="004A39E0">
        <w:rPr>
          <w:rFonts w:eastAsia="Calibri"/>
          <w:kern w:val="2"/>
          <w:sz w:val="24"/>
          <w:szCs w:val="24"/>
        </w:rPr>
        <w:t xml:space="preserve">U okviru pripreme projektne dokumentacije za korištenje sredstava EU fondova u 2024. utrošeno je </w:t>
      </w:r>
      <w:r>
        <w:rPr>
          <w:rFonts w:eastAsia="Calibri"/>
          <w:kern w:val="2"/>
          <w:sz w:val="24"/>
          <w:szCs w:val="24"/>
        </w:rPr>
        <w:t>80.000</w:t>
      </w:r>
      <w:r w:rsidRPr="004A39E0">
        <w:rPr>
          <w:rFonts w:eastAsia="Calibri"/>
          <w:kern w:val="2"/>
          <w:sz w:val="24"/>
          <w:szCs w:val="24"/>
        </w:rPr>
        <w:t xml:space="preserve"> eura za izradu dopune Analize i preporuka novih lokacija prikladnih za širenje mreže veteranskih centara te procjena otpornosti na klimatske promjene za odabrane lokacije, kao obveznog dijela dokumentacije za prijavu na poziv</w:t>
      </w:r>
      <w:r>
        <w:rPr>
          <w:rFonts w:eastAsia="Calibri"/>
          <w:kern w:val="2"/>
          <w:sz w:val="24"/>
          <w:szCs w:val="24"/>
        </w:rPr>
        <w:t>.</w:t>
      </w:r>
      <w:r w:rsidRPr="004A39E0">
        <w:rPr>
          <w:rFonts w:eastAsia="Calibri"/>
          <w:kern w:val="2"/>
          <w:sz w:val="24"/>
          <w:szCs w:val="24"/>
        </w:rPr>
        <w:t xml:space="preserve"> </w:t>
      </w:r>
      <w:r>
        <w:rPr>
          <w:rFonts w:eastAsia="Calibri"/>
          <w:kern w:val="2"/>
          <w:sz w:val="24"/>
          <w:szCs w:val="24"/>
        </w:rPr>
        <w:t>Provedene su</w:t>
      </w:r>
      <w:r w:rsidRPr="004A39E0">
        <w:rPr>
          <w:rFonts w:eastAsia="Calibri"/>
          <w:kern w:val="2"/>
          <w:sz w:val="24"/>
          <w:szCs w:val="24"/>
        </w:rPr>
        <w:t xml:space="preserve"> završne aktivnosti na projektima „Digitalizacija arhivskog gradiva iz Domovinskog rata” i „Uspostava veteranskih centara u Republici Hrvatskoj“ </w:t>
      </w:r>
      <w:r>
        <w:rPr>
          <w:rFonts w:eastAsia="Calibri"/>
          <w:kern w:val="2"/>
          <w:sz w:val="24"/>
          <w:szCs w:val="24"/>
        </w:rPr>
        <w:t xml:space="preserve">financiranim </w:t>
      </w:r>
      <w:r w:rsidRPr="004A39E0">
        <w:rPr>
          <w:rFonts w:eastAsia="Calibri"/>
          <w:kern w:val="2"/>
          <w:sz w:val="24"/>
          <w:szCs w:val="24"/>
        </w:rPr>
        <w:t xml:space="preserve">iz prethodnog programskog razdoblja. </w:t>
      </w:r>
    </w:p>
    <w:p w14:paraId="3F450F7D" w14:textId="77777777" w:rsidR="00FB178A" w:rsidRPr="0004221B" w:rsidRDefault="00FB178A" w:rsidP="00FB178A">
      <w:pPr>
        <w:widowControl/>
        <w:autoSpaceDE/>
        <w:autoSpaceDN/>
        <w:spacing w:after="276" w:line="276" w:lineRule="auto"/>
        <w:ind w:right="4"/>
        <w:jc w:val="both"/>
        <w:rPr>
          <w:rFonts w:eastAsia="Calibri"/>
          <w:kern w:val="2"/>
          <w:sz w:val="24"/>
          <w:szCs w:val="24"/>
        </w:rPr>
      </w:pPr>
      <w:r w:rsidRPr="00EE4106">
        <w:rPr>
          <w:rFonts w:eastAsia="Calibri"/>
          <w:kern w:val="2"/>
          <w:sz w:val="24"/>
          <w:szCs w:val="24"/>
        </w:rPr>
        <w:t xml:space="preserve">Nadalje, kontinuirano se ulažu napori u traženje osoba nestalih u Domovinskom ratu te posmrtnih ostataka smrtno stradalih osoba za koje još uvijek nije poznato mjesto ukopa, što i dalje predstavlja jedno od najvažnijih neriješenih pitanja oružane velikosrpske agresije na Hrvatsku. Tijekom 2024. prikupljena su saznanja o 44 moguće lokacije prikrivenih grobnica iz Domovinskog rata, a na 23 lokacije provedena su cjelovita terenska istraživanja, pri čemu su pronađeni posmrtni ostaci 47 osoba. Organizirano je šest završnih identifikacija, u sklopu kojih su završno identificirani posmrtni ostaci 22 osobe te je osigurana pogrebna skrb za 22 identificirane osobe. Za provedbu ovih aktivnosti </w:t>
      </w:r>
      <w:r>
        <w:rPr>
          <w:rFonts w:eastAsia="Calibri"/>
          <w:kern w:val="2"/>
          <w:sz w:val="24"/>
          <w:szCs w:val="24"/>
        </w:rPr>
        <w:t>osigurano</w:t>
      </w:r>
      <w:r w:rsidRPr="00EE4106">
        <w:rPr>
          <w:rFonts w:eastAsia="Calibri"/>
          <w:kern w:val="2"/>
          <w:sz w:val="24"/>
          <w:szCs w:val="24"/>
        </w:rPr>
        <w:t xml:space="preserve"> je ukupno </w:t>
      </w:r>
      <w:r>
        <w:rPr>
          <w:rFonts w:eastAsia="Calibri"/>
          <w:kern w:val="2"/>
          <w:sz w:val="24"/>
          <w:szCs w:val="24"/>
        </w:rPr>
        <w:t>0,9 milijuna</w:t>
      </w:r>
      <w:r w:rsidRPr="00EE4106">
        <w:rPr>
          <w:rFonts w:eastAsia="Calibri"/>
          <w:kern w:val="2"/>
          <w:sz w:val="24"/>
          <w:szCs w:val="24"/>
        </w:rPr>
        <w:t xml:space="preserve"> eura, čime se nastavlja sustavno razjašnjavanje sudbine nestalih </w:t>
      </w:r>
      <w:r>
        <w:rPr>
          <w:rFonts w:eastAsia="Calibri"/>
          <w:kern w:val="2"/>
          <w:sz w:val="24"/>
          <w:szCs w:val="24"/>
        </w:rPr>
        <w:t xml:space="preserve">osoba </w:t>
      </w:r>
      <w:r w:rsidRPr="00EE4106">
        <w:rPr>
          <w:rFonts w:eastAsia="Calibri"/>
          <w:kern w:val="2"/>
          <w:sz w:val="24"/>
          <w:szCs w:val="24"/>
        </w:rPr>
        <w:t>i osiguravanje dostojanstvenog ukopa žrtava</w:t>
      </w:r>
      <w:r>
        <w:rPr>
          <w:rFonts w:eastAsia="Calibri"/>
          <w:kern w:val="2"/>
          <w:sz w:val="24"/>
          <w:szCs w:val="24"/>
        </w:rPr>
        <w:t xml:space="preserve"> Domovinskog rata</w:t>
      </w:r>
      <w:r w:rsidRPr="00EE4106">
        <w:rPr>
          <w:rFonts w:eastAsia="Calibri"/>
          <w:kern w:val="2"/>
          <w:sz w:val="24"/>
          <w:szCs w:val="24"/>
        </w:rPr>
        <w:t>.</w:t>
      </w:r>
    </w:p>
    <w:p w14:paraId="577009E6" w14:textId="77777777" w:rsidR="00FB178A" w:rsidRDefault="00FB178A" w:rsidP="00FB178A">
      <w:pPr>
        <w:spacing w:line="276" w:lineRule="auto"/>
        <w:jc w:val="both"/>
        <w:rPr>
          <w:rStyle w:val="Heading2Char"/>
          <w:color w:val="000000" w:themeColor="text1"/>
          <w:sz w:val="24"/>
          <w:szCs w:val="24"/>
        </w:rPr>
      </w:pPr>
      <w:r w:rsidRPr="000A6CA8">
        <w:rPr>
          <w:rFonts w:eastAsia="Calibri"/>
          <w:kern w:val="2"/>
          <w:sz w:val="24"/>
          <w:szCs w:val="24"/>
        </w:rPr>
        <w:t xml:space="preserve">Tijekom 2024. nastavljena su sustavna ulaganja u aktivnosti usmjerene na očuvanje vrijednosti Domovinskog rata, promicanje nacionalnih interesa te zaštitu digniteta hrvatskih branitelja. U tom </w:t>
      </w:r>
      <w:r>
        <w:rPr>
          <w:rFonts w:eastAsia="Calibri"/>
          <w:kern w:val="2"/>
          <w:sz w:val="24"/>
          <w:szCs w:val="24"/>
        </w:rPr>
        <w:t>su</w:t>
      </w:r>
      <w:r w:rsidRPr="000A6CA8">
        <w:rPr>
          <w:rFonts w:eastAsia="Calibri"/>
          <w:kern w:val="2"/>
          <w:sz w:val="24"/>
          <w:szCs w:val="24"/>
        </w:rPr>
        <w:t xml:space="preserve"> okviru raspisana četiri javna poziva za sufinanciranje umjetničkih i dokumentarističkih djela o Domovinskom ratu, uključujući dodjelu nagrada za najbolju kratku priču o Domovinskom ratu za učenike srednjih škola, sufinanciranje tiska knjiga, audiovizualnih djela te izgradnje i uređenja spomen-obilježja žrtvama stradalima u Domovinskom ratu. Sufinancirana je izgradnja, postavljanje i uređenje 34 spomen-obilježja, izrada 13 audiovizualnih djela te 20 književnih i publicističkih djela, </w:t>
      </w:r>
      <w:r>
        <w:rPr>
          <w:rFonts w:eastAsia="Calibri"/>
          <w:kern w:val="2"/>
          <w:sz w:val="24"/>
          <w:szCs w:val="24"/>
        </w:rPr>
        <w:t>dok je</w:t>
      </w:r>
      <w:r w:rsidRPr="000A6CA8">
        <w:rPr>
          <w:rFonts w:eastAsia="Calibri"/>
          <w:kern w:val="2"/>
          <w:sz w:val="24"/>
          <w:szCs w:val="24"/>
        </w:rPr>
        <w:t xml:space="preserve"> učenicima srednjih škola dodijeljeno 11 nagrada i 13 pohvala za kratke </w:t>
      </w:r>
      <w:r w:rsidRPr="000A6CA8">
        <w:rPr>
          <w:rFonts w:eastAsia="Calibri"/>
          <w:kern w:val="2"/>
          <w:sz w:val="24"/>
          <w:szCs w:val="24"/>
        </w:rPr>
        <w:lastRenderedPageBreak/>
        <w:t xml:space="preserve">priče o Domovinskom ratu. Za provedbu </w:t>
      </w:r>
      <w:r>
        <w:rPr>
          <w:rFonts w:eastAsia="Calibri"/>
          <w:kern w:val="2"/>
          <w:sz w:val="24"/>
          <w:szCs w:val="24"/>
        </w:rPr>
        <w:t xml:space="preserve">ovih </w:t>
      </w:r>
      <w:r w:rsidRPr="000A6CA8">
        <w:rPr>
          <w:rFonts w:eastAsia="Calibri"/>
          <w:kern w:val="2"/>
          <w:sz w:val="24"/>
          <w:szCs w:val="24"/>
        </w:rPr>
        <w:t>aktivnosti ukupno je o</w:t>
      </w:r>
      <w:r>
        <w:rPr>
          <w:rFonts w:eastAsia="Calibri"/>
          <w:kern w:val="2"/>
          <w:sz w:val="24"/>
          <w:szCs w:val="24"/>
        </w:rPr>
        <w:t>sigurano</w:t>
      </w:r>
      <w:r w:rsidRPr="000A6CA8">
        <w:rPr>
          <w:rFonts w:eastAsia="Calibri"/>
          <w:kern w:val="2"/>
          <w:sz w:val="24"/>
          <w:szCs w:val="24"/>
        </w:rPr>
        <w:t xml:space="preserve"> 1,8 milijuna eura, čime se dodatno jača kultura sjećanja i društveno priznanje žrtve i doprinosa sudionika Domovinskog rata.</w:t>
      </w:r>
      <w:r>
        <w:rPr>
          <w:rStyle w:val="Heading2Char"/>
          <w:color w:val="000000" w:themeColor="text1"/>
          <w:sz w:val="24"/>
          <w:szCs w:val="24"/>
        </w:rPr>
        <w:br w:type="page"/>
      </w:r>
    </w:p>
    <w:p w14:paraId="00388E15" w14:textId="77777777" w:rsidR="00FB178A" w:rsidRPr="00E1758C" w:rsidRDefault="00FB178A" w:rsidP="00FB178A">
      <w:pPr>
        <w:pStyle w:val="Heading2"/>
        <w:spacing w:after="240"/>
        <w:rPr>
          <w:sz w:val="24"/>
          <w:szCs w:val="24"/>
        </w:rPr>
      </w:pPr>
      <w:bookmarkStart w:id="78" w:name="_Toc223002938"/>
      <w:r w:rsidRPr="00E1758C">
        <w:rPr>
          <w:rStyle w:val="Heading2Char"/>
          <w:b/>
          <w:bCs/>
          <w:sz w:val="24"/>
          <w:szCs w:val="24"/>
        </w:rPr>
        <w:lastRenderedPageBreak/>
        <w:t>6. Demografska revitalizacija i bolji položaj obitelji</w:t>
      </w:r>
      <w:bookmarkEnd w:id="77"/>
      <w:bookmarkEnd w:id="78"/>
    </w:p>
    <w:p w14:paraId="14AF60B9" w14:textId="77777777" w:rsidR="00FB178A" w:rsidRPr="00FA1E5C" w:rsidRDefault="00FB178A" w:rsidP="00FB178A">
      <w:pPr>
        <w:pStyle w:val="Heading3"/>
      </w:pPr>
      <w:bookmarkStart w:id="79" w:name="_Toc130784370"/>
      <w:bookmarkStart w:id="80" w:name="_Toc133420955"/>
      <w:bookmarkStart w:id="81" w:name="_Toc223002939"/>
      <w:r w:rsidRPr="00FA1E5C">
        <w:t>6.1. Ostvarene vrijednosti pokazatelja uspješnosti</w:t>
      </w:r>
      <w:bookmarkEnd w:id="79"/>
      <w:bookmarkEnd w:id="80"/>
      <w:bookmarkEnd w:id="81"/>
      <w:r w:rsidRPr="00FA1E5C">
        <w:t> </w:t>
      </w:r>
    </w:p>
    <w:tbl>
      <w:tblPr>
        <w:tblW w:w="9069" w:type="dxa"/>
        <w:tblInd w:w="-3" w:type="dxa"/>
        <w:tblBorders>
          <w:top w:val="dotted" w:sz="2" w:space="0" w:color="auto"/>
          <w:left w:val="dotted" w:sz="2" w:space="0" w:color="auto"/>
          <w:bottom w:val="dotted" w:sz="2" w:space="0" w:color="auto"/>
          <w:right w:val="dotted" w:sz="2" w:space="0" w:color="auto"/>
          <w:insideH w:val="dotted" w:sz="2" w:space="0" w:color="auto"/>
        </w:tblBorders>
        <w:shd w:val="clear" w:color="auto" w:fill="FFFFFF" w:themeFill="background1"/>
        <w:tblCellMar>
          <w:left w:w="0" w:type="dxa"/>
          <w:right w:w="0" w:type="dxa"/>
        </w:tblCellMar>
        <w:tblLook w:val="04A0" w:firstRow="1" w:lastRow="0" w:firstColumn="1" w:lastColumn="0" w:noHBand="0" w:noVBand="1"/>
      </w:tblPr>
      <w:tblGrid>
        <w:gridCol w:w="2689"/>
        <w:gridCol w:w="2123"/>
        <w:gridCol w:w="2129"/>
        <w:gridCol w:w="2128"/>
      </w:tblGrid>
      <w:tr w:rsidR="00FB178A" w:rsidRPr="00145379" w14:paraId="18B99192" w14:textId="77777777" w:rsidTr="009E18ED">
        <w:trPr>
          <w:trHeight w:val="629"/>
        </w:trPr>
        <w:tc>
          <w:tcPr>
            <w:tcW w:w="2689" w:type="dxa"/>
            <w:tcBorders>
              <w:top w:val="dotted" w:sz="4" w:space="0" w:color="auto"/>
              <w:left w:val="dotted" w:sz="4" w:space="0" w:color="auto"/>
              <w:bottom w:val="dotted" w:sz="4" w:space="0" w:color="auto"/>
              <w:right w:val="dotted" w:sz="4" w:space="0" w:color="auto"/>
            </w:tcBorders>
            <w:shd w:val="clear" w:color="auto" w:fill="B6DDE8" w:themeFill="accent5" w:themeFillTint="66"/>
            <w:vAlign w:val="center"/>
            <w:hideMark/>
          </w:tcPr>
          <w:p w14:paraId="271E4950" w14:textId="77777777" w:rsidR="00FB178A" w:rsidRPr="00145379" w:rsidRDefault="00FB178A" w:rsidP="009E18ED">
            <w:pPr>
              <w:spacing w:line="276" w:lineRule="auto"/>
              <w:jc w:val="center"/>
              <w:textAlignment w:val="baseline"/>
              <w:rPr>
                <w:b/>
                <w:bCs/>
                <w:color w:val="000000" w:themeColor="text1"/>
                <w:sz w:val="24"/>
                <w:szCs w:val="24"/>
                <w:lang w:eastAsia="en-GB"/>
              </w:rPr>
            </w:pPr>
            <w:r w:rsidRPr="00145379">
              <w:rPr>
                <w:b/>
                <w:bCs/>
                <w:color w:val="000000" w:themeColor="text1"/>
                <w:sz w:val="24"/>
                <w:szCs w:val="24"/>
                <w:lang w:eastAsia="en-GB"/>
              </w:rPr>
              <w:t>Pokazatelj uspješnosti </w:t>
            </w:r>
          </w:p>
        </w:tc>
        <w:tc>
          <w:tcPr>
            <w:tcW w:w="2123" w:type="dxa"/>
            <w:tcBorders>
              <w:top w:val="dotted" w:sz="4" w:space="0" w:color="auto"/>
              <w:left w:val="dotted" w:sz="4" w:space="0" w:color="auto"/>
              <w:bottom w:val="dotted" w:sz="4" w:space="0" w:color="auto"/>
              <w:right w:val="dotted" w:sz="4" w:space="0" w:color="auto"/>
            </w:tcBorders>
            <w:shd w:val="clear" w:color="auto" w:fill="B6DDE8" w:themeFill="accent5" w:themeFillTint="66"/>
            <w:vAlign w:val="center"/>
            <w:hideMark/>
          </w:tcPr>
          <w:p w14:paraId="4FEF5B6F" w14:textId="77777777" w:rsidR="00FB178A" w:rsidRPr="00145379" w:rsidRDefault="00FB178A" w:rsidP="009E18ED">
            <w:pPr>
              <w:spacing w:line="276" w:lineRule="auto"/>
              <w:jc w:val="center"/>
              <w:textAlignment w:val="baseline"/>
              <w:rPr>
                <w:b/>
                <w:bCs/>
                <w:color w:val="000000" w:themeColor="text1"/>
                <w:sz w:val="24"/>
                <w:szCs w:val="24"/>
                <w:lang w:eastAsia="en-GB"/>
              </w:rPr>
            </w:pPr>
            <w:r w:rsidRPr="00145379">
              <w:rPr>
                <w:b/>
                <w:bCs/>
                <w:color w:val="000000" w:themeColor="text1"/>
                <w:sz w:val="24"/>
                <w:szCs w:val="24"/>
                <w:lang w:eastAsia="en-GB"/>
              </w:rPr>
              <w:t xml:space="preserve">Početna </w:t>
            </w:r>
          </w:p>
          <w:p w14:paraId="2C93876B" w14:textId="77777777" w:rsidR="00FB178A" w:rsidRPr="00145379" w:rsidRDefault="00FB178A" w:rsidP="009E18ED">
            <w:pPr>
              <w:spacing w:line="276" w:lineRule="auto"/>
              <w:jc w:val="center"/>
              <w:textAlignment w:val="baseline"/>
              <w:rPr>
                <w:b/>
                <w:bCs/>
                <w:color w:val="000000" w:themeColor="text1"/>
                <w:sz w:val="24"/>
                <w:szCs w:val="24"/>
                <w:lang w:eastAsia="en-GB"/>
              </w:rPr>
            </w:pPr>
            <w:r w:rsidRPr="00145379">
              <w:rPr>
                <w:b/>
                <w:bCs/>
                <w:color w:val="000000" w:themeColor="text1"/>
                <w:sz w:val="24"/>
                <w:szCs w:val="24"/>
                <w:lang w:eastAsia="en-GB"/>
              </w:rPr>
              <w:t>vrijednost </w:t>
            </w:r>
          </w:p>
        </w:tc>
        <w:tc>
          <w:tcPr>
            <w:tcW w:w="2129" w:type="dxa"/>
            <w:tcBorders>
              <w:top w:val="dotted" w:sz="4" w:space="0" w:color="auto"/>
              <w:left w:val="dotted" w:sz="4" w:space="0" w:color="auto"/>
              <w:bottom w:val="dotted" w:sz="4" w:space="0" w:color="auto"/>
              <w:right w:val="dotted" w:sz="4" w:space="0" w:color="auto"/>
            </w:tcBorders>
            <w:shd w:val="clear" w:color="auto" w:fill="B6DDE8" w:themeFill="accent5" w:themeFillTint="66"/>
            <w:vAlign w:val="center"/>
            <w:hideMark/>
          </w:tcPr>
          <w:p w14:paraId="32BEE266" w14:textId="77777777" w:rsidR="00FB178A" w:rsidRPr="00145379" w:rsidRDefault="00FB178A" w:rsidP="009E18ED">
            <w:pPr>
              <w:spacing w:line="276" w:lineRule="auto"/>
              <w:jc w:val="center"/>
              <w:textAlignment w:val="baseline"/>
              <w:rPr>
                <w:b/>
                <w:bCs/>
                <w:color w:val="000000" w:themeColor="text1"/>
                <w:sz w:val="24"/>
                <w:szCs w:val="24"/>
                <w:lang w:eastAsia="en-GB"/>
              </w:rPr>
            </w:pPr>
            <w:r w:rsidRPr="00145379">
              <w:rPr>
                <w:b/>
                <w:bCs/>
                <w:color w:val="000000" w:themeColor="text1"/>
                <w:sz w:val="24"/>
                <w:szCs w:val="24"/>
                <w:lang w:eastAsia="en-GB"/>
              </w:rPr>
              <w:t xml:space="preserve">Ciljna </w:t>
            </w:r>
          </w:p>
          <w:p w14:paraId="60002451" w14:textId="77777777" w:rsidR="00FB178A" w:rsidRPr="00145379" w:rsidRDefault="00FB178A" w:rsidP="009E18ED">
            <w:pPr>
              <w:spacing w:line="276" w:lineRule="auto"/>
              <w:jc w:val="center"/>
              <w:textAlignment w:val="baseline"/>
              <w:rPr>
                <w:b/>
                <w:bCs/>
                <w:color w:val="000000" w:themeColor="text1"/>
                <w:sz w:val="24"/>
                <w:szCs w:val="24"/>
                <w:lang w:eastAsia="en-GB"/>
              </w:rPr>
            </w:pPr>
            <w:r w:rsidRPr="00145379">
              <w:rPr>
                <w:b/>
                <w:bCs/>
                <w:color w:val="000000" w:themeColor="text1"/>
                <w:sz w:val="24"/>
                <w:szCs w:val="24"/>
                <w:lang w:eastAsia="en-GB"/>
              </w:rPr>
              <w:t>vrijednost </w:t>
            </w:r>
          </w:p>
        </w:tc>
        <w:tc>
          <w:tcPr>
            <w:tcW w:w="2128" w:type="dxa"/>
            <w:tcBorders>
              <w:top w:val="dotted" w:sz="4" w:space="0" w:color="auto"/>
              <w:left w:val="dotted" w:sz="4" w:space="0" w:color="auto"/>
              <w:bottom w:val="dotted" w:sz="4" w:space="0" w:color="auto"/>
              <w:right w:val="dotted" w:sz="4" w:space="0" w:color="auto"/>
            </w:tcBorders>
            <w:shd w:val="clear" w:color="auto" w:fill="B6DDE8" w:themeFill="accent5" w:themeFillTint="66"/>
            <w:vAlign w:val="center"/>
            <w:hideMark/>
          </w:tcPr>
          <w:p w14:paraId="007E1949" w14:textId="77777777" w:rsidR="00FB178A" w:rsidRPr="00145379" w:rsidRDefault="00FB178A" w:rsidP="009E18ED">
            <w:pPr>
              <w:spacing w:line="276" w:lineRule="auto"/>
              <w:jc w:val="center"/>
              <w:textAlignment w:val="baseline"/>
              <w:rPr>
                <w:b/>
                <w:bCs/>
                <w:color w:val="000000" w:themeColor="text1"/>
                <w:sz w:val="24"/>
                <w:szCs w:val="24"/>
                <w:lang w:eastAsia="en-GB"/>
              </w:rPr>
            </w:pPr>
            <w:r w:rsidRPr="00145379">
              <w:rPr>
                <w:b/>
                <w:bCs/>
                <w:color w:val="000000" w:themeColor="text1"/>
                <w:sz w:val="24"/>
                <w:szCs w:val="24"/>
                <w:lang w:eastAsia="en-GB"/>
              </w:rPr>
              <w:t xml:space="preserve">Ostvarena </w:t>
            </w:r>
          </w:p>
          <w:p w14:paraId="009CC18B" w14:textId="77777777" w:rsidR="00FB178A" w:rsidRPr="00145379" w:rsidRDefault="00FB178A" w:rsidP="009E18ED">
            <w:pPr>
              <w:spacing w:line="276" w:lineRule="auto"/>
              <w:jc w:val="center"/>
              <w:textAlignment w:val="baseline"/>
              <w:rPr>
                <w:b/>
                <w:bCs/>
                <w:color w:val="000000" w:themeColor="text1"/>
                <w:sz w:val="24"/>
                <w:szCs w:val="24"/>
                <w:lang w:eastAsia="en-GB"/>
              </w:rPr>
            </w:pPr>
            <w:r w:rsidRPr="00145379">
              <w:rPr>
                <w:b/>
                <w:bCs/>
                <w:color w:val="000000" w:themeColor="text1"/>
                <w:sz w:val="24"/>
                <w:szCs w:val="24"/>
                <w:lang w:eastAsia="en-GB"/>
              </w:rPr>
              <w:t>vrijednost </w:t>
            </w:r>
          </w:p>
        </w:tc>
      </w:tr>
      <w:tr w:rsidR="00FB178A" w:rsidRPr="00145379" w14:paraId="7DCD5459" w14:textId="77777777" w:rsidTr="009E18ED">
        <w:trPr>
          <w:trHeight w:val="854"/>
        </w:trPr>
        <w:tc>
          <w:tcPr>
            <w:tcW w:w="2689" w:type="dxa"/>
            <w:tcBorders>
              <w:top w:val="dotted" w:sz="4" w:space="0" w:color="auto"/>
            </w:tcBorders>
            <w:shd w:val="clear" w:color="auto" w:fill="FFFFFF" w:themeFill="background1"/>
            <w:vAlign w:val="center"/>
            <w:hideMark/>
          </w:tcPr>
          <w:p w14:paraId="22124320" w14:textId="77777777" w:rsidR="00FB178A" w:rsidRPr="00145379" w:rsidRDefault="00FB178A" w:rsidP="009E18ED">
            <w:pPr>
              <w:spacing w:line="276" w:lineRule="auto"/>
              <w:ind w:left="142"/>
              <w:textAlignment w:val="baseline"/>
              <w:rPr>
                <w:color w:val="000000" w:themeColor="text1"/>
                <w:sz w:val="24"/>
                <w:szCs w:val="24"/>
                <w:lang w:eastAsia="en-GB"/>
              </w:rPr>
            </w:pPr>
            <w:r w:rsidRPr="00145379">
              <w:rPr>
                <w:color w:val="000000" w:themeColor="text1"/>
                <w:sz w:val="24"/>
                <w:szCs w:val="24"/>
                <w:lang w:eastAsia="en-GB"/>
              </w:rPr>
              <w:t xml:space="preserve">Stopa totalnog </w:t>
            </w:r>
          </w:p>
          <w:p w14:paraId="31A5ECD8" w14:textId="77777777" w:rsidR="00FB178A" w:rsidRPr="00145379" w:rsidRDefault="00FB178A" w:rsidP="009E18ED">
            <w:pPr>
              <w:spacing w:line="276" w:lineRule="auto"/>
              <w:ind w:left="142"/>
              <w:textAlignment w:val="baseline"/>
              <w:rPr>
                <w:color w:val="000000" w:themeColor="text1"/>
                <w:sz w:val="24"/>
                <w:szCs w:val="24"/>
                <w:lang w:eastAsia="en-GB"/>
              </w:rPr>
            </w:pPr>
            <w:r w:rsidRPr="00145379">
              <w:rPr>
                <w:color w:val="000000" w:themeColor="text1"/>
                <w:sz w:val="24"/>
                <w:szCs w:val="24"/>
                <w:lang w:eastAsia="en-GB"/>
              </w:rPr>
              <w:t>fertiliteta </w:t>
            </w:r>
          </w:p>
        </w:tc>
        <w:tc>
          <w:tcPr>
            <w:tcW w:w="2123" w:type="dxa"/>
            <w:tcBorders>
              <w:top w:val="dotted" w:sz="4" w:space="0" w:color="auto"/>
            </w:tcBorders>
            <w:shd w:val="clear" w:color="auto" w:fill="DAEEF3" w:themeFill="accent5" w:themeFillTint="33"/>
            <w:vAlign w:val="center"/>
            <w:hideMark/>
          </w:tcPr>
          <w:p w14:paraId="457BDDDE" w14:textId="77777777" w:rsidR="00FB178A" w:rsidRPr="00145379" w:rsidRDefault="00FB178A" w:rsidP="009E18ED">
            <w:pPr>
              <w:spacing w:line="276" w:lineRule="auto"/>
              <w:jc w:val="center"/>
              <w:textAlignment w:val="baseline"/>
              <w:rPr>
                <w:color w:val="000000" w:themeColor="text1"/>
                <w:sz w:val="24"/>
                <w:szCs w:val="24"/>
                <w:lang w:eastAsia="en-GB"/>
              </w:rPr>
            </w:pPr>
            <w:r w:rsidRPr="00145379">
              <w:rPr>
                <w:color w:val="000000" w:themeColor="text1"/>
                <w:sz w:val="24"/>
                <w:szCs w:val="24"/>
                <w:lang w:eastAsia="en-GB"/>
              </w:rPr>
              <w:t>1,</w:t>
            </w:r>
            <w:r>
              <w:rPr>
                <w:color w:val="000000" w:themeColor="text1"/>
                <w:sz w:val="24"/>
                <w:szCs w:val="24"/>
                <w:lang w:eastAsia="en-GB"/>
              </w:rPr>
              <w:t>53</w:t>
            </w:r>
            <w:r w:rsidRPr="00145379">
              <w:rPr>
                <w:color w:val="000000" w:themeColor="text1"/>
                <w:sz w:val="24"/>
                <w:szCs w:val="24"/>
                <w:lang w:eastAsia="en-GB"/>
              </w:rPr>
              <w:t xml:space="preserve"> djece (2018.) </w:t>
            </w:r>
          </w:p>
        </w:tc>
        <w:tc>
          <w:tcPr>
            <w:tcW w:w="2129" w:type="dxa"/>
            <w:tcBorders>
              <w:top w:val="dotted" w:sz="4" w:space="0" w:color="auto"/>
            </w:tcBorders>
            <w:shd w:val="clear" w:color="auto" w:fill="FFFFFF" w:themeFill="background1"/>
            <w:vAlign w:val="center"/>
            <w:hideMark/>
          </w:tcPr>
          <w:p w14:paraId="3BFB631B" w14:textId="77777777" w:rsidR="00FB178A" w:rsidRPr="00145379" w:rsidRDefault="00FB178A" w:rsidP="009E18ED">
            <w:pPr>
              <w:spacing w:line="276" w:lineRule="auto"/>
              <w:jc w:val="center"/>
              <w:textAlignment w:val="baseline"/>
              <w:rPr>
                <w:color w:val="000000" w:themeColor="text1"/>
                <w:sz w:val="24"/>
                <w:szCs w:val="24"/>
                <w:lang w:eastAsia="en-GB"/>
              </w:rPr>
            </w:pPr>
            <w:r w:rsidRPr="00145379">
              <w:rPr>
                <w:color w:val="000000" w:themeColor="text1"/>
                <w:sz w:val="24"/>
                <w:szCs w:val="24"/>
                <w:lang w:eastAsia="en-GB"/>
              </w:rPr>
              <w:t>1,8 djece </w:t>
            </w:r>
          </w:p>
        </w:tc>
        <w:tc>
          <w:tcPr>
            <w:tcW w:w="2128" w:type="dxa"/>
            <w:tcBorders>
              <w:top w:val="dotted" w:sz="4" w:space="0" w:color="auto"/>
            </w:tcBorders>
            <w:shd w:val="clear" w:color="auto" w:fill="DAEEF3" w:themeFill="accent5" w:themeFillTint="33"/>
            <w:vAlign w:val="center"/>
            <w:hideMark/>
          </w:tcPr>
          <w:p w14:paraId="3615CFB0" w14:textId="77777777" w:rsidR="00FB178A" w:rsidRPr="00145379" w:rsidRDefault="00FB178A" w:rsidP="009E18ED">
            <w:pPr>
              <w:spacing w:line="276" w:lineRule="auto"/>
              <w:jc w:val="center"/>
              <w:textAlignment w:val="baseline"/>
              <w:rPr>
                <w:color w:val="000000" w:themeColor="text1"/>
                <w:sz w:val="24"/>
                <w:szCs w:val="24"/>
                <w:lang w:eastAsia="en-GB"/>
              </w:rPr>
            </w:pPr>
            <w:r>
              <w:rPr>
                <w:color w:val="000000" w:themeColor="text1"/>
                <w:sz w:val="24"/>
                <w:szCs w:val="24"/>
              </w:rPr>
              <w:t>1,46 (2024.)</w:t>
            </w:r>
          </w:p>
        </w:tc>
      </w:tr>
    </w:tbl>
    <w:p w14:paraId="4929CA20" w14:textId="77777777" w:rsidR="00FB178A" w:rsidRPr="00145379" w:rsidRDefault="00FB178A" w:rsidP="00FB178A">
      <w:pPr>
        <w:spacing w:line="276" w:lineRule="auto"/>
        <w:rPr>
          <w:sz w:val="24"/>
          <w:szCs w:val="24"/>
          <w:lang w:eastAsia="en-GB"/>
        </w:rPr>
      </w:pPr>
    </w:p>
    <w:p w14:paraId="633C07C3" w14:textId="77777777" w:rsidR="00FB178A" w:rsidRPr="00145379" w:rsidRDefault="00FB178A" w:rsidP="00FB178A">
      <w:pPr>
        <w:pStyle w:val="Heading3"/>
        <w:rPr>
          <w:color w:val="000000" w:themeColor="text1"/>
        </w:rPr>
      </w:pPr>
      <w:bookmarkStart w:id="82" w:name="_Toc223002940"/>
      <w:r w:rsidRPr="7B8BC2C2">
        <w:t>6.2. Opis napretka u provedbi strateškog cilja Demografska revitalizacija i bolji položaj obitelji</w:t>
      </w:r>
      <w:bookmarkEnd w:id="82"/>
    </w:p>
    <w:p w14:paraId="1102B163" w14:textId="77777777" w:rsidR="00FB178A" w:rsidRPr="00145379" w:rsidRDefault="00FB178A" w:rsidP="00FB178A">
      <w:pPr>
        <w:pStyle w:val="BodyText"/>
        <w:spacing w:after="240" w:line="276" w:lineRule="auto"/>
        <w:ind w:left="709"/>
        <w:jc w:val="both"/>
        <w:rPr>
          <w:b/>
          <w:bCs/>
          <w:lang w:eastAsia="en-GB"/>
        </w:rPr>
      </w:pPr>
      <w:r w:rsidRPr="00145379">
        <w:rPr>
          <w:b/>
          <w:bCs/>
          <w:lang w:eastAsia="en-GB"/>
        </w:rPr>
        <w:t>Ublažavanje negativnih demografskih trendova i izgradnja poticajn</w:t>
      </w:r>
      <w:r>
        <w:rPr>
          <w:b/>
          <w:bCs/>
          <w:lang w:eastAsia="en-GB"/>
        </w:rPr>
        <w:t>og okruženja za mlade i obitelj</w:t>
      </w:r>
    </w:p>
    <w:p w14:paraId="2F5BEBDF" w14:textId="77777777" w:rsidR="00FB178A" w:rsidRPr="00662C9A" w:rsidRDefault="00FB178A" w:rsidP="00FB178A">
      <w:pPr>
        <w:pStyle w:val="BodyText"/>
        <w:spacing w:after="240" w:line="276" w:lineRule="auto"/>
        <w:ind w:firstLine="709"/>
        <w:jc w:val="both"/>
        <w:rPr>
          <w:lang w:eastAsia="en-GB"/>
        </w:rPr>
      </w:pPr>
      <w:r w:rsidRPr="00662C9A">
        <w:rPr>
          <w:lang w:eastAsia="en-GB"/>
        </w:rPr>
        <w:t xml:space="preserve">Demografska revitalizacija je prepoznata kao jedno od ključnih strateških pitanja za uravnotežen gospodarski, društveni i teritorijalni razvoj </w:t>
      </w:r>
      <w:r>
        <w:rPr>
          <w:lang w:eastAsia="en-GB"/>
        </w:rPr>
        <w:t>Hrvatske</w:t>
      </w:r>
      <w:r w:rsidRPr="00662C9A">
        <w:rPr>
          <w:lang w:eastAsia="en-GB"/>
        </w:rPr>
        <w:t xml:space="preserve"> te za očuvanje dugoročne održivosti tržišta rada, socijalnog i mirovinskog sustava. U tom je kontekstu u ožujku 2024. usvojena Strategija demografske revitalizacije Republike Hrvatske do 2033. godine, prvi strateški akt nakon 2006., u potpunosti usmjeren na pružanje odgovora na dugotrajne trendove niskog nataliteta, starenja stanovništva i pojačanih migracija. Strategijom su kao ciljevi postavljeni izgradnj</w:t>
      </w:r>
      <w:r>
        <w:rPr>
          <w:lang w:eastAsia="en-GB"/>
        </w:rPr>
        <w:t>a</w:t>
      </w:r>
      <w:r w:rsidRPr="00662C9A">
        <w:rPr>
          <w:lang w:eastAsia="en-GB"/>
        </w:rPr>
        <w:t xml:space="preserve"> poticajnog okruženja za obitelji i mlade te postizanje uravnotežene mobilnosti stanovništva, a koji se planiraju postići kroz usklađivanje populacijske politike s poreznom, stambenom, obrazovnom, zdravstvenom, migracijskom, socijalnom, obiteljskom politikom te politikama zapošljavanja i regionalnog razvoja. Za provedbu Strategije demografske revitalizacije predviđeno je više od 9,6 milijardi eura, čime će se nadograditi  sve dosadašnje mjere demografske, porezne i socijalne politike radi postizanja demografske revitalizacije Hrvatske.</w:t>
      </w:r>
    </w:p>
    <w:p w14:paraId="747499BC" w14:textId="77777777" w:rsidR="00FB178A" w:rsidRDefault="00FB178A" w:rsidP="00FB178A">
      <w:pPr>
        <w:pStyle w:val="BodyText"/>
        <w:spacing w:after="240" w:line="276" w:lineRule="auto"/>
        <w:jc w:val="both"/>
        <w:rPr>
          <w:lang w:eastAsia="hr-HR"/>
        </w:rPr>
      </w:pPr>
      <w:r w:rsidRPr="0040162E">
        <w:rPr>
          <w:lang w:eastAsia="en-GB"/>
        </w:rPr>
        <w:t>Hrvatska</w:t>
      </w:r>
      <w:r>
        <w:rPr>
          <w:lang w:eastAsia="en-GB"/>
        </w:rPr>
        <w:t xml:space="preserve"> je</w:t>
      </w:r>
      <w:r w:rsidRPr="0040162E">
        <w:rPr>
          <w:lang w:eastAsia="en-GB"/>
        </w:rPr>
        <w:t xml:space="preserve"> </w:t>
      </w:r>
      <w:r>
        <w:rPr>
          <w:lang w:eastAsia="en-GB"/>
        </w:rPr>
        <w:t xml:space="preserve">i u 2024. </w:t>
      </w:r>
      <w:r w:rsidRPr="0040162E">
        <w:rPr>
          <w:lang w:eastAsia="en-GB"/>
        </w:rPr>
        <w:t>nastav</w:t>
      </w:r>
      <w:r>
        <w:rPr>
          <w:lang w:eastAsia="en-GB"/>
        </w:rPr>
        <w:t>ila s</w:t>
      </w:r>
      <w:r w:rsidRPr="0040162E">
        <w:rPr>
          <w:lang w:eastAsia="en-GB"/>
        </w:rPr>
        <w:t xml:space="preserve"> </w:t>
      </w:r>
      <w:r>
        <w:rPr>
          <w:lang w:eastAsia="en-GB"/>
        </w:rPr>
        <w:t>naporima u borbi s</w:t>
      </w:r>
      <w:r w:rsidRPr="0040162E">
        <w:rPr>
          <w:lang w:eastAsia="en-GB"/>
        </w:rPr>
        <w:t xml:space="preserve"> negativnim demografskim </w:t>
      </w:r>
      <w:r>
        <w:rPr>
          <w:lang w:eastAsia="en-GB"/>
        </w:rPr>
        <w:t xml:space="preserve">kretanjima, </w:t>
      </w:r>
      <w:r w:rsidRPr="0040162E">
        <w:rPr>
          <w:lang w:eastAsia="en-GB"/>
        </w:rPr>
        <w:t>odlučn</w:t>
      </w:r>
      <w:r>
        <w:rPr>
          <w:lang w:eastAsia="en-GB"/>
        </w:rPr>
        <w:t>om</w:t>
      </w:r>
      <w:r w:rsidRPr="0040162E">
        <w:rPr>
          <w:lang w:eastAsia="en-GB"/>
        </w:rPr>
        <w:t xml:space="preserve"> provedb</w:t>
      </w:r>
      <w:r>
        <w:rPr>
          <w:lang w:eastAsia="en-GB"/>
        </w:rPr>
        <w:t>om</w:t>
      </w:r>
      <w:r w:rsidRPr="0040162E">
        <w:rPr>
          <w:lang w:eastAsia="en-GB"/>
        </w:rPr>
        <w:t xml:space="preserve"> demografske politike radi povećanja stope fertiliteta i stvaranja poticajnog i privlačnog društvenog i ekonomskog okružja za ostanak, povratak i dolazak mladih ljudi i obitelji</w:t>
      </w:r>
      <w:r>
        <w:rPr>
          <w:lang w:eastAsia="en-GB"/>
        </w:rPr>
        <w:t xml:space="preserve">. </w:t>
      </w:r>
      <w:r w:rsidRPr="00C96E77">
        <w:rPr>
          <w:lang w:eastAsia="hr-HR"/>
        </w:rPr>
        <w:t xml:space="preserve">Prema podacima DZS-a, u Hrvatskoj je u 2024. </w:t>
      </w:r>
      <w:r>
        <w:rPr>
          <w:lang w:eastAsia="hr-HR"/>
        </w:rPr>
        <w:t>u</w:t>
      </w:r>
      <w:r w:rsidRPr="00C96E77">
        <w:rPr>
          <w:lang w:eastAsia="hr-HR"/>
        </w:rPr>
        <w:t>kupno je zabilježeno 32.069 živorođenih i 51.080 umrlih, uz negativan prirodni priraštaj od -19.011 stanovnika (-19.105 u 2023.</w:t>
      </w:r>
      <w:r>
        <w:rPr>
          <w:lang w:eastAsia="hr-HR"/>
        </w:rPr>
        <w:t xml:space="preserve"> godini</w:t>
      </w:r>
      <w:r w:rsidRPr="00C96E77">
        <w:rPr>
          <w:lang w:eastAsia="hr-HR"/>
        </w:rPr>
        <w:t>). Broj živorođene djece pao je za 0,3% te je rođeno 101 dijete manje nego u 2023.</w:t>
      </w:r>
      <w:r>
        <w:rPr>
          <w:lang w:eastAsia="hr-HR"/>
        </w:rPr>
        <w:t xml:space="preserve"> godini.</w:t>
      </w:r>
      <w:r w:rsidRPr="00C96E77">
        <w:rPr>
          <w:lang w:eastAsia="hr-HR"/>
        </w:rPr>
        <w:t xml:space="preserve"> Stopa nataliteta (živorođeni</w:t>
      </w:r>
      <w:r>
        <w:rPr>
          <w:lang w:eastAsia="hr-HR"/>
        </w:rPr>
        <w:t xml:space="preserve"> </w:t>
      </w:r>
      <w:r w:rsidRPr="00C96E77">
        <w:rPr>
          <w:lang w:eastAsia="hr-HR"/>
        </w:rPr>
        <w:t xml:space="preserve">na 1.000 stanovnika) </w:t>
      </w:r>
      <w:r>
        <w:rPr>
          <w:lang w:eastAsia="hr-HR"/>
        </w:rPr>
        <w:t xml:space="preserve">u 2024. je </w:t>
      </w:r>
      <w:r w:rsidRPr="00C96E77">
        <w:rPr>
          <w:lang w:eastAsia="hr-HR"/>
        </w:rPr>
        <w:t xml:space="preserve">ostala ista u odnosu na 2023. te </w:t>
      </w:r>
      <w:r>
        <w:rPr>
          <w:lang w:eastAsia="hr-HR"/>
        </w:rPr>
        <w:t xml:space="preserve">je </w:t>
      </w:r>
      <w:r w:rsidRPr="00C96E77">
        <w:rPr>
          <w:lang w:eastAsia="hr-HR"/>
        </w:rPr>
        <w:t>iznosi</w:t>
      </w:r>
      <w:r>
        <w:rPr>
          <w:lang w:eastAsia="hr-HR"/>
        </w:rPr>
        <w:t>la</w:t>
      </w:r>
      <w:r w:rsidRPr="00C96E77">
        <w:rPr>
          <w:lang w:eastAsia="hr-HR"/>
        </w:rPr>
        <w:t xml:space="preserve"> 8,3</w:t>
      </w:r>
      <w:r>
        <w:rPr>
          <w:lang w:eastAsia="hr-HR"/>
        </w:rPr>
        <w:t>, dok je s</w:t>
      </w:r>
      <w:r w:rsidRPr="00C96E77">
        <w:rPr>
          <w:lang w:eastAsia="hr-HR"/>
        </w:rPr>
        <w:t xml:space="preserve">topa mortaliteta (umrli na 1.000 stanovnika) neznatno snižena te </w:t>
      </w:r>
      <w:r>
        <w:rPr>
          <w:lang w:eastAsia="hr-HR"/>
        </w:rPr>
        <w:t xml:space="preserve">je </w:t>
      </w:r>
      <w:r w:rsidRPr="00C96E77">
        <w:rPr>
          <w:lang w:eastAsia="hr-HR"/>
        </w:rPr>
        <w:t>iznosi</w:t>
      </w:r>
      <w:r>
        <w:rPr>
          <w:lang w:eastAsia="hr-HR"/>
        </w:rPr>
        <w:t>la</w:t>
      </w:r>
      <w:r w:rsidRPr="00C96E77">
        <w:rPr>
          <w:lang w:eastAsia="hr-HR"/>
        </w:rPr>
        <w:t xml:space="preserve"> 13,2 (13,3 u 2023.</w:t>
      </w:r>
      <w:r>
        <w:rPr>
          <w:lang w:eastAsia="hr-HR"/>
        </w:rPr>
        <w:t xml:space="preserve"> godini</w:t>
      </w:r>
      <w:r w:rsidRPr="00C96E77">
        <w:rPr>
          <w:lang w:eastAsia="hr-HR"/>
        </w:rPr>
        <w:t>)</w:t>
      </w:r>
      <w:r>
        <w:rPr>
          <w:lang w:eastAsia="hr-HR"/>
        </w:rPr>
        <w:t>.</w:t>
      </w:r>
      <w:r w:rsidRPr="00C96E77">
        <w:rPr>
          <w:lang w:eastAsia="hr-HR"/>
        </w:rPr>
        <w:t xml:space="preserve"> </w:t>
      </w:r>
      <w:r>
        <w:rPr>
          <w:lang w:eastAsia="hr-HR"/>
        </w:rPr>
        <w:t>S</w:t>
      </w:r>
      <w:r w:rsidRPr="00C96E77">
        <w:rPr>
          <w:lang w:eastAsia="hr-HR"/>
        </w:rPr>
        <w:t>topa prirodnog prirasta bila</w:t>
      </w:r>
      <w:r>
        <w:rPr>
          <w:lang w:eastAsia="hr-HR"/>
        </w:rPr>
        <w:t xml:space="preserve"> je</w:t>
      </w:r>
      <w:r w:rsidRPr="00C96E77">
        <w:rPr>
          <w:lang w:eastAsia="hr-HR"/>
        </w:rPr>
        <w:t xml:space="preserve"> </w:t>
      </w:r>
      <w:r>
        <w:rPr>
          <w:lang w:eastAsia="hr-HR"/>
        </w:rPr>
        <w:t>malo smanjena u odnosu na 2023.</w:t>
      </w:r>
      <w:r w:rsidRPr="00C96E77">
        <w:rPr>
          <w:lang w:eastAsia="hr-HR"/>
        </w:rPr>
        <w:t xml:space="preserve"> te je iznosila -4,9 (-5,0 u 2023.), dok je prosječni prirodni prirast na razini EU-a iznosio -2,8 u 2024. </w:t>
      </w:r>
      <w:r>
        <w:rPr>
          <w:lang w:eastAsia="hr-HR"/>
        </w:rPr>
        <w:t>godini.</w:t>
      </w:r>
      <w:r w:rsidRPr="00C96E77">
        <w:rPr>
          <w:lang w:eastAsia="hr-HR"/>
        </w:rPr>
        <w:t xml:space="preserve"> </w:t>
      </w:r>
      <w:r>
        <w:rPr>
          <w:lang w:eastAsia="hr-HR"/>
        </w:rPr>
        <w:t xml:space="preserve">Prema podacima DZS-a, ostvarena vrijednost stope totalnog fertiliteta za 2024. godinu iznosi 1,46  kao i u </w:t>
      </w:r>
      <w:r w:rsidRPr="00C96E77">
        <w:rPr>
          <w:lang w:eastAsia="hr-HR"/>
        </w:rPr>
        <w:t>2023. (1,</w:t>
      </w:r>
      <w:r>
        <w:rPr>
          <w:lang w:eastAsia="hr-HR"/>
        </w:rPr>
        <w:t>46 djece</w:t>
      </w:r>
      <w:r w:rsidRPr="00C96E77">
        <w:rPr>
          <w:lang w:eastAsia="hr-HR"/>
        </w:rPr>
        <w:t xml:space="preserve">), što je </w:t>
      </w:r>
      <w:r>
        <w:rPr>
          <w:lang w:eastAsia="hr-HR"/>
        </w:rPr>
        <w:t xml:space="preserve">i dalje </w:t>
      </w:r>
      <w:r w:rsidRPr="00C96E77">
        <w:rPr>
          <w:lang w:eastAsia="hr-HR"/>
        </w:rPr>
        <w:t xml:space="preserve">ispod razine jednostavne reprodukcije (2,1) </w:t>
      </w:r>
      <w:r>
        <w:rPr>
          <w:lang w:eastAsia="hr-HR"/>
        </w:rPr>
        <w:t>no više je</w:t>
      </w:r>
      <w:r w:rsidRPr="00C96E77">
        <w:rPr>
          <w:lang w:eastAsia="hr-HR"/>
        </w:rPr>
        <w:t xml:space="preserve"> od </w:t>
      </w:r>
      <w:r>
        <w:rPr>
          <w:lang w:eastAsia="hr-HR"/>
        </w:rPr>
        <w:t xml:space="preserve">prosječne </w:t>
      </w:r>
      <w:r w:rsidRPr="00C96E77">
        <w:rPr>
          <w:lang w:eastAsia="hr-HR"/>
        </w:rPr>
        <w:t xml:space="preserve">stope fertiliteta na razini EU-a (1,38 </w:t>
      </w:r>
      <w:r>
        <w:rPr>
          <w:lang w:eastAsia="hr-HR"/>
        </w:rPr>
        <w:t xml:space="preserve">djece </w:t>
      </w:r>
      <w:r w:rsidRPr="00C96E77">
        <w:rPr>
          <w:lang w:eastAsia="hr-HR"/>
        </w:rPr>
        <w:t>u 2023.</w:t>
      </w:r>
      <w:r>
        <w:rPr>
          <w:lang w:eastAsia="hr-HR"/>
        </w:rPr>
        <w:t xml:space="preserve"> godini</w:t>
      </w:r>
      <w:r w:rsidRPr="00C96E77">
        <w:rPr>
          <w:lang w:eastAsia="hr-HR"/>
        </w:rPr>
        <w:t>).</w:t>
      </w:r>
    </w:p>
    <w:p w14:paraId="383AA554" w14:textId="77777777" w:rsidR="00FB178A" w:rsidRPr="00C96E77" w:rsidRDefault="00FB178A" w:rsidP="00FB178A">
      <w:pPr>
        <w:widowControl/>
        <w:autoSpaceDE/>
        <w:autoSpaceDN/>
        <w:spacing w:after="160" w:line="276" w:lineRule="auto"/>
        <w:jc w:val="both"/>
        <w:textAlignment w:val="baseline"/>
        <w:rPr>
          <w:rFonts w:eastAsia="Aptos"/>
          <w:kern w:val="2"/>
          <w:sz w:val="18"/>
          <w:szCs w:val="18"/>
          <w14:ligatures w14:val="standardContextual"/>
        </w:rPr>
      </w:pPr>
      <w:r w:rsidRPr="00BB1E98">
        <w:rPr>
          <w:kern w:val="2"/>
          <w:sz w:val="24"/>
          <w:szCs w:val="24"/>
          <w14:ligatures w14:val="standardContextual"/>
        </w:rPr>
        <w:lastRenderedPageBreak/>
        <w:t xml:space="preserve">U 2024. je </w:t>
      </w:r>
      <w:r>
        <w:rPr>
          <w:kern w:val="2"/>
          <w:sz w:val="24"/>
          <w:szCs w:val="24"/>
          <w14:ligatures w14:val="standardContextual"/>
        </w:rPr>
        <w:t xml:space="preserve">treću uzastopnu godinu zabilježen </w:t>
      </w:r>
      <w:r w:rsidRPr="00BB1E98">
        <w:rPr>
          <w:kern w:val="2"/>
          <w:sz w:val="24"/>
          <w:szCs w:val="24"/>
          <w14:ligatures w14:val="standardContextual"/>
        </w:rPr>
        <w:t>nastavak povoljnih migracijskih kretanja, uz daljnje smanjenje iseljavanja i rast doseljavanja u Hrvatsku. Ukupno je 38.997 osoba odselilo iz Hrvatske u inozemstvo (39.218 u 2023.), dok je istodobno iz inozemstva doselilo 70.391 osoba (69.396 u 2023.), čime je ostvaren pozitivan neto migracijski saldo od 31.394 stanovnika (30.178 u 2023.), najviši zabilježen</w:t>
      </w:r>
      <w:r>
        <w:rPr>
          <w:kern w:val="2"/>
          <w:sz w:val="24"/>
          <w:szCs w:val="24"/>
          <w14:ligatures w14:val="standardContextual"/>
        </w:rPr>
        <w:t xml:space="preserve">i pozitivan migracijski saldo </w:t>
      </w:r>
      <w:r w:rsidRPr="00BB1E98">
        <w:rPr>
          <w:kern w:val="2"/>
          <w:sz w:val="24"/>
          <w:szCs w:val="24"/>
          <w14:ligatures w14:val="standardContextual"/>
        </w:rPr>
        <w:t>od 1998</w:t>
      </w:r>
      <w:r>
        <w:rPr>
          <w:kern w:val="2"/>
          <w:sz w:val="24"/>
          <w:szCs w:val="24"/>
          <w14:ligatures w14:val="standardContextual"/>
        </w:rPr>
        <w:t>.</w:t>
      </w:r>
      <w:r w:rsidRPr="00BB1E98">
        <w:rPr>
          <w:kern w:val="2"/>
          <w:sz w:val="24"/>
          <w:szCs w:val="24"/>
          <w14:ligatures w14:val="standardContextual"/>
        </w:rPr>
        <w:t xml:space="preserve"> </w:t>
      </w:r>
      <w:r>
        <w:rPr>
          <w:kern w:val="2"/>
          <w:sz w:val="24"/>
          <w:szCs w:val="24"/>
          <w14:ligatures w14:val="standardContextual"/>
        </w:rPr>
        <w:t>godine.</w:t>
      </w:r>
    </w:p>
    <w:p w14:paraId="3CE54DE0" w14:textId="77777777" w:rsidR="00FB178A" w:rsidRDefault="00FB178A" w:rsidP="00FB178A">
      <w:pPr>
        <w:widowControl/>
        <w:autoSpaceDE/>
        <w:autoSpaceDN/>
        <w:spacing w:after="160" w:line="276" w:lineRule="auto"/>
        <w:jc w:val="both"/>
        <w:textAlignment w:val="baseline"/>
        <w:rPr>
          <w:sz w:val="24"/>
          <w:szCs w:val="24"/>
          <w:lang w:eastAsia="hr-HR"/>
        </w:rPr>
      </w:pPr>
      <w:r w:rsidRPr="00266671">
        <w:rPr>
          <w:sz w:val="24"/>
          <w:szCs w:val="24"/>
          <w:lang w:eastAsia="hr-HR"/>
        </w:rPr>
        <w:t>U cilju financijskog rasterećenja obitelji s djecom predškolske i osnovnoškolske dobi te poticanja jednakih mogućnosti za sudjelovanje djece u izvanškolskim aktivnostima, u 2024. godini proveden je pilot-projekt javnog poziva jedinicama lokalne samouprave za sufinanciranje edukativnih, kulturnih i sportskih aktivnosti djece predškolske dobi i djece od 1. do 4. razreda osnovne škole. Na temelju poziva</w:t>
      </w:r>
      <w:r>
        <w:rPr>
          <w:sz w:val="24"/>
          <w:szCs w:val="24"/>
          <w:lang w:eastAsia="hr-HR"/>
        </w:rPr>
        <w:t>,</w:t>
      </w:r>
      <w:r w:rsidRPr="00266671">
        <w:rPr>
          <w:sz w:val="24"/>
          <w:szCs w:val="24"/>
          <w:lang w:eastAsia="hr-HR"/>
        </w:rPr>
        <w:t xml:space="preserve"> sklopljeni su ugovori sa 163 jedinice lokalne samouprave, u ukupnom iznosu od 4,76 milijuna eura, čime je obuhvaćeno oko 8</w:t>
      </w:r>
      <w:r>
        <w:rPr>
          <w:sz w:val="24"/>
          <w:szCs w:val="24"/>
          <w:lang w:eastAsia="hr-HR"/>
        </w:rPr>
        <w:t xml:space="preserve"> </w:t>
      </w:r>
      <w:r w:rsidRPr="00266671">
        <w:rPr>
          <w:sz w:val="24"/>
          <w:szCs w:val="24"/>
          <w:lang w:eastAsia="hr-HR"/>
        </w:rPr>
        <w:t>000 djece diljem Hrvatske. Ova mjera izravno doprinosi ciljevima demografske revitalizacije kroz jačanje dostupnosti sadržaja za djecu, podizanje kvalitete života obitelji s djecom te smanjenje regionalnih i socijalnih razlika u pristupu razvojnim, kulturnim i sportskim programima.</w:t>
      </w:r>
    </w:p>
    <w:p w14:paraId="43E9535B" w14:textId="77777777" w:rsidR="00FB178A" w:rsidRPr="00536A90" w:rsidRDefault="00FB178A" w:rsidP="00FB178A">
      <w:pPr>
        <w:widowControl/>
        <w:autoSpaceDE/>
        <w:autoSpaceDN/>
        <w:spacing w:after="160" w:line="276" w:lineRule="auto"/>
        <w:jc w:val="both"/>
        <w:textAlignment w:val="baseline"/>
        <w:rPr>
          <w:sz w:val="24"/>
          <w:szCs w:val="24"/>
          <w:lang w:eastAsia="hr-HR"/>
        </w:rPr>
      </w:pPr>
      <w:r>
        <w:rPr>
          <w:sz w:val="24"/>
          <w:szCs w:val="24"/>
          <w:lang w:eastAsia="hr-HR"/>
        </w:rPr>
        <w:t xml:space="preserve">Osiguravanjem </w:t>
      </w:r>
      <w:r>
        <w:rPr>
          <w:sz w:val="24"/>
          <w:szCs w:val="24"/>
          <w:lang w:eastAsia="en-GB"/>
        </w:rPr>
        <w:t>p</w:t>
      </w:r>
      <w:r w:rsidRPr="00684A97">
        <w:rPr>
          <w:sz w:val="24"/>
          <w:szCs w:val="24"/>
          <w:lang w:eastAsia="en-GB"/>
        </w:rPr>
        <w:t>odršk</w:t>
      </w:r>
      <w:r>
        <w:rPr>
          <w:sz w:val="24"/>
          <w:szCs w:val="24"/>
          <w:lang w:eastAsia="en-GB"/>
        </w:rPr>
        <w:t>e</w:t>
      </w:r>
      <w:r w:rsidRPr="00684A97">
        <w:rPr>
          <w:sz w:val="24"/>
          <w:szCs w:val="24"/>
          <w:lang w:eastAsia="en-GB"/>
        </w:rPr>
        <w:t xml:space="preserve"> općinama i gradovima za održavanje i razvoj predškolske djelatnosti nastoji se osigurati ravnomjeran teritorijalni razvoj predškolskog odgoja i obrazovanja te podizanje kvalitete uvjeta boravka djece. </w:t>
      </w:r>
      <w:r>
        <w:rPr>
          <w:sz w:val="24"/>
          <w:szCs w:val="24"/>
          <w:lang w:eastAsia="en-GB"/>
        </w:rPr>
        <w:t>T</w:t>
      </w:r>
      <w:r w:rsidRPr="00684A97">
        <w:rPr>
          <w:sz w:val="24"/>
          <w:szCs w:val="24"/>
          <w:lang w:eastAsia="en-GB"/>
        </w:rPr>
        <w:t xml:space="preserve">ijekom 2024. sufinancirane su projektne aktivnosti jedinica lokalne samouprave za 142 dječja vrtića diljem Hrvatske, pri čemu je do kraja godine uloženo ukupno 3,1 milijun eura za opremanje vrtićkih igrališta fiksnom opremom, uređenje okoliša i vanjskih terena te druga poboljšanja prostora. Dodatno, kroz Javni poziv za prijavu projekata usmjerenih na uređenje i opremanje dječjih igrališta </w:t>
      </w:r>
      <w:r>
        <w:rPr>
          <w:sz w:val="24"/>
          <w:szCs w:val="24"/>
          <w:lang w:eastAsia="en-GB"/>
        </w:rPr>
        <w:t>tijekom 2024. osigurano</w:t>
      </w:r>
      <w:r w:rsidRPr="00684A97">
        <w:rPr>
          <w:sz w:val="24"/>
          <w:szCs w:val="24"/>
          <w:lang w:eastAsia="en-GB"/>
        </w:rPr>
        <w:t xml:space="preserve"> je 0,8 milijuna eura za provedbu 37 projekata </w:t>
      </w:r>
      <w:r>
        <w:rPr>
          <w:sz w:val="24"/>
          <w:szCs w:val="24"/>
          <w:lang w:eastAsia="en-GB"/>
        </w:rPr>
        <w:t>u</w:t>
      </w:r>
      <w:r w:rsidRPr="006C4C42">
        <w:rPr>
          <w:sz w:val="24"/>
          <w:szCs w:val="24"/>
          <w:lang w:eastAsia="en-GB"/>
        </w:rPr>
        <w:t>ređenj</w:t>
      </w:r>
      <w:r>
        <w:rPr>
          <w:sz w:val="24"/>
          <w:szCs w:val="24"/>
          <w:lang w:eastAsia="en-GB"/>
        </w:rPr>
        <w:t>a</w:t>
      </w:r>
      <w:r w:rsidRPr="006C4C42">
        <w:rPr>
          <w:sz w:val="24"/>
          <w:szCs w:val="24"/>
          <w:lang w:eastAsia="en-GB"/>
        </w:rPr>
        <w:t xml:space="preserve"> i opremanj</w:t>
      </w:r>
      <w:r>
        <w:rPr>
          <w:sz w:val="24"/>
          <w:szCs w:val="24"/>
          <w:lang w:eastAsia="en-GB"/>
        </w:rPr>
        <w:t>a</w:t>
      </w:r>
      <w:r w:rsidRPr="006C4C42">
        <w:rPr>
          <w:sz w:val="24"/>
          <w:szCs w:val="24"/>
          <w:lang w:eastAsia="en-GB"/>
        </w:rPr>
        <w:t xml:space="preserve"> dječjih igrališta</w:t>
      </w:r>
      <w:r>
        <w:rPr>
          <w:sz w:val="24"/>
          <w:szCs w:val="24"/>
          <w:lang w:eastAsia="en-GB"/>
        </w:rPr>
        <w:t xml:space="preserve"> </w:t>
      </w:r>
      <w:r w:rsidRPr="00684A97">
        <w:rPr>
          <w:sz w:val="24"/>
          <w:szCs w:val="24"/>
          <w:lang w:eastAsia="en-GB"/>
        </w:rPr>
        <w:t>na javnim površinama u lokalnim zajednicama, čime se unapređuje dostupnost sigurnih i poticajnih prostora za igru i boravak djece te dugoročno podupire demografski i društveni razvoj lokalnih sredina.</w:t>
      </w:r>
    </w:p>
    <w:p w14:paraId="692FA0C0" w14:textId="77777777" w:rsidR="00FB178A" w:rsidRPr="00C96E77" w:rsidDel="00955D20" w:rsidRDefault="00FB178A" w:rsidP="00FB178A">
      <w:pPr>
        <w:widowControl/>
        <w:autoSpaceDE/>
        <w:autoSpaceDN/>
        <w:spacing w:after="160" w:line="276" w:lineRule="auto"/>
        <w:jc w:val="both"/>
        <w:textAlignment w:val="baseline"/>
        <w:rPr>
          <w:rFonts w:ascii="Segoe UI" w:hAnsi="Segoe UI" w:cs="Segoe UI"/>
          <w:sz w:val="18"/>
          <w:szCs w:val="18"/>
          <w:lang w:eastAsia="hr-HR"/>
        </w:rPr>
      </w:pPr>
      <w:r w:rsidRPr="0004221B">
        <w:rPr>
          <w:sz w:val="24"/>
          <w:szCs w:val="24"/>
          <w:lang w:eastAsia="hr-HR"/>
        </w:rPr>
        <w:t xml:space="preserve">Kroz projekt izdavanja prve osobne iskaznice za djecu do navršenih 18 godina života u 2024. omogućeno je besplatno dobivanje prve osobne iskaznice za 47.120 korisnika. </w:t>
      </w:r>
      <w:r w:rsidRPr="00C96E77" w:rsidDel="00955D20">
        <w:rPr>
          <w:sz w:val="24"/>
          <w:szCs w:val="24"/>
          <w:lang w:eastAsia="hr-HR"/>
        </w:rPr>
        <w:t xml:space="preserve">U okviru napora na stvaranju poticajnog okruženja za obitelj i mlade nastavljene su aktivnosti u provedbi projekta e-Dječja kartica ,,Mudrica”. Korištenje kartice „Mudrica“ omogućuje roditeljima s djecom do 18. godine života razne pogodnosti i povoljniji pristup robama i uslugama, radi poboljšanja obiteljskog standarda. </w:t>
      </w:r>
      <w:r w:rsidRPr="005928C3">
        <w:rPr>
          <w:sz w:val="24"/>
          <w:szCs w:val="24"/>
          <w:lang w:eastAsia="hr-HR"/>
        </w:rPr>
        <w:t xml:space="preserve">Na dan 31. prosinca 2024. e-Dječju karticu ,,Mudrica“ koristilo je 46.554 korisnika, odnosno 34% korisnika više u odnosu na isto razdoblje </w:t>
      </w:r>
      <w:r>
        <w:rPr>
          <w:sz w:val="24"/>
          <w:szCs w:val="24"/>
          <w:lang w:eastAsia="hr-HR"/>
        </w:rPr>
        <w:t>2023. godine, a tijekom 2024. započeo j</w:t>
      </w:r>
      <w:r w:rsidRPr="00C96E77" w:rsidDel="00955D20">
        <w:rPr>
          <w:sz w:val="24"/>
          <w:szCs w:val="24"/>
          <w:lang w:eastAsia="hr-HR"/>
        </w:rPr>
        <w:t xml:space="preserve">e proces uspostave </w:t>
      </w:r>
      <w:r>
        <w:rPr>
          <w:sz w:val="24"/>
          <w:szCs w:val="24"/>
          <w:lang w:eastAsia="hr-HR"/>
        </w:rPr>
        <w:t>aplikacije</w:t>
      </w:r>
      <w:r w:rsidRPr="00C96E77" w:rsidDel="00955D20">
        <w:rPr>
          <w:sz w:val="24"/>
          <w:szCs w:val="24"/>
          <w:lang w:eastAsia="hr-HR"/>
        </w:rPr>
        <w:t xml:space="preserve"> e-Dječje kartice na mobilnoj platformi i </w:t>
      </w:r>
      <w:r>
        <w:rPr>
          <w:sz w:val="24"/>
          <w:szCs w:val="24"/>
          <w:lang w:eastAsia="hr-HR"/>
        </w:rPr>
        <w:t>platformi</w:t>
      </w:r>
      <w:r w:rsidRPr="00C96E77" w:rsidDel="00955D20">
        <w:rPr>
          <w:sz w:val="24"/>
          <w:szCs w:val="24"/>
          <w:lang w:eastAsia="hr-HR"/>
        </w:rPr>
        <w:t xml:space="preserve"> e-Građani</w:t>
      </w:r>
      <w:r>
        <w:rPr>
          <w:sz w:val="24"/>
          <w:szCs w:val="24"/>
          <w:lang w:eastAsia="hr-HR"/>
        </w:rPr>
        <w:t xml:space="preserve"> čime će se većem broju korisnika omogućiti lakši pristup i korištenje </w:t>
      </w:r>
      <w:r w:rsidRPr="003D39B8">
        <w:rPr>
          <w:sz w:val="24"/>
          <w:szCs w:val="24"/>
          <w:lang w:eastAsia="hr-HR"/>
        </w:rPr>
        <w:t>e-Dječj</w:t>
      </w:r>
      <w:r>
        <w:rPr>
          <w:sz w:val="24"/>
          <w:szCs w:val="24"/>
          <w:lang w:eastAsia="hr-HR"/>
        </w:rPr>
        <w:t>e</w:t>
      </w:r>
      <w:r w:rsidRPr="003D39B8">
        <w:rPr>
          <w:sz w:val="24"/>
          <w:szCs w:val="24"/>
          <w:lang w:eastAsia="hr-HR"/>
        </w:rPr>
        <w:t xml:space="preserve"> kartic</w:t>
      </w:r>
      <w:r>
        <w:rPr>
          <w:sz w:val="24"/>
          <w:szCs w:val="24"/>
          <w:lang w:eastAsia="hr-HR"/>
        </w:rPr>
        <w:t>e</w:t>
      </w:r>
      <w:r w:rsidRPr="003D39B8">
        <w:rPr>
          <w:sz w:val="24"/>
          <w:szCs w:val="24"/>
          <w:lang w:eastAsia="hr-HR"/>
        </w:rPr>
        <w:t xml:space="preserve"> ,,Mudrica“</w:t>
      </w:r>
      <w:r>
        <w:rPr>
          <w:sz w:val="24"/>
          <w:szCs w:val="24"/>
          <w:lang w:eastAsia="hr-HR"/>
        </w:rPr>
        <w:t xml:space="preserve">. </w:t>
      </w:r>
      <w:r w:rsidRPr="00C96E77" w:rsidDel="00955D20">
        <w:rPr>
          <w:sz w:val="24"/>
          <w:szCs w:val="24"/>
          <w:lang w:eastAsia="hr-HR"/>
        </w:rPr>
        <w:t xml:space="preserve"> </w:t>
      </w:r>
    </w:p>
    <w:p w14:paraId="6336C5A8" w14:textId="77777777" w:rsidR="00FB178A" w:rsidRDefault="00FB178A" w:rsidP="00FB178A">
      <w:pPr>
        <w:widowControl/>
        <w:autoSpaceDE/>
        <w:autoSpaceDN/>
        <w:spacing w:after="160" w:line="276" w:lineRule="auto"/>
        <w:jc w:val="both"/>
        <w:textAlignment w:val="baseline"/>
        <w:rPr>
          <w:sz w:val="24"/>
          <w:szCs w:val="24"/>
          <w:lang w:eastAsia="hr-HR"/>
        </w:rPr>
      </w:pPr>
      <w:r w:rsidRPr="00C96E77">
        <w:rPr>
          <w:rFonts w:eastAsia="Aptos"/>
          <w:sz w:val="24"/>
          <w:szCs w:val="24"/>
        </w:rPr>
        <w:t>S ciljem osnaživanja roditelja</w:t>
      </w:r>
      <w:r>
        <w:rPr>
          <w:rFonts w:eastAsia="Aptos"/>
          <w:sz w:val="24"/>
          <w:szCs w:val="24"/>
        </w:rPr>
        <w:t>,</w:t>
      </w:r>
      <w:r w:rsidRPr="00C96E77">
        <w:rPr>
          <w:rFonts w:eastAsia="Aptos"/>
          <w:sz w:val="24"/>
          <w:szCs w:val="24"/>
        </w:rPr>
        <w:t xml:space="preserve"> </w:t>
      </w:r>
      <w:r>
        <w:rPr>
          <w:rFonts w:eastAsia="Aptos"/>
          <w:sz w:val="24"/>
          <w:szCs w:val="24"/>
        </w:rPr>
        <w:t>kao i pružanja</w:t>
      </w:r>
      <w:r w:rsidRPr="00C96E77">
        <w:rPr>
          <w:rFonts w:eastAsia="Aptos"/>
          <w:sz w:val="24"/>
          <w:szCs w:val="24"/>
        </w:rPr>
        <w:t xml:space="preserve"> odgovora na njihove potrebe, proveden je Poziv za prijavu projekata udruga usmjerenih podršci roditeljstvu</w:t>
      </w:r>
      <w:r>
        <w:rPr>
          <w:rFonts w:eastAsia="Aptos"/>
          <w:sz w:val="24"/>
          <w:szCs w:val="24"/>
        </w:rPr>
        <w:t>. U okviru poziva o</w:t>
      </w:r>
      <w:r w:rsidRPr="00C96E77">
        <w:rPr>
          <w:rFonts w:eastAsia="Aptos"/>
          <w:sz w:val="24"/>
          <w:szCs w:val="24"/>
        </w:rPr>
        <w:t>dobrena</w:t>
      </w:r>
      <w:r>
        <w:rPr>
          <w:rFonts w:eastAsia="Aptos"/>
          <w:sz w:val="24"/>
          <w:szCs w:val="24"/>
        </w:rPr>
        <w:t xml:space="preserve"> je</w:t>
      </w:r>
      <w:r w:rsidRPr="00C96E77">
        <w:rPr>
          <w:rFonts w:eastAsia="Aptos"/>
          <w:sz w:val="24"/>
          <w:szCs w:val="24"/>
        </w:rPr>
        <w:t xml:space="preserve"> financijska podrška za 65 projekata organizacija civilnog društva</w:t>
      </w:r>
      <w:r>
        <w:rPr>
          <w:rFonts w:eastAsia="Aptos"/>
          <w:sz w:val="24"/>
          <w:szCs w:val="24"/>
        </w:rPr>
        <w:t>, a podržani projekti su usmjereni na</w:t>
      </w:r>
      <w:r w:rsidRPr="00C96E77">
        <w:rPr>
          <w:rFonts w:eastAsia="Aptos"/>
          <w:sz w:val="24"/>
          <w:szCs w:val="24"/>
        </w:rPr>
        <w:t xml:space="preserve"> pružanj</w:t>
      </w:r>
      <w:r>
        <w:rPr>
          <w:rFonts w:eastAsia="Aptos"/>
          <w:sz w:val="24"/>
          <w:szCs w:val="24"/>
        </w:rPr>
        <w:t>e</w:t>
      </w:r>
      <w:r w:rsidRPr="00C96E77">
        <w:rPr>
          <w:rFonts w:eastAsia="Aptos"/>
          <w:sz w:val="24"/>
          <w:szCs w:val="24"/>
        </w:rPr>
        <w:t xml:space="preserve"> podrške roditeljima, </w:t>
      </w:r>
      <w:proofErr w:type="spellStart"/>
      <w:r w:rsidRPr="00C96E77">
        <w:rPr>
          <w:rFonts w:eastAsia="Aptos"/>
          <w:sz w:val="24"/>
          <w:szCs w:val="24"/>
        </w:rPr>
        <w:t>jednoroditeljskim</w:t>
      </w:r>
      <w:proofErr w:type="spellEnd"/>
      <w:r w:rsidRPr="00C96E77">
        <w:rPr>
          <w:rFonts w:eastAsia="Aptos"/>
          <w:sz w:val="24"/>
          <w:szCs w:val="24"/>
        </w:rPr>
        <w:t xml:space="preserve"> obiteljima, poticanj</w:t>
      </w:r>
      <w:r>
        <w:rPr>
          <w:rFonts w:eastAsia="Aptos"/>
          <w:sz w:val="24"/>
          <w:szCs w:val="24"/>
        </w:rPr>
        <w:t>e</w:t>
      </w:r>
      <w:r w:rsidRPr="00C96E77">
        <w:rPr>
          <w:rFonts w:eastAsia="Aptos"/>
          <w:sz w:val="24"/>
          <w:szCs w:val="24"/>
        </w:rPr>
        <w:t xml:space="preserve"> očeva na veću uključenost u obiteljsk</w:t>
      </w:r>
      <w:r>
        <w:rPr>
          <w:rFonts w:eastAsia="Aptos"/>
          <w:sz w:val="24"/>
          <w:szCs w:val="24"/>
        </w:rPr>
        <w:t>i</w:t>
      </w:r>
      <w:r w:rsidRPr="00C96E77">
        <w:rPr>
          <w:rFonts w:eastAsia="Aptos"/>
          <w:sz w:val="24"/>
          <w:szCs w:val="24"/>
        </w:rPr>
        <w:t xml:space="preserve"> život, senzibiliziranj</w:t>
      </w:r>
      <w:r>
        <w:rPr>
          <w:rFonts w:eastAsia="Aptos"/>
          <w:sz w:val="24"/>
          <w:szCs w:val="24"/>
        </w:rPr>
        <w:t>e</w:t>
      </w:r>
      <w:r w:rsidRPr="00C96E77">
        <w:rPr>
          <w:rFonts w:eastAsia="Aptos"/>
          <w:sz w:val="24"/>
          <w:szCs w:val="24"/>
        </w:rPr>
        <w:t xml:space="preserve"> javnosti o važnosti dojenja te unaprjeđenj</w:t>
      </w:r>
      <w:r>
        <w:rPr>
          <w:rFonts w:eastAsia="Aptos"/>
          <w:sz w:val="24"/>
          <w:szCs w:val="24"/>
        </w:rPr>
        <w:t>e</w:t>
      </w:r>
      <w:r w:rsidRPr="00C96E77">
        <w:rPr>
          <w:rFonts w:eastAsia="Aptos"/>
          <w:sz w:val="24"/>
          <w:szCs w:val="24"/>
        </w:rPr>
        <w:t xml:space="preserve"> digitalnih kompetencija djece i roditelja s ciljem prevencije elektroničkog nasilja.</w:t>
      </w:r>
      <w:r>
        <w:rPr>
          <w:rFonts w:eastAsia="Aptos"/>
          <w:sz w:val="24"/>
          <w:szCs w:val="24"/>
        </w:rPr>
        <w:t xml:space="preserve"> </w:t>
      </w:r>
      <w:r w:rsidRPr="0004221B">
        <w:rPr>
          <w:sz w:val="24"/>
          <w:szCs w:val="24"/>
        </w:rPr>
        <w:t xml:space="preserve">Za provedbu </w:t>
      </w:r>
      <w:r>
        <w:rPr>
          <w:sz w:val="24"/>
          <w:szCs w:val="24"/>
        </w:rPr>
        <w:t>napora</w:t>
      </w:r>
      <w:r w:rsidRPr="0004221B">
        <w:rPr>
          <w:sz w:val="24"/>
          <w:szCs w:val="24"/>
        </w:rPr>
        <w:t xml:space="preserve"> koj</w:t>
      </w:r>
      <w:r>
        <w:rPr>
          <w:sz w:val="24"/>
          <w:szCs w:val="24"/>
        </w:rPr>
        <w:t>ima se</w:t>
      </w:r>
      <w:r w:rsidRPr="0004221B">
        <w:rPr>
          <w:sz w:val="24"/>
          <w:szCs w:val="24"/>
        </w:rPr>
        <w:t xml:space="preserve"> odgovara</w:t>
      </w:r>
      <w:r>
        <w:rPr>
          <w:sz w:val="24"/>
          <w:szCs w:val="24"/>
        </w:rPr>
        <w:t xml:space="preserve"> na</w:t>
      </w:r>
      <w:r w:rsidRPr="0004221B">
        <w:rPr>
          <w:sz w:val="24"/>
          <w:szCs w:val="24"/>
        </w:rPr>
        <w:t xml:space="preserve"> </w:t>
      </w:r>
      <w:r>
        <w:rPr>
          <w:sz w:val="24"/>
          <w:szCs w:val="24"/>
        </w:rPr>
        <w:lastRenderedPageBreak/>
        <w:t xml:space="preserve">stvarne </w:t>
      </w:r>
      <w:r w:rsidRPr="0004221B">
        <w:rPr>
          <w:sz w:val="24"/>
          <w:szCs w:val="24"/>
        </w:rPr>
        <w:t>potreb</w:t>
      </w:r>
      <w:r>
        <w:rPr>
          <w:sz w:val="24"/>
          <w:szCs w:val="24"/>
        </w:rPr>
        <w:t>e</w:t>
      </w:r>
      <w:r w:rsidRPr="0004221B">
        <w:rPr>
          <w:sz w:val="24"/>
          <w:szCs w:val="24"/>
        </w:rPr>
        <w:t xml:space="preserve"> mladih i poboljšava kvalitetu njihovog života,</w:t>
      </w:r>
      <w:r>
        <w:rPr>
          <w:sz w:val="24"/>
          <w:szCs w:val="24"/>
        </w:rPr>
        <w:t xml:space="preserve"> </w:t>
      </w:r>
      <w:r w:rsidRPr="0004221B">
        <w:rPr>
          <w:sz w:val="24"/>
          <w:szCs w:val="24"/>
          <w:lang w:eastAsia="hr-HR"/>
        </w:rPr>
        <w:t xml:space="preserve">u 2024. </w:t>
      </w:r>
      <w:r>
        <w:rPr>
          <w:sz w:val="24"/>
          <w:szCs w:val="24"/>
          <w:lang w:eastAsia="hr-HR"/>
        </w:rPr>
        <w:t>je nastavljena provedba</w:t>
      </w:r>
      <w:r w:rsidRPr="0004221B">
        <w:rPr>
          <w:sz w:val="24"/>
          <w:szCs w:val="24"/>
          <w:lang w:eastAsia="hr-HR"/>
        </w:rPr>
        <w:t xml:space="preserve"> projek</w:t>
      </w:r>
      <w:r>
        <w:rPr>
          <w:sz w:val="24"/>
          <w:szCs w:val="24"/>
          <w:lang w:eastAsia="hr-HR"/>
        </w:rPr>
        <w:t>a</w:t>
      </w:r>
      <w:r w:rsidRPr="0004221B">
        <w:rPr>
          <w:sz w:val="24"/>
          <w:szCs w:val="24"/>
          <w:lang w:eastAsia="hr-HR"/>
        </w:rPr>
        <w:t>t</w:t>
      </w:r>
      <w:r>
        <w:rPr>
          <w:sz w:val="24"/>
          <w:szCs w:val="24"/>
          <w:lang w:eastAsia="hr-HR"/>
        </w:rPr>
        <w:t>a</w:t>
      </w:r>
      <w:r w:rsidRPr="0004221B">
        <w:rPr>
          <w:sz w:val="24"/>
          <w:szCs w:val="24"/>
          <w:lang w:eastAsia="hr-HR"/>
        </w:rPr>
        <w:t xml:space="preserve"> ugovoreni</w:t>
      </w:r>
      <w:r>
        <w:rPr>
          <w:sz w:val="24"/>
          <w:szCs w:val="24"/>
          <w:lang w:eastAsia="hr-HR"/>
        </w:rPr>
        <w:t>h</w:t>
      </w:r>
      <w:r w:rsidRPr="0004221B">
        <w:rPr>
          <w:sz w:val="24"/>
          <w:szCs w:val="24"/>
          <w:lang w:eastAsia="hr-HR"/>
        </w:rPr>
        <w:t xml:space="preserve"> temeljem Poziva </w:t>
      </w:r>
      <w:r>
        <w:rPr>
          <w:sz w:val="24"/>
          <w:szCs w:val="24"/>
          <w:lang w:eastAsia="hr-HR"/>
        </w:rPr>
        <w:t>iz prethodne godine</w:t>
      </w:r>
      <w:r w:rsidRPr="0004221B">
        <w:rPr>
          <w:sz w:val="24"/>
          <w:szCs w:val="24"/>
          <w:lang w:eastAsia="hr-HR"/>
        </w:rPr>
        <w:t xml:space="preserve">, a </w:t>
      </w:r>
      <w:r>
        <w:rPr>
          <w:sz w:val="24"/>
          <w:szCs w:val="24"/>
          <w:lang w:eastAsia="hr-HR"/>
        </w:rPr>
        <w:t>u okviru kojeg</w:t>
      </w:r>
      <w:r w:rsidRPr="0004221B">
        <w:rPr>
          <w:sz w:val="24"/>
          <w:szCs w:val="24"/>
          <w:lang w:eastAsia="hr-HR"/>
        </w:rPr>
        <w:t xml:space="preserve"> je </w:t>
      </w:r>
      <w:r>
        <w:rPr>
          <w:sz w:val="24"/>
          <w:szCs w:val="24"/>
          <w:lang w:eastAsia="hr-HR"/>
        </w:rPr>
        <w:t>osigurano</w:t>
      </w:r>
      <w:r w:rsidRPr="0004221B">
        <w:rPr>
          <w:sz w:val="24"/>
          <w:szCs w:val="24"/>
          <w:lang w:eastAsia="hr-HR"/>
        </w:rPr>
        <w:t xml:space="preserve"> ukupno 1,8 milijuna eura </w:t>
      </w:r>
      <w:r>
        <w:rPr>
          <w:sz w:val="24"/>
          <w:szCs w:val="24"/>
          <w:lang w:eastAsia="hr-HR"/>
        </w:rPr>
        <w:t xml:space="preserve">potpore </w:t>
      </w:r>
      <w:r w:rsidRPr="0004221B">
        <w:rPr>
          <w:sz w:val="24"/>
          <w:szCs w:val="24"/>
          <w:lang w:eastAsia="hr-HR"/>
        </w:rPr>
        <w:t>za 117 projekata udruga mladih i za mlade. Provedba projekata</w:t>
      </w:r>
      <w:r>
        <w:rPr>
          <w:sz w:val="24"/>
          <w:szCs w:val="24"/>
          <w:lang w:eastAsia="hr-HR"/>
        </w:rPr>
        <w:t xml:space="preserve"> </w:t>
      </w:r>
      <w:r w:rsidRPr="0004221B">
        <w:rPr>
          <w:sz w:val="24"/>
          <w:szCs w:val="24"/>
          <w:lang w:eastAsia="hr-HR"/>
        </w:rPr>
        <w:t>usmjerena je na područja aktivnog sudjelovanja mladih u društvu, savjetovanja i informiranja,</w:t>
      </w:r>
      <w:r>
        <w:rPr>
          <w:sz w:val="24"/>
          <w:szCs w:val="24"/>
          <w:lang w:eastAsia="hr-HR"/>
        </w:rPr>
        <w:t xml:space="preserve"> </w:t>
      </w:r>
      <w:r w:rsidRPr="0004221B">
        <w:rPr>
          <w:sz w:val="24"/>
          <w:szCs w:val="24"/>
          <w:lang w:eastAsia="hr-HR"/>
        </w:rPr>
        <w:t>poboljšanja položaja mladih u ruralnim sredinama te prevencije nasilja i ovisnosti medu mladima.</w:t>
      </w:r>
    </w:p>
    <w:p w14:paraId="4749AB0D" w14:textId="77777777" w:rsidR="00FB178A" w:rsidRPr="00330E32" w:rsidRDefault="00FB178A" w:rsidP="00FB178A">
      <w:pPr>
        <w:spacing w:after="240" w:line="276" w:lineRule="auto"/>
        <w:ind w:firstLine="709"/>
        <w:rPr>
          <w:lang w:eastAsia="en-GB"/>
        </w:rPr>
      </w:pPr>
      <w:r w:rsidRPr="0004221B">
        <w:rPr>
          <w:b/>
          <w:bCs/>
          <w:sz w:val="24"/>
          <w:szCs w:val="24"/>
          <w:lang w:eastAsia="en-GB"/>
        </w:rPr>
        <w:t>Jačanje</w:t>
      </w:r>
      <w:r w:rsidRPr="0004221B">
        <w:rPr>
          <w:sz w:val="24"/>
          <w:szCs w:val="24"/>
          <w:lang w:eastAsia="en-GB"/>
        </w:rPr>
        <w:t xml:space="preserve"> </w:t>
      </w:r>
      <w:r w:rsidRPr="0004221B">
        <w:rPr>
          <w:b/>
          <w:bCs/>
          <w:sz w:val="24"/>
          <w:szCs w:val="24"/>
          <w:lang w:eastAsia="en-GB"/>
        </w:rPr>
        <w:t>povezanosti s Hrvatima izvan Hrvatske i povratak hrvatskog iseljeništva</w:t>
      </w:r>
      <w:r w:rsidRPr="0004221B">
        <w:rPr>
          <w:sz w:val="24"/>
          <w:szCs w:val="24"/>
          <w:lang w:eastAsia="en-GB"/>
        </w:rPr>
        <w:t> </w:t>
      </w:r>
    </w:p>
    <w:p w14:paraId="7033F693" w14:textId="77777777" w:rsidR="00FB178A" w:rsidRPr="007A2710" w:rsidRDefault="00FB178A" w:rsidP="00FB178A">
      <w:pPr>
        <w:widowControl/>
        <w:autoSpaceDE/>
        <w:autoSpaceDN/>
        <w:spacing w:after="240" w:line="276" w:lineRule="auto"/>
        <w:ind w:firstLine="709"/>
        <w:jc w:val="both"/>
        <w:rPr>
          <w:rFonts w:eastAsia="Calibri"/>
          <w:sz w:val="24"/>
          <w:szCs w:val="24"/>
        </w:rPr>
      </w:pPr>
      <w:bookmarkStart w:id="83" w:name="_Toc133420958"/>
      <w:r w:rsidRPr="007A2710">
        <w:rPr>
          <w:rFonts w:eastAsia="Calibri"/>
          <w:sz w:val="24"/>
          <w:szCs w:val="24"/>
        </w:rPr>
        <w:t xml:space="preserve">U skladu s brojnim prioritetima provedbe politike na prioritetnom području jačanja povezanosti s Hrvatima izvan Hrvatske i povratku hrvatskog iseljeništva, tijekom izvještajnog razdoblja provodio se niz komplementarnih aktivnosti </w:t>
      </w:r>
      <w:r>
        <w:rPr>
          <w:rFonts w:eastAsia="Calibri"/>
          <w:sz w:val="24"/>
          <w:szCs w:val="24"/>
        </w:rPr>
        <w:t xml:space="preserve">u suradnji </w:t>
      </w:r>
      <w:r w:rsidRPr="007A2710">
        <w:rPr>
          <w:rFonts w:eastAsia="Calibri"/>
          <w:sz w:val="24"/>
          <w:szCs w:val="24"/>
        </w:rPr>
        <w:t>više tijela državne uprave kojima se jača povezanost Hrvatske s Hrvatima izvan Hrvatske i potiče povratak hrvatskih iseljenika i njihovih potomaka</w:t>
      </w:r>
      <w:r>
        <w:rPr>
          <w:rFonts w:eastAsia="Calibri"/>
          <w:sz w:val="24"/>
          <w:szCs w:val="24"/>
        </w:rPr>
        <w:t xml:space="preserve"> u Hrvatsku</w:t>
      </w:r>
      <w:r w:rsidRPr="007A2710">
        <w:rPr>
          <w:rFonts w:eastAsia="Calibri"/>
          <w:sz w:val="24"/>
          <w:szCs w:val="24"/>
        </w:rPr>
        <w:t>. Kombinacijom provedbe svih</w:t>
      </w:r>
      <w:r>
        <w:rPr>
          <w:rFonts w:eastAsia="Calibri"/>
          <w:sz w:val="24"/>
          <w:szCs w:val="24"/>
        </w:rPr>
        <w:t xml:space="preserve"> mjera i</w:t>
      </w:r>
      <w:r w:rsidRPr="007A2710">
        <w:rPr>
          <w:rFonts w:eastAsia="Calibri"/>
          <w:sz w:val="24"/>
          <w:szCs w:val="24"/>
        </w:rPr>
        <w:t xml:space="preserve"> aktivnosti u </w:t>
      </w:r>
      <w:r>
        <w:rPr>
          <w:rFonts w:eastAsia="Calibri"/>
          <w:sz w:val="24"/>
          <w:szCs w:val="24"/>
        </w:rPr>
        <w:t xml:space="preserve">okviru </w:t>
      </w:r>
      <w:r w:rsidRPr="0083656B">
        <w:rPr>
          <w:rFonts w:eastAsia="Calibri"/>
          <w:sz w:val="24"/>
          <w:szCs w:val="24"/>
        </w:rPr>
        <w:t>Nacionalnog plana razvoja odnosa Republike Hrvatske s Hrvatima izvan Republike Hrvatske do 2027.</w:t>
      </w:r>
      <w:r w:rsidRPr="007A2710">
        <w:rPr>
          <w:rFonts w:eastAsia="Calibri"/>
          <w:sz w:val="24"/>
          <w:szCs w:val="24"/>
        </w:rPr>
        <w:t>, ostvareni su pozitivni po</w:t>
      </w:r>
      <w:r>
        <w:rPr>
          <w:rFonts w:eastAsia="Calibri"/>
          <w:sz w:val="24"/>
          <w:szCs w:val="24"/>
        </w:rPr>
        <w:t xml:space="preserve">maci u jačanju povezanosti s Hrvatima izvan Hrvatske te poticanju njihova povratka u Hrvatsku. </w:t>
      </w:r>
      <w:r w:rsidRPr="007A2710">
        <w:rPr>
          <w:rFonts w:eastAsia="Calibri"/>
          <w:sz w:val="24"/>
          <w:szCs w:val="24"/>
        </w:rPr>
        <w:t xml:space="preserve"> </w:t>
      </w:r>
    </w:p>
    <w:p w14:paraId="148751FA" w14:textId="77777777" w:rsidR="00FB178A" w:rsidRPr="007A2710" w:rsidRDefault="00FB178A" w:rsidP="00FB178A">
      <w:pPr>
        <w:widowControl/>
        <w:autoSpaceDE/>
        <w:autoSpaceDN/>
        <w:spacing w:after="160" w:line="276" w:lineRule="auto"/>
        <w:jc w:val="both"/>
        <w:rPr>
          <w:rFonts w:eastAsia="Calibri"/>
          <w:sz w:val="24"/>
          <w:szCs w:val="24"/>
        </w:rPr>
      </w:pPr>
      <w:r w:rsidRPr="004D294C">
        <w:rPr>
          <w:rFonts w:eastAsia="Calibri"/>
          <w:sz w:val="24"/>
          <w:szCs w:val="24"/>
        </w:rPr>
        <w:t xml:space="preserve">U skladu s Nacionalnim planom razvoja odnosa Republike Hrvatske s Hrvatima izvan Republike Hrvatske do 2027. godine, politike jačanja povezanosti s iseljeništvom i poticanja povratka hrvatskih državljana temelje se na očuvanju i razvoju kulturnog i nacionalnog identiteta Hrvata izvan domovine. </w:t>
      </w:r>
      <w:r>
        <w:rPr>
          <w:rFonts w:eastAsia="Calibri"/>
          <w:sz w:val="24"/>
          <w:szCs w:val="24"/>
        </w:rPr>
        <w:t>S tim</w:t>
      </w:r>
      <w:r w:rsidRPr="004D294C">
        <w:rPr>
          <w:rFonts w:eastAsia="Calibri"/>
          <w:sz w:val="24"/>
          <w:szCs w:val="24"/>
        </w:rPr>
        <w:t xml:space="preserve"> cilj</w:t>
      </w:r>
      <w:r>
        <w:rPr>
          <w:rFonts w:eastAsia="Calibri"/>
          <w:sz w:val="24"/>
          <w:szCs w:val="24"/>
        </w:rPr>
        <w:t>em je</w:t>
      </w:r>
      <w:r w:rsidRPr="004D294C">
        <w:rPr>
          <w:rFonts w:eastAsia="Calibri"/>
          <w:sz w:val="24"/>
          <w:szCs w:val="24"/>
        </w:rPr>
        <w:t xml:space="preserve"> tijekom 2024. putem javnih natječaja sufinancirana provedba 581 projekta organizacija izvan Hrvatske, ponajprije u području kulture, čime se osnažuje očuvanje hrvatskog identiteta, potiče razvoj i razmjena kulturnog stvaralaštva te promiče hrvatska kultura i tradicija u inozemstvu. Važnu ulogu u očuvanju identiteta imaju i programi učenja i poučavanja hrvatskoga jezika od predškolske do visokoškolske razine</w:t>
      </w:r>
      <w:r>
        <w:rPr>
          <w:rFonts w:eastAsia="Calibri"/>
          <w:sz w:val="24"/>
          <w:szCs w:val="24"/>
        </w:rPr>
        <w:t xml:space="preserve"> te je</w:t>
      </w:r>
      <w:r w:rsidRPr="004D294C">
        <w:rPr>
          <w:rFonts w:eastAsia="Calibri"/>
          <w:sz w:val="24"/>
          <w:szCs w:val="24"/>
        </w:rPr>
        <w:t xml:space="preserve"> nastavu hrvatskog jezika u školama i lektoratima u inozemstvu tijekom 2024. pohađalo 6.218 učenika i studenata, </w:t>
      </w:r>
      <w:r>
        <w:rPr>
          <w:rFonts w:eastAsia="Calibri"/>
          <w:sz w:val="24"/>
          <w:szCs w:val="24"/>
        </w:rPr>
        <w:t xml:space="preserve">a </w:t>
      </w:r>
      <w:r w:rsidRPr="004D294C">
        <w:rPr>
          <w:rFonts w:eastAsia="Calibri"/>
          <w:sz w:val="24"/>
          <w:szCs w:val="24"/>
        </w:rPr>
        <w:t xml:space="preserve">otvoreno je </w:t>
      </w:r>
      <w:r>
        <w:rPr>
          <w:rFonts w:eastAsia="Calibri"/>
          <w:sz w:val="24"/>
          <w:szCs w:val="24"/>
        </w:rPr>
        <w:t xml:space="preserve">i </w:t>
      </w:r>
      <w:r w:rsidRPr="004D294C">
        <w:rPr>
          <w:rFonts w:eastAsia="Calibri"/>
          <w:sz w:val="24"/>
          <w:szCs w:val="24"/>
        </w:rPr>
        <w:t>sedam novih nastavnih mjesta za učenje hrvatskog jezika</w:t>
      </w:r>
      <w:r>
        <w:rPr>
          <w:rFonts w:eastAsia="Calibri"/>
          <w:sz w:val="24"/>
          <w:szCs w:val="24"/>
        </w:rPr>
        <w:t>. Istovremeno,</w:t>
      </w:r>
      <w:r w:rsidRPr="004D294C">
        <w:rPr>
          <w:rFonts w:eastAsia="Calibri"/>
          <w:sz w:val="24"/>
          <w:szCs w:val="24"/>
        </w:rPr>
        <w:t xml:space="preserve"> objavljen je javni natječaj za stipendiranje učenja hrvatskog jezika u šest gradova u Hrvatskoj, a pravo na pohađanje sveučilišnih tečajeva ostvarilo je 300 polaznika. Dodatno, internetskim tečajevima hrvatskog jezika (razine A1 i A2), koji su trajno dostupni i besplatni, od njihovog uvođenja pa do kraja 2024. pristupilo je više od 27.000 polaznika izvan Hrvatske, čime se znatno širi dostupnost učenja jezika bez obzira na zemljopisnu udaljenost.</w:t>
      </w:r>
      <w:r>
        <w:rPr>
          <w:rFonts w:eastAsia="Calibri"/>
          <w:sz w:val="24"/>
          <w:szCs w:val="24"/>
        </w:rPr>
        <w:t xml:space="preserve"> </w:t>
      </w:r>
      <w:r w:rsidRPr="004D294C">
        <w:rPr>
          <w:rFonts w:eastAsia="Calibri"/>
          <w:sz w:val="24"/>
          <w:szCs w:val="24"/>
        </w:rPr>
        <w:t xml:space="preserve">Navedene aktivnosti nadopunjuju se mjerama usmjerenima na poticanje povratka i trajnog zadržavanja hrvatskih iseljenika i njihovih potomaka u Hrvatskoj, uključujući programe stipendiranja, posebne upisne kvote na visokim učilištima </w:t>
      </w:r>
      <w:r>
        <w:rPr>
          <w:rFonts w:eastAsia="Calibri"/>
          <w:sz w:val="24"/>
          <w:szCs w:val="24"/>
        </w:rPr>
        <w:t xml:space="preserve">u Hrvatskoj </w:t>
      </w:r>
      <w:r w:rsidRPr="004D294C">
        <w:rPr>
          <w:rFonts w:eastAsia="Calibri"/>
          <w:sz w:val="24"/>
          <w:szCs w:val="24"/>
        </w:rPr>
        <w:t>za pripadnike hrvatske nacionalne manjine i iseljeništva te projekte usmjerene integraciji povratnika u obrazovni, gospodarski i društveni život. Time se istodobno jača veza domovinske i iseljene Hrvatske te stvaraju preduvjeti za dugoročnu demografsku, društvenu i gospodarsku revitalizaciju</w:t>
      </w:r>
      <w:r>
        <w:rPr>
          <w:rFonts w:eastAsia="Calibri"/>
          <w:sz w:val="24"/>
          <w:szCs w:val="24"/>
        </w:rPr>
        <w:t>.</w:t>
      </w:r>
    </w:p>
    <w:p w14:paraId="26609EF1" w14:textId="77777777" w:rsidR="00FB178A" w:rsidRDefault="00FB178A" w:rsidP="00FB178A">
      <w:pPr>
        <w:widowControl/>
        <w:autoSpaceDE/>
        <w:autoSpaceDN/>
        <w:spacing w:after="160" w:line="276" w:lineRule="auto"/>
        <w:jc w:val="both"/>
        <w:rPr>
          <w:rFonts w:eastAsia="Calibri"/>
          <w:sz w:val="24"/>
          <w:szCs w:val="24"/>
        </w:rPr>
      </w:pPr>
      <w:r>
        <w:rPr>
          <w:rFonts w:eastAsia="Calibri"/>
          <w:sz w:val="24"/>
          <w:szCs w:val="24"/>
        </w:rPr>
        <w:t>Nastavak u</w:t>
      </w:r>
      <w:r w:rsidRPr="00BD23DF">
        <w:rPr>
          <w:rFonts w:eastAsia="Calibri"/>
          <w:sz w:val="24"/>
          <w:szCs w:val="24"/>
        </w:rPr>
        <w:t>spješn</w:t>
      </w:r>
      <w:r>
        <w:rPr>
          <w:rFonts w:eastAsia="Calibri"/>
          <w:sz w:val="24"/>
          <w:szCs w:val="24"/>
        </w:rPr>
        <w:t>e</w:t>
      </w:r>
      <w:r w:rsidRPr="00BD23DF">
        <w:rPr>
          <w:rFonts w:eastAsia="Calibri"/>
          <w:sz w:val="24"/>
          <w:szCs w:val="24"/>
        </w:rPr>
        <w:t xml:space="preserve"> provedb</w:t>
      </w:r>
      <w:r>
        <w:rPr>
          <w:rFonts w:eastAsia="Calibri"/>
          <w:sz w:val="24"/>
          <w:szCs w:val="24"/>
        </w:rPr>
        <w:t>e</w:t>
      </w:r>
      <w:r w:rsidRPr="00BD23DF">
        <w:rPr>
          <w:rFonts w:eastAsia="Calibri"/>
          <w:sz w:val="24"/>
          <w:szCs w:val="24"/>
        </w:rPr>
        <w:t xml:space="preserve"> većine mjera povezanih s jačanjem povezanosti s Hrvatima izvan Republike Hrvatske odra</w:t>
      </w:r>
      <w:r>
        <w:rPr>
          <w:rFonts w:eastAsia="Calibri"/>
          <w:sz w:val="24"/>
          <w:szCs w:val="24"/>
        </w:rPr>
        <w:t xml:space="preserve">žava </w:t>
      </w:r>
      <w:r w:rsidRPr="00BD23DF">
        <w:rPr>
          <w:rFonts w:eastAsia="Calibri"/>
          <w:sz w:val="24"/>
          <w:szCs w:val="24"/>
        </w:rPr>
        <w:t>se i na značajan porast broja osoba iz iseljeništva i hrvatskih zajednica u inozemstvu koje stječu hrvatsko državljanstvo</w:t>
      </w:r>
      <w:r>
        <w:rPr>
          <w:rFonts w:eastAsia="Calibri"/>
          <w:sz w:val="24"/>
          <w:szCs w:val="24"/>
        </w:rPr>
        <w:t xml:space="preserve"> te je u</w:t>
      </w:r>
      <w:r w:rsidRPr="00BD23DF">
        <w:rPr>
          <w:rFonts w:eastAsia="Calibri"/>
          <w:sz w:val="24"/>
          <w:szCs w:val="24"/>
        </w:rPr>
        <w:t xml:space="preserve"> 2024. novoprimljeno 6.810 osoba na temelju članaka 11. i 16. Zakona o hrvatskom državljanstvu</w:t>
      </w:r>
      <w:r>
        <w:rPr>
          <w:rFonts w:eastAsia="Calibri"/>
          <w:sz w:val="24"/>
          <w:szCs w:val="24"/>
        </w:rPr>
        <w:t xml:space="preserve"> („Narodne novine“, br. 53/</w:t>
      </w:r>
      <w:r w:rsidRPr="00621203">
        <w:rPr>
          <w:rFonts w:eastAsia="Calibri"/>
          <w:sz w:val="24"/>
          <w:szCs w:val="24"/>
        </w:rPr>
        <w:t>91</w:t>
      </w:r>
      <w:r>
        <w:rPr>
          <w:rFonts w:eastAsia="Calibri"/>
          <w:sz w:val="24"/>
          <w:szCs w:val="24"/>
        </w:rPr>
        <w:t>., 70/</w:t>
      </w:r>
      <w:r w:rsidRPr="00621203">
        <w:rPr>
          <w:rFonts w:eastAsia="Calibri"/>
          <w:sz w:val="24"/>
          <w:szCs w:val="24"/>
        </w:rPr>
        <w:t>91</w:t>
      </w:r>
      <w:r>
        <w:rPr>
          <w:rFonts w:eastAsia="Calibri"/>
          <w:sz w:val="24"/>
          <w:szCs w:val="24"/>
        </w:rPr>
        <w:t>. - ispravak, 28/</w:t>
      </w:r>
      <w:r w:rsidRPr="00621203">
        <w:rPr>
          <w:rFonts w:eastAsia="Calibri"/>
          <w:sz w:val="24"/>
          <w:szCs w:val="24"/>
        </w:rPr>
        <w:t>92</w:t>
      </w:r>
      <w:r>
        <w:rPr>
          <w:rFonts w:eastAsia="Calibri"/>
          <w:sz w:val="24"/>
          <w:szCs w:val="24"/>
        </w:rPr>
        <w:t>., 113/</w:t>
      </w:r>
      <w:r w:rsidRPr="00621203">
        <w:rPr>
          <w:rFonts w:eastAsia="Calibri"/>
          <w:sz w:val="24"/>
          <w:szCs w:val="24"/>
        </w:rPr>
        <w:t>93</w:t>
      </w:r>
      <w:r>
        <w:rPr>
          <w:rFonts w:eastAsia="Calibri"/>
          <w:sz w:val="24"/>
          <w:szCs w:val="24"/>
        </w:rPr>
        <w:t>. – Odluka Ustavnog suda Republike Hrvatske, 4/</w:t>
      </w:r>
      <w:r w:rsidRPr="00621203">
        <w:rPr>
          <w:rFonts w:eastAsia="Calibri"/>
          <w:sz w:val="24"/>
          <w:szCs w:val="24"/>
        </w:rPr>
        <w:t>94</w:t>
      </w:r>
      <w:r>
        <w:rPr>
          <w:rFonts w:eastAsia="Calibri"/>
          <w:sz w:val="24"/>
          <w:szCs w:val="24"/>
        </w:rPr>
        <w:t xml:space="preserve">. – ispravak </w:t>
      </w:r>
      <w:r>
        <w:rPr>
          <w:rFonts w:eastAsia="Calibri"/>
          <w:sz w:val="24"/>
          <w:szCs w:val="24"/>
        </w:rPr>
        <w:lastRenderedPageBreak/>
        <w:t>Odluke Ustavnog suda Republike Hrvatske, 130/</w:t>
      </w:r>
      <w:r w:rsidRPr="00621203">
        <w:rPr>
          <w:rFonts w:eastAsia="Calibri"/>
          <w:sz w:val="24"/>
          <w:szCs w:val="24"/>
        </w:rPr>
        <w:t>11</w:t>
      </w:r>
      <w:r>
        <w:rPr>
          <w:rFonts w:eastAsia="Calibri"/>
          <w:sz w:val="24"/>
          <w:szCs w:val="24"/>
        </w:rPr>
        <w:t>., 110/</w:t>
      </w:r>
      <w:r w:rsidRPr="00621203">
        <w:rPr>
          <w:rFonts w:eastAsia="Calibri"/>
          <w:sz w:val="24"/>
          <w:szCs w:val="24"/>
        </w:rPr>
        <w:t>15</w:t>
      </w:r>
      <w:r>
        <w:rPr>
          <w:rFonts w:eastAsia="Calibri"/>
          <w:sz w:val="24"/>
          <w:szCs w:val="24"/>
        </w:rPr>
        <w:t>., 102/</w:t>
      </w:r>
      <w:r w:rsidRPr="00621203">
        <w:rPr>
          <w:rFonts w:eastAsia="Calibri"/>
          <w:sz w:val="24"/>
          <w:szCs w:val="24"/>
        </w:rPr>
        <w:t>19</w:t>
      </w:r>
      <w:r>
        <w:rPr>
          <w:rFonts w:eastAsia="Calibri"/>
          <w:sz w:val="24"/>
          <w:szCs w:val="24"/>
        </w:rPr>
        <w:t>. i 138/</w:t>
      </w:r>
      <w:r w:rsidRPr="00621203">
        <w:rPr>
          <w:rFonts w:eastAsia="Calibri"/>
          <w:sz w:val="24"/>
          <w:szCs w:val="24"/>
        </w:rPr>
        <w:t>21</w:t>
      </w:r>
      <w:r>
        <w:rPr>
          <w:rFonts w:eastAsia="Calibri"/>
          <w:sz w:val="24"/>
          <w:szCs w:val="24"/>
        </w:rPr>
        <w:t>.)</w:t>
      </w:r>
      <w:r w:rsidRPr="00BD23DF">
        <w:rPr>
          <w:rFonts w:eastAsia="Calibri"/>
          <w:sz w:val="24"/>
          <w:szCs w:val="24"/>
        </w:rPr>
        <w:t>. Dodatno, na snažno produbljivanje veza s dijasporom upućuje i podatak da je tijekom 202</w:t>
      </w:r>
      <w:r>
        <w:rPr>
          <w:rFonts w:eastAsia="Calibri"/>
          <w:sz w:val="24"/>
          <w:szCs w:val="24"/>
        </w:rPr>
        <w:t>4</w:t>
      </w:r>
      <w:r w:rsidRPr="00BD23DF">
        <w:rPr>
          <w:rFonts w:eastAsia="Calibri"/>
          <w:sz w:val="24"/>
          <w:szCs w:val="24"/>
        </w:rPr>
        <w:t>. kroz sve sufinancirane projekte bilo obuhvaćeno oko 657</w:t>
      </w:r>
      <w:r>
        <w:rPr>
          <w:rFonts w:eastAsia="Calibri"/>
          <w:sz w:val="24"/>
          <w:szCs w:val="24"/>
        </w:rPr>
        <w:t>.000</w:t>
      </w:r>
      <w:r w:rsidRPr="00BD23DF">
        <w:rPr>
          <w:rFonts w:eastAsia="Calibri"/>
          <w:sz w:val="24"/>
          <w:szCs w:val="24"/>
        </w:rPr>
        <w:t xml:space="preserve"> krajnjih korisnika</w:t>
      </w:r>
      <w:r>
        <w:rPr>
          <w:rFonts w:eastAsia="Calibri"/>
          <w:sz w:val="24"/>
          <w:szCs w:val="24"/>
        </w:rPr>
        <w:t xml:space="preserve"> (640.000 u 2023.),</w:t>
      </w:r>
      <w:r w:rsidRPr="00BD23DF">
        <w:rPr>
          <w:rFonts w:eastAsia="Calibri"/>
          <w:sz w:val="24"/>
          <w:szCs w:val="24"/>
        </w:rPr>
        <w:t xml:space="preserve"> Hrvata izvan Hrvatske, što potvrđuje širok doseg i učinke provedenih programa. Poticanje dolaska mladih naraštaja iz iseljeništva u Hrvatsku, njihova integracija te uključivanje u obrazovni sustav nastavilo se i 2024. kroz organizirani boravak i programe učenja hrvatskog jezika u šest hrvatskih gradova, u sklopu kojih je dodijeljeno ukupno 500 stipendija. U odnosu na prethodnu akademsku godinu, iznos mjesečne stipendije povećan je sa 110</w:t>
      </w:r>
      <w:r>
        <w:rPr>
          <w:rFonts w:eastAsia="Calibri"/>
          <w:sz w:val="24"/>
          <w:szCs w:val="24"/>
        </w:rPr>
        <w:t>,00</w:t>
      </w:r>
      <w:r w:rsidRPr="00BD23DF">
        <w:rPr>
          <w:rFonts w:eastAsia="Calibri"/>
          <w:sz w:val="24"/>
          <w:szCs w:val="24"/>
        </w:rPr>
        <w:t xml:space="preserve"> na 300</w:t>
      </w:r>
      <w:r>
        <w:rPr>
          <w:rFonts w:eastAsia="Calibri"/>
          <w:sz w:val="24"/>
          <w:szCs w:val="24"/>
        </w:rPr>
        <w:t>,00</w:t>
      </w:r>
      <w:r w:rsidRPr="00BD23DF">
        <w:rPr>
          <w:rFonts w:eastAsia="Calibri"/>
          <w:sz w:val="24"/>
          <w:szCs w:val="24"/>
        </w:rPr>
        <w:t xml:space="preserve"> eura, čime se dodatno jača motivacija za dolazak, učenje jezika, studij i dugoročno vezivanje mladih pripadnika hrvatskog iseljeništva uz Republiku Hrvatsku.</w:t>
      </w:r>
    </w:p>
    <w:p w14:paraId="63BE4317" w14:textId="77777777" w:rsidR="00FB178A" w:rsidRPr="00467DA1" w:rsidRDefault="00FB178A" w:rsidP="00FB178A">
      <w:pPr>
        <w:widowControl/>
        <w:autoSpaceDE/>
        <w:autoSpaceDN/>
        <w:spacing w:after="160" w:line="276" w:lineRule="auto"/>
        <w:jc w:val="both"/>
        <w:rPr>
          <w:rFonts w:eastAsia="Calibri"/>
          <w:sz w:val="24"/>
          <w:szCs w:val="24"/>
        </w:rPr>
      </w:pPr>
      <w:r w:rsidRPr="00467DA1">
        <w:rPr>
          <w:rFonts w:eastAsia="Calibri"/>
          <w:sz w:val="24"/>
          <w:szCs w:val="24"/>
        </w:rPr>
        <w:t>Napori usmjereni na povratak hrvatskog iseljeništva (dijaspore) i njihovih potomaka u Hrvatsku, tijekom 2024. su uspješno nastavljeni pod nadležnosti novoosnovanog Ministarstva demografije i useljeništva, uz uspješnu provedbu postavljenih ciljeva. U Hrvatsku se prema podacima DZS-a tijekom 2024. doselilo 13.</w:t>
      </w:r>
      <w:r>
        <w:rPr>
          <w:rFonts w:eastAsia="Calibri"/>
          <w:sz w:val="24"/>
          <w:szCs w:val="24"/>
        </w:rPr>
        <w:t>290</w:t>
      </w:r>
      <w:r w:rsidRPr="00467DA1">
        <w:rPr>
          <w:rFonts w:eastAsia="Calibri"/>
          <w:sz w:val="24"/>
          <w:szCs w:val="24"/>
        </w:rPr>
        <w:t xml:space="preserve"> hrvatskih državljana, čime je dostignuta planirana vrijednost za 2027. Posebna pozornost posvećena je stvaranju povoljnijeg pravnog i administrativnog okvira za povratnike kroz </w:t>
      </w:r>
      <w:r>
        <w:rPr>
          <w:rFonts w:eastAsia="Calibri"/>
          <w:sz w:val="24"/>
          <w:szCs w:val="24"/>
        </w:rPr>
        <w:t xml:space="preserve">Zakon o </w:t>
      </w:r>
      <w:r w:rsidRPr="00467DA1">
        <w:rPr>
          <w:rFonts w:eastAsia="Calibri"/>
          <w:sz w:val="24"/>
          <w:szCs w:val="24"/>
        </w:rPr>
        <w:t>izmjen</w:t>
      </w:r>
      <w:r>
        <w:rPr>
          <w:rFonts w:eastAsia="Calibri"/>
          <w:sz w:val="24"/>
          <w:szCs w:val="24"/>
        </w:rPr>
        <w:t>ama</w:t>
      </w:r>
      <w:r w:rsidRPr="00467DA1">
        <w:rPr>
          <w:rFonts w:eastAsia="Calibri"/>
          <w:sz w:val="24"/>
          <w:szCs w:val="24"/>
        </w:rPr>
        <w:t xml:space="preserve"> </w:t>
      </w:r>
      <w:r>
        <w:rPr>
          <w:rFonts w:eastAsia="Calibri"/>
          <w:sz w:val="24"/>
          <w:szCs w:val="24"/>
        </w:rPr>
        <w:t xml:space="preserve">i dopunama </w:t>
      </w:r>
      <w:r w:rsidRPr="00467DA1">
        <w:rPr>
          <w:rFonts w:eastAsia="Calibri"/>
          <w:sz w:val="24"/>
          <w:szCs w:val="24"/>
        </w:rPr>
        <w:t>Zakona o strancima</w:t>
      </w:r>
      <w:r>
        <w:rPr>
          <w:rFonts w:eastAsia="Calibri"/>
          <w:sz w:val="24"/>
          <w:szCs w:val="24"/>
        </w:rPr>
        <w:t xml:space="preserve"> („Narodne novine“, broj </w:t>
      </w:r>
      <w:r w:rsidRPr="008F7DFA">
        <w:rPr>
          <w:rFonts w:eastAsia="Calibri"/>
          <w:sz w:val="24"/>
          <w:szCs w:val="24"/>
        </w:rPr>
        <w:t>40/25</w:t>
      </w:r>
      <w:r>
        <w:rPr>
          <w:rFonts w:eastAsia="Calibri"/>
          <w:sz w:val="24"/>
          <w:szCs w:val="24"/>
        </w:rPr>
        <w:t>.)</w:t>
      </w:r>
      <w:r w:rsidRPr="00467DA1">
        <w:rPr>
          <w:rFonts w:eastAsia="Calibri"/>
          <w:sz w:val="24"/>
          <w:szCs w:val="24"/>
        </w:rPr>
        <w:t xml:space="preserve"> i </w:t>
      </w:r>
      <w:r>
        <w:rPr>
          <w:rFonts w:eastAsia="Calibri"/>
          <w:sz w:val="24"/>
          <w:szCs w:val="24"/>
        </w:rPr>
        <w:t xml:space="preserve">Zakon o izmjenama i dopunama </w:t>
      </w:r>
      <w:r w:rsidRPr="00467DA1">
        <w:rPr>
          <w:rFonts w:eastAsia="Calibri"/>
          <w:sz w:val="24"/>
          <w:szCs w:val="24"/>
        </w:rPr>
        <w:t>Zakona o porezu na dohodak</w:t>
      </w:r>
      <w:r>
        <w:rPr>
          <w:rFonts w:eastAsia="Calibri"/>
          <w:sz w:val="24"/>
          <w:szCs w:val="24"/>
        </w:rPr>
        <w:t xml:space="preserve"> („Narodne novine“, broj 152/24.)</w:t>
      </w:r>
      <w:r w:rsidRPr="00467DA1">
        <w:rPr>
          <w:rFonts w:eastAsia="Calibri"/>
          <w:sz w:val="24"/>
          <w:szCs w:val="24"/>
        </w:rPr>
        <w:t xml:space="preserve">. Dodatno, finalizirani su pregovori o sklapanju međudržavnih sporazuma o socijalnoj sigurnosti s Argentinom i Čileom, čime bi se trebao olakšati prijenos socijalnih, mirovinskih i zdravstvenih prava te tako olakšati i potaknuti pripadnike dijaspore na odluku o useljavanju u Hrvatsku. Za povratnike i useljenike koji su već u Hrvatskoj, organizirane su edukacije i radionice na temu reguliranja boravka i zapošljavanja. Pripadnicima mlađih naraštaja hrvatskog iseljeništva dodijeljeno je 500 stipendija za učenje hrvatskog jezika u šest hrvatskih gradova. </w:t>
      </w:r>
    </w:p>
    <w:p w14:paraId="1520A465" w14:textId="77777777" w:rsidR="00FB178A" w:rsidRPr="00467DA1" w:rsidRDefault="00FB178A" w:rsidP="00FB178A">
      <w:pPr>
        <w:widowControl/>
        <w:autoSpaceDE/>
        <w:autoSpaceDN/>
        <w:spacing w:after="160" w:line="276" w:lineRule="auto"/>
        <w:jc w:val="both"/>
        <w:rPr>
          <w:rFonts w:eastAsia="Calibri"/>
          <w:sz w:val="24"/>
          <w:szCs w:val="24"/>
        </w:rPr>
      </w:pPr>
      <w:r w:rsidRPr="00467DA1">
        <w:rPr>
          <w:rFonts w:eastAsia="Calibri"/>
          <w:sz w:val="24"/>
          <w:szCs w:val="24"/>
        </w:rPr>
        <w:t>S ciljem unaprjeđenja administrativnih procesa te učinkovitije integracije hrvatskih iseljenika i njihovih potomaka, tijekom 2024. održano je više sastanaka i edukacija s predstavnicima tijela javne vlasti, radi uspostave kontakt-točaka i razmjene dobrih praksi, a izdano je i 30 potvrda o statusu radi korištenja mjera samozapošljavanja Hrvatskog zavoda za zapošljavanje. Kroz mjeru usmjerenu na potporu organizacijama i pojedincima u razvoju i provedbi projekata koji potiču povratak, useljavanje i integraciju hrvatskih iseljenika u Hrvatsku, financirana je provedba 11 programa i projekata udruga i pojedinaca. U okviru te mjere osigurane su i socijalne naknade useljenicima u težim socioekonomskim okolnostima. Dodatno je pružena potpora kroz pokroviteljstva i aktivno sudjelovanje na više međunarodnih konferencija i događanja usmjerenih na jačanje gospodarskih veza te poticanje ulaganja hrvatskih iseljenika u domovinu.</w:t>
      </w:r>
    </w:p>
    <w:p w14:paraId="204F84C5" w14:textId="77777777" w:rsidR="00FB178A" w:rsidRPr="008E4B06" w:rsidRDefault="00FB178A" w:rsidP="00FB178A">
      <w:pPr>
        <w:spacing w:line="276" w:lineRule="auto"/>
        <w:jc w:val="both"/>
        <w:rPr>
          <w:b/>
          <w:bCs/>
          <w:color w:val="000000" w:themeColor="text1"/>
          <w:sz w:val="24"/>
          <w:szCs w:val="24"/>
        </w:rPr>
      </w:pPr>
      <w:r>
        <w:rPr>
          <w:sz w:val="24"/>
          <w:szCs w:val="24"/>
        </w:rPr>
        <w:t>Nadalje, s ciljem</w:t>
      </w:r>
      <w:r>
        <w:rPr>
          <w:rFonts w:eastAsia="Calibri"/>
          <w:sz w:val="24"/>
          <w:szCs w:val="24"/>
        </w:rPr>
        <w:t xml:space="preserve"> poticanja povratka, useljavanja i integracije hrvatskih iseljenika u Hrvatsku, tijekom 2024. </w:t>
      </w:r>
      <w:r w:rsidRPr="00B67223">
        <w:rPr>
          <w:sz w:val="24"/>
          <w:szCs w:val="24"/>
        </w:rPr>
        <w:t xml:space="preserve">putem Javnog poziva </w:t>
      </w:r>
      <w:r>
        <w:rPr>
          <w:sz w:val="24"/>
          <w:szCs w:val="24"/>
        </w:rPr>
        <w:t>osigurana je i</w:t>
      </w:r>
      <w:r w:rsidRPr="00535DE5">
        <w:rPr>
          <w:sz w:val="24"/>
          <w:szCs w:val="24"/>
        </w:rPr>
        <w:t xml:space="preserve">zravna financijska podrška </w:t>
      </w:r>
      <w:r>
        <w:rPr>
          <w:sz w:val="24"/>
          <w:szCs w:val="24"/>
        </w:rPr>
        <w:t xml:space="preserve">za </w:t>
      </w:r>
      <w:r w:rsidRPr="00535DE5">
        <w:rPr>
          <w:sz w:val="24"/>
          <w:szCs w:val="24"/>
        </w:rPr>
        <w:t>provedb</w:t>
      </w:r>
      <w:r>
        <w:rPr>
          <w:sz w:val="24"/>
          <w:szCs w:val="24"/>
        </w:rPr>
        <w:t>u 11</w:t>
      </w:r>
      <w:r w:rsidRPr="00535DE5">
        <w:rPr>
          <w:sz w:val="24"/>
          <w:szCs w:val="24"/>
        </w:rPr>
        <w:t xml:space="preserve"> različitih programa i projekata udruga </w:t>
      </w:r>
      <w:r>
        <w:rPr>
          <w:sz w:val="24"/>
          <w:szCs w:val="24"/>
        </w:rPr>
        <w:t>hrvatskih iseljenika,</w:t>
      </w:r>
      <w:r w:rsidRPr="00535DE5">
        <w:rPr>
          <w:sz w:val="24"/>
          <w:szCs w:val="24"/>
        </w:rPr>
        <w:t xml:space="preserve"> koj</w:t>
      </w:r>
      <w:r>
        <w:rPr>
          <w:sz w:val="24"/>
          <w:szCs w:val="24"/>
        </w:rPr>
        <w:t>ima je</w:t>
      </w:r>
      <w:r w:rsidRPr="00535DE5">
        <w:rPr>
          <w:sz w:val="24"/>
          <w:szCs w:val="24"/>
        </w:rPr>
        <w:t xml:space="preserve"> uključ</w:t>
      </w:r>
      <w:r>
        <w:rPr>
          <w:sz w:val="24"/>
          <w:szCs w:val="24"/>
        </w:rPr>
        <w:t>ena</w:t>
      </w:r>
      <w:r w:rsidRPr="00535DE5">
        <w:rPr>
          <w:sz w:val="24"/>
          <w:szCs w:val="24"/>
        </w:rPr>
        <w:t xml:space="preserve"> i </w:t>
      </w:r>
      <w:r>
        <w:rPr>
          <w:sz w:val="24"/>
          <w:szCs w:val="24"/>
        </w:rPr>
        <w:t xml:space="preserve">dodjela </w:t>
      </w:r>
      <w:r w:rsidRPr="00535DE5">
        <w:rPr>
          <w:sz w:val="24"/>
          <w:szCs w:val="24"/>
        </w:rPr>
        <w:t>socijaln</w:t>
      </w:r>
      <w:r>
        <w:rPr>
          <w:sz w:val="24"/>
          <w:szCs w:val="24"/>
        </w:rPr>
        <w:t>ih</w:t>
      </w:r>
      <w:r w:rsidRPr="00535DE5">
        <w:rPr>
          <w:sz w:val="24"/>
          <w:szCs w:val="24"/>
        </w:rPr>
        <w:t xml:space="preserve"> naknad</w:t>
      </w:r>
      <w:r>
        <w:rPr>
          <w:sz w:val="24"/>
          <w:szCs w:val="24"/>
        </w:rPr>
        <w:t>a</w:t>
      </w:r>
      <w:r w:rsidRPr="00535DE5">
        <w:rPr>
          <w:sz w:val="24"/>
          <w:szCs w:val="24"/>
        </w:rPr>
        <w:t xml:space="preserve"> pojedinim useljenicima u težim socijalno-ekonomskim okolnostima.</w:t>
      </w:r>
      <w:r>
        <w:rPr>
          <w:rFonts w:eastAsia="Calibri"/>
          <w:sz w:val="24"/>
          <w:szCs w:val="24"/>
        </w:rPr>
        <w:t xml:space="preserve"> </w:t>
      </w:r>
      <w:r w:rsidRPr="007A2710">
        <w:rPr>
          <w:rFonts w:eastAsia="Calibri"/>
          <w:bCs/>
          <w:iCs/>
          <w:sz w:val="24"/>
          <w:szCs w:val="24"/>
        </w:rPr>
        <w:t xml:space="preserve">Dodatno je </w:t>
      </w:r>
      <w:r>
        <w:rPr>
          <w:rFonts w:eastAsia="Calibri"/>
          <w:bCs/>
          <w:iCs/>
          <w:sz w:val="24"/>
          <w:szCs w:val="24"/>
        </w:rPr>
        <w:t>osigurana</w:t>
      </w:r>
      <w:r w:rsidRPr="007A2710">
        <w:rPr>
          <w:rFonts w:eastAsia="Calibri"/>
          <w:bCs/>
          <w:iCs/>
          <w:sz w:val="24"/>
          <w:szCs w:val="24"/>
        </w:rPr>
        <w:t xml:space="preserve"> potpora u vidu pokroviteljstva i aktivnog sudjelovanja na </w:t>
      </w:r>
      <w:r>
        <w:rPr>
          <w:rFonts w:eastAsia="Calibri"/>
          <w:bCs/>
          <w:iCs/>
          <w:sz w:val="24"/>
          <w:szCs w:val="24"/>
        </w:rPr>
        <w:t>više</w:t>
      </w:r>
      <w:r w:rsidRPr="007A2710">
        <w:rPr>
          <w:rFonts w:eastAsia="Calibri"/>
          <w:bCs/>
          <w:iCs/>
          <w:sz w:val="24"/>
          <w:szCs w:val="24"/>
        </w:rPr>
        <w:t xml:space="preserve"> međunarodnih konferencija i događanja koj</w:t>
      </w:r>
      <w:r>
        <w:rPr>
          <w:rFonts w:eastAsia="Calibri"/>
          <w:bCs/>
          <w:iCs/>
          <w:sz w:val="24"/>
          <w:szCs w:val="24"/>
        </w:rPr>
        <w:t>ima se</w:t>
      </w:r>
      <w:r w:rsidRPr="007A2710">
        <w:rPr>
          <w:rFonts w:eastAsia="Calibri"/>
          <w:bCs/>
          <w:iCs/>
          <w:sz w:val="24"/>
          <w:szCs w:val="24"/>
        </w:rPr>
        <w:t xml:space="preserve"> potiču ulaganj</w:t>
      </w:r>
      <w:r>
        <w:rPr>
          <w:rFonts w:eastAsia="Calibri"/>
          <w:bCs/>
          <w:iCs/>
          <w:sz w:val="24"/>
          <w:szCs w:val="24"/>
        </w:rPr>
        <w:t xml:space="preserve">a </w:t>
      </w:r>
      <w:r w:rsidRPr="007A2710">
        <w:rPr>
          <w:rFonts w:eastAsia="Calibri"/>
          <w:bCs/>
          <w:iCs/>
          <w:sz w:val="24"/>
          <w:szCs w:val="24"/>
        </w:rPr>
        <w:t xml:space="preserve">hrvatskih iseljenika u Hrvatsku. </w:t>
      </w:r>
      <w:r w:rsidRPr="00E916A9">
        <w:rPr>
          <w:rFonts w:eastAsia="Calibri"/>
          <w:bCs/>
          <w:kern w:val="2"/>
          <w:sz w:val="24"/>
          <w:szCs w:val="24"/>
          <w14:ligatures w14:val="standardContextual"/>
        </w:rPr>
        <w:t xml:space="preserve">Radi poticanja dodatnih potpora za povratak i integraciju, donesena je Odluka o dodjeli financijske potpore za </w:t>
      </w:r>
      <w:r w:rsidRPr="00E916A9">
        <w:rPr>
          <w:rFonts w:eastAsia="Calibri"/>
          <w:bCs/>
          <w:kern w:val="2"/>
          <w:sz w:val="24"/>
          <w:szCs w:val="24"/>
          <w14:ligatures w14:val="standardContextual"/>
        </w:rPr>
        <w:lastRenderedPageBreak/>
        <w:t xml:space="preserve">posebne potrebe i projekte od interesa za Hrvate izvan Republike Hrvatske </w:t>
      </w:r>
      <w:r>
        <w:rPr>
          <w:rFonts w:eastAsia="Calibri"/>
          <w:bCs/>
          <w:kern w:val="2"/>
          <w:sz w:val="24"/>
          <w:szCs w:val="24"/>
          <w14:ligatures w14:val="standardContextual"/>
        </w:rPr>
        <w:t>za</w:t>
      </w:r>
      <w:r w:rsidRPr="00E916A9">
        <w:rPr>
          <w:rFonts w:eastAsia="Calibri"/>
          <w:bCs/>
          <w:kern w:val="2"/>
          <w:sz w:val="24"/>
          <w:szCs w:val="24"/>
          <w14:ligatures w14:val="standardContextual"/>
        </w:rPr>
        <w:t xml:space="preserve"> institucij</w:t>
      </w:r>
      <w:r>
        <w:rPr>
          <w:rFonts w:eastAsia="Calibri"/>
          <w:bCs/>
          <w:kern w:val="2"/>
          <w:sz w:val="24"/>
          <w:szCs w:val="24"/>
          <w14:ligatures w14:val="standardContextual"/>
        </w:rPr>
        <w:t>e</w:t>
      </w:r>
      <w:r w:rsidRPr="00E916A9">
        <w:rPr>
          <w:rFonts w:eastAsia="Calibri"/>
          <w:bCs/>
          <w:kern w:val="2"/>
          <w:sz w:val="24"/>
          <w:szCs w:val="24"/>
          <w14:ligatures w14:val="standardContextual"/>
        </w:rPr>
        <w:t>, udrug</w:t>
      </w:r>
      <w:r>
        <w:rPr>
          <w:rFonts w:eastAsia="Calibri"/>
          <w:bCs/>
          <w:kern w:val="2"/>
          <w:sz w:val="24"/>
          <w:szCs w:val="24"/>
          <w14:ligatures w14:val="standardContextual"/>
        </w:rPr>
        <w:t>e</w:t>
      </w:r>
      <w:r w:rsidRPr="00E916A9">
        <w:rPr>
          <w:rFonts w:eastAsia="Calibri"/>
          <w:bCs/>
          <w:kern w:val="2"/>
          <w:sz w:val="24"/>
          <w:szCs w:val="24"/>
          <w14:ligatures w14:val="standardContextual"/>
        </w:rPr>
        <w:t xml:space="preserve"> i pojedinc</w:t>
      </w:r>
      <w:r>
        <w:rPr>
          <w:rFonts w:eastAsia="Calibri"/>
          <w:bCs/>
          <w:kern w:val="2"/>
          <w:sz w:val="24"/>
          <w:szCs w:val="24"/>
          <w14:ligatures w14:val="standardContextual"/>
        </w:rPr>
        <w:t>e</w:t>
      </w:r>
      <w:r w:rsidRPr="00E916A9">
        <w:rPr>
          <w:rFonts w:eastAsia="Calibri"/>
          <w:bCs/>
          <w:kern w:val="2"/>
          <w:sz w:val="24"/>
          <w:szCs w:val="24"/>
          <w14:ligatures w14:val="standardContextual"/>
        </w:rPr>
        <w:t xml:space="preserve"> za projekte poticanj</w:t>
      </w:r>
      <w:r>
        <w:rPr>
          <w:rFonts w:eastAsia="Calibri"/>
          <w:bCs/>
          <w:kern w:val="2"/>
          <w:sz w:val="24"/>
          <w:szCs w:val="24"/>
          <w14:ligatures w14:val="standardContextual"/>
        </w:rPr>
        <w:t>a</w:t>
      </w:r>
      <w:r w:rsidRPr="00E916A9">
        <w:rPr>
          <w:rFonts w:eastAsia="Calibri"/>
          <w:bCs/>
          <w:kern w:val="2"/>
          <w:sz w:val="24"/>
          <w:szCs w:val="24"/>
          <w14:ligatures w14:val="standardContextual"/>
        </w:rPr>
        <w:t xml:space="preserve"> povratka i integracije hrvatskih iseljenika.</w:t>
      </w:r>
      <w:r>
        <w:rPr>
          <w:rFonts w:eastAsia="Calibri"/>
          <w:bCs/>
          <w:kern w:val="2"/>
          <w:sz w:val="24"/>
          <w:szCs w:val="24"/>
          <w14:ligatures w14:val="standardContextual"/>
        </w:rPr>
        <w:t xml:space="preserve"> </w:t>
      </w:r>
      <w:r w:rsidRPr="008E4B06">
        <w:rPr>
          <w:b/>
          <w:bCs/>
          <w:color w:val="000000" w:themeColor="text1"/>
          <w:sz w:val="24"/>
          <w:szCs w:val="24"/>
        </w:rPr>
        <w:br w:type="page"/>
      </w:r>
    </w:p>
    <w:p w14:paraId="25A53762" w14:textId="77777777" w:rsidR="00FB178A" w:rsidRPr="009B4235" w:rsidRDefault="00FB178A" w:rsidP="00FB178A">
      <w:pPr>
        <w:pStyle w:val="Heading2"/>
        <w:spacing w:after="240"/>
        <w:rPr>
          <w:sz w:val="24"/>
          <w:szCs w:val="24"/>
        </w:rPr>
      </w:pPr>
      <w:bookmarkStart w:id="84" w:name="_Toc223002941"/>
      <w:r w:rsidRPr="009B4235">
        <w:rPr>
          <w:sz w:val="24"/>
          <w:szCs w:val="24"/>
        </w:rPr>
        <w:lastRenderedPageBreak/>
        <w:t>7. Sigurnost za stabilan razvoj</w:t>
      </w:r>
      <w:bookmarkEnd w:id="83"/>
      <w:bookmarkEnd w:id="84"/>
    </w:p>
    <w:p w14:paraId="4E4A7ED2" w14:textId="77777777" w:rsidR="00FB178A" w:rsidRPr="00145379" w:rsidRDefault="00FB178A" w:rsidP="00FB178A">
      <w:pPr>
        <w:pStyle w:val="Heading3"/>
      </w:pPr>
      <w:bookmarkStart w:id="85" w:name="_Toc99551536"/>
      <w:bookmarkStart w:id="86" w:name="_Toc130784374"/>
      <w:bookmarkStart w:id="87" w:name="_Toc133420959"/>
      <w:bookmarkStart w:id="88" w:name="_Toc223002942"/>
      <w:r w:rsidRPr="7B8BC2C2">
        <w:t>7.1. Ostvarene vrijednosti pokazatelja uspješnosti</w:t>
      </w:r>
      <w:bookmarkEnd w:id="85"/>
      <w:bookmarkEnd w:id="86"/>
      <w:bookmarkEnd w:id="87"/>
      <w:bookmarkEnd w:id="88"/>
      <w:r w:rsidRPr="7B8BC2C2">
        <w:t xml:space="preserve"> </w:t>
      </w:r>
    </w:p>
    <w:tbl>
      <w:tblPr>
        <w:tblStyle w:val="TableGrid"/>
        <w:tblW w:w="0" w:type="auto"/>
        <w:jc w:val="center"/>
        <w:tblInd w:w="0" w:type="dxa"/>
        <w:tblBorders>
          <w:top w:val="dotted" w:sz="4" w:space="0" w:color="auto"/>
          <w:left w:val="dotted" w:sz="4" w:space="0" w:color="auto"/>
          <w:bottom w:val="dotted" w:sz="4" w:space="0" w:color="auto"/>
          <w:right w:val="dotted" w:sz="4" w:space="0" w:color="auto"/>
        </w:tblBorders>
        <w:shd w:val="clear" w:color="auto" w:fill="FFFFFF" w:themeFill="background1"/>
        <w:tblLook w:val="04A0" w:firstRow="1" w:lastRow="0" w:firstColumn="1" w:lastColumn="0" w:noHBand="0" w:noVBand="1"/>
      </w:tblPr>
      <w:tblGrid>
        <w:gridCol w:w="2468"/>
        <w:gridCol w:w="2453"/>
        <w:gridCol w:w="1970"/>
        <w:gridCol w:w="2457"/>
      </w:tblGrid>
      <w:tr w:rsidR="00FB178A" w:rsidRPr="00145379" w14:paraId="0FFF7E8C" w14:textId="77777777" w:rsidTr="009E18ED">
        <w:trPr>
          <w:trHeight w:val="759"/>
          <w:jc w:val="center"/>
        </w:trPr>
        <w:tc>
          <w:tcPr>
            <w:tcW w:w="2691" w:type="dxa"/>
            <w:tcBorders>
              <w:top w:val="dotted" w:sz="4" w:space="0" w:color="auto"/>
              <w:bottom w:val="dotted" w:sz="4" w:space="0" w:color="auto"/>
              <w:right w:val="dotted" w:sz="4" w:space="0" w:color="auto"/>
            </w:tcBorders>
            <w:shd w:val="clear" w:color="auto" w:fill="B6DDE8" w:themeFill="accent5" w:themeFillTint="66"/>
            <w:vAlign w:val="center"/>
          </w:tcPr>
          <w:p w14:paraId="1AF01E6D" w14:textId="77777777" w:rsidR="00FB178A" w:rsidRPr="00145379" w:rsidRDefault="00FB178A" w:rsidP="009E18ED">
            <w:pPr>
              <w:pStyle w:val="BodyText"/>
              <w:spacing w:line="276" w:lineRule="auto"/>
              <w:jc w:val="center"/>
              <w:rPr>
                <w:b/>
                <w:bCs/>
                <w:color w:val="000000" w:themeColor="text1"/>
              </w:rPr>
            </w:pPr>
            <w:r w:rsidRPr="00145379">
              <w:rPr>
                <w:b/>
                <w:bCs/>
                <w:color w:val="000000" w:themeColor="text1"/>
              </w:rPr>
              <w:t>Pokazatelj uspješnosti</w:t>
            </w:r>
          </w:p>
        </w:tc>
        <w:tc>
          <w:tcPr>
            <w:tcW w:w="2126" w:type="dxa"/>
            <w:tcBorders>
              <w:top w:val="dotted" w:sz="4" w:space="0" w:color="auto"/>
              <w:left w:val="dotted" w:sz="4" w:space="0" w:color="auto"/>
              <w:bottom w:val="dotted" w:sz="4" w:space="0" w:color="auto"/>
              <w:right w:val="dotted" w:sz="4" w:space="0" w:color="auto"/>
            </w:tcBorders>
            <w:shd w:val="clear" w:color="auto" w:fill="B6DDE8" w:themeFill="accent5" w:themeFillTint="66"/>
            <w:vAlign w:val="center"/>
          </w:tcPr>
          <w:p w14:paraId="08CBF0CD" w14:textId="77777777" w:rsidR="00FB178A" w:rsidRPr="00145379" w:rsidRDefault="00FB178A" w:rsidP="009E18ED">
            <w:pPr>
              <w:pStyle w:val="BodyText"/>
              <w:spacing w:line="276" w:lineRule="auto"/>
              <w:jc w:val="center"/>
              <w:rPr>
                <w:b/>
                <w:bCs/>
                <w:color w:val="000000" w:themeColor="text1"/>
              </w:rPr>
            </w:pPr>
            <w:r w:rsidRPr="00145379">
              <w:rPr>
                <w:b/>
                <w:bCs/>
                <w:color w:val="000000" w:themeColor="text1"/>
              </w:rPr>
              <w:t xml:space="preserve">Početna </w:t>
            </w:r>
          </w:p>
          <w:p w14:paraId="12E19A9A" w14:textId="77777777" w:rsidR="00FB178A" w:rsidRPr="00145379" w:rsidRDefault="00FB178A" w:rsidP="009E18ED">
            <w:pPr>
              <w:pStyle w:val="BodyText"/>
              <w:spacing w:line="276" w:lineRule="auto"/>
              <w:jc w:val="center"/>
              <w:rPr>
                <w:b/>
                <w:bCs/>
                <w:color w:val="000000" w:themeColor="text1"/>
              </w:rPr>
            </w:pPr>
            <w:r w:rsidRPr="00145379">
              <w:rPr>
                <w:b/>
                <w:bCs/>
                <w:color w:val="000000" w:themeColor="text1"/>
              </w:rPr>
              <w:t>vrijednost</w:t>
            </w:r>
          </w:p>
        </w:tc>
        <w:tc>
          <w:tcPr>
            <w:tcW w:w="2126" w:type="dxa"/>
            <w:tcBorders>
              <w:top w:val="dotted" w:sz="4" w:space="0" w:color="auto"/>
              <w:left w:val="dotted" w:sz="4" w:space="0" w:color="auto"/>
              <w:bottom w:val="dotted" w:sz="4" w:space="0" w:color="auto"/>
              <w:right w:val="dotted" w:sz="4" w:space="0" w:color="auto"/>
            </w:tcBorders>
            <w:shd w:val="clear" w:color="auto" w:fill="B6DDE8" w:themeFill="accent5" w:themeFillTint="66"/>
            <w:vAlign w:val="center"/>
          </w:tcPr>
          <w:p w14:paraId="73F4CD46" w14:textId="77777777" w:rsidR="00FB178A" w:rsidRPr="00145379" w:rsidRDefault="00FB178A" w:rsidP="009E18ED">
            <w:pPr>
              <w:pStyle w:val="BodyText"/>
              <w:spacing w:line="276" w:lineRule="auto"/>
              <w:jc w:val="center"/>
              <w:rPr>
                <w:b/>
                <w:bCs/>
                <w:color w:val="000000" w:themeColor="text1"/>
              </w:rPr>
            </w:pPr>
            <w:r w:rsidRPr="00145379">
              <w:rPr>
                <w:b/>
                <w:bCs/>
                <w:color w:val="000000" w:themeColor="text1"/>
              </w:rPr>
              <w:t xml:space="preserve">Ciljna </w:t>
            </w:r>
          </w:p>
          <w:p w14:paraId="1173F3A3" w14:textId="77777777" w:rsidR="00FB178A" w:rsidRPr="00145379" w:rsidRDefault="00FB178A" w:rsidP="009E18ED">
            <w:pPr>
              <w:pStyle w:val="BodyText"/>
              <w:spacing w:line="276" w:lineRule="auto"/>
              <w:jc w:val="center"/>
              <w:rPr>
                <w:b/>
                <w:bCs/>
                <w:color w:val="000000" w:themeColor="text1"/>
              </w:rPr>
            </w:pPr>
            <w:r w:rsidRPr="00145379">
              <w:rPr>
                <w:b/>
                <w:bCs/>
                <w:color w:val="000000" w:themeColor="text1"/>
              </w:rPr>
              <w:t>vrijednost</w:t>
            </w:r>
          </w:p>
        </w:tc>
        <w:tc>
          <w:tcPr>
            <w:tcW w:w="2127" w:type="dxa"/>
            <w:tcBorders>
              <w:top w:val="dotted" w:sz="4" w:space="0" w:color="auto"/>
              <w:left w:val="dotted" w:sz="4" w:space="0" w:color="auto"/>
              <w:bottom w:val="dotted" w:sz="4" w:space="0" w:color="auto"/>
            </w:tcBorders>
            <w:shd w:val="clear" w:color="auto" w:fill="B6DDE8" w:themeFill="accent5" w:themeFillTint="66"/>
            <w:vAlign w:val="center"/>
          </w:tcPr>
          <w:p w14:paraId="28567BC6" w14:textId="77777777" w:rsidR="00FB178A" w:rsidRPr="00145379" w:rsidRDefault="00FB178A" w:rsidP="009E18ED">
            <w:pPr>
              <w:pStyle w:val="BodyText"/>
              <w:spacing w:line="276" w:lineRule="auto"/>
              <w:jc w:val="center"/>
              <w:rPr>
                <w:b/>
                <w:bCs/>
                <w:color w:val="000000" w:themeColor="text1"/>
              </w:rPr>
            </w:pPr>
            <w:r w:rsidRPr="00145379">
              <w:rPr>
                <w:b/>
                <w:bCs/>
                <w:color w:val="000000" w:themeColor="text1"/>
              </w:rPr>
              <w:t xml:space="preserve">Ostvarena </w:t>
            </w:r>
          </w:p>
          <w:p w14:paraId="18D72051" w14:textId="77777777" w:rsidR="00FB178A" w:rsidRPr="00145379" w:rsidRDefault="00FB178A" w:rsidP="009E18ED">
            <w:pPr>
              <w:pStyle w:val="BodyText"/>
              <w:spacing w:line="276" w:lineRule="auto"/>
              <w:jc w:val="center"/>
              <w:rPr>
                <w:b/>
                <w:bCs/>
                <w:color w:val="000000" w:themeColor="text1"/>
              </w:rPr>
            </w:pPr>
            <w:r w:rsidRPr="00145379">
              <w:rPr>
                <w:b/>
                <w:bCs/>
                <w:color w:val="000000" w:themeColor="text1"/>
              </w:rPr>
              <w:t>vrijednost</w:t>
            </w:r>
          </w:p>
        </w:tc>
      </w:tr>
      <w:tr w:rsidR="00FB178A" w:rsidRPr="00145379" w14:paraId="30A8E48F" w14:textId="77777777" w:rsidTr="009E18ED">
        <w:trPr>
          <w:trHeight w:val="859"/>
          <w:jc w:val="center"/>
        </w:trPr>
        <w:tc>
          <w:tcPr>
            <w:tcW w:w="2691" w:type="dxa"/>
            <w:tcBorders>
              <w:top w:val="dotted" w:sz="4" w:space="0" w:color="auto"/>
              <w:bottom w:val="dotted" w:sz="4" w:space="0" w:color="auto"/>
            </w:tcBorders>
            <w:shd w:val="clear" w:color="auto" w:fill="FFFFFF" w:themeFill="background1"/>
            <w:vAlign w:val="center"/>
          </w:tcPr>
          <w:p w14:paraId="57A68066" w14:textId="77777777" w:rsidR="00FB178A" w:rsidRPr="00145379" w:rsidRDefault="00FB178A" w:rsidP="009E18ED">
            <w:pPr>
              <w:pStyle w:val="BodyText"/>
              <w:spacing w:line="276" w:lineRule="auto"/>
              <w:rPr>
                <w:color w:val="000000" w:themeColor="text1"/>
              </w:rPr>
            </w:pPr>
            <w:r w:rsidRPr="00145379">
              <w:rPr>
                <w:color w:val="000000" w:themeColor="text1"/>
              </w:rPr>
              <w:t>BDP po stanovniku prema paritetu kupovne moći, u % prosjeka EU-a</w:t>
            </w:r>
          </w:p>
        </w:tc>
        <w:tc>
          <w:tcPr>
            <w:tcW w:w="2126" w:type="dxa"/>
            <w:tcBorders>
              <w:top w:val="dotted" w:sz="4" w:space="0" w:color="auto"/>
              <w:bottom w:val="dotted" w:sz="4" w:space="0" w:color="auto"/>
            </w:tcBorders>
            <w:shd w:val="clear" w:color="auto" w:fill="DAEEF3" w:themeFill="accent5" w:themeFillTint="33"/>
            <w:vAlign w:val="center"/>
          </w:tcPr>
          <w:p w14:paraId="2998A418" w14:textId="77777777" w:rsidR="00FB178A" w:rsidRPr="00145379" w:rsidRDefault="00FB178A" w:rsidP="009E18ED">
            <w:pPr>
              <w:pStyle w:val="BodyText"/>
              <w:spacing w:line="276" w:lineRule="auto"/>
              <w:jc w:val="center"/>
              <w:rPr>
                <w:color w:val="000000" w:themeColor="text1"/>
              </w:rPr>
            </w:pPr>
            <w:r w:rsidRPr="00145379">
              <w:rPr>
                <w:color w:val="000000" w:themeColor="text1"/>
              </w:rPr>
              <w:t>65% (2019.)</w:t>
            </w:r>
          </w:p>
        </w:tc>
        <w:tc>
          <w:tcPr>
            <w:tcW w:w="2126" w:type="dxa"/>
            <w:tcBorders>
              <w:top w:val="dotted" w:sz="4" w:space="0" w:color="auto"/>
              <w:bottom w:val="dotted" w:sz="4" w:space="0" w:color="auto"/>
            </w:tcBorders>
            <w:shd w:val="clear" w:color="auto" w:fill="FFFFFF" w:themeFill="background1"/>
            <w:vAlign w:val="center"/>
          </w:tcPr>
          <w:p w14:paraId="5FDBFACB" w14:textId="77777777" w:rsidR="00FB178A" w:rsidRPr="00145379" w:rsidRDefault="00FB178A" w:rsidP="009E18ED">
            <w:pPr>
              <w:pStyle w:val="BodyText"/>
              <w:spacing w:line="276" w:lineRule="auto"/>
              <w:jc w:val="center"/>
              <w:rPr>
                <w:color w:val="000000" w:themeColor="text1"/>
              </w:rPr>
            </w:pPr>
            <w:r w:rsidRPr="00145379">
              <w:rPr>
                <w:color w:val="000000" w:themeColor="text1"/>
              </w:rPr>
              <w:t>75%</w:t>
            </w:r>
          </w:p>
        </w:tc>
        <w:tc>
          <w:tcPr>
            <w:tcW w:w="2127" w:type="dxa"/>
            <w:tcBorders>
              <w:top w:val="dotted" w:sz="4" w:space="0" w:color="auto"/>
              <w:bottom w:val="dotted" w:sz="4" w:space="0" w:color="auto"/>
            </w:tcBorders>
            <w:shd w:val="clear" w:color="auto" w:fill="DAEEF3" w:themeFill="accent5" w:themeFillTint="33"/>
            <w:vAlign w:val="center"/>
          </w:tcPr>
          <w:p w14:paraId="153121EE" w14:textId="77777777" w:rsidR="00FB178A" w:rsidRDefault="00FB178A" w:rsidP="009E18ED">
            <w:pPr>
              <w:pStyle w:val="BodyText"/>
              <w:spacing w:line="276" w:lineRule="auto"/>
              <w:jc w:val="center"/>
            </w:pPr>
            <w:r>
              <w:rPr>
                <w:color w:val="000000" w:themeColor="text1"/>
              </w:rPr>
              <w:t>78</w:t>
            </w:r>
            <w:r>
              <w:t xml:space="preserve">% </w:t>
            </w:r>
          </w:p>
          <w:p w14:paraId="18EF5552" w14:textId="77777777" w:rsidR="00FB178A" w:rsidRPr="00145379" w:rsidRDefault="00FB178A" w:rsidP="009E18ED">
            <w:pPr>
              <w:pStyle w:val="BodyText"/>
              <w:spacing w:line="276" w:lineRule="auto"/>
              <w:jc w:val="center"/>
              <w:rPr>
                <w:color w:val="000000" w:themeColor="text1"/>
              </w:rPr>
            </w:pPr>
            <w:r>
              <w:t>(2024.)</w:t>
            </w:r>
          </w:p>
        </w:tc>
      </w:tr>
      <w:tr w:rsidR="00FB178A" w:rsidRPr="00145379" w14:paraId="04B19E1A" w14:textId="77777777" w:rsidTr="009E18ED">
        <w:trPr>
          <w:trHeight w:val="887"/>
          <w:jc w:val="center"/>
        </w:trPr>
        <w:tc>
          <w:tcPr>
            <w:tcW w:w="2691" w:type="dxa"/>
            <w:tcBorders>
              <w:top w:val="dotted" w:sz="4" w:space="0" w:color="auto"/>
            </w:tcBorders>
            <w:vAlign w:val="center"/>
          </w:tcPr>
          <w:p w14:paraId="5A551D83" w14:textId="77777777" w:rsidR="00FB178A" w:rsidRPr="00145379" w:rsidRDefault="00FB178A" w:rsidP="009E18ED">
            <w:pPr>
              <w:pStyle w:val="BodyText"/>
              <w:spacing w:line="276" w:lineRule="auto"/>
              <w:rPr>
                <w:color w:val="000000" w:themeColor="text1"/>
              </w:rPr>
            </w:pPr>
            <w:r w:rsidRPr="00145379">
              <w:rPr>
                <w:color w:val="000000" w:themeColor="text1"/>
              </w:rPr>
              <w:t>Pojava kriminala, nasilja ili vandalizma po postotku prijava</w:t>
            </w:r>
          </w:p>
        </w:tc>
        <w:tc>
          <w:tcPr>
            <w:tcW w:w="2691" w:type="dxa"/>
            <w:tcBorders>
              <w:top w:val="dotted" w:sz="4" w:space="0" w:color="auto"/>
            </w:tcBorders>
            <w:shd w:val="clear" w:color="auto" w:fill="DAEEF3" w:themeFill="accent5" w:themeFillTint="33"/>
            <w:vAlign w:val="center"/>
          </w:tcPr>
          <w:p w14:paraId="0E5A0315" w14:textId="77777777" w:rsidR="00FB178A" w:rsidRPr="00145379" w:rsidRDefault="00FB178A" w:rsidP="009E18ED">
            <w:pPr>
              <w:pStyle w:val="BodyText"/>
              <w:spacing w:line="276" w:lineRule="auto"/>
              <w:jc w:val="center"/>
              <w:rPr>
                <w:color w:val="000000" w:themeColor="text1"/>
              </w:rPr>
            </w:pPr>
            <w:r w:rsidRPr="00145379">
              <w:rPr>
                <w:color w:val="000000" w:themeColor="text1"/>
              </w:rPr>
              <w:t>2% (2019.)</w:t>
            </w:r>
          </w:p>
        </w:tc>
        <w:tc>
          <w:tcPr>
            <w:tcW w:w="0" w:type="auto"/>
            <w:tcBorders>
              <w:top w:val="dotted" w:sz="4" w:space="0" w:color="auto"/>
            </w:tcBorders>
            <w:vAlign w:val="center"/>
          </w:tcPr>
          <w:p w14:paraId="2E3503F6" w14:textId="77777777" w:rsidR="00FB178A" w:rsidRPr="00145379" w:rsidRDefault="00FB178A" w:rsidP="009E18ED">
            <w:pPr>
              <w:pStyle w:val="BodyText"/>
              <w:spacing w:line="276" w:lineRule="auto"/>
              <w:jc w:val="center"/>
              <w:rPr>
                <w:color w:val="000000" w:themeColor="text1"/>
              </w:rPr>
            </w:pPr>
            <w:r w:rsidRPr="00145379">
              <w:rPr>
                <w:color w:val="000000" w:themeColor="text1"/>
              </w:rPr>
              <w:t xml:space="preserve">Ostati najbolji u EU </w:t>
            </w:r>
          </w:p>
        </w:tc>
        <w:tc>
          <w:tcPr>
            <w:tcW w:w="2691" w:type="dxa"/>
            <w:tcBorders>
              <w:top w:val="dotted" w:sz="4" w:space="0" w:color="auto"/>
            </w:tcBorders>
            <w:shd w:val="clear" w:color="auto" w:fill="DAEEF3" w:themeFill="accent5" w:themeFillTint="33"/>
            <w:vAlign w:val="center"/>
          </w:tcPr>
          <w:p w14:paraId="42E5CB36" w14:textId="77777777" w:rsidR="00FB178A" w:rsidRPr="00145379" w:rsidRDefault="00FB178A" w:rsidP="009E18ED">
            <w:pPr>
              <w:pStyle w:val="BodyText"/>
              <w:spacing w:line="276" w:lineRule="auto"/>
              <w:jc w:val="center"/>
              <w:rPr>
                <w:color w:val="000000" w:themeColor="text1"/>
              </w:rPr>
            </w:pPr>
            <w:r>
              <w:rPr>
                <w:color w:val="000000" w:themeColor="text1"/>
              </w:rPr>
              <w:t>Nisu dostupni podaci</w:t>
            </w:r>
          </w:p>
        </w:tc>
      </w:tr>
    </w:tbl>
    <w:p w14:paraId="2D0B09DD" w14:textId="77777777" w:rsidR="00FB178A" w:rsidRPr="00145379" w:rsidRDefault="00FB178A" w:rsidP="00FB178A">
      <w:pPr>
        <w:spacing w:line="276" w:lineRule="auto"/>
        <w:rPr>
          <w:color w:val="000000" w:themeColor="text1"/>
          <w:sz w:val="24"/>
          <w:szCs w:val="24"/>
        </w:rPr>
      </w:pPr>
    </w:p>
    <w:p w14:paraId="1B862287" w14:textId="77777777" w:rsidR="00FB178A" w:rsidRPr="00F9352F" w:rsidRDefault="00FB178A" w:rsidP="00FB178A">
      <w:pPr>
        <w:pStyle w:val="Heading3"/>
      </w:pPr>
      <w:bookmarkStart w:id="89" w:name="_Toc223002943"/>
      <w:r w:rsidRPr="00F9352F">
        <w:t>7.2</w:t>
      </w:r>
      <w:r w:rsidRPr="000B3803">
        <w:t>. Opis napretka u provedbi strateškog</w:t>
      </w:r>
      <w:r w:rsidRPr="00F9352F">
        <w:t xml:space="preserve"> cilja Sigurnost za stabilan razvoj</w:t>
      </w:r>
      <w:bookmarkEnd w:id="89"/>
    </w:p>
    <w:p w14:paraId="03E75436" w14:textId="77777777" w:rsidR="00FB178A" w:rsidRPr="0004221B" w:rsidRDefault="00FB178A" w:rsidP="00FB178A">
      <w:pPr>
        <w:spacing w:after="240" w:line="276" w:lineRule="auto"/>
        <w:ind w:firstLine="720"/>
        <w:jc w:val="both"/>
        <w:rPr>
          <w:color w:val="131313"/>
        </w:rPr>
      </w:pPr>
      <w:r w:rsidRPr="0004221B">
        <w:rPr>
          <w:b/>
          <w:color w:val="131313"/>
          <w:sz w:val="24"/>
          <w:szCs w:val="24"/>
        </w:rPr>
        <w:t xml:space="preserve">Jačanje obrambene sposobnosti Hrvatske vojske </w:t>
      </w:r>
    </w:p>
    <w:p w14:paraId="5C9653D0" w14:textId="77777777" w:rsidR="00FB178A" w:rsidRPr="003D0DCC" w:rsidRDefault="00FB178A" w:rsidP="00FB178A">
      <w:pPr>
        <w:spacing w:after="240" w:line="276" w:lineRule="auto"/>
        <w:ind w:firstLine="709"/>
        <w:jc w:val="both"/>
        <w:rPr>
          <w:color w:val="131313"/>
          <w:sz w:val="24"/>
          <w:szCs w:val="24"/>
        </w:rPr>
      </w:pPr>
      <w:r w:rsidRPr="005B58EC">
        <w:rPr>
          <w:color w:val="131313"/>
          <w:sz w:val="24"/>
          <w:szCs w:val="24"/>
        </w:rPr>
        <w:t xml:space="preserve">Obrambena politika Republike Hrvatske u 2024. bila je usmjerena na daljnje jačanje obrambenih sposobnosti Hrvatske vojske, modernizaciju naoružanja i opreme te povećanje razine pripravnosti i </w:t>
      </w:r>
      <w:proofErr w:type="spellStart"/>
      <w:r w:rsidRPr="005B58EC">
        <w:rPr>
          <w:color w:val="131313"/>
          <w:sz w:val="24"/>
          <w:szCs w:val="24"/>
        </w:rPr>
        <w:t>interoperabilnosti</w:t>
      </w:r>
      <w:proofErr w:type="spellEnd"/>
      <w:r w:rsidRPr="005B58EC">
        <w:rPr>
          <w:color w:val="131313"/>
          <w:sz w:val="24"/>
          <w:szCs w:val="24"/>
        </w:rPr>
        <w:t xml:space="preserve"> unutar savezništava, osobito u okviru NATO-a i zajedničke sigurnosne i obrambene politike EU-a. Nastavljena su ulaganja u ključne projekte opremanja i modernizacije te u unaprjeđenje uvjeta života i rada pripadnika Hrvatske vojske, uz istodobno intenziviranje međunarodne obrambene suradnje i doprinosa međunarodnoj stabilnosti. Hrvatska je i u 2024. nastavila s rastom obrambenog proračuna te je, uz zadržavanje ranije postignute smjernice </w:t>
      </w:r>
      <w:r>
        <w:rPr>
          <w:color w:val="131313"/>
          <w:sz w:val="24"/>
          <w:szCs w:val="24"/>
        </w:rPr>
        <w:t>od</w:t>
      </w:r>
      <w:r w:rsidRPr="005B58EC">
        <w:rPr>
          <w:color w:val="131313"/>
          <w:sz w:val="24"/>
          <w:szCs w:val="24"/>
        </w:rPr>
        <w:t xml:space="preserve"> najmanje 20% izdvajanja usmjer</w:t>
      </w:r>
      <w:r>
        <w:rPr>
          <w:color w:val="131313"/>
          <w:sz w:val="24"/>
          <w:szCs w:val="24"/>
        </w:rPr>
        <w:t>enih</w:t>
      </w:r>
      <w:r w:rsidRPr="005B58EC">
        <w:rPr>
          <w:color w:val="131313"/>
          <w:sz w:val="24"/>
          <w:szCs w:val="24"/>
        </w:rPr>
        <w:t xml:space="preserve"> na modernizaciju i opremanje, dosegnula razinu </w:t>
      </w:r>
      <w:r>
        <w:rPr>
          <w:color w:val="131313"/>
          <w:sz w:val="24"/>
          <w:szCs w:val="24"/>
        </w:rPr>
        <w:t xml:space="preserve">ukupnih </w:t>
      </w:r>
      <w:r w:rsidRPr="005B58EC">
        <w:rPr>
          <w:color w:val="131313"/>
          <w:sz w:val="24"/>
          <w:szCs w:val="24"/>
        </w:rPr>
        <w:t>izdvajanja za obranu od 1,8</w:t>
      </w:r>
      <w:r>
        <w:rPr>
          <w:color w:val="131313"/>
          <w:sz w:val="24"/>
          <w:szCs w:val="24"/>
        </w:rPr>
        <w:t>5</w:t>
      </w:r>
      <w:r w:rsidRPr="005B58EC">
        <w:rPr>
          <w:color w:val="131313"/>
          <w:sz w:val="24"/>
          <w:szCs w:val="24"/>
        </w:rPr>
        <w:t xml:space="preserve">% BDP-a. </w:t>
      </w:r>
      <w:r>
        <w:rPr>
          <w:color w:val="131313"/>
          <w:sz w:val="24"/>
          <w:szCs w:val="24"/>
        </w:rPr>
        <w:t>Hrvatska se</w:t>
      </w:r>
      <w:r w:rsidRPr="005B58EC">
        <w:rPr>
          <w:color w:val="131313"/>
          <w:sz w:val="24"/>
          <w:szCs w:val="24"/>
        </w:rPr>
        <w:t xml:space="preserve"> strateški odredila prema postupnom povećanju obrambenih izdvajanja na 3% BDP-a do 2030., čime se potvrđuje dugoročna opredijeljenost za jačanje obrambenog sustava, otpornosti države i vjerodostojnosti Hrvatske kao saveznice i pouzdanog partnera u euroatlantskom sigurnosnom okviru</w:t>
      </w:r>
      <w:r>
        <w:rPr>
          <w:color w:val="131313"/>
          <w:sz w:val="24"/>
          <w:szCs w:val="24"/>
        </w:rPr>
        <w:t>.</w:t>
      </w:r>
    </w:p>
    <w:p w14:paraId="0E1A353F" w14:textId="77777777" w:rsidR="00FB178A" w:rsidRDefault="00FB178A" w:rsidP="00FB178A">
      <w:pPr>
        <w:spacing w:after="240" w:line="276" w:lineRule="auto"/>
        <w:jc w:val="both"/>
        <w:rPr>
          <w:color w:val="131313"/>
          <w:sz w:val="24"/>
          <w:szCs w:val="24"/>
        </w:rPr>
      </w:pPr>
      <w:r w:rsidRPr="00BE5DEA">
        <w:rPr>
          <w:color w:val="131313"/>
          <w:sz w:val="24"/>
          <w:szCs w:val="24"/>
        </w:rPr>
        <w:t xml:space="preserve">Hrvatska vojska </w:t>
      </w:r>
      <w:r>
        <w:rPr>
          <w:color w:val="131313"/>
          <w:sz w:val="24"/>
          <w:szCs w:val="24"/>
        </w:rPr>
        <w:t xml:space="preserve">je </w:t>
      </w:r>
      <w:r w:rsidRPr="00BE5DEA">
        <w:rPr>
          <w:color w:val="131313"/>
          <w:sz w:val="24"/>
          <w:szCs w:val="24"/>
        </w:rPr>
        <w:t>u 2024. nastavila s provedbom ključnih projekata opremanja i modernizacije, uz ravnomjerna ulaganja u sve grane Oružanih snaga, s ciljem održavanja i podizanja njihove operativne spremnosti. Posebna je pozornost bila usmjerena na profesionalni razvoj i upravljanje karijerama pripadnika Hrvatske vojske</w:t>
      </w:r>
      <w:r>
        <w:rPr>
          <w:color w:val="131313"/>
          <w:sz w:val="24"/>
          <w:szCs w:val="24"/>
        </w:rPr>
        <w:t>, kako</w:t>
      </w:r>
      <w:r w:rsidRPr="00BE5DEA">
        <w:rPr>
          <w:color w:val="131313"/>
          <w:sz w:val="24"/>
          <w:szCs w:val="24"/>
        </w:rPr>
        <w:t xml:space="preserve"> ročnog, djelatnog i pričuvnog sastava</w:t>
      </w:r>
      <w:r>
        <w:rPr>
          <w:color w:val="131313"/>
          <w:sz w:val="24"/>
          <w:szCs w:val="24"/>
        </w:rPr>
        <w:t xml:space="preserve">, tako </w:t>
      </w:r>
      <w:r w:rsidRPr="00BE5DEA">
        <w:rPr>
          <w:color w:val="131313"/>
          <w:sz w:val="24"/>
          <w:szCs w:val="24"/>
        </w:rPr>
        <w:t>i državnih službenika i namještenika, kako bi se očuvala povoljna dobna, obrazovna i rodna struktura te osigurala potrebna brojčana popunjenost za izvršavanje zadaća u zemlji i inozemstvu. U skladu s time, tijekom 2024. dodatno su unaprijeđeni uvjeti službe, uključujući značajno povećanje koeficijenata za obračun plaća i naknada za posebne oblike rada, ulaganja u smještajne kapacitete i logističku potporu, čime se doprinosi zadržavanju postojećih kadrova i većoj privlačnosti vojnog poziva. Ove mjere, u kombinaciji s kontinuiranom modernizacijom naoružanja i opreme, stvaraju preduvjete za dugoročno održivu i sposobnu Hrvatsku vojsku, usklađenu s obvezama i standardima saveza čiji je Hrvatska član.</w:t>
      </w:r>
    </w:p>
    <w:p w14:paraId="1E796DD5" w14:textId="77777777" w:rsidR="00FB178A" w:rsidRDefault="00FB178A" w:rsidP="00FB178A">
      <w:pPr>
        <w:spacing w:after="240" w:line="276" w:lineRule="auto"/>
        <w:jc w:val="both"/>
        <w:rPr>
          <w:color w:val="131313"/>
          <w:sz w:val="24"/>
          <w:szCs w:val="24"/>
        </w:rPr>
      </w:pPr>
      <w:r>
        <w:rPr>
          <w:color w:val="131313"/>
          <w:sz w:val="24"/>
          <w:szCs w:val="24"/>
        </w:rPr>
        <w:lastRenderedPageBreak/>
        <w:t>N</w:t>
      </w:r>
      <w:r w:rsidRPr="007F7489">
        <w:rPr>
          <w:color w:val="131313"/>
          <w:sz w:val="24"/>
          <w:szCs w:val="24"/>
        </w:rPr>
        <w:t>astavljena je provedba ključnih projekata modernizacije</w:t>
      </w:r>
      <w:r>
        <w:rPr>
          <w:color w:val="131313"/>
          <w:sz w:val="24"/>
          <w:szCs w:val="24"/>
        </w:rPr>
        <w:t xml:space="preserve"> i </w:t>
      </w:r>
      <w:r w:rsidRPr="0047270E">
        <w:rPr>
          <w:color w:val="131313"/>
          <w:sz w:val="24"/>
          <w:szCs w:val="24"/>
        </w:rPr>
        <w:t>sustavno jača</w:t>
      </w:r>
      <w:r>
        <w:rPr>
          <w:color w:val="131313"/>
          <w:sz w:val="24"/>
          <w:szCs w:val="24"/>
        </w:rPr>
        <w:t>nje</w:t>
      </w:r>
      <w:r w:rsidRPr="0047270E">
        <w:rPr>
          <w:color w:val="131313"/>
          <w:sz w:val="24"/>
          <w:szCs w:val="24"/>
        </w:rPr>
        <w:t xml:space="preserve"> sposobnosti Hrvatske vojske na kopnu, moru i u zraku</w:t>
      </w:r>
      <w:r>
        <w:rPr>
          <w:color w:val="131313"/>
          <w:sz w:val="24"/>
          <w:szCs w:val="24"/>
        </w:rPr>
        <w:t>. U zračnim snagama</w:t>
      </w:r>
      <w:r w:rsidRPr="007F7489">
        <w:rPr>
          <w:color w:val="131313"/>
          <w:sz w:val="24"/>
          <w:szCs w:val="24"/>
        </w:rPr>
        <w:t xml:space="preserve"> planirano </w:t>
      </w:r>
      <w:r>
        <w:rPr>
          <w:color w:val="131313"/>
          <w:sz w:val="24"/>
          <w:szCs w:val="24"/>
        </w:rPr>
        <w:t xml:space="preserve">je </w:t>
      </w:r>
      <w:r w:rsidRPr="007F7489">
        <w:rPr>
          <w:color w:val="131313"/>
          <w:sz w:val="24"/>
          <w:szCs w:val="24"/>
        </w:rPr>
        <w:t xml:space="preserve">da se 12 višenamjenskih borbenih zrakoplova Rafale u potpunosti uvede u operativnu uporabu do kraja 2025. godine. </w:t>
      </w:r>
      <w:r>
        <w:rPr>
          <w:color w:val="131313"/>
          <w:sz w:val="24"/>
          <w:szCs w:val="24"/>
        </w:rPr>
        <w:t>Istovremeno,</w:t>
      </w:r>
      <w:r w:rsidRPr="007F7489">
        <w:rPr>
          <w:color w:val="131313"/>
          <w:sz w:val="24"/>
          <w:szCs w:val="24"/>
        </w:rPr>
        <w:t xml:space="preserve"> p</w:t>
      </w:r>
      <w:r>
        <w:rPr>
          <w:color w:val="131313"/>
          <w:sz w:val="24"/>
          <w:szCs w:val="24"/>
        </w:rPr>
        <w:t xml:space="preserve">redviđena je </w:t>
      </w:r>
      <w:r w:rsidRPr="007F7489">
        <w:rPr>
          <w:color w:val="131313"/>
          <w:sz w:val="24"/>
          <w:szCs w:val="24"/>
        </w:rPr>
        <w:t xml:space="preserve">nabava dodatnih osam </w:t>
      </w:r>
      <w:r>
        <w:rPr>
          <w:color w:val="131313"/>
          <w:sz w:val="24"/>
          <w:szCs w:val="24"/>
        </w:rPr>
        <w:t xml:space="preserve">višenamjenskih </w:t>
      </w:r>
      <w:r w:rsidRPr="007F7489">
        <w:rPr>
          <w:color w:val="131313"/>
          <w:sz w:val="24"/>
          <w:szCs w:val="24"/>
        </w:rPr>
        <w:t xml:space="preserve">helikoptera UH-60 Black </w:t>
      </w:r>
      <w:proofErr w:type="spellStart"/>
      <w:r w:rsidRPr="007F7489">
        <w:rPr>
          <w:color w:val="131313"/>
          <w:sz w:val="24"/>
          <w:szCs w:val="24"/>
        </w:rPr>
        <w:t>Hawk</w:t>
      </w:r>
      <w:proofErr w:type="spellEnd"/>
      <w:r w:rsidRPr="007F7489">
        <w:rPr>
          <w:color w:val="131313"/>
          <w:sz w:val="24"/>
          <w:szCs w:val="24"/>
        </w:rPr>
        <w:t xml:space="preserve"> do 2028., modernizacija</w:t>
      </w:r>
      <w:r>
        <w:rPr>
          <w:color w:val="131313"/>
          <w:sz w:val="24"/>
          <w:szCs w:val="24"/>
        </w:rPr>
        <w:t xml:space="preserve"> i nadogradnja</w:t>
      </w:r>
      <w:r w:rsidRPr="007F7489">
        <w:rPr>
          <w:color w:val="131313"/>
          <w:sz w:val="24"/>
          <w:szCs w:val="24"/>
        </w:rPr>
        <w:t xml:space="preserve"> radarskog sustava FPS-117 te razvoj integriranog sustava protuzračne i proturaketne obrane. Od osobite je strateške važnosti ugovorena nabava osam samohodnih</w:t>
      </w:r>
      <w:r>
        <w:rPr>
          <w:color w:val="131313"/>
          <w:sz w:val="24"/>
          <w:szCs w:val="24"/>
        </w:rPr>
        <w:t xml:space="preserve"> višecijevnih</w:t>
      </w:r>
      <w:r w:rsidRPr="007F7489">
        <w:rPr>
          <w:color w:val="131313"/>
          <w:sz w:val="24"/>
          <w:szCs w:val="24"/>
        </w:rPr>
        <w:t xml:space="preserve"> raketnih sustava HIMARS M142 te šest </w:t>
      </w:r>
      <w:proofErr w:type="spellStart"/>
      <w:r w:rsidRPr="007F7489">
        <w:rPr>
          <w:color w:val="131313"/>
          <w:sz w:val="24"/>
          <w:szCs w:val="24"/>
        </w:rPr>
        <w:t>besposadnih</w:t>
      </w:r>
      <w:proofErr w:type="spellEnd"/>
      <w:r w:rsidRPr="007F7489">
        <w:rPr>
          <w:color w:val="131313"/>
          <w:sz w:val="24"/>
          <w:szCs w:val="24"/>
        </w:rPr>
        <w:t xml:space="preserve"> </w:t>
      </w:r>
      <w:r>
        <w:rPr>
          <w:color w:val="131313"/>
          <w:sz w:val="24"/>
          <w:szCs w:val="24"/>
        </w:rPr>
        <w:t>zrakoplovnih sustava</w:t>
      </w:r>
      <w:r w:rsidRPr="007F7489">
        <w:rPr>
          <w:color w:val="131313"/>
          <w:sz w:val="24"/>
          <w:szCs w:val="24"/>
        </w:rPr>
        <w:t xml:space="preserve"> </w:t>
      </w:r>
      <w:proofErr w:type="spellStart"/>
      <w:r w:rsidRPr="007F7489">
        <w:rPr>
          <w:color w:val="131313"/>
          <w:sz w:val="24"/>
          <w:szCs w:val="24"/>
        </w:rPr>
        <w:t>Bayraktar</w:t>
      </w:r>
      <w:proofErr w:type="spellEnd"/>
      <w:r w:rsidRPr="007F7489">
        <w:rPr>
          <w:color w:val="131313"/>
          <w:sz w:val="24"/>
          <w:szCs w:val="24"/>
        </w:rPr>
        <w:t>, čija se isporuka očekuje u drugoj polovici 2025.</w:t>
      </w:r>
      <w:r>
        <w:rPr>
          <w:color w:val="131313"/>
          <w:sz w:val="24"/>
          <w:szCs w:val="24"/>
        </w:rPr>
        <w:t xml:space="preserve"> godine.</w:t>
      </w:r>
      <w:r w:rsidRPr="007F7489">
        <w:rPr>
          <w:color w:val="131313"/>
          <w:sz w:val="24"/>
          <w:szCs w:val="24"/>
        </w:rPr>
        <w:t xml:space="preserve"> U području kopnenih snaga nastavlja se opremanje borbenim vozilima </w:t>
      </w:r>
      <w:proofErr w:type="spellStart"/>
      <w:r w:rsidRPr="007F7489">
        <w:rPr>
          <w:color w:val="131313"/>
          <w:sz w:val="24"/>
          <w:szCs w:val="24"/>
        </w:rPr>
        <w:t>Bradley</w:t>
      </w:r>
      <w:proofErr w:type="spellEnd"/>
      <w:r w:rsidRPr="007F7489">
        <w:rPr>
          <w:color w:val="131313"/>
          <w:sz w:val="24"/>
          <w:szCs w:val="24"/>
        </w:rPr>
        <w:t xml:space="preserve"> i </w:t>
      </w:r>
      <w:r>
        <w:rPr>
          <w:color w:val="131313"/>
          <w:sz w:val="24"/>
          <w:szCs w:val="24"/>
        </w:rPr>
        <w:t xml:space="preserve">borbenim oklopnim vozilima </w:t>
      </w:r>
      <w:proofErr w:type="spellStart"/>
      <w:r w:rsidRPr="007F7489">
        <w:rPr>
          <w:color w:val="131313"/>
          <w:sz w:val="24"/>
          <w:szCs w:val="24"/>
        </w:rPr>
        <w:t>Patria</w:t>
      </w:r>
      <w:proofErr w:type="spellEnd"/>
      <w:r w:rsidRPr="007F7489">
        <w:rPr>
          <w:color w:val="131313"/>
          <w:sz w:val="24"/>
          <w:szCs w:val="24"/>
        </w:rPr>
        <w:t>, uvođenje sustava protuzračne obrane vrlo kratkog dometa, opremanje mobilnom bolnicom ROLE-2B te nabava ključnog borbenog streljiva</w:t>
      </w:r>
      <w:r>
        <w:rPr>
          <w:color w:val="131313"/>
          <w:sz w:val="24"/>
          <w:szCs w:val="24"/>
        </w:rPr>
        <w:t>. Dodatno,</w:t>
      </w:r>
      <w:r w:rsidRPr="007F7489">
        <w:rPr>
          <w:color w:val="131313"/>
          <w:sz w:val="24"/>
          <w:szCs w:val="24"/>
        </w:rPr>
        <w:t xml:space="preserve"> dovršena je modernizacija</w:t>
      </w:r>
      <w:r>
        <w:rPr>
          <w:color w:val="131313"/>
          <w:sz w:val="24"/>
          <w:szCs w:val="24"/>
        </w:rPr>
        <w:t xml:space="preserve"> i nadogradnja</w:t>
      </w:r>
      <w:r w:rsidRPr="007F7489">
        <w:rPr>
          <w:color w:val="131313"/>
          <w:sz w:val="24"/>
          <w:szCs w:val="24"/>
        </w:rPr>
        <w:t xml:space="preserve"> prvih osam borbenih vozila </w:t>
      </w:r>
      <w:proofErr w:type="spellStart"/>
      <w:r w:rsidRPr="007F7489">
        <w:rPr>
          <w:color w:val="131313"/>
          <w:sz w:val="24"/>
          <w:szCs w:val="24"/>
        </w:rPr>
        <w:t>Bradley</w:t>
      </w:r>
      <w:proofErr w:type="spellEnd"/>
      <w:r w:rsidRPr="007F7489">
        <w:rPr>
          <w:color w:val="131313"/>
          <w:sz w:val="24"/>
          <w:szCs w:val="24"/>
        </w:rPr>
        <w:t xml:space="preserve"> u tvrtki „Đuro Đaković“, od kojih su četiri predana Oružanim snagama, dok su preostala četiri u završnoj fazi testiranja. U pomorskim snagama započela je modernizacija desantnog broda DBM-81 „Cetina“</w:t>
      </w:r>
      <w:r>
        <w:rPr>
          <w:color w:val="131313"/>
          <w:sz w:val="24"/>
          <w:szCs w:val="24"/>
        </w:rPr>
        <w:t xml:space="preserve"> te je </w:t>
      </w:r>
      <w:r w:rsidRPr="007F7489">
        <w:rPr>
          <w:color w:val="131313"/>
          <w:sz w:val="24"/>
          <w:szCs w:val="24"/>
        </w:rPr>
        <w:t xml:space="preserve">nastavljena izgradnja obalnih ophodnih brodova, pri čemu je </w:t>
      </w:r>
      <w:r w:rsidRPr="000C7469">
        <w:rPr>
          <w:color w:val="131313"/>
          <w:sz w:val="24"/>
          <w:szCs w:val="24"/>
        </w:rPr>
        <w:t xml:space="preserve">krajem 2024. </w:t>
      </w:r>
      <w:r>
        <w:rPr>
          <w:color w:val="131313"/>
          <w:sz w:val="24"/>
          <w:szCs w:val="24"/>
        </w:rPr>
        <w:t xml:space="preserve">dovršen </w:t>
      </w:r>
      <w:r w:rsidRPr="007F7489">
        <w:rPr>
          <w:color w:val="131313"/>
          <w:sz w:val="24"/>
          <w:szCs w:val="24"/>
        </w:rPr>
        <w:t>prvi brod iz serije</w:t>
      </w:r>
      <w:r>
        <w:rPr>
          <w:color w:val="131313"/>
          <w:sz w:val="24"/>
          <w:szCs w:val="24"/>
        </w:rPr>
        <w:t xml:space="preserve"> </w:t>
      </w:r>
      <w:r w:rsidRPr="007F7489">
        <w:rPr>
          <w:color w:val="131313"/>
          <w:sz w:val="24"/>
          <w:szCs w:val="24"/>
        </w:rPr>
        <w:t xml:space="preserve">„Umag“ </w:t>
      </w:r>
      <w:r>
        <w:rPr>
          <w:color w:val="131313"/>
          <w:sz w:val="24"/>
          <w:szCs w:val="24"/>
        </w:rPr>
        <w:t>te je</w:t>
      </w:r>
      <w:r w:rsidRPr="007F7489">
        <w:rPr>
          <w:color w:val="131313"/>
          <w:sz w:val="24"/>
          <w:szCs w:val="24"/>
        </w:rPr>
        <w:t xml:space="preserve"> predan na uporabu</w:t>
      </w:r>
      <w:r>
        <w:rPr>
          <w:color w:val="131313"/>
          <w:sz w:val="24"/>
          <w:szCs w:val="24"/>
        </w:rPr>
        <w:t xml:space="preserve">. Istovremeno je </w:t>
      </w:r>
      <w:r w:rsidRPr="007F7489">
        <w:rPr>
          <w:color w:val="131313"/>
          <w:sz w:val="24"/>
          <w:szCs w:val="24"/>
        </w:rPr>
        <w:t>nastavlj</w:t>
      </w:r>
      <w:r>
        <w:rPr>
          <w:color w:val="131313"/>
          <w:sz w:val="24"/>
          <w:szCs w:val="24"/>
        </w:rPr>
        <w:t>eno</w:t>
      </w:r>
      <w:r w:rsidRPr="007F7489">
        <w:rPr>
          <w:color w:val="131313"/>
          <w:sz w:val="24"/>
          <w:szCs w:val="24"/>
        </w:rPr>
        <w:t xml:space="preserve"> opremanje Hrvatske ratne mornarice brodicama, ronilačkom opremom i drugim specijaliziranim sredstvima te su pokrenute aktivnosti za nabavu višenamjenskog broda (</w:t>
      </w:r>
      <w:proofErr w:type="spellStart"/>
      <w:r w:rsidRPr="007F7489">
        <w:rPr>
          <w:color w:val="131313"/>
          <w:sz w:val="24"/>
          <w:szCs w:val="24"/>
        </w:rPr>
        <w:t>korvete</w:t>
      </w:r>
      <w:proofErr w:type="spellEnd"/>
      <w:r w:rsidRPr="007F7489">
        <w:rPr>
          <w:color w:val="131313"/>
          <w:sz w:val="24"/>
          <w:szCs w:val="24"/>
        </w:rPr>
        <w:t xml:space="preserve">) kao jednog od prioriteta u </w:t>
      </w:r>
      <w:r>
        <w:rPr>
          <w:color w:val="131313"/>
          <w:sz w:val="24"/>
          <w:szCs w:val="24"/>
        </w:rPr>
        <w:t>narednom</w:t>
      </w:r>
      <w:r w:rsidRPr="007F7489">
        <w:rPr>
          <w:color w:val="131313"/>
          <w:sz w:val="24"/>
          <w:szCs w:val="24"/>
        </w:rPr>
        <w:t xml:space="preserve"> razdoblju</w:t>
      </w:r>
      <w:r>
        <w:rPr>
          <w:color w:val="131313"/>
          <w:sz w:val="24"/>
          <w:szCs w:val="24"/>
        </w:rPr>
        <w:t xml:space="preserve">. </w:t>
      </w:r>
    </w:p>
    <w:p w14:paraId="337743D8" w14:textId="77777777" w:rsidR="00FB178A" w:rsidRPr="009D1B34" w:rsidRDefault="00FB178A" w:rsidP="00FB178A">
      <w:pPr>
        <w:spacing w:after="240" w:line="276" w:lineRule="auto"/>
        <w:jc w:val="both"/>
        <w:rPr>
          <w:color w:val="131313"/>
          <w:sz w:val="24"/>
          <w:szCs w:val="24"/>
        </w:rPr>
      </w:pPr>
      <w:r w:rsidRPr="009D1B34">
        <w:rPr>
          <w:color w:val="131313"/>
          <w:sz w:val="24"/>
          <w:szCs w:val="24"/>
        </w:rPr>
        <w:t xml:space="preserve">Nacionalne obrambene sposobnosti dodatno se jačaju prelaskom s istočne na zapadnu vojnu tehnologiju, uključujući nabavu tenkova LEOPARD 2A8 i samohodnih haubica </w:t>
      </w:r>
      <w:r>
        <w:rPr>
          <w:color w:val="131313"/>
          <w:sz w:val="24"/>
          <w:szCs w:val="24"/>
        </w:rPr>
        <w:t xml:space="preserve">155 mm </w:t>
      </w:r>
      <w:r w:rsidRPr="009D1B34">
        <w:rPr>
          <w:color w:val="131313"/>
          <w:sz w:val="24"/>
          <w:szCs w:val="24"/>
        </w:rPr>
        <w:t>CA</w:t>
      </w:r>
      <w:r>
        <w:rPr>
          <w:color w:val="131313"/>
          <w:sz w:val="24"/>
          <w:szCs w:val="24"/>
        </w:rPr>
        <w:t>ESAR</w:t>
      </w:r>
      <w:r w:rsidRPr="009D1B34">
        <w:rPr>
          <w:color w:val="131313"/>
          <w:sz w:val="24"/>
          <w:szCs w:val="24"/>
        </w:rPr>
        <w:t>.</w:t>
      </w:r>
      <w:r>
        <w:rPr>
          <w:color w:val="131313"/>
          <w:sz w:val="24"/>
          <w:szCs w:val="24"/>
        </w:rPr>
        <w:t xml:space="preserve"> </w:t>
      </w:r>
      <w:r w:rsidRPr="00FC6136">
        <w:rPr>
          <w:color w:val="131313"/>
          <w:sz w:val="24"/>
          <w:szCs w:val="24"/>
        </w:rPr>
        <w:t xml:space="preserve">Nastavljene su aktivnosti opremanja materijalno-tehničkim sredstvima, kontinuirana opskrba klasama materijalnih sredstava i uslugama koje omogućuju redovno funkcioniranje Hrvatske vojske te izgradnja, rekonstrukcija i adaptacija objekata i infrastrukture. Hrvatska </w:t>
      </w:r>
      <w:r>
        <w:rPr>
          <w:color w:val="131313"/>
          <w:sz w:val="24"/>
          <w:szCs w:val="24"/>
        </w:rPr>
        <w:t xml:space="preserve">je </w:t>
      </w:r>
      <w:r w:rsidRPr="00FC6136">
        <w:rPr>
          <w:color w:val="131313"/>
          <w:sz w:val="24"/>
          <w:szCs w:val="24"/>
        </w:rPr>
        <w:t xml:space="preserve"> prepoznala zajedničku nabavu obrambenih proizvoda u okviru Europske obrambene agencije</w:t>
      </w:r>
      <w:r>
        <w:rPr>
          <w:color w:val="131313"/>
          <w:sz w:val="24"/>
          <w:szCs w:val="24"/>
        </w:rPr>
        <w:t>,</w:t>
      </w:r>
      <w:r w:rsidRPr="00FC6136">
        <w:rPr>
          <w:color w:val="131313"/>
          <w:sz w:val="24"/>
          <w:szCs w:val="24"/>
        </w:rPr>
        <w:t xml:space="preserve"> kao važ</w:t>
      </w:r>
      <w:r>
        <w:rPr>
          <w:color w:val="131313"/>
          <w:sz w:val="24"/>
          <w:szCs w:val="24"/>
        </w:rPr>
        <w:t>an</w:t>
      </w:r>
      <w:r w:rsidRPr="00FC6136">
        <w:rPr>
          <w:color w:val="131313"/>
          <w:sz w:val="24"/>
          <w:szCs w:val="24"/>
        </w:rPr>
        <w:t xml:space="preserve"> mehanizam za popunu nacionalnih zaliha i održavanje spremnosti Hrvatske vojske.</w:t>
      </w:r>
    </w:p>
    <w:p w14:paraId="0172898B" w14:textId="77777777" w:rsidR="00FB178A" w:rsidRPr="008564C7" w:rsidRDefault="00FB178A" w:rsidP="00FB178A">
      <w:pPr>
        <w:spacing w:line="276" w:lineRule="auto"/>
        <w:jc w:val="both"/>
        <w:rPr>
          <w:color w:val="131313"/>
          <w:sz w:val="24"/>
          <w:szCs w:val="24"/>
        </w:rPr>
      </w:pPr>
      <w:r>
        <w:rPr>
          <w:color w:val="131313"/>
          <w:sz w:val="24"/>
          <w:szCs w:val="24"/>
        </w:rPr>
        <w:t xml:space="preserve">Kroz bilateralnu i multilateralnu suradnju </w:t>
      </w:r>
      <w:r w:rsidRPr="00B33166">
        <w:rPr>
          <w:color w:val="131313"/>
          <w:sz w:val="24"/>
          <w:szCs w:val="24"/>
        </w:rPr>
        <w:t>Hrvatska</w:t>
      </w:r>
      <w:r>
        <w:rPr>
          <w:color w:val="131313"/>
          <w:sz w:val="24"/>
          <w:szCs w:val="24"/>
        </w:rPr>
        <w:t xml:space="preserve"> vojska je </w:t>
      </w:r>
      <w:r w:rsidRPr="00B33166">
        <w:rPr>
          <w:color w:val="131313"/>
          <w:sz w:val="24"/>
          <w:szCs w:val="24"/>
        </w:rPr>
        <w:t>nastavila aktivno doprinositi miru i sigurnosti kroz sudjelovanje u operacijama</w:t>
      </w:r>
      <w:r>
        <w:rPr>
          <w:color w:val="131313"/>
          <w:sz w:val="24"/>
          <w:szCs w:val="24"/>
        </w:rPr>
        <w:t>,</w:t>
      </w:r>
      <w:r w:rsidRPr="00B33166">
        <w:rPr>
          <w:color w:val="131313"/>
          <w:sz w:val="24"/>
          <w:szCs w:val="24"/>
        </w:rPr>
        <w:t xml:space="preserve"> misijama</w:t>
      </w:r>
      <w:r>
        <w:rPr>
          <w:color w:val="131313"/>
          <w:sz w:val="24"/>
          <w:szCs w:val="24"/>
        </w:rPr>
        <w:t xml:space="preserve"> i aktivnostima</w:t>
      </w:r>
      <w:r w:rsidRPr="00B33166">
        <w:rPr>
          <w:color w:val="131313"/>
          <w:sz w:val="24"/>
          <w:szCs w:val="24"/>
        </w:rPr>
        <w:t xml:space="preserve"> NATO-a, EU-a, UN-a</w:t>
      </w:r>
      <w:r>
        <w:rPr>
          <w:color w:val="131313"/>
          <w:sz w:val="24"/>
          <w:szCs w:val="24"/>
        </w:rPr>
        <w:t>,</w:t>
      </w:r>
      <w:r w:rsidRPr="00B33166">
        <w:rPr>
          <w:color w:val="131313"/>
          <w:sz w:val="24"/>
          <w:szCs w:val="24"/>
        </w:rPr>
        <w:t xml:space="preserve"> </w:t>
      </w:r>
      <w:r>
        <w:rPr>
          <w:color w:val="131313"/>
          <w:sz w:val="24"/>
          <w:szCs w:val="24"/>
        </w:rPr>
        <w:t>kao i u aktivnostima</w:t>
      </w:r>
      <w:r w:rsidRPr="008564C7">
        <w:rPr>
          <w:color w:val="131313"/>
          <w:sz w:val="24"/>
          <w:szCs w:val="24"/>
        </w:rPr>
        <w:t xml:space="preserve"> Organizacije za europsku sigurnost i suradnju</w:t>
      </w:r>
      <w:r>
        <w:rPr>
          <w:color w:val="131313"/>
          <w:sz w:val="24"/>
          <w:szCs w:val="24"/>
        </w:rPr>
        <w:t xml:space="preserve"> (</w:t>
      </w:r>
      <w:r w:rsidRPr="00B33166">
        <w:rPr>
          <w:color w:val="131313"/>
          <w:sz w:val="24"/>
          <w:szCs w:val="24"/>
        </w:rPr>
        <w:t>OESS</w:t>
      </w:r>
      <w:r>
        <w:rPr>
          <w:color w:val="131313"/>
          <w:sz w:val="24"/>
          <w:szCs w:val="24"/>
        </w:rPr>
        <w:t>) te Centra za sigurnosnu suradnju (</w:t>
      </w:r>
      <w:r w:rsidRPr="00B33166">
        <w:rPr>
          <w:color w:val="131313"/>
          <w:sz w:val="24"/>
          <w:szCs w:val="24"/>
        </w:rPr>
        <w:t>RACVIAC</w:t>
      </w:r>
      <w:r>
        <w:rPr>
          <w:color w:val="131313"/>
          <w:sz w:val="24"/>
          <w:szCs w:val="24"/>
        </w:rPr>
        <w:t>)</w:t>
      </w:r>
      <w:r w:rsidRPr="00B33166">
        <w:rPr>
          <w:color w:val="131313"/>
          <w:sz w:val="24"/>
          <w:szCs w:val="24"/>
        </w:rPr>
        <w:t xml:space="preserve">. </w:t>
      </w:r>
      <w:r>
        <w:rPr>
          <w:color w:val="131313"/>
          <w:sz w:val="24"/>
          <w:szCs w:val="24"/>
        </w:rPr>
        <w:t>Tijekom</w:t>
      </w:r>
      <w:r w:rsidRPr="00B33166">
        <w:rPr>
          <w:color w:val="131313"/>
          <w:sz w:val="24"/>
          <w:szCs w:val="24"/>
        </w:rPr>
        <w:t xml:space="preserve"> 2024. u međunarodnim operacijama</w:t>
      </w:r>
      <w:r>
        <w:rPr>
          <w:color w:val="131313"/>
          <w:sz w:val="24"/>
          <w:szCs w:val="24"/>
        </w:rPr>
        <w:t>, misijama i drugim aktivnostima</w:t>
      </w:r>
      <w:r w:rsidRPr="00B33166">
        <w:rPr>
          <w:color w:val="131313"/>
          <w:sz w:val="24"/>
          <w:szCs w:val="24"/>
        </w:rPr>
        <w:t xml:space="preserve"> sudjelovalo je ukupno 968 pripadnika Hrvatske vojske, uključujući 62 </w:t>
      </w:r>
      <w:r>
        <w:rPr>
          <w:color w:val="131313"/>
          <w:sz w:val="24"/>
          <w:szCs w:val="24"/>
        </w:rPr>
        <w:t>pripadnice</w:t>
      </w:r>
      <w:r w:rsidRPr="00B33166">
        <w:rPr>
          <w:color w:val="131313"/>
          <w:sz w:val="24"/>
          <w:szCs w:val="24"/>
        </w:rPr>
        <w:t>.</w:t>
      </w:r>
      <w:r>
        <w:rPr>
          <w:color w:val="131313"/>
          <w:sz w:val="24"/>
          <w:szCs w:val="24"/>
        </w:rPr>
        <w:t xml:space="preserve"> </w:t>
      </w:r>
      <w:r w:rsidRPr="00B6639E">
        <w:rPr>
          <w:color w:val="131313"/>
          <w:sz w:val="24"/>
          <w:szCs w:val="24"/>
        </w:rPr>
        <w:t>Nastavljeno</w:t>
      </w:r>
      <w:r w:rsidRPr="00B33166">
        <w:rPr>
          <w:color w:val="131313"/>
          <w:sz w:val="24"/>
          <w:szCs w:val="24"/>
        </w:rPr>
        <w:t xml:space="preserve"> je </w:t>
      </w:r>
      <w:r w:rsidRPr="00B6639E">
        <w:rPr>
          <w:color w:val="131313"/>
          <w:sz w:val="24"/>
          <w:szCs w:val="24"/>
        </w:rPr>
        <w:t xml:space="preserve">sudjelovanje </w:t>
      </w:r>
      <w:r w:rsidRPr="00B33166">
        <w:rPr>
          <w:color w:val="131313"/>
          <w:sz w:val="24"/>
          <w:szCs w:val="24"/>
        </w:rPr>
        <w:t xml:space="preserve">u operaciji </w:t>
      </w:r>
      <w:r w:rsidRPr="00B6639E">
        <w:rPr>
          <w:color w:val="131313"/>
          <w:sz w:val="24"/>
          <w:szCs w:val="24"/>
        </w:rPr>
        <w:t xml:space="preserve">potpore miru </w:t>
      </w:r>
      <w:r w:rsidRPr="00B33166">
        <w:rPr>
          <w:color w:val="131313"/>
          <w:sz w:val="24"/>
          <w:szCs w:val="24"/>
        </w:rPr>
        <w:t xml:space="preserve">KFOR </w:t>
      </w:r>
      <w:r>
        <w:rPr>
          <w:color w:val="131313"/>
          <w:sz w:val="24"/>
          <w:szCs w:val="24"/>
        </w:rPr>
        <w:t>na</w:t>
      </w:r>
      <w:r w:rsidRPr="00B33166">
        <w:rPr>
          <w:color w:val="131313"/>
          <w:sz w:val="24"/>
          <w:szCs w:val="24"/>
        </w:rPr>
        <w:t xml:space="preserve"> </w:t>
      </w:r>
      <w:r>
        <w:rPr>
          <w:color w:val="131313"/>
          <w:sz w:val="24"/>
          <w:szCs w:val="24"/>
        </w:rPr>
        <w:t xml:space="preserve">Republici </w:t>
      </w:r>
      <w:r w:rsidRPr="00B33166">
        <w:rPr>
          <w:color w:val="131313"/>
          <w:sz w:val="24"/>
          <w:szCs w:val="24"/>
        </w:rPr>
        <w:t>Kosov</w:t>
      </w:r>
      <w:r>
        <w:rPr>
          <w:color w:val="131313"/>
          <w:sz w:val="24"/>
          <w:szCs w:val="24"/>
        </w:rPr>
        <w:t>o</w:t>
      </w:r>
      <w:r w:rsidRPr="00B33166">
        <w:rPr>
          <w:color w:val="131313"/>
          <w:sz w:val="24"/>
          <w:szCs w:val="24"/>
        </w:rPr>
        <w:t xml:space="preserve"> (491 pripadnik), NATO misiji u Iraku (21</w:t>
      </w:r>
      <w:r>
        <w:rPr>
          <w:color w:val="131313"/>
          <w:sz w:val="24"/>
          <w:szCs w:val="24"/>
        </w:rPr>
        <w:t xml:space="preserve"> </w:t>
      </w:r>
      <w:r w:rsidRPr="00B33166">
        <w:rPr>
          <w:color w:val="131313"/>
          <w:sz w:val="24"/>
          <w:szCs w:val="24"/>
        </w:rPr>
        <w:t xml:space="preserve">pripadnik), operaciji </w:t>
      </w:r>
      <w:r>
        <w:rPr>
          <w:color w:val="131313"/>
          <w:sz w:val="24"/>
          <w:szCs w:val="24"/>
        </w:rPr>
        <w:t xml:space="preserve">potpore miru </w:t>
      </w:r>
      <w:r w:rsidRPr="00B33166">
        <w:rPr>
          <w:color w:val="131313"/>
          <w:sz w:val="24"/>
          <w:szCs w:val="24"/>
        </w:rPr>
        <w:t>SEA GUARDIAN u Sredozemlju (66</w:t>
      </w:r>
      <w:r>
        <w:rPr>
          <w:color w:val="131313"/>
          <w:sz w:val="24"/>
          <w:szCs w:val="24"/>
        </w:rPr>
        <w:t xml:space="preserve"> </w:t>
      </w:r>
      <w:r w:rsidRPr="00B33166">
        <w:rPr>
          <w:color w:val="131313"/>
          <w:sz w:val="24"/>
          <w:szCs w:val="24"/>
        </w:rPr>
        <w:t>pripadnik</w:t>
      </w:r>
      <w:r>
        <w:rPr>
          <w:color w:val="131313"/>
          <w:sz w:val="24"/>
          <w:szCs w:val="24"/>
        </w:rPr>
        <w:t>a</w:t>
      </w:r>
      <w:r w:rsidRPr="00B33166">
        <w:rPr>
          <w:color w:val="131313"/>
          <w:sz w:val="24"/>
          <w:szCs w:val="24"/>
        </w:rPr>
        <w:t>)</w:t>
      </w:r>
      <w:r>
        <w:rPr>
          <w:color w:val="131313"/>
          <w:sz w:val="24"/>
          <w:szCs w:val="24"/>
        </w:rPr>
        <w:t xml:space="preserve"> </w:t>
      </w:r>
      <w:r w:rsidRPr="00B33166">
        <w:rPr>
          <w:color w:val="131313"/>
          <w:sz w:val="24"/>
          <w:szCs w:val="24"/>
        </w:rPr>
        <w:t xml:space="preserve">te </w:t>
      </w:r>
      <w:r>
        <w:rPr>
          <w:color w:val="131313"/>
          <w:sz w:val="24"/>
          <w:szCs w:val="24"/>
        </w:rPr>
        <w:t xml:space="preserve">NATO </w:t>
      </w:r>
      <w:r w:rsidRPr="00B33166">
        <w:rPr>
          <w:color w:val="131313"/>
          <w:sz w:val="24"/>
          <w:szCs w:val="24"/>
        </w:rPr>
        <w:t xml:space="preserve">aktivnostima u </w:t>
      </w:r>
      <w:r>
        <w:rPr>
          <w:color w:val="131313"/>
          <w:sz w:val="24"/>
          <w:szCs w:val="24"/>
        </w:rPr>
        <w:t xml:space="preserve">Republici </w:t>
      </w:r>
      <w:r w:rsidRPr="00B33166">
        <w:rPr>
          <w:color w:val="131313"/>
          <w:sz w:val="24"/>
          <w:szCs w:val="24"/>
        </w:rPr>
        <w:t>Poljskoj (140</w:t>
      </w:r>
      <w:r>
        <w:rPr>
          <w:color w:val="131313"/>
          <w:sz w:val="24"/>
          <w:szCs w:val="24"/>
        </w:rPr>
        <w:t xml:space="preserve"> </w:t>
      </w:r>
      <w:r w:rsidRPr="00B33166">
        <w:rPr>
          <w:color w:val="131313"/>
          <w:sz w:val="24"/>
          <w:szCs w:val="24"/>
        </w:rPr>
        <w:t>pripadnik</w:t>
      </w:r>
      <w:r>
        <w:rPr>
          <w:color w:val="131313"/>
          <w:sz w:val="24"/>
          <w:szCs w:val="24"/>
        </w:rPr>
        <w:t>a</w:t>
      </w:r>
      <w:r w:rsidRPr="00B33166">
        <w:rPr>
          <w:color w:val="131313"/>
          <w:sz w:val="24"/>
          <w:szCs w:val="24"/>
        </w:rPr>
        <w:t>), Mađarskoj (194</w:t>
      </w:r>
      <w:r>
        <w:rPr>
          <w:color w:val="131313"/>
          <w:sz w:val="24"/>
          <w:szCs w:val="24"/>
        </w:rPr>
        <w:t xml:space="preserve"> </w:t>
      </w:r>
      <w:r w:rsidRPr="00B33166">
        <w:rPr>
          <w:color w:val="131313"/>
          <w:sz w:val="24"/>
          <w:szCs w:val="24"/>
        </w:rPr>
        <w:t>pripadnik</w:t>
      </w:r>
      <w:r>
        <w:rPr>
          <w:color w:val="131313"/>
          <w:sz w:val="24"/>
          <w:szCs w:val="24"/>
        </w:rPr>
        <w:t>a</w:t>
      </w:r>
      <w:r w:rsidRPr="00B33166">
        <w:rPr>
          <w:color w:val="131313"/>
          <w:sz w:val="24"/>
          <w:szCs w:val="24"/>
        </w:rPr>
        <w:t xml:space="preserve">) i </w:t>
      </w:r>
      <w:r>
        <w:rPr>
          <w:color w:val="131313"/>
          <w:sz w:val="24"/>
          <w:szCs w:val="24"/>
        </w:rPr>
        <w:t xml:space="preserve">Republici </w:t>
      </w:r>
      <w:r w:rsidRPr="00B33166">
        <w:rPr>
          <w:color w:val="131313"/>
          <w:sz w:val="24"/>
          <w:szCs w:val="24"/>
        </w:rPr>
        <w:t>Bugarskoj (</w:t>
      </w:r>
      <w:r>
        <w:rPr>
          <w:color w:val="131313"/>
          <w:sz w:val="24"/>
          <w:szCs w:val="24"/>
        </w:rPr>
        <w:t xml:space="preserve">osam </w:t>
      </w:r>
      <w:r w:rsidRPr="00B33166">
        <w:rPr>
          <w:color w:val="131313"/>
          <w:sz w:val="24"/>
          <w:szCs w:val="24"/>
        </w:rPr>
        <w:t>pripadnik</w:t>
      </w:r>
      <w:r>
        <w:rPr>
          <w:color w:val="131313"/>
          <w:sz w:val="24"/>
          <w:szCs w:val="24"/>
        </w:rPr>
        <w:t>a</w:t>
      </w:r>
      <w:r w:rsidRPr="00B33166">
        <w:rPr>
          <w:color w:val="131313"/>
          <w:sz w:val="24"/>
          <w:szCs w:val="24"/>
        </w:rPr>
        <w:t xml:space="preserve">). </w:t>
      </w:r>
      <w:r>
        <w:rPr>
          <w:color w:val="131313"/>
          <w:sz w:val="24"/>
          <w:szCs w:val="24"/>
        </w:rPr>
        <w:t xml:space="preserve">U </w:t>
      </w:r>
      <w:r w:rsidRPr="00FE21B6">
        <w:rPr>
          <w:color w:val="131313"/>
          <w:sz w:val="24"/>
          <w:szCs w:val="24"/>
        </w:rPr>
        <w:t xml:space="preserve">aktivnosti Stalne NATO skupine </w:t>
      </w:r>
      <w:proofErr w:type="spellStart"/>
      <w:r w:rsidRPr="00FE21B6">
        <w:rPr>
          <w:color w:val="131313"/>
          <w:sz w:val="24"/>
          <w:szCs w:val="24"/>
        </w:rPr>
        <w:t>protuminskih</w:t>
      </w:r>
      <w:proofErr w:type="spellEnd"/>
      <w:r w:rsidRPr="00FE21B6">
        <w:rPr>
          <w:color w:val="131313"/>
          <w:sz w:val="24"/>
          <w:szCs w:val="24"/>
        </w:rPr>
        <w:t xml:space="preserve"> snaga 2 s timom </w:t>
      </w:r>
      <w:proofErr w:type="spellStart"/>
      <w:r w:rsidRPr="00FE21B6">
        <w:rPr>
          <w:color w:val="131313"/>
          <w:sz w:val="24"/>
          <w:szCs w:val="24"/>
        </w:rPr>
        <w:t>protuminskih</w:t>
      </w:r>
      <w:proofErr w:type="spellEnd"/>
      <w:r w:rsidRPr="00FE21B6">
        <w:rPr>
          <w:color w:val="131313"/>
          <w:sz w:val="24"/>
          <w:szCs w:val="24"/>
        </w:rPr>
        <w:t xml:space="preserve"> </w:t>
      </w:r>
      <w:proofErr w:type="spellStart"/>
      <w:r w:rsidRPr="00FE21B6">
        <w:rPr>
          <w:color w:val="131313"/>
          <w:sz w:val="24"/>
          <w:szCs w:val="24"/>
        </w:rPr>
        <w:t>ronitelja</w:t>
      </w:r>
      <w:proofErr w:type="spellEnd"/>
      <w:r w:rsidRPr="00FE21B6">
        <w:rPr>
          <w:color w:val="131313"/>
          <w:sz w:val="24"/>
          <w:szCs w:val="24"/>
        </w:rPr>
        <w:t xml:space="preserve"> sudjelovalo je </w:t>
      </w:r>
      <w:r>
        <w:rPr>
          <w:color w:val="131313"/>
          <w:sz w:val="24"/>
          <w:szCs w:val="24"/>
        </w:rPr>
        <w:t>sedam</w:t>
      </w:r>
      <w:r w:rsidRPr="00FE21B6">
        <w:rPr>
          <w:color w:val="131313"/>
          <w:sz w:val="24"/>
          <w:szCs w:val="24"/>
        </w:rPr>
        <w:t xml:space="preserve"> pripadnika, i to </w:t>
      </w:r>
      <w:r w:rsidRPr="00B33166">
        <w:rPr>
          <w:color w:val="131313"/>
          <w:sz w:val="24"/>
          <w:szCs w:val="24"/>
        </w:rPr>
        <w:t xml:space="preserve">na brodovima </w:t>
      </w:r>
      <w:r>
        <w:rPr>
          <w:color w:val="131313"/>
          <w:sz w:val="24"/>
          <w:szCs w:val="24"/>
        </w:rPr>
        <w:t>T</w:t>
      </w:r>
      <w:r w:rsidRPr="00B33166">
        <w:rPr>
          <w:color w:val="131313"/>
          <w:sz w:val="24"/>
          <w:szCs w:val="24"/>
        </w:rPr>
        <w:t>alijanske</w:t>
      </w:r>
      <w:r>
        <w:rPr>
          <w:color w:val="131313"/>
          <w:sz w:val="24"/>
          <w:szCs w:val="24"/>
        </w:rPr>
        <w:t xml:space="preserve"> ratne</w:t>
      </w:r>
      <w:r w:rsidRPr="00B33166">
        <w:rPr>
          <w:color w:val="131313"/>
          <w:sz w:val="24"/>
          <w:szCs w:val="24"/>
        </w:rPr>
        <w:t xml:space="preserve"> mornarice.</w:t>
      </w:r>
      <w:r>
        <w:rPr>
          <w:color w:val="131313"/>
          <w:sz w:val="24"/>
          <w:szCs w:val="24"/>
        </w:rPr>
        <w:t xml:space="preserve"> </w:t>
      </w:r>
      <w:r w:rsidRPr="00B33166">
        <w:rPr>
          <w:color w:val="131313"/>
          <w:sz w:val="24"/>
          <w:szCs w:val="24"/>
        </w:rPr>
        <w:t>U misijama UN-a u Indiji i Pakistanu, Zapadnoj Sahari i Libanonu bilo je angažirano</w:t>
      </w:r>
      <w:r>
        <w:rPr>
          <w:color w:val="131313"/>
          <w:sz w:val="24"/>
          <w:szCs w:val="24"/>
        </w:rPr>
        <w:t xml:space="preserve"> sveukupno</w:t>
      </w:r>
      <w:r w:rsidRPr="00B33166">
        <w:rPr>
          <w:color w:val="131313"/>
          <w:sz w:val="24"/>
          <w:szCs w:val="24"/>
        </w:rPr>
        <w:t xml:space="preserve"> 27 pripadnika</w:t>
      </w:r>
      <w:r>
        <w:rPr>
          <w:color w:val="131313"/>
          <w:sz w:val="24"/>
          <w:szCs w:val="24"/>
        </w:rPr>
        <w:t xml:space="preserve"> u sklopu redovitih rotacija</w:t>
      </w:r>
      <w:r w:rsidRPr="00B33166">
        <w:rPr>
          <w:color w:val="131313"/>
          <w:sz w:val="24"/>
          <w:szCs w:val="24"/>
        </w:rPr>
        <w:t>, dok su u misijama EU-a „</w:t>
      </w:r>
      <w:r w:rsidRPr="00700E34">
        <w:rPr>
          <w:color w:val="131313"/>
          <w:sz w:val="24"/>
          <w:szCs w:val="24"/>
        </w:rPr>
        <w:t xml:space="preserve">EUNAVFOR Somalija </w:t>
      </w:r>
      <w:r>
        <w:rPr>
          <w:color w:val="131313"/>
          <w:sz w:val="24"/>
          <w:szCs w:val="24"/>
        </w:rPr>
        <w:t>-</w:t>
      </w:r>
      <w:r w:rsidRPr="00700E34">
        <w:rPr>
          <w:color w:val="131313"/>
          <w:sz w:val="24"/>
          <w:szCs w:val="24"/>
        </w:rPr>
        <w:t xml:space="preserve"> </w:t>
      </w:r>
      <w:proofErr w:type="spellStart"/>
      <w:r w:rsidRPr="00B33166">
        <w:rPr>
          <w:color w:val="131313"/>
          <w:sz w:val="24"/>
          <w:szCs w:val="24"/>
        </w:rPr>
        <w:t>Atalanta</w:t>
      </w:r>
      <w:proofErr w:type="spellEnd"/>
      <w:r w:rsidRPr="00B33166">
        <w:rPr>
          <w:color w:val="131313"/>
          <w:sz w:val="24"/>
          <w:szCs w:val="24"/>
        </w:rPr>
        <w:t xml:space="preserve">“ sudjelovala </w:t>
      </w:r>
      <w:r>
        <w:rPr>
          <w:color w:val="131313"/>
          <w:sz w:val="24"/>
          <w:szCs w:val="24"/>
        </w:rPr>
        <w:t>tri pripadnika</w:t>
      </w:r>
      <w:r w:rsidRPr="00B33166">
        <w:rPr>
          <w:color w:val="131313"/>
          <w:sz w:val="24"/>
          <w:szCs w:val="24"/>
        </w:rPr>
        <w:t xml:space="preserve">, </w:t>
      </w:r>
      <w:r w:rsidRPr="00223A1E">
        <w:rPr>
          <w:color w:val="131313"/>
          <w:sz w:val="24"/>
          <w:szCs w:val="24"/>
        </w:rPr>
        <w:t xml:space="preserve">a u operaciji „EUNAVFOR MED IRINI“ </w:t>
      </w:r>
      <w:r>
        <w:rPr>
          <w:color w:val="131313"/>
          <w:sz w:val="24"/>
          <w:szCs w:val="24"/>
        </w:rPr>
        <w:t>sedam</w:t>
      </w:r>
      <w:r w:rsidRPr="00223A1E">
        <w:rPr>
          <w:color w:val="131313"/>
          <w:sz w:val="24"/>
          <w:szCs w:val="24"/>
        </w:rPr>
        <w:t xml:space="preserve"> stožernih časnika</w:t>
      </w:r>
      <w:r w:rsidRPr="00B33166">
        <w:rPr>
          <w:color w:val="131313"/>
          <w:sz w:val="24"/>
          <w:szCs w:val="24"/>
        </w:rPr>
        <w:t>.</w:t>
      </w:r>
      <w:r w:rsidRPr="008564C7">
        <w:rPr>
          <w:color w:val="131313"/>
          <w:sz w:val="24"/>
          <w:szCs w:val="24"/>
        </w:rPr>
        <w:t xml:space="preserve"> Dodatno, Republika Hrvatska sudjelovala je sa 3 pripadnika Hrvatske vojske u operaciji NATO koalicije „INHERENT RESOLVE“, kao i </w:t>
      </w:r>
      <w:r w:rsidRPr="008564C7">
        <w:rPr>
          <w:color w:val="131313"/>
          <w:sz w:val="24"/>
          <w:szCs w:val="24"/>
        </w:rPr>
        <w:lastRenderedPageBreak/>
        <w:t xml:space="preserve">sa jednim pripadnikom iz satnije </w:t>
      </w:r>
      <w:proofErr w:type="spellStart"/>
      <w:r w:rsidRPr="008564C7">
        <w:rPr>
          <w:color w:val="131313"/>
          <w:sz w:val="24"/>
          <w:szCs w:val="24"/>
        </w:rPr>
        <w:t>razmjestivog</w:t>
      </w:r>
      <w:proofErr w:type="spellEnd"/>
      <w:r w:rsidRPr="008564C7">
        <w:rPr>
          <w:color w:val="131313"/>
          <w:sz w:val="24"/>
          <w:szCs w:val="24"/>
        </w:rPr>
        <w:t xml:space="preserve"> komunikacijskog modula NATO bojne (NATO DCM) u potpori NATO misiji u Iraku.</w:t>
      </w:r>
      <w:r>
        <w:rPr>
          <w:color w:val="131313"/>
          <w:sz w:val="24"/>
          <w:szCs w:val="24"/>
        </w:rPr>
        <w:t xml:space="preserve"> </w:t>
      </w:r>
      <w:r w:rsidRPr="008564C7">
        <w:rPr>
          <w:color w:val="131313"/>
          <w:sz w:val="24"/>
          <w:szCs w:val="24"/>
        </w:rPr>
        <w:t xml:space="preserve">Nastavljeno je i pružanje diplomatske, tehničke, vojne i humanitarne pomoći Ukrajini u njezinoj borbi za slobodu i teritorijalnu cjelovitost od ruske agresije te je tijekom 2024. Vlada </w:t>
      </w:r>
      <w:r>
        <w:rPr>
          <w:color w:val="000000" w:themeColor="text1"/>
          <w:sz w:val="24"/>
          <w:szCs w:val="24"/>
        </w:rPr>
        <w:t>Republike Hrvatske</w:t>
      </w:r>
      <w:r w:rsidRPr="00B23F9E">
        <w:rPr>
          <w:color w:val="000000" w:themeColor="text1"/>
          <w:sz w:val="24"/>
          <w:szCs w:val="24"/>
        </w:rPr>
        <w:t xml:space="preserve"> </w:t>
      </w:r>
      <w:r>
        <w:rPr>
          <w:color w:val="000000" w:themeColor="text1"/>
          <w:sz w:val="24"/>
          <w:szCs w:val="24"/>
        </w:rPr>
        <w:t xml:space="preserve"> </w:t>
      </w:r>
      <w:r w:rsidRPr="008564C7">
        <w:rPr>
          <w:color w:val="131313"/>
          <w:sz w:val="24"/>
          <w:szCs w:val="24"/>
        </w:rPr>
        <w:t xml:space="preserve">donijela tri </w:t>
      </w:r>
      <w:r>
        <w:rPr>
          <w:color w:val="131313"/>
          <w:sz w:val="24"/>
          <w:szCs w:val="24"/>
        </w:rPr>
        <w:t>o</w:t>
      </w:r>
      <w:r w:rsidRPr="008564C7">
        <w:rPr>
          <w:color w:val="131313"/>
          <w:sz w:val="24"/>
          <w:szCs w:val="24"/>
        </w:rPr>
        <w:t>dluke o pružanju vojne pomoći Ukrajini.</w:t>
      </w:r>
    </w:p>
    <w:p w14:paraId="22134555" w14:textId="77777777" w:rsidR="00FB178A" w:rsidRDefault="00FB178A" w:rsidP="00FB178A">
      <w:pPr>
        <w:spacing w:before="240" w:after="240" w:line="276" w:lineRule="auto"/>
        <w:jc w:val="both"/>
        <w:rPr>
          <w:color w:val="131313"/>
          <w:sz w:val="24"/>
          <w:szCs w:val="24"/>
        </w:rPr>
      </w:pPr>
      <w:r>
        <w:rPr>
          <w:color w:val="131313"/>
          <w:sz w:val="24"/>
          <w:szCs w:val="24"/>
        </w:rPr>
        <w:t>U skladu sa</w:t>
      </w:r>
      <w:r w:rsidRPr="00AC35F3">
        <w:rPr>
          <w:color w:val="131313"/>
          <w:sz w:val="24"/>
          <w:szCs w:val="24"/>
        </w:rPr>
        <w:t xml:space="preserve"> Zakon</w:t>
      </w:r>
      <w:r>
        <w:rPr>
          <w:color w:val="131313"/>
          <w:sz w:val="24"/>
          <w:szCs w:val="24"/>
        </w:rPr>
        <w:t>om</w:t>
      </w:r>
      <w:r w:rsidRPr="00AC35F3">
        <w:rPr>
          <w:color w:val="131313"/>
          <w:sz w:val="24"/>
          <w:szCs w:val="24"/>
        </w:rPr>
        <w:t xml:space="preserve"> o osnivanju Sveučilišta obrane i sigurnosti </w:t>
      </w:r>
      <w:r w:rsidRPr="007552B5">
        <w:rPr>
          <w:color w:val="131313"/>
          <w:sz w:val="24"/>
          <w:szCs w:val="24"/>
        </w:rPr>
        <w:t>(</w:t>
      </w:r>
      <w:r>
        <w:rPr>
          <w:color w:val="131313"/>
          <w:sz w:val="24"/>
          <w:szCs w:val="24"/>
        </w:rPr>
        <w:t xml:space="preserve">„Narodne novine“, broj </w:t>
      </w:r>
      <w:r w:rsidRPr="007552B5">
        <w:rPr>
          <w:color w:val="131313"/>
          <w:sz w:val="24"/>
          <w:szCs w:val="24"/>
        </w:rPr>
        <w:t>34/21</w:t>
      </w:r>
      <w:r>
        <w:rPr>
          <w:color w:val="131313"/>
          <w:sz w:val="24"/>
          <w:szCs w:val="24"/>
        </w:rPr>
        <w:t>.</w:t>
      </w:r>
      <w:r w:rsidRPr="007552B5">
        <w:rPr>
          <w:color w:val="131313"/>
          <w:sz w:val="24"/>
          <w:szCs w:val="24"/>
        </w:rPr>
        <w:t>)</w:t>
      </w:r>
      <w:r w:rsidRPr="00AC35F3">
        <w:rPr>
          <w:color w:val="131313"/>
          <w:sz w:val="24"/>
          <w:szCs w:val="24"/>
        </w:rPr>
        <w:t xml:space="preserve"> </w:t>
      </w:r>
      <w:r>
        <w:rPr>
          <w:color w:val="131313"/>
          <w:sz w:val="24"/>
          <w:szCs w:val="24"/>
        </w:rPr>
        <w:t>nastavljena je t</w:t>
      </w:r>
      <w:r w:rsidRPr="00C13E61">
        <w:rPr>
          <w:color w:val="131313"/>
          <w:sz w:val="24"/>
          <w:szCs w:val="24"/>
        </w:rPr>
        <w:t xml:space="preserve">ransformacija Hrvatskog vojnog učilišta u </w:t>
      </w:r>
      <w:r w:rsidRPr="00AC35F3">
        <w:rPr>
          <w:color w:val="131313"/>
          <w:sz w:val="24"/>
          <w:szCs w:val="24"/>
        </w:rPr>
        <w:t>sveučilišnu instituciju.</w:t>
      </w:r>
      <w:r w:rsidRPr="00C13E61">
        <w:rPr>
          <w:color w:val="131313"/>
          <w:sz w:val="24"/>
          <w:szCs w:val="24"/>
        </w:rPr>
        <w:t xml:space="preserve"> </w:t>
      </w:r>
      <w:r>
        <w:rPr>
          <w:color w:val="131313"/>
          <w:sz w:val="24"/>
          <w:szCs w:val="24"/>
        </w:rPr>
        <w:t>N</w:t>
      </w:r>
      <w:r w:rsidRPr="0069069D">
        <w:rPr>
          <w:color w:val="131313"/>
          <w:sz w:val="24"/>
          <w:szCs w:val="24"/>
        </w:rPr>
        <w:t>a Sveučilište obrane i sigurnosti „Dr. Franjo Tuđman</w:t>
      </w:r>
      <w:r>
        <w:rPr>
          <w:color w:val="131313"/>
          <w:sz w:val="24"/>
          <w:szCs w:val="24"/>
        </w:rPr>
        <w:t>“ p</w:t>
      </w:r>
      <w:r w:rsidRPr="00C13E61">
        <w:rPr>
          <w:color w:val="131313"/>
          <w:sz w:val="24"/>
          <w:szCs w:val="24"/>
        </w:rPr>
        <w:t>renesen</w:t>
      </w:r>
      <w:r>
        <w:rPr>
          <w:color w:val="131313"/>
          <w:sz w:val="24"/>
          <w:szCs w:val="24"/>
        </w:rPr>
        <w:t>i su</w:t>
      </w:r>
      <w:r w:rsidRPr="00C13E61">
        <w:rPr>
          <w:color w:val="131313"/>
          <w:sz w:val="24"/>
          <w:szCs w:val="24"/>
        </w:rPr>
        <w:t xml:space="preserve"> studijski programi „Vojno pomorstvo</w:t>
      </w:r>
      <w:r w:rsidRPr="002805EC">
        <w:rPr>
          <w:color w:val="131313"/>
          <w:sz w:val="24"/>
          <w:szCs w:val="24"/>
        </w:rPr>
        <w:t>“</w:t>
      </w:r>
      <w:r>
        <w:rPr>
          <w:color w:val="131313"/>
          <w:sz w:val="24"/>
          <w:szCs w:val="24"/>
        </w:rPr>
        <w:t xml:space="preserve"> sa Sveučilišta u Splitu</w:t>
      </w:r>
      <w:r w:rsidRPr="00C13E61">
        <w:rPr>
          <w:color w:val="131313"/>
          <w:sz w:val="24"/>
          <w:szCs w:val="24"/>
        </w:rPr>
        <w:t xml:space="preserve">, </w:t>
      </w:r>
      <w:r>
        <w:rPr>
          <w:color w:val="131313"/>
          <w:sz w:val="24"/>
          <w:szCs w:val="24"/>
        </w:rPr>
        <w:t>a sa Sveučilišta</w:t>
      </w:r>
      <w:r w:rsidRPr="00C13E61">
        <w:rPr>
          <w:color w:val="131313"/>
          <w:sz w:val="24"/>
          <w:szCs w:val="24"/>
        </w:rPr>
        <w:t xml:space="preserve"> </w:t>
      </w:r>
      <w:r>
        <w:rPr>
          <w:color w:val="131313"/>
          <w:sz w:val="24"/>
          <w:szCs w:val="24"/>
        </w:rPr>
        <w:t xml:space="preserve">u Zagrebu preneseni su studijski programi </w:t>
      </w:r>
      <w:r w:rsidRPr="00C13E61">
        <w:rPr>
          <w:color w:val="131313"/>
          <w:sz w:val="24"/>
          <w:szCs w:val="24"/>
        </w:rPr>
        <w:t>„Vojno vođenje i upravljanje“ te „Vojno inženjerstvo“</w:t>
      </w:r>
      <w:r>
        <w:rPr>
          <w:color w:val="131313"/>
          <w:sz w:val="24"/>
          <w:szCs w:val="24"/>
        </w:rPr>
        <w:t xml:space="preserve">. </w:t>
      </w:r>
      <w:r w:rsidRPr="00257C43">
        <w:rPr>
          <w:color w:val="131313"/>
          <w:sz w:val="24"/>
          <w:szCs w:val="24"/>
        </w:rPr>
        <w:t>Time su postavljeni temelji za obrazovanje budućih časnika Hrvatske vojske i stručnjaka u području domovinske sigurnosti</w:t>
      </w:r>
      <w:r>
        <w:rPr>
          <w:color w:val="131313"/>
          <w:sz w:val="24"/>
          <w:szCs w:val="24"/>
        </w:rPr>
        <w:t xml:space="preserve"> i</w:t>
      </w:r>
      <w:r w:rsidRPr="00C13E61">
        <w:rPr>
          <w:color w:val="131313"/>
          <w:sz w:val="24"/>
          <w:szCs w:val="24"/>
        </w:rPr>
        <w:t xml:space="preserve"> stvoreni uvjeti za cjelovito obrazovanje u području obrane i sigurnosti.</w:t>
      </w:r>
      <w:r>
        <w:rPr>
          <w:color w:val="131313"/>
          <w:sz w:val="24"/>
          <w:szCs w:val="24"/>
        </w:rPr>
        <w:t xml:space="preserve"> </w:t>
      </w:r>
      <w:r w:rsidRPr="00C13E61">
        <w:rPr>
          <w:color w:val="131313"/>
          <w:sz w:val="24"/>
          <w:szCs w:val="24"/>
        </w:rPr>
        <w:t>Povećan je interes za dragovoljno vojno osposobljavanje</w:t>
      </w:r>
      <w:r>
        <w:rPr>
          <w:color w:val="131313"/>
          <w:sz w:val="24"/>
          <w:szCs w:val="24"/>
        </w:rPr>
        <w:t xml:space="preserve"> te je</w:t>
      </w:r>
      <w:r w:rsidRPr="00C13E61">
        <w:rPr>
          <w:color w:val="131313"/>
          <w:sz w:val="24"/>
          <w:szCs w:val="24"/>
        </w:rPr>
        <w:t xml:space="preserve"> 656 ročnika (uključujući 78 ročnica) završilo </w:t>
      </w:r>
      <w:r>
        <w:rPr>
          <w:color w:val="131313"/>
          <w:sz w:val="24"/>
          <w:szCs w:val="24"/>
        </w:rPr>
        <w:t>vojnu</w:t>
      </w:r>
      <w:r w:rsidRPr="00C13E61">
        <w:rPr>
          <w:color w:val="131313"/>
          <w:sz w:val="24"/>
          <w:szCs w:val="24"/>
        </w:rPr>
        <w:t xml:space="preserve"> obuku</w:t>
      </w:r>
      <w:r>
        <w:rPr>
          <w:color w:val="131313"/>
          <w:sz w:val="24"/>
          <w:szCs w:val="24"/>
        </w:rPr>
        <w:t xml:space="preserve"> tijekom 2024</w:t>
      </w:r>
      <w:r w:rsidRPr="00C13E61">
        <w:rPr>
          <w:color w:val="131313"/>
          <w:sz w:val="24"/>
          <w:szCs w:val="24"/>
        </w:rPr>
        <w:t>. Četvrti uputni rok bio je jedan od najbrojnijih u posljednje četiri godine</w:t>
      </w:r>
      <w:r>
        <w:rPr>
          <w:color w:val="131313"/>
          <w:sz w:val="24"/>
          <w:szCs w:val="24"/>
        </w:rPr>
        <w:t xml:space="preserve"> </w:t>
      </w:r>
      <w:r w:rsidRPr="00AC77C6">
        <w:rPr>
          <w:color w:val="131313"/>
          <w:sz w:val="24"/>
          <w:szCs w:val="24"/>
        </w:rPr>
        <w:t>(238 ročnika i 24 ročnice)</w:t>
      </w:r>
      <w:r w:rsidRPr="00C13E61">
        <w:rPr>
          <w:color w:val="131313"/>
          <w:sz w:val="24"/>
          <w:szCs w:val="24"/>
        </w:rPr>
        <w:t>.</w:t>
      </w:r>
      <w:r>
        <w:rPr>
          <w:color w:val="131313"/>
          <w:sz w:val="24"/>
          <w:szCs w:val="24"/>
        </w:rPr>
        <w:t xml:space="preserve"> </w:t>
      </w:r>
      <w:r w:rsidRPr="00C13E61">
        <w:rPr>
          <w:color w:val="131313"/>
          <w:sz w:val="24"/>
          <w:szCs w:val="24"/>
        </w:rPr>
        <w:t xml:space="preserve">Uspješno je provedeno osposobljavanje 886 </w:t>
      </w:r>
      <w:r>
        <w:rPr>
          <w:color w:val="131313"/>
          <w:sz w:val="24"/>
          <w:szCs w:val="24"/>
        </w:rPr>
        <w:t>pričuvnika, odnosno ključnog osoblja i dijela postrojbi razvrstane pričuve</w:t>
      </w:r>
      <w:r w:rsidRPr="00C13E61">
        <w:rPr>
          <w:color w:val="131313"/>
          <w:sz w:val="24"/>
          <w:szCs w:val="24"/>
        </w:rPr>
        <w:t xml:space="preserve"> </w:t>
      </w:r>
      <w:r>
        <w:rPr>
          <w:color w:val="131313"/>
          <w:sz w:val="24"/>
          <w:szCs w:val="24"/>
        </w:rPr>
        <w:t>što je</w:t>
      </w:r>
      <w:r w:rsidRPr="00C13E61">
        <w:rPr>
          <w:color w:val="131313"/>
          <w:sz w:val="24"/>
          <w:szCs w:val="24"/>
        </w:rPr>
        <w:t xml:space="preserve"> </w:t>
      </w:r>
      <w:r>
        <w:rPr>
          <w:color w:val="131313"/>
          <w:sz w:val="24"/>
          <w:szCs w:val="24"/>
        </w:rPr>
        <w:t>najveći broj osposobljenih pričuvnika</w:t>
      </w:r>
      <w:r w:rsidRPr="00C13E61">
        <w:rPr>
          <w:color w:val="131313"/>
          <w:sz w:val="24"/>
          <w:szCs w:val="24"/>
        </w:rPr>
        <w:t xml:space="preserve"> od 2015.</w:t>
      </w:r>
      <w:r>
        <w:rPr>
          <w:color w:val="131313"/>
          <w:sz w:val="24"/>
          <w:szCs w:val="24"/>
        </w:rPr>
        <w:t xml:space="preserve"> </w:t>
      </w:r>
      <w:r w:rsidRPr="008564C7">
        <w:rPr>
          <w:color w:val="131313"/>
          <w:sz w:val="24"/>
          <w:szCs w:val="24"/>
        </w:rPr>
        <w:t>kad se kontinuirano provodi osposobljavanje razvrstanih pričuvnika Hrvatske vojske</w:t>
      </w:r>
      <w:r w:rsidRPr="00EC1161">
        <w:rPr>
          <w:color w:val="131313"/>
          <w:sz w:val="24"/>
          <w:szCs w:val="24"/>
        </w:rPr>
        <w:t>.</w:t>
      </w:r>
      <w:r w:rsidRPr="00C13E61">
        <w:rPr>
          <w:color w:val="131313"/>
          <w:sz w:val="24"/>
          <w:szCs w:val="24"/>
        </w:rPr>
        <w:t xml:space="preserve"> </w:t>
      </w:r>
      <w:r>
        <w:rPr>
          <w:color w:val="131313"/>
          <w:sz w:val="24"/>
          <w:szCs w:val="24"/>
        </w:rPr>
        <w:t>N</w:t>
      </w:r>
      <w:r w:rsidRPr="00C13E61">
        <w:rPr>
          <w:color w:val="131313"/>
          <w:sz w:val="24"/>
          <w:szCs w:val="24"/>
        </w:rPr>
        <w:t>astav</w:t>
      </w:r>
      <w:r>
        <w:rPr>
          <w:color w:val="131313"/>
          <w:sz w:val="24"/>
          <w:szCs w:val="24"/>
        </w:rPr>
        <w:t xml:space="preserve">ljeno </w:t>
      </w:r>
      <w:r w:rsidRPr="00C13E61">
        <w:rPr>
          <w:color w:val="131313"/>
          <w:sz w:val="24"/>
          <w:szCs w:val="24"/>
        </w:rPr>
        <w:t>je</w:t>
      </w:r>
      <w:r>
        <w:rPr>
          <w:color w:val="131313"/>
          <w:sz w:val="24"/>
          <w:szCs w:val="24"/>
        </w:rPr>
        <w:t xml:space="preserve"> </w:t>
      </w:r>
      <w:r w:rsidRPr="00C13E61">
        <w:rPr>
          <w:color w:val="131313"/>
          <w:sz w:val="24"/>
          <w:szCs w:val="24"/>
        </w:rPr>
        <w:t>s popunom i pomlađivanjem pričuvnog sastava, s ciljem jačanja ukupnih obrambenih kapaciteta.</w:t>
      </w:r>
    </w:p>
    <w:p w14:paraId="58578B52" w14:textId="77777777" w:rsidR="00FB178A" w:rsidRDefault="00FB178A" w:rsidP="00FB178A">
      <w:pPr>
        <w:spacing w:after="240" w:line="276" w:lineRule="auto"/>
        <w:jc w:val="both"/>
        <w:rPr>
          <w:color w:val="131313"/>
          <w:sz w:val="24"/>
          <w:szCs w:val="24"/>
        </w:rPr>
      </w:pPr>
      <w:r>
        <w:rPr>
          <w:color w:val="131313"/>
          <w:sz w:val="24"/>
          <w:szCs w:val="24"/>
        </w:rPr>
        <w:t>N</w:t>
      </w:r>
      <w:r w:rsidRPr="00D162AD">
        <w:rPr>
          <w:color w:val="131313"/>
          <w:sz w:val="24"/>
          <w:szCs w:val="24"/>
        </w:rPr>
        <w:t>astav</w:t>
      </w:r>
      <w:r>
        <w:rPr>
          <w:color w:val="131313"/>
          <w:sz w:val="24"/>
          <w:szCs w:val="24"/>
        </w:rPr>
        <w:t>ljena</w:t>
      </w:r>
      <w:r w:rsidRPr="00D162AD">
        <w:rPr>
          <w:color w:val="131313"/>
          <w:sz w:val="24"/>
          <w:szCs w:val="24"/>
        </w:rPr>
        <w:t xml:space="preserve"> je potpor</w:t>
      </w:r>
      <w:r>
        <w:rPr>
          <w:color w:val="131313"/>
          <w:sz w:val="24"/>
          <w:szCs w:val="24"/>
        </w:rPr>
        <w:t>a Hrvatske vojske</w:t>
      </w:r>
      <w:r w:rsidRPr="00D162AD">
        <w:rPr>
          <w:color w:val="131313"/>
          <w:sz w:val="24"/>
          <w:szCs w:val="24"/>
        </w:rPr>
        <w:t xml:space="preserve"> civilnim institucijama i stanovništvu u kriznim situacijama. Tijekom protupožarne sezone </w:t>
      </w:r>
      <w:r>
        <w:rPr>
          <w:color w:val="131313"/>
          <w:sz w:val="24"/>
          <w:szCs w:val="24"/>
        </w:rPr>
        <w:t xml:space="preserve">pripadnici vojske sudjelovali su u </w:t>
      </w:r>
      <w:r w:rsidRPr="00D162AD">
        <w:rPr>
          <w:color w:val="131313"/>
          <w:sz w:val="24"/>
          <w:szCs w:val="24"/>
        </w:rPr>
        <w:t xml:space="preserve">četiri </w:t>
      </w:r>
      <w:r>
        <w:rPr>
          <w:color w:val="131313"/>
          <w:sz w:val="24"/>
          <w:szCs w:val="24"/>
        </w:rPr>
        <w:t>intervencije</w:t>
      </w:r>
      <w:r w:rsidRPr="00D162AD">
        <w:rPr>
          <w:color w:val="131313"/>
          <w:sz w:val="24"/>
          <w:szCs w:val="24"/>
        </w:rPr>
        <w:t xml:space="preserve">, a uz gašenje požara </w:t>
      </w:r>
      <w:r>
        <w:rPr>
          <w:color w:val="131313"/>
          <w:sz w:val="24"/>
          <w:szCs w:val="24"/>
        </w:rPr>
        <w:t xml:space="preserve">vojska je </w:t>
      </w:r>
      <w:r w:rsidRPr="00D162AD">
        <w:rPr>
          <w:color w:val="131313"/>
          <w:sz w:val="24"/>
          <w:szCs w:val="24"/>
        </w:rPr>
        <w:t>pomagala i u uklanjanju posljedica prirodnih nepogoda, spašavanju na kopnu i moru, te medicinskom prevoženju.</w:t>
      </w:r>
      <w:r>
        <w:rPr>
          <w:color w:val="131313"/>
          <w:sz w:val="24"/>
          <w:szCs w:val="24"/>
        </w:rPr>
        <w:t xml:space="preserve"> Od</w:t>
      </w:r>
      <w:r w:rsidRPr="00D162AD">
        <w:rPr>
          <w:color w:val="131313"/>
          <w:sz w:val="24"/>
          <w:szCs w:val="24"/>
        </w:rPr>
        <w:t xml:space="preserve"> srpnja 2024.</w:t>
      </w:r>
      <w:r>
        <w:rPr>
          <w:color w:val="131313"/>
          <w:sz w:val="24"/>
          <w:szCs w:val="24"/>
        </w:rPr>
        <w:t xml:space="preserve"> hitni</w:t>
      </w:r>
      <w:r w:rsidRPr="00D162AD">
        <w:rPr>
          <w:color w:val="131313"/>
          <w:sz w:val="24"/>
          <w:szCs w:val="24"/>
        </w:rPr>
        <w:t xml:space="preserve"> zračni medicinski prijevoz preuzela </w:t>
      </w:r>
      <w:r>
        <w:rPr>
          <w:color w:val="131313"/>
          <w:sz w:val="24"/>
          <w:szCs w:val="24"/>
        </w:rPr>
        <w:t>je</w:t>
      </w:r>
      <w:r w:rsidRPr="00D162AD">
        <w:rPr>
          <w:color w:val="131313"/>
          <w:sz w:val="24"/>
          <w:szCs w:val="24"/>
        </w:rPr>
        <w:t xml:space="preserve"> Hitna helikopterska medicinska služb</w:t>
      </w:r>
      <w:r>
        <w:rPr>
          <w:color w:val="131313"/>
          <w:sz w:val="24"/>
          <w:szCs w:val="24"/>
        </w:rPr>
        <w:t>a</w:t>
      </w:r>
      <w:r w:rsidRPr="00D162AD">
        <w:rPr>
          <w:color w:val="131313"/>
          <w:sz w:val="24"/>
          <w:szCs w:val="24"/>
        </w:rPr>
        <w:t xml:space="preserve"> Ministarstva zdravstva. </w:t>
      </w:r>
      <w:r>
        <w:rPr>
          <w:color w:val="131313"/>
          <w:sz w:val="24"/>
          <w:szCs w:val="24"/>
        </w:rPr>
        <w:t>Prema potrebi, Hrvatska v</w:t>
      </w:r>
      <w:r w:rsidRPr="00D162AD">
        <w:rPr>
          <w:color w:val="131313"/>
          <w:sz w:val="24"/>
          <w:szCs w:val="24"/>
        </w:rPr>
        <w:t>ojska i dalje pruža potporu uključujući prijevoz timova i organa za transplantaciju.</w:t>
      </w:r>
      <w:r>
        <w:rPr>
          <w:color w:val="131313"/>
          <w:sz w:val="24"/>
          <w:szCs w:val="24"/>
        </w:rPr>
        <w:t xml:space="preserve"> </w:t>
      </w:r>
      <w:r w:rsidRPr="00D162AD">
        <w:rPr>
          <w:color w:val="131313"/>
          <w:sz w:val="24"/>
          <w:szCs w:val="24"/>
        </w:rPr>
        <w:t>Također su provedene zadaće pratnje stranih ratnih brodova</w:t>
      </w:r>
      <w:r>
        <w:rPr>
          <w:color w:val="131313"/>
          <w:sz w:val="24"/>
          <w:szCs w:val="24"/>
        </w:rPr>
        <w:t xml:space="preserve"> kroz teritorijalno more</w:t>
      </w:r>
      <w:r w:rsidRPr="00D162AD">
        <w:rPr>
          <w:color w:val="131313"/>
          <w:sz w:val="24"/>
          <w:szCs w:val="24"/>
        </w:rPr>
        <w:t xml:space="preserve">, </w:t>
      </w:r>
      <w:r>
        <w:rPr>
          <w:color w:val="131313"/>
          <w:sz w:val="24"/>
          <w:szCs w:val="24"/>
        </w:rPr>
        <w:t>praćenja</w:t>
      </w:r>
      <w:r w:rsidRPr="00D162AD">
        <w:rPr>
          <w:color w:val="131313"/>
          <w:sz w:val="24"/>
          <w:szCs w:val="24"/>
        </w:rPr>
        <w:t xml:space="preserve"> znanstven</w:t>
      </w:r>
      <w:r>
        <w:rPr>
          <w:color w:val="131313"/>
          <w:sz w:val="24"/>
          <w:szCs w:val="24"/>
        </w:rPr>
        <w:t>o-istraživačkih</w:t>
      </w:r>
      <w:r w:rsidRPr="00D162AD">
        <w:rPr>
          <w:color w:val="131313"/>
          <w:sz w:val="24"/>
          <w:szCs w:val="24"/>
        </w:rPr>
        <w:t xml:space="preserve"> aktivnosti na moru i sigurnosni nadzor oko energetskih izvora</w:t>
      </w:r>
      <w:r>
        <w:rPr>
          <w:color w:val="131313"/>
          <w:sz w:val="24"/>
          <w:szCs w:val="24"/>
        </w:rPr>
        <w:t xml:space="preserve"> Republike Hrvatske</w:t>
      </w:r>
      <w:r w:rsidRPr="00D162AD">
        <w:rPr>
          <w:color w:val="131313"/>
          <w:sz w:val="24"/>
          <w:szCs w:val="24"/>
        </w:rPr>
        <w:t>.</w:t>
      </w:r>
    </w:p>
    <w:p w14:paraId="3188AC08" w14:textId="77777777" w:rsidR="00FB178A" w:rsidRDefault="00FB178A" w:rsidP="00FB178A">
      <w:pPr>
        <w:spacing w:after="240" w:line="276" w:lineRule="auto"/>
        <w:jc w:val="both"/>
        <w:rPr>
          <w:color w:val="131313"/>
          <w:sz w:val="24"/>
          <w:szCs w:val="24"/>
        </w:rPr>
      </w:pPr>
      <w:r w:rsidRPr="00506E09">
        <w:rPr>
          <w:color w:val="131313"/>
          <w:sz w:val="24"/>
          <w:szCs w:val="24"/>
        </w:rPr>
        <w:t xml:space="preserve">Potpora hrvatskoj obrambenoj industriji </w:t>
      </w:r>
      <w:r>
        <w:rPr>
          <w:color w:val="131313"/>
          <w:sz w:val="24"/>
          <w:szCs w:val="24"/>
        </w:rPr>
        <w:t>nastavila se</w:t>
      </w:r>
      <w:r w:rsidRPr="00506E09">
        <w:rPr>
          <w:color w:val="131313"/>
          <w:sz w:val="24"/>
          <w:szCs w:val="24"/>
        </w:rPr>
        <w:t xml:space="preserve"> kroz provođenje međunarodnih aktivnosti i promocij</w:t>
      </w:r>
      <w:r>
        <w:rPr>
          <w:color w:val="131313"/>
          <w:sz w:val="24"/>
          <w:szCs w:val="24"/>
        </w:rPr>
        <w:t>u</w:t>
      </w:r>
      <w:r w:rsidRPr="00506E09">
        <w:rPr>
          <w:color w:val="131313"/>
          <w:sz w:val="24"/>
          <w:szCs w:val="24"/>
        </w:rPr>
        <w:t xml:space="preserve"> njezinih proizvoda. U lipnju 2024. održana je pripremna konferencija za međunarodnu izložbu</w:t>
      </w:r>
      <w:r>
        <w:rPr>
          <w:color w:val="131313"/>
          <w:sz w:val="24"/>
          <w:szCs w:val="24"/>
        </w:rPr>
        <w:t xml:space="preserve"> naoružanja i vojne opreme</w:t>
      </w:r>
      <w:r w:rsidRPr="00506E09">
        <w:rPr>
          <w:color w:val="131313"/>
          <w:sz w:val="24"/>
          <w:szCs w:val="24"/>
        </w:rPr>
        <w:t xml:space="preserve"> ASDA 2025.</w:t>
      </w:r>
      <w:r>
        <w:rPr>
          <w:color w:val="131313"/>
          <w:sz w:val="24"/>
          <w:szCs w:val="24"/>
        </w:rPr>
        <w:t>, a p</w:t>
      </w:r>
      <w:r w:rsidRPr="005D4833">
        <w:rPr>
          <w:color w:val="131313"/>
          <w:sz w:val="24"/>
          <w:szCs w:val="24"/>
        </w:rPr>
        <w:t xml:space="preserve">osebno se ističe činjenica da su hrvatski vojnici opremljeni </w:t>
      </w:r>
      <w:r>
        <w:rPr>
          <w:color w:val="131313"/>
          <w:sz w:val="24"/>
          <w:szCs w:val="24"/>
        </w:rPr>
        <w:t>osobnim</w:t>
      </w:r>
      <w:r w:rsidRPr="005D4833">
        <w:rPr>
          <w:color w:val="131313"/>
          <w:sz w:val="24"/>
          <w:szCs w:val="24"/>
        </w:rPr>
        <w:t xml:space="preserve"> naoružanjem i opremom</w:t>
      </w:r>
      <w:r>
        <w:rPr>
          <w:color w:val="131313"/>
          <w:sz w:val="24"/>
          <w:szCs w:val="24"/>
        </w:rPr>
        <w:t xml:space="preserve"> hrvatskih proizvođača</w:t>
      </w:r>
      <w:r w:rsidRPr="005D4833">
        <w:rPr>
          <w:color w:val="131313"/>
          <w:sz w:val="24"/>
          <w:szCs w:val="24"/>
        </w:rPr>
        <w:t>, što potvrđuje</w:t>
      </w:r>
      <w:r>
        <w:rPr>
          <w:color w:val="131313"/>
          <w:sz w:val="24"/>
          <w:szCs w:val="24"/>
        </w:rPr>
        <w:t xml:space="preserve"> njihovu</w:t>
      </w:r>
      <w:r w:rsidRPr="005D4833">
        <w:rPr>
          <w:color w:val="131313"/>
          <w:sz w:val="24"/>
          <w:szCs w:val="24"/>
        </w:rPr>
        <w:t xml:space="preserve"> visoku kvalitetu.</w:t>
      </w:r>
      <w:r>
        <w:rPr>
          <w:color w:val="131313"/>
          <w:sz w:val="24"/>
          <w:szCs w:val="24"/>
        </w:rPr>
        <w:t xml:space="preserve"> Dodatno, t</w:t>
      </w:r>
      <w:r w:rsidRPr="005D4833">
        <w:rPr>
          <w:color w:val="131313"/>
          <w:sz w:val="24"/>
          <w:szCs w:val="24"/>
        </w:rPr>
        <w:t>ijekom</w:t>
      </w:r>
      <w:r w:rsidRPr="00EA2EAE">
        <w:rPr>
          <w:color w:val="131313"/>
          <w:sz w:val="24"/>
          <w:szCs w:val="24"/>
        </w:rPr>
        <w:t xml:space="preserve"> 2024. </w:t>
      </w:r>
      <w:r w:rsidRPr="005D4833">
        <w:rPr>
          <w:color w:val="131313"/>
          <w:sz w:val="24"/>
          <w:szCs w:val="24"/>
        </w:rPr>
        <w:t>sklop</w:t>
      </w:r>
      <w:r>
        <w:rPr>
          <w:color w:val="131313"/>
          <w:sz w:val="24"/>
          <w:szCs w:val="24"/>
        </w:rPr>
        <w:t xml:space="preserve">ljeni su </w:t>
      </w:r>
      <w:r w:rsidRPr="005D4833">
        <w:rPr>
          <w:color w:val="131313"/>
          <w:sz w:val="24"/>
          <w:szCs w:val="24"/>
        </w:rPr>
        <w:t>okvirn</w:t>
      </w:r>
      <w:r>
        <w:rPr>
          <w:color w:val="131313"/>
          <w:sz w:val="24"/>
          <w:szCs w:val="24"/>
        </w:rPr>
        <w:t xml:space="preserve">i </w:t>
      </w:r>
      <w:r w:rsidRPr="005D4833">
        <w:rPr>
          <w:color w:val="131313"/>
          <w:sz w:val="24"/>
          <w:szCs w:val="24"/>
        </w:rPr>
        <w:t>sporazum</w:t>
      </w:r>
      <w:r>
        <w:rPr>
          <w:color w:val="131313"/>
          <w:sz w:val="24"/>
          <w:szCs w:val="24"/>
        </w:rPr>
        <w:t>i</w:t>
      </w:r>
      <w:r w:rsidRPr="00EA2EAE">
        <w:rPr>
          <w:color w:val="131313"/>
          <w:sz w:val="24"/>
          <w:szCs w:val="24"/>
        </w:rPr>
        <w:t xml:space="preserve"> i </w:t>
      </w:r>
      <w:r w:rsidRPr="005D4833">
        <w:rPr>
          <w:color w:val="131313"/>
          <w:sz w:val="24"/>
          <w:szCs w:val="24"/>
        </w:rPr>
        <w:t>ugovor</w:t>
      </w:r>
      <w:r>
        <w:rPr>
          <w:color w:val="131313"/>
          <w:sz w:val="24"/>
          <w:szCs w:val="24"/>
        </w:rPr>
        <w:t>i</w:t>
      </w:r>
      <w:r w:rsidRPr="00EA2EAE">
        <w:rPr>
          <w:color w:val="131313"/>
          <w:sz w:val="24"/>
          <w:szCs w:val="24"/>
        </w:rPr>
        <w:t xml:space="preserve"> s domaćim </w:t>
      </w:r>
      <w:r w:rsidRPr="005D4833">
        <w:rPr>
          <w:color w:val="131313"/>
          <w:sz w:val="24"/>
          <w:szCs w:val="24"/>
        </w:rPr>
        <w:t>tvrtkama u vrijednosti od</w:t>
      </w:r>
      <w:r w:rsidRPr="00EA2EAE">
        <w:rPr>
          <w:color w:val="131313"/>
          <w:sz w:val="24"/>
          <w:szCs w:val="24"/>
        </w:rPr>
        <w:t xml:space="preserve"> preko 125 milijuna eura, </w:t>
      </w:r>
      <w:r w:rsidRPr="005D4833">
        <w:rPr>
          <w:color w:val="131313"/>
          <w:sz w:val="24"/>
          <w:szCs w:val="24"/>
        </w:rPr>
        <w:t>koji obuhvaćaju</w:t>
      </w:r>
      <w:r w:rsidRPr="00EA2EAE">
        <w:rPr>
          <w:color w:val="131313"/>
          <w:sz w:val="24"/>
          <w:szCs w:val="24"/>
        </w:rPr>
        <w:t xml:space="preserve"> nabavu </w:t>
      </w:r>
      <w:r w:rsidRPr="005D4833">
        <w:rPr>
          <w:color w:val="131313"/>
          <w:sz w:val="24"/>
          <w:szCs w:val="24"/>
        </w:rPr>
        <w:t xml:space="preserve">odjeće, obuće, </w:t>
      </w:r>
      <w:r w:rsidRPr="00EA2EAE">
        <w:rPr>
          <w:color w:val="131313"/>
          <w:sz w:val="24"/>
          <w:szCs w:val="24"/>
        </w:rPr>
        <w:t>naoružanja, opreme, usluga remonta</w:t>
      </w:r>
      <w:r w:rsidRPr="005D4833">
        <w:rPr>
          <w:color w:val="131313"/>
          <w:sz w:val="24"/>
          <w:szCs w:val="24"/>
        </w:rPr>
        <w:t>,</w:t>
      </w:r>
      <w:r w:rsidRPr="00EA2EAE">
        <w:rPr>
          <w:color w:val="131313"/>
          <w:sz w:val="24"/>
          <w:szCs w:val="24"/>
        </w:rPr>
        <w:t xml:space="preserve"> prehrane</w:t>
      </w:r>
      <w:r w:rsidRPr="005D4833">
        <w:rPr>
          <w:color w:val="131313"/>
          <w:sz w:val="24"/>
          <w:szCs w:val="24"/>
        </w:rPr>
        <w:t xml:space="preserve"> i osiguranja za pripadnike</w:t>
      </w:r>
      <w:r w:rsidRPr="00EA2EAE">
        <w:rPr>
          <w:color w:val="131313"/>
          <w:sz w:val="24"/>
          <w:szCs w:val="24"/>
        </w:rPr>
        <w:t xml:space="preserve"> Hrvatske vojske.</w:t>
      </w:r>
      <w:r>
        <w:rPr>
          <w:color w:val="131313"/>
          <w:sz w:val="24"/>
          <w:szCs w:val="24"/>
        </w:rPr>
        <w:t xml:space="preserve"> </w:t>
      </w:r>
    </w:p>
    <w:p w14:paraId="633C8BF7" w14:textId="77777777" w:rsidR="00FB178A" w:rsidRDefault="00FB178A" w:rsidP="00FB178A">
      <w:pPr>
        <w:spacing w:after="240"/>
        <w:ind w:firstLine="709"/>
        <w:rPr>
          <w:color w:val="000000" w:themeColor="text1"/>
        </w:rPr>
      </w:pPr>
      <w:r w:rsidRPr="0004221B">
        <w:rPr>
          <w:b/>
          <w:color w:val="000000" w:themeColor="text1"/>
          <w:sz w:val="24"/>
          <w:szCs w:val="24"/>
        </w:rPr>
        <w:t>Jačanje unutarnje s</w:t>
      </w:r>
      <w:r>
        <w:rPr>
          <w:b/>
          <w:color w:val="000000" w:themeColor="text1"/>
          <w:sz w:val="24"/>
          <w:szCs w:val="24"/>
        </w:rPr>
        <w:t>i</w:t>
      </w:r>
      <w:r w:rsidRPr="0004221B">
        <w:rPr>
          <w:b/>
          <w:color w:val="000000" w:themeColor="text1"/>
          <w:sz w:val="24"/>
          <w:szCs w:val="24"/>
        </w:rPr>
        <w:t xml:space="preserve">gurnosti </w:t>
      </w:r>
    </w:p>
    <w:p w14:paraId="24D27380" w14:textId="77777777" w:rsidR="00FB178A" w:rsidRPr="0004221B" w:rsidRDefault="00FB178A" w:rsidP="00FB178A">
      <w:pPr>
        <w:spacing w:after="240" w:line="276" w:lineRule="auto"/>
        <w:ind w:firstLine="709"/>
        <w:jc w:val="both"/>
        <w:rPr>
          <w:sz w:val="24"/>
          <w:szCs w:val="24"/>
        </w:rPr>
      </w:pPr>
      <w:r w:rsidRPr="0098767A">
        <w:rPr>
          <w:sz w:val="24"/>
          <w:szCs w:val="24"/>
        </w:rPr>
        <w:t xml:space="preserve">Tijekom 2024. u Hrvatskoj su nastavljene aktivnosti jačanja unutarnje sigurnosti, s naglaskom na povećanje učinkovitosti u sprječavanju i suzbijanju sigurnosnih prijetnji te </w:t>
      </w:r>
      <w:r w:rsidRPr="0098767A">
        <w:rPr>
          <w:sz w:val="24"/>
          <w:szCs w:val="24"/>
        </w:rPr>
        <w:lastRenderedPageBreak/>
        <w:t xml:space="preserve">modernizaciju opreme i tehnologije. Za financiranje mjera kojima se osnažuju operativne sposobnosti i kapaciteti granične policije, u okviru Instrumenta za financijsku potporu u području upravljanja granicama i </w:t>
      </w:r>
      <w:proofErr w:type="spellStart"/>
      <w:r w:rsidRPr="0098767A">
        <w:rPr>
          <w:sz w:val="24"/>
          <w:szCs w:val="24"/>
        </w:rPr>
        <w:t>vizne</w:t>
      </w:r>
      <w:proofErr w:type="spellEnd"/>
      <w:r w:rsidRPr="0098767A">
        <w:rPr>
          <w:sz w:val="24"/>
          <w:szCs w:val="24"/>
        </w:rPr>
        <w:t xml:space="preserve"> politike (</w:t>
      </w:r>
      <w:r>
        <w:rPr>
          <w:sz w:val="24"/>
          <w:szCs w:val="24"/>
        </w:rPr>
        <w:t xml:space="preserve">u daljnjem tekstu: </w:t>
      </w:r>
      <w:r w:rsidRPr="0098767A">
        <w:rPr>
          <w:sz w:val="24"/>
          <w:szCs w:val="24"/>
        </w:rPr>
        <w:t>BMVI) osigurano je ukupno 216 milijuna eura. Kroz 40 projekata ugovoreno je gotovo cjelokupno početno alocirano sredstava za integrirano upravljanje granicama, u iznosu nešto većem od 156 milijuna eura, dok je putem izravnih potpora osigurano dodatnih 60 milijuna eura. Ulaganja iz BMVI-ja doprinose visokoj razini sigurnosti u E</w:t>
      </w:r>
      <w:r>
        <w:rPr>
          <w:sz w:val="24"/>
          <w:szCs w:val="24"/>
        </w:rPr>
        <w:t>U</w:t>
      </w:r>
      <w:r w:rsidRPr="0098767A">
        <w:rPr>
          <w:sz w:val="24"/>
          <w:szCs w:val="24"/>
        </w:rPr>
        <w:t xml:space="preserve">, omogućuju ujednačene i visokokvalitetne kontrole na vanjskim granicama te učinkovitu obradu </w:t>
      </w:r>
      <w:proofErr w:type="spellStart"/>
      <w:r w:rsidRPr="0098767A">
        <w:rPr>
          <w:sz w:val="24"/>
          <w:szCs w:val="24"/>
        </w:rPr>
        <w:t>schengenskih</w:t>
      </w:r>
      <w:proofErr w:type="spellEnd"/>
      <w:r w:rsidRPr="0098767A">
        <w:rPr>
          <w:sz w:val="24"/>
          <w:szCs w:val="24"/>
        </w:rPr>
        <w:t xml:space="preserve"> viza, uz puno poštivanje temeljnih prava i sloboda. Sredstvima EU fondova nadalje se jačaju informatički, tehnički i infrastrukturni kapaciteti granične policije, čime se ojačavaju i ljudski kapaciteti te stvaraju preduvjeti za ostvarenje triju ključnih ciljeva: olakšavanje zakonitih prelazaka državne granice, sprječavanje nezakonitih prelazaka i prekograničnog kriminaliteta te povećanje učinkovitosti politike</w:t>
      </w:r>
      <w:r>
        <w:rPr>
          <w:sz w:val="24"/>
          <w:szCs w:val="24"/>
        </w:rPr>
        <w:t>.</w:t>
      </w:r>
    </w:p>
    <w:p w14:paraId="38A5B723" w14:textId="77777777" w:rsidR="00FB178A" w:rsidRDefault="00FB178A" w:rsidP="00FB178A">
      <w:pPr>
        <w:spacing w:after="240" w:line="276" w:lineRule="auto"/>
        <w:jc w:val="both"/>
        <w:rPr>
          <w:sz w:val="24"/>
          <w:szCs w:val="24"/>
        </w:rPr>
      </w:pPr>
      <w:r w:rsidRPr="001461FD">
        <w:rPr>
          <w:sz w:val="24"/>
          <w:szCs w:val="24"/>
        </w:rPr>
        <w:t>Tijekom 2024. zabilježen je pad nezakonitih migracija za 5</w:t>
      </w:r>
      <w:r>
        <w:rPr>
          <w:sz w:val="24"/>
          <w:szCs w:val="24"/>
        </w:rPr>
        <w:t>8</w:t>
      </w:r>
      <w:r w:rsidRPr="001461FD">
        <w:rPr>
          <w:sz w:val="24"/>
          <w:szCs w:val="24"/>
        </w:rPr>
        <w:t>% u odnosu na 2023.</w:t>
      </w:r>
      <w:r>
        <w:rPr>
          <w:sz w:val="24"/>
          <w:szCs w:val="24"/>
        </w:rPr>
        <w:t xml:space="preserve"> godinu.</w:t>
      </w:r>
      <w:r w:rsidRPr="001461FD">
        <w:rPr>
          <w:sz w:val="24"/>
          <w:szCs w:val="24"/>
        </w:rPr>
        <w:t xml:space="preserve"> Ovaj rezultat pripisuje se unapr</w:t>
      </w:r>
      <w:r>
        <w:rPr>
          <w:sz w:val="24"/>
          <w:szCs w:val="24"/>
        </w:rPr>
        <w:t>j</w:t>
      </w:r>
      <w:r w:rsidRPr="001461FD">
        <w:rPr>
          <w:sz w:val="24"/>
          <w:szCs w:val="24"/>
        </w:rPr>
        <w:t>eđenju nadzora vanjske granice, učinkovitom radu hrvatske policije i suradnji sa svim relevantnim dionicima u okviru integriranog upravljanja granicom.</w:t>
      </w:r>
      <w:r>
        <w:rPr>
          <w:sz w:val="24"/>
          <w:szCs w:val="24"/>
        </w:rPr>
        <w:t xml:space="preserve"> </w:t>
      </w:r>
      <w:r w:rsidRPr="001461FD">
        <w:rPr>
          <w:sz w:val="24"/>
          <w:szCs w:val="24"/>
        </w:rPr>
        <w:t>Unatoč smanjenju broja</w:t>
      </w:r>
      <w:r>
        <w:rPr>
          <w:sz w:val="24"/>
          <w:szCs w:val="24"/>
        </w:rPr>
        <w:t xml:space="preserve"> nezakonitih</w:t>
      </w:r>
      <w:r w:rsidRPr="001461FD">
        <w:rPr>
          <w:sz w:val="24"/>
          <w:szCs w:val="24"/>
        </w:rPr>
        <w:t xml:space="preserve"> migranata, zabilježen je </w:t>
      </w:r>
      <w:r>
        <w:rPr>
          <w:sz w:val="24"/>
          <w:szCs w:val="24"/>
        </w:rPr>
        <w:t xml:space="preserve">manji pad </w:t>
      </w:r>
      <w:r w:rsidRPr="001461FD">
        <w:rPr>
          <w:sz w:val="24"/>
          <w:szCs w:val="24"/>
        </w:rPr>
        <w:t>otkrivenih slučajeva krijumčarenja ljudi</w:t>
      </w:r>
      <w:r>
        <w:rPr>
          <w:sz w:val="24"/>
          <w:szCs w:val="24"/>
        </w:rPr>
        <w:t xml:space="preserve"> i pomaganja u nezakonitom ulasku u Republiku Hrvatsku</w:t>
      </w:r>
      <w:r w:rsidRPr="001461FD">
        <w:rPr>
          <w:sz w:val="24"/>
          <w:szCs w:val="24"/>
        </w:rPr>
        <w:t xml:space="preserve"> za </w:t>
      </w:r>
      <w:r>
        <w:rPr>
          <w:sz w:val="24"/>
          <w:szCs w:val="24"/>
        </w:rPr>
        <w:t>2,4</w:t>
      </w:r>
      <w:r w:rsidRPr="001461FD">
        <w:rPr>
          <w:sz w:val="24"/>
          <w:szCs w:val="24"/>
        </w:rPr>
        <w:t xml:space="preserve">%, što ukazuje na </w:t>
      </w:r>
      <w:r w:rsidRPr="00904A56">
        <w:rPr>
          <w:sz w:val="24"/>
          <w:szCs w:val="24"/>
        </w:rPr>
        <w:t>promjenu načina nezakonitog kretanja, odnosno da su se nezakoniti migranti u većem opsegu koristili krijumčarskim kanalima</w:t>
      </w:r>
      <w:r w:rsidRPr="001461FD">
        <w:rPr>
          <w:sz w:val="24"/>
          <w:szCs w:val="24"/>
        </w:rPr>
        <w:t>.</w:t>
      </w:r>
      <w:r>
        <w:rPr>
          <w:sz w:val="24"/>
          <w:szCs w:val="24"/>
        </w:rPr>
        <w:t xml:space="preserve"> Nadalje, </w:t>
      </w:r>
      <w:r w:rsidRPr="00A20C13">
        <w:rPr>
          <w:sz w:val="24"/>
          <w:szCs w:val="24"/>
        </w:rPr>
        <w:t>Hrvatska redovito sudjeluje u operacijama i obukama u okviru Agencij</w:t>
      </w:r>
      <w:r>
        <w:rPr>
          <w:sz w:val="24"/>
          <w:szCs w:val="24"/>
        </w:rPr>
        <w:t xml:space="preserve">e </w:t>
      </w:r>
      <w:r w:rsidRPr="00A20C13">
        <w:rPr>
          <w:sz w:val="24"/>
          <w:szCs w:val="24"/>
        </w:rPr>
        <w:t>za europsku graničnu i obalnu stražu</w:t>
      </w:r>
      <w:r>
        <w:rPr>
          <w:sz w:val="24"/>
          <w:szCs w:val="24"/>
        </w:rPr>
        <w:t xml:space="preserve"> - </w:t>
      </w:r>
      <w:proofErr w:type="spellStart"/>
      <w:r w:rsidRPr="00A20C13">
        <w:rPr>
          <w:sz w:val="24"/>
          <w:szCs w:val="24"/>
        </w:rPr>
        <w:t>F</w:t>
      </w:r>
      <w:r>
        <w:rPr>
          <w:sz w:val="24"/>
          <w:szCs w:val="24"/>
        </w:rPr>
        <w:t>rontex</w:t>
      </w:r>
      <w:proofErr w:type="spellEnd"/>
      <w:r>
        <w:rPr>
          <w:sz w:val="24"/>
          <w:szCs w:val="24"/>
        </w:rPr>
        <w:t xml:space="preserve">. </w:t>
      </w:r>
      <w:r w:rsidRPr="00444BBA">
        <w:rPr>
          <w:sz w:val="24"/>
          <w:szCs w:val="24"/>
        </w:rPr>
        <w:t xml:space="preserve">Kontinuirano se provode aktivnosti vezane uz tehničko opremanje za sudjelovanje u zajedničkim operacijama te se provode obuke policijskih službenika potrebne za sudjelovanje u stalnim snagama </w:t>
      </w:r>
      <w:proofErr w:type="spellStart"/>
      <w:r w:rsidRPr="00444BBA">
        <w:rPr>
          <w:sz w:val="24"/>
          <w:szCs w:val="24"/>
        </w:rPr>
        <w:t>F</w:t>
      </w:r>
      <w:r>
        <w:rPr>
          <w:sz w:val="24"/>
          <w:szCs w:val="24"/>
        </w:rPr>
        <w:t>rontex</w:t>
      </w:r>
      <w:proofErr w:type="spellEnd"/>
      <w:r>
        <w:rPr>
          <w:sz w:val="24"/>
          <w:szCs w:val="24"/>
        </w:rPr>
        <w:t>-a</w:t>
      </w:r>
      <w:r w:rsidRPr="00444BBA">
        <w:rPr>
          <w:sz w:val="24"/>
          <w:szCs w:val="24"/>
        </w:rPr>
        <w:t>.</w:t>
      </w:r>
    </w:p>
    <w:p w14:paraId="486F980D" w14:textId="77777777" w:rsidR="00FB178A" w:rsidRPr="0004221B" w:rsidRDefault="00FB178A" w:rsidP="00FB178A">
      <w:pPr>
        <w:spacing w:after="240" w:line="276" w:lineRule="auto"/>
        <w:jc w:val="both"/>
        <w:rPr>
          <w:sz w:val="24"/>
          <w:szCs w:val="24"/>
        </w:rPr>
      </w:pPr>
      <w:r w:rsidRPr="00D17542">
        <w:rPr>
          <w:sz w:val="24"/>
          <w:szCs w:val="24"/>
        </w:rPr>
        <w:t>Donesena je nova Strategija integriranog upravljanja granicom Republike Hrvatske od 2024. do 2028. godine i pripadajući Akcijski plan, kojima s</w:t>
      </w:r>
      <w:r>
        <w:rPr>
          <w:sz w:val="24"/>
          <w:szCs w:val="24"/>
        </w:rPr>
        <w:t>u</w:t>
      </w:r>
      <w:r w:rsidRPr="00D17542">
        <w:rPr>
          <w:sz w:val="24"/>
          <w:szCs w:val="24"/>
        </w:rPr>
        <w:t xml:space="preserve"> u skladu s pravnom stečevinom EU-a, </w:t>
      </w:r>
      <w:proofErr w:type="spellStart"/>
      <w:r>
        <w:rPr>
          <w:sz w:val="24"/>
          <w:szCs w:val="24"/>
        </w:rPr>
        <w:t>s</w:t>
      </w:r>
      <w:r w:rsidRPr="00D17542">
        <w:rPr>
          <w:sz w:val="24"/>
          <w:szCs w:val="24"/>
        </w:rPr>
        <w:t>chengenskim</w:t>
      </w:r>
      <w:proofErr w:type="spellEnd"/>
      <w:r w:rsidRPr="00D17542">
        <w:rPr>
          <w:sz w:val="24"/>
          <w:szCs w:val="24"/>
        </w:rPr>
        <w:t xml:space="preserve"> standardima i konceptom integriranog upravljanja granicom  na temelju analize rizika definira</w:t>
      </w:r>
      <w:r>
        <w:rPr>
          <w:sz w:val="24"/>
          <w:szCs w:val="24"/>
        </w:rPr>
        <w:t>ni</w:t>
      </w:r>
      <w:r w:rsidRPr="00D17542">
        <w:rPr>
          <w:sz w:val="24"/>
          <w:szCs w:val="24"/>
        </w:rPr>
        <w:t xml:space="preserve"> prioriteti, ciljevi, mjere i pokazatelji za jačanje nadzora vanjske granice, učinkovito upravljanje migracijskim tokovima, modernizaciju tehničkih, informacijskih i infrastrukturnih kapaciteta granične policije te osiguravanje poštivanja temeljnih prava svih osoba koje prelaze državnu granicu.</w:t>
      </w:r>
      <w:r>
        <w:rPr>
          <w:sz w:val="24"/>
          <w:szCs w:val="24"/>
        </w:rPr>
        <w:t xml:space="preserve"> Nadalje, i</w:t>
      </w:r>
      <w:r w:rsidRPr="0052367F">
        <w:rPr>
          <w:sz w:val="24"/>
          <w:szCs w:val="24"/>
        </w:rPr>
        <w:t>zrađena</w:t>
      </w:r>
      <w:r>
        <w:rPr>
          <w:sz w:val="24"/>
          <w:szCs w:val="24"/>
        </w:rPr>
        <w:t xml:space="preserve"> je</w:t>
      </w:r>
      <w:r w:rsidRPr="0052367F">
        <w:rPr>
          <w:sz w:val="24"/>
          <w:szCs w:val="24"/>
        </w:rPr>
        <w:t xml:space="preserve"> skica zahtjeva za integraciju procjene ranjivosti u </w:t>
      </w:r>
      <w:r w:rsidRPr="007C2693">
        <w:rPr>
          <w:sz w:val="24"/>
          <w:szCs w:val="24"/>
        </w:rPr>
        <w:t>Nacionalnom informacijskom sustavu za upravljanje državnom granicom</w:t>
      </w:r>
      <w:r w:rsidRPr="0052367F">
        <w:rPr>
          <w:sz w:val="24"/>
          <w:szCs w:val="24"/>
        </w:rPr>
        <w:t xml:space="preserve"> (NISUDG).</w:t>
      </w:r>
      <w:r w:rsidRPr="00460277">
        <w:t xml:space="preserve"> </w:t>
      </w:r>
      <w:r w:rsidRPr="00460277">
        <w:rPr>
          <w:sz w:val="24"/>
          <w:szCs w:val="24"/>
        </w:rPr>
        <w:t xml:space="preserve">Digitalni sustavi identifikacije uvedeni </w:t>
      </w:r>
      <w:r>
        <w:rPr>
          <w:sz w:val="24"/>
          <w:szCs w:val="24"/>
        </w:rPr>
        <w:t xml:space="preserve">su </w:t>
      </w:r>
      <w:r w:rsidRPr="00460277">
        <w:rPr>
          <w:sz w:val="24"/>
          <w:szCs w:val="24"/>
        </w:rPr>
        <w:t xml:space="preserve">u Prihvatni centar za strance (suradnja s </w:t>
      </w:r>
      <w:r>
        <w:rPr>
          <w:sz w:val="24"/>
          <w:szCs w:val="24"/>
        </w:rPr>
        <w:t>pet</w:t>
      </w:r>
      <w:r w:rsidRPr="00460277">
        <w:rPr>
          <w:sz w:val="24"/>
          <w:szCs w:val="24"/>
        </w:rPr>
        <w:t xml:space="preserve"> država)</w:t>
      </w:r>
      <w:r>
        <w:rPr>
          <w:sz w:val="24"/>
          <w:szCs w:val="24"/>
        </w:rPr>
        <w:t>, a i</w:t>
      </w:r>
      <w:r w:rsidRPr="00460277">
        <w:rPr>
          <w:sz w:val="24"/>
          <w:szCs w:val="24"/>
        </w:rPr>
        <w:t>zrađen</w:t>
      </w:r>
      <w:r>
        <w:rPr>
          <w:sz w:val="24"/>
          <w:szCs w:val="24"/>
        </w:rPr>
        <w:t xml:space="preserve"> je i</w:t>
      </w:r>
      <w:r w:rsidRPr="00460277">
        <w:rPr>
          <w:sz w:val="24"/>
          <w:szCs w:val="24"/>
        </w:rPr>
        <w:t xml:space="preserve"> </w:t>
      </w:r>
      <w:r>
        <w:rPr>
          <w:sz w:val="24"/>
          <w:szCs w:val="24"/>
        </w:rPr>
        <w:t>N</w:t>
      </w:r>
      <w:r w:rsidRPr="00460277">
        <w:rPr>
          <w:sz w:val="24"/>
          <w:szCs w:val="24"/>
        </w:rPr>
        <w:t>acrt sporazuma za monitoring prisilnih udaljenja</w:t>
      </w:r>
      <w:r>
        <w:rPr>
          <w:sz w:val="24"/>
          <w:szCs w:val="24"/>
        </w:rPr>
        <w:t xml:space="preserve"> te je n</w:t>
      </w:r>
      <w:r w:rsidRPr="00460277">
        <w:rPr>
          <w:sz w:val="24"/>
          <w:szCs w:val="24"/>
        </w:rPr>
        <w:t>astavljena međuresorna suradnja s relevantnim institucijama</w:t>
      </w:r>
      <w:r>
        <w:rPr>
          <w:sz w:val="24"/>
          <w:szCs w:val="24"/>
        </w:rPr>
        <w:t>. P</w:t>
      </w:r>
      <w:r w:rsidRPr="0064278E">
        <w:rPr>
          <w:sz w:val="24"/>
          <w:szCs w:val="24"/>
        </w:rPr>
        <w:t xml:space="preserve">rovedene su </w:t>
      </w:r>
      <w:r>
        <w:rPr>
          <w:sz w:val="24"/>
          <w:szCs w:val="24"/>
        </w:rPr>
        <w:t xml:space="preserve">aktivnosti nabave 10 </w:t>
      </w:r>
      <w:r w:rsidRPr="005D739B">
        <w:rPr>
          <w:sz w:val="24"/>
          <w:szCs w:val="24"/>
        </w:rPr>
        <w:t xml:space="preserve">mobilnih </w:t>
      </w:r>
      <w:proofErr w:type="spellStart"/>
      <w:r w:rsidRPr="005D739B">
        <w:rPr>
          <w:sz w:val="24"/>
          <w:szCs w:val="24"/>
        </w:rPr>
        <w:t>termovizijskih</w:t>
      </w:r>
      <w:proofErr w:type="spellEnd"/>
      <w:r w:rsidRPr="005D739B">
        <w:rPr>
          <w:sz w:val="24"/>
          <w:szCs w:val="24"/>
        </w:rPr>
        <w:t xml:space="preserve"> sustava i terenskih vozila,</w:t>
      </w:r>
      <w:r>
        <w:rPr>
          <w:sz w:val="24"/>
          <w:szCs w:val="24"/>
        </w:rPr>
        <w:t xml:space="preserve"> osam</w:t>
      </w:r>
      <w:r w:rsidRPr="004F6852">
        <w:rPr>
          <w:sz w:val="24"/>
          <w:szCs w:val="24"/>
        </w:rPr>
        <w:t xml:space="preserve"> uređaja za otkrivanje krivotvorenih brojeva šasije</w:t>
      </w:r>
      <w:r>
        <w:rPr>
          <w:sz w:val="24"/>
          <w:szCs w:val="24"/>
        </w:rPr>
        <w:t xml:space="preserve"> te</w:t>
      </w:r>
      <w:r w:rsidRPr="004F6852">
        <w:rPr>
          <w:sz w:val="24"/>
          <w:szCs w:val="24"/>
        </w:rPr>
        <w:t xml:space="preserve"> </w:t>
      </w:r>
      <w:r>
        <w:rPr>
          <w:sz w:val="24"/>
          <w:szCs w:val="24"/>
        </w:rPr>
        <w:t>šest</w:t>
      </w:r>
      <w:r w:rsidRPr="004F6852">
        <w:rPr>
          <w:sz w:val="24"/>
          <w:szCs w:val="24"/>
        </w:rPr>
        <w:t xml:space="preserve"> stacionarnih nadzornih sustava</w:t>
      </w:r>
      <w:r>
        <w:rPr>
          <w:sz w:val="24"/>
          <w:szCs w:val="24"/>
        </w:rPr>
        <w:t xml:space="preserve">, a uspostavljen je i novi </w:t>
      </w:r>
      <w:r w:rsidRPr="00A34F5E">
        <w:rPr>
          <w:sz w:val="24"/>
          <w:szCs w:val="24"/>
        </w:rPr>
        <w:t>centar</w:t>
      </w:r>
      <w:r>
        <w:rPr>
          <w:sz w:val="24"/>
          <w:szCs w:val="24"/>
        </w:rPr>
        <w:t xml:space="preserve"> za obuku</w:t>
      </w:r>
      <w:r w:rsidRPr="00A34F5E">
        <w:rPr>
          <w:sz w:val="24"/>
          <w:szCs w:val="24"/>
        </w:rPr>
        <w:t xml:space="preserve"> granične policije </w:t>
      </w:r>
      <w:r>
        <w:rPr>
          <w:sz w:val="24"/>
          <w:szCs w:val="24"/>
        </w:rPr>
        <w:t xml:space="preserve">u </w:t>
      </w:r>
      <w:r w:rsidRPr="00A34F5E">
        <w:rPr>
          <w:sz w:val="24"/>
          <w:szCs w:val="24"/>
        </w:rPr>
        <w:t>Spačv</w:t>
      </w:r>
      <w:r>
        <w:rPr>
          <w:sz w:val="24"/>
          <w:szCs w:val="24"/>
        </w:rPr>
        <w:t>i. Dodatno, k</w:t>
      </w:r>
      <w:r w:rsidRPr="00A05157">
        <w:rPr>
          <w:sz w:val="24"/>
          <w:szCs w:val="24"/>
        </w:rPr>
        <w:t xml:space="preserve">ako bi se smanjio broj slučajeva nezakonitih migracija i prekograničnog kriminaliteta </w:t>
      </w:r>
      <w:r>
        <w:rPr>
          <w:sz w:val="24"/>
          <w:szCs w:val="24"/>
        </w:rPr>
        <w:t>usvojen je</w:t>
      </w:r>
      <w:r w:rsidRPr="005D739B">
        <w:rPr>
          <w:sz w:val="24"/>
          <w:szCs w:val="24"/>
        </w:rPr>
        <w:t xml:space="preserve"> </w:t>
      </w:r>
      <w:r w:rsidRPr="00734525">
        <w:rPr>
          <w:sz w:val="24"/>
          <w:szCs w:val="24"/>
        </w:rPr>
        <w:t xml:space="preserve">Plan postupanja u slučaju izvanrednog stanja migracijskog pritiska na vanjske granice </w:t>
      </w:r>
      <w:r>
        <w:rPr>
          <w:sz w:val="24"/>
          <w:szCs w:val="24"/>
        </w:rPr>
        <w:t xml:space="preserve">Hrvatske/ EU. </w:t>
      </w:r>
    </w:p>
    <w:p w14:paraId="7C28F87F" w14:textId="77777777" w:rsidR="00FB178A" w:rsidRPr="008564C7" w:rsidRDefault="00FB178A" w:rsidP="00FB178A">
      <w:pPr>
        <w:spacing w:after="240" w:line="276" w:lineRule="auto"/>
        <w:jc w:val="both"/>
        <w:rPr>
          <w:sz w:val="24"/>
          <w:szCs w:val="24"/>
        </w:rPr>
      </w:pPr>
      <w:r w:rsidRPr="00234F2E">
        <w:rPr>
          <w:sz w:val="24"/>
          <w:szCs w:val="24"/>
        </w:rPr>
        <w:t xml:space="preserve">Tijekom 2024. nastavljene su aktivnosti razminiranja te izvid i kontrola obilježenosti i ponovnog </w:t>
      </w:r>
      <w:r w:rsidRPr="00234F2E">
        <w:rPr>
          <w:sz w:val="24"/>
          <w:szCs w:val="24"/>
        </w:rPr>
        <w:lastRenderedPageBreak/>
        <w:t xml:space="preserve">obilježavanja minski sumnjivih prostora, u skladu s Nacionalnim programom </w:t>
      </w:r>
      <w:proofErr w:type="spellStart"/>
      <w:r w:rsidRPr="00234F2E">
        <w:rPr>
          <w:sz w:val="24"/>
          <w:szCs w:val="24"/>
        </w:rPr>
        <w:t>protuminskog</w:t>
      </w:r>
      <w:proofErr w:type="spellEnd"/>
      <w:r w:rsidRPr="00234F2E">
        <w:rPr>
          <w:sz w:val="24"/>
          <w:szCs w:val="24"/>
        </w:rPr>
        <w:t xml:space="preserve"> djelovanja</w:t>
      </w:r>
      <w:r>
        <w:rPr>
          <w:sz w:val="24"/>
          <w:szCs w:val="24"/>
        </w:rPr>
        <w:t xml:space="preserve"> Republike Hrvatske</w:t>
      </w:r>
      <w:r w:rsidRPr="00234F2E">
        <w:rPr>
          <w:sz w:val="24"/>
          <w:szCs w:val="24"/>
        </w:rPr>
        <w:t xml:space="preserve"> do 2026. te Planom </w:t>
      </w:r>
      <w:proofErr w:type="spellStart"/>
      <w:r w:rsidRPr="00234F2E">
        <w:rPr>
          <w:sz w:val="24"/>
          <w:szCs w:val="24"/>
        </w:rPr>
        <w:t>protuminskog</w:t>
      </w:r>
      <w:proofErr w:type="spellEnd"/>
      <w:r w:rsidRPr="00234F2E">
        <w:rPr>
          <w:sz w:val="24"/>
          <w:szCs w:val="24"/>
        </w:rPr>
        <w:t xml:space="preserve"> djelovanja za 2024. godinu</w:t>
      </w:r>
      <w:r>
        <w:rPr>
          <w:sz w:val="24"/>
          <w:szCs w:val="24"/>
        </w:rPr>
        <w:t>, z</w:t>
      </w:r>
      <w:r w:rsidRPr="0004221B">
        <w:rPr>
          <w:sz w:val="24"/>
          <w:szCs w:val="24"/>
        </w:rPr>
        <w:t xml:space="preserve">a što su tijekom 2024. osigurana </w:t>
      </w:r>
      <w:r w:rsidRPr="00234F2E">
        <w:rPr>
          <w:sz w:val="24"/>
          <w:szCs w:val="24"/>
        </w:rPr>
        <w:t xml:space="preserve">ukupna financijska ulaganja od 66,3 milijuna eura.  Na kraju 2024. </w:t>
      </w:r>
      <w:r>
        <w:rPr>
          <w:sz w:val="24"/>
          <w:szCs w:val="24"/>
        </w:rPr>
        <w:t>minski sumnjivi prostor</w:t>
      </w:r>
      <w:r w:rsidRPr="00234F2E">
        <w:rPr>
          <w:sz w:val="24"/>
          <w:szCs w:val="24"/>
        </w:rPr>
        <w:t xml:space="preserve"> je obuhvaćao ukupno 49,3 km², od čega šume i šumsko zemljište čine 98,5% zagađenih površina. Od ukupne površine</w:t>
      </w:r>
      <w:r>
        <w:rPr>
          <w:sz w:val="24"/>
          <w:szCs w:val="24"/>
        </w:rPr>
        <w:t>,</w:t>
      </w:r>
      <w:r w:rsidRPr="00234F2E">
        <w:rPr>
          <w:sz w:val="24"/>
          <w:szCs w:val="24"/>
        </w:rPr>
        <w:t xml:space="preserve"> 47,2 km² zagađenih minsko-eksplozivnim sredstvima nalazi se u 16 općina u Ličko-senjskoj, Sisačko-moslavačkoj i Splitsko-dalmatinskoj županiji te 2,1 km² područja zagađenih neeksplodiranim ubojnim sredstvima uslijed eksplozija vojnih skladišta u Karlovačkoj, Ličko-senjskoj i Sisačko-moslavačkoj županiji. Područja su označena s ukupno 2.610 oznaka koje ukazuju na minsku opasnost i mogući pronalazak neeksplodiranih sredstava. Tijekom 2024. održana je 121 edukacija o opasnostima od minsko-eksplozivnih sredstava i NUS-a </w:t>
      </w:r>
      <w:r>
        <w:rPr>
          <w:sz w:val="24"/>
          <w:szCs w:val="24"/>
        </w:rPr>
        <w:t xml:space="preserve">u koje je bilo uključeno </w:t>
      </w:r>
      <w:r w:rsidRPr="00234F2E">
        <w:rPr>
          <w:sz w:val="24"/>
          <w:szCs w:val="24"/>
        </w:rPr>
        <w:t xml:space="preserve"> 11.252 osob</w:t>
      </w:r>
      <w:r>
        <w:rPr>
          <w:sz w:val="24"/>
          <w:szCs w:val="24"/>
        </w:rPr>
        <w:t>a</w:t>
      </w:r>
      <w:r w:rsidRPr="00234F2E">
        <w:rPr>
          <w:sz w:val="24"/>
          <w:szCs w:val="24"/>
        </w:rPr>
        <w:t xml:space="preserve"> raznih dobnih skupina.</w:t>
      </w:r>
      <w:r>
        <w:rPr>
          <w:sz w:val="24"/>
          <w:szCs w:val="24"/>
        </w:rPr>
        <w:t xml:space="preserve"> </w:t>
      </w:r>
      <w:r w:rsidRPr="0024782C">
        <w:rPr>
          <w:sz w:val="24"/>
          <w:szCs w:val="24"/>
        </w:rPr>
        <w:t>U okviru Programa Konkurentnost i kohezija 2021.-2027., posebnog cilja „Promicanje prilagodbi klimatskim promjenama i sprječavanja rizika od katastrofa te otpornosti, uzimajući u obzir pristupe utemeljene na ekosustavima”, projektom „Razminiranje šuma i šumskog zemljišta u Republici Hrvatskoj” čiji je prijavitelj Ministarstvo unutarnjih poslova, za razminiranje je ugovoreno 80,1 milijun eura bespovratnih EU sredstava, odnosno ukupno 129.373.413,15 eura, uključujući i nacionalno sufinanciranje.</w:t>
      </w:r>
      <w:r w:rsidRPr="008564C7">
        <w:rPr>
          <w:sz w:val="24"/>
          <w:szCs w:val="24"/>
        </w:rPr>
        <w:t xml:space="preserve"> </w:t>
      </w:r>
      <w:r w:rsidRPr="0024782C">
        <w:rPr>
          <w:sz w:val="24"/>
          <w:szCs w:val="24"/>
        </w:rPr>
        <w:t xml:space="preserve">Projektima „Croatian </w:t>
      </w:r>
      <w:proofErr w:type="spellStart"/>
      <w:r w:rsidRPr="0024782C">
        <w:rPr>
          <w:sz w:val="24"/>
          <w:szCs w:val="24"/>
        </w:rPr>
        <w:t>Safe</w:t>
      </w:r>
      <w:proofErr w:type="spellEnd"/>
      <w:r w:rsidRPr="0024782C">
        <w:rPr>
          <w:sz w:val="24"/>
          <w:szCs w:val="24"/>
        </w:rPr>
        <w:t xml:space="preserve"> </w:t>
      </w:r>
      <w:proofErr w:type="spellStart"/>
      <w:r w:rsidRPr="0024782C">
        <w:rPr>
          <w:sz w:val="24"/>
          <w:szCs w:val="24"/>
        </w:rPr>
        <w:t>Steps</w:t>
      </w:r>
      <w:proofErr w:type="spellEnd"/>
      <w:r w:rsidRPr="0024782C">
        <w:rPr>
          <w:sz w:val="24"/>
          <w:szCs w:val="24"/>
        </w:rPr>
        <w:t xml:space="preserve"> – CROSS“ i „Croatian </w:t>
      </w:r>
      <w:proofErr w:type="spellStart"/>
      <w:r w:rsidRPr="0024782C">
        <w:rPr>
          <w:sz w:val="24"/>
          <w:szCs w:val="24"/>
        </w:rPr>
        <w:t>Safe</w:t>
      </w:r>
      <w:proofErr w:type="spellEnd"/>
      <w:r w:rsidRPr="0024782C">
        <w:rPr>
          <w:sz w:val="24"/>
          <w:szCs w:val="24"/>
        </w:rPr>
        <w:t xml:space="preserve"> </w:t>
      </w:r>
      <w:proofErr w:type="spellStart"/>
      <w:r w:rsidRPr="0024782C">
        <w:rPr>
          <w:sz w:val="24"/>
          <w:szCs w:val="24"/>
        </w:rPr>
        <w:t>Steps</w:t>
      </w:r>
      <w:proofErr w:type="spellEnd"/>
      <w:r w:rsidRPr="0024782C">
        <w:rPr>
          <w:sz w:val="24"/>
          <w:szCs w:val="24"/>
        </w:rPr>
        <w:t xml:space="preserve"> – CROSS II“ iz navedenog je izvora ugovoreno razminiranje 83,2 km² šuma i šumskog zemljišta od MES-a i NUS-a.”</w:t>
      </w:r>
    </w:p>
    <w:p w14:paraId="4AD20ECE" w14:textId="77777777" w:rsidR="00FB178A" w:rsidRPr="0004221B" w:rsidRDefault="00FB178A" w:rsidP="00FB178A">
      <w:pPr>
        <w:spacing w:after="240" w:line="276" w:lineRule="auto"/>
        <w:jc w:val="both"/>
        <w:rPr>
          <w:sz w:val="24"/>
          <w:szCs w:val="24"/>
        </w:rPr>
      </w:pPr>
      <w:r>
        <w:rPr>
          <w:sz w:val="24"/>
          <w:szCs w:val="24"/>
        </w:rPr>
        <w:t xml:space="preserve">Nastavljena je provedba </w:t>
      </w:r>
      <w:r w:rsidRPr="0085435C">
        <w:rPr>
          <w:sz w:val="24"/>
          <w:szCs w:val="24"/>
        </w:rPr>
        <w:t>Nacionaln</w:t>
      </w:r>
      <w:r>
        <w:rPr>
          <w:sz w:val="24"/>
          <w:szCs w:val="24"/>
        </w:rPr>
        <w:t>og</w:t>
      </w:r>
      <w:r w:rsidRPr="0085435C">
        <w:rPr>
          <w:sz w:val="24"/>
          <w:szCs w:val="24"/>
        </w:rPr>
        <w:t xml:space="preserve"> plan</w:t>
      </w:r>
      <w:r>
        <w:rPr>
          <w:sz w:val="24"/>
          <w:szCs w:val="24"/>
        </w:rPr>
        <w:t>a</w:t>
      </w:r>
      <w:r w:rsidRPr="0085435C">
        <w:rPr>
          <w:sz w:val="24"/>
          <w:szCs w:val="24"/>
        </w:rPr>
        <w:t xml:space="preserve"> sigurnosti cestovnog prometa </w:t>
      </w:r>
      <w:r w:rsidRPr="002E6989">
        <w:rPr>
          <w:sz w:val="24"/>
          <w:szCs w:val="24"/>
        </w:rPr>
        <w:t>Republike Hrvatske za razdoblje od 2021. do 2030</w:t>
      </w:r>
      <w:r>
        <w:rPr>
          <w:sz w:val="24"/>
          <w:szCs w:val="24"/>
        </w:rPr>
        <w:t>.</w:t>
      </w:r>
      <w:r w:rsidRPr="0085435C">
        <w:rPr>
          <w:sz w:val="24"/>
          <w:szCs w:val="24"/>
        </w:rPr>
        <w:t xml:space="preserve"> </w:t>
      </w:r>
      <w:r w:rsidRPr="00F013D3">
        <w:rPr>
          <w:sz w:val="24"/>
          <w:szCs w:val="24"/>
        </w:rPr>
        <w:t>usmjeren</w:t>
      </w:r>
      <w:r>
        <w:rPr>
          <w:sz w:val="24"/>
          <w:szCs w:val="24"/>
        </w:rPr>
        <w:t>og</w:t>
      </w:r>
      <w:r w:rsidRPr="00F013D3">
        <w:rPr>
          <w:sz w:val="24"/>
          <w:szCs w:val="24"/>
        </w:rPr>
        <w:t xml:space="preserve"> na smanjenje broja poginulih i teško ozlijeđenih osoba u prometu za 50% do 2030.,</w:t>
      </w:r>
      <w:r>
        <w:rPr>
          <w:sz w:val="24"/>
          <w:szCs w:val="24"/>
        </w:rPr>
        <w:t xml:space="preserve"> </w:t>
      </w:r>
      <w:r w:rsidRPr="00F013D3">
        <w:rPr>
          <w:sz w:val="24"/>
          <w:szCs w:val="24"/>
        </w:rPr>
        <w:t>u odnosu na referentnu 2019.</w:t>
      </w:r>
      <w:r>
        <w:rPr>
          <w:sz w:val="24"/>
          <w:szCs w:val="24"/>
        </w:rPr>
        <w:t xml:space="preserve"> godinu. U skladu s</w:t>
      </w:r>
      <w:r w:rsidRPr="0085435C">
        <w:rPr>
          <w:sz w:val="24"/>
          <w:szCs w:val="24"/>
        </w:rPr>
        <w:t xml:space="preserve"> </w:t>
      </w:r>
      <w:r>
        <w:rPr>
          <w:sz w:val="24"/>
          <w:szCs w:val="24"/>
        </w:rPr>
        <w:t>Nacionalnim p</w:t>
      </w:r>
      <w:r w:rsidRPr="0085435C">
        <w:rPr>
          <w:sz w:val="24"/>
          <w:szCs w:val="24"/>
        </w:rPr>
        <w:t>lan</w:t>
      </w:r>
      <w:r>
        <w:rPr>
          <w:sz w:val="24"/>
          <w:szCs w:val="24"/>
        </w:rPr>
        <w:t xml:space="preserve">om, </w:t>
      </w:r>
      <w:r w:rsidRPr="0085435C">
        <w:rPr>
          <w:sz w:val="24"/>
          <w:szCs w:val="24"/>
        </w:rPr>
        <w:t>unaprjeđenje sigurnosti cestovnog prometa</w:t>
      </w:r>
      <w:r>
        <w:rPr>
          <w:sz w:val="24"/>
          <w:szCs w:val="24"/>
        </w:rPr>
        <w:t xml:space="preserve"> </w:t>
      </w:r>
      <w:r w:rsidRPr="0085435C">
        <w:rPr>
          <w:sz w:val="24"/>
          <w:szCs w:val="24"/>
        </w:rPr>
        <w:t>ostvaruje se kroz 13 područja djelovanja, uključujući sigurnu brzinu, vožnju bez alkohola, sigurnu infrastrukturu, edukaciju i jačanje policijskih kapaciteta. Plan se provodi</w:t>
      </w:r>
      <w:r>
        <w:rPr>
          <w:sz w:val="24"/>
          <w:szCs w:val="24"/>
        </w:rPr>
        <w:t xml:space="preserve"> i prati</w:t>
      </w:r>
      <w:r w:rsidRPr="0085435C">
        <w:rPr>
          <w:sz w:val="24"/>
          <w:szCs w:val="24"/>
        </w:rPr>
        <w:t xml:space="preserve"> putem multidisciplinarne Radne skupine</w:t>
      </w:r>
      <w:r>
        <w:rPr>
          <w:sz w:val="24"/>
          <w:szCs w:val="24"/>
        </w:rPr>
        <w:t xml:space="preserve">, a njegova se provedba financira </w:t>
      </w:r>
      <w:r w:rsidRPr="0085435C">
        <w:rPr>
          <w:sz w:val="24"/>
          <w:szCs w:val="24"/>
        </w:rPr>
        <w:t>iz sredstava Centra za vozila Hrvatske.</w:t>
      </w:r>
      <w:r>
        <w:rPr>
          <w:sz w:val="24"/>
          <w:szCs w:val="24"/>
        </w:rPr>
        <w:t xml:space="preserve"> </w:t>
      </w:r>
      <w:r w:rsidRPr="004C3B1D">
        <w:rPr>
          <w:sz w:val="24"/>
          <w:szCs w:val="24"/>
        </w:rPr>
        <w:t>Tijekom 2024. proveden</w:t>
      </w:r>
      <w:r>
        <w:rPr>
          <w:sz w:val="24"/>
          <w:szCs w:val="24"/>
        </w:rPr>
        <w:t>a su</w:t>
      </w:r>
      <w:r w:rsidRPr="004C3B1D">
        <w:rPr>
          <w:sz w:val="24"/>
          <w:szCs w:val="24"/>
        </w:rPr>
        <w:t xml:space="preserve"> 42 preventivna projekta u prometu (npr. Poštujte naše znakove, Klik, Bez promila), za koje je osigurano 1,05 milijuna eura, dok je za sanaciju 111 potencijalno opasnih mjesta na cestama </w:t>
      </w:r>
      <w:r>
        <w:rPr>
          <w:sz w:val="24"/>
          <w:szCs w:val="24"/>
        </w:rPr>
        <w:t>osigurano</w:t>
      </w:r>
      <w:r w:rsidRPr="004C3B1D">
        <w:rPr>
          <w:sz w:val="24"/>
          <w:szCs w:val="24"/>
        </w:rPr>
        <w:t xml:space="preserve"> 3,86 milijuna eura</w:t>
      </w:r>
      <w:r>
        <w:rPr>
          <w:sz w:val="24"/>
          <w:szCs w:val="24"/>
        </w:rPr>
        <w:t>. Dodatno,</w:t>
      </w:r>
      <w:r w:rsidRPr="004C3B1D">
        <w:rPr>
          <w:sz w:val="24"/>
          <w:szCs w:val="24"/>
        </w:rPr>
        <w:t xml:space="preserve"> za redovno i ciljano funkcioniranje prometne policije i inspekcijskih službi </w:t>
      </w:r>
      <w:r>
        <w:rPr>
          <w:sz w:val="24"/>
          <w:szCs w:val="24"/>
        </w:rPr>
        <w:t>tijekom 2024. osigurano je</w:t>
      </w:r>
      <w:r w:rsidRPr="004C3B1D">
        <w:rPr>
          <w:sz w:val="24"/>
          <w:szCs w:val="24"/>
        </w:rPr>
        <w:t xml:space="preserve"> 10,5 milijuna eura. U odnosu na 2023. broj smrtno stradalih u prometu </w:t>
      </w:r>
      <w:r>
        <w:rPr>
          <w:sz w:val="24"/>
          <w:szCs w:val="24"/>
        </w:rPr>
        <w:t xml:space="preserve">tijekom 2024. </w:t>
      </w:r>
      <w:r w:rsidRPr="004C3B1D">
        <w:rPr>
          <w:sz w:val="24"/>
          <w:szCs w:val="24"/>
        </w:rPr>
        <w:t>smanjen je za 35 osoba (</w:t>
      </w:r>
      <w:r>
        <w:rPr>
          <w:sz w:val="24"/>
          <w:szCs w:val="24"/>
        </w:rPr>
        <w:t>-</w:t>
      </w:r>
      <w:r w:rsidRPr="004C3B1D">
        <w:rPr>
          <w:sz w:val="24"/>
          <w:szCs w:val="24"/>
        </w:rPr>
        <w:t>12,8%), a broj nesreća s poginulima za 32 (</w:t>
      </w:r>
      <w:r>
        <w:rPr>
          <w:sz w:val="24"/>
          <w:szCs w:val="24"/>
        </w:rPr>
        <w:t>-</w:t>
      </w:r>
      <w:r w:rsidRPr="004C3B1D">
        <w:rPr>
          <w:sz w:val="24"/>
          <w:szCs w:val="24"/>
        </w:rPr>
        <w:t xml:space="preserve">12,7%), uz istodobni porast broja nesreća s teško ozlijeđenim osobama za </w:t>
      </w:r>
      <w:r>
        <w:rPr>
          <w:sz w:val="24"/>
          <w:szCs w:val="24"/>
        </w:rPr>
        <w:t xml:space="preserve">151 slučaj </w:t>
      </w:r>
      <w:r w:rsidRPr="004C3B1D">
        <w:rPr>
          <w:sz w:val="24"/>
          <w:szCs w:val="24"/>
        </w:rPr>
        <w:t>(+</w:t>
      </w:r>
      <w:r>
        <w:rPr>
          <w:sz w:val="24"/>
          <w:szCs w:val="24"/>
        </w:rPr>
        <w:t>5</w:t>
      </w:r>
      <w:r w:rsidRPr="004C3B1D">
        <w:rPr>
          <w:sz w:val="24"/>
          <w:szCs w:val="24"/>
        </w:rPr>
        <w:t xml:space="preserve">,5%). U usporedbi s </w:t>
      </w:r>
      <w:r>
        <w:rPr>
          <w:sz w:val="24"/>
          <w:szCs w:val="24"/>
        </w:rPr>
        <w:t>početnom godinom (</w:t>
      </w:r>
      <w:r w:rsidRPr="004C3B1D">
        <w:rPr>
          <w:sz w:val="24"/>
          <w:szCs w:val="24"/>
        </w:rPr>
        <w:t>2019.</w:t>
      </w:r>
      <w:r>
        <w:rPr>
          <w:sz w:val="24"/>
          <w:szCs w:val="24"/>
        </w:rPr>
        <w:t>)</w:t>
      </w:r>
      <w:r w:rsidRPr="004C3B1D">
        <w:rPr>
          <w:sz w:val="24"/>
          <w:szCs w:val="24"/>
        </w:rPr>
        <w:t xml:space="preserve"> </w:t>
      </w:r>
      <w:r>
        <w:rPr>
          <w:sz w:val="24"/>
          <w:szCs w:val="24"/>
        </w:rPr>
        <w:t xml:space="preserve">smanjen je </w:t>
      </w:r>
      <w:r w:rsidRPr="004C3B1D">
        <w:rPr>
          <w:sz w:val="24"/>
          <w:szCs w:val="24"/>
        </w:rPr>
        <w:t xml:space="preserve">broj poginulih </w:t>
      </w:r>
      <w:r>
        <w:rPr>
          <w:sz w:val="24"/>
          <w:szCs w:val="24"/>
        </w:rPr>
        <w:t xml:space="preserve">u prometu </w:t>
      </w:r>
      <w:r w:rsidRPr="004C3B1D">
        <w:rPr>
          <w:sz w:val="24"/>
          <w:szCs w:val="24"/>
        </w:rPr>
        <w:t xml:space="preserve">za 19,5%, </w:t>
      </w:r>
      <w:r>
        <w:rPr>
          <w:sz w:val="24"/>
          <w:szCs w:val="24"/>
        </w:rPr>
        <w:t>k</w:t>
      </w:r>
      <w:r w:rsidRPr="004C3B1D">
        <w:rPr>
          <w:sz w:val="24"/>
          <w:szCs w:val="24"/>
        </w:rPr>
        <w:t>a</w:t>
      </w:r>
      <w:r>
        <w:rPr>
          <w:sz w:val="24"/>
          <w:szCs w:val="24"/>
        </w:rPr>
        <w:t>o i</w:t>
      </w:r>
      <w:r w:rsidRPr="004C3B1D">
        <w:rPr>
          <w:sz w:val="24"/>
          <w:szCs w:val="24"/>
        </w:rPr>
        <w:t xml:space="preserve"> broj nesreća s poginulima za 21,5%, dok je</w:t>
      </w:r>
      <w:r>
        <w:rPr>
          <w:sz w:val="24"/>
          <w:szCs w:val="24"/>
        </w:rPr>
        <w:t xml:space="preserve"> s druge strane </w:t>
      </w:r>
      <w:r w:rsidRPr="004C3B1D">
        <w:rPr>
          <w:sz w:val="24"/>
          <w:szCs w:val="24"/>
        </w:rPr>
        <w:t xml:space="preserve"> broj nesreća s teško ozlijeđenima </w:t>
      </w:r>
      <w:r>
        <w:rPr>
          <w:sz w:val="24"/>
          <w:szCs w:val="24"/>
        </w:rPr>
        <w:t>po</w:t>
      </w:r>
      <w:r w:rsidRPr="004C3B1D">
        <w:rPr>
          <w:sz w:val="24"/>
          <w:szCs w:val="24"/>
        </w:rPr>
        <w:t>već</w:t>
      </w:r>
      <w:r>
        <w:rPr>
          <w:sz w:val="24"/>
          <w:szCs w:val="24"/>
        </w:rPr>
        <w:t>an</w:t>
      </w:r>
      <w:r w:rsidRPr="004C3B1D">
        <w:rPr>
          <w:sz w:val="24"/>
          <w:szCs w:val="24"/>
        </w:rPr>
        <w:t xml:space="preserve"> za 3</w:t>
      </w:r>
      <w:r>
        <w:rPr>
          <w:sz w:val="24"/>
          <w:szCs w:val="24"/>
        </w:rPr>
        <w:t>2</w:t>
      </w:r>
      <w:r w:rsidRPr="004C3B1D">
        <w:rPr>
          <w:sz w:val="24"/>
          <w:szCs w:val="24"/>
        </w:rPr>
        <w:t>,</w:t>
      </w:r>
      <w:r>
        <w:rPr>
          <w:sz w:val="24"/>
          <w:szCs w:val="24"/>
        </w:rPr>
        <w:t>1</w:t>
      </w:r>
      <w:r w:rsidRPr="004C3B1D">
        <w:rPr>
          <w:sz w:val="24"/>
          <w:szCs w:val="24"/>
        </w:rPr>
        <w:t>%.</w:t>
      </w:r>
    </w:p>
    <w:p w14:paraId="778ED99D" w14:textId="77777777" w:rsidR="00FB178A" w:rsidRPr="0004221B" w:rsidRDefault="00FB178A" w:rsidP="00FB178A">
      <w:pPr>
        <w:spacing w:after="240" w:line="276" w:lineRule="auto"/>
        <w:jc w:val="both"/>
        <w:rPr>
          <w:sz w:val="24"/>
          <w:szCs w:val="24"/>
        </w:rPr>
      </w:pPr>
      <w:r w:rsidRPr="0004221B">
        <w:rPr>
          <w:sz w:val="24"/>
          <w:szCs w:val="24"/>
        </w:rPr>
        <w:t>Sve pokazatelje treba promatrati kroz činjenicu da je na dan 31.</w:t>
      </w:r>
      <w:r>
        <w:rPr>
          <w:sz w:val="24"/>
          <w:szCs w:val="24"/>
        </w:rPr>
        <w:t xml:space="preserve">prosinca </w:t>
      </w:r>
      <w:r w:rsidRPr="0004221B">
        <w:rPr>
          <w:sz w:val="24"/>
          <w:szCs w:val="24"/>
        </w:rPr>
        <w:t xml:space="preserve">2024. u </w:t>
      </w:r>
      <w:r>
        <w:rPr>
          <w:sz w:val="24"/>
          <w:szCs w:val="24"/>
        </w:rPr>
        <w:t>H</w:t>
      </w:r>
      <w:r w:rsidRPr="0004221B">
        <w:rPr>
          <w:sz w:val="24"/>
          <w:szCs w:val="24"/>
        </w:rPr>
        <w:t>rvatskoj bilo registrirano 4,3% više vozila nego na isti dan 2023.</w:t>
      </w:r>
      <w:r>
        <w:rPr>
          <w:sz w:val="24"/>
          <w:szCs w:val="24"/>
        </w:rPr>
        <w:t>,</w:t>
      </w:r>
      <w:r w:rsidRPr="0004221B">
        <w:rPr>
          <w:sz w:val="24"/>
          <w:szCs w:val="24"/>
        </w:rPr>
        <w:t xml:space="preserve"> </w:t>
      </w:r>
      <w:r>
        <w:rPr>
          <w:sz w:val="24"/>
          <w:szCs w:val="24"/>
        </w:rPr>
        <w:t>od čega je</w:t>
      </w:r>
      <w:r w:rsidRPr="0004221B">
        <w:rPr>
          <w:sz w:val="24"/>
          <w:szCs w:val="24"/>
        </w:rPr>
        <w:t xml:space="preserve"> broj motocikala</w:t>
      </w:r>
      <w:r>
        <w:rPr>
          <w:sz w:val="24"/>
          <w:szCs w:val="24"/>
        </w:rPr>
        <w:t xml:space="preserve"> povećan za 10,5%</w:t>
      </w:r>
      <w:r w:rsidRPr="0004221B">
        <w:rPr>
          <w:sz w:val="24"/>
          <w:szCs w:val="24"/>
        </w:rPr>
        <w:t xml:space="preserve"> na čak 109</w:t>
      </w:r>
      <w:r>
        <w:rPr>
          <w:sz w:val="24"/>
          <w:szCs w:val="24"/>
        </w:rPr>
        <w:t>.668</w:t>
      </w:r>
      <w:r w:rsidRPr="0004221B">
        <w:rPr>
          <w:sz w:val="24"/>
          <w:szCs w:val="24"/>
        </w:rPr>
        <w:t xml:space="preserve">. </w:t>
      </w:r>
      <w:r>
        <w:rPr>
          <w:sz w:val="24"/>
          <w:szCs w:val="24"/>
        </w:rPr>
        <w:t>Isto</w:t>
      </w:r>
      <w:r w:rsidRPr="0004221B">
        <w:rPr>
          <w:sz w:val="24"/>
          <w:szCs w:val="24"/>
        </w:rPr>
        <w:t>vr</w:t>
      </w:r>
      <w:r>
        <w:rPr>
          <w:sz w:val="24"/>
          <w:szCs w:val="24"/>
        </w:rPr>
        <w:t xml:space="preserve">emeno, </w:t>
      </w:r>
      <w:r w:rsidRPr="0004221B">
        <w:rPr>
          <w:sz w:val="24"/>
          <w:szCs w:val="24"/>
        </w:rPr>
        <w:t xml:space="preserve">povećan je i </w:t>
      </w:r>
      <w:r>
        <w:rPr>
          <w:sz w:val="24"/>
          <w:szCs w:val="24"/>
        </w:rPr>
        <w:t xml:space="preserve">ukupan </w:t>
      </w:r>
      <w:r w:rsidRPr="0004221B">
        <w:rPr>
          <w:sz w:val="24"/>
          <w:szCs w:val="24"/>
        </w:rPr>
        <w:t>broj vozača za 2</w:t>
      </w:r>
      <w:r>
        <w:rPr>
          <w:sz w:val="24"/>
          <w:szCs w:val="24"/>
        </w:rPr>
        <w:t>1</w:t>
      </w:r>
      <w:r w:rsidRPr="0004221B">
        <w:rPr>
          <w:sz w:val="24"/>
          <w:szCs w:val="24"/>
        </w:rPr>
        <w:t>.</w:t>
      </w:r>
      <w:r>
        <w:rPr>
          <w:sz w:val="24"/>
          <w:szCs w:val="24"/>
        </w:rPr>
        <w:t>401</w:t>
      </w:r>
      <w:r w:rsidRPr="0004221B">
        <w:rPr>
          <w:sz w:val="24"/>
          <w:szCs w:val="24"/>
        </w:rPr>
        <w:t xml:space="preserve">, </w:t>
      </w:r>
      <w:r>
        <w:rPr>
          <w:sz w:val="24"/>
          <w:szCs w:val="24"/>
        </w:rPr>
        <w:t>što je</w:t>
      </w:r>
      <w:r w:rsidRPr="0004221B">
        <w:rPr>
          <w:sz w:val="24"/>
          <w:szCs w:val="24"/>
        </w:rPr>
        <w:t xml:space="preserve"> 0,9% više nego prethodne godine.</w:t>
      </w:r>
      <w:r>
        <w:rPr>
          <w:sz w:val="24"/>
          <w:szCs w:val="24"/>
        </w:rPr>
        <w:t xml:space="preserve"> </w:t>
      </w:r>
      <w:r w:rsidRPr="0004221B">
        <w:rPr>
          <w:sz w:val="24"/>
          <w:szCs w:val="24"/>
        </w:rPr>
        <w:t xml:space="preserve">Uzroke povećanja broja prometnih nesreća s teško </w:t>
      </w:r>
      <w:r w:rsidRPr="00734E58">
        <w:rPr>
          <w:sz w:val="24"/>
          <w:szCs w:val="24"/>
        </w:rPr>
        <w:t>ozlijeđenim</w:t>
      </w:r>
      <w:r w:rsidRPr="0004221B">
        <w:rPr>
          <w:sz w:val="24"/>
          <w:szCs w:val="24"/>
        </w:rPr>
        <w:t xml:space="preserve"> osobama treba gledati i kroz prizmu daljnjeg konstantnog povećanja intenziteta prometnih tokova tijekom 2024. u odnosu na 2023.</w:t>
      </w:r>
      <w:r>
        <w:rPr>
          <w:sz w:val="24"/>
          <w:szCs w:val="24"/>
        </w:rPr>
        <w:t>, pri čemu je na</w:t>
      </w:r>
      <w:r w:rsidRPr="0004221B">
        <w:rPr>
          <w:sz w:val="24"/>
          <w:szCs w:val="24"/>
        </w:rPr>
        <w:t xml:space="preserve"> autocestama </w:t>
      </w:r>
      <w:r>
        <w:rPr>
          <w:sz w:val="24"/>
          <w:szCs w:val="24"/>
        </w:rPr>
        <w:t>riječ o povećanju od 8</w:t>
      </w:r>
      <w:r w:rsidRPr="0004221B">
        <w:rPr>
          <w:sz w:val="24"/>
          <w:szCs w:val="24"/>
        </w:rPr>
        <w:t xml:space="preserve">%, a na </w:t>
      </w:r>
      <w:r w:rsidRPr="003E2D34">
        <w:rPr>
          <w:sz w:val="24"/>
          <w:szCs w:val="24"/>
        </w:rPr>
        <w:t>državnim</w:t>
      </w:r>
      <w:r w:rsidRPr="0004221B">
        <w:rPr>
          <w:sz w:val="24"/>
          <w:szCs w:val="24"/>
        </w:rPr>
        <w:t xml:space="preserve"> cestama</w:t>
      </w:r>
      <w:r>
        <w:rPr>
          <w:sz w:val="24"/>
          <w:szCs w:val="24"/>
        </w:rPr>
        <w:t xml:space="preserve"> </w:t>
      </w:r>
      <w:r w:rsidRPr="00FC434B">
        <w:rPr>
          <w:sz w:val="24"/>
          <w:szCs w:val="24"/>
        </w:rPr>
        <w:lastRenderedPageBreak/>
        <w:t>1,5%</w:t>
      </w:r>
      <w:r w:rsidRPr="0004221B">
        <w:rPr>
          <w:sz w:val="24"/>
          <w:szCs w:val="24"/>
        </w:rPr>
        <w:t>.</w:t>
      </w:r>
      <w:r>
        <w:rPr>
          <w:sz w:val="24"/>
          <w:szCs w:val="24"/>
        </w:rPr>
        <w:t xml:space="preserve"> U</w:t>
      </w:r>
      <w:r w:rsidRPr="0004221B">
        <w:rPr>
          <w:sz w:val="24"/>
          <w:szCs w:val="24"/>
        </w:rPr>
        <w:t>natoč povećanju prometa</w:t>
      </w:r>
      <w:r>
        <w:rPr>
          <w:sz w:val="24"/>
          <w:szCs w:val="24"/>
        </w:rPr>
        <w:t xml:space="preserve">, povećanju </w:t>
      </w:r>
      <w:r w:rsidRPr="003E2D34">
        <w:rPr>
          <w:sz w:val="24"/>
          <w:szCs w:val="24"/>
        </w:rPr>
        <w:t>prijeđenih</w:t>
      </w:r>
      <w:r w:rsidRPr="0004221B">
        <w:rPr>
          <w:sz w:val="24"/>
          <w:szCs w:val="24"/>
        </w:rPr>
        <w:t xml:space="preserve"> kilometara osobnih vozila, kao i osjetnom porastu broja ulazaka i izlazaka vozila inozemnih oznaka na graničnim prijelazima</w:t>
      </w:r>
      <w:r>
        <w:rPr>
          <w:sz w:val="24"/>
          <w:szCs w:val="24"/>
        </w:rPr>
        <w:t>,</w:t>
      </w:r>
      <w:r w:rsidRPr="0004221B">
        <w:rPr>
          <w:sz w:val="24"/>
          <w:szCs w:val="24"/>
        </w:rPr>
        <w:t xml:space="preserve"> osjetno </w:t>
      </w:r>
      <w:r>
        <w:rPr>
          <w:sz w:val="24"/>
          <w:szCs w:val="24"/>
        </w:rPr>
        <w:t xml:space="preserve">se </w:t>
      </w:r>
      <w:r w:rsidRPr="0004221B">
        <w:rPr>
          <w:sz w:val="24"/>
          <w:szCs w:val="24"/>
        </w:rPr>
        <w:t>smanjio broj smrtnih stradavanja</w:t>
      </w:r>
      <w:r>
        <w:rPr>
          <w:sz w:val="24"/>
          <w:szCs w:val="24"/>
        </w:rPr>
        <w:t xml:space="preserve"> u prometu</w:t>
      </w:r>
      <w:r w:rsidRPr="0004221B">
        <w:rPr>
          <w:sz w:val="24"/>
          <w:szCs w:val="24"/>
        </w:rPr>
        <w:t xml:space="preserve">, što </w:t>
      </w:r>
      <w:r>
        <w:rPr>
          <w:sz w:val="24"/>
          <w:szCs w:val="24"/>
        </w:rPr>
        <w:t>ukazuje na</w:t>
      </w:r>
      <w:r w:rsidRPr="0004221B">
        <w:rPr>
          <w:sz w:val="24"/>
          <w:szCs w:val="24"/>
        </w:rPr>
        <w:t xml:space="preserve"> pozitivn</w:t>
      </w:r>
      <w:r>
        <w:rPr>
          <w:sz w:val="24"/>
          <w:szCs w:val="24"/>
        </w:rPr>
        <w:t>e</w:t>
      </w:r>
      <w:r w:rsidRPr="0004221B">
        <w:rPr>
          <w:sz w:val="24"/>
          <w:szCs w:val="24"/>
        </w:rPr>
        <w:t xml:space="preserve"> </w:t>
      </w:r>
      <w:r>
        <w:rPr>
          <w:sz w:val="24"/>
          <w:szCs w:val="24"/>
        </w:rPr>
        <w:t>trendove u poboljšanju</w:t>
      </w:r>
      <w:r w:rsidRPr="0004221B">
        <w:rPr>
          <w:sz w:val="24"/>
          <w:szCs w:val="24"/>
        </w:rPr>
        <w:t xml:space="preserve"> cestovne sigurnosti.</w:t>
      </w:r>
    </w:p>
    <w:p w14:paraId="3E3F41A3" w14:textId="77777777" w:rsidR="00FB178A" w:rsidRPr="00145379" w:rsidRDefault="00FB178A" w:rsidP="00FB178A">
      <w:pPr>
        <w:spacing w:after="240" w:line="276" w:lineRule="auto"/>
        <w:ind w:firstLine="709"/>
        <w:jc w:val="both"/>
        <w:rPr>
          <w:b/>
          <w:color w:val="000000" w:themeColor="text1"/>
          <w:sz w:val="24"/>
          <w:szCs w:val="24"/>
        </w:rPr>
      </w:pPr>
      <w:r w:rsidRPr="00145379">
        <w:rPr>
          <w:b/>
          <w:color w:val="000000" w:themeColor="text1"/>
          <w:sz w:val="24"/>
          <w:szCs w:val="24"/>
        </w:rPr>
        <w:t>Borba protiv radikalizma, ekstremizma i terorizma</w:t>
      </w:r>
    </w:p>
    <w:p w14:paraId="1BC5EFBF" w14:textId="77777777" w:rsidR="00FB178A" w:rsidRDefault="00FB178A" w:rsidP="00FB178A">
      <w:pPr>
        <w:spacing w:after="240" w:line="276" w:lineRule="auto"/>
        <w:ind w:firstLine="720"/>
        <w:jc w:val="both"/>
        <w:rPr>
          <w:color w:val="000000" w:themeColor="text1"/>
        </w:rPr>
      </w:pPr>
      <w:r w:rsidRPr="0004221B">
        <w:rPr>
          <w:color w:val="000000" w:themeColor="text1"/>
          <w:sz w:val="24"/>
          <w:szCs w:val="24"/>
        </w:rPr>
        <w:t xml:space="preserve">Terorizam i dalje predstavlja jednu od najvećih prijetnji </w:t>
      </w:r>
      <w:r w:rsidRPr="00640B5D">
        <w:rPr>
          <w:color w:val="000000" w:themeColor="text1"/>
          <w:sz w:val="24"/>
          <w:szCs w:val="24"/>
        </w:rPr>
        <w:t>međunarodnom</w:t>
      </w:r>
      <w:r w:rsidRPr="0004221B">
        <w:rPr>
          <w:color w:val="000000" w:themeColor="text1"/>
          <w:sz w:val="24"/>
          <w:szCs w:val="24"/>
        </w:rPr>
        <w:t xml:space="preserve"> miru i sigurnosti, što je prepoznato od strane tijela i agencija </w:t>
      </w:r>
      <w:r>
        <w:rPr>
          <w:color w:val="000000" w:themeColor="text1"/>
          <w:sz w:val="24"/>
          <w:szCs w:val="24"/>
        </w:rPr>
        <w:t>EU</w:t>
      </w:r>
      <w:r w:rsidRPr="0004221B">
        <w:rPr>
          <w:color w:val="000000" w:themeColor="text1"/>
          <w:sz w:val="24"/>
          <w:szCs w:val="24"/>
        </w:rPr>
        <w:t xml:space="preserve">, ali i </w:t>
      </w:r>
      <w:r w:rsidRPr="00640B5D">
        <w:rPr>
          <w:color w:val="000000" w:themeColor="text1"/>
          <w:sz w:val="24"/>
          <w:szCs w:val="24"/>
        </w:rPr>
        <w:t>međunarodnih</w:t>
      </w:r>
      <w:r w:rsidRPr="0004221B">
        <w:rPr>
          <w:color w:val="000000" w:themeColor="text1"/>
          <w:sz w:val="24"/>
          <w:szCs w:val="24"/>
        </w:rPr>
        <w:t xml:space="preserve"> organizacija koje ulažu značajn</w:t>
      </w:r>
      <w:r>
        <w:rPr>
          <w:color w:val="000000" w:themeColor="text1"/>
          <w:sz w:val="24"/>
          <w:szCs w:val="24"/>
        </w:rPr>
        <w:t>a</w:t>
      </w:r>
      <w:r w:rsidRPr="0004221B">
        <w:rPr>
          <w:color w:val="000000" w:themeColor="text1"/>
          <w:sz w:val="24"/>
          <w:szCs w:val="24"/>
        </w:rPr>
        <w:t xml:space="preserve"> sredstva u jačanje nacionalnih kapaciteta </w:t>
      </w:r>
      <w:r w:rsidRPr="00640B5D">
        <w:rPr>
          <w:color w:val="000000" w:themeColor="text1"/>
          <w:sz w:val="24"/>
          <w:szCs w:val="24"/>
        </w:rPr>
        <w:t>država</w:t>
      </w:r>
      <w:r w:rsidRPr="0004221B">
        <w:rPr>
          <w:color w:val="000000" w:themeColor="text1"/>
          <w:sz w:val="24"/>
          <w:szCs w:val="24"/>
        </w:rPr>
        <w:t xml:space="preserve"> u području prevencije i suzbijanja terorizma.</w:t>
      </w:r>
      <w:r>
        <w:rPr>
          <w:color w:val="000000" w:themeColor="text1"/>
          <w:sz w:val="24"/>
          <w:szCs w:val="24"/>
        </w:rPr>
        <w:t xml:space="preserve"> </w:t>
      </w:r>
      <w:r w:rsidRPr="0004221B">
        <w:rPr>
          <w:color w:val="000000" w:themeColor="text1"/>
          <w:sz w:val="24"/>
          <w:szCs w:val="24"/>
        </w:rPr>
        <w:t>Borba protiv terorizma, ekstremizma i radikalizacije u stalnom je fokusu</w:t>
      </w:r>
      <w:r>
        <w:rPr>
          <w:color w:val="000000" w:themeColor="text1"/>
          <w:sz w:val="24"/>
          <w:szCs w:val="24"/>
        </w:rPr>
        <w:t>. Z</w:t>
      </w:r>
      <w:r w:rsidRPr="0004221B">
        <w:rPr>
          <w:color w:val="000000" w:themeColor="text1"/>
          <w:sz w:val="24"/>
          <w:szCs w:val="24"/>
        </w:rPr>
        <w:t xml:space="preserve">apočet </w:t>
      </w:r>
      <w:r>
        <w:rPr>
          <w:color w:val="000000" w:themeColor="text1"/>
          <w:sz w:val="24"/>
          <w:szCs w:val="24"/>
        </w:rPr>
        <w:t xml:space="preserve">je </w:t>
      </w:r>
      <w:r w:rsidRPr="0004221B">
        <w:rPr>
          <w:color w:val="000000" w:themeColor="text1"/>
          <w:sz w:val="24"/>
          <w:szCs w:val="24"/>
        </w:rPr>
        <w:t>proces jačanja operativnih kapaciteta kako bi se osigurala operativna sposobnost za osnaživanje otpornosti ključnih sustava i suzbijanje kampanja dezinformiranja i radikalizacije političkog diskursa</w:t>
      </w:r>
      <w:r>
        <w:rPr>
          <w:color w:val="000000" w:themeColor="text1"/>
          <w:sz w:val="24"/>
          <w:szCs w:val="24"/>
        </w:rPr>
        <w:t xml:space="preserve">. Navedeno </w:t>
      </w:r>
      <w:r w:rsidRPr="0004221B">
        <w:rPr>
          <w:color w:val="000000" w:themeColor="text1"/>
          <w:sz w:val="24"/>
          <w:szCs w:val="24"/>
        </w:rPr>
        <w:t xml:space="preserve">zahtijeva analitički nadzor, praćenje i analizu medija i socijalnih mreža u cilju identificiranja kampanja dezinformiranja i radikalizacije, a što je </w:t>
      </w:r>
      <w:r w:rsidRPr="00CF578D">
        <w:rPr>
          <w:color w:val="000000" w:themeColor="text1"/>
          <w:sz w:val="24"/>
          <w:szCs w:val="24"/>
        </w:rPr>
        <w:t>također</w:t>
      </w:r>
      <w:r w:rsidRPr="0004221B">
        <w:rPr>
          <w:color w:val="000000" w:themeColor="text1"/>
          <w:sz w:val="24"/>
          <w:szCs w:val="24"/>
        </w:rPr>
        <w:t xml:space="preserve"> potrebno i za sprječavanje radikalizacije mladih putem interneta, društvenih mreža i komunikacijskih platformi.</w:t>
      </w:r>
      <w:r>
        <w:rPr>
          <w:color w:val="000000" w:themeColor="text1"/>
          <w:sz w:val="24"/>
          <w:szCs w:val="24"/>
        </w:rPr>
        <w:t xml:space="preserve"> </w:t>
      </w:r>
      <w:r w:rsidRPr="0004221B">
        <w:rPr>
          <w:color w:val="000000" w:themeColor="text1"/>
          <w:sz w:val="24"/>
          <w:szCs w:val="24"/>
        </w:rPr>
        <w:t>S tim u vezi donesen je Zakon o pr</w:t>
      </w:r>
      <w:r>
        <w:rPr>
          <w:color w:val="000000" w:themeColor="text1"/>
          <w:sz w:val="24"/>
          <w:szCs w:val="24"/>
        </w:rPr>
        <w:t>ovedbi</w:t>
      </w:r>
      <w:r w:rsidRPr="0004221B">
        <w:rPr>
          <w:color w:val="000000" w:themeColor="text1"/>
          <w:sz w:val="24"/>
          <w:szCs w:val="24"/>
        </w:rPr>
        <w:t xml:space="preserve"> Uredbe (EU) 2021/784 Europskog parlamenta i Vijeća od</w:t>
      </w:r>
      <w:r>
        <w:rPr>
          <w:color w:val="000000" w:themeColor="text1"/>
          <w:sz w:val="24"/>
          <w:szCs w:val="24"/>
        </w:rPr>
        <w:t xml:space="preserve"> </w:t>
      </w:r>
      <w:r w:rsidRPr="0004221B">
        <w:rPr>
          <w:color w:val="000000" w:themeColor="text1"/>
          <w:sz w:val="24"/>
          <w:szCs w:val="24"/>
        </w:rPr>
        <w:t>29. travnja 2021. o borbi protiv širenja terorističkog sadržaja na internetu (</w:t>
      </w:r>
      <w:r>
        <w:rPr>
          <w:color w:val="000000" w:themeColor="text1"/>
          <w:sz w:val="24"/>
          <w:szCs w:val="24"/>
        </w:rPr>
        <w:t xml:space="preserve">„Narodne novine“, broj </w:t>
      </w:r>
      <w:r w:rsidRPr="0004221B">
        <w:rPr>
          <w:color w:val="000000" w:themeColor="text1"/>
          <w:sz w:val="24"/>
          <w:szCs w:val="24"/>
        </w:rPr>
        <w:t>83/22</w:t>
      </w:r>
      <w:r>
        <w:rPr>
          <w:color w:val="000000" w:themeColor="text1"/>
          <w:sz w:val="24"/>
          <w:szCs w:val="24"/>
        </w:rPr>
        <w:t>.</w:t>
      </w:r>
      <w:r w:rsidRPr="0004221B">
        <w:rPr>
          <w:color w:val="000000" w:themeColor="text1"/>
          <w:sz w:val="24"/>
          <w:szCs w:val="24"/>
        </w:rPr>
        <w:t>), čime su stvoreni preduvjeti za učinkovitije praćenje moguće zlouporabe virtualnog prostora u svrhu terorizma</w:t>
      </w:r>
      <w:r w:rsidRPr="0006022A">
        <w:rPr>
          <w:color w:val="000000" w:themeColor="text1"/>
        </w:rPr>
        <w:t>.</w:t>
      </w:r>
    </w:p>
    <w:p w14:paraId="138B2A96" w14:textId="77777777" w:rsidR="00FB178A" w:rsidRPr="001E7C7A" w:rsidRDefault="00FB178A" w:rsidP="00FB178A">
      <w:pPr>
        <w:spacing w:after="240" w:line="276" w:lineRule="auto"/>
        <w:ind w:firstLine="720"/>
        <w:jc w:val="both"/>
        <w:rPr>
          <w:color w:val="000000" w:themeColor="text1"/>
        </w:rPr>
      </w:pPr>
      <w:r w:rsidRPr="0004221B">
        <w:rPr>
          <w:b/>
          <w:color w:val="000000" w:themeColor="text1"/>
          <w:sz w:val="24"/>
          <w:szCs w:val="24"/>
        </w:rPr>
        <w:t>Jačanje otpornosti na rizike od katastrofa i unaprjeđenje sustava civilne zaštite</w:t>
      </w:r>
    </w:p>
    <w:p w14:paraId="5CED78CF" w14:textId="77777777" w:rsidR="00FB178A" w:rsidRDefault="00FB178A" w:rsidP="00FB178A">
      <w:pPr>
        <w:spacing w:after="240" w:line="276" w:lineRule="auto"/>
        <w:ind w:firstLine="709"/>
        <w:jc w:val="both"/>
        <w:rPr>
          <w:sz w:val="24"/>
          <w:szCs w:val="24"/>
        </w:rPr>
      </w:pPr>
      <w:r w:rsidRPr="00182889">
        <w:rPr>
          <w:sz w:val="24"/>
          <w:szCs w:val="24"/>
        </w:rPr>
        <w:t xml:space="preserve">Upravljanje rizicima od katastrofa je višesektorsko područje koje </w:t>
      </w:r>
      <w:r w:rsidRPr="00D95E34">
        <w:rPr>
          <w:sz w:val="24"/>
          <w:szCs w:val="24"/>
        </w:rPr>
        <w:t>zahtijeva koordin</w:t>
      </w:r>
      <w:r>
        <w:rPr>
          <w:sz w:val="24"/>
          <w:szCs w:val="24"/>
        </w:rPr>
        <w:t>aciju</w:t>
      </w:r>
      <w:r w:rsidRPr="00D95E34">
        <w:rPr>
          <w:sz w:val="24"/>
          <w:szCs w:val="24"/>
        </w:rPr>
        <w:t xml:space="preserve"> različitih javnih politika usmjerenih na unapređenje prevencije, odgovora i oporavka.</w:t>
      </w:r>
      <w:r>
        <w:rPr>
          <w:sz w:val="24"/>
          <w:szCs w:val="24"/>
        </w:rPr>
        <w:t xml:space="preserve"> </w:t>
      </w:r>
      <w:r w:rsidRPr="00B53A3A">
        <w:rPr>
          <w:sz w:val="24"/>
          <w:szCs w:val="24"/>
        </w:rPr>
        <w:t>Hrvatska u 202</w:t>
      </w:r>
      <w:r>
        <w:rPr>
          <w:sz w:val="24"/>
          <w:szCs w:val="24"/>
        </w:rPr>
        <w:t>4</w:t>
      </w:r>
      <w:r w:rsidRPr="00B53A3A">
        <w:rPr>
          <w:sz w:val="24"/>
          <w:szCs w:val="24"/>
        </w:rPr>
        <w:t>. nastavlja napore na učinkovitoj identifikaciji te uvođenju unaprjeđenja</w:t>
      </w:r>
      <w:r>
        <w:rPr>
          <w:sz w:val="24"/>
          <w:szCs w:val="24"/>
        </w:rPr>
        <w:t xml:space="preserve"> </w:t>
      </w:r>
      <w:r w:rsidRPr="00B53A3A">
        <w:rPr>
          <w:sz w:val="24"/>
          <w:szCs w:val="24"/>
        </w:rPr>
        <w:t xml:space="preserve">u </w:t>
      </w:r>
      <w:r>
        <w:rPr>
          <w:sz w:val="24"/>
          <w:szCs w:val="24"/>
        </w:rPr>
        <w:t xml:space="preserve">sustav </w:t>
      </w:r>
      <w:r w:rsidRPr="00B53A3A">
        <w:rPr>
          <w:sz w:val="24"/>
          <w:szCs w:val="24"/>
        </w:rPr>
        <w:t>upravljanj</w:t>
      </w:r>
      <w:r>
        <w:rPr>
          <w:sz w:val="24"/>
          <w:szCs w:val="24"/>
        </w:rPr>
        <w:t>a</w:t>
      </w:r>
      <w:r w:rsidRPr="00B53A3A">
        <w:rPr>
          <w:sz w:val="24"/>
          <w:szCs w:val="24"/>
        </w:rPr>
        <w:t xml:space="preserve"> rizicima od katastrofa, s ciljem sprječavanja pojave novih te smanjenja postojećih</w:t>
      </w:r>
      <w:r>
        <w:rPr>
          <w:sz w:val="24"/>
          <w:szCs w:val="24"/>
        </w:rPr>
        <w:t xml:space="preserve"> </w:t>
      </w:r>
      <w:r w:rsidRPr="00B53A3A">
        <w:rPr>
          <w:sz w:val="24"/>
          <w:szCs w:val="24"/>
        </w:rPr>
        <w:t>rizika od katastrofa, odnosno kontinuiranog jačanja otpornosti i sigurnosti društva</w:t>
      </w:r>
      <w:r>
        <w:rPr>
          <w:sz w:val="24"/>
          <w:szCs w:val="24"/>
        </w:rPr>
        <w:t xml:space="preserve">. </w:t>
      </w:r>
      <w:r w:rsidRPr="008529D6">
        <w:rPr>
          <w:sz w:val="24"/>
          <w:szCs w:val="24"/>
        </w:rPr>
        <w:t xml:space="preserve">Ključnu ulogu u tom sustavu ima koordinacija više tijela državne uprave </w:t>
      </w:r>
      <w:r>
        <w:rPr>
          <w:sz w:val="24"/>
          <w:szCs w:val="24"/>
        </w:rPr>
        <w:t>u okviru</w:t>
      </w:r>
      <w:r w:rsidRPr="008529D6">
        <w:rPr>
          <w:sz w:val="24"/>
          <w:szCs w:val="24"/>
        </w:rPr>
        <w:t xml:space="preserve"> Hrvatske platforme za smanjenje rizik</w:t>
      </w:r>
      <w:r w:rsidRPr="00182889">
        <w:rPr>
          <w:sz w:val="24"/>
          <w:szCs w:val="24"/>
        </w:rPr>
        <w:t>a.</w:t>
      </w:r>
      <w:r>
        <w:rPr>
          <w:sz w:val="24"/>
          <w:szCs w:val="24"/>
        </w:rPr>
        <w:t xml:space="preserve"> </w:t>
      </w:r>
    </w:p>
    <w:p w14:paraId="1D407F82" w14:textId="77777777" w:rsidR="00FB178A" w:rsidRPr="008564C7" w:rsidRDefault="00FB178A" w:rsidP="00FB178A">
      <w:pPr>
        <w:spacing w:after="240" w:line="276" w:lineRule="auto"/>
        <w:jc w:val="both"/>
        <w:rPr>
          <w:sz w:val="24"/>
          <w:szCs w:val="24"/>
        </w:rPr>
      </w:pPr>
      <w:r w:rsidRPr="00FE2B25">
        <w:rPr>
          <w:sz w:val="24"/>
          <w:szCs w:val="24"/>
        </w:rPr>
        <w:t>U okviru napora na provedbi Strategije upravljanja rizicima od katastrofa do 2030.</w:t>
      </w:r>
      <w:r>
        <w:rPr>
          <w:sz w:val="24"/>
          <w:szCs w:val="24"/>
        </w:rPr>
        <w:t xml:space="preserve"> </w:t>
      </w:r>
      <w:r w:rsidRPr="00FE2B25">
        <w:rPr>
          <w:sz w:val="24"/>
          <w:szCs w:val="24"/>
        </w:rPr>
        <w:t xml:space="preserve">godine, </w:t>
      </w:r>
      <w:r>
        <w:rPr>
          <w:sz w:val="24"/>
          <w:szCs w:val="24"/>
        </w:rPr>
        <w:t xml:space="preserve">tijekom 2024. </w:t>
      </w:r>
      <w:r w:rsidRPr="00FE2B25">
        <w:rPr>
          <w:sz w:val="24"/>
          <w:szCs w:val="24"/>
        </w:rPr>
        <w:t>ostvaren je značajan napredak u jačanju otpornosti na rizike od katastrofa i unaprjeđenju</w:t>
      </w:r>
      <w:r>
        <w:rPr>
          <w:sz w:val="24"/>
          <w:szCs w:val="24"/>
        </w:rPr>
        <w:t xml:space="preserve"> </w:t>
      </w:r>
      <w:r w:rsidRPr="00FE2B25">
        <w:rPr>
          <w:sz w:val="24"/>
          <w:szCs w:val="24"/>
        </w:rPr>
        <w:t>sustava civilne zaštite.</w:t>
      </w:r>
      <w:r>
        <w:rPr>
          <w:sz w:val="24"/>
          <w:szCs w:val="24"/>
        </w:rPr>
        <w:t xml:space="preserve"> </w:t>
      </w:r>
      <w:r w:rsidRPr="0004221B">
        <w:rPr>
          <w:sz w:val="24"/>
          <w:szCs w:val="24"/>
        </w:rPr>
        <w:t xml:space="preserve">U ožujku 2024. Vlada </w:t>
      </w:r>
      <w:r>
        <w:rPr>
          <w:color w:val="000000" w:themeColor="text1"/>
          <w:sz w:val="24"/>
          <w:szCs w:val="24"/>
        </w:rPr>
        <w:t>Republike Hrvatske</w:t>
      </w:r>
      <w:r w:rsidRPr="00B23F9E">
        <w:rPr>
          <w:color w:val="000000" w:themeColor="text1"/>
          <w:sz w:val="24"/>
          <w:szCs w:val="24"/>
        </w:rPr>
        <w:t xml:space="preserve"> </w:t>
      </w:r>
      <w:r>
        <w:rPr>
          <w:sz w:val="24"/>
          <w:szCs w:val="24"/>
        </w:rPr>
        <w:t xml:space="preserve">je </w:t>
      </w:r>
      <w:r w:rsidRPr="0004221B">
        <w:rPr>
          <w:sz w:val="24"/>
          <w:szCs w:val="24"/>
        </w:rPr>
        <w:t xml:space="preserve">donijela treću </w:t>
      </w:r>
      <w:r>
        <w:rPr>
          <w:sz w:val="24"/>
          <w:szCs w:val="24"/>
        </w:rPr>
        <w:t>P</w:t>
      </w:r>
      <w:r w:rsidRPr="004C3C5A">
        <w:rPr>
          <w:sz w:val="24"/>
          <w:szCs w:val="24"/>
        </w:rPr>
        <w:t>rocjenu</w:t>
      </w:r>
      <w:r w:rsidRPr="0004221B">
        <w:rPr>
          <w:sz w:val="24"/>
          <w:szCs w:val="24"/>
        </w:rPr>
        <w:t xml:space="preserve"> rizika od katastrofa za</w:t>
      </w:r>
      <w:r>
        <w:rPr>
          <w:sz w:val="24"/>
          <w:szCs w:val="24"/>
        </w:rPr>
        <w:t xml:space="preserve"> </w:t>
      </w:r>
      <w:r w:rsidRPr="0004221B">
        <w:rPr>
          <w:sz w:val="24"/>
          <w:szCs w:val="24"/>
        </w:rPr>
        <w:t>Republiku Hrvatsku u kojoj su redefinirane kategorije rizika od značaja za</w:t>
      </w:r>
      <w:r>
        <w:rPr>
          <w:sz w:val="24"/>
          <w:szCs w:val="24"/>
        </w:rPr>
        <w:t xml:space="preserve"> Hrvatsku</w:t>
      </w:r>
      <w:r w:rsidRPr="0004221B">
        <w:rPr>
          <w:sz w:val="24"/>
          <w:szCs w:val="24"/>
        </w:rPr>
        <w:t>. Po prvi put je kor</w:t>
      </w:r>
      <w:r>
        <w:rPr>
          <w:sz w:val="24"/>
          <w:szCs w:val="24"/>
        </w:rPr>
        <w:t>i</w:t>
      </w:r>
      <w:r w:rsidRPr="0004221B">
        <w:rPr>
          <w:sz w:val="24"/>
          <w:szCs w:val="24"/>
        </w:rPr>
        <w:t>štena nova, naprednija metodologija koja uključuje analizu ranjivosti i izloženosti stanovništva i imovine te sposobnosti odgovora.</w:t>
      </w:r>
      <w:r>
        <w:rPr>
          <w:sz w:val="24"/>
          <w:szCs w:val="24"/>
        </w:rPr>
        <w:t xml:space="preserve"> </w:t>
      </w:r>
      <w:r w:rsidRPr="0004221B">
        <w:rPr>
          <w:sz w:val="24"/>
          <w:szCs w:val="24"/>
        </w:rPr>
        <w:t xml:space="preserve">Nadalje, </w:t>
      </w:r>
      <w:r>
        <w:rPr>
          <w:sz w:val="24"/>
          <w:szCs w:val="24"/>
        </w:rPr>
        <w:t>pokrenuta</w:t>
      </w:r>
      <w:r w:rsidRPr="0004221B">
        <w:rPr>
          <w:sz w:val="24"/>
          <w:szCs w:val="24"/>
        </w:rPr>
        <w:t xml:space="preserve"> je </w:t>
      </w:r>
      <w:r w:rsidRPr="0015346D">
        <w:rPr>
          <w:sz w:val="24"/>
          <w:szCs w:val="24"/>
        </w:rPr>
        <w:t>prov</w:t>
      </w:r>
      <w:r>
        <w:rPr>
          <w:sz w:val="24"/>
          <w:szCs w:val="24"/>
        </w:rPr>
        <w:t>edba</w:t>
      </w:r>
      <w:r w:rsidRPr="0004221B">
        <w:rPr>
          <w:sz w:val="24"/>
          <w:szCs w:val="24"/>
        </w:rPr>
        <w:t xml:space="preserve"> projekta </w:t>
      </w:r>
      <w:r>
        <w:rPr>
          <w:sz w:val="24"/>
          <w:szCs w:val="24"/>
        </w:rPr>
        <w:t>„</w:t>
      </w:r>
      <w:r w:rsidRPr="0004221B">
        <w:rPr>
          <w:sz w:val="24"/>
          <w:szCs w:val="24"/>
        </w:rPr>
        <w:t>Izrada smjernica za podizanje svijesti o smanjenju rizika od katastrofa i sustava prikupljanja podataka o šteti i procjeni gubitaka</w:t>
      </w:r>
      <w:r>
        <w:rPr>
          <w:sz w:val="24"/>
          <w:szCs w:val="24"/>
        </w:rPr>
        <w:t>“.</w:t>
      </w:r>
      <w:r w:rsidRPr="0004221B">
        <w:rPr>
          <w:sz w:val="24"/>
          <w:szCs w:val="24"/>
        </w:rPr>
        <w:t xml:space="preserve"> Cilj projekta je izrada smjernica za podizanje svijesti te </w:t>
      </w:r>
      <w:r>
        <w:rPr>
          <w:sz w:val="24"/>
          <w:szCs w:val="24"/>
        </w:rPr>
        <w:t xml:space="preserve">razvoj </w:t>
      </w:r>
      <w:r w:rsidRPr="0004221B">
        <w:rPr>
          <w:sz w:val="24"/>
          <w:szCs w:val="24"/>
        </w:rPr>
        <w:t xml:space="preserve">sustava </w:t>
      </w:r>
      <w:r>
        <w:rPr>
          <w:sz w:val="24"/>
          <w:szCs w:val="24"/>
        </w:rPr>
        <w:t xml:space="preserve">za </w:t>
      </w:r>
      <w:r w:rsidRPr="0004221B">
        <w:rPr>
          <w:sz w:val="24"/>
          <w:szCs w:val="24"/>
        </w:rPr>
        <w:t>prikupljanj</w:t>
      </w:r>
      <w:r>
        <w:rPr>
          <w:sz w:val="24"/>
          <w:szCs w:val="24"/>
        </w:rPr>
        <w:t>e</w:t>
      </w:r>
      <w:r w:rsidRPr="0004221B">
        <w:rPr>
          <w:sz w:val="24"/>
          <w:szCs w:val="24"/>
        </w:rPr>
        <w:t xml:space="preserve"> podataka o štetama i procjeni gubitaka, što predstavlja temelj za izgradnju okvira za otpornu zajednicu </w:t>
      </w:r>
      <w:r w:rsidRPr="00167E5C">
        <w:rPr>
          <w:sz w:val="24"/>
          <w:szCs w:val="24"/>
        </w:rPr>
        <w:t>svjesnu</w:t>
      </w:r>
      <w:r w:rsidRPr="0004221B">
        <w:rPr>
          <w:sz w:val="24"/>
          <w:szCs w:val="24"/>
        </w:rPr>
        <w:t xml:space="preserve"> rizika</w:t>
      </w:r>
      <w:r>
        <w:rPr>
          <w:sz w:val="24"/>
          <w:szCs w:val="24"/>
        </w:rPr>
        <w:t xml:space="preserve">. </w:t>
      </w:r>
      <w:r w:rsidRPr="00167E5C">
        <w:rPr>
          <w:sz w:val="24"/>
          <w:szCs w:val="24"/>
        </w:rPr>
        <w:t>Također</w:t>
      </w:r>
      <w:r w:rsidRPr="0004221B">
        <w:rPr>
          <w:sz w:val="24"/>
          <w:szCs w:val="24"/>
        </w:rPr>
        <w:t xml:space="preserve">, u 2024. započeo je projekt Prekogranični pristup za poboljšanje procjene rizika od klizišta korištenjem inventara </w:t>
      </w:r>
      <w:r w:rsidRPr="00167E5C">
        <w:rPr>
          <w:sz w:val="24"/>
          <w:szCs w:val="24"/>
        </w:rPr>
        <w:t>klizišta</w:t>
      </w:r>
      <w:r w:rsidRPr="0004221B">
        <w:rPr>
          <w:sz w:val="24"/>
          <w:szCs w:val="24"/>
        </w:rPr>
        <w:t xml:space="preserve"> </w:t>
      </w:r>
      <w:r w:rsidRPr="0004221B">
        <w:rPr>
          <w:sz w:val="24"/>
          <w:szCs w:val="24"/>
        </w:rPr>
        <w:lastRenderedPageBreak/>
        <w:t xml:space="preserve">temeljenog na </w:t>
      </w:r>
      <w:proofErr w:type="spellStart"/>
      <w:r w:rsidRPr="0004221B">
        <w:rPr>
          <w:sz w:val="24"/>
          <w:szCs w:val="24"/>
        </w:rPr>
        <w:t>LiDAR</w:t>
      </w:r>
      <w:proofErr w:type="spellEnd"/>
      <w:r w:rsidRPr="0004221B">
        <w:rPr>
          <w:sz w:val="24"/>
          <w:szCs w:val="24"/>
        </w:rPr>
        <w:t xml:space="preserve">-u </w:t>
      </w:r>
      <w:r>
        <w:rPr>
          <w:sz w:val="24"/>
          <w:szCs w:val="24"/>
        </w:rPr>
        <w:t xml:space="preserve">(projekt </w:t>
      </w:r>
      <w:r w:rsidRPr="0004221B">
        <w:rPr>
          <w:sz w:val="24"/>
          <w:szCs w:val="24"/>
        </w:rPr>
        <w:t>LADY</w:t>
      </w:r>
      <w:r>
        <w:rPr>
          <w:sz w:val="24"/>
          <w:szCs w:val="24"/>
        </w:rPr>
        <w:t>)</w:t>
      </w:r>
      <w:r w:rsidRPr="0004221B">
        <w:rPr>
          <w:sz w:val="24"/>
          <w:szCs w:val="24"/>
        </w:rPr>
        <w:t xml:space="preserve">, s ciljem </w:t>
      </w:r>
      <w:r w:rsidRPr="00AC7A62">
        <w:rPr>
          <w:sz w:val="24"/>
          <w:szCs w:val="24"/>
        </w:rPr>
        <w:t>unaprjeđenja</w:t>
      </w:r>
      <w:r w:rsidRPr="0004221B">
        <w:rPr>
          <w:sz w:val="24"/>
          <w:szCs w:val="24"/>
        </w:rPr>
        <w:t xml:space="preserve"> metodologije procjene rizika od klizišta, izrad</w:t>
      </w:r>
      <w:r>
        <w:rPr>
          <w:sz w:val="24"/>
          <w:szCs w:val="24"/>
        </w:rPr>
        <w:t>e</w:t>
      </w:r>
      <w:r w:rsidRPr="0004221B">
        <w:rPr>
          <w:sz w:val="24"/>
          <w:szCs w:val="24"/>
        </w:rPr>
        <w:t xml:space="preserve"> nacionalnog katastra klizišta i podizanj</w:t>
      </w:r>
      <w:r>
        <w:rPr>
          <w:sz w:val="24"/>
          <w:szCs w:val="24"/>
        </w:rPr>
        <w:t>a</w:t>
      </w:r>
      <w:r w:rsidRPr="0004221B">
        <w:rPr>
          <w:sz w:val="24"/>
          <w:szCs w:val="24"/>
        </w:rPr>
        <w:t xml:space="preserve"> svijesti </w:t>
      </w:r>
      <w:r w:rsidRPr="00AC7A62">
        <w:rPr>
          <w:sz w:val="24"/>
          <w:szCs w:val="24"/>
        </w:rPr>
        <w:t>građana</w:t>
      </w:r>
      <w:r w:rsidRPr="0004221B">
        <w:rPr>
          <w:sz w:val="24"/>
          <w:szCs w:val="24"/>
        </w:rPr>
        <w:t xml:space="preserve"> o klizištima.</w:t>
      </w:r>
      <w:r>
        <w:rPr>
          <w:sz w:val="24"/>
          <w:szCs w:val="24"/>
        </w:rPr>
        <w:t xml:space="preserve"> Dodatno, </w:t>
      </w:r>
      <w:r w:rsidRPr="004E4A06">
        <w:rPr>
          <w:sz w:val="24"/>
          <w:szCs w:val="24"/>
        </w:rPr>
        <w:t>u području navodnjavanja i smanjenja rizika od poplava</w:t>
      </w:r>
      <w:r>
        <w:rPr>
          <w:sz w:val="24"/>
          <w:szCs w:val="24"/>
        </w:rPr>
        <w:t>, t</w:t>
      </w:r>
      <w:r w:rsidRPr="0004221B">
        <w:rPr>
          <w:sz w:val="24"/>
          <w:szCs w:val="24"/>
        </w:rPr>
        <w:t>ijekom 2024. završeno je ukupno 9 projekata</w:t>
      </w:r>
      <w:r>
        <w:rPr>
          <w:sz w:val="24"/>
          <w:szCs w:val="24"/>
        </w:rPr>
        <w:t xml:space="preserve"> ukupne vrijednosti</w:t>
      </w:r>
      <w:r w:rsidRPr="005515EB">
        <w:rPr>
          <w:sz w:val="24"/>
          <w:szCs w:val="24"/>
        </w:rPr>
        <w:t xml:space="preserve"> 11,5 milijuna </w:t>
      </w:r>
      <w:r>
        <w:rPr>
          <w:sz w:val="24"/>
          <w:szCs w:val="24"/>
        </w:rPr>
        <w:t>eura</w:t>
      </w:r>
      <w:r w:rsidRPr="00802E89">
        <w:rPr>
          <w:sz w:val="24"/>
          <w:szCs w:val="24"/>
        </w:rPr>
        <w:t xml:space="preserve">. </w:t>
      </w:r>
      <w:r w:rsidRPr="008564C7">
        <w:rPr>
          <w:sz w:val="24"/>
          <w:szCs w:val="24"/>
        </w:rPr>
        <w:t xml:space="preserve">Posebnu ulogu u osiguravanju operativne spremnosti sustava civilne zaštite ima Državni plan djelovanja civilne zaštite Republike Hrvatske, kao temeljni planski dokument kojim se uređuju postupci upravljanja u slučaju velikih nesreća i katastrofa na nacionalnoj razini. </w:t>
      </w:r>
      <w:r>
        <w:rPr>
          <w:sz w:val="24"/>
          <w:szCs w:val="24"/>
        </w:rPr>
        <w:t>Državnim p</w:t>
      </w:r>
      <w:r w:rsidRPr="008564C7">
        <w:rPr>
          <w:sz w:val="24"/>
          <w:szCs w:val="24"/>
        </w:rPr>
        <w:t>lanom se definiraju sustav upravljanja, koordinacije i suradnje između tijela uključenih u upravljanje kriznim situacijama. Kontinuirano usklađivanje Državnog plana s Procjenom rizika od katastrofa za Republiku Hrvatsku doprinosi jačanju integriranog sustava upravljanja rizicima te unaprjeđenju spremnosti države za odgovor na složene krizne situacije.</w:t>
      </w:r>
    </w:p>
    <w:p w14:paraId="4E685DB1" w14:textId="77777777" w:rsidR="00FB178A" w:rsidRPr="00802E89" w:rsidRDefault="00FB178A" w:rsidP="00FB178A">
      <w:pPr>
        <w:spacing w:after="240" w:line="276" w:lineRule="auto"/>
        <w:jc w:val="both"/>
        <w:rPr>
          <w:sz w:val="24"/>
          <w:szCs w:val="24"/>
        </w:rPr>
      </w:pPr>
      <w:r w:rsidRPr="008564C7">
        <w:rPr>
          <w:sz w:val="24"/>
          <w:szCs w:val="24"/>
        </w:rPr>
        <w:t>U kontekstu jačanja otpornosti društva i gospodarstva na krize i katastrofe provodile su se aktivnosti usmjerene na razvoj sustava zaštite kritične infrastrukture Republike Hrvatske. Aktivnosti su obuhvaćale identifikaciju kritičnih subjekata od posebnog značaja za funkcioniranje države, procjenu rizika i ranjivosti kritične infrastrukture te razvoj odgovarajućih planova zaštite i mjera za povećanje otpornosti. Posebna pažnja usmjerena je na jačanje suradnje između nadležnih državnih tijela i identificiranih kritičnih subjekata, kao i na usklađivanje nacionalnog zakonodavnog i institucionalnog okvira s relevantnim europskim propisima kojima se unaprjeđuje njihova otpornost.</w:t>
      </w:r>
      <w:r>
        <w:rPr>
          <w:sz w:val="24"/>
          <w:szCs w:val="24"/>
        </w:rPr>
        <w:t xml:space="preserve"> </w:t>
      </w:r>
      <w:r w:rsidRPr="008564C7">
        <w:rPr>
          <w:sz w:val="24"/>
          <w:szCs w:val="24"/>
        </w:rPr>
        <w:t xml:space="preserve">Razvoj kapaciteta sustava civilne zaštite Republike Hrvatske provodio se u skladu s europskim politikama upravljanja rizicima od katastrofa i jačanja otpornosti društva. Aktivnosti su uključivale jačanje </w:t>
      </w:r>
      <w:proofErr w:type="spellStart"/>
      <w:r w:rsidRPr="008564C7">
        <w:rPr>
          <w:sz w:val="24"/>
          <w:szCs w:val="24"/>
        </w:rPr>
        <w:t>interoperabilnosti</w:t>
      </w:r>
      <w:proofErr w:type="spellEnd"/>
      <w:r w:rsidRPr="008564C7">
        <w:rPr>
          <w:sz w:val="24"/>
          <w:szCs w:val="24"/>
        </w:rPr>
        <w:t xml:space="preserve"> nacionalnog sustava civilne zaštite s Mehanizmom civilne zaštite Europske unije, razvoj nacionalnih kapaciteta za odgovor na složene krizne situacije te doprinos zajedničkim europskim naporima u području prevencije, pripravnosti i odgovora na katastrofe</w:t>
      </w:r>
      <w:r>
        <w:rPr>
          <w:sz w:val="24"/>
          <w:szCs w:val="24"/>
        </w:rPr>
        <w:t>.</w:t>
      </w:r>
    </w:p>
    <w:p w14:paraId="14DF2360" w14:textId="77777777" w:rsidR="00FB178A" w:rsidRPr="007601A6" w:rsidRDefault="00FB178A" w:rsidP="00FB178A">
      <w:pPr>
        <w:spacing w:after="240" w:line="276" w:lineRule="auto"/>
        <w:jc w:val="both"/>
        <w:rPr>
          <w:sz w:val="24"/>
          <w:szCs w:val="24"/>
        </w:rPr>
      </w:pPr>
      <w:r w:rsidRPr="007601A6">
        <w:rPr>
          <w:sz w:val="24"/>
          <w:szCs w:val="24"/>
        </w:rPr>
        <w:t>U 2024. završena je provedba projekta „Operativne snage sustava Civilne zaštite za zaštitu kulturne baštine“. Projekt je proveden s ciljem unaprjeđenja kompetencija operativnih snaga sustava civilne zaštite za učinkovitu zaštitu kulturne baštine u slučaju izvanrednih okolnosti. U okviru projekta provedene edukacije te osposobljavanja vezana uz specifične postupke zaštite kulturnih dobara u kriznim situacijama, čime je ojačan kapacitet sustava civilne zaštite za odgovor na takve rizike. Značajno postignuće u području jačanja operativnih snaga sustava Civilne zaštite predstavlja i nabavka dva višenamjenska helikoptera opremljena modulima za medicinsku evakuaciju te traganje i spašavanje ukupne vrijednosti 36,3 milijuna eura. Uz to, u listopadu 2024. potpisan je ugovor o dodjeli bespovratnih sredstava za nabavu još jednog helikoptera s modularnom opremom, montažnim hangarom i dodatnom opremom, ukupne vrijednosti 25,1 milijun eura. Nabavom letjelica značajno se podiže spremnost i učinkovitost sustava civilne zaštite u složenim akcijama spašavanja i medicinskog zbrinjavanja, što je ključno za pravovremenu pomoć i spašavanje života.</w:t>
      </w:r>
    </w:p>
    <w:p w14:paraId="4F5CC5B5" w14:textId="77777777" w:rsidR="00FB178A" w:rsidRPr="007601A6" w:rsidRDefault="00FB178A" w:rsidP="00FB178A">
      <w:pPr>
        <w:spacing w:after="240" w:line="276" w:lineRule="auto"/>
        <w:jc w:val="both"/>
        <w:rPr>
          <w:sz w:val="24"/>
          <w:szCs w:val="24"/>
        </w:rPr>
      </w:pPr>
      <w:r w:rsidRPr="007601A6">
        <w:rPr>
          <w:sz w:val="24"/>
          <w:szCs w:val="24"/>
        </w:rPr>
        <w:t xml:space="preserve">U području jačanja unutarnje sigurnosti i </w:t>
      </w:r>
      <w:r w:rsidRPr="007601A6">
        <w:rPr>
          <w:sz w:val="24"/>
          <w:szCs w:val="24"/>
          <w:shd w:val="clear" w:color="auto" w:fill="FFFFFF"/>
        </w:rPr>
        <w:t xml:space="preserve">kemijskih, bioloških, radioloških i nuklearnih (u daljnjem tekstu: KBRN) </w:t>
      </w:r>
      <w:r w:rsidRPr="007601A6">
        <w:rPr>
          <w:sz w:val="24"/>
          <w:szCs w:val="24"/>
        </w:rPr>
        <w:t xml:space="preserve">kapaciteta, u tijeku je pet projekata Ravnateljstva civilne zaštite, financiranih iz </w:t>
      </w:r>
      <w:r w:rsidRPr="007601A6">
        <w:rPr>
          <w:sz w:val="24"/>
          <w:szCs w:val="24"/>
        </w:rPr>
        <w:lastRenderedPageBreak/>
        <w:t xml:space="preserve">sredstava </w:t>
      </w:r>
      <w:proofErr w:type="spellStart"/>
      <w:r w:rsidRPr="007601A6">
        <w:rPr>
          <w:sz w:val="24"/>
          <w:szCs w:val="24"/>
        </w:rPr>
        <w:t>rescEU</w:t>
      </w:r>
      <w:proofErr w:type="spellEnd"/>
      <w:r w:rsidRPr="007601A6">
        <w:rPr>
          <w:sz w:val="24"/>
          <w:szCs w:val="24"/>
        </w:rPr>
        <w:t xml:space="preserve"> fonda, ukupne vrijednosti 203 milijuna eura. Projekti uključuju razvoj i održavanje </w:t>
      </w:r>
      <w:proofErr w:type="spellStart"/>
      <w:r w:rsidRPr="007601A6">
        <w:rPr>
          <w:sz w:val="24"/>
          <w:szCs w:val="24"/>
        </w:rPr>
        <w:t>rescEU</w:t>
      </w:r>
      <w:proofErr w:type="spellEnd"/>
      <w:r w:rsidRPr="007601A6">
        <w:rPr>
          <w:sz w:val="24"/>
          <w:szCs w:val="24"/>
        </w:rPr>
        <w:t xml:space="preserve"> KBRN kapaciteta za dekontaminaciju te razvoj zaliha opreme i zaštitnih sredstava za rad s KBRN opasnostima, zatim stvaranje zaliha medicinskog materijala i osobne zaštitne opreme, opremanje i organizaciju modula za zbrinjavanje ljudi te razvoj nacionalnih zračnih protupožarnih kapaciteta. Nabavom i nadogradnjom daljinski upravljanih sustava za KBRN dekontaminaciju te nadogradnjom postojećih, Hrvatska će imati šest velikih robota za dekontaminaciju i tri manja robota za prikupljanje kontaminirane prašine i emulzije, čime će postati jedina zemlja u Europi s takvim sposobnostima. Ovi kapaciteti jačaju nacionalnu otpornost i mogućnost odgovora na izvanredne događaje i posljedično doprinose jačanju sposobnosti EU na takve ugroze.</w:t>
      </w:r>
    </w:p>
    <w:p w14:paraId="3519948F" w14:textId="77777777" w:rsidR="00FB178A" w:rsidRDefault="00FB178A" w:rsidP="00FB178A">
      <w:pPr>
        <w:spacing w:after="240" w:line="276" w:lineRule="auto"/>
        <w:jc w:val="both"/>
        <w:rPr>
          <w:sz w:val="24"/>
          <w:szCs w:val="24"/>
        </w:rPr>
      </w:pPr>
      <w:r>
        <w:rPr>
          <w:sz w:val="24"/>
          <w:szCs w:val="24"/>
        </w:rPr>
        <w:t>Dodatno, t</w:t>
      </w:r>
      <w:r w:rsidRPr="0004221B">
        <w:rPr>
          <w:sz w:val="24"/>
          <w:szCs w:val="24"/>
        </w:rPr>
        <w:t>ijekom 2024</w:t>
      </w:r>
      <w:r>
        <w:rPr>
          <w:sz w:val="24"/>
          <w:szCs w:val="24"/>
        </w:rPr>
        <w:t>. pripremljena je cjelokupna</w:t>
      </w:r>
      <w:r w:rsidRPr="0004221B">
        <w:rPr>
          <w:sz w:val="24"/>
          <w:szCs w:val="24"/>
        </w:rPr>
        <w:t xml:space="preserve"> projektna</w:t>
      </w:r>
      <w:r>
        <w:rPr>
          <w:sz w:val="24"/>
          <w:szCs w:val="24"/>
        </w:rPr>
        <w:t xml:space="preserve"> </w:t>
      </w:r>
      <w:r w:rsidRPr="0004221B">
        <w:rPr>
          <w:sz w:val="24"/>
          <w:szCs w:val="24"/>
        </w:rPr>
        <w:t>dokumentacija za projekt „</w:t>
      </w:r>
      <w:r w:rsidRPr="003C39F6">
        <w:rPr>
          <w:sz w:val="24"/>
          <w:szCs w:val="24"/>
        </w:rPr>
        <w:t>Uređenje</w:t>
      </w:r>
      <w:r w:rsidRPr="0004221B">
        <w:rPr>
          <w:sz w:val="24"/>
          <w:szCs w:val="24"/>
        </w:rPr>
        <w:t xml:space="preserve"> </w:t>
      </w:r>
      <w:r w:rsidRPr="003C39F6">
        <w:rPr>
          <w:sz w:val="24"/>
          <w:szCs w:val="24"/>
        </w:rPr>
        <w:t>građevina</w:t>
      </w:r>
      <w:r w:rsidRPr="0004221B">
        <w:rPr>
          <w:sz w:val="24"/>
          <w:szCs w:val="24"/>
        </w:rPr>
        <w:t xml:space="preserve"> i vanjskog prostora Nastavnog nacionalnog središta civilne zaštite u Jastrebarskom“ ukupne </w:t>
      </w:r>
      <w:r>
        <w:rPr>
          <w:sz w:val="24"/>
          <w:szCs w:val="24"/>
        </w:rPr>
        <w:t>procijenjene v</w:t>
      </w:r>
      <w:r w:rsidRPr="0004221B">
        <w:rPr>
          <w:sz w:val="24"/>
          <w:szCs w:val="24"/>
        </w:rPr>
        <w:t>rijednosti 29</w:t>
      </w:r>
      <w:r>
        <w:rPr>
          <w:sz w:val="24"/>
          <w:szCs w:val="24"/>
        </w:rPr>
        <w:t>,1 milijuna eura</w:t>
      </w:r>
      <w:r w:rsidRPr="0004221B">
        <w:rPr>
          <w:sz w:val="24"/>
          <w:szCs w:val="24"/>
        </w:rPr>
        <w:t xml:space="preserve">. </w:t>
      </w:r>
      <w:r>
        <w:rPr>
          <w:sz w:val="24"/>
          <w:szCs w:val="24"/>
        </w:rPr>
        <w:t>Provedbom</w:t>
      </w:r>
      <w:r w:rsidRPr="0004221B">
        <w:rPr>
          <w:sz w:val="24"/>
          <w:szCs w:val="24"/>
        </w:rPr>
        <w:t xml:space="preserve"> </w:t>
      </w:r>
      <w:r>
        <w:rPr>
          <w:sz w:val="24"/>
          <w:szCs w:val="24"/>
        </w:rPr>
        <w:t xml:space="preserve">projekta </w:t>
      </w:r>
      <w:r w:rsidRPr="0004221B">
        <w:rPr>
          <w:sz w:val="24"/>
          <w:szCs w:val="24"/>
        </w:rPr>
        <w:t xml:space="preserve">osigurat </w:t>
      </w:r>
      <w:r>
        <w:rPr>
          <w:sz w:val="24"/>
          <w:szCs w:val="24"/>
        </w:rPr>
        <w:t xml:space="preserve">će se </w:t>
      </w:r>
      <w:r w:rsidRPr="0004221B">
        <w:rPr>
          <w:sz w:val="24"/>
          <w:szCs w:val="24"/>
        </w:rPr>
        <w:t>infrastrukturni i funkcionalni u</w:t>
      </w:r>
      <w:r>
        <w:rPr>
          <w:sz w:val="24"/>
          <w:szCs w:val="24"/>
        </w:rPr>
        <w:t>v</w:t>
      </w:r>
      <w:r w:rsidRPr="0004221B">
        <w:rPr>
          <w:sz w:val="24"/>
          <w:szCs w:val="24"/>
        </w:rPr>
        <w:t>jeti za provedbu cjelovitog obrazovanja svih sudionika sustava civilne zaštite p</w:t>
      </w:r>
      <w:r>
        <w:rPr>
          <w:sz w:val="24"/>
          <w:szCs w:val="24"/>
        </w:rPr>
        <w:t>rema</w:t>
      </w:r>
      <w:r w:rsidRPr="0004221B">
        <w:rPr>
          <w:sz w:val="24"/>
          <w:szCs w:val="24"/>
        </w:rPr>
        <w:t xml:space="preserve"> standardiziran</w:t>
      </w:r>
      <w:r>
        <w:rPr>
          <w:sz w:val="24"/>
          <w:szCs w:val="24"/>
        </w:rPr>
        <w:t>i</w:t>
      </w:r>
      <w:r w:rsidRPr="0004221B">
        <w:rPr>
          <w:sz w:val="24"/>
          <w:szCs w:val="24"/>
        </w:rPr>
        <w:t>m program</w:t>
      </w:r>
      <w:r>
        <w:rPr>
          <w:sz w:val="24"/>
          <w:szCs w:val="24"/>
        </w:rPr>
        <w:t>ima</w:t>
      </w:r>
      <w:r w:rsidRPr="0004221B">
        <w:rPr>
          <w:sz w:val="24"/>
          <w:szCs w:val="24"/>
        </w:rPr>
        <w:t xml:space="preserve"> osposobljavanja. U</w:t>
      </w:r>
      <w:r>
        <w:rPr>
          <w:sz w:val="24"/>
          <w:szCs w:val="24"/>
        </w:rPr>
        <w:t>spostava nastavnog nacionalnog središta civilne zaštite predstavlja</w:t>
      </w:r>
      <w:r w:rsidRPr="0004221B">
        <w:rPr>
          <w:sz w:val="24"/>
          <w:szCs w:val="24"/>
        </w:rPr>
        <w:t xml:space="preserve"> ključni iskorak u jačanju kapaciteta sustava civilne zaštite, poveća</w:t>
      </w:r>
      <w:r>
        <w:rPr>
          <w:sz w:val="24"/>
          <w:szCs w:val="24"/>
        </w:rPr>
        <w:t>va se</w:t>
      </w:r>
      <w:r w:rsidRPr="0004221B">
        <w:rPr>
          <w:sz w:val="24"/>
          <w:szCs w:val="24"/>
        </w:rPr>
        <w:t xml:space="preserve"> razina osposobljenosti, pripravnosti i učinkovitosti odgovora na izvanredne </w:t>
      </w:r>
      <w:r w:rsidRPr="006B2C09">
        <w:rPr>
          <w:sz w:val="24"/>
          <w:szCs w:val="24"/>
        </w:rPr>
        <w:t>događaje</w:t>
      </w:r>
      <w:r w:rsidRPr="0004221B">
        <w:rPr>
          <w:sz w:val="24"/>
          <w:szCs w:val="24"/>
        </w:rPr>
        <w:t xml:space="preserve"> </w:t>
      </w:r>
      <w:r>
        <w:rPr>
          <w:sz w:val="24"/>
          <w:szCs w:val="24"/>
        </w:rPr>
        <w:t>te se</w:t>
      </w:r>
      <w:r w:rsidRPr="0004221B">
        <w:rPr>
          <w:sz w:val="24"/>
          <w:szCs w:val="24"/>
        </w:rPr>
        <w:t xml:space="preserve"> istovremeno doprinosi sigurnosti </w:t>
      </w:r>
      <w:r w:rsidRPr="006B2C09">
        <w:rPr>
          <w:sz w:val="24"/>
          <w:szCs w:val="24"/>
        </w:rPr>
        <w:t>građana</w:t>
      </w:r>
      <w:r w:rsidRPr="0004221B">
        <w:rPr>
          <w:sz w:val="24"/>
          <w:szCs w:val="24"/>
        </w:rPr>
        <w:t xml:space="preserve"> i otpornosti </w:t>
      </w:r>
      <w:r>
        <w:rPr>
          <w:sz w:val="24"/>
          <w:szCs w:val="24"/>
        </w:rPr>
        <w:t>društva</w:t>
      </w:r>
      <w:r w:rsidRPr="0004221B">
        <w:rPr>
          <w:sz w:val="24"/>
          <w:szCs w:val="24"/>
        </w:rPr>
        <w:t>.</w:t>
      </w:r>
    </w:p>
    <w:p w14:paraId="316509B1" w14:textId="77777777" w:rsidR="00FB178A" w:rsidRPr="00C6169E" w:rsidRDefault="00FB178A" w:rsidP="00FB178A">
      <w:pPr>
        <w:spacing w:after="240" w:line="276" w:lineRule="auto"/>
        <w:jc w:val="both"/>
        <w:rPr>
          <w:sz w:val="24"/>
          <w:szCs w:val="24"/>
        </w:rPr>
      </w:pPr>
      <w:r w:rsidRPr="008564C7">
        <w:rPr>
          <w:sz w:val="24"/>
          <w:szCs w:val="24"/>
        </w:rPr>
        <w:t>Razvoj sustava civilne zaštite Republike Hrvatske predstavlja važan element jačanja otpornosti društva i nacionalne sigurnosti. Integrirani pristup upravljanju rizicima od katastrofa, koji uključuje procjenu rizika, razvoj planskih dokumenata sustava civilne zaštite, jačanje operativnih kapaciteta te zaštitu kritične infrastrukture, omogućuje pravodobno i učinkovito djelovanje u slučaju velikih nesreća i katastrofa. Daljnjim razvojem sustava civilne zaštite osigurava se viša razina zaštite života i zdravlja građana, očuvanje imovine i okoliša te stabilno funkcioniranje društva i gospodarstva u kriznim situacijama.</w:t>
      </w:r>
    </w:p>
    <w:p w14:paraId="0C3199AE" w14:textId="77777777" w:rsidR="00FB178A" w:rsidRDefault="00FB178A" w:rsidP="00FB178A">
      <w:pPr>
        <w:spacing w:after="240" w:line="276" w:lineRule="auto"/>
        <w:ind w:firstLine="709"/>
        <w:jc w:val="both"/>
        <w:rPr>
          <w:b/>
          <w:color w:val="000000" w:themeColor="text1"/>
          <w:sz w:val="24"/>
          <w:szCs w:val="24"/>
        </w:rPr>
      </w:pPr>
      <w:r w:rsidRPr="00B311FB">
        <w:rPr>
          <w:b/>
          <w:color w:val="000000" w:themeColor="text1"/>
          <w:sz w:val="24"/>
          <w:szCs w:val="24"/>
        </w:rPr>
        <w:t>Unaprjeđenje sustava vatrogastva</w:t>
      </w:r>
    </w:p>
    <w:p w14:paraId="65E15B89" w14:textId="77777777" w:rsidR="00FB178A" w:rsidRDefault="00FB178A" w:rsidP="00FB178A">
      <w:pPr>
        <w:widowControl/>
        <w:autoSpaceDE/>
        <w:autoSpaceDN/>
        <w:spacing w:after="160" w:line="276" w:lineRule="auto"/>
        <w:ind w:firstLine="720"/>
        <w:jc w:val="both"/>
        <w:rPr>
          <w:rFonts w:eastAsia="Calibri"/>
          <w:sz w:val="24"/>
          <w:szCs w:val="24"/>
        </w:rPr>
      </w:pPr>
      <w:r w:rsidRPr="000F30E4">
        <w:rPr>
          <w:rFonts w:eastAsia="Calibri"/>
          <w:sz w:val="24"/>
          <w:szCs w:val="24"/>
        </w:rPr>
        <w:t>Hrvatska i u 2024. nastavlja jačati svoje vatrogastvo, kao jedan od stupova domovinske sigurnosti i temeljne operativne snage. Kroz aktivnosti usmjerene na ustrojavanje, opremanje, osposobljavanje i motivaciju vatrogasaca, osigurava se ravnomjerna zaštita od požara na čitavom teritoriju države te se značajno doprinosi jačanju ukupne sigurnosti i otpornosti</w:t>
      </w:r>
      <w:r>
        <w:rPr>
          <w:rFonts w:eastAsia="Calibri"/>
          <w:sz w:val="24"/>
          <w:szCs w:val="24"/>
        </w:rPr>
        <w:t xml:space="preserve"> države</w:t>
      </w:r>
      <w:r w:rsidRPr="000F30E4">
        <w:rPr>
          <w:rFonts w:eastAsia="Calibri"/>
          <w:sz w:val="24"/>
          <w:szCs w:val="24"/>
        </w:rPr>
        <w:t xml:space="preserve">. Vatrogasnu mrežu čine 74 javne vatrogasne postrojbe, 16 profesionalnih postrojbi u gospodarstvu te 1.739 dobrovoljnih vatrogasnih društava. </w:t>
      </w:r>
      <w:r>
        <w:rPr>
          <w:rFonts w:eastAsia="Calibri"/>
          <w:sz w:val="24"/>
          <w:szCs w:val="24"/>
        </w:rPr>
        <w:t>Tijekom 2024. ojačani su ljudski kapaciteti te su tako n</w:t>
      </w:r>
      <w:r w:rsidRPr="000F30E4">
        <w:rPr>
          <w:rFonts w:eastAsia="Calibri"/>
          <w:sz w:val="24"/>
          <w:szCs w:val="24"/>
        </w:rPr>
        <w:t xml:space="preserve">a raspolaganju </w:t>
      </w:r>
      <w:r>
        <w:rPr>
          <w:rFonts w:eastAsia="Calibri"/>
          <w:sz w:val="24"/>
          <w:szCs w:val="24"/>
        </w:rPr>
        <w:t>bila</w:t>
      </w:r>
      <w:r w:rsidRPr="000F30E4">
        <w:rPr>
          <w:rFonts w:eastAsia="Calibri"/>
          <w:sz w:val="24"/>
          <w:szCs w:val="24"/>
        </w:rPr>
        <w:t xml:space="preserve"> 3.922 profesionalna</w:t>
      </w:r>
      <w:r>
        <w:rPr>
          <w:rFonts w:eastAsia="Calibri"/>
          <w:sz w:val="24"/>
          <w:szCs w:val="24"/>
        </w:rPr>
        <w:t xml:space="preserve"> (3.041 u 2023.)</w:t>
      </w:r>
      <w:r w:rsidRPr="000F30E4">
        <w:rPr>
          <w:rFonts w:eastAsia="Calibri"/>
          <w:sz w:val="24"/>
          <w:szCs w:val="24"/>
        </w:rPr>
        <w:t xml:space="preserve"> i 34.941 operativni dobrovoljni vatrogasac</w:t>
      </w:r>
      <w:r>
        <w:rPr>
          <w:rFonts w:eastAsia="Calibri"/>
          <w:sz w:val="24"/>
          <w:szCs w:val="24"/>
        </w:rPr>
        <w:t xml:space="preserve"> (31.621 u 2023.) kao i </w:t>
      </w:r>
      <w:r w:rsidRPr="000F30E4">
        <w:rPr>
          <w:rFonts w:eastAsia="Calibri"/>
          <w:sz w:val="24"/>
          <w:szCs w:val="24"/>
        </w:rPr>
        <w:t xml:space="preserve">5.744 vatrogasnih vozila, plovila i </w:t>
      </w:r>
      <w:proofErr w:type="spellStart"/>
      <w:r w:rsidRPr="000F30E4">
        <w:rPr>
          <w:rFonts w:eastAsia="Calibri"/>
          <w:sz w:val="24"/>
          <w:szCs w:val="24"/>
        </w:rPr>
        <w:t>dronova</w:t>
      </w:r>
      <w:proofErr w:type="spellEnd"/>
      <w:r>
        <w:rPr>
          <w:rFonts w:eastAsia="Calibri"/>
          <w:sz w:val="24"/>
          <w:szCs w:val="24"/>
        </w:rPr>
        <w:t xml:space="preserve"> (5.712 u 2023.)</w:t>
      </w:r>
      <w:r w:rsidRPr="000F30E4">
        <w:rPr>
          <w:rFonts w:eastAsia="Calibri"/>
          <w:sz w:val="24"/>
          <w:szCs w:val="24"/>
        </w:rPr>
        <w:t xml:space="preserve">, kao i 11 zrakoplova (od čega pet </w:t>
      </w:r>
      <w:proofErr w:type="spellStart"/>
      <w:r w:rsidRPr="000F30E4">
        <w:rPr>
          <w:rFonts w:eastAsia="Calibri"/>
          <w:sz w:val="24"/>
          <w:szCs w:val="24"/>
        </w:rPr>
        <w:t>Canadaira</w:t>
      </w:r>
      <w:proofErr w:type="spellEnd"/>
      <w:r w:rsidRPr="000F30E4">
        <w:rPr>
          <w:rFonts w:eastAsia="Calibri"/>
          <w:sz w:val="24"/>
          <w:szCs w:val="24"/>
        </w:rPr>
        <w:t xml:space="preserve"> CL-415 i šest AT-802) te </w:t>
      </w:r>
      <w:r>
        <w:rPr>
          <w:rFonts w:eastAsia="Calibri"/>
          <w:sz w:val="24"/>
          <w:szCs w:val="24"/>
        </w:rPr>
        <w:t>jedan</w:t>
      </w:r>
      <w:r w:rsidRPr="000F30E4">
        <w:rPr>
          <w:rFonts w:eastAsia="Calibri"/>
          <w:sz w:val="24"/>
          <w:szCs w:val="24"/>
        </w:rPr>
        <w:t xml:space="preserve"> helikopter.</w:t>
      </w:r>
    </w:p>
    <w:p w14:paraId="118180DF" w14:textId="77777777" w:rsidR="00FB178A" w:rsidRPr="000A0B71" w:rsidRDefault="00FB178A" w:rsidP="00FB178A">
      <w:pPr>
        <w:widowControl/>
        <w:autoSpaceDE/>
        <w:autoSpaceDN/>
        <w:spacing w:after="160" w:line="276" w:lineRule="auto"/>
        <w:jc w:val="both"/>
        <w:rPr>
          <w:bCs/>
          <w:sz w:val="24"/>
          <w:szCs w:val="24"/>
          <w:bdr w:val="none" w:sz="0" w:space="0" w:color="auto" w:frame="1"/>
          <w:lang w:eastAsia="hr-HR"/>
        </w:rPr>
      </w:pPr>
      <w:r w:rsidRPr="00980D8D">
        <w:rPr>
          <w:bCs/>
          <w:sz w:val="24"/>
          <w:szCs w:val="24"/>
          <w:bdr w:val="none" w:sz="0" w:space="0" w:color="auto" w:frame="1"/>
          <w:lang w:eastAsia="hr-HR"/>
        </w:rPr>
        <w:t xml:space="preserve">U 2024. aktivnosti u području vatrogastva </w:t>
      </w:r>
      <w:r>
        <w:rPr>
          <w:bCs/>
          <w:sz w:val="24"/>
          <w:szCs w:val="24"/>
          <w:bdr w:val="none" w:sz="0" w:space="0" w:color="auto" w:frame="1"/>
          <w:lang w:eastAsia="hr-HR"/>
        </w:rPr>
        <w:t>formulirane</w:t>
      </w:r>
      <w:r w:rsidRPr="00980D8D">
        <w:rPr>
          <w:bCs/>
          <w:sz w:val="24"/>
          <w:szCs w:val="24"/>
          <w:bdr w:val="none" w:sz="0" w:space="0" w:color="auto" w:frame="1"/>
          <w:lang w:eastAsia="hr-HR"/>
        </w:rPr>
        <w:t xml:space="preserve"> su kroz </w:t>
      </w:r>
      <w:r>
        <w:rPr>
          <w:bCs/>
          <w:sz w:val="24"/>
          <w:szCs w:val="24"/>
          <w:bdr w:val="none" w:sz="0" w:space="0" w:color="auto" w:frame="1"/>
          <w:lang w:eastAsia="hr-HR"/>
        </w:rPr>
        <w:t xml:space="preserve">tri </w:t>
      </w:r>
      <w:r w:rsidRPr="00980D8D">
        <w:rPr>
          <w:bCs/>
          <w:sz w:val="24"/>
          <w:szCs w:val="24"/>
          <w:bdr w:val="none" w:sz="0" w:space="0" w:color="auto" w:frame="1"/>
          <w:lang w:eastAsia="hr-HR"/>
        </w:rPr>
        <w:t xml:space="preserve">područja i </w:t>
      </w:r>
      <w:r>
        <w:rPr>
          <w:bCs/>
          <w:sz w:val="24"/>
          <w:szCs w:val="24"/>
          <w:bdr w:val="none" w:sz="0" w:space="0" w:color="auto" w:frame="1"/>
          <w:lang w:eastAsia="hr-HR"/>
        </w:rPr>
        <w:t xml:space="preserve">11 </w:t>
      </w:r>
      <w:r w:rsidRPr="00980D8D">
        <w:rPr>
          <w:bCs/>
          <w:sz w:val="24"/>
          <w:szCs w:val="24"/>
          <w:bdr w:val="none" w:sz="0" w:space="0" w:color="auto" w:frame="1"/>
          <w:lang w:eastAsia="hr-HR"/>
        </w:rPr>
        <w:t xml:space="preserve">razvojnih potreba, </w:t>
      </w:r>
      <w:r>
        <w:rPr>
          <w:bCs/>
          <w:sz w:val="24"/>
          <w:szCs w:val="24"/>
          <w:bdr w:val="none" w:sz="0" w:space="0" w:color="auto" w:frame="1"/>
          <w:lang w:eastAsia="hr-HR"/>
        </w:rPr>
        <w:t>a</w:t>
      </w:r>
      <w:r w:rsidRPr="00980D8D">
        <w:rPr>
          <w:bCs/>
          <w:sz w:val="24"/>
          <w:szCs w:val="24"/>
          <w:bdr w:val="none" w:sz="0" w:space="0" w:color="auto" w:frame="1"/>
          <w:lang w:eastAsia="hr-HR"/>
        </w:rPr>
        <w:t xml:space="preserve"> operacionalizirane</w:t>
      </w:r>
      <w:r>
        <w:rPr>
          <w:bCs/>
          <w:sz w:val="24"/>
          <w:szCs w:val="24"/>
          <w:bdr w:val="none" w:sz="0" w:space="0" w:color="auto" w:frame="1"/>
          <w:lang w:eastAsia="hr-HR"/>
        </w:rPr>
        <w:t xml:space="preserve"> su</w:t>
      </w:r>
      <w:r w:rsidRPr="00980D8D">
        <w:rPr>
          <w:bCs/>
          <w:sz w:val="24"/>
          <w:szCs w:val="24"/>
          <w:bdr w:val="none" w:sz="0" w:space="0" w:color="auto" w:frame="1"/>
          <w:lang w:eastAsia="hr-HR"/>
        </w:rPr>
        <w:t xml:space="preserve"> kroz </w:t>
      </w:r>
      <w:r>
        <w:rPr>
          <w:bCs/>
          <w:sz w:val="24"/>
          <w:szCs w:val="24"/>
          <w:bdr w:val="none" w:sz="0" w:space="0" w:color="auto" w:frame="1"/>
          <w:lang w:eastAsia="hr-HR"/>
        </w:rPr>
        <w:t>11</w:t>
      </w:r>
      <w:r w:rsidRPr="00980D8D">
        <w:rPr>
          <w:bCs/>
          <w:sz w:val="24"/>
          <w:szCs w:val="24"/>
          <w:bdr w:val="none" w:sz="0" w:space="0" w:color="auto" w:frame="1"/>
          <w:lang w:eastAsia="hr-HR"/>
        </w:rPr>
        <w:t xml:space="preserve"> provedbenih mjera. Za provedbu navedenih mjera utrošeno je ukupno 47,31 milijuna eura iz proračuna Hrvatske vatrogasne zajednice. Radi osiguranja stabilnog </w:t>
      </w:r>
      <w:r w:rsidRPr="00980D8D">
        <w:rPr>
          <w:bCs/>
          <w:sz w:val="24"/>
          <w:szCs w:val="24"/>
          <w:bdr w:val="none" w:sz="0" w:space="0" w:color="auto" w:frame="1"/>
          <w:lang w:eastAsia="hr-HR"/>
        </w:rPr>
        <w:lastRenderedPageBreak/>
        <w:t xml:space="preserve">upravnog i regulatornog okvira za učinkovito djelovanje vatrogasnih organizacija i njihovu integraciju u sustav </w:t>
      </w:r>
      <w:r>
        <w:rPr>
          <w:bCs/>
          <w:sz w:val="24"/>
          <w:szCs w:val="24"/>
          <w:bdr w:val="none" w:sz="0" w:space="0" w:color="auto" w:frame="1"/>
          <w:lang w:eastAsia="hr-HR"/>
        </w:rPr>
        <w:t>D</w:t>
      </w:r>
      <w:r w:rsidRPr="00980D8D">
        <w:rPr>
          <w:bCs/>
          <w:sz w:val="24"/>
          <w:szCs w:val="24"/>
          <w:bdr w:val="none" w:sz="0" w:space="0" w:color="auto" w:frame="1"/>
          <w:lang w:eastAsia="hr-HR"/>
        </w:rPr>
        <w:t xml:space="preserve">omovinske sigurnosti, Hrvatska vatrogasna zajednica donijela je </w:t>
      </w:r>
      <w:r>
        <w:rPr>
          <w:bCs/>
          <w:sz w:val="24"/>
          <w:szCs w:val="24"/>
          <w:bdr w:val="none" w:sz="0" w:space="0" w:color="auto" w:frame="1"/>
          <w:lang w:eastAsia="hr-HR"/>
        </w:rPr>
        <w:t xml:space="preserve">3 </w:t>
      </w:r>
      <w:proofErr w:type="spellStart"/>
      <w:r w:rsidRPr="00980D8D">
        <w:rPr>
          <w:bCs/>
          <w:sz w:val="24"/>
          <w:szCs w:val="24"/>
          <w:bdr w:val="none" w:sz="0" w:space="0" w:color="auto" w:frame="1"/>
          <w:lang w:eastAsia="hr-HR"/>
        </w:rPr>
        <w:t>podzakonska</w:t>
      </w:r>
      <w:proofErr w:type="spellEnd"/>
      <w:r w:rsidRPr="00980D8D">
        <w:rPr>
          <w:bCs/>
          <w:sz w:val="24"/>
          <w:szCs w:val="24"/>
          <w:bdr w:val="none" w:sz="0" w:space="0" w:color="auto" w:frame="1"/>
          <w:lang w:eastAsia="hr-HR"/>
        </w:rPr>
        <w:t xml:space="preserve"> akta, a temeljem Zakona o vatrogastvu donesena je i</w:t>
      </w:r>
      <w:r w:rsidRPr="0051741A">
        <w:t xml:space="preserve"> </w:t>
      </w:r>
      <w:r w:rsidRPr="0051741A">
        <w:rPr>
          <w:bCs/>
          <w:sz w:val="24"/>
          <w:szCs w:val="24"/>
          <w:bdr w:val="none" w:sz="0" w:space="0" w:color="auto" w:frame="1"/>
          <w:lang w:eastAsia="hr-HR"/>
        </w:rPr>
        <w:t>Uredba o visini dodataka na osnovni koeficijent za radna mjesta profesionalnih vatrogasaca (</w:t>
      </w:r>
      <w:r>
        <w:rPr>
          <w:bCs/>
          <w:sz w:val="24"/>
          <w:szCs w:val="24"/>
          <w:bdr w:val="none" w:sz="0" w:space="0" w:color="auto" w:frame="1"/>
          <w:lang w:eastAsia="hr-HR"/>
        </w:rPr>
        <w:t>„Narodne novine“ broj</w:t>
      </w:r>
      <w:r w:rsidRPr="0051741A">
        <w:rPr>
          <w:bCs/>
          <w:sz w:val="24"/>
          <w:szCs w:val="24"/>
          <w:bdr w:val="none" w:sz="0" w:space="0" w:color="auto" w:frame="1"/>
          <w:lang w:eastAsia="hr-HR"/>
        </w:rPr>
        <w:t xml:space="preserve"> 92/24</w:t>
      </w:r>
      <w:r>
        <w:rPr>
          <w:bCs/>
          <w:sz w:val="24"/>
          <w:szCs w:val="24"/>
          <w:bdr w:val="none" w:sz="0" w:space="0" w:color="auto" w:frame="1"/>
          <w:lang w:eastAsia="hr-HR"/>
        </w:rPr>
        <w:t>.</w:t>
      </w:r>
      <w:r w:rsidRPr="0051741A">
        <w:rPr>
          <w:bCs/>
          <w:sz w:val="24"/>
          <w:szCs w:val="24"/>
          <w:bdr w:val="none" w:sz="0" w:space="0" w:color="auto" w:frame="1"/>
          <w:lang w:eastAsia="hr-HR"/>
        </w:rPr>
        <w:t>)</w:t>
      </w:r>
      <w:r w:rsidRPr="00980D8D">
        <w:rPr>
          <w:bCs/>
          <w:sz w:val="24"/>
          <w:szCs w:val="24"/>
          <w:bdr w:val="none" w:sz="0" w:space="0" w:color="auto" w:frame="1"/>
          <w:lang w:eastAsia="hr-HR"/>
        </w:rPr>
        <w:t>.</w:t>
      </w:r>
    </w:p>
    <w:p w14:paraId="3039A648" w14:textId="77777777" w:rsidR="00FB178A" w:rsidRDefault="00FB178A" w:rsidP="00FB178A">
      <w:pPr>
        <w:widowControl/>
        <w:autoSpaceDE/>
        <w:autoSpaceDN/>
        <w:spacing w:after="160" w:line="276" w:lineRule="auto"/>
        <w:jc w:val="both"/>
        <w:rPr>
          <w:rFonts w:eastAsia="Calibri"/>
          <w:sz w:val="24"/>
          <w:szCs w:val="24"/>
        </w:rPr>
      </w:pPr>
      <w:r w:rsidRPr="000A0B71">
        <w:rPr>
          <w:rFonts w:eastAsia="Calibri"/>
          <w:sz w:val="24"/>
          <w:szCs w:val="24"/>
        </w:rPr>
        <w:t>U uvjetima sve ozbiljnijih posljedica klimatskih promjena i globalnog zatopljenja, tijekom vrlo zahtjevne protupožarne sezone u 2024.</w:t>
      </w:r>
      <w:r>
        <w:rPr>
          <w:rFonts w:eastAsia="Calibri"/>
          <w:sz w:val="24"/>
          <w:szCs w:val="24"/>
        </w:rPr>
        <w:t xml:space="preserve"> </w:t>
      </w:r>
      <w:r w:rsidRPr="00871BB2">
        <w:rPr>
          <w:rFonts w:eastAsia="Calibri"/>
          <w:sz w:val="24"/>
          <w:szCs w:val="24"/>
        </w:rPr>
        <w:t>zabilježen</w:t>
      </w:r>
      <w:r>
        <w:rPr>
          <w:rFonts w:eastAsia="Calibri"/>
          <w:sz w:val="24"/>
          <w:szCs w:val="24"/>
        </w:rPr>
        <w:t>a su</w:t>
      </w:r>
      <w:r w:rsidRPr="00871BB2">
        <w:rPr>
          <w:rFonts w:eastAsia="Calibri"/>
          <w:sz w:val="24"/>
          <w:szCs w:val="24"/>
        </w:rPr>
        <w:t xml:space="preserve"> 6.672 požara na otvorenom prostoru (21,86% </w:t>
      </w:r>
      <w:r>
        <w:rPr>
          <w:rFonts w:eastAsia="Calibri"/>
          <w:sz w:val="24"/>
          <w:szCs w:val="24"/>
        </w:rPr>
        <w:t xml:space="preserve">više </w:t>
      </w:r>
      <w:r w:rsidRPr="00871BB2">
        <w:rPr>
          <w:rFonts w:eastAsia="Calibri"/>
          <w:sz w:val="24"/>
          <w:szCs w:val="24"/>
        </w:rPr>
        <w:t xml:space="preserve">u odnosu na 2023.) sa 23.410 ha opožarene površine (345,82% </w:t>
      </w:r>
      <w:r>
        <w:rPr>
          <w:rFonts w:eastAsia="Calibri"/>
          <w:sz w:val="24"/>
          <w:szCs w:val="24"/>
        </w:rPr>
        <w:t xml:space="preserve">više </w:t>
      </w:r>
      <w:r w:rsidRPr="00871BB2">
        <w:rPr>
          <w:rFonts w:eastAsia="Calibri"/>
          <w:sz w:val="24"/>
          <w:szCs w:val="24"/>
        </w:rPr>
        <w:t>u odnosu na 2023.), i indeksa opožarene površine 7,76 ha</w:t>
      </w:r>
      <w:r>
        <w:rPr>
          <w:rFonts w:eastAsia="Calibri"/>
          <w:sz w:val="24"/>
          <w:szCs w:val="24"/>
        </w:rPr>
        <w:t xml:space="preserve"> po </w:t>
      </w:r>
      <w:r w:rsidRPr="00871BB2">
        <w:rPr>
          <w:rFonts w:eastAsia="Calibri"/>
          <w:sz w:val="24"/>
          <w:szCs w:val="24"/>
        </w:rPr>
        <w:t xml:space="preserve">požaru (426,37% </w:t>
      </w:r>
      <w:r>
        <w:rPr>
          <w:rFonts w:eastAsia="Calibri"/>
          <w:sz w:val="24"/>
          <w:szCs w:val="24"/>
        </w:rPr>
        <w:t xml:space="preserve">više </w:t>
      </w:r>
      <w:r w:rsidRPr="00871BB2">
        <w:rPr>
          <w:rFonts w:eastAsia="Calibri"/>
          <w:sz w:val="24"/>
          <w:szCs w:val="24"/>
        </w:rPr>
        <w:t>u odnosu na 2023.</w:t>
      </w:r>
      <w:r>
        <w:rPr>
          <w:rFonts w:eastAsia="Calibri"/>
          <w:sz w:val="24"/>
          <w:szCs w:val="24"/>
        </w:rPr>
        <w:t xml:space="preserve"> godinu</w:t>
      </w:r>
      <w:r w:rsidRPr="00871BB2">
        <w:rPr>
          <w:rFonts w:eastAsia="Calibri"/>
          <w:sz w:val="24"/>
          <w:szCs w:val="24"/>
        </w:rPr>
        <w:t xml:space="preserve">). Ukupno je tijekom </w:t>
      </w:r>
      <w:r>
        <w:rPr>
          <w:rFonts w:eastAsia="Calibri"/>
          <w:sz w:val="24"/>
          <w:szCs w:val="24"/>
        </w:rPr>
        <w:t xml:space="preserve">2024. </w:t>
      </w:r>
      <w:r w:rsidRPr="00871BB2">
        <w:rPr>
          <w:rFonts w:eastAsia="Calibri"/>
          <w:sz w:val="24"/>
          <w:szCs w:val="24"/>
        </w:rPr>
        <w:t xml:space="preserve">godine zabilježeno 35.565 vatrogasnih intervencija, od čega 11.633 </w:t>
      </w:r>
      <w:r>
        <w:rPr>
          <w:rFonts w:eastAsia="Calibri"/>
          <w:sz w:val="24"/>
          <w:szCs w:val="24"/>
        </w:rPr>
        <w:t>protu</w:t>
      </w:r>
      <w:r w:rsidRPr="00871BB2">
        <w:rPr>
          <w:rFonts w:eastAsia="Calibri"/>
          <w:sz w:val="24"/>
          <w:szCs w:val="24"/>
        </w:rPr>
        <w:t>požar</w:t>
      </w:r>
      <w:r>
        <w:rPr>
          <w:rFonts w:eastAsia="Calibri"/>
          <w:sz w:val="24"/>
          <w:szCs w:val="24"/>
        </w:rPr>
        <w:t>nih intervencija</w:t>
      </w:r>
      <w:r w:rsidRPr="00871BB2">
        <w:rPr>
          <w:rFonts w:eastAsia="Calibri"/>
          <w:sz w:val="24"/>
          <w:szCs w:val="24"/>
        </w:rPr>
        <w:t xml:space="preserve"> te 23.932 ostalih vatrogasnih intervencija (tehničke i ostale).</w:t>
      </w:r>
      <w:r>
        <w:rPr>
          <w:rFonts w:eastAsia="Calibri"/>
          <w:sz w:val="24"/>
          <w:szCs w:val="24"/>
        </w:rPr>
        <w:t xml:space="preserve"> Potrebno je istaknuti kako je </w:t>
      </w:r>
      <w:r w:rsidRPr="000A0B71">
        <w:rPr>
          <w:rFonts w:eastAsia="Calibri"/>
          <w:sz w:val="24"/>
          <w:szCs w:val="24"/>
        </w:rPr>
        <w:t xml:space="preserve">zabilježeno 28 požara otvorenog prostora opožarene površine veće od 100 ha, </w:t>
      </w:r>
      <w:r>
        <w:rPr>
          <w:rFonts w:eastAsia="Calibri"/>
          <w:sz w:val="24"/>
          <w:szCs w:val="24"/>
        </w:rPr>
        <w:t xml:space="preserve">dok je </w:t>
      </w:r>
      <w:r w:rsidRPr="000A0B71">
        <w:rPr>
          <w:rFonts w:eastAsia="Calibri"/>
          <w:sz w:val="24"/>
          <w:szCs w:val="24"/>
        </w:rPr>
        <w:t xml:space="preserve">99,84% požara </w:t>
      </w:r>
      <w:r>
        <w:rPr>
          <w:rFonts w:eastAsia="Calibri"/>
          <w:sz w:val="24"/>
          <w:szCs w:val="24"/>
        </w:rPr>
        <w:t xml:space="preserve">uspješno </w:t>
      </w:r>
      <w:r w:rsidRPr="000A0B71">
        <w:rPr>
          <w:rFonts w:eastAsia="Calibri"/>
          <w:sz w:val="24"/>
          <w:szCs w:val="24"/>
        </w:rPr>
        <w:t xml:space="preserve">lokalizirano za manje od 12 sati. </w:t>
      </w:r>
      <w:r>
        <w:rPr>
          <w:rFonts w:eastAsia="Calibri"/>
          <w:sz w:val="24"/>
          <w:szCs w:val="24"/>
        </w:rPr>
        <w:t>Također, u</w:t>
      </w:r>
      <w:r w:rsidRPr="005B0A42">
        <w:rPr>
          <w:rFonts w:eastAsia="Calibri"/>
          <w:sz w:val="24"/>
          <w:szCs w:val="24"/>
        </w:rPr>
        <w:t>spješno je proveden Program aktivnosti</w:t>
      </w:r>
      <w:r>
        <w:rPr>
          <w:rFonts w:eastAsia="Calibri"/>
          <w:sz w:val="24"/>
          <w:szCs w:val="24"/>
        </w:rPr>
        <w:t xml:space="preserve"> </w:t>
      </w:r>
      <w:r w:rsidRPr="004D59E9">
        <w:rPr>
          <w:rFonts w:eastAsia="Calibri"/>
          <w:sz w:val="24"/>
          <w:szCs w:val="24"/>
        </w:rPr>
        <w:t xml:space="preserve">u provedbi posebnih mjera zaštite od požara od interesa za Hrvatsku za 2024., tijekom kojeg su </w:t>
      </w:r>
      <w:r>
        <w:rPr>
          <w:rFonts w:eastAsia="Calibri"/>
          <w:sz w:val="24"/>
          <w:szCs w:val="24"/>
        </w:rPr>
        <w:t>o</w:t>
      </w:r>
      <w:r w:rsidRPr="004D59E9">
        <w:rPr>
          <w:rFonts w:eastAsia="Calibri"/>
          <w:sz w:val="24"/>
          <w:szCs w:val="24"/>
        </w:rPr>
        <w:t xml:space="preserve">jačani vatrogasni kapaciteti priobalja kroz uspostavu integriranog državnog vatrogasnog zapovjedništva u </w:t>
      </w:r>
      <w:proofErr w:type="spellStart"/>
      <w:r w:rsidRPr="004D59E9">
        <w:rPr>
          <w:rFonts w:eastAsia="Calibri"/>
          <w:sz w:val="24"/>
          <w:szCs w:val="24"/>
        </w:rPr>
        <w:t>Divuljama</w:t>
      </w:r>
      <w:proofErr w:type="spellEnd"/>
      <w:r w:rsidRPr="004D59E9">
        <w:rPr>
          <w:rFonts w:eastAsia="Calibri"/>
          <w:sz w:val="24"/>
          <w:szCs w:val="24"/>
        </w:rPr>
        <w:t xml:space="preserve">, zapošljavanje 1.131 sezonskih vatrogasaca, dislokaciju vatrogasnih snaga s kontinenta na posebno ugrožena područja priobalja, te koordinaciju ključnih dionika u jačanju vatrogasne preventive. </w:t>
      </w:r>
    </w:p>
    <w:p w14:paraId="2EACE5A2" w14:textId="77777777" w:rsidR="00FB178A" w:rsidRPr="00EC7BAA" w:rsidRDefault="00FB178A" w:rsidP="00FB178A">
      <w:pPr>
        <w:widowControl/>
        <w:autoSpaceDE/>
        <w:autoSpaceDN/>
        <w:spacing w:after="160" w:line="276" w:lineRule="auto"/>
        <w:jc w:val="both"/>
        <w:rPr>
          <w:rFonts w:eastAsia="Calibri"/>
          <w:sz w:val="24"/>
          <w:szCs w:val="24"/>
        </w:rPr>
      </w:pPr>
      <w:r>
        <w:rPr>
          <w:rFonts w:eastAsia="Calibri"/>
          <w:sz w:val="24"/>
          <w:szCs w:val="24"/>
        </w:rPr>
        <w:t>Nadalje, š</w:t>
      </w:r>
      <w:r w:rsidRPr="002771E9">
        <w:rPr>
          <w:rFonts w:eastAsia="Calibri"/>
          <w:sz w:val="24"/>
          <w:szCs w:val="24"/>
        </w:rPr>
        <w:t xml:space="preserve">kolovanje za profesionalna vatrogasna zvanja </w:t>
      </w:r>
      <w:r>
        <w:rPr>
          <w:rFonts w:eastAsia="Calibri"/>
          <w:sz w:val="24"/>
          <w:szCs w:val="24"/>
        </w:rPr>
        <w:t xml:space="preserve">tijekom 2024. </w:t>
      </w:r>
      <w:r w:rsidRPr="002771E9">
        <w:rPr>
          <w:rFonts w:eastAsia="Calibri"/>
          <w:sz w:val="24"/>
          <w:szCs w:val="24"/>
        </w:rPr>
        <w:t xml:space="preserve">završilo je 226 polaznika, a upisano je ukupno 305 </w:t>
      </w:r>
      <w:r>
        <w:rPr>
          <w:rFonts w:eastAsia="Calibri"/>
          <w:sz w:val="24"/>
          <w:szCs w:val="24"/>
        </w:rPr>
        <w:t xml:space="preserve">kandidata </w:t>
      </w:r>
      <w:r w:rsidRPr="002771E9">
        <w:rPr>
          <w:rFonts w:eastAsia="Calibri"/>
          <w:sz w:val="24"/>
          <w:szCs w:val="24"/>
        </w:rPr>
        <w:t xml:space="preserve">u centrima u Zagrebu, Splitu, Rijeci i Osijeku. </w:t>
      </w:r>
      <w:r>
        <w:rPr>
          <w:rFonts w:eastAsia="Calibri"/>
          <w:sz w:val="24"/>
          <w:szCs w:val="24"/>
        </w:rPr>
        <w:t xml:space="preserve">Istovremeno, </w:t>
      </w:r>
      <w:r w:rsidRPr="002771E9">
        <w:rPr>
          <w:rFonts w:eastAsia="Calibri"/>
          <w:sz w:val="24"/>
          <w:szCs w:val="24"/>
        </w:rPr>
        <w:t>Državna vatrogasna škola obučila je 192 instruktora</w:t>
      </w:r>
      <w:r>
        <w:rPr>
          <w:rFonts w:eastAsia="Calibri"/>
          <w:sz w:val="24"/>
          <w:szCs w:val="24"/>
        </w:rPr>
        <w:t>, a n</w:t>
      </w:r>
      <w:r w:rsidRPr="002771E9">
        <w:rPr>
          <w:rFonts w:eastAsia="Calibri"/>
          <w:sz w:val="24"/>
          <w:szCs w:val="24"/>
        </w:rPr>
        <w:t xml:space="preserve">ova vatrogasna zvanja i specijalnosti steklo je ukupno 4.327 vatrogasaca, od čega je 1.809 dobrovoljnih vatrogasaca steklo temeljna zvanja, a 2.518 specijalnosti. U Centru za obuku vatrogasne mladeži u Fažani dodatno je osposobljeno 1.184 pripadnika vatrogasne mladeži. </w:t>
      </w:r>
      <w:r w:rsidRPr="0091137B">
        <w:rPr>
          <w:rFonts w:eastAsia="Calibri"/>
          <w:sz w:val="24"/>
          <w:szCs w:val="24"/>
        </w:rPr>
        <w:t xml:space="preserve">Održani su stručni skupovi i operativne radionice </w:t>
      </w:r>
      <w:r>
        <w:rPr>
          <w:rFonts w:eastAsia="Calibri"/>
          <w:sz w:val="24"/>
          <w:szCs w:val="24"/>
        </w:rPr>
        <w:t>za j</w:t>
      </w:r>
      <w:r w:rsidRPr="002771E9">
        <w:rPr>
          <w:rFonts w:eastAsia="Calibri"/>
          <w:sz w:val="24"/>
          <w:szCs w:val="24"/>
        </w:rPr>
        <w:t>ačan</w:t>
      </w:r>
      <w:r>
        <w:rPr>
          <w:rFonts w:eastAsia="Calibri"/>
          <w:sz w:val="24"/>
          <w:szCs w:val="24"/>
        </w:rPr>
        <w:t xml:space="preserve">je </w:t>
      </w:r>
      <w:r w:rsidRPr="002771E9">
        <w:rPr>
          <w:rFonts w:eastAsia="Calibri"/>
          <w:sz w:val="24"/>
          <w:szCs w:val="24"/>
        </w:rPr>
        <w:t>kapacitet</w:t>
      </w:r>
      <w:r>
        <w:rPr>
          <w:rFonts w:eastAsia="Calibri"/>
          <w:sz w:val="24"/>
          <w:szCs w:val="24"/>
        </w:rPr>
        <w:t>a</w:t>
      </w:r>
      <w:r w:rsidRPr="002771E9">
        <w:rPr>
          <w:rFonts w:eastAsia="Calibri"/>
          <w:sz w:val="24"/>
          <w:szCs w:val="24"/>
        </w:rPr>
        <w:t xml:space="preserve"> vatrogasnih vježbališta u Stubičkoj Slatini, </w:t>
      </w:r>
      <w:proofErr w:type="spellStart"/>
      <w:r w:rsidRPr="002771E9">
        <w:rPr>
          <w:rFonts w:eastAsia="Calibri"/>
          <w:sz w:val="24"/>
          <w:szCs w:val="24"/>
        </w:rPr>
        <w:t>Vučevici</w:t>
      </w:r>
      <w:proofErr w:type="spellEnd"/>
      <w:r w:rsidRPr="002771E9">
        <w:rPr>
          <w:rFonts w:eastAsia="Calibri"/>
          <w:sz w:val="24"/>
          <w:szCs w:val="24"/>
        </w:rPr>
        <w:t xml:space="preserve">, </w:t>
      </w:r>
      <w:proofErr w:type="spellStart"/>
      <w:r w:rsidRPr="002771E9">
        <w:rPr>
          <w:rFonts w:eastAsia="Calibri"/>
          <w:sz w:val="24"/>
          <w:szCs w:val="24"/>
        </w:rPr>
        <w:t>Šapjanama</w:t>
      </w:r>
      <w:proofErr w:type="spellEnd"/>
      <w:r>
        <w:rPr>
          <w:rFonts w:eastAsia="Calibri"/>
          <w:sz w:val="24"/>
          <w:szCs w:val="24"/>
        </w:rPr>
        <w:t>,</w:t>
      </w:r>
      <w:r w:rsidRPr="002771E9">
        <w:rPr>
          <w:rFonts w:eastAsia="Calibri"/>
          <w:sz w:val="24"/>
          <w:szCs w:val="24"/>
        </w:rPr>
        <w:t xml:space="preserve"> Našicama</w:t>
      </w:r>
      <w:r>
        <w:rPr>
          <w:rFonts w:eastAsia="Calibri"/>
          <w:sz w:val="24"/>
          <w:szCs w:val="24"/>
        </w:rPr>
        <w:t xml:space="preserve"> i </w:t>
      </w:r>
      <w:r w:rsidRPr="002771E9">
        <w:rPr>
          <w:rFonts w:eastAsia="Calibri"/>
          <w:sz w:val="24"/>
          <w:szCs w:val="24"/>
        </w:rPr>
        <w:t>Opatiji, s više od 1.200 sudionika.</w:t>
      </w:r>
      <w:r>
        <w:rPr>
          <w:rFonts w:eastAsia="Calibri"/>
          <w:sz w:val="24"/>
          <w:szCs w:val="24"/>
        </w:rPr>
        <w:t xml:space="preserve"> </w:t>
      </w:r>
      <w:r w:rsidRPr="002771E9">
        <w:rPr>
          <w:rFonts w:eastAsia="Calibri"/>
          <w:sz w:val="24"/>
          <w:szCs w:val="24"/>
        </w:rPr>
        <w:t xml:space="preserve">U cilju podizanja svijesti građana o važnosti zaštite od požara, tijekom </w:t>
      </w:r>
      <w:r>
        <w:rPr>
          <w:rFonts w:eastAsia="Calibri"/>
          <w:sz w:val="24"/>
          <w:szCs w:val="24"/>
        </w:rPr>
        <w:t>2024.</w:t>
      </w:r>
      <w:r w:rsidRPr="002771E9">
        <w:rPr>
          <w:rFonts w:eastAsia="Calibri"/>
          <w:sz w:val="24"/>
          <w:szCs w:val="24"/>
        </w:rPr>
        <w:t xml:space="preserve"> provedena je intenzivna informativno-promidžbena kampanja putem televizije, radija, društvenih mreža, tiskanih materijala i časopisa </w:t>
      </w:r>
      <w:r w:rsidRPr="0004221B">
        <w:rPr>
          <w:rFonts w:eastAsia="Calibri"/>
          <w:i/>
          <w:iCs/>
          <w:sz w:val="24"/>
          <w:szCs w:val="24"/>
        </w:rPr>
        <w:t>Vatrogasni vjesnik</w:t>
      </w:r>
      <w:r w:rsidRPr="002771E9">
        <w:rPr>
          <w:rFonts w:eastAsia="Calibri"/>
          <w:sz w:val="24"/>
          <w:szCs w:val="24"/>
        </w:rPr>
        <w:t>.</w:t>
      </w:r>
      <w:r>
        <w:rPr>
          <w:rFonts w:eastAsia="Calibri"/>
          <w:sz w:val="24"/>
          <w:szCs w:val="24"/>
        </w:rPr>
        <w:t xml:space="preserve"> Dodatno, u skladu s </w:t>
      </w:r>
      <w:r w:rsidRPr="00F834AA">
        <w:rPr>
          <w:rFonts w:eastAsia="Calibri"/>
          <w:sz w:val="24"/>
          <w:szCs w:val="24"/>
        </w:rPr>
        <w:t>Vatrogasni</w:t>
      </w:r>
      <w:r>
        <w:rPr>
          <w:rFonts w:eastAsia="Calibri"/>
          <w:sz w:val="24"/>
          <w:szCs w:val="24"/>
        </w:rPr>
        <w:t>m</w:t>
      </w:r>
      <w:r w:rsidRPr="00F834AA">
        <w:rPr>
          <w:rFonts w:eastAsia="Calibri"/>
          <w:sz w:val="24"/>
          <w:szCs w:val="24"/>
        </w:rPr>
        <w:t xml:space="preserve"> plan</w:t>
      </w:r>
      <w:r>
        <w:rPr>
          <w:rFonts w:eastAsia="Calibri"/>
          <w:sz w:val="24"/>
          <w:szCs w:val="24"/>
        </w:rPr>
        <w:t>om</w:t>
      </w:r>
      <w:r w:rsidRPr="00F834AA">
        <w:rPr>
          <w:rFonts w:eastAsia="Calibri"/>
          <w:sz w:val="24"/>
          <w:szCs w:val="24"/>
        </w:rPr>
        <w:t xml:space="preserve"> Republike Hrvatske</w:t>
      </w:r>
      <w:r>
        <w:rPr>
          <w:rFonts w:eastAsia="Calibri"/>
          <w:sz w:val="24"/>
          <w:szCs w:val="24"/>
        </w:rPr>
        <w:t>, z</w:t>
      </w:r>
      <w:r w:rsidRPr="00EC7BAA">
        <w:rPr>
          <w:rFonts w:eastAsia="Calibri"/>
          <w:sz w:val="24"/>
          <w:szCs w:val="24"/>
        </w:rPr>
        <w:t xml:space="preserve">a jačanje interventnih sposobnosti vatrogasnih postrojbi </w:t>
      </w:r>
      <w:r>
        <w:rPr>
          <w:rFonts w:eastAsia="Calibri"/>
          <w:sz w:val="24"/>
          <w:szCs w:val="24"/>
        </w:rPr>
        <w:t xml:space="preserve">tijekom 2024. </w:t>
      </w:r>
      <w:r w:rsidRPr="00EC7BAA">
        <w:rPr>
          <w:rFonts w:eastAsia="Calibri"/>
          <w:sz w:val="24"/>
          <w:szCs w:val="24"/>
        </w:rPr>
        <w:t xml:space="preserve">osigurano je </w:t>
      </w:r>
      <w:r>
        <w:rPr>
          <w:rFonts w:eastAsia="Calibri"/>
          <w:sz w:val="24"/>
          <w:szCs w:val="24"/>
        </w:rPr>
        <w:t xml:space="preserve">ukupno </w:t>
      </w:r>
      <w:r w:rsidRPr="00EC7BAA">
        <w:rPr>
          <w:rFonts w:eastAsia="Calibri"/>
          <w:sz w:val="24"/>
          <w:szCs w:val="24"/>
        </w:rPr>
        <w:t xml:space="preserve">32,76 milijuna eura potpore gradovima i općinama s javnim vatrogasnim postrojbama. </w:t>
      </w:r>
    </w:p>
    <w:p w14:paraId="39F24AA6" w14:textId="77777777" w:rsidR="00FB178A" w:rsidRDefault="00FB178A" w:rsidP="00FB178A">
      <w:pPr>
        <w:spacing w:line="276" w:lineRule="auto"/>
        <w:jc w:val="both"/>
        <w:rPr>
          <w:b/>
          <w:color w:val="000000" w:themeColor="text1"/>
          <w:sz w:val="24"/>
          <w:szCs w:val="24"/>
        </w:rPr>
      </w:pPr>
      <w:r w:rsidRPr="00EC7BAA">
        <w:rPr>
          <w:rFonts w:eastAsia="Calibri"/>
          <w:sz w:val="24"/>
          <w:szCs w:val="24"/>
        </w:rPr>
        <w:t xml:space="preserve">U okviru </w:t>
      </w:r>
      <w:r>
        <w:rPr>
          <w:rFonts w:eastAsia="Calibri"/>
          <w:sz w:val="24"/>
          <w:szCs w:val="24"/>
        </w:rPr>
        <w:t>PKK</w:t>
      </w:r>
      <w:r w:rsidRPr="00EC7BAA">
        <w:rPr>
          <w:rFonts w:eastAsia="Calibri"/>
          <w:sz w:val="24"/>
          <w:szCs w:val="24"/>
        </w:rPr>
        <w:t xml:space="preserve"> 2021.</w:t>
      </w:r>
      <w:r>
        <w:rPr>
          <w:rFonts w:eastAsia="Calibri"/>
          <w:sz w:val="24"/>
          <w:szCs w:val="24"/>
        </w:rPr>
        <w:t>-</w:t>
      </w:r>
      <w:r w:rsidRPr="00EC7BAA">
        <w:rPr>
          <w:rFonts w:eastAsia="Calibri"/>
          <w:sz w:val="24"/>
          <w:szCs w:val="24"/>
        </w:rPr>
        <w:t xml:space="preserve">2027. </w:t>
      </w:r>
      <w:r>
        <w:rPr>
          <w:rFonts w:eastAsia="Calibri"/>
          <w:sz w:val="24"/>
          <w:szCs w:val="24"/>
        </w:rPr>
        <w:t>u lipnju 2024. ugovoren je</w:t>
      </w:r>
      <w:r w:rsidRPr="00EC7BAA">
        <w:rPr>
          <w:rFonts w:eastAsia="Calibri"/>
          <w:sz w:val="24"/>
          <w:szCs w:val="24"/>
        </w:rPr>
        <w:t xml:space="preserve"> projekt </w:t>
      </w:r>
      <w:r>
        <w:rPr>
          <w:rFonts w:eastAsia="Calibri"/>
          <w:sz w:val="24"/>
          <w:szCs w:val="24"/>
        </w:rPr>
        <w:t>„</w:t>
      </w:r>
      <w:r w:rsidRPr="00EC7BAA">
        <w:rPr>
          <w:rFonts w:eastAsia="Calibri"/>
          <w:sz w:val="24"/>
          <w:szCs w:val="24"/>
        </w:rPr>
        <w:t xml:space="preserve">Jačanje kapaciteta za protupožarnu zaštitu na brdsko-planinskim i potpomognutim područjima </w:t>
      </w:r>
      <w:r>
        <w:rPr>
          <w:rFonts w:eastAsia="Calibri"/>
          <w:sz w:val="24"/>
          <w:szCs w:val="24"/>
        </w:rPr>
        <w:t>-</w:t>
      </w:r>
      <w:r w:rsidRPr="00EC7BAA">
        <w:rPr>
          <w:rFonts w:eastAsia="Calibri"/>
          <w:sz w:val="24"/>
          <w:szCs w:val="24"/>
        </w:rPr>
        <w:t xml:space="preserve"> faza 1</w:t>
      </w:r>
      <w:r>
        <w:rPr>
          <w:rFonts w:eastAsia="Calibri"/>
          <w:sz w:val="24"/>
          <w:szCs w:val="24"/>
        </w:rPr>
        <w:t>“</w:t>
      </w:r>
      <w:r w:rsidRPr="00EC7BAA">
        <w:rPr>
          <w:rFonts w:eastAsia="Calibri"/>
          <w:sz w:val="24"/>
          <w:szCs w:val="24"/>
        </w:rPr>
        <w:t xml:space="preserve">, ukupne vrijednosti 35,88 milijuna eura. </w:t>
      </w:r>
      <w:r>
        <w:rPr>
          <w:rFonts w:eastAsia="Calibri"/>
          <w:sz w:val="24"/>
          <w:szCs w:val="24"/>
        </w:rPr>
        <w:t>Projektom su predviđena u</w:t>
      </w:r>
      <w:r w:rsidRPr="00B46997">
        <w:rPr>
          <w:rFonts w:eastAsia="Calibri"/>
          <w:sz w:val="24"/>
          <w:szCs w:val="24"/>
        </w:rPr>
        <w:t>laganj</w:t>
      </w:r>
      <w:r>
        <w:rPr>
          <w:rFonts w:eastAsia="Calibri"/>
          <w:sz w:val="24"/>
          <w:szCs w:val="24"/>
        </w:rPr>
        <w:t>a</w:t>
      </w:r>
      <w:r w:rsidRPr="00B46997">
        <w:rPr>
          <w:rFonts w:eastAsia="Calibri"/>
          <w:sz w:val="24"/>
          <w:szCs w:val="24"/>
        </w:rPr>
        <w:t xml:space="preserve"> u nabavu vatrogasnih vozila, vatrogasne opreme, vježbališta te </w:t>
      </w:r>
      <w:r>
        <w:rPr>
          <w:rFonts w:eastAsia="Calibri"/>
          <w:sz w:val="24"/>
          <w:szCs w:val="24"/>
        </w:rPr>
        <w:t xml:space="preserve">provedbu aktivnosti </w:t>
      </w:r>
      <w:r w:rsidRPr="00B46997">
        <w:rPr>
          <w:rFonts w:eastAsia="Calibri"/>
          <w:sz w:val="24"/>
          <w:szCs w:val="24"/>
        </w:rPr>
        <w:t xml:space="preserve">podizanje svijesti o prevenciji požara </w:t>
      </w:r>
      <w:r>
        <w:rPr>
          <w:rFonts w:eastAsia="Calibri"/>
          <w:sz w:val="24"/>
          <w:szCs w:val="24"/>
        </w:rPr>
        <w:t>s ciljem</w:t>
      </w:r>
      <w:r w:rsidRPr="00B46997">
        <w:rPr>
          <w:rFonts w:eastAsia="Calibri"/>
          <w:sz w:val="24"/>
          <w:szCs w:val="24"/>
        </w:rPr>
        <w:t xml:space="preserve"> </w:t>
      </w:r>
      <w:r>
        <w:rPr>
          <w:rFonts w:eastAsia="Calibri"/>
          <w:sz w:val="24"/>
          <w:szCs w:val="24"/>
        </w:rPr>
        <w:t xml:space="preserve">primjene </w:t>
      </w:r>
      <w:r w:rsidRPr="00B46997">
        <w:rPr>
          <w:rFonts w:eastAsia="Calibri"/>
          <w:sz w:val="24"/>
          <w:szCs w:val="24"/>
        </w:rPr>
        <w:t>integriran</w:t>
      </w:r>
      <w:r>
        <w:rPr>
          <w:rFonts w:eastAsia="Calibri"/>
          <w:sz w:val="24"/>
          <w:szCs w:val="24"/>
        </w:rPr>
        <w:t>og</w:t>
      </w:r>
      <w:r w:rsidRPr="00B46997">
        <w:rPr>
          <w:rFonts w:eastAsia="Calibri"/>
          <w:sz w:val="24"/>
          <w:szCs w:val="24"/>
        </w:rPr>
        <w:t xml:space="preserve"> pristup</w:t>
      </w:r>
      <w:r>
        <w:rPr>
          <w:rFonts w:eastAsia="Calibri"/>
          <w:sz w:val="24"/>
          <w:szCs w:val="24"/>
        </w:rPr>
        <w:t>a</w:t>
      </w:r>
      <w:r w:rsidRPr="00B46997">
        <w:rPr>
          <w:rFonts w:eastAsia="Calibri"/>
          <w:sz w:val="24"/>
          <w:szCs w:val="24"/>
        </w:rPr>
        <w:t xml:space="preserve"> jačanju sposobnosti vatrogasnih službi kao odgovor</w:t>
      </w:r>
      <w:r>
        <w:rPr>
          <w:rFonts w:eastAsia="Calibri"/>
          <w:sz w:val="24"/>
          <w:szCs w:val="24"/>
        </w:rPr>
        <w:t>a</w:t>
      </w:r>
      <w:r w:rsidRPr="00B46997">
        <w:rPr>
          <w:rFonts w:eastAsia="Calibri"/>
          <w:sz w:val="24"/>
          <w:szCs w:val="24"/>
        </w:rPr>
        <w:t xml:space="preserve"> na sve značajnije rizike od pojave šumskih požara</w:t>
      </w:r>
      <w:r>
        <w:rPr>
          <w:rFonts w:eastAsia="Calibri"/>
          <w:sz w:val="24"/>
          <w:szCs w:val="24"/>
        </w:rPr>
        <w:t xml:space="preserve">. Također, u okviru druge faze ovoga Projekta u prosincu 2024. objavljen je </w:t>
      </w:r>
      <w:r w:rsidRPr="00EC7BAA">
        <w:rPr>
          <w:rFonts w:eastAsia="Calibri"/>
          <w:sz w:val="24"/>
          <w:szCs w:val="24"/>
        </w:rPr>
        <w:t>natječaj za gradnju i obnovu vatrogasnih domova</w:t>
      </w:r>
      <w:r w:rsidRPr="008226B1">
        <w:t xml:space="preserve"> </w:t>
      </w:r>
      <w:r w:rsidRPr="008226B1">
        <w:rPr>
          <w:rFonts w:eastAsia="Calibri"/>
          <w:sz w:val="24"/>
          <w:szCs w:val="24"/>
        </w:rPr>
        <w:t>na brdsko-planinskim i potpomognutim područjima</w:t>
      </w:r>
      <w:r w:rsidRPr="00EC7BAA">
        <w:rPr>
          <w:rFonts w:eastAsia="Calibri"/>
          <w:sz w:val="24"/>
          <w:szCs w:val="24"/>
        </w:rPr>
        <w:t xml:space="preserve"> u iznosu od 3</w:t>
      </w:r>
      <w:r>
        <w:rPr>
          <w:rFonts w:eastAsia="Calibri"/>
          <w:sz w:val="24"/>
          <w:szCs w:val="24"/>
        </w:rPr>
        <w:t>0</w:t>
      </w:r>
      <w:r w:rsidRPr="00EC7BAA">
        <w:rPr>
          <w:rFonts w:eastAsia="Calibri"/>
          <w:sz w:val="24"/>
          <w:szCs w:val="24"/>
        </w:rPr>
        <w:t>,88 milijuna eura</w:t>
      </w:r>
      <w:r>
        <w:rPr>
          <w:rFonts w:eastAsia="Calibri"/>
          <w:sz w:val="24"/>
          <w:szCs w:val="24"/>
        </w:rPr>
        <w:t xml:space="preserve"> bespovratnih sredstava</w:t>
      </w:r>
      <w:r w:rsidRPr="00EC7BAA">
        <w:rPr>
          <w:rFonts w:eastAsia="Calibri"/>
          <w:sz w:val="24"/>
          <w:szCs w:val="24"/>
        </w:rPr>
        <w:t xml:space="preserve">. </w:t>
      </w:r>
      <w:r w:rsidRPr="005F14E9">
        <w:rPr>
          <w:rFonts w:eastAsia="Calibri"/>
          <w:sz w:val="24"/>
          <w:szCs w:val="24"/>
        </w:rPr>
        <w:t xml:space="preserve">Svrha poziva je jačanje kapaciteta za protupožarnu zaštitu na </w:t>
      </w:r>
      <w:r>
        <w:rPr>
          <w:rFonts w:eastAsia="Calibri"/>
          <w:sz w:val="24"/>
          <w:szCs w:val="24"/>
        </w:rPr>
        <w:t>navedenim</w:t>
      </w:r>
      <w:r w:rsidRPr="005F14E9">
        <w:rPr>
          <w:rFonts w:eastAsia="Calibri"/>
          <w:sz w:val="24"/>
          <w:szCs w:val="24"/>
        </w:rPr>
        <w:t xml:space="preserve"> područjima kroz ulaganja u vatrogasnu infrastrukturu s ciljem postizanja kvalitetnih uvjeta rada i smještaja javnih vatrogasnih postrojbi i </w:t>
      </w:r>
      <w:r w:rsidRPr="005F14E9">
        <w:rPr>
          <w:rFonts w:eastAsia="Calibri"/>
          <w:sz w:val="24"/>
          <w:szCs w:val="24"/>
        </w:rPr>
        <w:lastRenderedPageBreak/>
        <w:t>dobrovoljnih vatrogasnih društava.</w:t>
      </w:r>
      <w:r>
        <w:rPr>
          <w:rFonts w:eastAsia="Calibri"/>
          <w:sz w:val="24"/>
          <w:szCs w:val="24"/>
        </w:rPr>
        <w:t xml:space="preserve"> </w:t>
      </w:r>
      <w:r w:rsidRPr="00EC7BAA">
        <w:rPr>
          <w:rFonts w:eastAsia="Calibri"/>
          <w:sz w:val="24"/>
          <w:szCs w:val="24"/>
        </w:rPr>
        <w:t xml:space="preserve">Dodatno, </w:t>
      </w:r>
      <w:r>
        <w:rPr>
          <w:rFonts w:eastAsia="Calibri"/>
          <w:sz w:val="24"/>
          <w:szCs w:val="24"/>
        </w:rPr>
        <w:t xml:space="preserve"> pokrenuta je</w:t>
      </w:r>
      <w:r w:rsidRPr="00EC7BAA">
        <w:rPr>
          <w:rFonts w:eastAsia="Calibri"/>
          <w:sz w:val="24"/>
          <w:szCs w:val="24"/>
        </w:rPr>
        <w:t xml:space="preserve"> javna nabava 78 specijalnih vatrogasnih vozila za gašenje šumskih požara, ukupne vrijednosti 21,61 milijun eura</w:t>
      </w:r>
      <w:r w:rsidRPr="00664D83">
        <w:t xml:space="preserve"> </w:t>
      </w:r>
      <w:r w:rsidRPr="00664D83">
        <w:rPr>
          <w:rFonts w:eastAsia="Calibri"/>
          <w:sz w:val="24"/>
          <w:szCs w:val="24"/>
        </w:rPr>
        <w:t>sredst</w:t>
      </w:r>
      <w:r>
        <w:rPr>
          <w:rFonts w:eastAsia="Calibri"/>
          <w:sz w:val="24"/>
          <w:szCs w:val="24"/>
        </w:rPr>
        <w:t>ava</w:t>
      </w:r>
      <w:r w:rsidRPr="00664D83">
        <w:rPr>
          <w:rFonts w:eastAsia="Calibri"/>
          <w:sz w:val="24"/>
          <w:szCs w:val="24"/>
        </w:rPr>
        <w:t xml:space="preserve"> iz </w:t>
      </w:r>
      <w:r>
        <w:rPr>
          <w:rFonts w:eastAsia="Calibri"/>
          <w:sz w:val="24"/>
          <w:szCs w:val="24"/>
        </w:rPr>
        <w:t>d</w:t>
      </w:r>
      <w:r w:rsidRPr="00664D83">
        <w:rPr>
          <w:rFonts w:eastAsia="Calibri"/>
          <w:sz w:val="24"/>
          <w:szCs w:val="24"/>
        </w:rPr>
        <w:t>ržavnog proračuna</w:t>
      </w:r>
      <w:r>
        <w:rPr>
          <w:rFonts w:eastAsia="Calibri"/>
          <w:sz w:val="24"/>
          <w:szCs w:val="24"/>
        </w:rPr>
        <w:t xml:space="preserve"> Republike Hrvatske. Istovremeno, u</w:t>
      </w:r>
      <w:r w:rsidRPr="00EC7BAA">
        <w:rPr>
          <w:rFonts w:eastAsia="Calibri"/>
          <w:sz w:val="24"/>
          <w:szCs w:val="24"/>
        </w:rPr>
        <w:t xml:space="preserve"> suradnji s javnim poduzećem Hrvatske šume, p</w:t>
      </w:r>
      <w:r>
        <w:rPr>
          <w:rFonts w:eastAsia="Calibri"/>
          <w:sz w:val="24"/>
          <w:szCs w:val="24"/>
        </w:rPr>
        <w:t>rovodi se</w:t>
      </w:r>
      <w:r w:rsidRPr="00EC7BAA">
        <w:rPr>
          <w:rFonts w:eastAsia="Calibri"/>
          <w:sz w:val="24"/>
          <w:szCs w:val="24"/>
        </w:rPr>
        <w:t xml:space="preserve"> proširenje sustava </w:t>
      </w:r>
      <w:proofErr w:type="spellStart"/>
      <w:r w:rsidRPr="00EC7BAA">
        <w:rPr>
          <w:rFonts w:eastAsia="Calibri"/>
          <w:sz w:val="24"/>
          <w:szCs w:val="24"/>
        </w:rPr>
        <w:t>videonadzora</w:t>
      </w:r>
      <w:proofErr w:type="spellEnd"/>
      <w:r w:rsidRPr="00EC7BAA">
        <w:rPr>
          <w:rFonts w:eastAsia="Calibri"/>
          <w:sz w:val="24"/>
          <w:szCs w:val="24"/>
        </w:rPr>
        <w:t xml:space="preserve"> i ranog otkrivanja šumskih požara</w:t>
      </w:r>
      <w:r>
        <w:rPr>
          <w:rFonts w:eastAsia="Calibri"/>
          <w:sz w:val="24"/>
          <w:szCs w:val="24"/>
        </w:rPr>
        <w:t xml:space="preserve"> kao i </w:t>
      </w:r>
      <w:r w:rsidRPr="00EC7BAA">
        <w:rPr>
          <w:rFonts w:eastAsia="Calibri"/>
          <w:sz w:val="24"/>
          <w:szCs w:val="24"/>
        </w:rPr>
        <w:t>dodatna ulaganja od najmanje 20 milijuna eura</w:t>
      </w:r>
      <w:r>
        <w:rPr>
          <w:rFonts w:eastAsia="Calibri"/>
          <w:sz w:val="24"/>
          <w:szCs w:val="24"/>
        </w:rPr>
        <w:t xml:space="preserve"> bespovratnih sredstava iz</w:t>
      </w:r>
      <w:r w:rsidRPr="00EC7BAA">
        <w:rPr>
          <w:rFonts w:eastAsia="Calibri"/>
          <w:sz w:val="24"/>
          <w:szCs w:val="24"/>
        </w:rPr>
        <w:t xml:space="preserve"> </w:t>
      </w:r>
      <w:r>
        <w:rPr>
          <w:rFonts w:eastAsia="Calibri"/>
          <w:sz w:val="24"/>
          <w:szCs w:val="24"/>
        </w:rPr>
        <w:t xml:space="preserve">Integriranog teritorijalnog programa 2021.-2027. (u daljnjem tekstu: </w:t>
      </w:r>
      <w:r w:rsidRPr="00EC7BAA">
        <w:rPr>
          <w:rFonts w:eastAsia="Calibri"/>
          <w:sz w:val="24"/>
          <w:szCs w:val="24"/>
        </w:rPr>
        <w:t>I</w:t>
      </w:r>
      <w:r>
        <w:rPr>
          <w:rFonts w:eastAsia="Calibri"/>
          <w:sz w:val="24"/>
          <w:szCs w:val="24"/>
        </w:rPr>
        <w:t xml:space="preserve">TP </w:t>
      </w:r>
      <w:r w:rsidRPr="00EC7BAA">
        <w:rPr>
          <w:rFonts w:eastAsia="Calibri"/>
          <w:sz w:val="24"/>
          <w:szCs w:val="24"/>
        </w:rPr>
        <w:t>2021.</w:t>
      </w:r>
      <w:r>
        <w:rPr>
          <w:rFonts w:eastAsia="Calibri"/>
          <w:sz w:val="24"/>
          <w:szCs w:val="24"/>
        </w:rPr>
        <w:t>-</w:t>
      </w:r>
      <w:r w:rsidRPr="00EC7BAA">
        <w:rPr>
          <w:rFonts w:eastAsia="Calibri"/>
          <w:sz w:val="24"/>
          <w:szCs w:val="24"/>
        </w:rPr>
        <w:t>2027.</w:t>
      </w:r>
      <w:r>
        <w:rPr>
          <w:rFonts w:eastAsia="Calibri"/>
          <w:sz w:val="24"/>
          <w:szCs w:val="24"/>
        </w:rPr>
        <w:t>)</w:t>
      </w:r>
      <w:r w:rsidRPr="00EC7BAA">
        <w:rPr>
          <w:rFonts w:eastAsia="Calibri"/>
          <w:sz w:val="24"/>
          <w:szCs w:val="24"/>
        </w:rPr>
        <w:t>, usmjerena na jačanje protupožarne zaštite i kapaciteta vatrogastva na hrvatskim otocima.</w:t>
      </w:r>
      <w:r>
        <w:rPr>
          <w:b/>
          <w:color w:val="000000" w:themeColor="text1"/>
          <w:sz w:val="24"/>
          <w:szCs w:val="24"/>
        </w:rPr>
        <w:br w:type="page"/>
      </w:r>
    </w:p>
    <w:p w14:paraId="1F269122" w14:textId="77777777" w:rsidR="00FB178A" w:rsidRPr="00F94C6E" w:rsidRDefault="00FB178A" w:rsidP="00FB178A">
      <w:pPr>
        <w:pStyle w:val="Heading2"/>
        <w:rPr>
          <w:sz w:val="24"/>
          <w:szCs w:val="24"/>
        </w:rPr>
      </w:pPr>
      <w:bookmarkStart w:id="90" w:name="_Toc133420962"/>
      <w:bookmarkStart w:id="91" w:name="_Toc223002944"/>
      <w:r w:rsidRPr="00F94C6E">
        <w:rPr>
          <w:color w:val="000000" w:themeColor="text1"/>
          <w:sz w:val="24"/>
          <w:szCs w:val="24"/>
        </w:rPr>
        <w:lastRenderedPageBreak/>
        <w:t xml:space="preserve">8. </w:t>
      </w:r>
      <w:r w:rsidRPr="00F94C6E">
        <w:rPr>
          <w:sz w:val="24"/>
          <w:szCs w:val="24"/>
        </w:rPr>
        <w:t>Ekološka i energetska tranzicija za klimatsku neutralnost</w:t>
      </w:r>
      <w:bookmarkEnd w:id="90"/>
      <w:bookmarkEnd w:id="91"/>
    </w:p>
    <w:p w14:paraId="259A7C20" w14:textId="77777777" w:rsidR="00FB178A" w:rsidRPr="00E53A6B" w:rsidRDefault="00FB178A" w:rsidP="00FB178A"/>
    <w:p w14:paraId="3298A900" w14:textId="77777777" w:rsidR="00FB178A" w:rsidRPr="00E53A6B" w:rsidRDefault="00FB178A" w:rsidP="00FB178A">
      <w:pPr>
        <w:pStyle w:val="Heading3"/>
      </w:pPr>
      <w:bookmarkStart w:id="92" w:name="_Toc130784378"/>
      <w:bookmarkStart w:id="93" w:name="_Toc133420963"/>
      <w:bookmarkStart w:id="94" w:name="_Toc223002945"/>
      <w:r w:rsidRPr="00E53A6B">
        <w:t>8.1. Ostvarene vrijednosti pokazatelja uspješnosti</w:t>
      </w:r>
      <w:bookmarkEnd w:id="92"/>
      <w:bookmarkEnd w:id="93"/>
      <w:r w:rsidRPr="00E53A6B">
        <w:t xml:space="preserve"> strateškog cilja Ekološka i energetska tranzicija za klimatsku neutralnost</w:t>
      </w:r>
      <w:bookmarkEnd w:id="94"/>
    </w:p>
    <w:tbl>
      <w:tblPr>
        <w:tblStyle w:val="TableGrid"/>
        <w:tblW w:w="9214" w:type="dxa"/>
        <w:jc w:val="center"/>
        <w:tblInd w:w="0" w:type="dxa"/>
        <w:tblBorders>
          <w:top w:val="dotted" w:sz="2" w:space="0" w:color="auto"/>
          <w:left w:val="dotted" w:sz="2" w:space="0" w:color="auto"/>
          <w:bottom w:val="dotted" w:sz="2" w:space="0" w:color="auto"/>
          <w:right w:val="dotted" w:sz="2" w:space="0" w:color="auto"/>
          <w:insideH w:val="dotted" w:sz="2" w:space="0" w:color="auto"/>
        </w:tblBorders>
        <w:shd w:val="clear" w:color="auto" w:fill="FFFFFF" w:themeFill="background1"/>
        <w:tblLayout w:type="fixed"/>
        <w:tblLook w:val="04A0" w:firstRow="1" w:lastRow="0" w:firstColumn="1" w:lastColumn="0" w:noHBand="0" w:noVBand="1"/>
      </w:tblPr>
      <w:tblGrid>
        <w:gridCol w:w="2836"/>
        <w:gridCol w:w="2127"/>
        <w:gridCol w:w="1842"/>
        <w:gridCol w:w="2409"/>
      </w:tblGrid>
      <w:tr w:rsidR="00FB178A" w:rsidRPr="00145379" w14:paraId="4B413D24" w14:textId="77777777" w:rsidTr="009E18ED">
        <w:trPr>
          <w:trHeight w:val="789"/>
          <w:jc w:val="center"/>
        </w:trPr>
        <w:tc>
          <w:tcPr>
            <w:tcW w:w="2836" w:type="dxa"/>
            <w:tcBorders>
              <w:top w:val="dotted" w:sz="4" w:space="0" w:color="auto"/>
              <w:left w:val="dotted" w:sz="4" w:space="0" w:color="auto"/>
              <w:bottom w:val="dotted" w:sz="4" w:space="0" w:color="auto"/>
              <w:right w:val="dotted" w:sz="4" w:space="0" w:color="auto"/>
            </w:tcBorders>
            <w:shd w:val="clear" w:color="auto" w:fill="B6DDE8" w:themeFill="accent5" w:themeFillTint="66"/>
            <w:vAlign w:val="center"/>
          </w:tcPr>
          <w:p w14:paraId="25982285" w14:textId="77777777" w:rsidR="00FB178A" w:rsidRPr="00145379" w:rsidRDefault="00FB178A" w:rsidP="009E18ED">
            <w:pPr>
              <w:pStyle w:val="BodyText"/>
              <w:tabs>
                <w:tab w:val="right" w:pos="2473"/>
              </w:tabs>
              <w:spacing w:line="276" w:lineRule="auto"/>
              <w:jc w:val="center"/>
              <w:rPr>
                <w:b/>
                <w:bCs/>
                <w:color w:val="000000" w:themeColor="text1"/>
              </w:rPr>
            </w:pPr>
            <w:r w:rsidRPr="00145379">
              <w:rPr>
                <w:b/>
                <w:bCs/>
                <w:color w:val="000000" w:themeColor="text1"/>
              </w:rPr>
              <w:t>Pokazatelj uspješnosti</w:t>
            </w:r>
          </w:p>
        </w:tc>
        <w:tc>
          <w:tcPr>
            <w:tcW w:w="2127" w:type="dxa"/>
            <w:tcBorders>
              <w:top w:val="dotted" w:sz="4" w:space="0" w:color="auto"/>
              <w:left w:val="dotted" w:sz="4" w:space="0" w:color="auto"/>
              <w:bottom w:val="dotted" w:sz="4" w:space="0" w:color="auto"/>
              <w:right w:val="dotted" w:sz="4" w:space="0" w:color="auto"/>
            </w:tcBorders>
            <w:shd w:val="clear" w:color="auto" w:fill="B6DDE8" w:themeFill="accent5" w:themeFillTint="66"/>
            <w:vAlign w:val="center"/>
          </w:tcPr>
          <w:p w14:paraId="587100A9" w14:textId="77777777" w:rsidR="00FB178A" w:rsidRPr="00145379" w:rsidRDefault="00FB178A" w:rsidP="009E18ED">
            <w:pPr>
              <w:pStyle w:val="BodyText"/>
              <w:spacing w:line="276" w:lineRule="auto"/>
              <w:jc w:val="center"/>
              <w:rPr>
                <w:b/>
                <w:bCs/>
                <w:color w:val="000000" w:themeColor="text1"/>
              </w:rPr>
            </w:pPr>
            <w:r w:rsidRPr="00145379">
              <w:rPr>
                <w:b/>
                <w:bCs/>
                <w:color w:val="000000" w:themeColor="text1"/>
              </w:rPr>
              <w:t xml:space="preserve">Početna </w:t>
            </w:r>
          </w:p>
          <w:p w14:paraId="02334404" w14:textId="77777777" w:rsidR="00FB178A" w:rsidRPr="00145379" w:rsidRDefault="00FB178A" w:rsidP="009E18ED">
            <w:pPr>
              <w:pStyle w:val="BodyText"/>
              <w:spacing w:line="276" w:lineRule="auto"/>
              <w:jc w:val="center"/>
              <w:rPr>
                <w:b/>
                <w:bCs/>
                <w:color w:val="000000" w:themeColor="text1"/>
              </w:rPr>
            </w:pPr>
            <w:r w:rsidRPr="00145379">
              <w:rPr>
                <w:b/>
                <w:bCs/>
                <w:color w:val="000000" w:themeColor="text1"/>
              </w:rPr>
              <w:t>vrijednost</w:t>
            </w:r>
          </w:p>
        </w:tc>
        <w:tc>
          <w:tcPr>
            <w:tcW w:w="1842" w:type="dxa"/>
            <w:tcBorders>
              <w:top w:val="dotted" w:sz="4" w:space="0" w:color="auto"/>
              <w:left w:val="dotted" w:sz="4" w:space="0" w:color="auto"/>
              <w:bottom w:val="dotted" w:sz="4" w:space="0" w:color="auto"/>
              <w:right w:val="dotted" w:sz="4" w:space="0" w:color="auto"/>
            </w:tcBorders>
            <w:shd w:val="clear" w:color="auto" w:fill="B6DDE8" w:themeFill="accent5" w:themeFillTint="66"/>
            <w:vAlign w:val="center"/>
          </w:tcPr>
          <w:p w14:paraId="03C50128" w14:textId="77777777" w:rsidR="00FB178A" w:rsidRPr="00145379" w:rsidRDefault="00FB178A" w:rsidP="009E18ED">
            <w:pPr>
              <w:pStyle w:val="BodyText"/>
              <w:spacing w:line="276" w:lineRule="auto"/>
              <w:jc w:val="center"/>
              <w:rPr>
                <w:b/>
                <w:bCs/>
                <w:color w:val="000000" w:themeColor="text1"/>
              </w:rPr>
            </w:pPr>
            <w:r w:rsidRPr="00145379">
              <w:rPr>
                <w:b/>
                <w:bCs/>
                <w:color w:val="000000" w:themeColor="text1"/>
              </w:rPr>
              <w:t>Ciljna vrijednost</w:t>
            </w:r>
          </w:p>
        </w:tc>
        <w:tc>
          <w:tcPr>
            <w:tcW w:w="2409" w:type="dxa"/>
            <w:tcBorders>
              <w:top w:val="dotted" w:sz="4" w:space="0" w:color="auto"/>
              <w:left w:val="dotted" w:sz="4" w:space="0" w:color="auto"/>
              <w:bottom w:val="nil"/>
              <w:right w:val="dotted" w:sz="4" w:space="0" w:color="auto"/>
            </w:tcBorders>
            <w:shd w:val="clear" w:color="auto" w:fill="B6DDE8" w:themeFill="accent5" w:themeFillTint="66"/>
            <w:vAlign w:val="center"/>
          </w:tcPr>
          <w:p w14:paraId="37CA1BBF" w14:textId="77777777" w:rsidR="00FB178A" w:rsidRPr="00145379" w:rsidRDefault="00FB178A" w:rsidP="009E18ED">
            <w:pPr>
              <w:pStyle w:val="BodyText"/>
              <w:spacing w:line="276" w:lineRule="auto"/>
              <w:jc w:val="center"/>
              <w:rPr>
                <w:b/>
                <w:bCs/>
                <w:color w:val="000000" w:themeColor="text1"/>
              </w:rPr>
            </w:pPr>
            <w:r w:rsidRPr="00145379">
              <w:rPr>
                <w:b/>
                <w:bCs/>
                <w:color w:val="000000" w:themeColor="text1"/>
              </w:rPr>
              <w:t xml:space="preserve">Ostvarena </w:t>
            </w:r>
          </w:p>
          <w:p w14:paraId="5F975268" w14:textId="77777777" w:rsidR="00FB178A" w:rsidRPr="00145379" w:rsidRDefault="00FB178A" w:rsidP="009E18ED">
            <w:pPr>
              <w:pStyle w:val="BodyText"/>
              <w:spacing w:line="276" w:lineRule="auto"/>
              <w:jc w:val="center"/>
              <w:rPr>
                <w:b/>
                <w:bCs/>
                <w:color w:val="000000" w:themeColor="text1"/>
              </w:rPr>
            </w:pPr>
            <w:r w:rsidRPr="00145379">
              <w:rPr>
                <w:b/>
                <w:bCs/>
                <w:color w:val="000000" w:themeColor="text1"/>
              </w:rPr>
              <w:t>vrijednost</w:t>
            </w:r>
          </w:p>
        </w:tc>
      </w:tr>
      <w:tr w:rsidR="00FB178A" w:rsidRPr="00145379" w14:paraId="38C4C7C8" w14:textId="77777777" w:rsidTr="009E18ED">
        <w:trPr>
          <w:trHeight w:val="995"/>
          <w:jc w:val="center"/>
        </w:trPr>
        <w:tc>
          <w:tcPr>
            <w:tcW w:w="2836" w:type="dxa"/>
            <w:tcBorders>
              <w:top w:val="dotted" w:sz="4" w:space="0" w:color="auto"/>
              <w:left w:val="dotted" w:sz="4" w:space="0" w:color="auto"/>
            </w:tcBorders>
            <w:shd w:val="clear" w:color="auto" w:fill="FFFFFF" w:themeFill="background1"/>
            <w:vAlign w:val="center"/>
          </w:tcPr>
          <w:p w14:paraId="20D3745C" w14:textId="77777777" w:rsidR="00FB178A" w:rsidRPr="00145379" w:rsidRDefault="00FB178A" w:rsidP="009E18ED">
            <w:pPr>
              <w:pStyle w:val="BodyText"/>
              <w:spacing w:line="276" w:lineRule="auto"/>
              <w:rPr>
                <w:color w:val="000000" w:themeColor="text1"/>
              </w:rPr>
            </w:pPr>
            <w:r w:rsidRPr="00145379">
              <w:rPr>
                <w:color w:val="000000" w:themeColor="text1"/>
              </w:rPr>
              <w:t>Emisije stakleničkih plinova (bazna godina - 1990.)</w:t>
            </w:r>
          </w:p>
        </w:tc>
        <w:tc>
          <w:tcPr>
            <w:tcW w:w="2127" w:type="dxa"/>
            <w:tcBorders>
              <w:top w:val="dotted" w:sz="4" w:space="0" w:color="auto"/>
            </w:tcBorders>
            <w:shd w:val="clear" w:color="auto" w:fill="DAEEF3" w:themeFill="accent5" w:themeFillTint="33"/>
            <w:vAlign w:val="center"/>
          </w:tcPr>
          <w:p w14:paraId="6B239E93" w14:textId="77777777" w:rsidR="00FB178A" w:rsidRPr="00145379" w:rsidRDefault="00FB178A" w:rsidP="009E18ED">
            <w:pPr>
              <w:pStyle w:val="BodyText"/>
              <w:spacing w:line="276" w:lineRule="auto"/>
              <w:jc w:val="center"/>
              <w:rPr>
                <w:color w:val="000000" w:themeColor="text1"/>
              </w:rPr>
            </w:pPr>
            <w:r w:rsidRPr="00145379">
              <w:rPr>
                <w:color w:val="000000" w:themeColor="text1"/>
              </w:rPr>
              <w:t>75,23%</w:t>
            </w:r>
          </w:p>
          <w:p w14:paraId="50874D3C" w14:textId="77777777" w:rsidR="00FB178A" w:rsidRPr="00145379" w:rsidRDefault="00FB178A" w:rsidP="009E18ED">
            <w:pPr>
              <w:pStyle w:val="BodyText"/>
              <w:spacing w:line="276" w:lineRule="auto"/>
              <w:jc w:val="center"/>
              <w:rPr>
                <w:color w:val="000000" w:themeColor="text1"/>
              </w:rPr>
            </w:pPr>
            <w:r w:rsidRPr="00145379">
              <w:rPr>
                <w:color w:val="000000" w:themeColor="text1"/>
              </w:rPr>
              <w:t>(2018.)</w:t>
            </w:r>
          </w:p>
        </w:tc>
        <w:tc>
          <w:tcPr>
            <w:tcW w:w="1842" w:type="dxa"/>
            <w:tcBorders>
              <w:top w:val="dotted" w:sz="4" w:space="0" w:color="auto"/>
              <w:right w:val="nil"/>
            </w:tcBorders>
            <w:shd w:val="clear" w:color="auto" w:fill="FFFFFF" w:themeFill="background1"/>
            <w:vAlign w:val="center"/>
          </w:tcPr>
          <w:p w14:paraId="71AADCEC" w14:textId="77777777" w:rsidR="00FB178A" w:rsidRPr="00145379" w:rsidRDefault="00FB178A" w:rsidP="009E18ED">
            <w:pPr>
              <w:pStyle w:val="BodyText"/>
              <w:spacing w:line="276" w:lineRule="auto"/>
              <w:jc w:val="center"/>
              <w:rPr>
                <w:color w:val="000000" w:themeColor="text1"/>
              </w:rPr>
            </w:pPr>
            <w:r w:rsidRPr="00145379">
              <w:rPr>
                <w:color w:val="000000" w:themeColor="text1"/>
              </w:rPr>
              <w:t>65%</w:t>
            </w:r>
          </w:p>
        </w:tc>
        <w:tc>
          <w:tcPr>
            <w:tcW w:w="2409" w:type="dxa"/>
            <w:tcBorders>
              <w:top w:val="nil"/>
              <w:left w:val="nil"/>
              <w:bottom w:val="dotted" w:sz="4" w:space="0" w:color="auto"/>
              <w:right w:val="dotted" w:sz="4" w:space="0" w:color="auto"/>
            </w:tcBorders>
            <w:shd w:val="clear" w:color="auto" w:fill="DAEEF3" w:themeFill="accent5" w:themeFillTint="33"/>
            <w:vAlign w:val="center"/>
          </w:tcPr>
          <w:p w14:paraId="42EA39AD" w14:textId="77777777" w:rsidR="00FB178A" w:rsidRPr="00F64037" w:rsidRDefault="00FB178A" w:rsidP="009E18ED">
            <w:pPr>
              <w:pStyle w:val="BodyText"/>
              <w:spacing w:line="276" w:lineRule="auto"/>
              <w:jc w:val="center"/>
              <w:rPr>
                <w:color w:val="000000" w:themeColor="text1"/>
              </w:rPr>
            </w:pPr>
            <w:r w:rsidRPr="008564C7">
              <w:rPr>
                <w:color w:val="000000" w:themeColor="text1"/>
              </w:rPr>
              <w:t>80,37</w:t>
            </w:r>
            <w:r w:rsidRPr="00F64037">
              <w:rPr>
                <w:color w:val="000000" w:themeColor="text1"/>
              </w:rPr>
              <w:t xml:space="preserve">% </w:t>
            </w:r>
          </w:p>
          <w:p w14:paraId="2EB38A13" w14:textId="77777777" w:rsidR="00FB178A" w:rsidRPr="00145379" w:rsidRDefault="00FB178A" w:rsidP="009E18ED">
            <w:pPr>
              <w:pStyle w:val="BodyText"/>
              <w:spacing w:line="276" w:lineRule="auto"/>
              <w:jc w:val="center"/>
              <w:rPr>
                <w:color w:val="000000" w:themeColor="text1"/>
              </w:rPr>
            </w:pPr>
            <w:r w:rsidRPr="00F64037">
              <w:rPr>
                <w:color w:val="000000" w:themeColor="text1"/>
              </w:rPr>
              <w:t>(2024.)</w:t>
            </w:r>
          </w:p>
        </w:tc>
      </w:tr>
      <w:tr w:rsidR="00FB178A" w:rsidRPr="00145379" w14:paraId="5327472A" w14:textId="77777777" w:rsidTr="009E18ED">
        <w:trPr>
          <w:trHeight w:val="761"/>
          <w:jc w:val="center"/>
        </w:trPr>
        <w:tc>
          <w:tcPr>
            <w:tcW w:w="2836" w:type="dxa"/>
            <w:tcBorders>
              <w:left w:val="dotted" w:sz="4" w:space="0" w:color="auto"/>
            </w:tcBorders>
            <w:shd w:val="clear" w:color="auto" w:fill="FFFFFF" w:themeFill="background1"/>
            <w:vAlign w:val="center"/>
          </w:tcPr>
          <w:p w14:paraId="70310511" w14:textId="77777777" w:rsidR="00FB178A" w:rsidRPr="00145379" w:rsidRDefault="00FB178A" w:rsidP="009E18ED">
            <w:pPr>
              <w:pStyle w:val="BodyText"/>
              <w:spacing w:line="276" w:lineRule="auto"/>
              <w:rPr>
                <w:color w:val="000000" w:themeColor="text1"/>
              </w:rPr>
            </w:pPr>
            <w:r w:rsidRPr="00145379">
              <w:rPr>
                <w:color w:val="000000" w:themeColor="text1"/>
              </w:rPr>
              <w:t>Stopa recikliranja komunalnog otpada</w:t>
            </w:r>
          </w:p>
        </w:tc>
        <w:tc>
          <w:tcPr>
            <w:tcW w:w="2127" w:type="dxa"/>
            <w:shd w:val="clear" w:color="auto" w:fill="DAEEF3" w:themeFill="accent5" w:themeFillTint="33"/>
            <w:vAlign w:val="center"/>
          </w:tcPr>
          <w:p w14:paraId="239C4CF9" w14:textId="77777777" w:rsidR="00FB178A" w:rsidRPr="00145379" w:rsidRDefault="00FB178A" w:rsidP="009E18ED">
            <w:pPr>
              <w:pStyle w:val="BodyText"/>
              <w:spacing w:line="276" w:lineRule="auto"/>
              <w:jc w:val="center"/>
              <w:rPr>
                <w:color w:val="000000" w:themeColor="text1"/>
              </w:rPr>
            </w:pPr>
            <w:r w:rsidRPr="00145379">
              <w:rPr>
                <w:color w:val="000000" w:themeColor="text1"/>
              </w:rPr>
              <w:t>25,30%</w:t>
            </w:r>
          </w:p>
          <w:p w14:paraId="3E41A03C" w14:textId="77777777" w:rsidR="00FB178A" w:rsidRPr="00145379" w:rsidRDefault="00FB178A" w:rsidP="009E18ED">
            <w:pPr>
              <w:pStyle w:val="BodyText"/>
              <w:spacing w:line="276" w:lineRule="auto"/>
              <w:jc w:val="center"/>
              <w:rPr>
                <w:color w:val="000000" w:themeColor="text1"/>
              </w:rPr>
            </w:pPr>
            <w:r w:rsidRPr="00145379">
              <w:rPr>
                <w:color w:val="000000" w:themeColor="text1"/>
              </w:rPr>
              <w:t>(2018.)</w:t>
            </w:r>
          </w:p>
        </w:tc>
        <w:tc>
          <w:tcPr>
            <w:tcW w:w="1842" w:type="dxa"/>
            <w:tcBorders>
              <w:right w:val="nil"/>
            </w:tcBorders>
            <w:shd w:val="clear" w:color="auto" w:fill="FFFFFF" w:themeFill="background1"/>
            <w:vAlign w:val="center"/>
          </w:tcPr>
          <w:p w14:paraId="76ACE4FA" w14:textId="77777777" w:rsidR="00FB178A" w:rsidRPr="00145379" w:rsidRDefault="00FB178A" w:rsidP="009E18ED">
            <w:pPr>
              <w:pStyle w:val="BodyText"/>
              <w:spacing w:line="276" w:lineRule="auto"/>
              <w:jc w:val="center"/>
              <w:rPr>
                <w:color w:val="000000" w:themeColor="text1"/>
              </w:rPr>
            </w:pPr>
            <w:r w:rsidRPr="00145379">
              <w:rPr>
                <w:color w:val="000000" w:themeColor="text1"/>
              </w:rPr>
              <w:t>55%</w:t>
            </w:r>
          </w:p>
        </w:tc>
        <w:tc>
          <w:tcPr>
            <w:tcW w:w="2409" w:type="dxa"/>
            <w:tcBorders>
              <w:top w:val="dotted" w:sz="4" w:space="0" w:color="auto"/>
              <w:left w:val="nil"/>
              <w:bottom w:val="dotted" w:sz="4" w:space="0" w:color="auto"/>
              <w:right w:val="dotted" w:sz="4" w:space="0" w:color="auto"/>
            </w:tcBorders>
            <w:shd w:val="clear" w:color="auto" w:fill="DAEEF3" w:themeFill="accent5" w:themeFillTint="33"/>
            <w:vAlign w:val="center"/>
          </w:tcPr>
          <w:p w14:paraId="61D93A16" w14:textId="77777777" w:rsidR="00FB178A" w:rsidRDefault="00FB178A" w:rsidP="009E18ED">
            <w:pPr>
              <w:pStyle w:val="BodyText"/>
              <w:spacing w:line="276" w:lineRule="auto"/>
              <w:jc w:val="center"/>
              <w:rPr>
                <w:color w:val="000000" w:themeColor="text1"/>
              </w:rPr>
            </w:pPr>
            <w:r>
              <w:rPr>
                <w:color w:val="000000" w:themeColor="text1"/>
              </w:rPr>
              <w:t>37%</w:t>
            </w:r>
          </w:p>
          <w:p w14:paraId="65965427" w14:textId="77777777" w:rsidR="00FB178A" w:rsidRPr="00145379" w:rsidRDefault="00FB178A" w:rsidP="009E18ED">
            <w:pPr>
              <w:pStyle w:val="BodyText"/>
              <w:spacing w:line="276" w:lineRule="auto"/>
              <w:jc w:val="center"/>
              <w:rPr>
                <w:color w:val="000000" w:themeColor="text1"/>
              </w:rPr>
            </w:pPr>
            <w:r>
              <w:rPr>
                <w:color w:val="000000" w:themeColor="text1"/>
              </w:rPr>
              <w:t>(2024.)</w:t>
            </w:r>
          </w:p>
        </w:tc>
      </w:tr>
      <w:tr w:rsidR="00FB178A" w:rsidRPr="00145379" w14:paraId="3DD7E8F6" w14:textId="77777777" w:rsidTr="009E18ED">
        <w:trPr>
          <w:trHeight w:val="1148"/>
          <w:jc w:val="center"/>
        </w:trPr>
        <w:tc>
          <w:tcPr>
            <w:tcW w:w="2836" w:type="dxa"/>
            <w:tcBorders>
              <w:left w:val="dotted" w:sz="4" w:space="0" w:color="auto"/>
              <w:bottom w:val="dotted" w:sz="4" w:space="0" w:color="auto"/>
            </w:tcBorders>
            <w:shd w:val="clear" w:color="auto" w:fill="FFFFFF" w:themeFill="background1"/>
            <w:vAlign w:val="center"/>
          </w:tcPr>
          <w:p w14:paraId="24E1FEC9" w14:textId="77777777" w:rsidR="00FB178A" w:rsidRPr="00145379" w:rsidRDefault="00FB178A" w:rsidP="009E18ED">
            <w:pPr>
              <w:pStyle w:val="BodyText"/>
              <w:spacing w:line="276" w:lineRule="auto"/>
              <w:rPr>
                <w:color w:val="000000" w:themeColor="text1"/>
              </w:rPr>
            </w:pPr>
            <w:r w:rsidRPr="00145379">
              <w:rPr>
                <w:color w:val="000000" w:themeColor="text1"/>
              </w:rPr>
              <w:t>Udio obnovljivih izvora energije u bruto ukupnoj potrošnji energije</w:t>
            </w:r>
          </w:p>
        </w:tc>
        <w:tc>
          <w:tcPr>
            <w:tcW w:w="2127" w:type="dxa"/>
            <w:tcBorders>
              <w:bottom w:val="dotted" w:sz="4" w:space="0" w:color="auto"/>
            </w:tcBorders>
            <w:shd w:val="clear" w:color="auto" w:fill="DAEEF3" w:themeFill="accent5" w:themeFillTint="33"/>
            <w:vAlign w:val="center"/>
          </w:tcPr>
          <w:p w14:paraId="0CF82769" w14:textId="77777777" w:rsidR="00FB178A" w:rsidRPr="00145379" w:rsidRDefault="00FB178A" w:rsidP="009E18ED">
            <w:pPr>
              <w:pStyle w:val="BodyText"/>
              <w:spacing w:line="276" w:lineRule="auto"/>
              <w:jc w:val="center"/>
              <w:rPr>
                <w:color w:val="000000" w:themeColor="text1"/>
              </w:rPr>
            </w:pPr>
            <w:r w:rsidRPr="00145379">
              <w:rPr>
                <w:color w:val="000000" w:themeColor="text1"/>
              </w:rPr>
              <w:t>28,02%</w:t>
            </w:r>
          </w:p>
          <w:p w14:paraId="270C9813" w14:textId="77777777" w:rsidR="00FB178A" w:rsidRPr="00145379" w:rsidRDefault="00FB178A" w:rsidP="009E18ED">
            <w:pPr>
              <w:pStyle w:val="BodyText"/>
              <w:spacing w:line="276" w:lineRule="auto"/>
              <w:jc w:val="center"/>
              <w:rPr>
                <w:color w:val="000000" w:themeColor="text1"/>
              </w:rPr>
            </w:pPr>
            <w:r w:rsidRPr="00145379">
              <w:rPr>
                <w:color w:val="000000" w:themeColor="text1"/>
              </w:rPr>
              <w:t>(2018.)</w:t>
            </w:r>
          </w:p>
        </w:tc>
        <w:tc>
          <w:tcPr>
            <w:tcW w:w="1842" w:type="dxa"/>
            <w:tcBorders>
              <w:bottom w:val="dotted" w:sz="4" w:space="0" w:color="auto"/>
              <w:right w:val="nil"/>
            </w:tcBorders>
            <w:shd w:val="clear" w:color="auto" w:fill="FFFFFF" w:themeFill="background1"/>
            <w:vAlign w:val="center"/>
          </w:tcPr>
          <w:p w14:paraId="2932DBD5" w14:textId="77777777" w:rsidR="00FB178A" w:rsidRPr="00145379" w:rsidRDefault="00FB178A" w:rsidP="009E18ED">
            <w:pPr>
              <w:pStyle w:val="BodyText"/>
              <w:spacing w:line="276" w:lineRule="auto"/>
              <w:jc w:val="center"/>
              <w:rPr>
                <w:color w:val="000000" w:themeColor="text1"/>
              </w:rPr>
            </w:pPr>
            <w:r w:rsidRPr="00145379">
              <w:rPr>
                <w:color w:val="000000" w:themeColor="text1"/>
              </w:rPr>
              <w:t>36,4%</w:t>
            </w:r>
          </w:p>
        </w:tc>
        <w:tc>
          <w:tcPr>
            <w:tcW w:w="2409" w:type="dxa"/>
            <w:tcBorders>
              <w:top w:val="dotted" w:sz="4" w:space="0" w:color="auto"/>
              <w:left w:val="nil"/>
              <w:bottom w:val="dotted" w:sz="4" w:space="0" w:color="auto"/>
              <w:right w:val="dotted" w:sz="4" w:space="0" w:color="auto"/>
            </w:tcBorders>
            <w:shd w:val="clear" w:color="auto" w:fill="DAEEF3" w:themeFill="accent5" w:themeFillTint="33"/>
            <w:vAlign w:val="center"/>
          </w:tcPr>
          <w:p w14:paraId="1F28466F" w14:textId="77777777" w:rsidR="00FB178A" w:rsidRDefault="00FB178A" w:rsidP="009E18ED">
            <w:pPr>
              <w:pStyle w:val="BodyText"/>
              <w:spacing w:line="276" w:lineRule="auto"/>
              <w:jc w:val="center"/>
              <w:rPr>
                <w:color w:val="000000" w:themeColor="text1"/>
              </w:rPr>
            </w:pPr>
            <w:r>
              <w:rPr>
                <w:color w:val="000000" w:themeColor="text1"/>
              </w:rPr>
              <w:t>26,48%</w:t>
            </w:r>
          </w:p>
          <w:p w14:paraId="6722D1CF" w14:textId="77777777" w:rsidR="00FB178A" w:rsidRPr="00145379" w:rsidRDefault="00FB178A" w:rsidP="009E18ED">
            <w:pPr>
              <w:pStyle w:val="BodyText"/>
              <w:spacing w:line="276" w:lineRule="auto"/>
              <w:jc w:val="center"/>
              <w:rPr>
                <w:color w:val="000000" w:themeColor="text1"/>
              </w:rPr>
            </w:pPr>
            <w:r>
              <w:rPr>
                <w:color w:val="000000" w:themeColor="text1"/>
              </w:rPr>
              <w:t>(2024.)</w:t>
            </w:r>
          </w:p>
        </w:tc>
      </w:tr>
    </w:tbl>
    <w:p w14:paraId="1F10FB63" w14:textId="77777777" w:rsidR="00FB178A" w:rsidRPr="00145379" w:rsidRDefault="00FB178A" w:rsidP="00FB178A">
      <w:pPr>
        <w:spacing w:line="276" w:lineRule="auto"/>
        <w:rPr>
          <w:rFonts w:eastAsia="Calibri"/>
          <w:sz w:val="24"/>
          <w:szCs w:val="24"/>
        </w:rPr>
      </w:pPr>
    </w:p>
    <w:p w14:paraId="6988CC85" w14:textId="77777777" w:rsidR="00FB178A" w:rsidRPr="00E53A6B" w:rsidRDefault="00FB178A" w:rsidP="00FB178A">
      <w:pPr>
        <w:pStyle w:val="Heading3"/>
        <w:rPr>
          <w:rFonts w:eastAsia="Calibri"/>
        </w:rPr>
      </w:pPr>
      <w:bookmarkStart w:id="95" w:name="_Toc223002946"/>
      <w:r w:rsidRPr="00E53A6B">
        <w:rPr>
          <w:rFonts w:eastAsia="Calibri"/>
        </w:rPr>
        <w:t>8.2. Opis napretka u provedbi strateškog cilja Ekološka i energetska tranzicija za klimatsku neutralnost</w:t>
      </w:r>
      <w:bookmarkEnd w:id="95"/>
    </w:p>
    <w:p w14:paraId="401AF610" w14:textId="77777777" w:rsidR="00FB178A" w:rsidRPr="0004221B" w:rsidRDefault="00FB178A" w:rsidP="00FB178A">
      <w:pPr>
        <w:widowControl/>
        <w:autoSpaceDE/>
        <w:autoSpaceDN/>
        <w:spacing w:before="240" w:after="240" w:line="276" w:lineRule="auto"/>
        <w:ind w:left="207" w:firstLine="502"/>
        <w:jc w:val="both"/>
        <w:rPr>
          <w:rFonts w:eastAsia="Calibri"/>
          <w:b/>
          <w:color w:val="000000"/>
          <w:sz w:val="24"/>
          <w:szCs w:val="24"/>
          <w:lang w:eastAsia="hr-HR"/>
        </w:rPr>
      </w:pPr>
      <w:r w:rsidRPr="0004221B">
        <w:rPr>
          <w:rFonts w:eastAsia="Calibri"/>
          <w:b/>
          <w:color w:val="000000"/>
          <w:sz w:val="24"/>
          <w:szCs w:val="24"/>
          <w:lang w:eastAsia="hr-HR"/>
        </w:rPr>
        <w:t>Zaštita prirodnih resursa i borba protiv klimatskih promjena</w:t>
      </w:r>
    </w:p>
    <w:p w14:paraId="655EA54B" w14:textId="77777777" w:rsidR="00FB178A" w:rsidRDefault="00FB178A" w:rsidP="00FB178A">
      <w:pPr>
        <w:widowControl/>
        <w:autoSpaceDE/>
        <w:autoSpaceDN/>
        <w:spacing w:after="240" w:line="276" w:lineRule="auto"/>
        <w:ind w:firstLine="709"/>
        <w:jc w:val="both"/>
        <w:textAlignment w:val="baseline"/>
        <w:rPr>
          <w:color w:val="000000"/>
          <w:sz w:val="24"/>
          <w:szCs w:val="24"/>
          <w:lang w:eastAsia="hr-HR"/>
        </w:rPr>
      </w:pPr>
      <w:r w:rsidRPr="000C71B7">
        <w:rPr>
          <w:color w:val="000000"/>
          <w:sz w:val="24"/>
          <w:szCs w:val="24"/>
          <w:lang w:eastAsia="hr-HR"/>
        </w:rPr>
        <w:t>Provedba mjera usmjerenih na zaštitu prirodnih resursa i ublažavanje posljedica klimatskih promjena, s naglaskom na smanjenje emisija stakleničkih plinova, nastavljena je i tijekom 2024.</w:t>
      </w:r>
      <w:r>
        <w:rPr>
          <w:color w:val="000000"/>
          <w:sz w:val="24"/>
          <w:szCs w:val="24"/>
          <w:lang w:eastAsia="hr-HR"/>
        </w:rPr>
        <w:t xml:space="preserve"> godine.</w:t>
      </w:r>
      <w:r w:rsidRPr="000C71B7">
        <w:rPr>
          <w:color w:val="000000"/>
          <w:sz w:val="24"/>
          <w:szCs w:val="24"/>
          <w:lang w:eastAsia="hr-HR"/>
        </w:rPr>
        <w:t xml:space="preserve"> </w:t>
      </w:r>
      <w:r w:rsidRPr="001E5B8A">
        <w:rPr>
          <w:color w:val="000000"/>
          <w:sz w:val="24"/>
          <w:szCs w:val="24"/>
          <w:lang w:eastAsia="hr-HR"/>
        </w:rPr>
        <w:t xml:space="preserve">Smanjenje emisija stakleničkih plinova je ključno za usporavanje stope globalnog zatopljenja i ublažavanje negativnog utjecaja klimatskih promjena na okoliš i ljudsko zdravlje, </w:t>
      </w:r>
      <w:r>
        <w:rPr>
          <w:color w:val="000000"/>
          <w:sz w:val="24"/>
          <w:szCs w:val="24"/>
          <w:lang w:eastAsia="hr-HR"/>
        </w:rPr>
        <w:t>uz</w:t>
      </w:r>
      <w:r w:rsidRPr="001E5B8A">
        <w:rPr>
          <w:color w:val="000000"/>
          <w:sz w:val="24"/>
          <w:szCs w:val="24"/>
          <w:lang w:eastAsia="hr-HR"/>
        </w:rPr>
        <w:t xml:space="preserve"> EU </w:t>
      </w:r>
      <w:r>
        <w:rPr>
          <w:color w:val="000000"/>
          <w:sz w:val="24"/>
          <w:szCs w:val="24"/>
          <w:lang w:eastAsia="hr-HR"/>
        </w:rPr>
        <w:t>kao</w:t>
      </w:r>
      <w:r w:rsidRPr="001E5B8A">
        <w:rPr>
          <w:color w:val="000000"/>
          <w:sz w:val="24"/>
          <w:szCs w:val="24"/>
          <w:lang w:eastAsia="hr-HR"/>
        </w:rPr>
        <w:t xml:space="preserve"> globaln</w:t>
      </w:r>
      <w:r>
        <w:rPr>
          <w:color w:val="000000"/>
          <w:sz w:val="24"/>
          <w:szCs w:val="24"/>
          <w:lang w:eastAsia="hr-HR"/>
        </w:rPr>
        <w:t>og</w:t>
      </w:r>
      <w:r w:rsidRPr="001E5B8A">
        <w:rPr>
          <w:color w:val="000000"/>
          <w:sz w:val="24"/>
          <w:szCs w:val="24"/>
          <w:lang w:eastAsia="hr-HR"/>
        </w:rPr>
        <w:t xml:space="preserve"> predvodnik</w:t>
      </w:r>
      <w:r>
        <w:rPr>
          <w:color w:val="000000"/>
          <w:sz w:val="24"/>
          <w:szCs w:val="24"/>
          <w:lang w:eastAsia="hr-HR"/>
        </w:rPr>
        <w:t>a</w:t>
      </w:r>
      <w:r w:rsidRPr="001E5B8A">
        <w:rPr>
          <w:color w:val="000000"/>
          <w:sz w:val="24"/>
          <w:szCs w:val="24"/>
          <w:lang w:eastAsia="hr-HR"/>
        </w:rPr>
        <w:t xml:space="preserve"> u djelovanju u području zaštite </w:t>
      </w:r>
      <w:r>
        <w:rPr>
          <w:color w:val="000000"/>
          <w:sz w:val="24"/>
          <w:szCs w:val="24"/>
          <w:lang w:eastAsia="hr-HR"/>
        </w:rPr>
        <w:t>okoliša</w:t>
      </w:r>
      <w:r w:rsidRPr="001E5B8A">
        <w:rPr>
          <w:color w:val="000000"/>
          <w:sz w:val="24"/>
          <w:szCs w:val="24"/>
          <w:lang w:eastAsia="hr-HR"/>
        </w:rPr>
        <w:t>. S ciljem doprinosa postizanju zajedničkog cilja EU-a o smanjenju emisija stakleničkih plinova od 55%</w:t>
      </w:r>
      <w:r>
        <w:rPr>
          <w:color w:val="000000"/>
          <w:sz w:val="24"/>
          <w:szCs w:val="24"/>
          <w:lang w:eastAsia="hr-HR"/>
        </w:rPr>
        <w:t xml:space="preserve"> do 2030. godine, </w:t>
      </w:r>
      <w:r w:rsidRPr="001E5B8A">
        <w:rPr>
          <w:color w:val="000000"/>
          <w:sz w:val="24"/>
          <w:szCs w:val="24"/>
          <w:lang w:eastAsia="hr-HR"/>
        </w:rPr>
        <w:t xml:space="preserve">Hrvatska </w:t>
      </w:r>
      <w:r>
        <w:rPr>
          <w:color w:val="000000"/>
          <w:sz w:val="24"/>
          <w:szCs w:val="24"/>
          <w:lang w:eastAsia="hr-HR"/>
        </w:rPr>
        <w:t>je tijekom</w:t>
      </w:r>
      <w:r w:rsidRPr="001E5B8A">
        <w:rPr>
          <w:color w:val="000000"/>
          <w:sz w:val="24"/>
          <w:szCs w:val="24"/>
          <w:lang w:eastAsia="hr-HR"/>
        </w:rPr>
        <w:t xml:space="preserve"> 202</w:t>
      </w:r>
      <w:r>
        <w:rPr>
          <w:color w:val="000000"/>
          <w:sz w:val="24"/>
          <w:szCs w:val="24"/>
          <w:lang w:eastAsia="hr-HR"/>
        </w:rPr>
        <w:t>4</w:t>
      </w:r>
      <w:r w:rsidRPr="001E5B8A">
        <w:rPr>
          <w:color w:val="000000"/>
          <w:sz w:val="24"/>
          <w:szCs w:val="24"/>
          <w:lang w:eastAsia="hr-HR"/>
        </w:rPr>
        <w:t>.</w:t>
      </w:r>
      <w:r>
        <w:rPr>
          <w:color w:val="000000"/>
          <w:sz w:val="24"/>
          <w:szCs w:val="24"/>
          <w:lang w:eastAsia="hr-HR"/>
        </w:rPr>
        <w:t xml:space="preserve"> intenzivirala </w:t>
      </w:r>
      <w:r w:rsidRPr="001E5B8A">
        <w:rPr>
          <w:color w:val="000000"/>
          <w:sz w:val="24"/>
          <w:szCs w:val="24"/>
          <w:lang w:eastAsia="hr-HR"/>
        </w:rPr>
        <w:t>provedbu politika ublažavanja i prilagodbe klimatskim promjenama</w:t>
      </w:r>
      <w:r>
        <w:rPr>
          <w:color w:val="000000"/>
          <w:sz w:val="24"/>
          <w:szCs w:val="24"/>
          <w:lang w:eastAsia="hr-HR"/>
        </w:rPr>
        <w:t xml:space="preserve"> uz istovremeno</w:t>
      </w:r>
      <w:r w:rsidRPr="001E5B8A">
        <w:rPr>
          <w:color w:val="000000"/>
          <w:sz w:val="24"/>
          <w:szCs w:val="24"/>
          <w:lang w:eastAsia="hr-HR"/>
        </w:rPr>
        <w:t xml:space="preserve"> jačanj</w:t>
      </w:r>
      <w:r>
        <w:rPr>
          <w:color w:val="000000"/>
          <w:sz w:val="24"/>
          <w:szCs w:val="24"/>
          <w:lang w:eastAsia="hr-HR"/>
        </w:rPr>
        <w:t>e</w:t>
      </w:r>
      <w:r w:rsidRPr="001E5B8A">
        <w:rPr>
          <w:color w:val="000000"/>
          <w:sz w:val="24"/>
          <w:szCs w:val="24"/>
          <w:lang w:eastAsia="hr-HR"/>
        </w:rPr>
        <w:t xml:space="preserve"> otpornosti.  </w:t>
      </w:r>
      <w:r w:rsidRPr="000C71B7">
        <w:rPr>
          <w:color w:val="000000"/>
          <w:sz w:val="24"/>
          <w:szCs w:val="24"/>
          <w:lang w:eastAsia="hr-HR"/>
        </w:rPr>
        <w:t xml:space="preserve"> </w:t>
      </w:r>
    </w:p>
    <w:p w14:paraId="7AF81425" w14:textId="77777777" w:rsidR="00FB178A" w:rsidRDefault="00FB178A" w:rsidP="00FB178A">
      <w:pPr>
        <w:widowControl/>
        <w:autoSpaceDE/>
        <w:autoSpaceDN/>
        <w:spacing w:after="240" w:line="276" w:lineRule="auto"/>
        <w:jc w:val="both"/>
        <w:textAlignment w:val="baseline"/>
        <w:rPr>
          <w:color w:val="000000"/>
          <w:sz w:val="24"/>
          <w:szCs w:val="24"/>
          <w:lang w:eastAsia="hr-HR"/>
        </w:rPr>
      </w:pPr>
      <w:r>
        <w:rPr>
          <w:color w:val="000000"/>
          <w:sz w:val="24"/>
          <w:szCs w:val="24"/>
          <w:lang w:eastAsia="hr-HR"/>
        </w:rPr>
        <w:t>Unatoč</w:t>
      </w:r>
      <w:r w:rsidRPr="00A65BB8">
        <w:rPr>
          <w:color w:val="000000"/>
          <w:sz w:val="24"/>
          <w:szCs w:val="24"/>
          <w:lang w:eastAsia="hr-HR"/>
        </w:rPr>
        <w:t xml:space="preserve"> pozitivn</w:t>
      </w:r>
      <w:r>
        <w:rPr>
          <w:color w:val="000000"/>
          <w:sz w:val="24"/>
          <w:szCs w:val="24"/>
          <w:lang w:eastAsia="hr-HR"/>
        </w:rPr>
        <w:t>im</w:t>
      </w:r>
      <w:r w:rsidRPr="00A65BB8">
        <w:rPr>
          <w:color w:val="000000"/>
          <w:sz w:val="24"/>
          <w:szCs w:val="24"/>
          <w:lang w:eastAsia="hr-HR"/>
        </w:rPr>
        <w:t xml:space="preserve"> trendov</w:t>
      </w:r>
      <w:r>
        <w:rPr>
          <w:color w:val="000000"/>
          <w:sz w:val="24"/>
          <w:szCs w:val="24"/>
          <w:lang w:eastAsia="hr-HR"/>
        </w:rPr>
        <w:t>ima</w:t>
      </w:r>
      <w:r w:rsidRPr="00A65BB8">
        <w:rPr>
          <w:color w:val="000000"/>
          <w:sz w:val="24"/>
          <w:szCs w:val="24"/>
          <w:lang w:eastAsia="hr-HR"/>
        </w:rPr>
        <w:t xml:space="preserve"> smanjenja emisija na razini EU-a</w:t>
      </w:r>
      <w:r>
        <w:rPr>
          <w:color w:val="000000"/>
          <w:sz w:val="24"/>
          <w:szCs w:val="24"/>
          <w:lang w:eastAsia="hr-HR"/>
        </w:rPr>
        <w:t xml:space="preserve"> (sa 71,8% na 68,6%)</w:t>
      </w:r>
      <w:r w:rsidRPr="00A65BB8">
        <w:rPr>
          <w:color w:val="000000"/>
          <w:sz w:val="24"/>
          <w:szCs w:val="24"/>
          <w:lang w:eastAsia="hr-HR"/>
        </w:rPr>
        <w:t xml:space="preserve">, </w:t>
      </w:r>
      <w:r>
        <w:rPr>
          <w:color w:val="000000"/>
          <w:sz w:val="24"/>
          <w:szCs w:val="24"/>
          <w:lang w:eastAsia="hr-HR"/>
        </w:rPr>
        <w:t xml:space="preserve">u </w:t>
      </w:r>
      <w:r w:rsidRPr="00A65BB8">
        <w:rPr>
          <w:color w:val="000000"/>
          <w:sz w:val="24"/>
          <w:szCs w:val="24"/>
          <w:lang w:eastAsia="hr-HR"/>
        </w:rPr>
        <w:t>Hrvatsk</w:t>
      </w:r>
      <w:r>
        <w:rPr>
          <w:color w:val="000000"/>
          <w:sz w:val="24"/>
          <w:szCs w:val="24"/>
          <w:lang w:eastAsia="hr-HR"/>
        </w:rPr>
        <w:t>oj se</w:t>
      </w:r>
      <w:r w:rsidRPr="00A65BB8">
        <w:rPr>
          <w:color w:val="000000"/>
          <w:sz w:val="24"/>
          <w:szCs w:val="24"/>
          <w:lang w:eastAsia="hr-HR"/>
        </w:rPr>
        <w:t xml:space="preserve"> </w:t>
      </w:r>
      <w:r>
        <w:rPr>
          <w:color w:val="000000"/>
          <w:sz w:val="24"/>
          <w:szCs w:val="24"/>
          <w:lang w:eastAsia="hr-HR"/>
        </w:rPr>
        <w:t>trend</w:t>
      </w:r>
      <w:r w:rsidRPr="00A65BB8">
        <w:rPr>
          <w:color w:val="000000"/>
          <w:sz w:val="24"/>
          <w:szCs w:val="24"/>
          <w:lang w:eastAsia="hr-HR"/>
        </w:rPr>
        <w:t xml:space="preserve"> povećanja emisija stakleničkih plinova</w:t>
      </w:r>
      <w:r>
        <w:rPr>
          <w:color w:val="000000"/>
          <w:sz w:val="24"/>
          <w:szCs w:val="24"/>
          <w:lang w:eastAsia="hr-HR"/>
        </w:rPr>
        <w:t>,</w:t>
      </w:r>
      <w:r w:rsidRPr="00A65BB8">
        <w:rPr>
          <w:color w:val="000000"/>
          <w:sz w:val="24"/>
          <w:szCs w:val="24"/>
          <w:lang w:eastAsia="hr-HR"/>
        </w:rPr>
        <w:t xml:space="preserve"> </w:t>
      </w:r>
      <w:r w:rsidRPr="00DE4635">
        <w:rPr>
          <w:color w:val="000000"/>
          <w:sz w:val="24"/>
          <w:szCs w:val="24"/>
          <w:lang w:eastAsia="hr-HR"/>
        </w:rPr>
        <w:t xml:space="preserve">zabilježen u </w:t>
      </w:r>
      <w:r w:rsidRPr="00DE4635" w:rsidDel="00903488">
        <w:rPr>
          <w:color w:val="000000"/>
          <w:sz w:val="24"/>
          <w:szCs w:val="24"/>
          <w:lang w:eastAsia="hr-HR"/>
        </w:rPr>
        <w:t>2022</w:t>
      </w:r>
      <w:r w:rsidRPr="00DE4635">
        <w:rPr>
          <w:color w:val="000000"/>
          <w:sz w:val="24"/>
          <w:szCs w:val="24"/>
          <w:lang w:eastAsia="hr-HR"/>
        </w:rPr>
        <w:t>.</w:t>
      </w:r>
      <w:r w:rsidRPr="00DE4635" w:rsidDel="00ED0314">
        <w:rPr>
          <w:color w:val="000000"/>
          <w:sz w:val="24"/>
          <w:szCs w:val="24"/>
          <w:lang w:eastAsia="hr-HR"/>
        </w:rPr>
        <w:t xml:space="preserve"> i</w:t>
      </w:r>
      <w:r w:rsidRPr="00DE4635">
        <w:rPr>
          <w:color w:val="000000"/>
          <w:sz w:val="24"/>
          <w:szCs w:val="24"/>
          <w:lang w:eastAsia="hr-HR"/>
        </w:rPr>
        <w:t xml:space="preserve"> 2023. nastavio i u 2024. te su emisije blago porasle sa 78% na 80,37%.</w:t>
      </w:r>
      <w:r w:rsidRPr="00ED0314">
        <w:rPr>
          <w:color w:val="000000"/>
          <w:sz w:val="24"/>
          <w:szCs w:val="24"/>
          <w:lang w:eastAsia="hr-HR"/>
        </w:rPr>
        <w:t xml:space="preserve"> </w:t>
      </w:r>
      <w:r>
        <w:rPr>
          <w:color w:val="000000"/>
          <w:sz w:val="24"/>
          <w:szCs w:val="24"/>
          <w:lang w:eastAsia="hr-HR"/>
        </w:rPr>
        <w:t>Kroz</w:t>
      </w:r>
      <w:r w:rsidRPr="00ED0314">
        <w:rPr>
          <w:color w:val="000000"/>
          <w:sz w:val="24"/>
          <w:szCs w:val="24"/>
          <w:lang w:eastAsia="hr-HR"/>
        </w:rPr>
        <w:t xml:space="preserve"> intenziviranje napora na provedbi mjera </w:t>
      </w:r>
      <w:proofErr w:type="spellStart"/>
      <w:r w:rsidRPr="00ED0314">
        <w:rPr>
          <w:color w:val="000000"/>
          <w:sz w:val="24"/>
          <w:szCs w:val="24"/>
          <w:lang w:eastAsia="hr-HR"/>
        </w:rPr>
        <w:t>dekarbonizacije</w:t>
      </w:r>
      <w:proofErr w:type="spellEnd"/>
      <w:r w:rsidRPr="00ED0314">
        <w:rPr>
          <w:color w:val="000000"/>
          <w:sz w:val="24"/>
          <w:szCs w:val="24"/>
          <w:lang w:eastAsia="hr-HR"/>
        </w:rPr>
        <w:t xml:space="preserve"> energetskih sustava, povećanja energetske učinkovitosti i razvoja obnovljivih izvora energije tijekom 2024. </w:t>
      </w:r>
      <w:r>
        <w:rPr>
          <w:color w:val="000000"/>
          <w:sz w:val="24"/>
          <w:szCs w:val="24"/>
          <w:lang w:eastAsia="hr-HR"/>
        </w:rPr>
        <w:t xml:space="preserve">cilj je </w:t>
      </w:r>
      <w:r w:rsidRPr="00ED0314">
        <w:rPr>
          <w:color w:val="000000"/>
          <w:sz w:val="24"/>
          <w:szCs w:val="24"/>
          <w:lang w:eastAsia="hr-HR"/>
        </w:rPr>
        <w:t>vrati</w:t>
      </w:r>
      <w:r>
        <w:rPr>
          <w:color w:val="000000"/>
          <w:sz w:val="24"/>
          <w:szCs w:val="24"/>
          <w:lang w:eastAsia="hr-HR"/>
        </w:rPr>
        <w:t>ti Hrvatsku</w:t>
      </w:r>
      <w:r w:rsidRPr="00ED0314">
        <w:rPr>
          <w:color w:val="000000"/>
          <w:sz w:val="24"/>
          <w:szCs w:val="24"/>
          <w:lang w:eastAsia="hr-HR"/>
        </w:rPr>
        <w:t xml:space="preserve"> na željenu putanju smanjenja emisija stakleničkih plinova i doprinosa postizanju ciljeva klimatske neutralnosti EU-a. </w:t>
      </w:r>
    </w:p>
    <w:p w14:paraId="1A29D0D8" w14:textId="77777777" w:rsidR="00FB178A" w:rsidRDefault="00FB178A" w:rsidP="00FB178A">
      <w:pPr>
        <w:widowControl/>
        <w:autoSpaceDE/>
        <w:autoSpaceDN/>
        <w:spacing w:before="240" w:line="276" w:lineRule="auto"/>
        <w:jc w:val="both"/>
        <w:textAlignment w:val="baseline"/>
        <w:rPr>
          <w:color w:val="000000"/>
          <w:sz w:val="24"/>
          <w:szCs w:val="24"/>
          <w:lang w:eastAsia="hr-HR"/>
        </w:rPr>
      </w:pPr>
      <w:r>
        <w:rPr>
          <w:color w:val="000000"/>
          <w:sz w:val="24"/>
          <w:szCs w:val="24"/>
          <w:lang w:eastAsia="hr-HR"/>
        </w:rPr>
        <w:t>S</w:t>
      </w:r>
      <w:r w:rsidRPr="000C71B7">
        <w:rPr>
          <w:color w:val="000000"/>
          <w:sz w:val="24"/>
          <w:szCs w:val="24"/>
          <w:lang w:eastAsia="hr-HR"/>
        </w:rPr>
        <w:t>ukladno obvezama koje proizlaze iz zajedničke EU klimatske i energetske politike i zakonodavstva</w:t>
      </w:r>
      <w:r>
        <w:rPr>
          <w:color w:val="000000"/>
          <w:sz w:val="24"/>
          <w:szCs w:val="24"/>
          <w:lang w:eastAsia="hr-HR"/>
        </w:rPr>
        <w:t>, k</w:t>
      </w:r>
      <w:r w:rsidRPr="000C71B7">
        <w:rPr>
          <w:color w:val="000000"/>
          <w:sz w:val="24"/>
          <w:szCs w:val="24"/>
          <w:lang w:eastAsia="hr-HR"/>
        </w:rPr>
        <w:t xml:space="preserve">rajem 2024. </w:t>
      </w:r>
      <w:r>
        <w:rPr>
          <w:color w:val="000000"/>
          <w:sz w:val="24"/>
          <w:szCs w:val="24"/>
          <w:lang w:eastAsia="hr-HR"/>
        </w:rPr>
        <w:t>dovršen</w:t>
      </w:r>
      <w:r w:rsidRPr="000C71B7">
        <w:rPr>
          <w:color w:val="000000"/>
          <w:sz w:val="24"/>
          <w:szCs w:val="24"/>
          <w:lang w:eastAsia="hr-HR"/>
        </w:rPr>
        <w:t xml:space="preserve"> je postupak ažuriranja NECP-a uključujući i javn</w:t>
      </w:r>
      <w:r>
        <w:rPr>
          <w:color w:val="000000"/>
          <w:sz w:val="24"/>
          <w:szCs w:val="24"/>
          <w:lang w:eastAsia="hr-HR"/>
        </w:rPr>
        <w:t>o savjetovanje</w:t>
      </w:r>
      <w:r w:rsidRPr="000C71B7">
        <w:rPr>
          <w:color w:val="000000"/>
          <w:sz w:val="24"/>
          <w:szCs w:val="24"/>
          <w:lang w:eastAsia="hr-HR"/>
        </w:rPr>
        <w:t xml:space="preserve">, a sve u skladu s novim ambicioznim ciljevima EU-a o smanjenju emisija stakleničkih plinova za 55% do 2030. u odnosu na 2005. </w:t>
      </w:r>
      <w:r>
        <w:rPr>
          <w:color w:val="000000"/>
          <w:sz w:val="24"/>
          <w:szCs w:val="24"/>
          <w:lang w:eastAsia="hr-HR"/>
        </w:rPr>
        <w:t>te</w:t>
      </w:r>
      <w:r w:rsidRPr="000C71B7">
        <w:rPr>
          <w:color w:val="000000"/>
          <w:sz w:val="24"/>
          <w:szCs w:val="24"/>
          <w:lang w:eastAsia="hr-HR"/>
        </w:rPr>
        <w:t xml:space="preserve"> postizanja klimatske neutralnosti do 2050.</w:t>
      </w:r>
      <w:r>
        <w:rPr>
          <w:color w:val="000000"/>
          <w:sz w:val="24"/>
          <w:szCs w:val="24"/>
          <w:lang w:eastAsia="hr-HR"/>
        </w:rPr>
        <w:t xml:space="preserve"> godine.</w:t>
      </w:r>
      <w:r w:rsidRPr="000C71B7">
        <w:rPr>
          <w:color w:val="000000"/>
          <w:sz w:val="24"/>
          <w:szCs w:val="24"/>
          <w:lang w:eastAsia="hr-HR"/>
        </w:rPr>
        <w:t xml:space="preserve"> </w:t>
      </w:r>
      <w:r w:rsidRPr="00AE39DD">
        <w:rPr>
          <w:color w:val="000000"/>
          <w:sz w:val="24"/>
          <w:szCs w:val="24"/>
          <w:lang w:eastAsia="hr-HR"/>
        </w:rPr>
        <w:lastRenderedPageBreak/>
        <w:t>Sukladno propisanim obvezama na razini EU i nacionalnog zakonodavstva, u 2024. izrađeno je Izvješće o provedbi Integriranog nacionalnog energetskog i klimatskog plana (NECP), uključujući provedbu politika i mjera te stanje emisija stakleničkih plinova, koje je dostavljeno Europskoj komisiji, čime se omogućuje sustavno praćenje napora država članica u ostvarenju zajedničkih energetskih i klimatskih ciljeva.</w:t>
      </w:r>
      <w:r w:rsidRPr="00AE39DD" w:rsidDel="00AE39DD">
        <w:rPr>
          <w:color w:val="000000"/>
          <w:sz w:val="24"/>
          <w:szCs w:val="24"/>
          <w:lang w:eastAsia="hr-HR"/>
        </w:rPr>
        <w:t xml:space="preserve"> </w:t>
      </w:r>
      <w:r w:rsidRPr="007E3795">
        <w:rPr>
          <w:color w:val="000000"/>
          <w:sz w:val="24"/>
          <w:szCs w:val="24"/>
          <w:lang w:eastAsia="hr-HR"/>
        </w:rPr>
        <w:t xml:space="preserve">Prema </w:t>
      </w:r>
      <w:r>
        <w:rPr>
          <w:color w:val="000000"/>
          <w:sz w:val="24"/>
          <w:szCs w:val="24"/>
          <w:lang w:eastAsia="hr-HR"/>
        </w:rPr>
        <w:t>N</w:t>
      </w:r>
      <w:r w:rsidRPr="007E3795">
        <w:rPr>
          <w:color w:val="000000"/>
          <w:sz w:val="24"/>
          <w:szCs w:val="24"/>
          <w:lang w:eastAsia="hr-HR"/>
        </w:rPr>
        <w:t xml:space="preserve">acionalnoj inventuri stakleničkih plinova za 2024. </w:t>
      </w:r>
      <w:r>
        <w:rPr>
          <w:color w:val="000000"/>
          <w:sz w:val="24"/>
          <w:szCs w:val="24"/>
          <w:lang w:eastAsia="hr-HR"/>
        </w:rPr>
        <w:t xml:space="preserve">(s </w:t>
      </w:r>
      <w:r w:rsidRPr="007E3795">
        <w:rPr>
          <w:color w:val="000000"/>
          <w:sz w:val="24"/>
          <w:szCs w:val="24"/>
          <w:lang w:eastAsia="hr-HR"/>
        </w:rPr>
        <w:t>podaci</w:t>
      </w:r>
      <w:r>
        <w:rPr>
          <w:color w:val="000000"/>
          <w:sz w:val="24"/>
          <w:szCs w:val="24"/>
          <w:lang w:eastAsia="hr-HR"/>
        </w:rPr>
        <w:t>ma</w:t>
      </w:r>
      <w:r w:rsidRPr="007E3795">
        <w:rPr>
          <w:color w:val="000000"/>
          <w:sz w:val="24"/>
          <w:szCs w:val="24"/>
          <w:lang w:eastAsia="hr-HR"/>
        </w:rPr>
        <w:t xml:space="preserve"> za razdoblje do </w:t>
      </w:r>
      <w:r>
        <w:rPr>
          <w:color w:val="000000"/>
          <w:sz w:val="24"/>
          <w:szCs w:val="24"/>
          <w:lang w:eastAsia="hr-HR"/>
        </w:rPr>
        <w:t xml:space="preserve">kraja </w:t>
      </w:r>
      <w:r w:rsidRPr="007E3795">
        <w:rPr>
          <w:color w:val="000000"/>
          <w:sz w:val="24"/>
          <w:szCs w:val="24"/>
          <w:lang w:eastAsia="hr-HR"/>
        </w:rPr>
        <w:t>2022.</w:t>
      </w:r>
      <w:r>
        <w:rPr>
          <w:color w:val="000000"/>
          <w:sz w:val="24"/>
          <w:szCs w:val="24"/>
          <w:lang w:eastAsia="hr-HR"/>
        </w:rPr>
        <w:t>)</w:t>
      </w:r>
      <w:r w:rsidRPr="007E3795">
        <w:rPr>
          <w:color w:val="000000"/>
          <w:sz w:val="24"/>
          <w:szCs w:val="24"/>
          <w:lang w:eastAsia="hr-HR"/>
        </w:rPr>
        <w:t>, u</w:t>
      </w:r>
      <w:r>
        <w:rPr>
          <w:color w:val="000000"/>
          <w:sz w:val="24"/>
          <w:szCs w:val="24"/>
          <w:lang w:eastAsia="hr-HR"/>
        </w:rPr>
        <w:t xml:space="preserve"> Hrvatskoj se u</w:t>
      </w:r>
      <w:r w:rsidRPr="007E3795">
        <w:rPr>
          <w:color w:val="000000"/>
          <w:sz w:val="24"/>
          <w:szCs w:val="24"/>
          <w:lang w:eastAsia="hr-HR"/>
        </w:rPr>
        <w:t>očava izražen utjecaj klimatskih promjena na prirodne resurse, uz istodobni nastavak smanjenja emisija stakleničkih plinova</w:t>
      </w:r>
      <w:r>
        <w:rPr>
          <w:color w:val="000000"/>
          <w:sz w:val="24"/>
          <w:szCs w:val="24"/>
          <w:lang w:eastAsia="hr-HR"/>
        </w:rPr>
        <w:t xml:space="preserve">. Iako </w:t>
      </w:r>
      <w:r w:rsidRPr="007E3795">
        <w:rPr>
          <w:color w:val="000000"/>
          <w:sz w:val="24"/>
          <w:szCs w:val="24"/>
          <w:lang w:eastAsia="hr-HR"/>
        </w:rPr>
        <w:t xml:space="preserve">Hrvatska nastavlja trend postupnog razdvajanja gospodarskog rasta od emisija stakleničkih plinova, zbog ubrzanog zatopljenja, promjena u režimu oborina te porasta učestalosti </w:t>
      </w:r>
      <w:r>
        <w:rPr>
          <w:color w:val="000000"/>
          <w:sz w:val="24"/>
          <w:szCs w:val="24"/>
          <w:lang w:eastAsia="hr-HR"/>
        </w:rPr>
        <w:t xml:space="preserve">vremenskih </w:t>
      </w:r>
      <w:r w:rsidRPr="007E3795">
        <w:rPr>
          <w:color w:val="000000"/>
          <w:sz w:val="24"/>
          <w:szCs w:val="24"/>
          <w:lang w:eastAsia="hr-HR"/>
        </w:rPr>
        <w:t>ekstrema, nužna</w:t>
      </w:r>
      <w:r>
        <w:rPr>
          <w:color w:val="000000"/>
          <w:sz w:val="24"/>
          <w:szCs w:val="24"/>
          <w:lang w:eastAsia="hr-HR"/>
        </w:rPr>
        <w:t xml:space="preserve"> su</w:t>
      </w:r>
      <w:r w:rsidRPr="007E3795">
        <w:rPr>
          <w:color w:val="000000"/>
          <w:sz w:val="24"/>
          <w:szCs w:val="24"/>
          <w:lang w:eastAsia="hr-HR"/>
        </w:rPr>
        <w:t xml:space="preserve"> daljnja ulaganja u </w:t>
      </w:r>
      <w:proofErr w:type="spellStart"/>
      <w:r w:rsidRPr="007E3795">
        <w:rPr>
          <w:color w:val="000000"/>
          <w:sz w:val="24"/>
          <w:szCs w:val="24"/>
          <w:lang w:eastAsia="hr-HR"/>
        </w:rPr>
        <w:t>dekarbonizaciju</w:t>
      </w:r>
      <w:proofErr w:type="spellEnd"/>
      <w:r w:rsidRPr="007E3795">
        <w:rPr>
          <w:color w:val="000000"/>
          <w:sz w:val="24"/>
          <w:szCs w:val="24"/>
          <w:lang w:eastAsia="hr-HR"/>
        </w:rPr>
        <w:t xml:space="preserve"> energetike, promet</w:t>
      </w:r>
      <w:r>
        <w:rPr>
          <w:color w:val="000000"/>
          <w:sz w:val="24"/>
          <w:szCs w:val="24"/>
          <w:lang w:eastAsia="hr-HR"/>
        </w:rPr>
        <w:t>a</w:t>
      </w:r>
      <w:r w:rsidRPr="007E3795">
        <w:rPr>
          <w:color w:val="000000"/>
          <w:sz w:val="24"/>
          <w:szCs w:val="24"/>
          <w:lang w:eastAsia="hr-HR"/>
        </w:rPr>
        <w:t xml:space="preserve"> i industrij</w:t>
      </w:r>
      <w:r>
        <w:rPr>
          <w:color w:val="000000"/>
          <w:sz w:val="24"/>
          <w:szCs w:val="24"/>
          <w:lang w:eastAsia="hr-HR"/>
        </w:rPr>
        <w:t>e</w:t>
      </w:r>
      <w:r w:rsidRPr="007E3795">
        <w:rPr>
          <w:color w:val="000000"/>
          <w:sz w:val="24"/>
          <w:szCs w:val="24"/>
          <w:lang w:eastAsia="hr-HR"/>
        </w:rPr>
        <w:t xml:space="preserve">, očuvanje šuma i ponora ugljika te prilagodbu klimatskim promjenama u poljoprivredi, vodnom gospodarstvu, zaštiti obale i </w:t>
      </w:r>
      <w:proofErr w:type="spellStart"/>
      <w:r w:rsidRPr="007E3795">
        <w:rPr>
          <w:color w:val="000000"/>
          <w:sz w:val="24"/>
          <w:szCs w:val="24"/>
          <w:lang w:eastAsia="hr-HR"/>
        </w:rPr>
        <w:t>bioraznolikosti</w:t>
      </w:r>
      <w:proofErr w:type="spellEnd"/>
      <w:r w:rsidRPr="007E3795">
        <w:rPr>
          <w:color w:val="000000"/>
          <w:sz w:val="24"/>
          <w:szCs w:val="24"/>
          <w:lang w:eastAsia="hr-HR"/>
        </w:rPr>
        <w:t>.</w:t>
      </w:r>
    </w:p>
    <w:p w14:paraId="513DBC9E" w14:textId="77777777" w:rsidR="00FB178A" w:rsidRPr="007067EB" w:rsidRDefault="00FB178A" w:rsidP="00FB178A">
      <w:pPr>
        <w:widowControl/>
        <w:autoSpaceDE/>
        <w:autoSpaceDN/>
        <w:spacing w:before="240" w:after="240" w:line="276" w:lineRule="auto"/>
        <w:ind w:right="30"/>
        <w:jc w:val="both"/>
        <w:textAlignment w:val="baseline"/>
        <w:rPr>
          <w:color w:val="000000"/>
          <w:sz w:val="24"/>
          <w:szCs w:val="24"/>
          <w:lang w:eastAsia="hr-HR"/>
        </w:rPr>
      </w:pPr>
      <w:r w:rsidRPr="007067EB">
        <w:rPr>
          <w:color w:val="000000"/>
          <w:sz w:val="24"/>
          <w:szCs w:val="24"/>
          <w:lang w:eastAsia="hr-HR"/>
        </w:rPr>
        <w:t>Tijekom 2024. u Hrvatskoj</w:t>
      </w:r>
      <w:r>
        <w:rPr>
          <w:color w:val="000000"/>
          <w:sz w:val="24"/>
          <w:szCs w:val="24"/>
          <w:lang w:eastAsia="hr-HR"/>
        </w:rPr>
        <w:t xml:space="preserve"> je</w:t>
      </w:r>
      <w:r w:rsidRPr="007067EB">
        <w:rPr>
          <w:color w:val="000000"/>
          <w:sz w:val="24"/>
          <w:szCs w:val="24"/>
          <w:lang w:eastAsia="hr-HR"/>
        </w:rPr>
        <w:t xml:space="preserve"> nastavljen trend postupnog unaprjeđenja sustava gospodarenja komunalnim otpadom, uz gotovo potpuni obuhvat stanovništva organiziranim sakupljanjem otpada. Prema Nacionalnom izvješću o komunalnom otpadu, u</w:t>
      </w:r>
      <w:r>
        <w:rPr>
          <w:color w:val="000000"/>
          <w:sz w:val="24"/>
          <w:szCs w:val="24"/>
          <w:lang w:eastAsia="hr-HR"/>
        </w:rPr>
        <w:t xml:space="preserve"> 2024. je u</w:t>
      </w:r>
      <w:r w:rsidRPr="007067EB">
        <w:rPr>
          <w:color w:val="000000"/>
          <w:sz w:val="24"/>
          <w:szCs w:val="24"/>
          <w:lang w:eastAsia="hr-HR"/>
        </w:rPr>
        <w:t xml:space="preserve">kupno nastalo 1.878.802 tona komunalnog otpada, </w:t>
      </w:r>
      <w:r>
        <w:rPr>
          <w:color w:val="000000"/>
          <w:sz w:val="24"/>
          <w:szCs w:val="24"/>
          <w:lang w:eastAsia="hr-HR"/>
        </w:rPr>
        <w:t>uz</w:t>
      </w:r>
      <w:r w:rsidRPr="007067EB">
        <w:rPr>
          <w:color w:val="000000"/>
          <w:sz w:val="24"/>
          <w:szCs w:val="24"/>
          <w:lang w:eastAsia="hr-HR"/>
        </w:rPr>
        <w:t xml:space="preserve"> povećanje od 2,5% u odnosu na prethodnu godinu, odnosno 486 kg po stanovniku, što je i dalje ispod prosjeka E</w:t>
      </w:r>
      <w:r>
        <w:rPr>
          <w:color w:val="000000"/>
          <w:sz w:val="24"/>
          <w:szCs w:val="24"/>
          <w:lang w:eastAsia="hr-HR"/>
        </w:rPr>
        <w:t>U</w:t>
      </w:r>
      <w:r w:rsidRPr="007067EB">
        <w:rPr>
          <w:color w:val="000000"/>
          <w:sz w:val="24"/>
          <w:szCs w:val="24"/>
          <w:lang w:eastAsia="hr-HR"/>
        </w:rPr>
        <w:t xml:space="preserve"> (511 kg po stanovniku u 2023.). Obuhvat stanovništva organiziranim sakupljanjem komunalnog otpada dosegnuo je 99,9%, a organizirano sakupljanje provodi se u svih 556 jedinica lokalne samouprav</w:t>
      </w:r>
      <w:r>
        <w:rPr>
          <w:color w:val="000000"/>
          <w:sz w:val="24"/>
          <w:szCs w:val="24"/>
          <w:lang w:eastAsia="hr-HR"/>
        </w:rPr>
        <w:t>e.</w:t>
      </w:r>
    </w:p>
    <w:p w14:paraId="4879E48C" w14:textId="77777777" w:rsidR="00FB178A" w:rsidRPr="007067EB" w:rsidRDefault="00FB178A" w:rsidP="00FB178A">
      <w:pPr>
        <w:widowControl/>
        <w:autoSpaceDE/>
        <w:autoSpaceDN/>
        <w:spacing w:after="240" w:line="276" w:lineRule="auto"/>
        <w:ind w:right="30"/>
        <w:jc w:val="both"/>
        <w:textAlignment w:val="baseline"/>
        <w:rPr>
          <w:color w:val="000000"/>
          <w:sz w:val="24"/>
          <w:szCs w:val="24"/>
          <w:lang w:eastAsia="hr-HR"/>
        </w:rPr>
      </w:pPr>
      <w:r>
        <w:rPr>
          <w:color w:val="000000"/>
          <w:sz w:val="24"/>
          <w:szCs w:val="24"/>
          <w:lang w:eastAsia="hr-HR"/>
        </w:rPr>
        <w:t xml:space="preserve">Nadalje, tijekom </w:t>
      </w:r>
      <w:r w:rsidRPr="007067EB">
        <w:rPr>
          <w:color w:val="000000"/>
          <w:sz w:val="24"/>
          <w:szCs w:val="24"/>
          <w:lang w:eastAsia="hr-HR"/>
        </w:rPr>
        <w:t xml:space="preserve">2024. zabilježen je daljnji napredak u odvojenom prikupljanju otpada i razvoju pripadajuće infrastrukture. Ukupno je odvojeno sakupljeno 920.374 tona komunalnog otpada, što odgovara udjelu od 49% u ukupnoj količini (porast za 1 postotni bod u odnosu na 2023.), dok je udio odvojeno sakupljenog otpada unutar javne usluge porastao na 32,5% (s 29,3% u 2023.). Odvojeno sakupljanje barem jedne frakcije provodilo se u 535 JLS (96%), a broj </w:t>
      </w:r>
      <w:proofErr w:type="spellStart"/>
      <w:r w:rsidRPr="007067EB">
        <w:rPr>
          <w:color w:val="000000"/>
          <w:sz w:val="24"/>
          <w:szCs w:val="24"/>
          <w:lang w:eastAsia="hr-HR"/>
        </w:rPr>
        <w:t>reciklažnih</w:t>
      </w:r>
      <w:proofErr w:type="spellEnd"/>
      <w:r w:rsidRPr="007067EB">
        <w:rPr>
          <w:color w:val="000000"/>
          <w:sz w:val="24"/>
          <w:szCs w:val="24"/>
          <w:lang w:eastAsia="hr-HR"/>
        </w:rPr>
        <w:t xml:space="preserve"> dvorišta koja su zaprimala otpad porastao je na 286, pri čemu je kroz njih preuzeto 93.809 tona otpada, što je povećanje od 20% u odnosu na 2023. Najveći doprinos rastu odvojenog sakupljanja imaju </w:t>
      </w:r>
      <w:proofErr w:type="spellStart"/>
      <w:r w:rsidRPr="007067EB">
        <w:rPr>
          <w:color w:val="000000"/>
          <w:sz w:val="24"/>
          <w:szCs w:val="24"/>
          <w:lang w:eastAsia="hr-HR"/>
        </w:rPr>
        <w:t>biootpad</w:t>
      </w:r>
      <w:proofErr w:type="spellEnd"/>
      <w:r w:rsidRPr="007067EB">
        <w:rPr>
          <w:color w:val="000000"/>
          <w:sz w:val="24"/>
          <w:szCs w:val="24"/>
          <w:lang w:eastAsia="hr-HR"/>
        </w:rPr>
        <w:t>, plastika i glomazni otpad, a najuspješnije županije po stopi odvojenog sakupljanja u okviru javne usluge su Međimurska (57,2%), Koprivničko-križevačka (48,5%), Grad Zagreb (44,7%), Varaždinska (42,3%) i Osječko-baranjska županija (41,4%).</w:t>
      </w:r>
    </w:p>
    <w:p w14:paraId="07419EF6" w14:textId="77777777" w:rsidR="00FB178A" w:rsidRPr="007067EB" w:rsidRDefault="00FB178A" w:rsidP="00FB178A">
      <w:pPr>
        <w:widowControl/>
        <w:autoSpaceDE/>
        <w:autoSpaceDN/>
        <w:spacing w:after="240" w:line="276" w:lineRule="auto"/>
        <w:ind w:right="30"/>
        <w:jc w:val="both"/>
        <w:textAlignment w:val="baseline"/>
        <w:rPr>
          <w:color w:val="000000"/>
          <w:sz w:val="24"/>
          <w:szCs w:val="24"/>
          <w:lang w:eastAsia="hr-HR"/>
        </w:rPr>
      </w:pPr>
      <w:r w:rsidRPr="007067EB">
        <w:rPr>
          <w:color w:val="000000"/>
          <w:sz w:val="24"/>
          <w:szCs w:val="24"/>
          <w:lang w:eastAsia="hr-HR"/>
        </w:rPr>
        <w:t xml:space="preserve">Kad je riječ o daljnjem postupanju s otpadom, u 2024. je reciklirano 689.593 tona komunalnog otpada, što odgovara stopi recikliranja od 37% (porast za 1 postotni bod u odnosu na 2023.), dok je ukupna stopa oporabe (uključujući </w:t>
      </w:r>
      <w:proofErr w:type="spellStart"/>
      <w:r w:rsidRPr="007067EB">
        <w:rPr>
          <w:color w:val="000000"/>
          <w:sz w:val="24"/>
          <w:szCs w:val="24"/>
          <w:lang w:eastAsia="hr-HR"/>
        </w:rPr>
        <w:t>kompostiranje</w:t>
      </w:r>
      <w:proofErr w:type="spellEnd"/>
      <w:r w:rsidRPr="007067EB">
        <w:rPr>
          <w:color w:val="000000"/>
          <w:sz w:val="24"/>
          <w:szCs w:val="24"/>
          <w:lang w:eastAsia="hr-HR"/>
        </w:rPr>
        <w:t xml:space="preserve"> i anaerobnu digestiju) iznosila 38%. Istodobno je na odlagališta upućeno 957.094 tone komunalnog otpada, odnosno 51% ukupno nastale količine, što je smanjenje za 1 postotni bod u odnosu na prethodnu godinu, ali i dalje znatno iznad ciljane razine od najviše 10% do 2035. Udio odlaganja postupno se smanjuje zahvaljujući povećanom odvojenom prikupljanju i puštanju u rad centara za gospodarenje otpadom, no daljnje smanjenje zahtijeva ubrzanu izgradnju postrojenja za sortiranje i biološku obradu otpada.</w:t>
      </w:r>
    </w:p>
    <w:p w14:paraId="7B7BFD82" w14:textId="77777777" w:rsidR="00FB178A" w:rsidRPr="007067EB" w:rsidRDefault="00FB178A" w:rsidP="00FB178A">
      <w:pPr>
        <w:widowControl/>
        <w:autoSpaceDE/>
        <w:autoSpaceDN/>
        <w:spacing w:after="240" w:line="276" w:lineRule="auto"/>
        <w:ind w:right="30"/>
        <w:jc w:val="both"/>
        <w:textAlignment w:val="baseline"/>
        <w:rPr>
          <w:color w:val="000000"/>
          <w:sz w:val="24"/>
          <w:szCs w:val="24"/>
          <w:lang w:eastAsia="hr-HR"/>
        </w:rPr>
      </w:pPr>
      <w:r w:rsidRPr="007067EB">
        <w:rPr>
          <w:color w:val="000000"/>
          <w:sz w:val="24"/>
          <w:szCs w:val="24"/>
          <w:lang w:eastAsia="hr-HR"/>
        </w:rPr>
        <w:lastRenderedPageBreak/>
        <w:t xml:space="preserve">Posebnu stratešku važnost ima gospodarenje biorazgradivim komunalnim otpadom. U 2024. nastalo je 1.170.636 tona biorazgradivog komunalnog otpada, od čega je odloženo 502.752 tone, što je oko 6% manje nego 2023., ali i dalje gotovo dvostruko više od cilja iz Zakona o gospodarenju otpadom (264.661 tona). Ukupno je nastalo 527.000 tona </w:t>
      </w:r>
      <w:proofErr w:type="spellStart"/>
      <w:r w:rsidRPr="007067EB">
        <w:rPr>
          <w:color w:val="000000"/>
          <w:sz w:val="24"/>
          <w:szCs w:val="24"/>
          <w:lang w:eastAsia="hr-HR"/>
        </w:rPr>
        <w:t>biootpada</w:t>
      </w:r>
      <w:proofErr w:type="spellEnd"/>
      <w:r w:rsidRPr="007067EB">
        <w:rPr>
          <w:color w:val="000000"/>
          <w:sz w:val="24"/>
          <w:szCs w:val="24"/>
          <w:lang w:eastAsia="hr-HR"/>
        </w:rPr>
        <w:t xml:space="preserve">, od čega je 171.807 tona (33%) odvojeno sakupljeno, uz porast broja JLS koje provode odvojeno sakupljanje </w:t>
      </w:r>
      <w:proofErr w:type="spellStart"/>
      <w:r w:rsidRPr="007067EB">
        <w:rPr>
          <w:color w:val="000000"/>
          <w:sz w:val="24"/>
          <w:szCs w:val="24"/>
          <w:lang w:eastAsia="hr-HR"/>
        </w:rPr>
        <w:t>biootpada</w:t>
      </w:r>
      <w:proofErr w:type="spellEnd"/>
      <w:r w:rsidRPr="007067EB">
        <w:rPr>
          <w:color w:val="000000"/>
          <w:sz w:val="24"/>
          <w:szCs w:val="24"/>
          <w:lang w:eastAsia="hr-HR"/>
        </w:rPr>
        <w:t xml:space="preserve"> s 243 na 277 JLS (50% svih JLS). </w:t>
      </w:r>
      <w:proofErr w:type="spellStart"/>
      <w:r w:rsidRPr="007067EB">
        <w:rPr>
          <w:color w:val="000000"/>
          <w:sz w:val="24"/>
          <w:szCs w:val="24"/>
          <w:lang w:eastAsia="hr-HR"/>
        </w:rPr>
        <w:t>Kompostiranjem</w:t>
      </w:r>
      <w:proofErr w:type="spellEnd"/>
      <w:r w:rsidRPr="007067EB">
        <w:rPr>
          <w:color w:val="000000"/>
          <w:sz w:val="24"/>
          <w:szCs w:val="24"/>
          <w:lang w:eastAsia="hr-HR"/>
        </w:rPr>
        <w:t xml:space="preserve"> je obrađeno 80.411 tona </w:t>
      </w:r>
      <w:proofErr w:type="spellStart"/>
      <w:r>
        <w:rPr>
          <w:color w:val="000000"/>
          <w:sz w:val="24"/>
          <w:szCs w:val="24"/>
          <w:lang w:eastAsia="hr-HR"/>
        </w:rPr>
        <w:t>bio</w:t>
      </w:r>
      <w:r w:rsidRPr="007067EB">
        <w:rPr>
          <w:color w:val="000000"/>
          <w:sz w:val="24"/>
          <w:szCs w:val="24"/>
          <w:lang w:eastAsia="hr-HR"/>
        </w:rPr>
        <w:t>otpada</w:t>
      </w:r>
      <w:proofErr w:type="spellEnd"/>
      <w:r w:rsidRPr="007067EB">
        <w:rPr>
          <w:color w:val="000000"/>
          <w:sz w:val="24"/>
          <w:szCs w:val="24"/>
          <w:lang w:eastAsia="hr-HR"/>
        </w:rPr>
        <w:t xml:space="preserve">, dok je u 25 </w:t>
      </w:r>
      <w:proofErr w:type="spellStart"/>
      <w:r w:rsidRPr="007067EB">
        <w:rPr>
          <w:color w:val="000000"/>
          <w:sz w:val="24"/>
          <w:szCs w:val="24"/>
          <w:lang w:eastAsia="hr-HR"/>
        </w:rPr>
        <w:t>bioplinskih</w:t>
      </w:r>
      <w:proofErr w:type="spellEnd"/>
      <w:r w:rsidRPr="007067EB">
        <w:rPr>
          <w:color w:val="000000"/>
          <w:sz w:val="24"/>
          <w:szCs w:val="24"/>
          <w:lang w:eastAsia="hr-HR"/>
        </w:rPr>
        <w:t xml:space="preserve"> postrojenja anaerobnom digestijom obrađeno dodatnih 51.046 tona, pri čemu najveći udio čine </w:t>
      </w:r>
      <w:proofErr w:type="spellStart"/>
      <w:r w:rsidRPr="007067EB">
        <w:rPr>
          <w:color w:val="000000"/>
          <w:sz w:val="24"/>
          <w:szCs w:val="24"/>
          <w:lang w:eastAsia="hr-HR"/>
        </w:rPr>
        <w:t>biootpad</w:t>
      </w:r>
      <w:proofErr w:type="spellEnd"/>
      <w:r w:rsidRPr="007067EB">
        <w:rPr>
          <w:color w:val="000000"/>
          <w:sz w:val="24"/>
          <w:szCs w:val="24"/>
          <w:lang w:eastAsia="hr-HR"/>
        </w:rPr>
        <w:t xml:space="preserve"> iz kuhinja i kantina te iz vrtova i parkova.</w:t>
      </w:r>
    </w:p>
    <w:p w14:paraId="5EB962A1" w14:textId="77777777" w:rsidR="00FB178A" w:rsidRDefault="00FB178A" w:rsidP="00FB178A">
      <w:pPr>
        <w:widowControl/>
        <w:autoSpaceDE/>
        <w:autoSpaceDN/>
        <w:spacing w:after="240" w:line="276" w:lineRule="auto"/>
        <w:ind w:right="30"/>
        <w:jc w:val="both"/>
        <w:textAlignment w:val="baseline"/>
        <w:rPr>
          <w:color w:val="000000"/>
          <w:sz w:val="24"/>
          <w:szCs w:val="24"/>
          <w:lang w:eastAsia="hr-HR"/>
        </w:rPr>
      </w:pPr>
      <w:r w:rsidRPr="007067EB">
        <w:rPr>
          <w:color w:val="000000"/>
          <w:sz w:val="24"/>
          <w:szCs w:val="24"/>
          <w:lang w:eastAsia="hr-HR"/>
        </w:rPr>
        <w:t xml:space="preserve">Sveukupno gledano, </w:t>
      </w:r>
      <w:r>
        <w:rPr>
          <w:color w:val="000000"/>
          <w:sz w:val="24"/>
          <w:szCs w:val="24"/>
          <w:lang w:eastAsia="hr-HR"/>
        </w:rPr>
        <w:t xml:space="preserve">u </w:t>
      </w:r>
      <w:r w:rsidRPr="00B402ED">
        <w:rPr>
          <w:color w:val="000000"/>
          <w:sz w:val="24"/>
          <w:szCs w:val="24"/>
          <w:lang w:eastAsia="hr-HR"/>
        </w:rPr>
        <w:t>gospodarenj</w:t>
      </w:r>
      <w:r>
        <w:rPr>
          <w:color w:val="000000"/>
          <w:sz w:val="24"/>
          <w:szCs w:val="24"/>
          <w:lang w:eastAsia="hr-HR"/>
        </w:rPr>
        <w:t>u</w:t>
      </w:r>
      <w:r w:rsidRPr="00B402ED">
        <w:rPr>
          <w:color w:val="000000"/>
          <w:sz w:val="24"/>
          <w:szCs w:val="24"/>
          <w:lang w:eastAsia="hr-HR"/>
        </w:rPr>
        <w:t xml:space="preserve"> komunalnim otpadom </w:t>
      </w:r>
      <w:r>
        <w:rPr>
          <w:color w:val="000000"/>
          <w:sz w:val="24"/>
          <w:szCs w:val="24"/>
          <w:lang w:eastAsia="hr-HR"/>
        </w:rPr>
        <w:t xml:space="preserve">zabilježen je nastavak </w:t>
      </w:r>
      <w:r w:rsidRPr="007067EB">
        <w:rPr>
          <w:color w:val="000000"/>
          <w:sz w:val="24"/>
          <w:szCs w:val="24"/>
          <w:lang w:eastAsia="hr-HR"/>
        </w:rPr>
        <w:t>pozitivn</w:t>
      </w:r>
      <w:r>
        <w:rPr>
          <w:color w:val="000000"/>
          <w:sz w:val="24"/>
          <w:szCs w:val="24"/>
          <w:lang w:eastAsia="hr-HR"/>
        </w:rPr>
        <w:t>og</w:t>
      </w:r>
      <w:r w:rsidRPr="007067EB">
        <w:rPr>
          <w:color w:val="000000"/>
          <w:sz w:val="24"/>
          <w:szCs w:val="24"/>
          <w:lang w:eastAsia="hr-HR"/>
        </w:rPr>
        <w:t>, ali još uvijek nedovoljno brz</w:t>
      </w:r>
      <w:r>
        <w:rPr>
          <w:color w:val="000000"/>
          <w:sz w:val="24"/>
          <w:szCs w:val="24"/>
          <w:lang w:eastAsia="hr-HR"/>
        </w:rPr>
        <w:t>og</w:t>
      </w:r>
      <w:r w:rsidRPr="007067EB">
        <w:rPr>
          <w:color w:val="000000"/>
          <w:sz w:val="24"/>
          <w:szCs w:val="24"/>
          <w:lang w:eastAsia="hr-HR"/>
        </w:rPr>
        <w:t xml:space="preserve"> trend približavanja nacionalnim i EU ciljevima. U razdoblju 2010.</w:t>
      </w:r>
      <w:r>
        <w:rPr>
          <w:color w:val="000000"/>
          <w:sz w:val="24"/>
          <w:szCs w:val="24"/>
          <w:lang w:eastAsia="hr-HR"/>
        </w:rPr>
        <w:t xml:space="preserve"> - </w:t>
      </w:r>
      <w:r w:rsidRPr="007067EB">
        <w:rPr>
          <w:color w:val="000000"/>
          <w:sz w:val="24"/>
          <w:szCs w:val="24"/>
          <w:lang w:eastAsia="hr-HR"/>
        </w:rPr>
        <w:t xml:space="preserve">2024. stopa recikliranja porasla je s 4% na 37%, a udio odlaganja smanjen je s 94% na 51%, uz snažan rast infrastrukture za odvojeno prikupljanje otpada i </w:t>
      </w:r>
      <w:proofErr w:type="spellStart"/>
      <w:r w:rsidRPr="007067EB">
        <w:rPr>
          <w:color w:val="000000"/>
          <w:sz w:val="24"/>
          <w:szCs w:val="24"/>
          <w:lang w:eastAsia="hr-HR"/>
        </w:rPr>
        <w:t>reciklažnih</w:t>
      </w:r>
      <w:proofErr w:type="spellEnd"/>
      <w:r w:rsidRPr="007067EB">
        <w:rPr>
          <w:color w:val="000000"/>
          <w:sz w:val="24"/>
          <w:szCs w:val="24"/>
          <w:lang w:eastAsia="hr-HR"/>
        </w:rPr>
        <w:t xml:space="preserve"> dvorišta. Istodobno, ciljevi od najmanje 50% recikliranja do 2020. (i 55% do 2025.) te smanjenja odlaganja biorazgradivog otpada nisu još ostvareni, što zahtijeva nastavak izobraz</w:t>
      </w:r>
      <w:r>
        <w:rPr>
          <w:color w:val="000000"/>
          <w:sz w:val="24"/>
          <w:szCs w:val="24"/>
          <w:lang w:eastAsia="hr-HR"/>
        </w:rPr>
        <w:t xml:space="preserve">bi i </w:t>
      </w:r>
      <w:r w:rsidRPr="007067EB">
        <w:rPr>
          <w:color w:val="000000"/>
          <w:sz w:val="24"/>
          <w:szCs w:val="24"/>
          <w:lang w:eastAsia="hr-HR"/>
        </w:rPr>
        <w:t>informativnih aktivnosti, ubrzana ulaganja u postrojenja za obradu otpada te daljnje jačanje kvalitete podataka i praćenja kroz informacijske sustave</w:t>
      </w:r>
      <w:r>
        <w:rPr>
          <w:color w:val="000000"/>
          <w:sz w:val="24"/>
          <w:szCs w:val="24"/>
          <w:lang w:eastAsia="hr-HR"/>
        </w:rPr>
        <w:t xml:space="preserve">, </w:t>
      </w:r>
      <w:r w:rsidRPr="007067EB">
        <w:rPr>
          <w:color w:val="000000"/>
          <w:sz w:val="24"/>
          <w:szCs w:val="24"/>
          <w:lang w:eastAsia="hr-HR"/>
        </w:rPr>
        <w:t xml:space="preserve">budući da gospodarenje komunalnim otpadom izravno utječe na emisije stakleničkih plinova, </w:t>
      </w:r>
      <w:r>
        <w:rPr>
          <w:color w:val="000000"/>
          <w:sz w:val="24"/>
          <w:szCs w:val="24"/>
          <w:lang w:eastAsia="hr-HR"/>
        </w:rPr>
        <w:t>zaštitu</w:t>
      </w:r>
      <w:r w:rsidRPr="007067EB">
        <w:rPr>
          <w:color w:val="000000"/>
          <w:sz w:val="24"/>
          <w:szCs w:val="24"/>
          <w:lang w:eastAsia="hr-HR"/>
        </w:rPr>
        <w:t xml:space="preserve"> okoliša i resursnu učinkovitost.</w:t>
      </w:r>
      <w:r>
        <w:rPr>
          <w:color w:val="000000"/>
          <w:sz w:val="24"/>
          <w:szCs w:val="24"/>
          <w:lang w:eastAsia="hr-HR"/>
        </w:rPr>
        <w:t xml:space="preserve"> </w:t>
      </w:r>
    </w:p>
    <w:p w14:paraId="0909A4D1" w14:textId="77777777" w:rsidR="00FB178A" w:rsidRDefault="00FB178A" w:rsidP="00FB178A">
      <w:pPr>
        <w:widowControl/>
        <w:autoSpaceDE/>
        <w:autoSpaceDN/>
        <w:spacing w:before="240" w:line="276" w:lineRule="auto"/>
        <w:ind w:right="30"/>
        <w:jc w:val="both"/>
        <w:textAlignment w:val="baseline"/>
        <w:rPr>
          <w:color w:val="000000"/>
          <w:sz w:val="24"/>
          <w:szCs w:val="24"/>
          <w:lang w:eastAsia="hr-HR"/>
        </w:rPr>
      </w:pPr>
      <w:r>
        <w:rPr>
          <w:color w:val="000000"/>
          <w:sz w:val="24"/>
          <w:szCs w:val="24"/>
          <w:lang w:eastAsia="hr-HR"/>
        </w:rPr>
        <w:t xml:space="preserve">U području jačanja resursne učinkovitosti tijekom 2024. </w:t>
      </w:r>
      <w:r w:rsidRPr="00660024">
        <w:rPr>
          <w:color w:val="000000"/>
          <w:sz w:val="24"/>
          <w:szCs w:val="24"/>
          <w:lang w:eastAsia="hr-HR"/>
        </w:rPr>
        <w:t xml:space="preserve">fokus </w:t>
      </w:r>
      <w:r>
        <w:rPr>
          <w:color w:val="000000"/>
          <w:sz w:val="24"/>
          <w:szCs w:val="24"/>
          <w:lang w:eastAsia="hr-HR"/>
        </w:rPr>
        <w:t xml:space="preserve">je </w:t>
      </w:r>
      <w:r w:rsidRPr="00660024">
        <w:rPr>
          <w:color w:val="000000"/>
          <w:sz w:val="24"/>
          <w:szCs w:val="24"/>
          <w:lang w:eastAsia="hr-HR"/>
        </w:rPr>
        <w:t>usmjeren na izradu Nacionalnog plana razvoja kružnog gospodarstva za razdoblje 2026.</w:t>
      </w:r>
      <w:r>
        <w:rPr>
          <w:color w:val="000000"/>
          <w:sz w:val="24"/>
          <w:szCs w:val="24"/>
          <w:lang w:eastAsia="hr-HR"/>
        </w:rPr>
        <w:t xml:space="preserve"> - </w:t>
      </w:r>
      <w:r w:rsidRPr="00660024">
        <w:rPr>
          <w:color w:val="000000"/>
          <w:sz w:val="24"/>
          <w:szCs w:val="24"/>
          <w:lang w:eastAsia="hr-HR"/>
        </w:rPr>
        <w:t xml:space="preserve">2032., uz osnivanje Nacionalnog vijeća za kružno gospodarstvo </w:t>
      </w:r>
      <w:r>
        <w:rPr>
          <w:color w:val="000000"/>
          <w:sz w:val="24"/>
          <w:szCs w:val="24"/>
          <w:lang w:eastAsia="hr-HR"/>
        </w:rPr>
        <w:t>te formiranje</w:t>
      </w:r>
      <w:r w:rsidRPr="00660024">
        <w:rPr>
          <w:color w:val="000000"/>
          <w:sz w:val="24"/>
          <w:szCs w:val="24"/>
          <w:lang w:eastAsia="hr-HR"/>
        </w:rPr>
        <w:t xml:space="preserve"> radne skupine koja je započela izradu </w:t>
      </w:r>
      <w:r>
        <w:rPr>
          <w:color w:val="000000"/>
          <w:sz w:val="24"/>
          <w:szCs w:val="24"/>
          <w:lang w:eastAsia="hr-HR"/>
        </w:rPr>
        <w:t>akta</w:t>
      </w:r>
      <w:r w:rsidRPr="00660024">
        <w:rPr>
          <w:color w:val="000000"/>
          <w:sz w:val="24"/>
          <w:szCs w:val="24"/>
          <w:lang w:eastAsia="hr-HR"/>
        </w:rPr>
        <w:t xml:space="preserve">. </w:t>
      </w:r>
      <w:r>
        <w:rPr>
          <w:color w:val="000000"/>
          <w:sz w:val="24"/>
          <w:szCs w:val="24"/>
          <w:lang w:eastAsia="hr-HR"/>
        </w:rPr>
        <w:t>Nacionalnim p</w:t>
      </w:r>
      <w:r w:rsidRPr="00660024">
        <w:rPr>
          <w:color w:val="000000"/>
          <w:sz w:val="24"/>
          <w:szCs w:val="24"/>
          <w:lang w:eastAsia="hr-HR"/>
        </w:rPr>
        <w:t xml:space="preserve">lanom </w:t>
      </w:r>
      <w:r>
        <w:rPr>
          <w:color w:val="000000"/>
          <w:sz w:val="24"/>
          <w:szCs w:val="24"/>
          <w:lang w:eastAsia="hr-HR"/>
        </w:rPr>
        <w:t xml:space="preserve">će </w:t>
      </w:r>
      <w:r w:rsidRPr="00660024">
        <w:rPr>
          <w:color w:val="000000"/>
          <w:sz w:val="24"/>
          <w:szCs w:val="24"/>
          <w:lang w:eastAsia="hr-HR"/>
        </w:rPr>
        <w:t xml:space="preserve">se </w:t>
      </w:r>
      <w:r>
        <w:rPr>
          <w:color w:val="000000"/>
          <w:sz w:val="24"/>
          <w:szCs w:val="24"/>
          <w:lang w:eastAsia="hr-HR"/>
        </w:rPr>
        <w:t>utvrditi ciljevi i mjere za</w:t>
      </w:r>
      <w:r w:rsidRPr="00660024">
        <w:rPr>
          <w:color w:val="000000"/>
          <w:sz w:val="24"/>
          <w:szCs w:val="24"/>
          <w:lang w:eastAsia="hr-HR"/>
        </w:rPr>
        <w:t xml:space="preserve"> jačanje produktivnosti resursa, razvoj kružnih poslovnih modela i obrazovanje u području kružnog gospodarstva, s ciljem pozitivnog učinka na</w:t>
      </w:r>
      <w:r>
        <w:rPr>
          <w:color w:val="000000"/>
          <w:sz w:val="24"/>
          <w:szCs w:val="24"/>
          <w:lang w:eastAsia="hr-HR"/>
        </w:rPr>
        <w:t xml:space="preserve"> gospodarstvo</w:t>
      </w:r>
      <w:r w:rsidRPr="00660024">
        <w:rPr>
          <w:color w:val="000000"/>
          <w:sz w:val="24"/>
          <w:szCs w:val="24"/>
          <w:lang w:eastAsia="hr-HR"/>
        </w:rPr>
        <w:t xml:space="preserve">, </w:t>
      </w:r>
      <w:r>
        <w:rPr>
          <w:color w:val="000000"/>
          <w:sz w:val="24"/>
          <w:szCs w:val="24"/>
          <w:lang w:eastAsia="hr-HR"/>
        </w:rPr>
        <w:t>društvo</w:t>
      </w:r>
      <w:r w:rsidRPr="00660024">
        <w:rPr>
          <w:color w:val="000000"/>
          <w:sz w:val="24"/>
          <w:szCs w:val="24"/>
          <w:lang w:eastAsia="hr-HR"/>
        </w:rPr>
        <w:t xml:space="preserve"> i okoliš.</w:t>
      </w:r>
    </w:p>
    <w:p w14:paraId="52048FBC" w14:textId="77777777" w:rsidR="00FB178A" w:rsidRDefault="00FB178A" w:rsidP="00FB178A">
      <w:pPr>
        <w:widowControl/>
        <w:autoSpaceDE/>
        <w:autoSpaceDN/>
        <w:spacing w:before="240" w:line="276" w:lineRule="auto"/>
        <w:ind w:right="30"/>
        <w:jc w:val="both"/>
        <w:textAlignment w:val="baseline"/>
        <w:rPr>
          <w:color w:val="000000"/>
          <w:sz w:val="24"/>
          <w:szCs w:val="24"/>
          <w:lang w:eastAsia="hr-HR"/>
        </w:rPr>
      </w:pPr>
      <w:r w:rsidRPr="00F44D2F">
        <w:rPr>
          <w:color w:val="000000"/>
          <w:sz w:val="24"/>
          <w:szCs w:val="24"/>
          <w:lang w:eastAsia="hr-HR"/>
        </w:rPr>
        <w:t>Nadalje, prihodi od prodaje emisijskih jedinica putem dražbi</w:t>
      </w:r>
      <w:r>
        <w:rPr>
          <w:color w:val="000000"/>
          <w:sz w:val="24"/>
          <w:szCs w:val="24"/>
          <w:lang w:eastAsia="hr-HR"/>
        </w:rPr>
        <w:t xml:space="preserve"> u </w:t>
      </w:r>
      <w:r w:rsidRPr="00F44D2F">
        <w:rPr>
          <w:color w:val="000000"/>
          <w:sz w:val="24"/>
          <w:szCs w:val="24"/>
          <w:lang w:eastAsia="hr-HR"/>
        </w:rPr>
        <w:t>sustav</w:t>
      </w:r>
      <w:r>
        <w:rPr>
          <w:color w:val="000000"/>
          <w:sz w:val="24"/>
          <w:szCs w:val="24"/>
          <w:lang w:eastAsia="hr-HR"/>
        </w:rPr>
        <w:t>u</w:t>
      </w:r>
      <w:r w:rsidRPr="00F44D2F">
        <w:rPr>
          <w:color w:val="000000"/>
          <w:sz w:val="24"/>
          <w:szCs w:val="24"/>
          <w:lang w:eastAsia="hr-HR"/>
        </w:rPr>
        <w:t xml:space="preserve"> trgovanja emisijskim jedinicama, u 2024. </w:t>
      </w:r>
      <w:r>
        <w:rPr>
          <w:color w:val="000000"/>
          <w:sz w:val="24"/>
          <w:szCs w:val="24"/>
          <w:lang w:eastAsia="hr-HR"/>
        </w:rPr>
        <w:t xml:space="preserve">su </w:t>
      </w:r>
      <w:r w:rsidRPr="00F44D2F">
        <w:rPr>
          <w:color w:val="000000"/>
          <w:sz w:val="24"/>
          <w:szCs w:val="24"/>
          <w:lang w:eastAsia="hr-HR"/>
        </w:rPr>
        <w:t xml:space="preserve">iznosili </w:t>
      </w:r>
      <w:r>
        <w:rPr>
          <w:color w:val="000000"/>
          <w:sz w:val="24"/>
          <w:szCs w:val="24"/>
          <w:lang w:eastAsia="hr-HR"/>
        </w:rPr>
        <w:t xml:space="preserve">112,3 </w:t>
      </w:r>
      <w:r w:rsidRPr="00F44D2F">
        <w:rPr>
          <w:color w:val="000000"/>
          <w:sz w:val="24"/>
          <w:szCs w:val="24"/>
          <w:lang w:eastAsia="hr-HR"/>
        </w:rPr>
        <w:t xml:space="preserve">milijuna eura, </w:t>
      </w:r>
      <w:r>
        <w:rPr>
          <w:color w:val="000000"/>
          <w:sz w:val="24"/>
          <w:szCs w:val="24"/>
          <w:lang w:eastAsia="hr-HR"/>
        </w:rPr>
        <w:t xml:space="preserve">a oko 50 milijuna eura utrošeno je </w:t>
      </w:r>
      <w:r w:rsidRPr="00F44D2F">
        <w:rPr>
          <w:color w:val="000000"/>
          <w:sz w:val="24"/>
          <w:szCs w:val="24"/>
          <w:lang w:eastAsia="hr-HR"/>
        </w:rPr>
        <w:t>na sufinanciranje programa i projekata zaštite okoliša i energetske učinkovitosti kojima se doprinosi smanjenju emisija stakleničkih plinova.</w:t>
      </w:r>
      <w:r>
        <w:rPr>
          <w:color w:val="000000"/>
          <w:sz w:val="24"/>
          <w:szCs w:val="24"/>
          <w:lang w:eastAsia="hr-HR"/>
        </w:rPr>
        <w:t xml:space="preserve"> Obzirom da m</w:t>
      </w:r>
      <w:r w:rsidRPr="0004221B">
        <w:rPr>
          <w:color w:val="000000"/>
          <w:sz w:val="24"/>
          <w:szCs w:val="24"/>
          <w:lang w:eastAsia="hr-HR"/>
        </w:rPr>
        <w:t>jere predviđene zakonodavnim paketom EU-a „Spremni za 55” obuhvaćaju sve sektore gospodarstva, proširen</w:t>
      </w:r>
      <w:r>
        <w:rPr>
          <w:color w:val="000000"/>
          <w:sz w:val="24"/>
          <w:szCs w:val="24"/>
          <w:lang w:eastAsia="hr-HR"/>
        </w:rPr>
        <w:t xml:space="preserve"> je postojeći </w:t>
      </w:r>
      <w:r w:rsidRPr="0004221B">
        <w:rPr>
          <w:color w:val="000000"/>
          <w:sz w:val="24"/>
          <w:szCs w:val="24"/>
          <w:lang w:eastAsia="hr-HR"/>
        </w:rPr>
        <w:t>sustav trgovanja emisijskim jedinicama</w:t>
      </w:r>
      <w:r>
        <w:rPr>
          <w:color w:val="000000"/>
          <w:sz w:val="24"/>
          <w:szCs w:val="24"/>
          <w:lang w:eastAsia="hr-HR"/>
        </w:rPr>
        <w:t xml:space="preserve"> (EU ETS1) na sektor pomorstva,</w:t>
      </w:r>
      <w:r w:rsidRPr="0004221B">
        <w:rPr>
          <w:color w:val="000000"/>
          <w:sz w:val="24"/>
          <w:szCs w:val="24"/>
          <w:lang w:eastAsia="hr-HR"/>
        </w:rPr>
        <w:t xml:space="preserve"> koji je</w:t>
      </w:r>
      <w:r>
        <w:rPr>
          <w:color w:val="000000"/>
          <w:sz w:val="24"/>
          <w:szCs w:val="24"/>
          <w:lang w:eastAsia="hr-HR"/>
        </w:rPr>
        <w:t xml:space="preserve"> već</w:t>
      </w:r>
      <w:r w:rsidRPr="0004221B">
        <w:rPr>
          <w:color w:val="000000"/>
          <w:sz w:val="24"/>
          <w:szCs w:val="24"/>
          <w:lang w:eastAsia="hr-HR"/>
        </w:rPr>
        <w:t xml:space="preserve"> značajno pridonio smanjenju emisija stakleničkih plinova u energetski intenzivnim industrijama. </w:t>
      </w:r>
      <w:r>
        <w:rPr>
          <w:color w:val="000000"/>
          <w:sz w:val="24"/>
          <w:szCs w:val="24"/>
          <w:lang w:eastAsia="hr-HR"/>
        </w:rPr>
        <w:t xml:space="preserve">U skladu sa zakonodavnim paketom EU, </w:t>
      </w:r>
      <w:r w:rsidRPr="0004221B">
        <w:rPr>
          <w:color w:val="000000"/>
          <w:sz w:val="24"/>
          <w:szCs w:val="24"/>
          <w:lang w:eastAsia="hr-HR"/>
        </w:rPr>
        <w:t xml:space="preserve">uspostavljen </w:t>
      </w:r>
      <w:r>
        <w:rPr>
          <w:color w:val="000000"/>
          <w:sz w:val="24"/>
          <w:szCs w:val="24"/>
          <w:lang w:eastAsia="hr-HR"/>
        </w:rPr>
        <w:t xml:space="preserve">je </w:t>
      </w:r>
      <w:r w:rsidRPr="0004221B">
        <w:rPr>
          <w:color w:val="000000"/>
          <w:sz w:val="24"/>
          <w:szCs w:val="24"/>
          <w:lang w:eastAsia="hr-HR"/>
        </w:rPr>
        <w:t xml:space="preserve">novi EU ETS2, kojim su u sustav </w:t>
      </w:r>
      <w:r>
        <w:rPr>
          <w:color w:val="000000"/>
          <w:sz w:val="24"/>
          <w:szCs w:val="24"/>
          <w:lang w:eastAsia="hr-HR"/>
        </w:rPr>
        <w:t xml:space="preserve">trgovanja emisijskim jedinicama </w:t>
      </w:r>
      <w:r w:rsidRPr="0004221B">
        <w:rPr>
          <w:color w:val="000000"/>
          <w:sz w:val="24"/>
          <w:szCs w:val="24"/>
          <w:lang w:eastAsia="hr-HR"/>
        </w:rPr>
        <w:t>uključeni sektori zgradarstva, cestovnog prometa i male industrije.</w:t>
      </w:r>
      <w:r>
        <w:rPr>
          <w:color w:val="000000"/>
          <w:sz w:val="24"/>
          <w:szCs w:val="24"/>
          <w:lang w:eastAsia="hr-HR"/>
        </w:rPr>
        <w:t xml:space="preserve"> Očekuje se kako će u</w:t>
      </w:r>
      <w:r w:rsidRPr="00AC486F">
        <w:rPr>
          <w:color w:val="000000"/>
          <w:sz w:val="24"/>
          <w:szCs w:val="24"/>
          <w:lang w:eastAsia="hr-HR"/>
        </w:rPr>
        <w:t xml:space="preserve">vođenje zgradarstva i </w:t>
      </w:r>
      <w:r>
        <w:rPr>
          <w:color w:val="000000"/>
          <w:sz w:val="24"/>
          <w:szCs w:val="24"/>
          <w:lang w:eastAsia="hr-HR"/>
        </w:rPr>
        <w:t xml:space="preserve">cestovnog </w:t>
      </w:r>
      <w:r w:rsidRPr="00AC486F">
        <w:rPr>
          <w:color w:val="000000"/>
          <w:sz w:val="24"/>
          <w:szCs w:val="24"/>
          <w:lang w:eastAsia="hr-HR"/>
        </w:rPr>
        <w:t xml:space="preserve">prometa u sustav trgovanja emisijskim jedinicama potaknuti </w:t>
      </w:r>
      <w:r>
        <w:rPr>
          <w:color w:val="000000"/>
          <w:sz w:val="24"/>
          <w:szCs w:val="24"/>
          <w:lang w:eastAsia="hr-HR"/>
        </w:rPr>
        <w:t xml:space="preserve">značajno </w:t>
      </w:r>
      <w:r w:rsidRPr="00AC486F">
        <w:rPr>
          <w:color w:val="000000"/>
          <w:sz w:val="24"/>
          <w:szCs w:val="24"/>
          <w:lang w:eastAsia="hr-HR"/>
        </w:rPr>
        <w:t xml:space="preserve">investiranje u energetsku obnovu zgrada kao i </w:t>
      </w:r>
      <w:r>
        <w:rPr>
          <w:color w:val="000000"/>
          <w:sz w:val="24"/>
          <w:szCs w:val="24"/>
          <w:lang w:eastAsia="hr-HR"/>
        </w:rPr>
        <w:t>modernizaciju</w:t>
      </w:r>
      <w:r w:rsidRPr="00AC486F">
        <w:rPr>
          <w:color w:val="000000"/>
          <w:sz w:val="24"/>
          <w:szCs w:val="24"/>
          <w:lang w:eastAsia="hr-HR"/>
        </w:rPr>
        <w:t xml:space="preserve"> voznog parka </w:t>
      </w:r>
      <w:r>
        <w:rPr>
          <w:color w:val="000000"/>
          <w:sz w:val="24"/>
          <w:szCs w:val="24"/>
          <w:lang w:eastAsia="hr-HR"/>
        </w:rPr>
        <w:t xml:space="preserve">bez emisija </w:t>
      </w:r>
      <w:r w:rsidRPr="00AC486F">
        <w:rPr>
          <w:color w:val="000000"/>
          <w:sz w:val="24"/>
          <w:szCs w:val="24"/>
          <w:lang w:eastAsia="hr-HR"/>
        </w:rPr>
        <w:t>te time o</w:t>
      </w:r>
      <w:r>
        <w:rPr>
          <w:color w:val="000000"/>
          <w:sz w:val="24"/>
          <w:szCs w:val="24"/>
          <w:lang w:eastAsia="hr-HR"/>
        </w:rPr>
        <w:t>brnuti</w:t>
      </w:r>
      <w:r w:rsidRPr="00AC486F">
        <w:rPr>
          <w:color w:val="000000"/>
          <w:sz w:val="24"/>
          <w:szCs w:val="24"/>
          <w:lang w:eastAsia="hr-HR"/>
        </w:rPr>
        <w:t xml:space="preserve"> trend emisija koj</w:t>
      </w:r>
      <w:r>
        <w:rPr>
          <w:color w:val="000000"/>
          <w:sz w:val="24"/>
          <w:szCs w:val="24"/>
          <w:lang w:eastAsia="hr-HR"/>
        </w:rPr>
        <w:t>i</w:t>
      </w:r>
      <w:r w:rsidRPr="00AC486F">
        <w:rPr>
          <w:color w:val="000000"/>
          <w:sz w:val="24"/>
          <w:szCs w:val="24"/>
          <w:lang w:eastAsia="hr-HR"/>
        </w:rPr>
        <w:t xml:space="preserve"> u sektoru prometa</w:t>
      </w:r>
      <w:r>
        <w:rPr>
          <w:color w:val="000000"/>
          <w:sz w:val="24"/>
          <w:szCs w:val="24"/>
          <w:lang w:eastAsia="hr-HR"/>
        </w:rPr>
        <w:t xml:space="preserve"> bilježe</w:t>
      </w:r>
      <w:r w:rsidRPr="00AC486F">
        <w:rPr>
          <w:color w:val="000000"/>
          <w:sz w:val="24"/>
          <w:szCs w:val="24"/>
          <w:lang w:eastAsia="hr-HR"/>
        </w:rPr>
        <w:t xml:space="preserve"> rast. </w:t>
      </w:r>
      <w:r w:rsidRPr="00132C06">
        <w:rPr>
          <w:color w:val="000000"/>
          <w:sz w:val="24"/>
          <w:szCs w:val="24"/>
          <w:lang w:eastAsia="hr-HR"/>
        </w:rPr>
        <w:t xml:space="preserve">U </w:t>
      </w:r>
      <w:r>
        <w:rPr>
          <w:color w:val="000000"/>
          <w:sz w:val="24"/>
          <w:szCs w:val="24"/>
          <w:lang w:eastAsia="hr-HR"/>
        </w:rPr>
        <w:t xml:space="preserve">skladu s navedenim tijekom </w:t>
      </w:r>
      <w:r w:rsidRPr="00132C06">
        <w:rPr>
          <w:color w:val="000000"/>
          <w:sz w:val="24"/>
          <w:szCs w:val="24"/>
          <w:lang w:eastAsia="hr-HR"/>
        </w:rPr>
        <w:t xml:space="preserve">2024. proveden </w:t>
      </w:r>
      <w:r>
        <w:rPr>
          <w:color w:val="000000"/>
          <w:sz w:val="24"/>
          <w:szCs w:val="24"/>
          <w:lang w:eastAsia="hr-HR"/>
        </w:rPr>
        <w:t>je</w:t>
      </w:r>
      <w:r w:rsidRPr="00132C06">
        <w:rPr>
          <w:color w:val="000000"/>
          <w:sz w:val="24"/>
          <w:szCs w:val="24"/>
          <w:lang w:eastAsia="hr-HR"/>
        </w:rPr>
        <w:t xml:space="preserve"> </w:t>
      </w:r>
      <w:r>
        <w:rPr>
          <w:color w:val="000000"/>
          <w:sz w:val="24"/>
          <w:szCs w:val="24"/>
          <w:lang w:eastAsia="hr-HR"/>
        </w:rPr>
        <w:t>niz</w:t>
      </w:r>
      <w:r w:rsidRPr="00132C06">
        <w:rPr>
          <w:color w:val="000000"/>
          <w:sz w:val="24"/>
          <w:szCs w:val="24"/>
          <w:lang w:eastAsia="hr-HR"/>
        </w:rPr>
        <w:t xml:space="preserve"> radionic</w:t>
      </w:r>
      <w:r>
        <w:rPr>
          <w:color w:val="000000"/>
          <w:sz w:val="24"/>
          <w:szCs w:val="24"/>
          <w:lang w:eastAsia="hr-HR"/>
        </w:rPr>
        <w:t>a</w:t>
      </w:r>
      <w:r w:rsidRPr="00132C06">
        <w:rPr>
          <w:color w:val="000000"/>
          <w:sz w:val="24"/>
          <w:szCs w:val="24"/>
          <w:lang w:eastAsia="hr-HR"/>
        </w:rPr>
        <w:t xml:space="preserve"> </w:t>
      </w:r>
      <w:r>
        <w:rPr>
          <w:color w:val="000000"/>
          <w:sz w:val="24"/>
          <w:szCs w:val="24"/>
          <w:lang w:eastAsia="hr-HR"/>
        </w:rPr>
        <w:t>za</w:t>
      </w:r>
      <w:r w:rsidRPr="00132C06">
        <w:rPr>
          <w:color w:val="000000"/>
          <w:sz w:val="24"/>
          <w:szCs w:val="24"/>
          <w:lang w:eastAsia="hr-HR"/>
        </w:rPr>
        <w:t xml:space="preserve"> obvezni</w:t>
      </w:r>
      <w:r>
        <w:rPr>
          <w:color w:val="000000"/>
          <w:sz w:val="24"/>
          <w:szCs w:val="24"/>
          <w:lang w:eastAsia="hr-HR"/>
        </w:rPr>
        <w:t>ke</w:t>
      </w:r>
      <w:r w:rsidRPr="00132C06">
        <w:rPr>
          <w:color w:val="000000"/>
          <w:sz w:val="24"/>
          <w:szCs w:val="24"/>
          <w:lang w:eastAsia="hr-HR"/>
        </w:rPr>
        <w:t xml:space="preserve"> EU ETS-a</w:t>
      </w:r>
      <w:r>
        <w:rPr>
          <w:color w:val="000000"/>
          <w:sz w:val="24"/>
          <w:szCs w:val="24"/>
          <w:lang w:eastAsia="hr-HR"/>
        </w:rPr>
        <w:t xml:space="preserve"> 2, kako bi se obveznike</w:t>
      </w:r>
      <w:r w:rsidRPr="00132C06">
        <w:rPr>
          <w:color w:val="000000"/>
          <w:sz w:val="24"/>
          <w:szCs w:val="24"/>
          <w:lang w:eastAsia="hr-HR"/>
        </w:rPr>
        <w:t xml:space="preserve"> upoznal</w:t>
      </w:r>
      <w:r>
        <w:rPr>
          <w:color w:val="000000"/>
          <w:sz w:val="24"/>
          <w:szCs w:val="24"/>
          <w:lang w:eastAsia="hr-HR"/>
        </w:rPr>
        <w:t>o</w:t>
      </w:r>
      <w:r w:rsidRPr="00132C06">
        <w:rPr>
          <w:color w:val="000000"/>
          <w:sz w:val="24"/>
          <w:szCs w:val="24"/>
          <w:lang w:eastAsia="hr-HR"/>
        </w:rPr>
        <w:t xml:space="preserve"> s</w:t>
      </w:r>
      <w:r>
        <w:rPr>
          <w:color w:val="000000"/>
          <w:sz w:val="24"/>
          <w:szCs w:val="24"/>
          <w:lang w:eastAsia="hr-HR"/>
        </w:rPr>
        <w:t>a sustavom i</w:t>
      </w:r>
      <w:r w:rsidRPr="00132C06">
        <w:rPr>
          <w:color w:val="000000"/>
          <w:sz w:val="24"/>
          <w:szCs w:val="24"/>
          <w:lang w:eastAsia="hr-HR"/>
        </w:rPr>
        <w:t xml:space="preserve"> novim obvezama </w:t>
      </w:r>
      <w:r>
        <w:rPr>
          <w:color w:val="000000"/>
          <w:sz w:val="24"/>
          <w:szCs w:val="24"/>
          <w:lang w:eastAsia="hr-HR"/>
        </w:rPr>
        <w:t xml:space="preserve">te </w:t>
      </w:r>
      <w:r w:rsidRPr="00132C06">
        <w:rPr>
          <w:color w:val="000000"/>
          <w:sz w:val="24"/>
          <w:szCs w:val="24"/>
          <w:lang w:eastAsia="hr-HR"/>
        </w:rPr>
        <w:t xml:space="preserve">kako bi mogli pratiti i </w:t>
      </w:r>
      <w:r w:rsidRPr="00705508">
        <w:rPr>
          <w:color w:val="000000"/>
          <w:sz w:val="24"/>
          <w:szCs w:val="24"/>
          <w:lang w:eastAsia="hr-HR"/>
        </w:rPr>
        <w:t>izvješ</w:t>
      </w:r>
      <w:r>
        <w:rPr>
          <w:color w:val="000000"/>
          <w:sz w:val="24"/>
          <w:szCs w:val="24"/>
          <w:lang w:eastAsia="hr-HR"/>
        </w:rPr>
        <w:t>tavati</w:t>
      </w:r>
      <w:r w:rsidRPr="00132C06">
        <w:rPr>
          <w:color w:val="000000"/>
          <w:sz w:val="24"/>
          <w:szCs w:val="24"/>
          <w:lang w:eastAsia="hr-HR"/>
        </w:rPr>
        <w:t xml:space="preserve"> o </w:t>
      </w:r>
      <w:r>
        <w:rPr>
          <w:color w:val="000000"/>
          <w:sz w:val="24"/>
          <w:szCs w:val="24"/>
          <w:lang w:eastAsia="hr-HR"/>
        </w:rPr>
        <w:t xml:space="preserve">zabilježenim </w:t>
      </w:r>
      <w:r w:rsidRPr="00132C06">
        <w:rPr>
          <w:color w:val="000000"/>
          <w:sz w:val="24"/>
          <w:szCs w:val="24"/>
          <w:lang w:eastAsia="hr-HR"/>
        </w:rPr>
        <w:t>emisijama. </w:t>
      </w:r>
    </w:p>
    <w:p w14:paraId="140B06C7" w14:textId="77777777" w:rsidR="00FB178A" w:rsidRPr="00A3070E" w:rsidRDefault="00FB178A" w:rsidP="00FB178A">
      <w:pPr>
        <w:widowControl/>
        <w:autoSpaceDE/>
        <w:autoSpaceDN/>
        <w:spacing w:before="240" w:line="276" w:lineRule="auto"/>
        <w:ind w:right="30"/>
        <w:jc w:val="both"/>
        <w:textAlignment w:val="baseline"/>
        <w:rPr>
          <w:color w:val="000000"/>
          <w:sz w:val="24"/>
          <w:szCs w:val="24"/>
          <w:lang w:eastAsia="hr-HR"/>
        </w:rPr>
      </w:pPr>
      <w:r>
        <w:rPr>
          <w:color w:val="000000"/>
          <w:sz w:val="24"/>
          <w:szCs w:val="24"/>
          <w:lang w:eastAsia="hr-HR"/>
        </w:rPr>
        <w:lastRenderedPageBreak/>
        <w:t>N</w:t>
      </w:r>
      <w:r w:rsidRPr="00A3070E">
        <w:rPr>
          <w:color w:val="000000"/>
          <w:sz w:val="24"/>
          <w:szCs w:val="24"/>
          <w:lang w:eastAsia="hr-HR"/>
        </w:rPr>
        <w:t>astavljena je provedba Modernizacijskog fonda, ključnog financijskog mehanizma EU-</w:t>
      </w:r>
      <w:r>
        <w:rPr>
          <w:color w:val="000000"/>
          <w:sz w:val="24"/>
          <w:szCs w:val="24"/>
          <w:lang w:eastAsia="hr-HR"/>
        </w:rPr>
        <w:t>a</w:t>
      </w:r>
      <w:r w:rsidRPr="00A3070E">
        <w:rPr>
          <w:color w:val="000000"/>
          <w:sz w:val="24"/>
          <w:szCs w:val="24"/>
          <w:lang w:eastAsia="hr-HR"/>
        </w:rPr>
        <w:t xml:space="preserve"> za potporu zelenoj i socijalno pravednoj tranziciji u državama članicama s nižim dohotkom, uključujući Hrvatsku. Sredstvima iz fonda podupiru se ulaganja u </w:t>
      </w:r>
      <w:proofErr w:type="spellStart"/>
      <w:r w:rsidRPr="00A3070E">
        <w:rPr>
          <w:color w:val="000000"/>
          <w:sz w:val="24"/>
          <w:szCs w:val="24"/>
          <w:lang w:eastAsia="hr-HR"/>
        </w:rPr>
        <w:t>dekarbonizaciju</w:t>
      </w:r>
      <w:proofErr w:type="spellEnd"/>
      <w:r w:rsidRPr="00A3070E">
        <w:rPr>
          <w:color w:val="000000"/>
          <w:sz w:val="24"/>
          <w:szCs w:val="24"/>
          <w:lang w:eastAsia="hr-HR"/>
        </w:rPr>
        <w:t xml:space="preserve"> energetskih sustava, povećanje energetske učinkovitosti, razvoj obnovljivih izvora energije, skladištenje energije, modernizaciju mreža te smanjenje energetskog siromaštva kućanstava. Hrvatskoj je na raspolaganju 14,6 milijuna emisijskih jedinica, odnosno 1 milijarda eura, prema tržišnoj cijeni emisijskih jedinica u 2024. (3,14% ukupnih sredstava Fonda). Od ukupnih sredstava Fonda, do kraja 2024. ukupno je za projekte obnovljivih izvora energije alocirano 262 milijuna eura, od čega 80 milijuna eura u prerađivačkoj industriji, 80 milijuna eura u sektoru vodnih usluga i gospodarenja otpadom, 80 milijuna eura za energetsku učinkovitost u industriji te 19,8 milijuna eura za veliki baterijski sustav i 2,2 mil</w:t>
      </w:r>
      <w:r>
        <w:rPr>
          <w:color w:val="000000"/>
          <w:sz w:val="24"/>
          <w:szCs w:val="24"/>
          <w:lang w:eastAsia="hr-HR"/>
        </w:rPr>
        <w:t>ijuna</w:t>
      </w:r>
      <w:r w:rsidRPr="00A3070E">
        <w:rPr>
          <w:color w:val="000000"/>
          <w:sz w:val="24"/>
          <w:szCs w:val="24"/>
          <w:lang w:eastAsia="hr-HR"/>
        </w:rPr>
        <w:t xml:space="preserve"> eura za pojedinačni OIE projekt. Ovim ulaganjima izravno se doprinose </w:t>
      </w:r>
      <w:proofErr w:type="spellStart"/>
      <w:r w:rsidRPr="00A3070E">
        <w:rPr>
          <w:color w:val="000000"/>
          <w:sz w:val="24"/>
          <w:szCs w:val="24"/>
          <w:lang w:eastAsia="hr-HR"/>
        </w:rPr>
        <w:t>dekarbonizaciji</w:t>
      </w:r>
      <w:proofErr w:type="spellEnd"/>
      <w:r w:rsidRPr="00A3070E">
        <w:rPr>
          <w:color w:val="000000"/>
          <w:sz w:val="24"/>
          <w:szCs w:val="24"/>
          <w:lang w:eastAsia="hr-HR"/>
        </w:rPr>
        <w:t xml:space="preserve"> industrije, jačanju fleksibilnosti elektroenergetskog sustava i integraciji većeg udjela obnovljivih izvora.</w:t>
      </w:r>
    </w:p>
    <w:p w14:paraId="060FADDA" w14:textId="77777777" w:rsidR="00FB178A" w:rsidRDefault="00FB178A" w:rsidP="00FB178A">
      <w:pPr>
        <w:widowControl/>
        <w:autoSpaceDE/>
        <w:autoSpaceDN/>
        <w:spacing w:before="240" w:line="276" w:lineRule="auto"/>
        <w:ind w:right="30"/>
        <w:jc w:val="both"/>
        <w:textAlignment w:val="baseline"/>
        <w:rPr>
          <w:color w:val="000000"/>
          <w:sz w:val="24"/>
          <w:szCs w:val="24"/>
          <w:lang w:eastAsia="hr-HR"/>
        </w:rPr>
      </w:pPr>
      <w:r w:rsidRPr="00A3070E">
        <w:rPr>
          <w:color w:val="000000"/>
          <w:sz w:val="24"/>
          <w:szCs w:val="24"/>
          <w:lang w:eastAsia="hr-HR"/>
        </w:rPr>
        <w:t xml:space="preserve">Također, provedene su aktivnosti na uspostavi okvira za financijski instrument „ESIF krediti za energetsku učinkovitost poduzetnika“. Ovaj </w:t>
      </w:r>
      <w:r>
        <w:rPr>
          <w:color w:val="000000"/>
          <w:sz w:val="24"/>
          <w:szCs w:val="24"/>
          <w:lang w:eastAsia="hr-HR"/>
        </w:rPr>
        <w:t>f</w:t>
      </w:r>
      <w:r w:rsidRPr="00A3070E">
        <w:rPr>
          <w:color w:val="000000"/>
          <w:sz w:val="24"/>
          <w:szCs w:val="24"/>
          <w:lang w:eastAsia="hr-HR"/>
        </w:rPr>
        <w:t xml:space="preserve">inancijski instrument osmišljen je s ciljem potpore ulaganjima poduzeća u energetsku obnovu i povećanje energetske učinkovitosti, uz korištenje sredstava iz EU fondova u kombinaciji s povoljnim kreditnim sredstvima HBOR-a i komercijalnih banaka. Instrument se provodi kroz PKK 2021.-2027., gdje je za njegovu provedbu planirana alokacija od 279 milijuna eura, uz dodatnih 135 milijuna eura investicija osiguranih od strane komercijalnih banaka. Primarni cilj instrumenta je smanjenje potrošnje energije i emisija stakleničkih plinova u privatnom sektoru, uz istodobno jačanje konkurentnosti poduzeća svih veličina, kroz niže operativne troškove, modernizaciju opreme i povećanje produktivnosti. </w:t>
      </w:r>
    </w:p>
    <w:p w14:paraId="228D4875" w14:textId="77777777" w:rsidR="00FB178A" w:rsidRDefault="00FB178A" w:rsidP="00FB178A">
      <w:pPr>
        <w:widowControl/>
        <w:autoSpaceDE/>
        <w:autoSpaceDN/>
        <w:spacing w:before="240" w:after="240" w:line="276" w:lineRule="auto"/>
        <w:ind w:right="30"/>
        <w:jc w:val="both"/>
        <w:textAlignment w:val="baseline"/>
        <w:rPr>
          <w:color w:val="000000"/>
          <w:sz w:val="24"/>
          <w:szCs w:val="24"/>
          <w:lang w:eastAsia="hr-HR"/>
        </w:rPr>
      </w:pPr>
      <w:r w:rsidRPr="00C72A1C">
        <w:rPr>
          <w:color w:val="000000"/>
          <w:sz w:val="24"/>
          <w:szCs w:val="24"/>
          <w:lang w:eastAsia="hr-HR"/>
        </w:rPr>
        <w:t>Radi osiguravanja stabilnosti opskrbe plinom i ublažavanja posljedica energetske krize, tijekom 2024. nastavljena je primjena mjera iz Plana intervencije o mjerama zaštite sigurnosti opskrbe plinom i pratećih akata. Odluka o proglašavanju ranog upozorenja vezano uz razinu kriznih stanja zaštite sigurnosti opskrbe plinom (</w:t>
      </w:r>
      <w:r>
        <w:rPr>
          <w:color w:val="000000"/>
          <w:sz w:val="24"/>
          <w:szCs w:val="24"/>
          <w:lang w:eastAsia="hr-HR"/>
        </w:rPr>
        <w:t>„Narodne novine“, broj</w:t>
      </w:r>
      <w:r w:rsidRPr="00C72A1C">
        <w:rPr>
          <w:color w:val="000000"/>
          <w:sz w:val="24"/>
          <w:szCs w:val="24"/>
          <w:lang w:eastAsia="hr-HR"/>
        </w:rPr>
        <w:t xml:space="preserve"> 49/22</w:t>
      </w:r>
      <w:r>
        <w:rPr>
          <w:color w:val="000000"/>
          <w:sz w:val="24"/>
          <w:szCs w:val="24"/>
          <w:lang w:eastAsia="hr-HR"/>
        </w:rPr>
        <w:t>.</w:t>
      </w:r>
      <w:r w:rsidRPr="00C72A1C">
        <w:rPr>
          <w:color w:val="000000"/>
          <w:sz w:val="24"/>
          <w:szCs w:val="24"/>
          <w:lang w:eastAsia="hr-HR"/>
        </w:rPr>
        <w:t xml:space="preserve">) ostala je na snazi </w:t>
      </w:r>
      <w:r>
        <w:rPr>
          <w:color w:val="000000"/>
          <w:sz w:val="24"/>
          <w:szCs w:val="24"/>
          <w:lang w:eastAsia="hr-HR"/>
        </w:rPr>
        <w:t xml:space="preserve">u 2024. </w:t>
      </w:r>
      <w:r w:rsidRPr="00C72A1C">
        <w:rPr>
          <w:color w:val="000000"/>
          <w:sz w:val="24"/>
          <w:szCs w:val="24"/>
          <w:lang w:eastAsia="hr-HR"/>
        </w:rPr>
        <w:t>kao okvir za pravodobno djelovanje nadležnih tijela u slučaju poremećaja u opskrbi plinom, dok je Odluka o osiguranju zaliha plina na teritoriju Republike Hrvatske (</w:t>
      </w:r>
      <w:r>
        <w:rPr>
          <w:color w:val="000000"/>
          <w:sz w:val="24"/>
          <w:szCs w:val="24"/>
          <w:lang w:eastAsia="hr-HR"/>
        </w:rPr>
        <w:t>„Narodne novine“, br.</w:t>
      </w:r>
      <w:r w:rsidRPr="00C72A1C">
        <w:rPr>
          <w:color w:val="000000"/>
          <w:sz w:val="24"/>
          <w:szCs w:val="24"/>
          <w:lang w:eastAsia="hr-HR"/>
        </w:rPr>
        <w:t xml:space="preserve"> 63/22</w:t>
      </w:r>
      <w:r>
        <w:rPr>
          <w:color w:val="000000"/>
          <w:sz w:val="24"/>
          <w:szCs w:val="24"/>
          <w:lang w:eastAsia="hr-HR"/>
        </w:rPr>
        <w:t>.</w:t>
      </w:r>
      <w:r w:rsidRPr="00C72A1C">
        <w:rPr>
          <w:color w:val="000000"/>
          <w:sz w:val="24"/>
          <w:szCs w:val="24"/>
          <w:lang w:eastAsia="hr-HR"/>
        </w:rPr>
        <w:t xml:space="preserve"> i 5/24</w:t>
      </w:r>
      <w:r>
        <w:rPr>
          <w:color w:val="000000"/>
          <w:sz w:val="24"/>
          <w:szCs w:val="24"/>
          <w:lang w:eastAsia="hr-HR"/>
        </w:rPr>
        <w:t>.</w:t>
      </w:r>
      <w:r w:rsidRPr="00C72A1C">
        <w:rPr>
          <w:color w:val="000000"/>
          <w:sz w:val="24"/>
          <w:szCs w:val="24"/>
          <w:lang w:eastAsia="hr-HR"/>
        </w:rPr>
        <w:t>) dopunjena kako bi se osiguralo da se skladišni kapaciteti na teritoriju Republike Hrvatske popune najmanje do 90% do 1. studenoga 2024., u skladu s obvezama iz uredbi EU o skladištenju plina. U cilju zaštite kućanstava, javnog sektora i poduzetnika od naglog rasta cijena energije, primjenjivala se i Uredba o otklanjanju poremećaja na domaćem tržištu energije (</w:t>
      </w:r>
      <w:r>
        <w:rPr>
          <w:color w:val="000000"/>
          <w:sz w:val="24"/>
          <w:szCs w:val="24"/>
          <w:lang w:eastAsia="hr-HR"/>
        </w:rPr>
        <w:t>„Narodne novine“, br.</w:t>
      </w:r>
      <w:r w:rsidRPr="00C72A1C">
        <w:rPr>
          <w:color w:val="000000"/>
          <w:sz w:val="24"/>
          <w:szCs w:val="24"/>
          <w:lang w:eastAsia="hr-HR"/>
        </w:rPr>
        <w:t xml:space="preserve"> </w:t>
      </w:r>
      <w:r>
        <w:rPr>
          <w:color w:val="000000"/>
          <w:sz w:val="24"/>
          <w:szCs w:val="24"/>
          <w:lang w:eastAsia="hr-HR"/>
        </w:rPr>
        <w:t>31/</w:t>
      </w:r>
      <w:r w:rsidRPr="00D83B6C">
        <w:rPr>
          <w:color w:val="000000"/>
          <w:sz w:val="24"/>
          <w:szCs w:val="24"/>
          <w:lang w:eastAsia="hr-HR"/>
        </w:rPr>
        <w:t>23</w:t>
      </w:r>
      <w:r>
        <w:rPr>
          <w:color w:val="000000"/>
          <w:sz w:val="24"/>
          <w:szCs w:val="24"/>
          <w:lang w:eastAsia="hr-HR"/>
        </w:rPr>
        <w:t>., 74/</w:t>
      </w:r>
      <w:r w:rsidRPr="00D83B6C">
        <w:rPr>
          <w:color w:val="000000"/>
          <w:sz w:val="24"/>
          <w:szCs w:val="24"/>
          <w:lang w:eastAsia="hr-HR"/>
        </w:rPr>
        <w:t>23</w:t>
      </w:r>
      <w:r>
        <w:rPr>
          <w:color w:val="000000"/>
          <w:sz w:val="24"/>
          <w:szCs w:val="24"/>
          <w:lang w:eastAsia="hr-HR"/>
        </w:rPr>
        <w:t>., 107/</w:t>
      </w:r>
      <w:r w:rsidRPr="00D83B6C">
        <w:rPr>
          <w:color w:val="000000"/>
          <w:sz w:val="24"/>
          <w:szCs w:val="24"/>
          <w:lang w:eastAsia="hr-HR"/>
        </w:rPr>
        <w:t>23</w:t>
      </w:r>
      <w:r>
        <w:rPr>
          <w:color w:val="000000"/>
          <w:sz w:val="24"/>
          <w:szCs w:val="24"/>
          <w:lang w:eastAsia="hr-HR"/>
        </w:rPr>
        <w:t>., 122/</w:t>
      </w:r>
      <w:r w:rsidRPr="00D83B6C">
        <w:rPr>
          <w:color w:val="000000"/>
          <w:sz w:val="24"/>
          <w:szCs w:val="24"/>
          <w:lang w:eastAsia="hr-HR"/>
        </w:rPr>
        <w:t>23</w:t>
      </w:r>
      <w:r>
        <w:rPr>
          <w:color w:val="000000"/>
          <w:sz w:val="24"/>
          <w:szCs w:val="24"/>
          <w:lang w:eastAsia="hr-HR"/>
        </w:rPr>
        <w:t>., 32/</w:t>
      </w:r>
      <w:r w:rsidRPr="00D83B6C">
        <w:rPr>
          <w:color w:val="000000"/>
          <w:sz w:val="24"/>
          <w:szCs w:val="24"/>
          <w:lang w:eastAsia="hr-HR"/>
        </w:rPr>
        <w:t>24</w:t>
      </w:r>
      <w:r>
        <w:rPr>
          <w:color w:val="000000"/>
          <w:sz w:val="24"/>
          <w:szCs w:val="24"/>
          <w:lang w:eastAsia="hr-HR"/>
        </w:rPr>
        <w:t>.</w:t>
      </w:r>
      <w:r w:rsidRPr="00D83B6C">
        <w:rPr>
          <w:color w:val="000000"/>
          <w:sz w:val="24"/>
          <w:szCs w:val="24"/>
          <w:lang w:eastAsia="hr-HR"/>
        </w:rPr>
        <w:t xml:space="preserve">, </w:t>
      </w:r>
      <w:r>
        <w:rPr>
          <w:color w:val="000000"/>
          <w:sz w:val="24"/>
          <w:szCs w:val="24"/>
          <w:lang w:eastAsia="hr-HR"/>
        </w:rPr>
        <w:t>104/</w:t>
      </w:r>
      <w:r w:rsidRPr="00D83B6C">
        <w:rPr>
          <w:color w:val="000000"/>
          <w:sz w:val="24"/>
          <w:szCs w:val="24"/>
          <w:lang w:eastAsia="hr-HR"/>
        </w:rPr>
        <w:t>24</w:t>
      </w:r>
      <w:r>
        <w:rPr>
          <w:color w:val="000000"/>
          <w:sz w:val="24"/>
          <w:szCs w:val="24"/>
          <w:lang w:eastAsia="hr-HR"/>
        </w:rPr>
        <w:t>. i</w:t>
      </w:r>
      <w:r w:rsidRPr="00D83B6C">
        <w:rPr>
          <w:color w:val="000000"/>
          <w:sz w:val="24"/>
          <w:szCs w:val="24"/>
          <w:lang w:eastAsia="hr-HR"/>
        </w:rPr>
        <w:t xml:space="preserve"> </w:t>
      </w:r>
      <w:r w:rsidRPr="00C72A1C">
        <w:rPr>
          <w:color w:val="000000"/>
          <w:sz w:val="24"/>
          <w:szCs w:val="24"/>
          <w:lang w:eastAsia="hr-HR"/>
        </w:rPr>
        <w:t>132/24</w:t>
      </w:r>
      <w:r>
        <w:rPr>
          <w:color w:val="000000"/>
          <w:sz w:val="24"/>
          <w:szCs w:val="24"/>
          <w:lang w:eastAsia="hr-HR"/>
        </w:rPr>
        <w:t>.</w:t>
      </w:r>
      <w:r w:rsidRPr="00C72A1C">
        <w:rPr>
          <w:color w:val="000000"/>
          <w:sz w:val="24"/>
          <w:szCs w:val="24"/>
          <w:lang w:eastAsia="hr-HR"/>
        </w:rPr>
        <w:t>), kojom su privremeno ograničene cijene električne i toplinske energije te propisane posebne mjere za trgovinu plinom i sigurnost opskrbe</w:t>
      </w:r>
      <w:r>
        <w:rPr>
          <w:color w:val="000000"/>
          <w:sz w:val="24"/>
          <w:szCs w:val="24"/>
          <w:lang w:eastAsia="hr-HR"/>
        </w:rPr>
        <w:t>.</w:t>
      </w:r>
      <w:r w:rsidRPr="00C72A1C">
        <w:rPr>
          <w:color w:val="000000"/>
          <w:sz w:val="24"/>
          <w:szCs w:val="24"/>
          <w:lang w:eastAsia="hr-HR"/>
        </w:rPr>
        <w:t xml:space="preserve"> </w:t>
      </w:r>
      <w:r>
        <w:rPr>
          <w:color w:val="000000"/>
          <w:sz w:val="24"/>
          <w:szCs w:val="24"/>
          <w:lang w:eastAsia="hr-HR"/>
        </w:rPr>
        <w:t>P</w:t>
      </w:r>
      <w:r w:rsidRPr="00C72A1C">
        <w:rPr>
          <w:color w:val="000000"/>
          <w:sz w:val="24"/>
          <w:szCs w:val="24"/>
          <w:lang w:eastAsia="hr-HR"/>
        </w:rPr>
        <w:t>rocijenjena vrijednost ovog paketa mjera za razdoblje do kraja 2024. iznosi</w:t>
      </w:r>
      <w:r>
        <w:rPr>
          <w:color w:val="000000"/>
          <w:sz w:val="24"/>
          <w:szCs w:val="24"/>
          <w:lang w:eastAsia="hr-HR"/>
        </w:rPr>
        <w:t>la je</w:t>
      </w:r>
      <w:r w:rsidRPr="00C72A1C">
        <w:rPr>
          <w:color w:val="000000"/>
          <w:sz w:val="24"/>
          <w:szCs w:val="24"/>
          <w:lang w:eastAsia="hr-HR"/>
        </w:rPr>
        <w:t xml:space="preserve"> 1,05 milijardi eura, čime </w:t>
      </w:r>
      <w:r>
        <w:rPr>
          <w:color w:val="000000"/>
          <w:sz w:val="24"/>
          <w:szCs w:val="24"/>
          <w:lang w:eastAsia="hr-HR"/>
        </w:rPr>
        <w:t>je</w:t>
      </w:r>
      <w:r w:rsidRPr="00C72A1C">
        <w:rPr>
          <w:color w:val="000000"/>
          <w:sz w:val="24"/>
          <w:szCs w:val="24"/>
          <w:lang w:eastAsia="hr-HR"/>
        </w:rPr>
        <w:t xml:space="preserve"> zadržan</w:t>
      </w:r>
      <w:r>
        <w:rPr>
          <w:color w:val="000000"/>
          <w:sz w:val="24"/>
          <w:szCs w:val="24"/>
          <w:lang w:eastAsia="hr-HR"/>
        </w:rPr>
        <w:t>a</w:t>
      </w:r>
      <w:r w:rsidRPr="00C72A1C">
        <w:rPr>
          <w:color w:val="000000"/>
          <w:sz w:val="24"/>
          <w:szCs w:val="24"/>
          <w:lang w:eastAsia="hr-HR"/>
        </w:rPr>
        <w:t xml:space="preserve"> stabilnost cijena </w:t>
      </w:r>
      <w:r>
        <w:rPr>
          <w:color w:val="000000"/>
          <w:sz w:val="24"/>
          <w:szCs w:val="24"/>
          <w:lang w:eastAsia="hr-HR"/>
        </w:rPr>
        <w:t>a</w:t>
      </w:r>
      <w:r w:rsidRPr="00C72A1C">
        <w:rPr>
          <w:color w:val="000000"/>
          <w:sz w:val="24"/>
          <w:szCs w:val="24"/>
          <w:lang w:eastAsia="hr-HR"/>
        </w:rPr>
        <w:t xml:space="preserve"> spriječe</w:t>
      </w:r>
      <w:r>
        <w:rPr>
          <w:color w:val="000000"/>
          <w:sz w:val="24"/>
          <w:szCs w:val="24"/>
          <w:lang w:eastAsia="hr-HR"/>
        </w:rPr>
        <w:t>ni</w:t>
      </w:r>
      <w:r w:rsidRPr="00C72A1C">
        <w:rPr>
          <w:color w:val="000000"/>
          <w:sz w:val="24"/>
          <w:szCs w:val="24"/>
          <w:lang w:eastAsia="hr-HR"/>
        </w:rPr>
        <w:t xml:space="preserve"> dublji socijalni i gospodarski poremećaji.</w:t>
      </w:r>
    </w:p>
    <w:p w14:paraId="21217630" w14:textId="77777777" w:rsidR="00FB178A" w:rsidRDefault="00FB178A" w:rsidP="00FB178A">
      <w:pPr>
        <w:widowControl/>
        <w:autoSpaceDE/>
        <w:autoSpaceDN/>
        <w:spacing w:before="240" w:after="240" w:line="276" w:lineRule="auto"/>
        <w:ind w:right="30"/>
        <w:jc w:val="both"/>
        <w:textAlignment w:val="baseline"/>
        <w:rPr>
          <w:color w:val="000000"/>
          <w:sz w:val="24"/>
          <w:szCs w:val="24"/>
          <w:lang w:eastAsia="hr-HR"/>
        </w:rPr>
      </w:pPr>
      <w:r w:rsidRPr="00C54C54">
        <w:rPr>
          <w:color w:val="000000"/>
          <w:sz w:val="24"/>
          <w:szCs w:val="24"/>
          <w:lang w:eastAsia="hr-HR"/>
        </w:rPr>
        <w:t xml:space="preserve">Nastavljena je provedba reformske mjere NPOO-a „Provedba programa vodnog gospodarstva provedbom investicija“, u okviru koje </w:t>
      </w:r>
      <w:r>
        <w:rPr>
          <w:color w:val="000000"/>
          <w:sz w:val="24"/>
          <w:szCs w:val="24"/>
          <w:lang w:eastAsia="hr-HR"/>
        </w:rPr>
        <w:t>je usvojen</w:t>
      </w:r>
      <w:r w:rsidRPr="00C54C54">
        <w:rPr>
          <w:color w:val="000000"/>
          <w:sz w:val="24"/>
          <w:szCs w:val="24"/>
          <w:lang w:eastAsia="hr-HR"/>
        </w:rPr>
        <w:t xml:space="preserve"> Višegodišnji program gradnje komunalnih </w:t>
      </w:r>
      <w:r w:rsidRPr="00C54C54">
        <w:rPr>
          <w:color w:val="000000"/>
          <w:sz w:val="24"/>
          <w:szCs w:val="24"/>
          <w:lang w:eastAsia="hr-HR"/>
        </w:rPr>
        <w:lastRenderedPageBreak/>
        <w:t>vodnih građevina za razdoblje do 2030. godine (</w:t>
      </w:r>
      <w:r>
        <w:rPr>
          <w:color w:val="000000"/>
          <w:sz w:val="24"/>
          <w:szCs w:val="24"/>
          <w:lang w:eastAsia="hr-HR"/>
        </w:rPr>
        <w:t>„Narodne novine“, broj</w:t>
      </w:r>
      <w:r w:rsidRPr="00C54C54">
        <w:rPr>
          <w:color w:val="000000"/>
          <w:sz w:val="24"/>
          <w:szCs w:val="24"/>
          <w:lang w:eastAsia="hr-HR"/>
        </w:rPr>
        <w:t xml:space="preserve"> 147/21</w:t>
      </w:r>
      <w:r>
        <w:rPr>
          <w:color w:val="000000"/>
          <w:sz w:val="24"/>
          <w:szCs w:val="24"/>
          <w:lang w:eastAsia="hr-HR"/>
        </w:rPr>
        <w:t>.</w:t>
      </w:r>
      <w:r w:rsidRPr="00C54C54">
        <w:rPr>
          <w:color w:val="000000"/>
          <w:sz w:val="24"/>
          <w:szCs w:val="24"/>
          <w:lang w:eastAsia="hr-HR"/>
        </w:rPr>
        <w:t xml:space="preserve">). </w:t>
      </w:r>
      <w:r>
        <w:rPr>
          <w:color w:val="000000"/>
          <w:sz w:val="24"/>
          <w:szCs w:val="24"/>
          <w:lang w:eastAsia="hr-HR"/>
        </w:rPr>
        <w:t>Navedenim</w:t>
      </w:r>
      <w:r w:rsidRPr="00C54C54">
        <w:rPr>
          <w:color w:val="000000"/>
          <w:sz w:val="24"/>
          <w:szCs w:val="24"/>
          <w:lang w:eastAsia="hr-HR"/>
        </w:rPr>
        <w:t xml:space="preserve"> programom ukupna </w:t>
      </w:r>
      <w:r>
        <w:rPr>
          <w:color w:val="000000"/>
          <w:sz w:val="24"/>
          <w:szCs w:val="24"/>
          <w:lang w:eastAsia="hr-HR"/>
        </w:rPr>
        <w:t xml:space="preserve">potrebna </w:t>
      </w:r>
      <w:r w:rsidRPr="00C54C54">
        <w:rPr>
          <w:color w:val="000000"/>
          <w:sz w:val="24"/>
          <w:szCs w:val="24"/>
          <w:lang w:eastAsia="hr-HR"/>
        </w:rPr>
        <w:t xml:space="preserve">ulaganja u </w:t>
      </w:r>
      <w:proofErr w:type="spellStart"/>
      <w:r w:rsidRPr="00C54C54">
        <w:rPr>
          <w:color w:val="000000"/>
          <w:sz w:val="24"/>
          <w:szCs w:val="24"/>
          <w:lang w:eastAsia="hr-HR"/>
        </w:rPr>
        <w:t>vodnokomunalnu</w:t>
      </w:r>
      <w:proofErr w:type="spellEnd"/>
      <w:r w:rsidRPr="00C54C54">
        <w:rPr>
          <w:color w:val="000000"/>
          <w:sz w:val="24"/>
          <w:szCs w:val="24"/>
          <w:lang w:eastAsia="hr-HR"/>
        </w:rPr>
        <w:t xml:space="preserve"> infrastrukturu</w:t>
      </w:r>
      <w:r>
        <w:rPr>
          <w:color w:val="000000"/>
          <w:sz w:val="24"/>
          <w:szCs w:val="24"/>
          <w:lang w:eastAsia="hr-HR"/>
        </w:rPr>
        <w:t>,</w:t>
      </w:r>
      <w:r w:rsidRPr="00C54C54">
        <w:rPr>
          <w:color w:val="000000"/>
          <w:sz w:val="24"/>
          <w:szCs w:val="24"/>
          <w:lang w:eastAsia="hr-HR"/>
        </w:rPr>
        <w:t xml:space="preserve"> javnu vodoopskrbu, odvodnju i pročišćavanje otpadnih voda</w:t>
      </w:r>
      <w:r>
        <w:rPr>
          <w:color w:val="000000"/>
          <w:sz w:val="24"/>
          <w:szCs w:val="24"/>
          <w:lang w:eastAsia="hr-HR"/>
        </w:rPr>
        <w:t>,</w:t>
      </w:r>
      <w:r w:rsidRPr="00C54C54">
        <w:rPr>
          <w:color w:val="000000"/>
          <w:sz w:val="24"/>
          <w:szCs w:val="24"/>
          <w:lang w:eastAsia="hr-HR"/>
        </w:rPr>
        <w:t xml:space="preserve"> procijenjena su na 5,9 milijardi eura, a provedba napreduje u skladu s planom, uz redovito polugodišnje praćenje i izvješćivanje o izvršenju aktivnosti i realizaciji projekata. </w:t>
      </w:r>
      <w:r w:rsidRPr="00180274">
        <w:rPr>
          <w:color w:val="000000"/>
          <w:sz w:val="24"/>
          <w:szCs w:val="24"/>
          <w:lang w:eastAsia="hr-HR"/>
        </w:rPr>
        <w:t xml:space="preserve">U skladu s </w:t>
      </w:r>
      <w:r>
        <w:rPr>
          <w:color w:val="000000"/>
          <w:sz w:val="24"/>
          <w:szCs w:val="24"/>
          <w:lang w:eastAsia="hr-HR"/>
        </w:rPr>
        <w:t>P</w:t>
      </w:r>
      <w:r w:rsidRPr="00180274">
        <w:rPr>
          <w:color w:val="000000"/>
          <w:sz w:val="24"/>
          <w:szCs w:val="24"/>
          <w:lang w:eastAsia="hr-HR"/>
        </w:rPr>
        <w:t xml:space="preserve">rogramom, u okviru PKK 2021.-2027. predviđena je provedba ulaganja u unaprjeđenje i izgradnju </w:t>
      </w:r>
      <w:proofErr w:type="spellStart"/>
      <w:r w:rsidRPr="00180274">
        <w:rPr>
          <w:color w:val="000000"/>
          <w:sz w:val="24"/>
          <w:szCs w:val="24"/>
          <w:lang w:eastAsia="hr-HR"/>
        </w:rPr>
        <w:t>vodnokomunalne</w:t>
      </w:r>
      <w:proofErr w:type="spellEnd"/>
      <w:r w:rsidRPr="00180274">
        <w:rPr>
          <w:color w:val="000000"/>
          <w:sz w:val="24"/>
          <w:szCs w:val="24"/>
          <w:lang w:eastAsia="hr-HR"/>
        </w:rPr>
        <w:t xml:space="preserve"> infrastrukture te javnih sustava odvodnje i uređaja za pročišćavanje otpadnih voda u ukupnom iznosu većem od 695 milijuna eura</w:t>
      </w:r>
      <w:r>
        <w:rPr>
          <w:color w:val="000000"/>
          <w:sz w:val="24"/>
          <w:szCs w:val="24"/>
          <w:lang w:eastAsia="hr-HR"/>
        </w:rPr>
        <w:t xml:space="preserve">. </w:t>
      </w:r>
      <w:r w:rsidRPr="00C54C54">
        <w:rPr>
          <w:color w:val="000000"/>
          <w:sz w:val="24"/>
          <w:szCs w:val="24"/>
          <w:lang w:eastAsia="hr-HR"/>
        </w:rPr>
        <w:t>Tijekom 2024. objavljeni su pozivi za dodjelu sredstava u okviru NPOO investicija „Program razvoja javne odvodnje otpadnih voda“ i „Program razvoja javne vodoopskrbe“, čime se osigurava financiranje novih projekata izgradnje i rekonstrukcije sustava</w:t>
      </w:r>
      <w:r>
        <w:rPr>
          <w:color w:val="000000"/>
          <w:sz w:val="24"/>
          <w:szCs w:val="24"/>
          <w:lang w:eastAsia="hr-HR"/>
        </w:rPr>
        <w:t xml:space="preserve"> vodoopskrbe i odvodnje</w:t>
      </w:r>
      <w:r w:rsidRPr="00C54C54">
        <w:rPr>
          <w:color w:val="000000"/>
          <w:sz w:val="24"/>
          <w:szCs w:val="24"/>
          <w:lang w:eastAsia="hr-HR"/>
        </w:rPr>
        <w:t xml:space="preserve">. Istodobno je </w:t>
      </w:r>
      <w:r>
        <w:rPr>
          <w:color w:val="000000"/>
          <w:sz w:val="24"/>
          <w:szCs w:val="24"/>
          <w:lang w:eastAsia="hr-HR"/>
        </w:rPr>
        <w:t>završen</w:t>
      </w:r>
      <w:r w:rsidRPr="00C54C54">
        <w:rPr>
          <w:color w:val="000000"/>
          <w:sz w:val="24"/>
          <w:szCs w:val="24"/>
          <w:lang w:eastAsia="hr-HR"/>
        </w:rPr>
        <w:t xml:space="preserve"> poziv za financiranje provedbe već započetih investicijskih projekata koji se odnose na izgradnju manjih dijelova sustava javne vodoopskrbe i odvodnje otpadnih voda, u okviru kojega je odobreno 73 investicijska projekta ukupne vrijednosti 94 milijuna eura bespovratnih sredstava. Nadalje, kroz poziv za provedbu investicijskih projekata jedinica lokalne samouprave za izgradnju manjih sustava javne vodoopskrbe i javne odvodnje u 2024. je ugovoreno 100 projekata s ukupnom vrijednošću dodijeljenih bespovratnih sredstava od 481,5 milijuna eura, dok je u okviru poziva za financiranje investicija usmjerenih na poboljšanje </w:t>
      </w:r>
      <w:proofErr w:type="spellStart"/>
      <w:r w:rsidRPr="00C54C54">
        <w:rPr>
          <w:color w:val="000000"/>
          <w:sz w:val="24"/>
          <w:szCs w:val="24"/>
          <w:lang w:eastAsia="hr-HR"/>
        </w:rPr>
        <w:t>vodokomunalne</w:t>
      </w:r>
      <w:proofErr w:type="spellEnd"/>
      <w:r w:rsidRPr="00C54C54">
        <w:rPr>
          <w:color w:val="000000"/>
          <w:sz w:val="24"/>
          <w:szCs w:val="24"/>
          <w:lang w:eastAsia="hr-HR"/>
        </w:rPr>
        <w:t xml:space="preserve"> infrastrukture aglomeracija do kraja 2024. odobreno 13 projekata u vrijednosti 329,3 milijuna eura bespovratnih sredstava. Naveden</w:t>
      </w:r>
      <w:r>
        <w:rPr>
          <w:color w:val="000000"/>
          <w:sz w:val="24"/>
          <w:szCs w:val="24"/>
          <w:lang w:eastAsia="hr-HR"/>
        </w:rPr>
        <w:t>o</w:t>
      </w:r>
      <w:r w:rsidRPr="00C54C54">
        <w:rPr>
          <w:color w:val="000000"/>
          <w:sz w:val="24"/>
          <w:szCs w:val="24"/>
          <w:lang w:eastAsia="hr-HR"/>
        </w:rPr>
        <w:t xml:space="preserve"> potvrđuj</w:t>
      </w:r>
      <w:r>
        <w:rPr>
          <w:color w:val="000000"/>
          <w:sz w:val="24"/>
          <w:szCs w:val="24"/>
          <w:lang w:eastAsia="hr-HR"/>
        </w:rPr>
        <w:t>e</w:t>
      </w:r>
      <w:r w:rsidRPr="00C54C54">
        <w:rPr>
          <w:color w:val="000000"/>
          <w:sz w:val="24"/>
          <w:szCs w:val="24"/>
          <w:lang w:eastAsia="hr-HR"/>
        </w:rPr>
        <w:t xml:space="preserve"> snažan investicijski zamah u sektoru vodnog gospodarstva </w:t>
      </w:r>
      <w:r>
        <w:rPr>
          <w:color w:val="000000"/>
          <w:sz w:val="24"/>
          <w:szCs w:val="24"/>
          <w:lang w:eastAsia="hr-HR"/>
        </w:rPr>
        <w:t xml:space="preserve">s ciljem </w:t>
      </w:r>
      <w:r w:rsidRPr="00C54C54">
        <w:rPr>
          <w:color w:val="000000"/>
          <w:sz w:val="24"/>
          <w:szCs w:val="24"/>
          <w:lang w:eastAsia="hr-HR"/>
        </w:rPr>
        <w:t>doprinos</w:t>
      </w:r>
      <w:r>
        <w:rPr>
          <w:color w:val="000000"/>
          <w:sz w:val="24"/>
          <w:szCs w:val="24"/>
          <w:lang w:eastAsia="hr-HR"/>
        </w:rPr>
        <w:t>a</w:t>
      </w:r>
      <w:r w:rsidRPr="00C54C54">
        <w:rPr>
          <w:color w:val="000000"/>
          <w:sz w:val="24"/>
          <w:szCs w:val="24"/>
          <w:lang w:eastAsia="hr-HR"/>
        </w:rPr>
        <w:t xml:space="preserve"> povećanju dostupnosti sigurnih usluga vodoopskrbe i odvodnje, smanjenju pritiska na vodne resurse i unapređenju okolišnih standarda.</w:t>
      </w:r>
    </w:p>
    <w:p w14:paraId="1BBFE66F" w14:textId="77777777" w:rsidR="00FB178A" w:rsidRDefault="00FB178A" w:rsidP="00FB178A">
      <w:pPr>
        <w:widowControl/>
        <w:autoSpaceDE/>
        <w:autoSpaceDN/>
        <w:spacing w:before="240" w:line="276" w:lineRule="auto"/>
        <w:jc w:val="both"/>
        <w:rPr>
          <w:color w:val="000000"/>
          <w:kern w:val="2"/>
          <w:sz w:val="24"/>
          <w:lang w:eastAsia="hr-HR"/>
          <w14:ligatures w14:val="standardContextual"/>
        </w:rPr>
      </w:pPr>
      <w:r w:rsidRPr="00C9480D">
        <w:rPr>
          <w:color w:val="000000"/>
          <w:kern w:val="2"/>
          <w:sz w:val="24"/>
          <w:lang w:eastAsia="hr-HR"/>
          <w14:ligatures w14:val="standardContextual"/>
        </w:rPr>
        <w:t>Nastavljena je provedba NPOO reformske mjere „Uvođenje novog modela strategija zelene urbane obnove i provedba pilot-projekta razvoja zelene infrastrukture i kružnog gospodarenja prostorom i zgradama“. Usvajanjem Dodatka NPOO-a</w:t>
      </w:r>
      <w:r>
        <w:rPr>
          <w:color w:val="000000"/>
          <w:kern w:val="2"/>
          <w:sz w:val="24"/>
          <w:lang w:eastAsia="hr-HR"/>
          <w14:ligatures w14:val="standardContextual"/>
        </w:rPr>
        <w:t xml:space="preserve">, </w:t>
      </w:r>
      <w:r w:rsidRPr="00C9480D">
        <w:rPr>
          <w:color w:val="000000"/>
          <w:kern w:val="2"/>
          <w:sz w:val="24"/>
          <w:lang w:eastAsia="hr-HR"/>
          <w14:ligatures w14:val="standardContextual"/>
        </w:rPr>
        <w:t>p</w:t>
      </w:r>
      <w:r>
        <w:rPr>
          <w:color w:val="000000"/>
          <w:kern w:val="2"/>
          <w:sz w:val="24"/>
          <w:lang w:eastAsia="hr-HR"/>
          <w14:ligatures w14:val="standardContextual"/>
        </w:rPr>
        <w:t>rvotna</w:t>
      </w:r>
      <w:r w:rsidRPr="00C9480D">
        <w:rPr>
          <w:color w:val="000000"/>
          <w:kern w:val="2"/>
          <w:sz w:val="24"/>
          <w:lang w:eastAsia="hr-HR"/>
          <w14:ligatures w14:val="standardContextual"/>
        </w:rPr>
        <w:t xml:space="preserve"> alokacija Poziva „Izrada strategija zelene urbane obnove“</w:t>
      </w:r>
      <w:r>
        <w:rPr>
          <w:color w:val="000000"/>
          <w:kern w:val="2"/>
          <w:sz w:val="24"/>
          <w:lang w:eastAsia="hr-HR"/>
          <w14:ligatures w14:val="standardContextual"/>
        </w:rPr>
        <w:t xml:space="preserve"> povećana je</w:t>
      </w:r>
      <w:r w:rsidRPr="00C9480D">
        <w:rPr>
          <w:color w:val="000000"/>
          <w:kern w:val="2"/>
          <w:sz w:val="24"/>
          <w:lang w:eastAsia="hr-HR"/>
          <w14:ligatures w14:val="standardContextual"/>
        </w:rPr>
        <w:t xml:space="preserve"> na 2,5 milijuna eura, čime je omogućeno sufinanciranje dodatnih projekata s rezervne liste, pa je </w:t>
      </w:r>
      <w:r>
        <w:rPr>
          <w:color w:val="000000"/>
          <w:kern w:val="2"/>
          <w:sz w:val="24"/>
          <w:lang w:eastAsia="hr-HR"/>
          <w14:ligatures w14:val="standardContextual"/>
        </w:rPr>
        <w:t>do kraja</w:t>
      </w:r>
      <w:r w:rsidRPr="00C9480D">
        <w:rPr>
          <w:color w:val="000000"/>
          <w:kern w:val="2"/>
          <w:sz w:val="24"/>
          <w:lang w:eastAsia="hr-HR"/>
          <w14:ligatures w14:val="standardContextual"/>
        </w:rPr>
        <w:t xml:space="preserve"> 2024. s jedinicama lokalne samouprave ugovorena izrada ukupno 74 strategije zelene urbane obnove. Istodobno je alokacija za Poziv „Pilot-projekt razvoja zelene infrastrukture i/ili kružnog gospodarenja prostorom i zgradama“ povećana s 2,1 na 22,2 milijuna eura, na temelju čega je ugovorena izrada osam pilot-projekata ukupne vrijednosti 6,7 milijuna eura, usmjerenih na razvoj i primjenu rješenja za unaprjeđenje zelene infrastrukture, kružno gospodarenje prostorom i zgradama te mjere energetske učinkovitosti i prilagodbe klimatskim promjenama. Tijekom 2024. Poziv je ponovno otvoren, s preostalom alokacijom od 15,5 milijuna eura i rokom prijave do 31. prosinca 2024., a u svrhu informiranja potencijalnih prijavitelja održane su tri radionice na kojima </w:t>
      </w:r>
      <w:r>
        <w:rPr>
          <w:color w:val="000000"/>
          <w:kern w:val="2"/>
          <w:sz w:val="24"/>
          <w:lang w:eastAsia="hr-HR"/>
          <w14:ligatures w14:val="standardContextual"/>
        </w:rPr>
        <w:t>su</w:t>
      </w:r>
      <w:r w:rsidRPr="00C9480D">
        <w:rPr>
          <w:color w:val="000000"/>
          <w:kern w:val="2"/>
          <w:sz w:val="24"/>
          <w:lang w:eastAsia="hr-HR"/>
          <w14:ligatures w14:val="standardContextual"/>
        </w:rPr>
        <w:t xml:space="preserve"> sudjeloval</w:t>
      </w:r>
      <w:r>
        <w:rPr>
          <w:color w:val="000000"/>
          <w:kern w:val="2"/>
          <w:sz w:val="24"/>
          <w:lang w:eastAsia="hr-HR"/>
          <w14:ligatures w14:val="standardContextual"/>
        </w:rPr>
        <w:t xml:space="preserve">i predstavnici </w:t>
      </w:r>
      <w:r w:rsidRPr="00C9480D">
        <w:rPr>
          <w:color w:val="000000"/>
          <w:kern w:val="2"/>
          <w:sz w:val="24"/>
          <w:lang w:eastAsia="hr-HR"/>
          <w14:ligatures w14:val="standardContextual"/>
        </w:rPr>
        <w:t xml:space="preserve">130 jedinica lokalne samouprave. </w:t>
      </w:r>
      <w:r>
        <w:rPr>
          <w:color w:val="000000"/>
          <w:kern w:val="2"/>
          <w:sz w:val="24"/>
          <w:lang w:eastAsia="hr-HR"/>
          <w14:ligatures w14:val="standardContextual"/>
        </w:rPr>
        <w:t xml:space="preserve">Također, </w:t>
      </w:r>
      <w:r w:rsidRPr="00C9480D">
        <w:rPr>
          <w:color w:val="000000"/>
          <w:kern w:val="2"/>
          <w:sz w:val="24"/>
          <w:lang w:eastAsia="hr-HR"/>
          <w14:ligatures w14:val="standardContextual"/>
        </w:rPr>
        <w:t xml:space="preserve">dovršena je i izrada Registra zelene infrastrukture (RZI) kao novog modula u Informacijskom sustavu prostornog uređenja, te </w:t>
      </w:r>
      <w:r>
        <w:rPr>
          <w:color w:val="000000"/>
          <w:kern w:val="2"/>
          <w:sz w:val="24"/>
          <w:lang w:eastAsia="hr-HR"/>
          <w14:ligatures w14:val="standardContextual"/>
        </w:rPr>
        <w:t>je</w:t>
      </w:r>
      <w:r w:rsidRPr="00C9480D">
        <w:rPr>
          <w:color w:val="000000"/>
          <w:kern w:val="2"/>
          <w:sz w:val="24"/>
          <w:lang w:eastAsia="hr-HR"/>
          <w14:ligatures w14:val="standardContextual"/>
        </w:rPr>
        <w:t xml:space="preserve"> organiziran</w:t>
      </w:r>
      <w:r>
        <w:rPr>
          <w:color w:val="000000"/>
          <w:kern w:val="2"/>
          <w:sz w:val="24"/>
          <w:lang w:eastAsia="hr-HR"/>
          <w14:ligatures w14:val="standardContextual"/>
        </w:rPr>
        <w:t>o 29</w:t>
      </w:r>
      <w:r w:rsidRPr="00C9480D">
        <w:rPr>
          <w:color w:val="000000"/>
          <w:kern w:val="2"/>
          <w:sz w:val="24"/>
          <w:lang w:eastAsia="hr-HR"/>
          <w14:ligatures w14:val="standardContextual"/>
        </w:rPr>
        <w:t xml:space="preserve"> edukacijsk</w:t>
      </w:r>
      <w:r>
        <w:rPr>
          <w:color w:val="000000"/>
          <w:kern w:val="2"/>
          <w:sz w:val="24"/>
          <w:lang w:eastAsia="hr-HR"/>
          <w14:ligatures w14:val="standardContextual"/>
        </w:rPr>
        <w:t>ih</w:t>
      </w:r>
      <w:r w:rsidRPr="00C9480D">
        <w:rPr>
          <w:color w:val="000000"/>
          <w:kern w:val="2"/>
          <w:sz w:val="24"/>
          <w:lang w:eastAsia="hr-HR"/>
          <w14:ligatures w14:val="standardContextual"/>
        </w:rPr>
        <w:t xml:space="preserve"> radionic</w:t>
      </w:r>
      <w:r>
        <w:rPr>
          <w:color w:val="000000"/>
          <w:kern w:val="2"/>
          <w:sz w:val="24"/>
          <w:lang w:eastAsia="hr-HR"/>
          <w14:ligatures w14:val="standardContextual"/>
        </w:rPr>
        <w:t>a</w:t>
      </w:r>
      <w:r w:rsidRPr="00C9480D">
        <w:rPr>
          <w:color w:val="000000"/>
          <w:kern w:val="2"/>
          <w:sz w:val="24"/>
          <w:lang w:eastAsia="hr-HR"/>
          <w14:ligatures w14:val="standardContextual"/>
        </w:rPr>
        <w:t xml:space="preserve"> za predstavnike JLS-ova radi upoznavanja s unosom podataka o zelenoj infrastrukturi</w:t>
      </w:r>
      <w:r>
        <w:rPr>
          <w:color w:val="000000"/>
          <w:kern w:val="2"/>
          <w:sz w:val="24"/>
          <w:lang w:eastAsia="hr-HR"/>
          <w14:ligatures w14:val="standardContextual"/>
        </w:rPr>
        <w:t xml:space="preserve"> </w:t>
      </w:r>
      <w:r w:rsidRPr="00C9480D">
        <w:rPr>
          <w:color w:val="000000"/>
          <w:kern w:val="2"/>
          <w:sz w:val="24"/>
          <w:lang w:eastAsia="hr-HR"/>
          <w14:ligatures w14:val="standardContextual"/>
        </w:rPr>
        <w:t>u Zagrebu, Varaždinu, Splitu, Osijeku i Rijeci.</w:t>
      </w:r>
    </w:p>
    <w:p w14:paraId="2BF7DF61" w14:textId="77777777" w:rsidR="00FB178A" w:rsidRDefault="00FB178A" w:rsidP="00FB178A">
      <w:pPr>
        <w:widowControl/>
        <w:autoSpaceDE/>
        <w:autoSpaceDN/>
        <w:spacing w:before="240" w:line="276" w:lineRule="auto"/>
        <w:jc w:val="both"/>
        <w:rPr>
          <w:color w:val="000000"/>
          <w:kern w:val="2"/>
          <w:sz w:val="24"/>
          <w:lang w:eastAsia="hr-HR"/>
          <w14:ligatures w14:val="standardContextual"/>
        </w:rPr>
      </w:pPr>
    </w:p>
    <w:p w14:paraId="5F4168C6" w14:textId="77777777" w:rsidR="00FB178A" w:rsidRDefault="00FB178A" w:rsidP="00FB178A">
      <w:pPr>
        <w:widowControl/>
        <w:autoSpaceDE/>
        <w:autoSpaceDN/>
        <w:spacing w:before="240" w:line="276" w:lineRule="auto"/>
        <w:jc w:val="both"/>
        <w:rPr>
          <w:rFonts w:eastAsia="Calibri"/>
          <w:sz w:val="24"/>
          <w:szCs w:val="24"/>
        </w:rPr>
      </w:pPr>
    </w:p>
    <w:p w14:paraId="6B5D5A48" w14:textId="77777777" w:rsidR="00FB178A" w:rsidRPr="0004221B" w:rsidRDefault="00FB178A" w:rsidP="00FB178A">
      <w:pPr>
        <w:pStyle w:val="Default"/>
        <w:spacing w:before="240" w:after="240" w:line="276" w:lineRule="auto"/>
        <w:ind w:firstLine="720"/>
        <w:jc w:val="both"/>
      </w:pPr>
      <w:r w:rsidRPr="00955D20">
        <w:rPr>
          <w:rFonts w:eastAsia="Calibri"/>
          <w:b/>
          <w:kern w:val="2"/>
        </w:rPr>
        <w:t>Energetska samodostatnost i tranzicija na čistu energiju</w:t>
      </w:r>
      <w:bookmarkStart w:id="96" w:name="_Toc133420966"/>
    </w:p>
    <w:p w14:paraId="775D5AA3" w14:textId="77777777" w:rsidR="00FB178A" w:rsidRDefault="00FB178A" w:rsidP="00FB178A">
      <w:pPr>
        <w:widowControl/>
        <w:autoSpaceDE/>
        <w:autoSpaceDN/>
        <w:spacing w:after="255" w:line="276" w:lineRule="auto"/>
        <w:ind w:firstLine="720"/>
        <w:jc w:val="both"/>
        <w:rPr>
          <w:color w:val="000000"/>
          <w:kern w:val="2"/>
          <w:sz w:val="24"/>
          <w:lang w:eastAsia="hr-HR"/>
          <w14:ligatures w14:val="standardContextual"/>
        </w:rPr>
      </w:pPr>
      <w:r w:rsidRPr="00955D20">
        <w:rPr>
          <w:color w:val="000000"/>
          <w:kern w:val="2"/>
          <w:sz w:val="24"/>
          <w:lang w:eastAsia="hr-HR"/>
          <w14:ligatures w14:val="standardContextual"/>
        </w:rPr>
        <w:t>Tijekom 202</w:t>
      </w:r>
      <w:r>
        <w:rPr>
          <w:color w:val="000000"/>
          <w:kern w:val="2"/>
          <w:sz w:val="24"/>
          <w:lang w:eastAsia="hr-HR"/>
          <w14:ligatures w14:val="standardContextual"/>
        </w:rPr>
        <w:t>4</w:t>
      </w:r>
      <w:r w:rsidRPr="00955D20">
        <w:rPr>
          <w:color w:val="000000"/>
          <w:kern w:val="2"/>
          <w:sz w:val="24"/>
          <w:lang w:eastAsia="hr-HR"/>
          <w14:ligatures w14:val="standardContextual"/>
        </w:rPr>
        <w:t>. nastavljen</w:t>
      </w:r>
      <w:r>
        <w:rPr>
          <w:color w:val="000000"/>
          <w:kern w:val="2"/>
          <w:sz w:val="24"/>
          <w:lang w:eastAsia="hr-HR"/>
          <w14:ligatures w14:val="standardContextual"/>
        </w:rPr>
        <w:t>i su napori usmjereni na e</w:t>
      </w:r>
      <w:r w:rsidRPr="00955D20">
        <w:rPr>
          <w:color w:val="000000"/>
          <w:kern w:val="2"/>
          <w:sz w:val="24"/>
          <w:lang w:eastAsia="hr-HR"/>
          <w14:ligatures w14:val="standardContextual"/>
        </w:rPr>
        <w:t>kološk</w:t>
      </w:r>
      <w:r>
        <w:rPr>
          <w:color w:val="000000"/>
          <w:kern w:val="2"/>
          <w:sz w:val="24"/>
          <w:lang w:eastAsia="hr-HR"/>
          <w14:ligatures w14:val="standardContextual"/>
        </w:rPr>
        <w:t>u</w:t>
      </w:r>
      <w:r w:rsidRPr="00955D20">
        <w:rPr>
          <w:color w:val="000000"/>
          <w:kern w:val="2"/>
          <w:sz w:val="24"/>
          <w:lang w:eastAsia="hr-HR"/>
          <w14:ligatures w14:val="standardContextual"/>
        </w:rPr>
        <w:t xml:space="preserve"> i energetsk</w:t>
      </w:r>
      <w:r>
        <w:rPr>
          <w:color w:val="000000"/>
          <w:kern w:val="2"/>
          <w:sz w:val="24"/>
          <w:lang w:eastAsia="hr-HR"/>
          <w14:ligatures w14:val="standardContextual"/>
        </w:rPr>
        <w:t>u</w:t>
      </w:r>
      <w:r w:rsidRPr="00955D20">
        <w:rPr>
          <w:color w:val="000000"/>
          <w:kern w:val="2"/>
          <w:sz w:val="24"/>
          <w:lang w:eastAsia="hr-HR"/>
          <w14:ligatures w14:val="standardContextual"/>
        </w:rPr>
        <w:t xml:space="preserve"> tranzicij</w:t>
      </w:r>
      <w:r>
        <w:rPr>
          <w:color w:val="000000"/>
          <w:kern w:val="2"/>
          <w:sz w:val="24"/>
          <w:lang w:eastAsia="hr-HR"/>
          <w14:ligatures w14:val="standardContextual"/>
        </w:rPr>
        <w:t>u</w:t>
      </w:r>
      <w:r w:rsidRPr="00955D20">
        <w:rPr>
          <w:color w:val="000000"/>
          <w:kern w:val="2"/>
          <w:sz w:val="24"/>
          <w:lang w:eastAsia="hr-HR"/>
          <w14:ligatures w14:val="standardContextual"/>
        </w:rPr>
        <w:t xml:space="preserve"> za klimatsku neutralnost, </w:t>
      </w:r>
      <w:r>
        <w:rPr>
          <w:color w:val="000000"/>
          <w:kern w:val="2"/>
          <w:sz w:val="24"/>
          <w:lang w:eastAsia="hr-HR"/>
          <w14:ligatures w14:val="standardContextual"/>
        </w:rPr>
        <w:t>provedbom mjera</w:t>
      </w:r>
      <w:r w:rsidRPr="00955D20">
        <w:rPr>
          <w:color w:val="000000"/>
          <w:kern w:val="2"/>
          <w:sz w:val="24"/>
          <w:lang w:eastAsia="hr-HR"/>
          <w14:ligatures w14:val="standardContextual"/>
        </w:rPr>
        <w:t xml:space="preserve"> </w:t>
      </w:r>
      <w:r>
        <w:rPr>
          <w:color w:val="000000"/>
          <w:kern w:val="2"/>
          <w:sz w:val="24"/>
          <w:lang w:eastAsia="hr-HR"/>
          <w14:ligatures w14:val="standardContextual"/>
        </w:rPr>
        <w:t>z</w:t>
      </w:r>
      <w:r w:rsidRPr="00955D20">
        <w:rPr>
          <w:color w:val="000000"/>
          <w:kern w:val="2"/>
          <w:sz w:val="24"/>
          <w:lang w:eastAsia="hr-HR"/>
          <w14:ligatures w14:val="standardContextual"/>
        </w:rPr>
        <w:t>a p</w:t>
      </w:r>
      <w:r>
        <w:rPr>
          <w:color w:val="000000"/>
          <w:kern w:val="2"/>
          <w:sz w:val="24"/>
          <w:lang w:eastAsia="hr-HR"/>
          <w14:ligatures w14:val="standardContextual"/>
        </w:rPr>
        <w:t>oticanje ulaganja u</w:t>
      </w:r>
      <w:r w:rsidRPr="00955D20">
        <w:rPr>
          <w:color w:val="000000"/>
          <w:kern w:val="2"/>
          <w:sz w:val="24"/>
          <w:lang w:eastAsia="hr-HR"/>
          <w14:ligatures w14:val="standardContextual"/>
        </w:rPr>
        <w:t xml:space="preserve"> obnovljiv</w:t>
      </w:r>
      <w:r>
        <w:rPr>
          <w:color w:val="000000"/>
          <w:kern w:val="2"/>
          <w:sz w:val="24"/>
          <w:lang w:eastAsia="hr-HR"/>
          <w14:ligatures w14:val="standardContextual"/>
        </w:rPr>
        <w:t>e</w:t>
      </w:r>
      <w:r w:rsidRPr="00955D20">
        <w:rPr>
          <w:color w:val="000000"/>
          <w:kern w:val="2"/>
          <w:sz w:val="24"/>
          <w:lang w:eastAsia="hr-HR"/>
          <w14:ligatures w14:val="standardContextual"/>
        </w:rPr>
        <w:t xml:space="preserve"> izvor</w:t>
      </w:r>
      <w:r>
        <w:rPr>
          <w:color w:val="000000"/>
          <w:kern w:val="2"/>
          <w:sz w:val="24"/>
          <w:lang w:eastAsia="hr-HR"/>
          <w14:ligatures w14:val="standardContextual"/>
        </w:rPr>
        <w:t>e</w:t>
      </w:r>
      <w:r w:rsidRPr="00955D20">
        <w:rPr>
          <w:color w:val="000000"/>
          <w:kern w:val="2"/>
          <w:sz w:val="24"/>
          <w:lang w:eastAsia="hr-HR"/>
          <w14:ligatures w14:val="standardContextual"/>
        </w:rPr>
        <w:t xml:space="preserve"> energije i poboljšanje energetske učinkovitosti. Svrha provedbe mjera jest financirati ulaganja financijski održivih poduzeća kroz projekte usmjerene na uvođenje zelenih tehnologija te poticanje čiste i učinkovite proizvodnje, s niskim ili nultim emisijama stakleničkih plinova te razvoj kompetencija i ulaganja u ljudske resurse. Cilj je osigurati održiv i uključiv rast za konkurentno hrvatsko gospodarstvo, uz učinkovito korištenje resursa i zaštitu okoliša. </w:t>
      </w:r>
    </w:p>
    <w:p w14:paraId="536B215D" w14:textId="77777777" w:rsidR="00FB178A" w:rsidRPr="001008CF" w:rsidRDefault="00FB178A" w:rsidP="00FB178A">
      <w:pPr>
        <w:widowControl/>
        <w:autoSpaceDE/>
        <w:autoSpaceDN/>
        <w:spacing w:before="240" w:after="255" w:line="276" w:lineRule="auto"/>
        <w:jc w:val="both"/>
        <w:rPr>
          <w:color w:val="000000"/>
          <w:kern w:val="2"/>
          <w:sz w:val="24"/>
          <w:lang w:eastAsia="hr-HR"/>
          <w14:ligatures w14:val="standardContextual"/>
        </w:rPr>
      </w:pPr>
      <w:r w:rsidRPr="001D30D9">
        <w:rPr>
          <w:color w:val="000000"/>
          <w:kern w:val="2"/>
          <w:sz w:val="24"/>
          <w:lang w:eastAsia="hr-HR"/>
          <w14:ligatures w14:val="standardContextual"/>
        </w:rPr>
        <w:t xml:space="preserve">U energetskom sektoru nastavljen je snažan iskorak prema </w:t>
      </w:r>
      <w:proofErr w:type="spellStart"/>
      <w:r w:rsidRPr="001D30D9">
        <w:rPr>
          <w:color w:val="000000"/>
          <w:kern w:val="2"/>
          <w:sz w:val="24"/>
          <w:lang w:eastAsia="hr-HR"/>
          <w14:ligatures w14:val="standardContextual"/>
        </w:rPr>
        <w:t>dekarbonizaciji</w:t>
      </w:r>
      <w:proofErr w:type="spellEnd"/>
      <w:r w:rsidRPr="001D30D9">
        <w:rPr>
          <w:color w:val="000000"/>
          <w:kern w:val="2"/>
          <w:sz w:val="24"/>
          <w:lang w:eastAsia="hr-HR"/>
          <w14:ligatures w14:val="standardContextual"/>
        </w:rPr>
        <w:t xml:space="preserve"> i ostvarenju ciljeva klimatske neutralnosti. U okviru revidiranog NPOO‑a i poglavlja </w:t>
      </w:r>
      <w:proofErr w:type="spellStart"/>
      <w:r w:rsidRPr="001D30D9">
        <w:rPr>
          <w:color w:val="000000"/>
          <w:kern w:val="2"/>
          <w:sz w:val="24"/>
          <w:lang w:eastAsia="hr-HR"/>
          <w14:ligatures w14:val="standardContextual"/>
        </w:rPr>
        <w:t>REPowerEU</w:t>
      </w:r>
      <w:proofErr w:type="spellEnd"/>
      <w:r w:rsidRPr="001D30D9">
        <w:rPr>
          <w:color w:val="000000"/>
          <w:kern w:val="2"/>
          <w:sz w:val="24"/>
          <w:lang w:eastAsia="hr-HR"/>
          <w14:ligatures w14:val="standardContextual"/>
        </w:rPr>
        <w:t xml:space="preserve"> za energetiku je ukupno alocirano 1,43 milijarde eura, uključujući 640 milijuna eura za modernizaciju i jačanje elektroenergetske infrastrukture. U sklopu NPOO-a provodi</w:t>
      </w:r>
      <w:r w:rsidRPr="001008CF">
        <w:rPr>
          <w:color w:val="000000"/>
          <w:kern w:val="2"/>
          <w:sz w:val="24"/>
          <w:lang w:eastAsia="hr-HR"/>
          <w14:ligatures w14:val="standardContextual"/>
        </w:rPr>
        <w:t xml:space="preserve"> se reformska mjera „</w:t>
      </w:r>
      <w:proofErr w:type="spellStart"/>
      <w:r w:rsidRPr="0004221B">
        <w:rPr>
          <w:color w:val="000000"/>
          <w:kern w:val="2"/>
          <w:sz w:val="24"/>
          <w:lang w:eastAsia="hr-HR"/>
          <w14:ligatures w14:val="standardContextual"/>
        </w:rPr>
        <w:t>Dekarbonizacija</w:t>
      </w:r>
      <w:proofErr w:type="spellEnd"/>
      <w:r w:rsidRPr="0004221B">
        <w:rPr>
          <w:color w:val="000000"/>
          <w:kern w:val="2"/>
          <w:sz w:val="24"/>
          <w:lang w:eastAsia="hr-HR"/>
          <w14:ligatures w14:val="standardContextual"/>
        </w:rPr>
        <w:t xml:space="preserve"> energetskog sektora</w:t>
      </w:r>
      <w:r w:rsidRPr="001008CF">
        <w:rPr>
          <w:color w:val="000000"/>
          <w:kern w:val="2"/>
          <w:sz w:val="24"/>
          <w:lang w:eastAsia="hr-HR"/>
          <w14:ligatures w14:val="standardContextual"/>
        </w:rPr>
        <w:t xml:space="preserve">“, a tijekom 2024. nastavljena je provedba aktivnosti usmjerenih na modernizaciju i razvoj energetske infrastrukture, pripremu sustava za korištenje vodika te povećanje udjela čiste energije. </w:t>
      </w:r>
      <w:r w:rsidRPr="005B73A0">
        <w:rPr>
          <w:color w:val="000000"/>
          <w:kern w:val="2"/>
          <w:sz w:val="24"/>
          <w:lang w:eastAsia="hr-HR"/>
          <w14:ligatures w14:val="standardContextual"/>
        </w:rPr>
        <w:t xml:space="preserve">Kako bi se </w:t>
      </w:r>
      <w:r>
        <w:rPr>
          <w:color w:val="000000"/>
          <w:kern w:val="2"/>
          <w:sz w:val="24"/>
          <w:lang w:eastAsia="hr-HR"/>
          <w14:ligatures w14:val="standardContextual"/>
        </w:rPr>
        <w:t>povećalo</w:t>
      </w:r>
      <w:r w:rsidRPr="005B73A0">
        <w:rPr>
          <w:color w:val="000000"/>
          <w:kern w:val="2"/>
          <w:sz w:val="24"/>
          <w:lang w:eastAsia="hr-HR"/>
          <w14:ligatures w14:val="standardContextual"/>
        </w:rPr>
        <w:t xml:space="preserve"> korištenje domaćih geotermalnih izvora, koji predstavljaju stabilan i pouzdan obnovljiv izvor energije dostupan tijekom cijele godine, </w:t>
      </w:r>
      <w:r>
        <w:rPr>
          <w:color w:val="000000"/>
          <w:kern w:val="2"/>
          <w:sz w:val="24"/>
          <w:lang w:eastAsia="hr-HR"/>
          <w14:ligatures w14:val="standardContextual"/>
        </w:rPr>
        <w:t>nastavljeno je</w:t>
      </w:r>
      <w:r w:rsidRPr="005B73A0">
        <w:rPr>
          <w:color w:val="000000"/>
          <w:kern w:val="2"/>
          <w:sz w:val="24"/>
          <w:lang w:eastAsia="hr-HR"/>
          <w14:ligatures w14:val="standardContextual"/>
        </w:rPr>
        <w:t xml:space="preserve"> potica</w:t>
      </w:r>
      <w:r>
        <w:rPr>
          <w:color w:val="000000"/>
          <w:kern w:val="2"/>
          <w:sz w:val="24"/>
          <w:lang w:eastAsia="hr-HR"/>
          <w14:ligatures w14:val="standardContextual"/>
        </w:rPr>
        <w:t xml:space="preserve">nje </w:t>
      </w:r>
      <w:r w:rsidRPr="005B73A0">
        <w:rPr>
          <w:color w:val="000000"/>
          <w:kern w:val="2"/>
          <w:sz w:val="24"/>
          <w:lang w:eastAsia="hr-HR"/>
          <w14:ligatures w14:val="standardContextual"/>
        </w:rPr>
        <w:t>istraživanja i početn</w:t>
      </w:r>
      <w:r>
        <w:rPr>
          <w:color w:val="000000"/>
          <w:kern w:val="2"/>
          <w:sz w:val="24"/>
          <w:lang w:eastAsia="hr-HR"/>
          <w14:ligatures w14:val="standardContextual"/>
        </w:rPr>
        <w:t>ih</w:t>
      </w:r>
      <w:r w:rsidRPr="005B73A0">
        <w:rPr>
          <w:color w:val="000000"/>
          <w:kern w:val="2"/>
          <w:sz w:val="24"/>
          <w:lang w:eastAsia="hr-HR"/>
          <w14:ligatures w14:val="standardContextual"/>
        </w:rPr>
        <w:t xml:space="preserve"> ulaganja u razvoj geotermalnih projekata. </w:t>
      </w:r>
      <w:r w:rsidRPr="001008CF">
        <w:rPr>
          <w:color w:val="000000"/>
          <w:kern w:val="2"/>
          <w:sz w:val="24"/>
          <w:lang w:eastAsia="hr-HR"/>
          <w14:ligatures w14:val="standardContextual"/>
        </w:rPr>
        <w:t xml:space="preserve">U okviru NPOO </w:t>
      </w:r>
      <w:r>
        <w:rPr>
          <w:color w:val="000000"/>
          <w:kern w:val="2"/>
          <w:sz w:val="24"/>
          <w:lang w:eastAsia="hr-HR"/>
          <w14:ligatures w14:val="standardContextual"/>
        </w:rPr>
        <w:t>investicije</w:t>
      </w:r>
      <w:r w:rsidRPr="001008CF">
        <w:rPr>
          <w:color w:val="000000"/>
          <w:kern w:val="2"/>
          <w:sz w:val="24"/>
          <w:lang w:eastAsia="hr-HR"/>
          <w14:ligatures w14:val="standardContextual"/>
        </w:rPr>
        <w:t xml:space="preserve"> „</w:t>
      </w:r>
      <w:r w:rsidRPr="0004221B">
        <w:rPr>
          <w:color w:val="000000"/>
          <w:kern w:val="2"/>
          <w:sz w:val="24"/>
          <w:lang w:eastAsia="hr-HR"/>
          <w14:ligatures w14:val="standardContextual"/>
        </w:rPr>
        <w:t>Priprema i istraživanje geotermalnog potencijala u kontekstu centraliziranog grijanja</w:t>
      </w:r>
      <w:r w:rsidRPr="001008CF">
        <w:rPr>
          <w:color w:val="000000"/>
          <w:kern w:val="2"/>
          <w:sz w:val="24"/>
          <w:lang w:eastAsia="hr-HR"/>
          <w14:ligatures w14:val="standardContextual"/>
        </w:rPr>
        <w:t xml:space="preserve">“ provedene su aktivnosti na šest preliminarnih istražnih prostora (Osijek, Sisak, Velika Gorica, Vinkovci, Vukovar i Zaprešić). Provedena su dodatna geofizička istraživanja i ishođene potrebne odluke o ispitivanju geotermalnog potencijala. </w:t>
      </w:r>
      <w:proofErr w:type="spellStart"/>
      <w:r w:rsidRPr="0098146D">
        <w:rPr>
          <w:color w:val="000000"/>
          <w:kern w:val="2"/>
          <w:sz w:val="24"/>
          <w:lang w:eastAsia="hr-HR"/>
          <w14:ligatures w14:val="standardContextual"/>
        </w:rPr>
        <w:t>Ishodovana</w:t>
      </w:r>
      <w:proofErr w:type="spellEnd"/>
      <w:r w:rsidRPr="0098146D">
        <w:rPr>
          <w:color w:val="000000"/>
          <w:kern w:val="2"/>
          <w:sz w:val="24"/>
          <w:lang w:eastAsia="hr-HR"/>
          <w14:ligatures w14:val="standardContextual"/>
        </w:rPr>
        <w:t xml:space="preserve"> su mišljenja o prihvatljivosti zahvata za okoliš, izrađeni su elaborati o štetama na usjevima te je objavljena javna nabava za usluge </w:t>
      </w:r>
      <w:proofErr w:type="spellStart"/>
      <w:r w:rsidRPr="0098146D">
        <w:rPr>
          <w:color w:val="000000"/>
          <w:kern w:val="2"/>
          <w:sz w:val="24"/>
          <w:lang w:eastAsia="hr-HR"/>
          <w14:ligatures w14:val="standardContextual"/>
        </w:rPr>
        <w:t>magnetotelurskog</w:t>
      </w:r>
      <w:proofErr w:type="spellEnd"/>
      <w:r w:rsidRPr="0098146D">
        <w:rPr>
          <w:color w:val="000000"/>
          <w:kern w:val="2"/>
          <w:sz w:val="24"/>
          <w:lang w:eastAsia="hr-HR"/>
          <w14:ligatures w14:val="standardContextual"/>
        </w:rPr>
        <w:t xml:space="preserve"> i 2D seizmičkog snimanja. </w:t>
      </w:r>
      <w:r w:rsidRPr="00B57B48">
        <w:rPr>
          <w:color w:val="000000"/>
          <w:kern w:val="2"/>
          <w:sz w:val="24"/>
          <w:lang w:eastAsia="hr-HR"/>
          <w14:ligatures w14:val="standardContextual"/>
        </w:rPr>
        <w:t xml:space="preserve">Temeljem </w:t>
      </w:r>
      <w:r>
        <w:rPr>
          <w:color w:val="000000"/>
          <w:kern w:val="2"/>
          <w:sz w:val="24"/>
          <w:lang w:eastAsia="hr-HR"/>
          <w14:ligatures w14:val="standardContextual"/>
        </w:rPr>
        <w:t>provedenih snimanj</w:t>
      </w:r>
      <w:r w:rsidRPr="00B57B48">
        <w:rPr>
          <w:color w:val="000000"/>
          <w:kern w:val="2"/>
          <w:sz w:val="24"/>
          <w:lang w:eastAsia="hr-HR"/>
          <w14:ligatures w14:val="standardContextual"/>
        </w:rPr>
        <w:t xml:space="preserve">a, u svibnju 2024. potpisana su </w:t>
      </w:r>
      <w:r>
        <w:rPr>
          <w:color w:val="000000"/>
          <w:kern w:val="2"/>
          <w:sz w:val="24"/>
          <w:lang w:eastAsia="hr-HR"/>
          <w14:ligatures w14:val="standardContextual"/>
        </w:rPr>
        <w:t>četiri</w:t>
      </w:r>
      <w:r w:rsidRPr="00B57B48">
        <w:rPr>
          <w:color w:val="000000"/>
          <w:kern w:val="2"/>
          <w:sz w:val="24"/>
          <w:lang w:eastAsia="hr-HR"/>
          <w14:ligatures w14:val="standardContextual"/>
        </w:rPr>
        <w:t xml:space="preserve"> ugovora za izradu istražnih geotermalnih bušotina</w:t>
      </w:r>
      <w:r>
        <w:rPr>
          <w:color w:val="000000"/>
          <w:kern w:val="2"/>
          <w:sz w:val="24"/>
          <w:lang w:eastAsia="hr-HR"/>
          <w14:ligatures w14:val="standardContextual"/>
        </w:rPr>
        <w:t xml:space="preserve"> te je do kraja</w:t>
      </w:r>
      <w:r w:rsidRPr="001008CF">
        <w:rPr>
          <w:color w:val="000000"/>
          <w:kern w:val="2"/>
          <w:sz w:val="24"/>
          <w:lang w:eastAsia="hr-HR"/>
          <w14:ligatures w14:val="standardContextual"/>
        </w:rPr>
        <w:t xml:space="preserve"> 2024. provedena javna nabava za potrebe projektiranja, nabave materijala i izrade istražnih geotermalnih bušotina na četiri preliminarna istražna prostora po principu „ključ u ruke“, ukupne vrijednosti 39,7 milijuna eura</w:t>
      </w:r>
      <w:r>
        <w:rPr>
          <w:color w:val="000000"/>
          <w:kern w:val="2"/>
          <w:sz w:val="24"/>
          <w:lang w:eastAsia="hr-HR"/>
          <w14:ligatures w14:val="standardContextual"/>
        </w:rPr>
        <w:t>.</w:t>
      </w:r>
      <w:r w:rsidRPr="001008CF">
        <w:rPr>
          <w:color w:val="000000"/>
          <w:kern w:val="2"/>
          <w:sz w:val="24"/>
          <w:lang w:eastAsia="hr-HR"/>
          <w14:ligatures w14:val="standardContextual"/>
        </w:rPr>
        <w:t xml:space="preserve"> </w:t>
      </w:r>
    </w:p>
    <w:p w14:paraId="4FEBDA41" w14:textId="77777777" w:rsidR="00FB178A" w:rsidRDefault="00FB178A" w:rsidP="00FB178A">
      <w:pPr>
        <w:spacing w:before="240" w:after="240" w:line="276" w:lineRule="auto"/>
        <w:jc w:val="both"/>
        <w:rPr>
          <w:sz w:val="24"/>
          <w:szCs w:val="24"/>
          <w:lang w:eastAsia="hr-HR"/>
        </w:rPr>
      </w:pPr>
      <w:r w:rsidRPr="00113F95">
        <w:rPr>
          <w:sz w:val="24"/>
          <w:szCs w:val="24"/>
          <w:lang w:eastAsia="hr-HR"/>
        </w:rPr>
        <w:t>Tijekom 2024. nastavljena je provedba NPOO projekta „Jačanje plinske infrastrukture“, kojim se osigurava financiranje daljnjeg razvoja magistralnih plinovoda potrebnih za transport plina s LNG terminala na Krku prema susjednim državama te stvaraju preduvjeti za povećanje kapaciteta LNG terminala na 6,1 m</w:t>
      </w:r>
      <w:r>
        <w:rPr>
          <w:sz w:val="24"/>
          <w:szCs w:val="24"/>
          <w:lang w:eastAsia="hr-HR"/>
        </w:rPr>
        <w:t xml:space="preserve">ilijardi </w:t>
      </w:r>
      <w:r w:rsidRPr="00113F95">
        <w:rPr>
          <w:sz w:val="24"/>
          <w:szCs w:val="24"/>
          <w:lang w:eastAsia="hr-HR"/>
        </w:rPr>
        <w:t xml:space="preserve">m³ godišnje. </w:t>
      </w:r>
      <w:r>
        <w:rPr>
          <w:sz w:val="24"/>
          <w:szCs w:val="24"/>
          <w:lang w:eastAsia="hr-HR"/>
        </w:rPr>
        <w:t>Provedene a</w:t>
      </w:r>
      <w:r w:rsidRPr="00113F95">
        <w:rPr>
          <w:sz w:val="24"/>
          <w:szCs w:val="24"/>
          <w:lang w:eastAsia="hr-HR"/>
        </w:rPr>
        <w:t>ktivnosti su uključivale pripremu projektno-tehničke dokumentacije za proširenje sustava, pokretanje nov</w:t>
      </w:r>
      <w:r>
        <w:rPr>
          <w:sz w:val="24"/>
          <w:szCs w:val="24"/>
          <w:lang w:eastAsia="hr-HR"/>
        </w:rPr>
        <w:t>og</w:t>
      </w:r>
      <w:r w:rsidRPr="00113F95">
        <w:rPr>
          <w:sz w:val="24"/>
          <w:szCs w:val="24"/>
          <w:lang w:eastAsia="hr-HR"/>
        </w:rPr>
        <w:t xml:space="preserve"> investicijsk</w:t>
      </w:r>
      <w:r>
        <w:rPr>
          <w:sz w:val="24"/>
          <w:szCs w:val="24"/>
          <w:lang w:eastAsia="hr-HR"/>
        </w:rPr>
        <w:t>og</w:t>
      </w:r>
      <w:r w:rsidRPr="00113F95">
        <w:rPr>
          <w:sz w:val="24"/>
          <w:szCs w:val="24"/>
          <w:lang w:eastAsia="hr-HR"/>
        </w:rPr>
        <w:t xml:space="preserve"> ciklusa te usklađivanje razvoja plinske infrastrukture s ciljevima diversifikacije i sigurnosti opskrbe. Istodobno je proveden intenzivan rad na programiranju i utvrđivanju popisa projekata u okviru poglavlja </w:t>
      </w:r>
      <w:proofErr w:type="spellStart"/>
      <w:r w:rsidRPr="00113F95">
        <w:rPr>
          <w:sz w:val="24"/>
          <w:szCs w:val="24"/>
          <w:lang w:eastAsia="hr-HR"/>
        </w:rPr>
        <w:t>REPowerEU</w:t>
      </w:r>
      <w:proofErr w:type="spellEnd"/>
      <w:r w:rsidRPr="00113F95">
        <w:rPr>
          <w:sz w:val="24"/>
          <w:szCs w:val="24"/>
          <w:lang w:eastAsia="hr-HR"/>
        </w:rPr>
        <w:t xml:space="preserve">, čime se podupire ambicija </w:t>
      </w:r>
      <w:r>
        <w:rPr>
          <w:sz w:val="24"/>
          <w:szCs w:val="24"/>
          <w:lang w:eastAsia="hr-HR"/>
        </w:rPr>
        <w:t>EU</w:t>
      </w:r>
      <w:r w:rsidRPr="00113F95">
        <w:rPr>
          <w:sz w:val="24"/>
          <w:szCs w:val="24"/>
          <w:lang w:eastAsia="hr-HR"/>
        </w:rPr>
        <w:t xml:space="preserve"> da ubrza postupno napuštanje fosilnih goriva, poveća energetsku učinkovitost i ubrza prelazak na obnovljive izvore</w:t>
      </w:r>
      <w:r>
        <w:rPr>
          <w:sz w:val="24"/>
          <w:szCs w:val="24"/>
          <w:lang w:eastAsia="hr-HR"/>
        </w:rPr>
        <w:t xml:space="preserve"> energije. </w:t>
      </w:r>
    </w:p>
    <w:p w14:paraId="2620D7EA" w14:textId="77777777" w:rsidR="00FB178A" w:rsidRDefault="00FB178A" w:rsidP="00FB178A">
      <w:pPr>
        <w:spacing w:before="240" w:after="240" w:line="276" w:lineRule="auto"/>
        <w:jc w:val="both"/>
        <w:rPr>
          <w:sz w:val="24"/>
          <w:szCs w:val="24"/>
          <w:lang w:eastAsia="hr-HR"/>
        </w:rPr>
      </w:pPr>
      <w:r w:rsidRPr="007E49E6">
        <w:rPr>
          <w:sz w:val="24"/>
          <w:szCs w:val="24"/>
          <w:lang w:eastAsia="hr-HR"/>
        </w:rPr>
        <w:lastRenderedPageBreak/>
        <w:t xml:space="preserve">U skladu s ciljevima </w:t>
      </w:r>
      <w:r>
        <w:rPr>
          <w:sz w:val="24"/>
          <w:szCs w:val="24"/>
          <w:lang w:eastAsia="hr-HR"/>
        </w:rPr>
        <w:t>EU,</w:t>
      </w:r>
      <w:r w:rsidRPr="007E49E6">
        <w:rPr>
          <w:sz w:val="24"/>
          <w:szCs w:val="24"/>
          <w:lang w:eastAsia="hr-HR"/>
        </w:rPr>
        <w:t xml:space="preserve"> tijekom 2024. nastavljen je rad na provedbi Strategije energetskog razvoja Republike Hrvatske do 2030. s pogledom na 2050. godinu i Hrvatske strategije za vodik do 2050. godine, kao ključnih akata strateškog planiranja za ostvarenje cilja ekološke i energetske tranzicije prema klimatskoj neutralnosti. Udio obnovljivih izvora energije u bruto ukupnoj potrošnji energije u 202</w:t>
      </w:r>
      <w:r>
        <w:rPr>
          <w:sz w:val="24"/>
          <w:szCs w:val="24"/>
          <w:lang w:eastAsia="hr-HR"/>
        </w:rPr>
        <w:t>4</w:t>
      </w:r>
      <w:r w:rsidRPr="007E49E6">
        <w:rPr>
          <w:sz w:val="24"/>
          <w:szCs w:val="24"/>
          <w:lang w:eastAsia="hr-HR"/>
        </w:rPr>
        <w:t>. iznosio je 2</w:t>
      </w:r>
      <w:r>
        <w:rPr>
          <w:sz w:val="24"/>
          <w:szCs w:val="24"/>
          <w:lang w:eastAsia="hr-HR"/>
        </w:rPr>
        <w:t>6</w:t>
      </w:r>
      <w:r w:rsidRPr="007E49E6">
        <w:rPr>
          <w:sz w:val="24"/>
          <w:szCs w:val="24"/>
          <w:lang w:eastAsia="hr-HR"/>
        </w:rPr>
        <w:t>,</w:t>
      </w:r>
      <w:r>
        <w:rPr>
          <w:sz w:val="24"/>
          <w:szCs w:val="24"/>
          <w:lang w:eastAsia="hr-HR"/>
        </w:rPr>
        <w:t>48</w:t>
      </w:r>
      <w:r w:rsidRPr="007E49E6">
        <w:rPr>
          <w:sz w:val="24"/>
          <w:szCs w:val="24"/>
          <w:lang w:eastAsia="hr-HR"/>
        </w:rPr>
        <w:t xml:space="preserve">%, uz ciljano povećanje na 36,4% do 2030. </w:t>
      </w:r>
      <w:r>
        <w:rPr>
          <w:sz w:val="24"/>
          <w:szCs w:val="24"/>
          <w:lang w:eastAsia="hr-HR"/>
        </w:rPr>
        <w:t>N</w:t>
      </w:r>
      <w:r w:rsidRPr="007E49E6">
        <w:rPr>
          <w:sz w:val="24"/>
          <w:szCs w:val="24"/>
          <w:lang w:eastAsia="hr-HR"/>
        </w:rPr>
        <w:t>astavlja</w:t>
      </w:r>
      <w:r>
        <w:rPr>
          <w:sz w:val="24"/>
          <w:szCs w:val="24"/>
          <w:lang w:eastAsia="hr-HR"/>
        </w:rPr>
        <w:t xml:space="preserve"> se</w:t>
      </w:r>
      <w:r w:rsidRPr="007E49E6">
        <w:rPr>
          <w:sz w:val="24"/>
          <w:szCs w:val="24"/>
          <w:lang w:eastAsia="hr-HR"/>
        </w:rPr>
        <w:t xml:space="preserve"> kontinuirani rad na </w:t>
      </w:r>
      <w:proofErr w:type="spellStart"/>
      <w:r w:rsidRPr="007E49E6">
        <w:rPr>
          <w:sz w:val="24"/>
          <w:szCs w:val="24"/>
          <w:lang w:eastAsia="hr-HR"/>
        </w:rPr>
        <w:t>dekarbonizaciji</w:t>
      </w:r>
      <w:proofErr w:type="spellEnd"/>
      <w:r w:rsidRPr="007E49E6">
        <w:rPr>
          <w:sz w:val="24"/>
          <w:szCs w:val="24"/>
          <w:lang w:eastAsia="hr-HR"/>
        </w:rPr>
        <w:t xml:space="preserve"> energetskog sektora, jačanju energetske sigurnosti i smanjenju ovisnosti o uvozu energenata. </w:t>
      </w:r>
    </w:p>
    <w:p w14:paraId="5507FFDA" w14:textId="77777777" w:rsidR="00FB178A" w:rsidRDefault="00FB178A" w:rsidP="00FB178A">
      <w:pPr>
        <w:spacing w:before="240" w:after="240" w:line="276" w:lineRule="auto"/>
        <w:jc w:val="both"/>
        <w:rPr>
          <w:sz w:val="24"/>
          <w:szCs w:val="24"/>
          <w:lang w:eastAsia="hr-HR"/>
        </w:rPr>
      </w:pPr>
      <w:r w:rsidRPr="007E49E6">
        <w:rPr>
          <w:sz w:val="24"/>
          <w:szCs w:val="24"/>
          <w:lang w:eastAsia="hr-HR"/>
        </w:rPr>
        <w:t xml:space="preserve">Hrvatska strategija za vodik do 2050. godine, izrađena kao doprinos Europskoj strategiji za vodik, operacionalizira nacionalnu viziju razvoja gospodarstva zasnovanog na obnovljivom vodiku. U okviru Strategije tijekom 2024. nastavljena je provedba strateškog projekta uspostave infrastrukture za alternativna goriva - projekt „Dolina vodika Sjeverni Jadran“. Projekt koji Hrvatska provodi u suradnji sa Slovenijom i talijanskom regijom </w:t>
      </w:r>
      <w:proofErr w:type="spellStart"/>
      <w:r w:rsidRPr="007E49E6">
        <w:rPr>
          <w:sz w:val="24"/>
          <w:szCs w:val="24"/>
          <w:lang w:eastAsia="hr-HR"/>
        </w:rPr>
        <w:t>Friuli</w:t>
      </w:r>
      <w:proofErr w:type="spellEnd"/>
      <w:r w:rsidRPr="007E49E6">
        <w:rPr>
          <w:sz w:val="24"/>
          <w:szCs w:val="24"/>
          <w:lang w:eastAsia="hr-HR"/>
        </w:rPr>
        <w:t xml:space="preserve"> </w:t>
      </w:r>
      <w:proofErr w:type="spellStart"/>
      <w:r w:rsidRPr="007E49E6">
        <w:rPr>
          <w:sz w:val="24"/>
          <w:szCs w:val="24"/>
          <w:lang w:eastAsia="hr-HR"/>
        </w:rPr>
        <w:t>Venezia</w:t>
      </w:r>
      <w:proofErr w:type="spellEnd"/>
      <w:r w:rsidRPr="007E49E6">
        <w:rPr>
          <w:sz w:val="24"/>
          <w:szCs w:val="24"/>
          <w:lang w:eastAsia="hr-HR"/>
        </w:rPr>
        <w:t xml:space="preserve"> </w:t>
      </w:r>
      <w:proofErr w:type="spellStart"/>
      <w:r w:rsidRPr="007E49E6">
        <w:rPr>
          <w:sz w:val="24"/>
          <w:szCs w:val="24"/>
          <w:lang w:eastAsia="hr-HR"/>
        </w:rPr>
        <w:t>Giulia</w:t>
      </w:r>
      <w:proofErr w:type="spellEnd"/>
      <w:r w:rsidRPr="007E49E6">
        <w:rPr>
          <w:sz w:val="24"/>
          <w:szCs w:val="24"/>
          <w:lang w:eastAsia="hr-HR"/>
        </w:rPr>
        <w:t>, povezuje proizvodnju, transport i uporabu vodika te pozicionira Hrvatsku kao važnog aktera u razvoju vodikova gospodarstva u jugoistočnoj Europi. Ukupna vrijednost projekta je 344,4 milijuna eura, a iz EU programa Obzor Europa osigurano je 25 milijuna eura bespovratnih sredstava</w:t>
      </w:r>
      <w:r>
        <w:rPr>
          <w:sz w:val="24"/>
          <w:szCs w:val="24"/>
          <w:lang w:eastAsia="hr-HR"/>
        </w:rPr>
        <w:t>. O</w:t>
      </w:r>
      <w:r w:rsidRPr="007E49E6">
        <w:rPr>
          <w:sz w:val="24"/>
          <w:szCs w:val="24"/>
          <w:lang w:eastAsia="hr-HR"/>
        </w:rPr>
        <w:t>statak pokrivaju sami partneri, uključujući osam partnera iz Hrvatske, prvenstveno vlastitim sredstvima i drugim izvorima financiranja.</w:t>
      </w:r>
    </w:p>
    <w:p w14:paraId="2EEF31DA" w14:textId="77777777" w:rsidR="00FB178A" w:rsidRDefault="00FB178A" w:rsidP="00FB178A">
      <w:pPr>
        <w:spacing w:before="240" w:after="240" w:line="276" w:lineRule="auto"/>
        <w:jc w:val="both"/>
        <w:rPr>
          <w:sz w:val="24"/>
          <w:szCs w:val="24"/>
          <w:lang w:eastAsia="hr-HR"/>
        </w:rPr>
      </w:pPr>
      <w:r>
        <w:rPr>
          <w:sz w:val="24"/>
          <w:szCs w:val="24"/>
          <w:lang w:eastAsia="hr-HR"/>
        </w:rPr>
        <w:t xml:space="preserve">U skladu s Odlukom </w:t>
      </w:r>
      <w:r w:rsidRPr="006D1508">
        <w:rPr>
          <w:sz w:val="24"/>
          <w:szCs w:val="24"/>
          <w:lang w:eastAsia="hr-HR"/>
        </w:rPr>
        <w:t>o izmjeni i dopuni Odluke o načinu raspodjele bespovratnih financijskih sredstava iz Fonda solidarnosti Europske unije za financiranje sanacije šteta od potresa na području Grada Zagreba, Krapinsko-zagorske županije, Zagrebačke županije,</w:t>
      </w:r>
      <w:r>
        <w:rPr>
          <w:sz w:val="24"/>
          <w:szCs w:val="24"/>
          <w:lang w:eastAsia="hr-HR"/>
        </w:rPr>
        <w:t xml:space="preserve"> </w:t>
      </w:r>
      <w:r w:rsidRPr="006D1508">
        <w:rPr>
          <w:sz w:val="24"/>
          <w:szCs w:val="24"/>
          <w:lang w:eastAsia="hr-HR"/>
        </w:rPr>
        <w:t xml:space="preserve">Sisačko-moslavačke županije, Karlovačke županije, Varaždinske županije, Međimurske županije, Brodsko-posavske županije i Bjelovarsko-bilogorske županije, imenovanju i određivanju zaduženja nacionalnog koordinacijskog tijela, tijela odgovornih za provedbu financijskog doprinosa i neovisnog revizorskog tijela od 23. prosinca 2021. </w:t>
      </w:r>
      <w:r w:rsidRPr="0046089F">
        <w:rPr>
          <w:sz w:val="24"/>
          <w:szCs w:val="24"/>
          <w:lang w:eastAsia="hr-HR"/>
        </w:rPr>
        <w:t>(</w:t>
      </w:r>
      <w:r>
        <w:rPr>
          <w:sz w:val="24"/>
          <w:szCs w:val="24"/>
          <w:lang w:eastAsia="hr-HR"/>
        </w:rPr>
        <w:t xml:space="preserve">„Narodne novine“, broj </w:t>
      </w:r>
      <w:r w:rsidRPr="0046089F">
        <w:rPr>
          <w:sz w:val="24"/>
          <w:szCs w:val="24"/>
          <w:lang w:eastAsia="hr-HR"/>
        </w:rPr>
        <w:t>143/21</w:t>
      </w:r>
      <w:r>
        <w:rPr>
          <w:sz w:val="24"/>
          <w:szCs w:val="24"/>
          <w:lang w:eastAsia="hr-HR"/>
        </w:rPr>
        <w:t>.</w:t>
      </w:r>
      <w:r w:rsidRPr="0046089F">
        <w:rPr>
          <w:sz w:val="24"/>
          <w:szCs w:val="24"/>
          <w:lang w:eastAsia="hr-HR"/>
        </w:rPr>
        <w:t xml:space="preserve">), </w:t>
      </w:r>
      <w:r>
        <w:rPr>
          <w:sz w:val="24"/>
          <w:szCs w:val="24"/>
          <w:lang w:eastAsia="hr-HR"/>
        </w:rPr>
        <w:t xml:space="preserve">dovršena je provedba </w:t>
      </w:r>
      <w:r w:rsidRPr="0046089F">
        <w:rPr>
          <w:sz w:val="24"/>
          <w:szCs w:val="24"/>
          <w:lang w:eastAsia="hr-HR"/>
        </w:rPr>
        <w:t>operacij</w:t>
      </w:r>
      <w:r>
        <w:rPr>
          <w:sz w:val="24"/>
          <w:szCs w:val="24"/>
          <w:lang w:eastAsia="hr-HR"/>
        </w:rPr>
        <w:t>e</w:t>
      </w:r>
      <w:r w:rsidRPr="0046089F">
        <w:rPr>
          <w:sz w:val="24"/>
          <w:szCs w:val="24"/>
          <w:lang w:eastAsia="hr-HR"/>
        </w:rPr>
        <w:t xml:space="preserve"> </w:t>
      </w:r>
      <w:r w:rsidRPr="008564C7">
        <w:rPr>
          <w:sz w:val="24"/>
          <w:szCs w:val="24"/>
          <w:lang w:eastAsia="hr-HR"/>
        </w:rPr>
        <w:t>iz Poziva za dodjelu bespovratnih financijskih sredstava</w:t>
      </w:r>
      <w:r w:rsidRPr="00B149D5">
        <w:rPr>
          <w:sz w:val="24"/>
          <w:szCs w:val="24"/>
          <w:lang w:eastAsia="hr-HR"/>
        </w:rPr>
        <w:t xml:space="preserve"> </w:t>
      </w:r>
      <w:r w:rsidRPr="0046089F">
        <w:rPr>
          <w:sz w:val="24"/>
          <w:szCs w:val="24"/>
          <w:lang w:eastAsia="hr-HR"/>
        </w:rPr>
        <w:t>„Vraćanje u ispravno radno stanje infrastrukture i pogona u energetskom sektoru“</w:t>
      </w:r>
      <w:r>
        <w:rPr>
          <w:sz w:val="24"/>
          <w:szCs w:val="24"/>
          <w:lang w:eastAsia="hr-HR"/>
        </w:rPr>
        <w:t xml:space="preserve"> </w:t>
      </w:r>
      <w:r w:rsidRPr="008564C7">
        <w:rPr>
          <w:sz w:val="24"/>
          <w:szCs w:val="24"/>
          <w:lang w:eastAsia="hr-HR"/>
        </w:rPr>
        <w:t>s</w:t>
      </w:r>
      <w:r>
        <w:t xml:space="preserve"> </w:t>
      </w:r>
      <w:r w:rsidRPr="008564C7">
        <w:rPr>
          <w:sz w:val="24"/>
          <w:szCs w:val="24"/>
          <w:lang w:eastAsia="hr-HR"/>
        </w:rPr>
        <w:t>ciljem nadoknade troškova nastalih nakon obnove oštećenja energetske infrastrukture, postrojenja i sustava uzrokovanih potresima iz 2020. godine na području Grada Zagreba te više županija pogođenih potresom</w:t>
      </w:r>
      <w:r w:rsidRPr="0046089F">
        <w:rPr>
          <w:sz w:val="24"/>
          <w:szCs w:val="24"/>
          <w:lang w:eastAsia="hr-HR"/>
        </w:rPr>
        <w:t xml:space="preserve">. </w:t>
      </w:r>
      <w:r>
        <w:rPr>
          <w:sz w:val="24"/>
          <w:szCs w:val="24"/>
          <w:lang w:eastAsia="hr-HR"/>
        </w:rPr>
        <w:t>Š</w:t>
      </w:r>
      <w:r w:rsidRPr="0046089F">
        <w:rPr>
          <w:sz w:val="24"/>
          <w:szCs w:val="24"/>
          <w:lang w:eastAsia="hr-HR"/>
        </w:rPr>
        <w:t xml:space="preserve">tete </w:t>
      </w:r>
      <w:r>
        <w:rPr>
          <w:sz w:val="24"/>
          <w:szCs w:val="24"/>
          <w:lang w:eastAsia="hr-HR"/>
        </w:rPr>
        <w:t xml:space="preserve">su zabilježene </w:t>
      </w:r>
      <w:r w:rsidRPr="0046089F">
        <w:rPr>
          <w:sz w:val="24"/>
          <w:szCs w:val="24"/>
          <w:lang w:eastAsia="hr-HR"/>
        </w:rPr>
        <w:t>na transformatorsk</w:t>
      </w:r>
      <w:r>
        <w:rPr>
          <w:sz w:val="24"/>
          <w:szCs w:val="24"/>
          <w:lang w:eastAsia="hr-HR"/>
        </w:rPr>
        <w:t>im</w:t>
      </w:r>
      <w:r w:rsidRPr="0046089F">
        <w:rPr>
          <w:sz w:val="24"/>
          <w:szCs w:val="24"/>
          <w:lang w:eastAsia="hr-HR"/>
        </w:rPr>
        <w:t xml:space="preserve"> stanic</w:t>
      </w:r>
      <w:r>
        <w:rPr>
          <w:sz w:val="24"/>
          <w:szCs w:val="24"/>
          <w:lang w:eastAsia="hr-HR"/>
        </w:rPr>
        <w:t>ama</w:t>
      </w:r>
      <w:r w:rsidRPr="0046089F">
        <w:rPr>
          <w:sz w:val="24"/>
          <w:szCs w:val="24"/>
          <w:lang w:eastAsia="hr-HR"/>
        </w:rPr>
        <w:t>, dalekovod</w:t>
      </w:r>
      <w:r>
        <w:rPr>
          <w:sz w:val="24"/>
          <w:szCs w:val="24"/>
          <w:lang w:eastAsia="hr-HR"/>
        </w:rPr>
        <w:t>ima</w:t>
      </w:r>
      <w:r w:rsidRPr="0046089F">
        <w:rPr>
          <w:sz w:val="24"/>
          <w:szCs w:val="24"/>
          <w:lang w:eastAsia="hr-HR"/>
        </w:rPr>
        <w:t>, plinovodn</w:t>
      </w:r>
      <w:r>
        <w:rPr>
          <w:sz w:val="24"/>
          <w:szCs w:val="24"/>
          <w:lang w:eastAsia="hr-HR"/>
        </w:rPr>
        <w:t>oj</w:t>
      </w:r>
      <w:r w:rsidRPr="0046089F">
        <w:rPr>
          <w:sz w:val="24"/>
          <w:szCs w:val="24"/>
          <w:lang w:eastAsia="hr-HR"/>
        </w:rPr>
        <w:t xml:space="preserve"> i </w:t>
      </w:r>
      <w:proofErr w:type="spellStart"/>
      <w:r w:rsidRPr="0046089F">
        <w:rPr>
          <w:sz w:val="24"/>
          <w:szCs w:val="24"/>
          <w:lang w:eastAsia="hr-HR"/>
        </w:rPr>
        <w:t>vrelovodn</w:t>
      </w:r>
      <w:r>
        <w:rPr>
          <w:sz w:val="24"/>
          <w:szCs w:val="24"/>
          <w:lang w:eastAsia="hr-HR"/>
        </w:rPr>
        <w:t>oj</w:t>
      </w:r>
      <w:proofErr w:type="spellEnd"/>
      <w:r w:rsidRPr="0046089F">
        <w:rPr>
          <w:sz w:val="24"/>
          <w:szCs w:val="24"/>
          <w:lang w:eastAsia="hr-HR"/>
        </w:rPr>
        <w:t xml:space="preserve"> mrež</w:t>
      </w:r>
      <w:r>
        <w:rPr>
          <w:sz w:val="24"/>
          <w:szCs w:val="24"/>
          <w:lang w:eastAsia="hr-HR"/>
        </w:rPr>
        <w:t>i</w:t>
      </w:r>
      <w:r w:rsidRPr="0046089F">
        <w:rPr>
          <w:sz w:val="24"/>
          <w:szCs w:val="24"/>
          <w:lang w:eastAsia="hr-HR"/>
        </w:rPr>
        <w:t xml:space="preserve"> te drug</w:t>
      </w:r>
      <w:r>
        <w:rPr>
          <w:sz w:val="24"/>
          <w:szCs w:val="24"/>
          <w:lang w:eastAsia="hr-HR"/>
        </w:rPr>
        <w:t>im</w:t>
      </w:r>
      <w:r w:rsidRPr="0046089F">
        <w:rPr>
          <w:sz w:val="24"/>
          <w:szCs w:val="24"/>
          <w:lang w:eastAsia="hr-HR"/>
        </w:rPr>
        <w:t xml:space="preserve"> energetsk</w:t>
      </w:r>
      <w:r>
        <w:rPr>
          <w:sz w:val="24"/>
          <w:szCs w:val="24"/>
          <w:lang w:eastAsia="hr-HR"/>
        </w:rPr>
        <w:t>im</w:t>
      </w:r>
      <w:r w:rsidRPr="0046089F">
        <w:rPr>
          <w:sz w:val="24"/>
          <w:szCs w:val="24"/>
          <w:lang w:eastAsia="hr-HR"/>
        </w:rPr>
        <w:t xml:space="preserve"> postrojenj</w:t>
      </w:r>
      <w:r>
        <w:rPr>
          <w:sz w:val="24"/>
          <w:szCs w:val="24"/>
          <w:lang w:eastAsia="hr-HR"/>
        </w:rPr>
        <w:t>im</w:t>
      </w:r>
      <w:r w:rsidRPr="0046089F">
        <w:rPr>
          <w:sz w:val="24"/>
          <w:szCs w:val="24"/>
          <w:lang w:eastAsia="hr-HR"/>
        </w:rPr>
        <w:t xml:space="preserve">a. Ukupna vrijednost ugovorenih operacija </w:t>
      </w:r>
      <w:r>
        <w:rPr>
          <w:sz w:val="24"/>
          <w:szCs w:val="24"/>
          <w:lang w:eastAsia="hr-HR"/>
        </w:rPr>
        <w:t xml:space="preserve">u okviru poziva za energetski sektor je </w:t>
      </w:r>
      <w:r w:rsidRPr="0046089F">
        <w:rPr>
          <w:sz w:val="24"/>
          <w:szCs w:val="24"/>
          <w:lang w:eastAsia="hr-HR"/>
        </w:rPr>
        <w:t xml:space="preserve">iznosila </w:t>
      </w:r>
      <w:r>
        <w:rPr>
          <w:sz w:val="24"/>
          <w:szCs w:val="24"/>
          <w:lang w:eastAsia="hr-HR"/>
        </w:rPr>
        <w:t>52</w:t>
      </w:r>
      <w:r w:rsidRPr="0046089F">
        <w:rPr>
          <w:sz w:val="24"/>
          <w:szCs w:val="24"/>
          <w:lang w:eastAsia="hr-HR"/>
        </w:rPr>
        <w:t>,</w:t>
      </w:r>
      <w:r>
        <w:rPr>
          <w:sz w:val="24"/>
          <w:szCs w:val="24"/>
          <w:lang w:eastAsia="hr-HR"/>
        </w:rPr>
        <w:t>9</w:t>
      </w:r>
      <w:r w:rsidRPr="0046089F">
        <w:rPr>
          <w:sz w:val="24"/>
          <w:szCs w:val="24"/>
          <w:lang w:eastAsia="hr-HR"/>
        </w:rPr>
        <w:t xml:space="preserve"> milijuna eura, </w:t>
      </w:r>
      <w:r>
        <w:rPr>
          <w:sz w:val="24"/>
          <w:szCs w:val="24"/>
          <w:lang w:eastAsia="hr-HR"/>
        </w:rPr>
        <w:t xml:space="preserve">od čega je </w:t>
      </w:r>
      <w:r w:rsidRPr="0046089F">
        <w:rPr>
          <w:sz w:val="24"/>
          <w:szCs w:val="24"/>
          <w:lang w:eastAsia="hr-HR"/>
        </w:rPr>
        <w:t xml:space="preserve">korisnicima isplaćeno </w:t>
      </w:r>
      <w:r>
        <w:rPr>
          <w:sz w:val="24"/>
          <w:szCs w:val="24"/>
          <w:lang w:eastAsia="hr-HR"/>
        </w:rPr>
        <w:t>45</w:t>
      </w:r>
      <w:r w:rsidRPr="0046089F">
        <w:rPr>
          <w:sz w:val="24"/>
          <w:szCs w:val="24"/>
          <w:lang w:eastAsia="hr-HR"/>
        </w:rPr>
        <w:t>,</w:t>
      </w:r>
      <w:r>
        <w:rPr>
          <w:sz w:val="24"/>
          <w:szCs w:val="24"/>
          <w:lang w:eastAsia="hr-HR"/>
        </w:rPr>
        <w:t>4</w:t>
      </w:r>
      <w:r w:rsidRPr="0046089F">
        <w:rPr>
          <w:sz w:val="24"/>
          <w:szCs w:val="24"/>
          <w:lang w:eastAsia="hr-HR"/>
        </w:rPr>
        <w:t xml:space="preserve"> milijuna eura bespovratnih </w:t>
      </w:r>
      <w:r>
        <w:rPr>
          <w:sz w:val="24"/>
          <w:szCs w:val="24"/>
          <w:lang w:eastAsia="hr-HR"/>
        </w:rPr>
        <w:t xml:space="preserve">financijskih </w:t>
      </w:r>
      <w:r w:rsidRPr="0046089F">
        <w:rPr>
          <w:sz w:val="24"/>
          <w:szCs w:val="24"/>
          <w:lang w:eastAsia="hr-HR"/>
        </w:rPr>
        <w:t>sredstava.</w:t>
      </w:r>
    </w:p>
    <w:p w14:paraId="29584200" w14:textId="77777777" w:rsidR="00FB178A" w:rsidRPr="00BC2975" w:rsidRDefault="00FB178A" w:rsidP="00FB178A">
      <w:pPr>
        <w:spacing w:before="240" w:after="240" w:line="276" w:lineRule="auto"/>
        <w:jc w:val="both"/>
        <w:rPr>
          <w:sz w:val="24"/>
          <w:szCs w:val="24"/>
          <w:lang w:eastAsia="hr-HR"/>
        </w:rPr>
      </w:pPr>
      <w:r w:rsidRPr="00BC2975">
        <w:rPr>
          <w:sz w:val="24"/>
          <w:szCs w:val="24"/>
          <w:lang w:eastAsia="hr-HR"/>
        </w:rPr>
        <w:t xml:space="preserve">Tijekom 2024. zabilježen je daljnji </w:t>
      </w:r>
      <w:r w:rsidRPr="005D5FE9">
        <w:rPr>
          <w:sz w:val="24"/>
          <w:szCs w:val="24"/>
          <w:lang w:eastAsia="hr-HR"/>
        </w:rPr>
        <w:t xml:space="preserve">iskorak prema povećanju energetske učinkovitosti i </w:t>
      </w:r>
      <w:proofErr w:type="spellStart"/>
      <w:r w:rsidRPr="005D5FE9">
        <w:rPr>
          <w:sz w:val="24"/>
          <w:szCs w:val="24"/>
          <w:lang w:eastAsia="hr-HR"/>
        </w:rPr>
        <w:t>dekarbonizaciji</w:t>
      </w:r>
      <w:proofErr w:type="spellEnd"/>
      <w:r w:rsidRPr="005D5FE9">
        <w:rPr>
          <w:sz w:val="24"/>
          <w:szCs w:val="24"/>
          <w:lang w:eastAsia="hr-HR"/>
        </w:rPr>
        <w:t xml:space="preserve"> zgradarstva, uz istodobno jačanje otpornosti</w:t>
      </w:r>
      <w:r>
        <w:rPr>
          <w:sz w:val="24"/>
          <w:szCs w:val="24"/>
          <w:lang w:eastAsia="hr-HR"/>
        </w:rPr>
        <w:t xml:space="preserve">, </w:t>
      </w:r>
      <w:r w:rsidRPr="005D5FE9">
        <w:rPr>
          <w:sz w:val="24"/>
          <w:szCs w:val="24"/>
          <w:lang w:eastAsia="hr-HR"/>
        </w:rPr>
        <w:t>smanjenje energetskog siromaštva i stvaranje preduvjeta za dostizanje ciljeva klimatske neutralnosti i energetske samodostatnosti</w:t>
      </w:r>
      <w:r w:rsidRPr="00BC2975">
        <w:rPr>
          <w:sz w:val="24"/>
          <w:szCs w:val="24"/>
          <w:lang w:eastAsia="hr-HR"/>
        </w:rPr>
        <w:t xml:space="preserve">. U okviru </w:t>
      </w:r>
      <w:r>
        <w:rPr>
          <w:sz w:val="24"/>
          <w:szCs w:val="24"/>
          <w:lang w:eastAsia="hr-HR"/>
        </w:rPr>
        <w:t xml:space="preserve">poziva iz </w:t>
      </w:r>
      <w:r w:rsidRPr="00BC2975">
        <w:rPr>
          <w:sz w:val="24"/>
          <w:szCs w:val="24"/>
          <w:lang w:eastAsia="hr-HR"/>
        </w:rPr>
        <w:t xml:space="preserve">NPOO-a </w:t>
      </w:r>
      <w:r>
        <w:rPr>
          <w:sz w:val="24"/>
          <w:szCs w:val="24"/>
          <w:lang w:eastAsia="hr-HR"/>
        </w:rPr>
        <w:t xml:space="preserve">u 2024. </w:t>
      </w:r>
      <w:r w:rsidRPr="003411D4">
        <w:rPr>
          <w:sz w:val="24"/>
          <w:szCs w:val="24"/>
          <w:lang w:eastAsia="hr-HR"/>
        </w:rPr>
        <w:t xml:space="preserve">ukupno </w:t>
      </w:r>
      <w:r>
        <w:rPr>
          <w:sz w:val="24"/>
          <w:szCs w:val="24"/>
          <w:lang w:eastAsia="hr-HR"/>
        </w:rPr>
        <w:t xml:space="preserve">je </w:t>
      </w:r>
      <w:r w:rsidRPr="003411D4">
        <w:rPr>
          <w:sz w:val="24"/>
          <w:szCs w:val="24"/>
          <w:lang w:eastAsia="hr-HR"/>
        </w:rPr>
        <w:t xml:space="preserve">ugovoreno </w:t>
      </w:r>
      <w:r>
        <w:rPr>
          <w:sz w:val="24"/>
          <w:szCs w:val="24"/>
          <w:lang w:eastAsia="hr-HR"/>
        </w:rPr>
        <w:t>248</w:t>
      </w:r>
      <w:r w:rsidRPr="003411D4">
        <w:rPr>
          <w:sz w:val="24"/>
          <w:szCs w:val="24"/>
          <w:lang w:eastAsia="hr-HR"/>
        </w:rPr>
        <w:t xml:space="preserve"> projekata, </w:t>
      </w:r>
      <w:r>
        <w:rPr>
          <w:sz w:val="24"/>
          <w:szCs w:val="24"/>
          <w:lang w:eastAsia="hr-HR"/>
        </w:rPr>
        <w:t>kojima je predviđena energetska</w:t>
      </w:r>
      <w:r w:rsidRPr="003411D4">
        <w:rPr>
          <w:sz w:val="24"/>
          <w:szCs w:val="24"/>
          <w:lang w:eastAsia="hr-HR"/>
        </w:rPr>
        <w:t xml:space="preserve"> obnov</w:t>
      </w:r>
      <w:r>
        <w:rPr>
          <w:sz w:val="24"/>
          <w:szCs w:val="24"/>
          <w:lang w:eastAsia="hr-HR"/>
        </w:rPr>
        <w:t>a</w:t>
      </w:r>
      <w:r w:rsidRPr="003411D4">
        <w:rPr>
          <w:sz w:val="24"/>
          <w:szCs w:val="24"/>
          <w:lang w:eastAsia="hr-HR"/>
        </w:rPr>
        <w:t xml:space="preserve"> </w:t>
      </w:r>
      <w:r>
        <w:rPr>
          <w:sz w:val="24"/>
          <w:szCs w:val="24"/>
          <w:lang w:eastAsia="hr-HR"/>
        </w:rPr>
        <w:t xml:space="preserve">preko </w:t>
      </w:r>
      <w:r w:rsidRPr="003411D4">
        <w:rPr>
          <w:sz w:val="24"/>
          <w:szCs w:val="24"/>
          <w:lang w:eastAsia="hr-HR"/>
        </w:rPr>
        <w:t>5</w:t>
      </w:r>
      <w:r>
        <w:rPr>
          <w:sz w:val="24"/>
          <w:szCs w:val="24"/>
          <w:lang w:eastAsia="hr-HR"/>
        </w:rPr>
        <w:t>25</w:t>
      </w:r>
      <w:r w:rsidRPr="003411D4">
        <w:rPr>
          <w:sz w:val="24"/>
          <w:szCs w:val="24"/>
          <w:lang w:eastAsia="hr-HR"/>
        </w:rPr>
        <w:t xml:space="preserve"> </w:t>
      </w:r>
      <w:r>
        <w:rPr>
          <w:sz w:val="24"/>
          <w:szCs w:val="24"/>
          <w:lang w:eastAsia="hr-HR"/>
        </w:rPr>
        <w:t>000</w:t>
      </w:r>
      <w:r w:rsidRPr="003411D4">
        <w:rPr>
          <w:sz w:val="24"/>
          <w:szCs w:val="24"/>
          <w:lang w:eastAsia="hr-HR"/>
        </w:rPr>
        <w:t xml:space="preserve"> m²</w:t>
      </w:r>
      <w:r>
        <w:rPr>
          <w:sz w:val="24"/>
          <w:szCs w:val="24"/>
          <w:lang w:eastAsia="hr-HR"/>
        </w:rPr>
        <w:t xml:space="preserve"> </w:t>
      </w:r>
      <w:proofErr w:type="spellStart"/>
      <w:r w:rsidRPr="00EB5AD1">
        <w:rPr>
          <w:sz w:val="24"/>
          <w:szCs w:val="24"/>
          <w:lang w:eastAsia="hr-HR"/>
        </w:rPr>
        <w:t>višestambenih</w:t>
      </w:r>
      <w:proofErr w:type="spellEnd"/>
      <w:r w:rsidRPr="00EB5AD1">
        <w:rPr>
          <w:sz w:val="24"/>
          <w:szCs w:val="24"/>
          <w:lang w:eastAsia="hr-HR"/>
        </w:rPr>
        <w:t xml:space="preserve"> i zgrada javnog sektora</w:t>
      </w:r>
      <w:r>
        <w:rPr>
          <w:sz w:val="24"/>
          <w:szCs w:val="24"/>
          <w:lang w:eastAsia="hr-HR"/>
        </w:rPr>
        <w:t>. O</w:t>
      </w:r>
      <w:r w:rsidRPr="00BC2975">
        <w:rPr>
          <w:sz w:val="24"/>
          <w:szCs w:val="24"/>
          <w:lang w:eastAsia="hr-HR"/>
        </w:rPr>
        <w:t xml:space="preserve">bjavljen je novi poziv Energetska obnova </w:t>
      </w:r>
      <w:proofErr w:type="spellStart"/>
      <w:r w:rsidRPr="00BC2975">
        <w:rPr>
          <w:sz w:val="24"/>
          <w:szCs w:val="24"/>
          <w:lang w:eastAsia="hr-HR"/>
        </w:rPr>
        <w:t>višestambenih</w:t>
      </w:r>
      <w:proofErr w:type="spellEnd"/>
      <w:r w:rsidRPr="00BC2975">
        <w:rPr>
          <w:sz w:val="24"/>
          <w:szCs w:val="24"/>
          <w:lang w:eastAsia="hr-HR"/>
        </w:rPr>
        <w:t xml:space="preserve"> zgrada (C7.2.I1.01) s alokacijom od 101,35 milijuna eura, na kojem je</w:t>
      </w:r>
      <w:r>
        <w:rPr>
          <w:sz w:val="24"/>
          <w:szCs w:val="24"/>
          <w:lang w:eastAsia="hr-HR"/>
        </w:rPr>
        <w:t xml:space="preserve"> za sufinanciranje</w:t>
      </w:r>
      <w:r w:rsidRPr="00BC2975">
        <w:rPr>
          <w:sz w:val="24"/>
          <w:szCs w:val="24"/>
          <w:lang w:eastAsia="hr-HR"/>
        </w:rPr>
        <w:t xml:space="preserve"> odabrano 89 projekata, a do kraja 2024. donesene su 54 odluke o </w:t>
      </w:r>
      <w:r w:rsidRPr="00BC2975">
        <w:rPr>
          <w:sz w:val="24"/>
          <w:szCs w:val="24"/>
          <w:lang w:eastAsia="hr-HR"/>
        </w:rPr>
        <w:lastRenderedPageBreak/>
        <w:t xml:space="preserve">financiranju </w:t>
      </w:r>
      <w:r>
        <w:rPr>
          <w:sz w:val="24"/>
          <w:szCs w:val="24"/>
          <w:lang w:eastAsia="hr-HR"/>
        </w:rPr>
        <w:t xml:space="preserve">projekata </w:t>
      </w:r>
      <w:r w:rsidRPr="00BC2975">
        <w:rPr>
          <w:sz w:val="24"/>
          <w:szCs w:val="24"/>
          <w:lang w:eastAsia="hr-HR"/>
        </w:rPr>
        <w:t>ukupne vrijednosti 53,63 milijuna eura, čijom će se provedbom obnoviti oko 242 tisuće m² stambenog fonda</w:t>
      </w:r>
      <w:r>
        <w:rPr>
          <w:sz w:val="24"/>
          <w:szCs w:val="24"/>
          <w:lang w:eastAsia="hr-HR"/>
        </w:rPr>
        <w:t xml:space="preserve">. Istovremeno, </w:t>
      </w:r>
      <w:r w:rsidRPr="00BC2975">
        <w:rPr>
          <w:sz w:val="24"/>
          <w:szCs w:val="24"/>
          <w:lang w:eastAsia="hr-HR"/>
        </w:rPr>
        <w:t xml:space="preserve">povećana </w:t>
      </w:r>
      <w:r>
        <w:rPr>
          <w:sz w:val="24"/>
          <w:szCs w:val="24"/>
          <w:lang w:eastAsia="hr-HR"/>
        </w:rPr>
        <w:t xml:space="preserve">je </w:t>
      </w:r>
      <w:r w:rsidRPr="00BC2975">
        <w:rPr>
          <w:sz w:val="24"/>
          <w:szCs w:val="24"/>
          <w:lang w:eastAsia="hr-HR"/>
        </w:rPr>
        <w:t xml:space="preserve">alokacija poziva Energetska obnova </w:t>
      </w:r>
      <w:proofErr w:type="spellStart"/>
      <w:r w:rsidRPr="00BC2975">
        <w:rPr>
          <w:sz w:val="24"/>
          <w:szCs w:val="24"/>
          <w:lang w:eastAsia="hr-HR"/>
        </w:rPr>
        <w:t>višestambenih</w:t>
      </w:r>
      <w:proofErr w:type="spellEnd"/>
      <w:r w:rsidRPr="00BC2975">
        <w:rPr>
          <w:sz w:val="24"/>
          <w:szCs w:val="24"/>
          <w:lang w:eastAsia="hr-HR"/>
        </w:rPr>
        <w:t xml:space="preserve"> zgrada (C6.1.R1-I1.01) s 39,82 na 65,58 milijuna eura</w:t>
      </w:r>
      <w:r>
        <w:rPr>
          <w:sz w:val="24"/>
          <w:szCs w:val="24"/>
          <w:lang w:eastAsia="hr-HR"/>
        </w:rPr>
        <w:t xml:space="preserve"> te je </w:t>
      </w:r>
      <w:r w:rsidRPr="00BC2975">
        <w:rPr>
          <w:sz w:val="24"/>
          <w:szCs w:val="24"/>
          <w:lang w:eastAsia="hr-HR"/>
        </w:rPr>
        <w:t xml:space="preserve">u 2024. ugovoreno dodatnih 75 projekata </w:t>
      </w:r>
      <w:r>
        <w:rPr>
          <w:sz w:val="24"/>
          <w:szCs w:val="24"/>
          <w:lang w:eastAsia="hr-HR"/>
        </w:rPr>
        <w:t xml:space="preserve">ukupne </w:t>
      </w:r>
      <w:r w:rsidRPr="00BC2975">
        <w:rPr>
          <w:sz w:val="24"/>
          <w:szCs w:val="24"/>
          <w:lang w:eastAsia="hr-HR"/>
        </w:rPr>
        <w:t>vrijedn</w:t>
      </w:r>
      <w:r>
        <w:rPr>
          <w:sz w:val="24"/>
          <w:szCs w:val="24"/>
          <w:lang w:eastAsia="hr-HR"/>
        </w:rPr>
        <w:t xml:space="preserve">osti </w:t>
      </w:r>
      <w:r w:rsidRPr="00BC2975">
        <w:rPr>
          <w:sz w:val="24"/>
          <w:szCs w:val="24"/>
          <w:lang w:eastAsia="hr-HR"/>
        </w:rPr>
        <w:t xml:space="preserve">18,65 milijuna eura </w:t>
      </w:r>
      <w:r>
        <w:rPr>
          <w:sz w:val="24"/>
          <w:szCs w:val="24"/>
          <w:lang w:eastAsia="hr-HR"/>
        </w:rPr>
        <w:t xml:space="preserve">bespovratnih sredstava </w:t>
      </w:r>
      <w:r w:rsidRPr="00BC2975">
        <w:rPr>
          <w:sz w:val="24"/>
          <w:szCs w:val="24"/>
          <w:lang w:eastAsia="hr-HR"/>
        </w:rPr>
        <w:t xml:space="preserve">za obnovu </w:t>
      </w:r>
      <w:r>
        <w:rPr>
          <w:sz w:val="24"/>
          <w:szCs w:val="24"/>
          <w:lang w:eastAsia="hr-HR"/>
        </w:rPr>
        <w:t xml:space="preserve"> </w:t>
      </w:r>
      <w:r w:rsidRPr="00BC2975">
        <w:rPr>
          <w:sz w:val="24"/>
          <w:szCs w:val="24"/>
          <w:lang w:eastAsia="hr-HR"/>
        </w:rPr>
        <w:t>182 tisuće m²</w:t>
      </w:r>
      <w:r>
        <w:rPr>
          <w:sz w:val="24"/>
          <w:szCs w:val="24"/>
          <w:lang w:eastAsia="hr-HR"/>
        </w:rPr>
        <w:t xml:space="preserve"> stambenog fonda. Tijekom 2024. u provedbi su bila </w:t>
      </w:r>
      <w:r w:rsidRPr="00BC2975">
        <w:rPr>
          <w:sz w:val="24"/>
          <w:szCs w:val="24"/>
          <w:lang w:eastAsia="hr-HR"/>
        </w:rPr>
        <w:t xml:space="preserve">163 </w:t>
      </w:r>
      <w:r>
        <w:rPr>
          <w:sz w:val="24"/>
          <w:szCs w:val="24"/>
          <w:lang w:eastAsia="hr-HR"/>
        </w:rPr>
        <w:t>projekta</w:t>
      </w:r>
      <w:r w:rsidRPr="00BC2975">
        <w:rPr>
          <w:sz w:val="24"/>
          <w:szCs w:val="24"/>
          <w:lang w:eastAsia="hr-HR"/>
        </w:rPr>
        <w:t xml:space="preserve"> </w:t>
      </w:r>
      <w:r>
        <w:rPr>
          <w:sz w:val="24"/>
          <w:szCs w:val="24"/>
          <w:lang w:eastAsia="hr-HR"/>
        </w:rPr>
        <w:t>ukupne v</w:t>
      </w:r>
      <w:r w:rsidRPr="00BC2975">
        <w:rPr>
          <w:sz w:val="24"/>
          <w:szCs w:val="24"/>
          <w:lang w:eastAsia="hr-HR"/>
        </w:rPr>
        <w:t>rijedn</w:t>
      </w:r>
      <w:r>
        <w:rPr>
          <w:sz w:val="24"/>
          <w:szCs w:val="24"/>
          <w:lang w:eastAsia="hr-HR"/>
        </w:rPr>
        <w:t>osti</w:t>
      </w:r>
      <w:r w:rsidRPr="00BC2975">
        <w:rPr>
          <w:sz w:val="24"/>
          <w:szCs w:val="24"/>
          <w:lang w:eastAsia="hr-HR"/>
        </w:rPr>
        <w:t xml:space="preserve"> 57,11 milijuna eura, </w:t>
      </w:r>
      <w:r>
        <w:rPr>
          <w:sz w:val="24"/>
          <w:szCs w:val="24"/>
          <w:lang w:eastAsia="hr-HR"/>
        </w:rPr>
        <w:t>a</w:t>
      </w:r>
      <w:r w:rsidRPr="00BC2975">
        <w:rPr>
          <w:sz w:val="24"/>
          <w:szCs w:val="24"/>
          <w:lang w:eastAsia="hr-HR"/>
        </w:rPr>
        <w:t xml:space="preserve"> </w:t>
      </w:r>
      <w:r>
        <w:rPr>
          <w:sz w:val="24"/>
          <w:szCs w:val="24"/>
          <w:lang w:eastAsia="hr-HR"/>
        </w:rPr>
        <w:t xml:space="preserve">do kraja </w:t>
      </w:r>
      <w:r w:rsidRPr="00BC2975">
        <w:rPr>
          <w:sz w:val="24"/>
          <w:szCs w:val="24"/>
          <w:lang w:eastAsia="hr-HR"/>
        </w:rPr>
        <w:t xml:space="preserve">2024. završena </w:t>
      </w:r>
      <w:r>
        <w:rPr>
          <w:sz w:val="24"/>
          <w:szCs w:val="24"/>
          <w:lang w:eastAsia="hr-HR"/>
        </w:rPr>
        <w:t>je</w:t>
      </w:r>
      <w:r w:rsidRPr="00BC2975">
        <w:rPr>
          <w:sz w:val="24"/>
          <w:szCs w:val="24"/>
          <w:lang w:eastAsia="hr-HR"/>
        </w:rPr>
        <w:t xml:space="preserve"> provedba 23 projekta </w:t>
      </w:r>
      <w:r>
        <w:rPr>
          <w:sz w:val="24"/>
          <w:szCs w:val="24"/>
          <w:lang w:eastAsia="hr-HR"/>
        </w:rPr>
        <w:t>kojima je</w:t>
      </w:r>
      <w:r w:rsidRPr="00BC2975">
        <w:rPr>
          <w:sz w:val="24"/>
          <w:szCs w:val="24"/>
          <w:lang w:eastAsia="hr-HR"/>
        </w:rPr>
        <w:t xml:space="preserve"> obnovljeno 70 </w:t>
      </w:r>
      <w:r>
        <w:rPr>
          <w:sz w:val="24"/>
          <w:szCs w:val="24"/>
          <w:lang w:eastAsia="hr-HR"/>
        </w:rPr>
        <w:t>000</w:t>
      </w:r>
      <w:r w:rsidRPr="00BC2975">
        <w:rPr>
          <w:sz w:val="24"/>
          <w:szCs w:val="24"/>
          <w:lang w:eastAsia="hr-HR"/>
        </w:rPr>
        <w:t xml:space="preserve"> m²</w:t>
      </w:r>
      <w:r>
        <w:rPr>
          <w:sz w:val="24"/>
          <w:szCs w:val="24"/>
          <w:lang w:eastAsia="hr-HR"/>
        </w:rPr>
        <w:t xml:space="preserve"> stambenog fonda</w:t>
      </w:r>
      <w:r w:rsidRPr="00BC2975">
        <w:rPr>
          <w:sz w:val="24"/>
          <w:szCs w:val="24"/>
          <w:lang w:eastAsia="hr-HR"/>
        </w:rPr>
        <w:t>.</w:t>
      </w:r>
    </w:p>
    <w:p w14:paraId="39E8D09E" w14:textId="77777777" w:rsidR="00FB178A" w:rsidRPr="00BC2975" w:rsidRDefault="00FB178A" w:rsidP="00FB178A">
      <w:pPr>
        <w:spacing w:before="240" w:after="240" w:line="276" w:lineRule="auto"/>
        <w:jc w:val="both"/>
        <w:rPr>
          <w:sz w:val="24"/>
          <w:szCs w:val="24"/>
          <w:lang w:eastAsia="hr-HR"/>
        </w:rPr>
      </w:pPr>
      <w:r w:rsidRPr="00BC2975">
        <w:rPr>
          <w:sz w:val="24"/>
          <w:szCs w:val="24"/>
          <w:lang w:eastAsia="hr-HR"/>
        </w:rPr>
        <w:t xml:space="preserve">Značajan iskorak </w:t>
      </w:r>
      <w:r>
        <w:rPr>
          <w:sz w:val="24"/>
          <w:szCs w:val="24"/>
          <w:lang w:eastAsia="hr-HR"/>
        </w:rPr>
        <w:t>zabilježen</w:t>
      </w:r>
      <w:r w:rsidRPr="00BC2975">
        <w:rPr>
          <w:sz w:val="24"/>
          <w:szCs w:val="24"/>
          <w:lang w:eastAsia="hr-HR"/>
        </w:rPr>
        <w:t xml:space="preserve"> je i u području obnove javnih zgrada</w:t>
      </w:r>
      <w:r>
        <w:rPr>
          <w:sz w:val="24"/>
          <w:szCs w:val="24"/>
          <w:lang w:eastAsia="hr-HR"/>
        </w:rPr>
        <w:t>, gdje je a</w:t>
      </w:r>
      <w:r w:rsidRPr="00BC2975">
        <w:rPr>
          <w:sz w:val="24"/>
          <w:szCs w:val="24"/>
          <w:lang w:eastAsia="hr-HR"/>
        </w:rPr>
        <w:t xml:space="preserve">lokacija poziva Energetska obnova zgrada javnog sektora (C6.1.R1-I1.04) </w:t>
      </w:r>
      <w:r>
        <w:rPr>
          <w:sz w:val="24"/>
          <w:szCs w:val="24"/>
          <w:lang w:eastAsia="hr-HR"/>
        </w:rPr>
        <w:t xml:space="preserve">tijekom 2024. </w:t>
      </w:r>
      <w:r w:rsidRPr="00BC2975">
        <w:rPr>
          <w:sz w:val="24"/>
          <w:szCs w:val="24"/>
          <w:lang w:eastAsia="hr-HR"/>
        </w:rPr>
        <w:t xml:space="preserve">povećana s </w:t>
      </w:r>
      <w:r>
        <w:rPr>
          <w:sz w:val="24"/>
          <w:szCs w:val="24"/>
          <w:lang w:eastAsia="hr-HR"/>
        </w:rPr>
        <w:t xml:space="preserve">planiranih </w:t>
      </w:r>
      <w:r w:rsidRPr="00BC2975">
        <w:rPr>
          <w:sz w:val="24"/>
          <w:szCs w:val="24"/>
          <w:lang w:eastAsia="hr-HR"/>
        </w:rPr>
        <w:t>39,82 na 100 milijuna eura</w:t>
      </w:r>
      <w:r>
        <w:rPr>
          <w:sz w:val="24"/>
          <w:szCs w:val="24"/>
          <w:lang w:eastAsia="hr-HR"/>
        </w:rPr>
        <w:t>. S obzirom na veliki</w:t>
      </w:r>
      <w:r w:rsidRPr="0090302F">
        <w:rPr>
          <w:sz w:val="24"/>
          <w:szCs w:val="24"/>
          <w:lang w:eastAsia="hr-HR"/>
        </w:rPr>
        <w:t xml:space="preserve"> </w:t>
      </w:r>
      <w:proofErr w:type="spellStart"/>
      <w:r w:rsidRPr="00E01901">
        <w:rPr>
          <w:i/>
          <w:iCs/>
          <w:sz w:val="24"/>
          <w:szCs w:val="24"/>
          <w:lang w:eastAsia="hr-HR"/>
        </w:rPr>
        <w:t>pipeline</w:t>
      </w:r>
      <w:proofErr w:type="spellEnd"/>
      <w:r w:rsidRPr="00E01901">
        <w:rPr>
          <w:i/>
          <w:iCs/>
          <w:sz w:val="24"/>
          <w:szCs w:val="24"/>
          <w:lang w:eastAsia="hr-HR"/>
        </w:rPr>
        <w:t xml:space="preserve"> </w:t>
      </w:r>
      <w:r w:rsidRPr="0090302F">
        <w:rPr>
          <w:sz w:val="24"/>
          <w:szCs w:val="24"/>
          <w:lang w:eastAsia="hr-HR"/>
        </w:rPr>
        <w:t>spremnih projekata</w:t>
      </w:r>
      <w:r>
        <w:rPr>
          <w:sz w:val="24"/>
          <w:szCs w:val="24"/>
          <w:lang w:eastAsia="hr-HR"/>
        </w:rPr>
        <w:t>, p</w:t>
      </w:r>
      <w:r w:rsidRPr="00E90762">
        <w:rPr>
          <w:sz w:val="24"/>
          <w:szCs w:val="24"/>
          <w:lang w:eastAsia="hr-HR"/>
        </w:rPr>
        <w:t>redl</w:t>
      </w:r>
      <w:r>
        <w:rPr>
          <w:sz w:val="24"/>
          <w:szCs w:val="24"/>
          <w:lang w:eastAsia="hr-HR"/>
        </w:rPr>
        <w:t>ožena</w:t>
      </w:r>
      <w:r w:rsidRPr="00E90762">
        <w:rPr>
          <w:sz w:val="24"/>
          <w:szCs w:val="24"/>
          <w:lang w:eastAsia="hr-HR"/>
        </w:rPr>
        <w:t xml:space="preserve"> </w:t>
      </w:r>
      <w:r>
        <w:rPr>
          <w:sz w:val="24"/>
          <w:szCs w:val="24"/>
          <w:lang w:eastAsia="hr-HR"/>
        </w:rPr>
        <w:t xml:space="preserve">je </w:t>
      </w:r>
      <w:r w:rsidRPr="00E90762">
        <w:rPr>
          <w:sz w:val="24"/>
          <w:szCs w:val="24"/>
          <w:lang w:eastAsia="hr-HR"/>
        </w:rPr>
        <w:t xml:space="preserve">dodatna alokacija od 60,18 milijuna eura u okviru postojećeg poziva. </w:t>
      </w:r>
      <w:r>
        <w:rPr>
          <w:sz w:val="24"/>
          <w:szCs w:val="24"/>
          <w:lang w:eastAsia="hr-HR"/>
        </w:rPr>
        <w:t xml:space="preserve">U </w:t>
      </w:r>
      <w:r w:rsidRPr="00BC2975">
        <w:rPr>
          <w:sz w:val="24"/>
          <w:szCs w:val="24"/>
          <w:lang w:eastAsia="hr-HR"/>
        </w:rPr>
        <w:t xml:space="preserve">2024. ugovoreno je 105 novih projekata </w:t>
      </w:r>
      <w:r>
        <w:rPr>
          <w:sz w:val="24"/>
          <w:szCs w:val="24"/>
          <w:lang w:eastAsia="hr-HR"/>
        </w:rPr>
        <w:t>obnove zgrada javnog sektora čime će se obnoviti 199 000</w:t>
      </w:r>
      <w:r w:rsidRPr="00BE1128">
        <w:rPr>
          <w:sz w:val="24"/>
          <w:szCs w:val="24"/>
          <w:lang w:eastAsia="hr-HR"/>
        </w:rPr>
        <w:t xml:space="preserve"> m²</w:t>
      </w:r>
      <w:r>
        <w:rPr>
          <w:sz w:val="24"/>
          <w:szCs w:val="24"/>
          <w:lang w:eastAsia="hr-HR"/>
        </w:rPr>
        <w:t>,</w:t>
      </w:r>
      <w:r w:rsidRPr="00BE1128">
        <w:rPr>
          <w:sz w:val="24"/>
          <w:szCs w:val="24"/>
          <w:lang w:eastAsia="hr-HR"/>
        </w:rPr>
        <w:t xml:space="preserve"> </w:t>
      </w:r>
      <w:r w:rsidRPr="00BC2975">
        <w:rPr>
          <w:sz w:val="24"/>
          <w:szCs w:val="24"/>
          <w:lang w:eastAsia="hr-HR"/>
        </w:rPr>
        <w:t>ukupne vrijednosti 69,41 milijun eura</w:t>
      </w:r>
      <w:r>
        <w:rPr>
          <w:sz w:val="24"/>
          <w:szCs w:val="24"/>
          <w:lang w:eastAsia="hr-HR"/>
        </w:rPr>
        <w:t xml:space="preserve"> bespovratnih sredstava. </w:t>
      </w:r>
      <w:r w:rsidRPr="00BC2975">
        <w:rPr>
          <w:sz w:val="24"/>
          <w:szCs w:val="24"/>
          <w:lang w:eastAsia="hr-HR"/>
        </w:rPr>
        <w:t xml:space="preserve">Ukupno je na ovom pozivu ugovoreno 137 projekata, od čega </w:t>
      </w:r>
      <w:r>
        <w:rPr>
          <w:sz w:val="24"/>
          <w:szCs w:val="24"/>
          <w:lang w:eastAsia="hr-HR"/>
        </w:rPr>
        <w:t>su</w:t>
      </w:r>
      <w:r w:rsidRPr="00BC2975">
        <w:rPr>
          <w:sz w:val="24"/>
          <w:szCs w:val="24"/>
          <w:lang w:eastAsia="hr-HR"/>
        </w:rPr>
        <w:t xml:space="preserve"> 132 u provedbi, vrijednih 106,57 milijuna eura</w:t>
      </w:r>
      <w:r>
        <w:rPr>
          <w:sz w:val="24"/>
          <w:szCs w:val="24"/>
          <w:lang w:eastAsia="hr-HR"/>
        </w:rPr>
        <w:t>.</w:t>
      </w:r>
      <w:r w:rsidRPr="008C2480">
        <w:rPr>
          <w:rFonts w:ascii="Segoe UI" w:hAnsi="Segoe UI" w:cs="Segoe UI"/>
          <w:sz w:val="18"/>
          <w:szCs w:val="18"/>
        </w:rPr>
        <w:t xml:space="preserve"> </w:t>
      </w:r>
      <w:r>
        <w:rPr>
          <w:sz w:val="24"/>
          <w:szCs w:val="24"/>
          <w:lang w:eastAsia="hr-HR"/>
        </w:rPr>
        <w:t>A</w:t>
      </w:r>
      <w:r w:rsidRPr="008C2480">
        <w:rPr>
          <w:sz w:val="24"/>
          <w:szCs w:val="24"/>
          <w:lang w:eastAsia="hr-HR"/>
        </w:rPr>
        <w:t>mbicij</w:t>
      </w:r>
      <w:r>
        <w:rPr>
          <w:sz w:val="24"/>
          <w:szCs w:val="24"/>
          <w:lang w:eastAsia="hr-HR"/>
        </w:rPr>
        <w:t>u</w:t>
      </w:r>
      <w:r w:rsidRPr="008C2480">
        <w:rPr>
          <w:sz w:val="24"/>
          <w:szCs w:val="24"/>
          <w:lang w:eastAsia="hr-HR"/>
        </w:rPr>
        <w:t xml:space="preserve"> postojećih ciljnih vrijednosti energetske obnove javnih zgrada </w:t>
      </w:r>
      <w:r>
        <w:rPr>
          <w:sz w:val="24"/>
          <w:szCs w:val="24"/>
          <w:lang w:eastAsia="hr-HR"/>
        </w:rPr>
        <w:t>to</w:t>
      </w:r>
      <w:r w:rsidRPr="008C2480">
        <w:rPr>
          <w:sz w:val="24"/>
          <w:szCs w:val="24"/>
          <w:lang w:eastAsia="hr-HR"/>
        </w:rPr>
        <w:t xml:space="preserve"> povećava s trenutnih 288.000 </w:t>
      </w:r>
      <w:r w:rsidRPr="00A63608">
        <w:rPr>
          <w:sz w:val="24"/>
          <w:szCs w:val="24"/>
          <w:lang w:eastAsia="hr-HR"/>
        </w:rPr>
        <w:t xml:space="preserve">m² </w:t>
      </w:r>
      <w:r w:rsidRPr="008C2480">
        <w:rPr>
          <w:sz w:val="24"/>
          <w:szCs w:val="24"/>
          <w:lang w:eastAsia="hr-HR"/>
        </w:rPr>
        <w:t xml:space="preserve"> na 371.256 </w:t>
      </w:r>
      <w:r w:rsidRPr="00FC6030">
        <w:rPr>
          <w:sz w:val="24"/>
          <w:szCs w:val="24"/>
          <w:lang w:eastAsia="hr-HR"/>
        </w:rPr>
        <w:t>m²</w:t>
      </w:r>
      <w:r>
        <w:rPr>
          <w:sz w:val="24"/>
          <w:szCs w:val="24"/>
          <w:lang w:eastAsia="hr-HR"/>
        </w:rPr>
        <w:t>.</w:t>
      </w:r>
      <w:r w:rsidRPr="00BC2975">
        <w:rPr>
          <w:sz w:val="24"/>
          <w:szCs w:val="24"/>
          <w:lang w:eastAsia="hr-HR"/>
        </w:rPr>
        <w:t xml:space="preserve"> Istodobno</w:t>
      </w:r>
      <w:r>
        <w:rPr>
          <w:sz w:val="24"/>
          <w:szCs w:val="24"/>
          <w:lang w:eastAsia="hr-HR"/>
        </w:rPr>
        <w:t xml:space="preserve">, </w:t>
      </w:r>
      <w:r w:rsidRPr="00BC2975">
        <w:rPr>
          <w:sz w:val="24"/>
          <w:szCs w:val="24"/>
          <w:lang w:eastAsia="hr-HR"/>
        </w:rPr>
        <w:t xml:space="preserve">povećana </w:t>
      </w:r>
      <w:r>
        <w:rPr>
          <w:sz w:val="24"/>
          <w:szCs w:val="24"/>
          <w:lang w:eastAsia="hr-HR"/>
        </w:rPr>
        <w:t xml:space="preserve">je </w:t>
      </w:r>
      <w:r w:rsidRPr="00BC2975">
        <w:rPr>
          <w:sz w:val="24"/>
          <w:szCs w:val="24"/>
          <w:lang w:eastAsia="hr-HR"/>
        </w:rPr>
        <w:t xml:space="preserve">i alokacija poziva Energetska obnova </w:t>
      </w:r>
      <w:proofErr w:type="spellStart"/>
      <w:r w:rsidRPr="00BC2975">
        <w:rPr>
          <w:sz w:val="24"/>
          <w:szCs w:val="24"/>
          <w:lang w:eastAsia="hr-HR"/>
        </w:rPr>
        <w:t>višestambenih</w:t>
      </w:r>
      <w:proofErr w:type="spellEnd"/>
      <w:r w:rsidRPr="00BC2975">
        <w:rPr>
          <w:sz w:val="24"/>
          <w:szCs w:val="24"/>
          <w:lang w:eastAsia="hr-HR"/>
        </w:rPr>
        <w:t xml:space="preserve"> zgrada oštećenih u potresima (C6.1.R1-I2.01) s 27 na 40 milijuna eura</w:t>
      </w:r>
      <w:r>
        <w:rPr>
          <w:sz w:val="24"/>
          <w:szCs w:val="24"/>
          <w:lang w:eastAsia="hr-HR"/>
        </w:rPr>
        <w:t>. Tijekom</w:t>
      </w:r>
      <w:r w:rsidRPr="00BC2975">
        <w:rPr>
          <w:sz w:val="24"/>
          <w:szCs w:val="24"/>
          <w:lang w:eastAsia="hr-HR"/>
        </w:rPr>
        <w:t xml:space="preserve"> 2024. ugovoreno je 68 projekata u</w:t>
      </w:r>
      <w:r>
        <w:rPr>
          <w:sz w:val="24"/>
          <w:szCs w:val="24"/>
          <w:lang w:eastAsia="hr-HR"/>
        </w:rPr>
        <w:t>kupne</w:t>
      </w:r>
      <w:r w:rsidRPr="00BC2975">
        <w:rPr>
          <w:sz w:val="24"/>
          <w:szCs w:val="24"/>
          <w:lang w:eastAsia="hr-HR"/>
        </w:rPr>
        <w:t xml:space="preserve"> vrijednosti 38,19 milijuna eura</w:t>
      </w:r>
      <w:r>
        <w:rPr>
          <w:sz w:val="24"/>
          <w:szCs w:val="24"/>
          <w:lang w:eastAsia="hr-HR"/>
        </w:rPr>
        <w:t xml:space="preserve"> bespovratnih sredstava</w:t>
      </w:r>
      <w:r w:rsidRPr="00BC2975">
        <w:rPr>
          <w:sz w:val="24"/>
          <w:szCs w:val="24"/>
          <w:lang w:eastAsia="hr-HR"/>
        </w:rPr>
        <w:t xml:space="preserve">, </w:t>
      </w:r>
      <w:r>
        <w:rPr>
          <w:sz w:val="24"/>
          <w:szCs w:val="24"/>
          <w:lang w:eastAsia="hr-HR"/>
        </w:rPr>
        <w:t>čime</w:t>
      </w:r>
      <w:r w:rsidRPr="00BC2975">
        <w:rPr>
          <w:sz w:val="24"/>
          <w:szCs w:val="24"/>
          <w:lang w:eastAsia="hr-HR"/>
        </w:rPr>
        <w:t xml:space="preserve"> će se obnoviti 144 tisuće m²</w:t>
      </w:r>
      <w:r>
        <w:rPr>
          <w:sz w:val="24"/>
          <w:szCs w:val="24"/>
          <w:lang w:eastAsia="hr-HR"/>
        </w:rPr>
        <w:t xml:space="preserve"> stambenih zgrada oštećenih u potresima. Ovime</w:t>
      </w:r>
      <w:r w:rsidRPr="00BC2975">
        <w:rPr>
          <w:sz w:val="24"/>
          <w:szCs w:val="24"/>
          <w:lang w:eastAsia="hr-HR"/>
        </w:rPr>
        <w:t xml:space="preserve"> je višestruko premašen zahtijevani prag ugovaranja (najmanje 13 milijuna eura) i osigurana snažna sinergija između obnove od potresa i povećanja energetske učinkovitosti.</w:t>
      </w:r>
    </w:p>
    <w:p w14:paraId="33981657" w14:textId="77777777" w:rsidR="00FB178A" w:rsidRPr="00BC2975" w:rsidRDefault="00FB178A" w:rsidP="00FB178A">
      <w:pPr>
        <w:spacing w:before="240" w:after="240" w:line="276" w:lineRule="auto"/>
        <w:jc w:val="both"/>
        <w:rPr>
          <w:sz w:val="24"/>
          <w:szCs w:val="24"/>
          <w:lang w:eastAsia="hr-HR"/>
        </w:rPr>
      </w:pPr>
      <w:r w:rsidRPr="00BC2975">
        <w:rPr>
          <w:sz w:val="24"/>
          <w:szCs w:val="24"/>
          <w:lang w:eastAsia="hr-HR"/>
        </w:rPr>
        <w:t>Potresi koji su pogodili Zagreb i okolne županije dodatno su ubrzali tranziciju prema cjelovitoj i energetski učinkovitoj obnovi zgrada. Obnova se provodi</w:t>
      </w:r>
      <w:r>
        <w:rPr>
          <w:sz w:val="24"/>
          <w:szCs w:val="24"/>
          <w:lang w:eastAsia="hr-HR"/>
        </w:rPr>
        <w:t>la</w:t>
      </w:r>
      <w:r w:rsidRPr="00BC2975">
        <w:rPr>
          <w:sz w:val="24"/>
          <w:szCs w:val="24"/>
          <w:lang w:eastAsia="hr-HR"/>
        </w:rPr>
        <w:t xml:space="preserve"> kroz kom</w:t>
      </w:r>
      <w:r>
        <w:rPr>
          <w:sz w:val="24"/>
          <w:szCs w:val="24"/>
          <w:lang w:eastAsia="hr-HR"/>
        </w:rPr>
        <w:t>plementarno</w:t>
      </w:r>
      <w:r w:rsidRPr="00BC2975">
        <w:rPr>
          <w:sz w:val="24"/>
          <w:szCs w:val="24"/>
          <w:lang w:eastAsia="hr-HR"/>
        </w:rPr>
        <w:t xml:space="preserve"> financiranje iz Fonda solidarnosti EU</w:t>
      </w:r>
      <w:r>
        <w:rPr>
          <w:sz w:val="24"/>
          <w:szCs w:val="24"/>
          <w:lang w:eastAsia="hr-HR"/>
        </w:rPr>
        <w:t>-a</w:t>
      </w:r>
      <w:r w:rsidRPr="00BC2975">
        <w:rPr>
          <w:sz w:val="24"/>
          <w:szCs w:val="24"/>
          <w:lang w:eastAsia="hr-HR"/>
        </w:rPr>
        <w:t xml:space="preserve"> i NPOO-a</w:t>
      </w:r>
      <w:r>
        <w:rPr>
          <w:sz w:val="24"/>
          <w:szCs w:val="24"/>
          <w:lang w:eastAsia="hr-HR"/>
        </w:rPr>
        <w:t>, na način</w:t>
      </w:r>
      <w:r w:rsidRPr="00BC2975">
        <w:rPr>
          <w:sz w:val="24"/>
          <w:szCs w:val="24"/>
          <w:lang w:eastAsia="hr-HR"/>
        </w:rPr>
        <w:t xml:space="preserve"> </w:t>
      </w:r>
      <w:r>
        <w:rPr>
          <w:sz w:val="24"/>
          <w:szCs w:val="24"/>
          <w:lang w:eastAsia="hr-HR"/>
        </w:rPr>
        <w:t xml:space="preserve">da su se </w:t>
      </w:r>
      <w:r w:rsidRPr="00BC2975">
        <w:rPr>
          <w:sz w:val="24"/>
          <w:szCs w:val="24"/>
          <w:lang w:eastAsia="hr-HR"/>
        </w:rPr>
        <w:t>troškovi vraćanja zgrada u prvobitno stanje pokriva</w:t>
      </w:r>
      <w:r>
        <w:rPr>
          <w:sz w:val="24"/>
          <w:szCs w:val="24"/>
          <w:lang w:eastAsia="hr-HR"/>
        </w:rPr>
        <w:t>li</w:t>
      </w:r>
      <w:r w:rsidRPr="00BC2975">
        <w:rPr>
          <w:sz w:val="24"/>
          <w:szCs w:val="24"/>
          <w:lang w:eastAsia="hr-HR"/>
        </w:rPr>
        <w:t xml:space="preserve"> sredstvima Fonda solidarnosti, dok se mjere energetske učinkovitosti, financira</w:t>
      </w:r>
      <w:r>
        <w:rPr>
          <w:sz w:val="24"/>
          <w:szCs w:val="24"/>
          <w:lang w:eastAsia="hr-HR"/>
        </w:rPr>
        <w:t>ju</w:t>
      </w:r>
      <w:r w:rsidRPr="00BC2975">
        <w:rPr>
          <w:sz w:val="24"/>
          <w:szCs w:val="24"/>
          <w:lang w:eastAsia="hr-HR"/>
        </w:rPr>
        <w:t xml:space="preserve"> iz NPOO-a i </w:t>
      </w:r>
      <w:r>
        <w:rPr>
          <w:sz w:val="24"/>
          <w:szCs w:val="24"/>
          <w:lang w:eastAsia="hr-HR"/>
        </w:rPr>
        <w:t>d</w:t>
      </w:r>
      <w:r w:rsidRPr="00BC2975">
        <w:rPr>
          <w:sz w:val="24"/>
          <w:szCs w:val="24"/>
          <w:lang w:eastAsia="hr-HR"/>
        </w:rPr>
        <w:t>ržavnog proračuna</w:t>
      </w:r>
      <w:r>
        <w:rPr>
          <w:sz w:val="24"/>
          <w:szCs w:val="24"/>
          <w:lang w:eastAsia="hr-HR"/>
        </w:rPr>
        <w:t xml:space="preserve"> Republike Hrvatske</w:t>
      </w:r>
      <w:r w:rsidRPr="00BC2975">
        <w:rPr>
          <w:sz w:val="24"/>
          <w:szCs w:val="24"/>
          <w:lang w:eastAsia="hr-HR"/>
        </w:rPr>
        <w:t>. U okviru svih aktivnosti</w:t>
      </w:r>
      <w:r>
        <w:rPr>
          <w:sz w:val="24"/>
          <w:szCs w:val="24"/>
          <w:lang w:eastAsia="hr-HR"/>
        </w:rPr>
        <w:t>, sredstvima iz</w:t>
      </w:r>
      <w:r w:rsidRPr="00BC2975">
        <w:rPr>
          <w:sz w:val="24"/>
          <w:szCs w:val="24"/>
          <w:lang w:eastAsia="hr-HR"/>
        </w:rPr>
        <w:t xml:space="preserve"> Fonda solidarnosti obuhvaćeno je 1.309 projekata, uz ukupnu vrijednost projekata cjelovite obnove veću od 2,4</w:t>
      </w:r>
      <w:r>
        <w:rPr>
          <w:sz w:val="24"/>
          <w:szCs w:val="24"/>
          <w:lang w:eastAsia="hr-HR"/>
        </w:rPr>
        <w:t>8</w:t>
      </w:r>
      <w:r w:rsidRPr="00BC2975">
        <w:rPr>
          <w:sz w:val="24"/>
          <w:szCs w:val="24"/>
          <w:lang w:eastAsia="hr-HR"/>
        </w:rPr>
        <w:t xml:space="preserve"> milijard</w:t>
      </w:r>
      <w:r>
        <w:rPr>
          <w:sz w:val="24"/>
          <w:szCs w:val="24"/>
          <w:lang w:eastAsia="hr-HR"/>
        </w:rPr>
        <w:t>i</w:t>
      </w:r>
      <w:r w:rsidRPr="00BC2975">
        <w:rPr>
          <w:sz w:val="24"/>
          <w:szCs w:val="24"/>
          <w:lang w:eastAsia="hr-HR"/>
        </w:rPr>
        <w:t xml:space="preserve"> eura, čime se potvrđuje važnost integriranog financijskog pristupa za trajna i održiva rješenja u obnovi potresom pogođenih područja.</w:t>
      </w:r>
    </w:p>
    <w:p w14:paraId="6C9DD262" w14:textId="77777777" w:rsidR="00FB178A" w:rsidRPr="00BC2975" w:rsidRDefault="00FB178A" w:rsidP="00FB178A">
      <w:pPr>
        <w:spacing w:before="240" w:after="240" w:line="276" w:lineRule="auto"/>
        <w:jc w:val="both"/>
        <w:rPr>
          <w:sz w:val="24"/>
          <w:szCs w:val="24"/>
          <w:lang w:eastAsia="hr-HR"/>
        </w:rPr>
      </w:pPr>
      <w:r w:rsidRPr="00BC2975">
        <w:rPr>
          <w:sz w:val="24"/>
          <w:szCs w:val="24"/>
          <w:lang w:eastAsia="hr-HR"/>
        </w:rPr>
        <w:t>Kako bi se odgovorilo na energetsku krizu i smanjila energetska potrošnja u stambenom sektoru, Vlada</w:t>
      </w:r>
      <w:r>
        <w:rPr>
          <w:sz w:val="24"/>
          <w:szCs w:val="24"/>
          <w:lang w:eastAsia="hr-HR"/>
        </w:rPr>
        <w:t xml:space="preserve"> </w:t>
      </w:r>
      <w:r>
        <w:rPr>
          <w:color w:val="000000" w:themeColor="text1"/>
          <w:sz w:val="24"/>
          <w:szCs w:val="24"/>
        </w:rPr>
        <w:t>Republike Hrvatske</w:t>
      </w:r>
      <w:r w:rsidRPr="00BC2975">
        <w:rPr>
          <w:sz w:val="24"/>
          <w:szCs w:val="24"/>
          <w:lang w:eastAsia="hr-HR"/>
        </w:rPr>
        <w:t xml:space="preserve"> je u listopadu 2023. donijela Zaključak </w:t>
      </w:r>
      <w:r>
        <w:rPr>
          <w:sz w:val="24"/>
          <w:szCs w:val="24"/>
          <w:lang w:eastAsia="hr-HR"/>
        </w:rPr>
        <w:t xml:space="preserve">u vezi s </w:t>
      </w:r>
      <w:r w:rsidRPr="00BC2975">
        <w:rPr>
          <w:sz w:val="24"/>
          <w:szCs w:val="24"/>
          <w:lang w:eastAsia="hr-HR"/>
        </w:rPr>
        <w:t>energetsko</w:t>
      </w:r>
      <w:r>
        <w:rPr>
          <w:sz w:val="24"/>
          <w:szCs w:val="24"/>
          <w:lang w:eastAsia="hr-HR"/>
        </w:rPr>
        <w:t>m</w:t>
      </w:r>
      <w:r w:rsidRPr="00BC2975">
        <w:rPr>
          <w:sz w:val="24"/>
          <w:szCs w:val="24"/>
          <w:lang w:eastAsia="hr-HR"/>
        </w:rPr>
        <w:t xml:space="preserve"> obnov</w:t>
      </w:r>
      <w:r>
        <w:rPr>
          <w:sz w:val="24"/>
          <w:szCs w:val="24"/>
          <w:lang w:eastAsia="hr-HR"/>
        </w:rPr>
        <w:t>om</w:t>
      </w:r>
      <w:r w:rsidRPr="00BC2975">
        <w:rPr>
          <w:sz w:val="24"/>
          <w:szCs w:val="24"/>
          <w:lang w:eastAsia="hr-HR"/>
        </w:rPr>
        <w:t xml:space="preserve"> obiteljskih kuća i </w:t>
      </w:r>
      <w:proofErr w:type="spellStart"/>
      <w:r w:rsidRPr="00BC2975">
        <w:rPr>
          <w:sz w:val="24"/>
          <w:szCs w:val="24"/>
          <w:lang w:eastAsia="hr-HR"/>
        </w:rPr>
        <w:t>višestambenih</w:t>
      </w:r>
      <w:proofErr w:type="spellEnd"/>
      <w:r w:rsidRPr="00BC2975">
        <w:rPr>
          <w:sz w:val="24"/>
          <w:szCs w:val="24"/>
          <w:lang w:eastAsia="hr-HR"/>
        </w:rPr>
        <w:t xml:space="preserve"> zgrada </w:t>
      </w:r>
      <w:r>
        <w:rPr>
          <w:sz w:val="24"/>
          <w:szCs w:val="24"/>
          <w:lang w:eastAsia="hr-HR"/>
        </w:rPr>
        <w:t xml:space="preserve">na području Republike Hrvatske </w:t>
      </w:r>
      <w:r w:rsidRPr="00BC2975">
        <w:rPr>
          <w:sz w:val="24"/>
          <w:szCs w:val="24"/>
          <w:lang w:eastAsia="hr-HR"/>
        </w:rPr>
        <w:t>(</w:t>
      </w:r>
      <w:r>
        <w:rPr>
          <w:sz w:val="24"/>
          <w:szCs w:val="24"/>
          <w:lang w:eastAsia="hr-HR"/>
        </w:rPr>
        <w:t>„Narodne novine“, broj</w:t>
      </w:r>
      <w:r w:rsidRPr="00BC2975">
        <w:rPr>
          <w:sz w:val="24"/>
          <w:szCs w:val="24"/>
          <w:lang w:eastAsia="hr-HR"/>
        </w:rPr>
        <w:t xml:space="preserve"> 122/23</w:t>
      </w:r>
      <w:r>
        <w:rPr>
          <w:sz w:val="24"/>
          <w:szCs w:val="24"/>
          <w:lang w:eastAsia="hr-HR"/>
        </w:rPr>
        <w:t>.</w:t>
      </w:r>
      <w:r w:rsidRPr="00BC2975">
        <w:rPr>
          <w:sz w:val="24"/>
          <w:szCs w:val="24"/>
          <w:lang w:eastAsia="hr-HR"/>
        </w:rPr>
        <w:t>), kojim je za razdoblje 2024.</w:t>
      </w:r>
      <w:r>
        <w:rPr>
          <w:sz w:val="24"/>
          <w:szCs w:val="24"/>
          <w:lang w:eastAsia="hr-HR"/>
        </w:rPr>
        <w:t>-</w:t>
      </w:r>
      <w:r w:rsidRPr="00BC2975">
        <w:rPr>
          <w:sz w:val="24"/>
          <w:szCs w:val="24"/>
          <w:lang w:eastAsia="hr-HR"/>
        </w:rPr>
        <w:t>2025. osigurano ukupno 225 milijuna eura iz prihoda od prodaje emisijskih jedinica putem dražbi u Hrvatskoj</w:t>
      </w:r>
      <w:r>
        <w:rPr>
          <w:sz w:val="24"/>
          <w:szCs w:val="24"/>
          <w:lang w:eastAsia="hr-HR"/>
        </w:rPr>
        <w:t xml:space="preserve">. Od navedenog iznosa </w:t>
      </w:r>
      <w:r w:rsidRPr="00BC2975">
        <w:rPr>
          <w:sz w:val="24"/>
          <w:szCs w:val="24"/>
          <w:lang w:eastAsia="hr-HR"/>
        </w:rPr>
        <w:t>120 milijuna eura</w:t>
      </w:r>
      <w:r>
        <w:rPr>
          <w:sz w:val="24"/>
          <w:szCs w:val="24"/>
          <w:lang w:eastAsia="hr-HR"/>
        </w:rPr>
        <w:t xml:space="preserve"> je namijenjeno</w:t>
      </w:r>
      <w:r w:rsidRPr="00BC2975">
        <w:rPr>
          <w:sz w:val="24"/>
          <w:szCs w:val="24"/>
          <w:lang w:eastAsia="hr-HR"/>
        </w:rPr>
        <w:t xml:space="preserve"> za energetsku obnovu obiteljskih kuća (oštećenih i neoštećenih u potresu), 25 milijuna eura za obnovu obiteljskih kuća građana u riziku od energetskog siromaštva te 80 milijuna eura za energetsku obnovu </w:t>
      </w:r>
      <w:proofErr w:type="spellStart"/>
      <w:r w:rsidRPr="00BC2975">
        <w:rPr>
          <w:sz w:val="24"/>
          <w:szCs w:val="24"/>
          <w:lang w:eastAsia="hr-HR"/>
        </w:rPr>
        <w:t>višestambenih</w:t>
      </w:r>
      <w:proofErr w:type="spellEnd"/>
      <w:r w:rsidRPr="00BC2975">
        <w:rPr>
          <w:sz w:val="24"/>
          <w:szCs w:val="24"/>
          <w:lang w:eastAsia="hr-HR"/>
        </w:rPr>
        <w:t xml:space="preserve"> zgrada. </w:t>
      </w:r>
      <w:r>
        <w:rPr>
          <w:sz w:val="24"/>
          <w:szCs w:val="24"/>
          <w:lang w:eastAsia="hr-HR"/>
        </w:rPr>
        <w:t>Temeljem</w:t>
      </w:r>
      <w:r w:rsidRPr="00BC2975">
        <w:rPr>
          <w:sz w:val="24"/>
          <w:szCs w:val="24"/>
          <w:lang w:eastAsia="hr-HR"/>
        </w:rPr>
        <w:t xml:space="preserve"> Zaključka</w:t>
      </w:r>
      <w:r>
        <w:rPr>
          <w:sz w:val="24"/>
          <w:szCs w:val="24"/>
          <w:lang w:eastAsia="hr-HR"/>
        </w:rPr>
        <w:t xml:space="preserve">, u </w:t>
      </w:r>
      <w:r w:rsidRPr="00BC2975">
        <w:rPr>
          <w:sz w:val="24"/>
          <w:szCs w:val="24"/>
          <w:lang w:eastAsia="hr-HR"/>
        </w:rPr>
        <w:t>ožujk</w:t>
      </w:r>
      <w:r>
        <w:rPr>
          <w:sz w:val="24"/>
          <w:szCs w:val="24"/>
          <w:lang w:eastAsia="hr-HR"/>
        </w:rPr>
        <w:t>u</w:t>
      </w:r>
      <w:r w:rsidRPr="00BC2975">
        <w:rPr>
          <w:sz w:val="24"/>
          <w:szCs w:val="24"/>
          <w:lang w:eastAsia="hr-HR"/>
        </w:rPr>
        <w:t xml:space="preserve"> 2024. objav</w:t>
      </w:r>
      <w:r>
        <w:rPr>
          <w:sz w:val="24"/>
          <w:szCs w:val="24"/>
          <w:lang w:eastAsia="hr-HR"/>
        </w:rPr>
        <w:t>ljen je</w:t>
      </w:r>
      <w:r w:rsidRPr="00BC2975">
        <w:rPr>
          <w:sz w:val="24"/>
          <w:szCs w:val="24"/>
          <w:lang w:eastAsia="hr-HR"/>
        </w:rPr>
        <w:t xml:space="preserve"> Javni poziv za energetsku obnovu obiteljskih kuća, na koji je zaprimljeno 11.926 prijava</w:t>
      </w:r>
      <w:r>
        <w:rPr>
          <w:sz w:val="24"/>
          <w:szCs w:val="24"/>
          <w:lang w:eastAsia="hr-HR"/>
        </w:rPr>
        <w:t>,</w:t>
      </w:r>
      <w:r w:rsidRPr="00BC2975">
        <w:rPr>
          <w:sz w:val="24"/>
          <w:szCs w:val="24"/>
          <w:lang w:eastAsia="hr-HR"/>
        </w:rPr>
        <w:t xml:space="preserve"> ukupne investicijske vrijednosti od 267 milijuna eura, uz prolaznost od 74%</w:t>
      </w:r>
      <w:r>
        <w:rPr>
          <w:sz w:val="24"/>
          <w:szCs w:val="24"/>
          <w:lang w:eastAsia="hr-HR"/>
        </w:rPr>
        <w:t xml:space="preserve">, </w:t>
      </w:r>
      <w:r w:rsidRPr="00BC2975">
        <w:rPr>
          <w:sz w:val="24"/>
          <w:szCs w:val="24"/>
          <w:lang w:eastAsia="hr-HR"/>
        </w:rPr>
        <w:t xml:space="preserve">a obrada prijava i provedba </w:t>
      </w:r>
      <w:r>
        <w:rPr>
          <w:sz w:val="24"/>
          <w:szCs w:val="24"/>
          <w:lang w:eastAsia="hr-HR"/>
        </w:rPr>
        <w:lastRenderedPageBreak/>
        <w:t>projekata odvijale su se tijekom izvještajnog razdoblja</w:t>
      </w:r>
      <w:r w:rsidRPr="00BC2975">
        <w:rPr>
          <w:sz w:val="24"/>
          <w:szCs w:val="24"/>
          <w:lang w:eastAsia="hr-HR"/>
        </w:rPr>
        <w:t>. U četvrtom tromjesečju 2024. započele su pripremne aktivnosti za novi javni poziv za energetski siromašna kućanstva, uključujući poziv za iskaz interesa fizičkih osoba iz ranjivih skupina</w:t>
      </w:r>
      <w:r>
        <w:rPr>
          <w:sz w:val="24"/>
          <w:szCs w:val="24"/>
          <w:lang w:eastAsia="hr-HR"/>
        </w:rPr>
        <w:t>,</w:t>
      </w:r>
      <w:r w:rsidRPr="00BC2975">
        <w:rPr>
          <w:sz w:val="24"/>
          <w:szCs w:val="24"/>
          <w:lang w:eastAsia="hr-HR"/>
        </w:rPr>
        <w:t xml:space="preserve"> radi prikupljanja podataka za budući poziv u 2025. s </w:t>
      </w:r>
      <w:r>
        <w:rPr>
          <w:sz w:val="24"/>
          <w:szCs w:val="24"/>
          <w:lang w:eastAsia="hr-HR"/>
        </w:rPr>
        <w:t xml:space="preserve">očekivanom </w:t>
      </w:r>
      <w:r w:rsidRPr="00BC2975">
        <w:rPr>
          <w:sz w:val="24"/>
          <w:szCs w:val="24"/>
          <w:lang w:eastAsia="hr-HR"/>
        </w:rPr>
        <w:t>alokacijom od 25 milijuna eura.</w:t>
      </w:r>
    </w:p>
    <w:p w14:paraId="7D9CDE14" w14:textId="77777777" w:rsidR="00FB178A" w:rsidRPr="00BC2975" w:rsidRDefault="00FB178A" w:rsidP="00FB178A">
      <w:pPr>
        <w:spacing w:before="240" w:after="240" w:line="276" w:lineRule="auto"/>
        <w:jc w:val="both"/>
        <w:rPr>
          <w:sz w:val="24"/>
          <w:szCs w:val="24"/>
          <w:lang w:eastAsia="hr-HR"/>
        </w:rPr>
      </w:pPr>
      <w:r w:rsidRPr="00BC2975">
        <w:rPr>
          <w:sz w:val="24"/>
          <w:szCs w:val="24"/>
          <w:lang w:eastAsia="hr-HR"/>
        </w:rPr>
        <w:t xml:space="preserve">U cilju stvaranja jasnog zakonskog okvira za </w:t>
      </w:r>
      <w:proofErr w:type="spellStart"/>
      <w:r w:rsidRPr="00BC2975">
        <w:rPr>
          <w:sz w:val="24"/>
          <w:szCs w:val="24"/>
          <w:lang w:eastAsia="hr-HR"/>
        </w:rPr>
        <w:t>dekarbonizaciju</w:t>
      </w:r>
      <w:proofErr w:type="spellEnd"/>
      <w:r w:rsidRPr="00BC2975">
        <w:rPr>
          <w:sz w:val="24"/>
          <w:szCs w:val="24"/>
          <w:lang w:eastAsia="hr-HR"/>
        </w:rPr>
        <w:t xml:space="preserve"> zgradarstva, tijekom 2024. započela je izrada Zakona o energetskoj učinkovitosti u zgradama, kojim će se odvojiti i sistematizirati provedba Direktive o energetskim svojstvima zgrada (EPBD) izvan postojećeg Zakona o gradnji</w:t>
      </w:r>
      <w:r>
        <w:rPr>
          <w:sz w:val="24"/>
          <w:szCs w:val="24"/>
          <w:lang w:eastAsia="hr-HR"/>
        </w:rPr>
        <w:t xml:space="preserve"> („Narodne novine“, br. 153/</w:t>
      </w:r>
      <w:r w:rsidRPr="005A7ECD">
        <w:rPr>
          <w:sz w:val="24"/>
          <w:szCs w:val="24"/>
          <w:lang w:eastAsia="hr-HR"/>
        </w:rPr>
        <w:t>13</w:t>
      </w:r>
      <w:r>
        <w:rPr>
          <w:sz w:val="24"/>
          <w:szCs w:val="24"/>
          <w:lang w:eastAsia="hr-HR"/>
        </w:rPr>
        <w:t>.</w:t>
      </w:r>
      <w:r w:rsidRPr="005A7ECD">
        <w:rPr>
          <w:sz w:val="24"/>
          <w:szCs w:val="24"/>
          <w:lang w:eastAsia="hr-HR"/>
        </w:rPr>
        <w:t>,</w:t>
      </w:r>
      <w:r>
        <w:rPr>
          <w:sz w:val="24"/>
          <w:szCs w:val="24"/>
          <w:lang w:eastAsia="hr-HR"/>
        </w:rPr>
        <w:t xml:space="preserve"> 20/</w:t>
      </w:r>
      <w:r w:rsidRPr="005A7ECD">
        <w:rPr>
          <w:sz w:val="24"/>
          <w:szCs w:val="24"/>
          <w:lang w:eastAsia="hr-HR"/>
        </w:rPr>
        <w:t>17</w:t>
      </w:r>
      <w:r>
        <w:rPr>
          <w:sz w:val="24"/>
          <w:szCs w:val="24"/>
          <w:lang w:eastAsia="hr-HR"/>
        </w:rPr>
        <w:t>., 39/</w:t>
      </w:r>
      <w:r w:rsidRPr="005A7ECD">
        <w:rPr>
          <w:sz w:val="24"/>
          <w:szCs w:val="24"/>
          <w:lang w:eastAsia="hr-HR"/>
        </w:rPr>
        <w:t>19</w:t>
      </w:r>
      <w:r>
        <w:rPr>
          <w:sz w:val="24"/>
          <w:szCs w:val="24"/>
          <w:lang w:eastAsia="hr-HR"/>
        </w:rPr>
        <w:t>., 125/</w:t>
      </w:r>
      <w:r w:rsidRPr="005A7ECD">
        <w:rPr>
          <w:sz w:val="24"/>
          <w:szCs w:val="24"/>
          <w:lang w:eastAsia="hr-HR"/>
        </w:rPr>
        <w:t>19</w:t>
      </w:r>
      <w:r>
        <w:rPr>
          <w:sz w:val="24"/>
          <w:szCs w:val="24"/>
          <w:lang w:eastAsia="hr-HR"/>
        </w:rPr>
        <w:t>. i 145/</w:t>
      </w:r>
      <w:r w:rsidRPr="005A7ECD">
        <w:rPr>
          <w:sz w:val="24"/>
          <w:szCs w:val="24"/>
          <w:lang w:eastAsia="hr-HR"/>
        </w:rPr>
        <w:t>24</w:t>
      </w:r>
      <w:r>
        <w:rPr>
          <w:sz w:val="24"/>
          <w:szCs w:val="24"/>
          <w:lang w:eastAsia="hr-HR"/>
        </w:rPr>
        <w:t>.)</w:t>
      </w:r>
      <w:r w:rsidRPr="00BC2975">
        <w:rPr>
          <w:sz w:val="24"/>
          <w:szCs w:val="24"/>
          <w:lang w:eastAsia="hr-HR"/>
        </w:rPr>
        <w:t xml:space="preserve">. Cilj </w:t>
      </w:r>
      <w:r>
        <w:rPr>
          <w:sz w:val="24"/>
          <w:szCs w:val="24"/>
          <w:lang w:eastAsia="hr-HR"/>
        </w:rPr>
        <w:t xml:space="preserve">izrade </w:t>
      </w:r>
      <w:r w:rsidRPr="00BC2975">
        <w:rPr>
          <w:sz w:val="24"/>
          <w:szCs w:val="24"/>
          <w:lang w:eastAsia="hr-HR"/>
        </w:rPr>
        <w:t xml:space="preserve">novog zakona jest </w:t>
      </w:r>
      <w:r>
        <w:rPr>
          <w:sz w:val="24"/>
          <w:szCs w:val="24"/>
          <w:lang w:eastAsia="hr-HR"/>
        </w:rPr>
        <w:t xml:space="preserve">stvaranje preduvjeta za snažnije </w:t>
      </w:r>
      <w:r w:rsidRPr="00BC2975">
        <w:rPr>
          <w:sz w:val="24"/>
          <w:szCs w:val="24"/>
          <w:lang w:eastAsia="hr-HR"/>
        </w:rPr>
        <w:t xml:space="preserve">smanjenje emisija stakleničkih plinova i postizanje energetski visoko učinkovitog i </w:t>
      </w:r>
      <w:proofErr w:type="spellStart"/>
      <w:r w:rsidRPr="00BC2975">
        <w:rPr>
          <w:sz w:val="24"/>
          <w:szCs w:val="24"/>
          <w:lang w:eastAsia="hr-HR"/>
        </w:rPr>
        <w:t>dekarboniziranog</w:t>
      </w:r>
      <w:proofErr w:type="spellEnd"/>
      <w:r w:rsidRPr="00BC2975">
        <w:rPr>
          <w:sz w:val="24"/>
          <w:szCs w:val="24"/>
          <w:lang w:eastAsia="hr-HR"/>
        </w:rPr>
        <w:t xml:space="preserve"> fonda zgrada do 2050</w:t>
      </w:r>
      <w:r>
        <w:rPr>
          <w:sz w:val="24"/>
          <w:szCs w:val="24"/>
          <w:lang w:eastAsia="hr-HR"/>
        </w:rPr>
        <w:t>.</w:t>
      </w:r>
      <w:r w:rsidRPr="00BC2975">
        <w:rPr>
          <w:sz w:val="24"/>
          <w:szCs w:val="24"/>
          <w:lang w:eastAsia="hr-HR"/>
        </w:rPr>
        <w:t xml:space="preserve"> </w:t>
      </w:r>
      <w:r>
        <w:rPr>
          <w:sz w:val="24"/>
          <w:szCs w:val="24"/>
          <w:lang w:eastAsia="hr-HR"/>
        </w:rPr>
        <w:t xml:space="preserve">Istovremeno, u okviru </w:t>
      </w:r>
      <w:r w:rsidRPr="006F0AFF">
        <w:rPr>
          <w:sz w:val="24"/>
          <w:szCs w:val="24"/>
          <w:lang w:eastAsia="hr-HR"/>
        </w:rPr>
        <w:t>NPOO</w:t>
      </w:r>
      <w:r>
        <w:rPr>
          <w:sz w:val="24"/>
          <w:szCs w:val="24"/>
          <w:lang w:eastAsia="hr-HR"/>
        </w:rPr>
        <w:t xml:space="preserve"> reformske mjere</w:t>
      </w:r>
      <w:r w:rsidRPr="006F0AFF">
        <w:rPr>
          <w:sz w:val="24"/>
          <w:szCs w:val="24"/>
          <w:lang w:eastAsia="hr-HR"/>
        </w:rPr>
        <w:t xml:space="preserve"> (C1.1.1.R2)</w:t>
      </w:r>
      <w:r>
        <w:rPr>
          <w:sz w:val="24"/>
          <w:szCs w:val="24"/>
          <w:lang w:eastAsia="hr-HR"/>
        </w:rPr>
        <w:t>, vezane za</w:t>
      </w:r>
      <w:r w:rsidRPr="006F0AFF">
        <w:rPr>
          <w:sz w:val="24"/>
          <w:szCs w:val="24"/>
          <w:lang w:eastAsia="hr-HR"/>
        </w:rPr>
        <w:t xml:space="preserve"> liberalizacij</w:t>
      </w:r>
      <w:r>
        <w:rPr>
          <w:sz w:val="24"/>
          <w:szCs w:val="24"/>
          <w:lang w:eastAsia="hr-HR"/>
        </w:rPr>
        <w:t>u</w:t>
      </w:r>
      <w:r w:rsidRPr="006F0AFF">
        <w:rPr>
          <w:sz w:val="24"/>
          <w:szCs w:val="24"/>
          <w:lang w:eastAsia="hr-HR"/>
        </w:rPr>
        <w:t xml:space="preserve"> tržišta profesionalnih usluga</w:t>
      </w:r>
      <w:r>
        <w:rPr>
          <w:sz w:val="24"/>
          <w:szCs w:val="24"/>
          <w:lang w:eastAsia="hr-HR"/>
        </w:rPr>
        <w:t>, izrađen je i u</w:t>
      </w:r>
      <w:r w:rsidRPr="00BC2975">
        <w:rPr>
          <w:sz w:val="24"/>
          <w:szCs w:val="24"/>
          <w:lang w:eastAsia="hr-HR"/>
        </w:rPr>
        <w:t xml:space="preserve"> prosincu 2024. </w:t>
      </w:r>
      <w:r>
        <w:rPr>
          <w:sz w:val="24"/>
          <w:szCs w:val="24"/>
          <w:lang w:eastAsia="hr-HR"/>
        </w:rPr>
        <w:t>usvojen</w:t>
      </w:r>
      <w:r w:rsidRPr="00BC2975">
        <w:rPr>
          <w:sz w:val="24"/>
          <w:szCs w:val="24"/>
          <w:lang w:eastAsia="hr-HR"/>
        </w:rPr>
        <w:t xml:space="preserve"> Zakon o izmjenama i dopunama Zakona o gradnji</w:t>
      </w:r>
      <w:r>
        <w:rPr>
          <w:sz w:val="24"/>
          <w:szCs w:val="24"/>
          <w:lang w:eastAsia="hr-HR"/>
        </w:rPr>
        <w:t xml:space="preserve"> („Narodne novine“, broj: 145/24),</w:t>
      </w:r>
      <w:r w:rsidRPr="00BC2975">
        <w:rPr>
          <w:sz w:val="24"/>
          <w:szCs w:val="24"/>
          <w:lang w:eastAsia="hr-HR"/>
        </w:rPr>
        <w:t xml:space="preserve"> kojim je ukinuto ovlaštenje pravnim osobama za energetsko certificiranje i energetske preglede</w:t>
      </w:r>
      <w:r>
        <w:rPr>
          <w:sz w:val="24"/>
          <w:szCs w:val="24"/>
          <w:lang w:eastAsia="hr-HR"/>
        </w:rPr>
        <w:t xml:space="preserve"> te isto</w:t>
      </w:r>
      <w:r w:rsidRPr="00BC2975">
        <w:rPr>
          <w:sz w:val="24"/>
          <w:szCs w:val="24"/>
          <w:lang w:eastAsia="hr-HR"/>
        </w:rPr>
        <w:t xml:space="preserve"> preusmjereno na fizičke osobe u okviru njihovih strukovnih područja, uvedena funkcija </w:t>
      </w:r>
      <w:r>
        <w:rPr>
          <w:sz w:val="24"/>
          <w:szCs w:val="24"/>
          <w:lang w:eastAsia="hr-HR"/>
        </w:rPr>
        <w:t>„</w:t>
      </w:r>
      <w:r w:rsidRPr="00BC2975">
        <w:rPr>
          <w:sz w:val="24"/>
          <w:szCs w:val="24"/>
          <w:lang w:eastAsia="hr-HR"/>
        </w:rPr>
        <w:t xml:space="preserve">glavnog energetskog </w:t>
      </w:r>
      <w:proofErr w:type="spellStart"/>
      <w:r w:rsidRPr="00BC2975">
        <w:rPr>
          <w:sz w:val="24"/>
          <w:szCs w:val="24"/>
          <w:lang w:eastAsia="hr-HR"/>
        </w:rPr>
        <w:t>certifikatora</w:t>
      </w:r>
      <w:proofErr w:type="spellEnd"/>
      <w:r>
        <w:rPr>
          <w:sz w:val="24"/>
          <w:szCs w:val="24"/>
          <w:lang w:eastAsia="hr-HR"/>
        </w:rPr>
        <w:t>“</w:t>
      </w:r>
      <w:r w:rsidRPr="00BC2975">
        <w:rPr>
          <w:sz w:val="24"/>
          <w:szCs w:val="24"/>
          <w:lang w:eastAsia="hr-HR"/>
        </w:rPr>
        <w:t xml:space="preserve"> te je propisana njihova odgovornost za cjelovitost i usklađenost podataka u</w:t>
      </w:r>
      <w:r>
        <w:rPr>
          <w:sz w:val="24"/>
          <w:szCs w:val="24"/>
          <w:lang w:eastAsia="hr-HR"/>
        </w:rPr>
        <w:t xml:space="preserve"> pojedinom</w:t>
      </w:r>
      <w:r w:rsidRPr="00BC2975">
        <w:rPr>
          <w:sz w:val="24"/>
          <w:szCs w:val="24"/>
          <w:lang w:eastAsia="hr-HR"/>
        </w:rPr>
        <w:t xml:space="preserve"> certifikatu. Usto je omogućeno elektroničko podnošenje zahtjeva za ovlaštenje te provjera vjerodostojnosti energetskih certifikata putem QR koda, čime se pojednostavljuju postupci i jača transparentnost.</w:t>
      </w:r>
    </w:p>
    <w:p w14:paraId="06009570" w14:textId="77777777" w:rsidR="00FB178A" w:rsidRDefault="00FB178A" w:rsidP="00FB178A">
      <w:pPr>
        <w:spacing w:before="240" w:after="240" w:line="276" w:lineRule="auto"/>
        <w:jc w:val="both"/>
        <w:rPr>
          <w:sz w:val="24"/>
          <w:szCs w:val="24"/>
          <w:lang w:eastAsia="hr-HR"/>
        </w:rPr>
      </w:pPr>
      <w:r w:rsidRPr="00BC2975">
        <w:rPr>
          <w:sz w:val="24"/>
          <w:szCs w:val="24"/>
          <w:lang w:eastAsia="hr-HR"/>
        </w:rPr>
        <w:t xml:space="preserve">U okviru politika suzbijanja energetskog siromaštva nastavljena je provedba Programa suzbijanja energetskog siromaštva na potpomognutim područjima i područjima posebne državne skrbi do 2025. </w:t>
      </w:r>
      <w:r>
        <w:rPr>
          <w:sz w:val="24"/>
          <w:szCs w:val="24"/>
          <w:lang w:eastAsia="hr-HR"/>
        </w:rPr>
        <w:t xml:space="preserve">godine. Programom </w:t>
      </w:r>
      <w:r w:rsidRPr="00BC2975">
        <w:rPr>
          <w:sz w:val="24"/>
          <w:szCs w:val="24"/>
          <w:lang w:eastAsia="hr-HR"/>
        </w:rPr>
        <w:t xml:space="preserve">se predviđa energetska obnova i ugradnja obnovljivih izvora energije u 387 stambenih zgrada pod upravljanjem nekadašnjeg Središnjeg državnog ureda za obnovu i stambeno zbrinjavanje, ukupne vrijednosti 47 milijuna eura, u potpunosti financiranih javnim sredstvima. U okviru NPOO poziva „Ublažavanje energetskog siromaštva na potpomognutim područjima i područjima posebne državne skrbi“ </w:t>
      </w:r>
      <w:r>
        <w:rPr>
          <w:sz w:val="24"/>
          <w:szCs w:val="24"/>
          <w:lang w:eastAsia="hr-HR"/>
        </w:rPr>
        <w:t>u</w:t>
      </w:r>
      <w:r w:rsidRPr="00BC2975">
        <w:rPr>
          <w:sz w:val="24"/>
          <w:szCs w:val="24"/>
          <w:lang w:eastAsia="hr-HR"/>
        </w:rPr>
        <w:t xml:space="preserve"> siječnju 2024. donesena je odluka o izravnoj dodjeli kojom je ukupna vrijednost operacije povećana </w:t>
      </w:r>
      <w:r>
        <w:rPr>
          <w:sz w:val="24"/>
          <w:szCs w:val="24"/>
          <w:lang w:eastAsia="hr-HR"/>
        </w:rPr>
        <w:t xml:space="preserve">s 47 </w:t>
      </w:r>
      <w:r w:rsidRPr="00BC2975">
        <w:rPr>
          <w:sz w:val="24"/>
          <w:szCs w:val="24"/>
          <w:lang w:eastAsia="hr-HR"/>
        </w:rPr>
        <w:t>na 88,32 milijuna eura</w:t>
      </w:r>
      <w:r>
        <w:rPr>
          <w:sz w:val="24"/>
          <w:szCs w:val="24"/>
          <w:lang w:eastAsia="hr-HR"/>
        </w:rPr>
        <w:t xml:space="preserve"> čime je</w:t>
      </w:r>
      <w:r w:rsidRPr="00BC2975">
        <w:rPr>
          <w:sz w:val="24"/>
          <w:szCs w:val="24"/>
          <w:lang w:eastAsia="hr-HR"/>
        </w:rPr>
        <w:t xml:space="preserve"> obuhvaćeno 108 stambenih zgrada. Tijekom 2024. završeni su radovi na 16 zgrada ukupne površine 28.978 m², otvorena su dodatna tri gradilišta, dok su za 38 novih zgrada ugovoreni radovi koji će se provoditi u narednom razdoblju.</w:t>
      </w:r>
    </w:p>
    <w:p w14:paraId="5F719A04" w14:textId="77777777" w:rsidR="00FB178A" w:rsidRPr="004C7396" w:rsidRDefault="00FB178A" w:rsidP="00FB178A">
      <w:pPr>
        <w:pStyle w:val="Heading2"/>
        <w:spacing w:after="240" w:line="276" w:lineRule="auto"/>
        <w:rPr>
          <w:sz w:val="24"/>
          <w:szCs w:val="24"/>
        </w:rPr>
      </w:pPr>
      <w:r w:rsidRPr="7B8BC2C2">
        <w:rPr>
          <w:rFonts w:eastAsia="Calibri"/>
        </w:rPr>
        <w:br w:type="page"/>
      </w:r>
      <w:bookmarkStart w:id="97" w:name="_Toc223002947"/>
      <w:r w:rsidRPr="004C7396">
        <w:rPr>
          <w:sz w:val="24"/>
          <w:szCs w:val="24"/>
        </w:rPr>
        <w:lastRenderedPageBreak/>
        <w:t xml:space="preserve">9. Samodostatnost u hrani i razvoj </w:t>
      </w:r>
      <w:proofErr w:type="spellStart"/>
      <w:r w:rsidRPr="004C7396">
        <w:rPr>
          <w:sz w:val="24"/>
          <w:szCs w:val="24"/>
        </w:rPr>
        <w:t>biogospodarstva</w:t>
      </w:r>
      <w:bookmarkEnd w:id="97"/>
      <w:proofErr w:type="spellEnd"/>
    </w:p>
    <w:p w14:paraId="242E6B5D" w14:textId="77777777" w:rsidR="00FB178A" w:rsidRPr="00944FE6" w:rsidRDefault="00FB178A" w:rsidP="00FB178A">
      <w:pPr>
        <w:pStyle w:val="Heading3"/>
      </w:pPr>
      <w:bookmarkStart w:id="98" w:name="_Toc223002948"/>
      <w:r w:rsidRPr="00944FE6">
        <w:t>9.1. Ostvarene vrijednosti pokazatelja uspješnosti</w:t>
      </w:r>
      <w:bookmarkEnd w:id="98"/>
    </w:p>
    <w:tbl>
      <w:tblPr>
        <w:tblW w:w="9060" w:type="dxa"/>
        <w:tblInd w:w="2" w:type="dxa"/>
        <w:tblLayout w:type="fixed"/>
        <w:tblCellMar>
          <w:left w:w="0" w:type="dxa"/>
          <w:right w:w="0" w:type="dxa"/>
        </w:tblCellMar>
        <w:tblLook w:val="04A0" w:firstRow="1" w:lastRow="0" w:firstColumn="1" w:lastColumn="0" w:noHBand="0" w:noVBand="1"/>
      </w:tblPr>
      <w:tblGrid>
        <w:gridCol w:w="1833"/>
        <w:gridCol w:w="2410"/>
        <w:gridCol w:w="2126"/>
        <w:gridCol w:w="2691"/>
      </w:tblGrid>
      <w:tr w:rsidR="00FB178A" w:rsidRPr="00145379" w14:paraId="5CC84D95" w14:textId="77777777" w:rsidTr="009E18ED">
        <w:trPr>
          <w:trHeight w:val="660"/>
        </w:trPr>
        <w:tc>
          <w:tcPr>
            <w:tcW w:w="1833" w:type="dxa"/>
            <w:tcBorders>
              <w:top w:val="dotted" w:sz="8" w:space="0" w:color="auto"/>
              <w:left w:val="dotted" w:sz="8" w:space="0" w:color="auto"/>
              <w:bottom w:val="dotted" w:sz="8" w:space="0" w:color="auto"/>
              <w:right w:val="dotted" w:sz="8" w:space="0" w:color="auto"/>
            </w:tcBorders>
            <w:shd w:val="clear" w:color="auto" w:fill="B6DDE8" w:themeFill="accent5" w:themeFillTint="66"/>
            <w:vAlign w:val="center"/>
          </w:tcPr>
          <w:p w14:paraId="23D99572" w14:textId="77777777" w:rsidR="00FB178A" w:rsidRPr="00145379" w:rsidRDefault="00FB178A" w:rsidP="009E18ED">
            <w:pPr>
              <w:spacing w:line="276" w:lineRule="auto"/>
              <w:jc w:val="center"/>
              <w:rPr>
                <w:sz w:val="24"/>
                <w:szCs w:val="24"/>
              </w:rPr>
            </w:pPr>
            <w:r w:rsidRPr="00145379">
              <w:rPr>
                <w:b/>
                <w:bCs/>
                <w:color w:val="000000" w:themeColor="text1"/>
                <w:sz w:val="24"/>
                <w:szCs w:val="24"/>
              </w:rPr>
              <w:t xml:space="preserve">Pokazatelj uspješnosti </w:t>
            </w:r>
          </w:p>
        </w:tc>
        <w:tc>
          <w:tcPr>
            <w:tcW w:w="2410" w:type="dxa"/>
            <w:tcBorders>
              <w:top w:val="dotted" w:sz="8" w:space="0" w:color="auto"/>
              <w:left w:val="dotted" w:sz="8" w:space="0" w:color="auto"/>
              <w:bottom w:val="dotted" w:sz="8" w:space="0" w:color="auto"/>
              <w:right w:val="dotted" w:sz="8" w:space="0" w:color="auto"/>
            </w:tcBorders>
            <w:shd w:val="clear" w:color="auto" w:fill="B6DDE8" w:themeFill="accent5" w:themeFillTint="66"/>
            <w:vAlign w:val="center"/>
          </w:tcPr>
          <w:p w14:paraId="6D46F4E7" w14:textId="77777777" w:rsidR="00FB178A" w:rsidRPr="00145379" w:rsidRDefault="00FB178A" w:rsidP="009E18ED">
            <w:pPr>
              <w:spacing w:line="276" w:lineRule="auto"/>
              <w:jc w:val="center"/>
              <w:rPr>
                <w:sz w:val="24"/>
                <w:szCs w:val="24"/>
              </w:rPr>
            </w:pPr>
            <w:r w:rsidRPr="00145379">
              <w:rPr>
                <w:b/>
                <w:bCs/>
                <w:color w:val="000000" w:themeColor="text1"/>
                <w:sz w:val="24"/>
                <w:szCs w:val="24"/>
              </w:rPr>
              <w:t xml:space="preserve">Početna </w:t>
            </w:r>
          </w:p>
          <w:p w14:paraId="562E2E7D" w14:textId="77777777" w:rsidR="00FB178A" w:rsidRPr="00145379" w:rsidRDefault="00FB178A" w:rsidP="009E18ED">
            <w:pPr>
              <w:spacing w:line="276" w:lineRule="auto"/>
              <w:jc w:val="center"/>
              <w:rPr>
                <w:sz w:val="24"/>
                <w:szCs w:val="24"/>
              </w:rPr>
            </w:pPr>
            <w:r w:rsidRPr="00145379">
              <w:rPr>
                <w:b/>
                <w:bCs/>
                <w:color w:val="000000" w:themeColor="text1"/>
                <w:sz w:val="24"/>
                <w:szCs w:val="24"/>
              </w:rPr>
              <w:t xml:space="preserve">vrijednost </w:t>
            </w:r>
          </w:p>
        </w:tc>
        <w:tc>
          <w:tcPr>
            <w:tcW w:w="2126" w:type="dxa"/>
            <w:tcBorders>
              <w:top w:val="dotted" w:sz="8" w:space="0" w:color="auto"/>
              <w:left w:val="dotted" w:sz="8" w:space="0" w:color="auto"/>
              <w:bottom w:val="dotted" w:sz="8" w:space="0" w:color="auto"/>
              <w:right w:val="dotted" w:sz="8" w:space="0" w:color="auto"/>
            </w:tcBorders>
            <w:shd w:val="clear" w:color="auto" w:fill="B6DDE8" w:themeFill="accent5" w:themeFillTint="66"/>
            <w:vAlign w:val="center"/>
          </w:tcPr>
          <w:p w14:paraId="44BA52E4" w14:textId="77777777" w:rsidR="00FB178A" w:rsidRPr="00145379" w:rsidRDefault="00FB178A" w:rsidP="009E18ED">
            <w:pPr>
              <w:spacing w:line="276" w:lineRule="auto"/>
              <w:jc w:val="center"/>
              <w:rPr>
                <w:sz w:val="24"/>
                <w:szCs w:val="24"/>
              </w:rPr>
            </w:pPr>
            <w:r w:rsidRPr="00145379">
              <w:rPr>
                <w:b/>
                <w:bCs/>
                <w:color w:val="000000" w:themeColor="text1"/>
                <w:sz w:val="24"/>
                <w:szCs w:val="24"/>
              </w:rPr>
              <w:t xml:space="preserve">Ciljna </w:t>
            </w:r>
          </w:p>
          <w:p w14:paraId="3B0ADABB" w14:textId="77777777" w:rsidR="00FB178A" w:rsidRPr="00145379" w:rsidRDefault="00FB178A" w:rsidP="009E18ED">
            <w:pPr>
              <w:spacing w:line="276" w:lineRule="auto"/>
              <w:jc w:val="center"/>
              <w:rPr>
                <w:sz w:val="24"/>
                <w:szCs w:val="24"/>
              </w:rPr>
            </w:pPr>
            <w:r w:rsidRPr="00145379">
              <w:rPr>
                <w:b/>
                <w:bCs/>
                <w:color w:val="000000" w:themeColor="text1"/>
                <w:sz w:val="24"/>
                <w:szCs w:val="24"/>
              </w:rPr>
              <w:t xml:space="preserve">vrijednost </w:t>
            </w:r>
          </w:p>
        </w:tc>
        <w:tc>
          <w:tcPr>
            <w:tcW w:w="2691" w:type="dxa"/>
            <w:tcBorders>
              <w:top w:val="dotted" w:sz="8" w:space="0" w:color="auto"/>
              <w:left w:val="dotted" w:sz="8" w:space="0" w:color="auto"/>
              <w:bottom w:val="dotted" w:sz="8" w:space="0" w:color="auto"/>
              <w:right w:val="dotted" w:sz="8" w:space="0" w:color="auto"/>
            </w:tcBorders>
            <w:shd w:val="clear" w:color="auto" w:fill="B6DDE8" w:themeFill="accent5" w:themeFillTint="66"/>
            <w:vAlign w:val="center"/>
          </w:tcPr>
          <w:p w14:paraId="2A7612F9" w14:textId="77777777" w:rsidR="00FB178A" w:rsidRDefault="00FB178A" w:rsidP="009E18ED">
            <w:pPr>
              <w:adjustRightInd w:val="0"/>
              <w:spacing w:before="120" w:after="120"/>
              <w:jc w:val="center"/>
              <w:rPr>
                <w:b/>
                <w:bCs/>
              </w:rPr>
            </w:pPr>
            <w:r>
              <w:rPr>
                <w:b/>
                <w:bCs/>
              </w:rPr>
              <w:t>Ostvarena vrijednost,</w:t>
            </w:r>
          </w:p>
          <w:p w14:paraId="0EC2A889" w14:textId="77777777" w:rsidR="00FB178A" w:rsidRPr="00145379" w:rsidRDefault="00FB178A" w:rsidP="009E18ED">
            <w:pPr>
              <w:spacing w:line="276" w:lineRule="auto"/>
              <w:jc w:val="center"/>
              <w:rPr>
                <w:sz w:val="24"/>
                <w:szCs w:val="24"/>
              </w:rPr>
            </w:pPr>
            <w:r>
              <w:rPr>
                <w:b/>
                <w:bCs/>
              </w:rPr>
              <w:t>Referentna godina podatka</w:t>
            </w:r>
          </w:p>
        </w:tc>
      </w:tr>
      <w:tr w:rsidR="00FB178A" w:rsidRPr="00145379" w14:paraId="701159F6" w14:textId="77777777" w:rsidTr="009E18ED">
        <w:trPr>
          <w:trHeight w:val="990"/>
        </w:trPr>
        <w:tc>
          <w:tcPr>
            <w:tcW w:w="1833" w:type="dxa"/>
            <w:tcBorders>
              <w:top w:val="dotted" w:sz="8" w:space="0" w:color="auto"/>
              <w:left w:val="dotted" w:sz="8" w:space="0" w:color="auto"/>
              <w:bottom w:val="dotted" w:sz="8" w:space="0" w:color="auto"/>
              <w:right w:val="nil"/>
            </w:tcBorders>
            <w:vAlign w:val="center"/>
          </w:tcPr>
          <w:p w14:paraId="0B5547B7" w14:textId="77777777" w:rsidR="00FB178A" w:rsidRPr="00145379" w:rsidRDefault="00FB178A" w:rsidP="009E18ED">
            <w:pPr>
              <w:spacing w:before="120" w:after="120" w:line="276" w:lineRule="auto"/>
              <w:ind w:left="128"/>
              <w:rPr>
                <w:sz w:val="24"/>
                <w:szCs w:val="24"/>
              </w:rPr>
            </w:pPr>
            <w:r w:rsidRPr="00145379">
              <w:rPr>
                <w:color w:val="000000" w:themeColor="text1"/>
                <w:sz w:val="24"/>
                <w:szCs w:val="24"/>
              </w:rPr>
              <w:t xml:space="preserve">Produktivnost rada u poljoprivredi </w:t>
            </w:r>
          </w:p>
        </w:tc>
        <w:tc>
          <w:tcPr>
            <w:tcW w:w="2410" w:type="dxa"/>
            <w:tcBorders>
              <w:top w:val="dotted" w:sz="8" w:space="0" w:color="auto"/>
              <w:left w:val="nil"/>
              <w:bottom w:val="dotted" w:sz="8" w:space="0" w:color="auto"/>
              <w:right w:val="nil"/>
            </w:tcBorders>
            <w:shd w:val="clear" w:color="auto" w:fill="DAEEF3" w:themeFill="accent5" w:themeFillTint="33"/>
            <w:vAlign w:val="center"/>
          </w:tcPr>
          <w:p w14:paraId="61ACF140" w14:textId="77777777" w:rsidR="00FB178A" w:rsidRPr="00145379" w:rsidRDefault="00FB178A" w:rsidP="009E18ED">
            <w:pPr>
              <w:spacing w:before="120" w:after="120" w:line="276" w:lineRule="auto"/>
              <w:jc w:val="center"/>
              <w:rPr>
                <w:sz w:val="24"/>
                <w:szCs w:val="24"/>
              </w:rPr>
            </w:pPr>
            <w:r w:rsidRPr="00145379">
              <w:rPr>
                <w:color w:val="000000" w:themeColor="text1"/>
                <w:sz w:val="24"/>
                <w:szCs w:val="24"/>
              </w:rPr>
              <w:t>6.107 eura/GJR</w:t>
            </w:r>
            <w:r>
              <w:rPr>
                <w:color w:val="000000" w:themeColor="text1"/>
                <w:sz w:val="24"/>
                <w:szCs w:val="24"/>
              </w:rPr>
              <w:br/>
              <w:t>(2019.)</w:t>
            </w:r>
          </w:p>
        </w:tc>
        <w:tc>
          <w:tcPr>
            <w:tcW w:w="2126" w:type="dxa"/>
            <w:tcBorders>
              <w:top w:val="dotted" w:sz="8" w:space="0" w:color="auto"/>
              <w:left w:val="nil"/>
              <w:bottom w:val="dotted" w:sz="8" w:space="0" w:color="auto"/>
              <w:right w:val="nil"/>
            </w:tcBorders>
            <w:vAlign w:val="center"/>
          </w:tcPr>
          <w:p w14:paraId="42AFFFD0" w14:textId="77777777" w:rsidR="00FB178A" w:rsidRPr="00145379" w:rsidRDefault="00FB178A" w:rsidP="009E18ED">
            <w:pPr>
              <w:spacing w:before="120" w:after="120" w:line="276" w:lineRule="auto"/>
              <w:jc w:val="center"/>
              <w:rPr>
                <w:sz w:val="24"/>
                <w:szCs w:val="24"/>
              </w:rPr>
            </w:pPr>
            <w:r w:rsidRPr="00145379">
              <w:rPr>
                <w:color w:val="000000" w:themeColor="text1"/>
                <w:sz w:val="24"/>
                <w:szCs w:val="24"/>
              </w:rPr>
              <w:t>10.000,00 eura/GJR</w:t>
            </w:r>
          </w:p>
        </w:tc>
        <w:tc>
          <w:tcPr>
            <w:tcW w:w="2691" w:type="dxa"/>
            <w:tcBorders>
              <w:top w:val="dotted" w:sz="8" w:space="0" w:color="auto"/>
              <w:left w:val="nil"/>
              <w:bottom w:val="dotted" w:sz="8" w:space="0" w:color="auto"/>
              <w:right w:val="dotted" w:sz="8" w:space="0" w:color="auto"/>
            </w:tcBorders>
            <w:shd w:val="clear" w:color="auto" w:fill="DAEEF3" w:themeFill="accent5" w:themeFillTint="33"/>
          </w:tcPr>
          <w:p w14:paraId="74F5A70D" w14:textId="77777777" w:rsidR="00FB178A" w:rsidRDefault="00FB178A" w:rsidP="009E18ED">
            <w:pPr>
              <w:adjustRightInd w:val="0"/>
              <w:spacing w:after="120"/>
              <w:jc w:val="center"/>
              <w:rPr>
                <w:sz w:val="24"/>
                <w:szCs w:val="24"/>
              </w:rPr>
            </w:pPr>
          </w:p>
          <w:p w14:paraId="0F168B6C" w14:textId="77777777" w:rsidR="00FB178A" w:rsidRDefault="00FB178A" w:rsidP="009E18ED">
            <w:pPr>
              <w:adjustRightInd w:val="0"/>
              <w:spacing w:after="120"/>
              <w:jc w:val="center"/>
              <w:rPr>
                <w:sz w:val="24"/>
                <w:szCs w:val="24"/>
              </w:rPr>
            </w:pPr>
            <w:r>
              <w:rPr>
                <w:sz w:val="24"/>
                <w:szCs w:val="24"/>
              </w:rPr>
              <w:t>8.091 eura/GJR</w:t>
            </w:r>
          </w:p>
          <w:p w14:paraId="6EEF5EB6" w14:textId="77777777" w:rsidR="00FB178A" w:rsidRPr="00145379" w:rsidRDefault="00FB178A" w:rsidP="009E18ED">
            <w:pPr>
              <w:adjustRightInd w:val="0"/>
              <w:spacing w:after="120"/>
              <w:jc w:val="center"/>
              <w:rPr>
                <w:sz w:val="24"/>
                <w:szCs w:val="24"/>
              </w:rPr>
            </w:pPr>
            <w:r>
              <w:rPr>
                <w:sz w:val="24"/>
                <w:szCs w:val="24"/>
              </w:rPr>
              <w:t>(2024.)</w:t>
            </w:r>
          </w:p>
        </w:tc>
      </w:tr>
    </w:tbl>
    <w:p w14:paraId="64B5174B" w14:textId="77777777" w:rsidR="00FB178A" w:rsidRDefault="00FB178A" w:rsidP="00FB178A">
      <w:r w:rsidRPr="00145379">
        <w:t xml:space="preserve"> </w:t>
      </w:r>
      <w:bookmarkEnd w:id="96"/>
    </w:p>
    <w:p w14:paraId="124B8BDD" w14:textId="77777777" w:rsidR="00FB178A" w:rsidRDefault="00FB178A" w:rsidP="00FB178A">
      <w:pPr>
        <w:pStyle w:val="Heading3"/>
      </w:pPr>
      <w:bookmarkStart w:id="99" w:name="_Toc223002949"/>
      <w:r w:rsidRPr="7B8BC2C2">
        <w:t xml:space="preserve">9.2. Opis napretka u provedbi strateškog cilja Samodostatnost u hrani i razvoj </w:t>
      </w:r>
      <w:proofErr w:type="spellStart"/>
      <w:r w:rsidRPr="7B8BC2C2">
        <w:t>biogospodarstva</w:t>
      </w:r>
      <w:bookmarkEnd w:id="99"/>
      <w:proofErr w:type="spellEnd"/>
    </w:p>
    <w:p w14:paraId="77415B2C" w14:textId="77777777" w:rsidR="00FB178A" w:rsidRPr="0004221B" w:rsidRDefault="00FB178A" w:rsidP="00FB178A">
      <w:pPr>
        <w:pStyle w:val="Default"/>
        <w:spacing w:before="240" w:after="240" w:line="276" w:lineRule="auto"/>
        <w:ind w:left="720"/>
        <w:jc w:val="both"/>
        <w:rPr>
          <w:b/>
          <w:color w:val="auto"/>
        </w:rPr>
      </w:pPr>
      <w:r w:rsidRPr="00BF28EA">
        <w:rPr>
          <w:rFonts w:eastAsia="Calibri"/>
          <w:b/>
          <w:kern w:val="2"/>
        </w:rPr>
        <w:t xml:space="preserve">Povećanje produktivnosti poljoprivrede i akvakulture i njihove otpornosti na </w:t>
      </w:r>
      <w:r w:rsidRPr="0004221B">
        <w:rPr>
          <w:b/>
          <w:color w:val="auto"/>
        </w:rPr>
        <w:t>klimatske promjene na okolišno prihvatljiv i održiv način</w:t>
      </w:r>
    </w:p>
    <w:p w14:paraId="2153A88A" w14:textId="77777777" w:rsidR="00FB178A" w:rsidRDefault="00FB178A" w:rsidP="00FB178A">
      <w:pPr>
        <w:pStyle w:val="Default"/>
        <w:spacing w:before="240" w:after="240" w:line="276" w:lineRule="auto"/>
        <w:ind w:firstLine="720"/>
        <w:jc w:val="both"/>
        <w:rPr>
          <w:color w:val="auto"/>
        </w:rPr>
      </w:pPr>
      <w:r w:rsidRPr="00C869B5">
        <w:rPr>
          <w:color w:val="auto"/>
        </w:rPr>
        <w:t>Tijekom 2024. hrvatska poljoprivreda zabilježila je pozitivne trendove kroz rast stočnog fonda i blago povećanje prosječne veličine poljoprivrednih gospodarstava, uz očuvanje ukupnih površina</w:t>
      </w:r>
      <w:r>
        <w:rPr>
          <w:color w:val="auto"/>
        </w:rPr>
        <w:t xml:space="preserve"> pod poljoprivrednom proizvodnjom</w:t>
      </w:r>
      <w:r w:rsidRPr="00C869B5">
        <w:rPr>
          <w:color w:val="auto"/>
        </w:rPr>
        <w:t xml:space="preserve">. </w:t>
      </w:r>
      <w:r>
        <w:rPr>
          <w:color w:val="auto"/>
        </w:rPr>
        <w:t>Poljoprivredni s</w:t>
      </w:r>
      <w:r w:rsidRPr="00C869B5">
        <w:rPr>
          <w:color w:val="auto"/>
        </w:rPr>
        <w:t xml:space="preserve">ektor je </w:t>
      </w:r>
      <w:r>
        <w:rPr>
          <w:color w:val="auto"/>
        </w:rPr>
        <w:t xml:space="preserve">u 2024. </w:t>
      </w:r>
      <w:r w:rsidRPr="00C869B5">
        <w:rPr>
          <w:color w:val="auto"/>
        </w:rPr>
        <w:t xml:space="preserve">brojio </w:t>
      </w:r>
      <w:r>
        <w:rPr>
          <w:color w:val="auto"/>
        </w:rPr>
        <w:t xml:space="preserve">ukupno </w:t>
      </w:r>
      <w:r w:rsidRPr="00C869B5">
        <w:rPr>
          <w:color w:val="auto"/>
        </w:rPr>
        <w:t xml:space="preserve">161 tisuću poljoprivrednika (164,6 </w:t>
      </w:r>
      <w:r>
        <w:rPr>
          <w:color w:val="auto"/>
        </w:rPr>
        <w:t xml:space="preserve">000 </w:t>
      </w:r>
      <w:r w:rsidRPr="00C869B5">
        <w:rPr>
          <w:color w:val="auto"/>
        </w:rPr>
        <w:t>u 2023.)</w:t>
      </w:r>
      <w:r>
        <w:rPr>
          <w:color w:val="auto"/>
        </w:rPr>
        <w:t>,</w:t>
      </w:r>
      <w:r w:rsidRPr="00C869B5">
        <w:rPr>
          <w:color w:val="auto"/>
        </w:rPr>
        <w:t xml:space="preserve"> koji su obrađivali stabilnih 1,5 milijuna hektara zemljišta te uzgajali 695</w:t>
      </w:r>
      <w:r>
        <w:rPr>
          <w:color w:val="auto"/>
        </w:rPr>
        <w:t xml:space="preserve"> </w:t>
      </w:r>
      <w:r w:rsidRPr="00C869B5">
        <w:rPr>
          <w:color w:val="auto"/>
        </w:rPr>
        <w:t>5</w:t>
      </w:r>
      <w:r>
        <w:rPr>
          <w:color w:val="auto"/>
        </w:rPr>
        <w:t>00</w:t>
      </w:r>
      <w:r w:rsidRPr="00C869B5">
        <w:rPr>
          <w:color w:val="auto"/>
        </w:rPr>
        <w:t xml:space="preserve"> uvjetnih grla stoke (+1,5%). Unatoč blagom rastu prosječne veličine gospodarstva na 7,2 hektara, </w:t>
      </w:r>
      <w:r>
        <w:rPr>
          <w:color w:val="auto"/>
        </w:rPr>
        <w:t xml:space="preserve">proizvođačka </w:t>
      </w:r>
      <w:r w:rsidRPr="00C869B5">
        <w:rPr>
          <w:color w:val="auto"/>
        </w:rPr>
        <w:t xml:space="preserve">struktura sektora ostaje </w:t>
      </w:r>
      <w:r>
        <w:rPr>
          <w:color w:val="auto"/>
        </w:rPr>
        <w:t>podijeljena. Tako je</w:t>
      </w:r>
      <w:r w:rsidRPr="00C869B5">
        <w:rPr>
          <w:color w:val="auto"/>
        </w:rPr>
        <w:t xml:space="preserve"> </w:t>
      </w:r>
      <w:r>
        <w:rPr>
          <w:color w:val="auto"/>
        </w:rPr>
        <w:t xml:space="preserve">čak </w:t>
      </w:r>
      <w:r w:rsidRPr="00C869B5">
        <w:rPr>
          <w:color w:val="auto"/>
        </w:rPr>
        <w:t>76,3% poljoprivrednika obrađ</w:t>
      </w:r>
      <w:r>
        <w:rPr>
          <w:color w:val="auto"/>
        </w:rPr>
        <w:t>ivalo</w:t>
      </w:r>
      <w:r w:rsidRPr="00C869B5">
        <w:rPr>
          <w:color w:val="auto"/>
        </w:rPr>
        <w:t xml:space="preserve"> manje od 5 hektara, dok</w:t>
      </w:r>
      <w:r>
        <w:rPr>
          <w:color w:val="auto"/>
        </w:rPr>
        <w:t xml:space="preserve"> je</w:t>
      </w:r>
      <w:r w:rsidRPr="00C869B5">
        <w:rPr>
          <w:color w:val="auto"/>
        </w:rPr>
        <w:t xml:space="preserve"> 0,9% najvećih proizvođača koristi</w:t>
      </w:r>
      <w:r>
        <w:rPr>
          <w:color w:val="auto"/>
        </w:rPr>
        <w:t>lo</w:t>
      </w:r>
      <w:r w:rsidRPr="00C869B5">
        <w:rPr>
          <w:color w:val="auto"/>
        </w:rPr>
        <w:t xml:space="preserve"> </w:t>
      </w:r>
      <w:r>
        <w:rPr>
          <w:color w:val="auto"/>
        </w:rPr>
        <w:t>značajnih</w:t>
      </w:r>
      <w:r w:rsidRPr="00C869B5">
        <w:rPr>
          <w:color w:val="auto"/>
        </w:rPr>
        <w:t xml:space="preserve"> 30% ukupnih </w:t>
      </w:r>
      <w:r>
        <w:rPr>
          <w:color w:val="auto"/>
        </w:rPr>
        <w:t xml:space="preserve">poljoprivrednih </w:t>
      </w:r>
      <w:r w:rsidRPr="00C869B5">
        <w:rPr>
          <w:color w:val="auto"/>
        </w:rPr>
        <w:t>površina.</w:t>
      </w:r>
      <w:r>
        <w:rPr>
          <w:color w:val="auto"/>
        </w:rPr>
        <w:t xml:space="preserve"> </w:t>
      </w:r>
    </w:p>
    <w:p w14:paraId="21756BDC" w14:textId="77777777" w:rsidR="00FB178A" w:rsidRDefault="00FB178A" w:rsidP="00FB178A">
      <w:pPr>
        <w:pStyle w:val="Default"/>
        <w:spacing w:before="240" w:after="240" w:line="276" w:lineRule="auto"/>
        <w:jc w:val="both"/>
      </w:pPr>
      <w:r>
        <w:rPr>
          <w:color w:val="auto"/>
        </w:rPr>
        <w:t>Visokim cijenama repromaterijala nastavljen je p</w:t>
      </w:r>
      <w:r w:rsidRPr="002910D6">
        <w:t xml:space="preserve">ritisak na ekonomsku održivost </w:t>
      </w:r>
      <w:r>
        <w:rPr>
          <w:color w:val="auto"/>
        </w:rPr>
        <w:t xml:space="preserve">poljoprivrednih </w:t>
      </w:r>
      <w:r w:rsidRPr="002910D6">
        <w:t>gospodarstava</w:t>
      </w:r>
      <w:r>
        <w:rPr>
          <w:color w:val="auto"/>
        </w:rPr>
        <w:t>,</w:t>
      </w:r>
      <w:r w:rsidRPr="002910D6">
        <w:t xml:space="preserve"> </w:t>
      </w:r>
      <w:r>
        <w:rPr>
          <w:color w:val="auto"/>
        </w:rPr>
        <w:t xml:space="preserve">koja je </w:t>
      </w:r>
      <w:r w:rsidRPr="002910D6">
        <w:t>dodatno po</w:t>
      </w:r>
      <w:r>
        <w:rPr>
          <w:color w:val="auto"/>
        </w:rPr>
        <w:t>goršana</w:t>
      </w:r>
      <w:r w:rsidRPr="002910D6">
        <w:t xml:space="preserve"> kretanjima na tržištu </w:t>
      </w:r>
      <w:r>
        <w:rPr>
          <w:color w:val="auto"/>
        </w:rPr>
        <w:t xml:space="preserve">poljoprivrednih </w:t>
      </w:r>
      <w:r w:rsidRPr="002910D6">
        <w:t>zemljišta. Zabilježen je rast cijena zakupa u svim kategorijama</w:t>
      </w:r>
      <w:r>
        <w:rPr>
          <w:color w:val="auto"/>
        </w:rPr>
        <w:t xml:space="preserve"> zemljišta</w:t>
      </w:r>
      <w:r w:rsidRPr="002910D6">
        <w:t>: zakup oranica blago je poskupio na 108 eura po hektaru (+0,9%), livada na 73 eura po hektaru (+2,8%), dok je cijena zakupa pašnjaka porasla na 46 eura po hektaru</w:t>
      </w:r>
      <w:r>
        <w:rPr>
          <w:color w:val="auto"/>
        </w:rPr>
        <w:t xml:space="preserve"> (+4,5%)</w:t>
      </w:r>
      <w:r w:rsidRPr="002910D6">
        <w:t>. Uz udio mladih poljoprivrednika od 14%, kombinacija usitnjene posjedovne strukture i rasta cijena ključnih resursa ukazuje na to da z</w:t>
      </w:r>
      <w:r w:rsidRPr="00BF4DEE">
        <w:t>načajan dio</w:t>
      </w:r>
      <w:r>
        <w:t xml:space="preserve"> poljoprivrednih</w:t>
      </w:r>
      <w:r w:rsidRPr="00BF4DEE">
        <w:t xml:space="preserve"> proizvođača nije u mogućnosti ostvarivati dohodak dostatan za primjeren životni standard, niti osigurati sredstva za investicije nužne za jačanje konkurentnosti i razvoj </w:t>
      </w:r>
      <w:proofErr w:type="spellStart"/>
      <w:r w:rsidRPr="00BF4DEE">
        <w:t>biogospodarstva</w:t>
      </w:r>
      <w:proofErr w:type="spellEnd"/>
      <w:r w:rsidRPr="00BF4DEE">
        <w:t>.</w:t>
      </w:r>
    </w:p>
    <w:p w14:paraId="30B79377" w14:textId="77777777" w:rsidR="00FB178A" w:rsidRPr="00A174B5" w:rsidRDefault="00FB178A" w:rsidP="00FB178A">
      <w:pPr>
        <w:spacing w:after="120" w:line="288" w:lineRule="auto"/>
        <w:jc w:val="both"/>
        <w:rPr>
          <w:rFonts w:ascii="Calibri" w:eastAsia="Calibri" w:hAnsi="Calibri" w:cs="Calibri"/>
          <w:color w:val="000000" w:themeColor="text1"/>
        </w:rPr>
      </w:pPr>
      <w:r>
        <w:rPr>
          <w:rFonts w:eastAsiaTheme="minorHAnsi"/>
          <w:sz w:val="24"/>
          <w:szCs w:val="24"/>
        </w:rPr>
        <w:t xml:space="preserve">Prema podacima DZS-a ukupna vrijednost poljoprivredne proizvodnje u Hrvatskoj u 2024. je iznosila </w:t>
      </w:r>
      <w:r w:rsidRPr="0004221B">
        <w:rPr>
          <w:rFonts w:eastAsiaTheme="minorHAnsi"/>
          <w:sz w:val="24"/>
          <w:szCs w:val="24"/>
        </w:rPr>
        <w:t>3</w:t>
      </w:r>
      <w:r>
        <w:rPr>
          <w:rFonts w:eastAsiaTheme="minorHAnsi"/>
          <w:sz w:val="24"/>
          <w:szCs w:val="24"/>
        </w:rPr>
        <w:t>,09 milijarde</w:t>
      </w:r>
      <w:r w:rsidRPr="0004221B">
        <w:rPr>
          <w:rFonts w:eastAsiaTheme="minorHAnsi"/>
          <w:sz w:val="24"/>
          <w:szCs w:val="24"/>
        </w:rPr>
        <w:t xml:space="preserve"> eura</w:t>
      </w:r>
      <w:r>
        <w:rPr>
          <w:rFonts w:eastAsiaTheme="minorHAnsi"/>
          <w:sz w:val="24"/>
          <w:szCs w:val="24"/>
        </w:rPr>
        <w:t xml:space="preserve">, uz porast od 8,8% u odnosu na prethodnu godinu. </w:t>
      </w:r>
      <w:r w:rsidRPr="005876A5">
        <w:rPr>
          <w:rFonts w:eastAsiaTheme="minorHAnsi"/>
          <w:sz w:val="24"/>
          <w:szCs w:val="24"/>
        </w:rPr>
        <w:t xml:space="preserve">U strukturi vrijednosti </w:t>
      </w:r>
      <w:r>
        <w:rPr>
          <w:rFonts w:eastAsiaTheme="minorHAnsi"/>
          <w:sz w:val="24"/>
          <w:szCs w:val="24"/>
        </w:rPr>
        <w:t xml:space="preserve">ukupne </w:t>
      </w:r>
      <w:r w:rsidRPr="005876A5">
        <w:rPr>
          <w:rFonts w:eastAsiaTheme="minorHAnsi"/>
          <w:sz w:val="24"/>
          <w:szCs w:val="24"/>
        </w:rPr>
        <w:t>poljoprivredne proizvodnje</w:t>
      </w:r>
      <w:r>
        <w:rPr>
          <w:rFonts w:eastAsiaTheme="minorHAnsi"/>
          <w:sz w:val="24"/>
          <w:szCs w:val="24"/>
        </w:rPr>
        <w:t>,</w:t>
      </w:r>
      <w:r w:rsidRPr="005876A5">
        <w:rPr>
          <w:rFonts w:eastAsiaTheme="minorHAnsi"/>
          <w:sz w:val="24"/>
          <w:szCs w:val="24"/>
        </w:rPr>
        <w:t xml:space="preserve"> najznačajniji sektori su proizvodnja žitarica, uzgoj goveda, proizvodnja krmnog bilja, uzgoj svinja i proizvodnja povrća</w:t>
      </w:r>
      <w:r>
        <w:rPr>
          <w:rFonts w:eastAsiaTheme="minorHAnsi"/>
          <w:sz w:val="24"/>
          <w:szCs w:val="24"/>
        </w:rPr>
        <w:t>,</w:t>
      </w:r>
      <w:r w:rsidRPr="005876A5">
        <w:rPr>
          <w:rFonts w:eastAsiaTheme="minorHAnsi"/>
          <w:sz w:val="24"/>
          <w:szCs w:val="24"/>
        </w:rPr>
        <w:t xml:space="preserve"> koji zajedno čine 54% ukupne proizvodnje.</w:t>
      </w:r>
      <w:r>
        <w:rPr>
          <w:rFonts w:eastAsiaTheme="minorHAnsi"/>
          <w:sz w:val="24"/>
          <w:szCs w:val="24"/>
        </w:rPr>
        <w:t xml:space="preserve"> Promatrano</w:t>
      </w:r>
      <w:r w:rsidRPr="00BA42AE">
        <w:rPr>
          <w:rFonts w:eastAsiaTheme="minorHAnsi"/>
          <w:sz w:val="24"/>
          <w:szCs w:val="24"/>
        </w:rPr>
        <w:t xml:space="preserve"> u odnosu na prethodnu godinu biljna proizvodnja, koja čini 5</w:t>
      </w:r>
      <w:r>
        <w:rPr>
          <w:rFonts w:eastAsiaTheme="minorHAnsi"/>
          <w:sz w:val="24"/>
          <w:szCs w:val="24"/>
        </w:rPr>
        <w:t>7,1</w:t>
      </w:r>
      <w:r w:rsidRPr="00BA42AE">
        <w:rPr>
          <w:rFonts w:eastAsiaTheme="minorHAnsi"/>
          <w:sz w:val="24"/>
          <w:szCs w:val="24"/>
        </w:rPr>
        <w:t xml:space="preserve">% ukupne vrijednosti poljoprivredne proizvodnje, ostvarila je rast vrijednosti proizvodnje od </w:t>
      </w:r>
      <w:r w:rsidRPr="00BA42AE">
        <w:rPr>
          <w:rFonts w:eastAsiaTheme="minorHAnsi"/>
          <w:sz w:val="24"/>
          <w:szCs w:val="24"/>
        </w:rPr>
        <w:lastRenderedPageBreak/>
        <w:t>1</w:t>
      </w:r>
      <w:r>
        <w:rPr>
          <w:rFonts w:eastAsiaTheme="minorHAnsi"/>
          <w:sz w:val="24"/>
          <w:szCs w:val="24"/>
        </w:rPr>
        <w:t>2</w:t>
      </w:r>
      <w:r w:rsidRPr="00BA42AE">
        <w:rPr>
          <w:rFonts w:eastAsiaTheme="minorHAnsi"/>
          <w:sz w:val="24"/>
          <w:szCs w:val="24"/>
        </w:rPr>
        <w:t>,</w:t>
      </w:r>
      <w:r>
        <w:rPr>
          <w:rFonts w:eastAsiaTheme="minorHAnsi"/>
          <w:sz w:val="24"/>
          <w:szCs w:val="24"/>
        </w:rPr>
        <w:t>1</w:t>
      </w:r>
      <w:r w:rsidRPr="00BA42AE">
        <w:rPr>
          <w:rFonts w:eastAsiaTheme="minorHAnsi"/>
          <w:sz w:val="24"/>
          <w:szCs w:val="24"/>
        </w:rPr>
        <w:t xml:space="preserve">%. Za razliku od biljne proizvodnje vrijednost proizvodnje stočarstva </w:t>
      </w:r>
      <w:r>
        <w:rPr>
          <w:rFonts w:eastAsiaTheme="minorHAnsi"/>
          <w:sz w:val="24"/>
          <w:szCs w:val="24"/>
        </w:rPr>
        <w:t>u odnosu na 2023.</w:t>
      </w:r>
      <w:r w:rsidRPr="00BA42AE">
        <w:rPr>
          <w:rFonts w:eastAsiaTheme="minorHAnsi"/>
          <w:sz w:val="24"/>
          <w:szCs w:val="24"/>
        </w:rPr>
        <w:t xml:space="preserve"> </w:t>
      </w:r>
      <w:r>
        <w:rPr>
          <w:rFonts w:eastAsiaTheme="minorHAnsi"/>
          <w:sz w:val="24"/>
          <w:szCs w:val="24"/>
        </w:rPr>
        <w:t xml:space="preserve">bila je veća </w:t>
      </w:r>
      <w:r w:rsidRPr="00BA42AE">
        <w:rPr>
          <w:rFonts w:eastAsiaTheme="minorHAnsi"/>
          <w:sz w:val="24"/>
          <w:szCs w:val="24"/>
        </w:rPr>
        <w:t xml:space="preserve">za </w:t>
      </w:r>
      <w:r>
        <w:rPr>
          <w:rFonts w:eastAsiaTheme="minorHAnsi"/>
          <w:sz w:val="24"/>
          <w:szCs w:val="24"/>
        </w:rPr>
        <w:t>5</w:t>
      </w:r>
      <w:r w:rsidRPr="00BA42AE">
        <w:rPr>
          <w:rFonts w:eastAsiaTheme="minorHAnsi"/>
          <w:sz w:val="24"/>
          <w:szCs w:val="24"/>
        </w:rPr>
        <w:t>%</w:t>
      </w:r>
      <w:r>
        <w:rPr>
          <w:rFonts w:eastAsiaTheme="minorHAnsi"/>
          <w:sz w:val="24"/>
          <w:szCs w:val="24"/>
        </w:rPr>
        <w:t>,</w:t>
      </w:r>
      <w:r w:rsidRPr="002F103F">
        <w:t xml:space="preserve"> </w:t>
      </w:r>
      <w:r w:rsidRPr="002F103F">
        <w:rPr>
          <w:rFonts w:eastAsiaTheme="minorHAnsi"/>
          <w:sz w:val="24"/>
          <w:szCs w:val="24"/>
        </w:rPr>
        <w:t xml:space="preserve">što upućuje na nastavak strukturnih izazova u stočarstvu unatoč rastu ukupne </w:t>
      </w:r>
      <w:r w:rsidRPr="00E01901">
        <w:rPr>
          <w:sz w:val="24"/>
          <w:szCs w:val="24"/>
        </w:rPr>
        <w:t xml:space="preserve">proizvodnje. Nadalje, </w:t>
      </w:r>
      <w:r>
        <w:rPr>
          <w:sz w:val="24"/>
          <w:szCs w:val="24"/>
        </w:rPr>
        <w:t>p</w:t>
      </w:r>
      <w:r w:rsidRPr="00E01901">
        <w:rPr>
          <w:sz w:val="24"/>
          <w:szCs w:val="24"/>
        </w:rPr>
        <w:t>rema podacima iz Upisnika poljoprivrednika i Upisnika obiteljskih poljoprivrednih gospodarstava na dan 31. prosinca 2024. bilo je upisano 161.227 poljoprivrednika. Od njih je najviše OPG-ova, 118.859 ili 73,7% od ukupnog broja poljoprivrednika. Zbog procesa usklađivanja OPG-ova s odredbama Zakona o obiteljskom poljoprivrednom gospodarstvu</w:t>
      </w:r>
      <w:r>
        <w:rPr>
          <w:sz w:val="24"/>
          <w:szCs w:val="24"/>
        </w:rPr>
        <w:t xml:space="preserve"> zabilježeno je</w:t>
      </w:r>
      <w:r w:rsidRPr="00E01901">
        <w:rPr>
          <w:sz w:val="24"/>
          <w:szCs w:val="24"/>
        </w:rPr>
        <w:t xml:space="preserve"> smanjenje njihovog broja, u smislu rasta broja </w:t>
      </w:r>
      <w:proofErr w:type="spellStart"/>
      <w:r>
        <w:rPr>
          <w:sz w:val="24"/>
          <w:szCs w:val="24"/>
        </w:rPr>
        <w:t>samoopskrbnih</w:t>
      </w:r>
      <w:proofErr w:type="spellEnd"/>
      <w:r>
        <w:rPr>
          <w:sz w:val="24"/>
          <w:szCs w:val="24"/>
        </w:rPr>
        <w:t xml:space="preserve"> poljoprivrednih gospodarstava (</w:t>
      </w:r>
      <w:r w:rsidRPr="00E01901">
        <w:rPr>
          <w:sz w:val="24"/>
          <w:szCs w:val="24"/>
        </w:rPr>
        <w:t>SOPG</w:t>
      </w:r>
      <w:r>
        <w:rPr>
          <w:sz w:val="24"/>
          <w:szCs w:val="24"/>
        </w:rPr>
        <w:t xml:space="preserve">) </w:t>
      </w:r>
      <w:r w:rsidRPr="00E01901">
        <w:rPr>
          <w:sz w:val="24"/>
          <w:szCs w:val="24"/>
        </w:rPr>
        <w:t>ili prestanka obavljanja poljoprivredne djelatnosti u organizacijskom obliku OPG/SOPG.</w:t>
      </w:r>
    </w:p>
    <w:p w14:paraId="0DA10D15" w14:textId="77777777" w:rsidR="00FB178A" w:rsidRPr="009544C4" w:rsidRDefault="00FB178A" w:rsidP="00FB178A">
      <w:pPr>
        <w:spacing w:after="240" w:line="276" w:lineRule="auto"/>
        <w:jc w:val="both"/>
        <w:rPr>
          <w:rFonts w:eastAsiaTheme="minorHAnsi"/>
          <w:sz w:val="24"/>
          <w:szCs w:val="24"/>
        </w:rPr>
      </w:pPr>
      <w:r>
        <w:rPr>
          <w:sz w:val="24"/>
          <w:szCs w:val="24"/>
        </w:rPr>
        <w:t>P</w:t>
      </w:r>
      <w:r w:rsidRPr="009544C4">
        <w:rPr>
          <w:sz w:val="24"/>
          <w:szCs w:val="24"/>
        </w:rPr>
        <w:t xml:space="preserve">rema </w:t>
      </w:r>
      <w:r>
        <w:rPr>
          <w:sz w:val="24"/>
          <w:szCs w:val="24"/>
        </w:rPr>
        <w:t>(</w:t>
      </w:r>
      <w:r w:rsidRPr="009544C4">
        <w:rPr>
          <w:sz w:val="24"/>
          <w:szCs w:val="24"/>
        </w:rPr>
        <w:t>privremenim</w:t>
      </w:r>
      <w:r>
        <w:rPr>
          <w:sz w:val="24"/>
          <w:szCs w:val="24"/>
        </w:rPr>
        <w:t>)</w:t>
      </w:r>
      <w:r w:rsidRPr="009544C4">
        <w:rPr>
          <w:sz w:val="24"/>
          <w:szCs w:val="24"/>
        </w:rPr>
        <w:t xml:space="preserve"> podacima EUROSTAT-a, produktivnost rada u poljoprivredi, mjerena faktorskim dohotkom po godišnjoj jedinici rada (GJR), u Hrvatskoj je u 2024. iznosila 8.091 eura što je za 22% više u odnosu na početnu vrijednost (2019.) te je za 6,06% veća u odnosu na 2023. (7.600 eura). Ovo povećanje rezultat je povećanja fizičkog obujma poljoprivredne proizvodnje za 6,6% tijekom 2024. te povećanja cijena poljoprivrednih proizvoda za 2%, posebice biljne proizvodnje za 5,7%.</w:t>
      </w:r>
      <w:r w:rsidRPr="009544C4">
        <w:rPr>
          <w:rFonts w:eastAsiaTheme="minorHAnsi"/>
          <w:sz w:val="24"/>
          <w:szCs w:val="24"/>
        </w:rPr>
        <w:t xml:space="preserve"> </w:t>
      </w:r>
      <w:r w:rsidRPr="009544C4">
        <w:rPr>
          <w:sz w:val="24"/>
          <w:szCs w:val="24"/>
        </w:rPr>
        <w:t xml:space="preserve">Unatoč pozitivnom trendu, Hrvatska se i dalje nalazi u grupi od 9 država članica koje ostvaruju manje od polovine prosječne produktivnosti rada u poljoprivredi EU-a, koja je u 2024. porasla za 1,44% u odnosu na 2023. te je iznosila 21.287 eura. </w:t>
      </w:r>
      <w:r w:rsidRPr="009544C4">
        <w:rPr>
          <w:rFonts w:eastAsiaTheme="minorHAnsi"/>
          <w:sz w:val="24"/>
          <w:szCs w:val="24"/>
        </w:rPr>
        <w:t xml:space="preserve">Manju produktivnost rada u poljoprivredi od Hrvatske </w:t>
      </w:r>
      <w:r>
        <w:rPr>
          <w:rFonts w:eastAsiaTheme="minorHAnsi"/>
          <w:sz w:val="24"/>
          <w:szCs w:val="24"/>
        </w:rPr>
        <w:t xml:space="preserve">u 2024. </w:t>
      </w:r>
      <w:r w:rsidRPr="009544C4">
        <w:rPr>
          <w:rFonts w:eastAsiaTheme="minorHAnsi"/>
          <w:sz w:val="24"/>
          <w:szCs w:val="24"/>
        </w:rPr>
        <w:t xml:space="preserve">imale su </w:t>
      </w:r>
      <w:r>
        <w:rPr>
          <w:rFonts w:eastAsiaTheme="minorHAnsi"/>
          <w:sz w:val="24"/>
          <w:szCs w:val="24"/>
        </w:rPr>
        <w:t xml:space="preserve">samo </w:t>
      </w:r>
      <w:r w:rsidRPr="009544C4">
        <w:rPr>
          <w:rFonts w:eastAsiaTheme="minorHAnsi"/>
          <w:sz w:val="24"/>
          <w:szCs w:val="24"/>
        </w:rPr>
        <w:t xml:space="preserve">Malta, Rumunjska i Slovenija.  </w:t>
      </w:r>
    </w:p>
    <w:p w14:paraId="767F91BA" w14:textId="77777777" w:rsidR="00FB178A" w:rsidRDefault="00FB178A" w:rsidP="00FB178A">
      <w:pPr>
        <w:spacing w:after="240" w:line="276" w:lineRule="auto"/>
        <w:jc w:val="both"/>
        <w:rPr>
          <w:rFonts w:eastAsiaTheme="minorHAnsi"/>
          <w:sz w:val="24"/>
          <w:szCs w:val="24"/>
        </w:rPr>
      </w:pPr>
      <w:r>
        <w:rPr>
          <w:rFonts w:eastAsiaTheme="minorHAnsi"/>
          <w:sz w:val="24"/>
          <w:szCs w:val="24"/>
        </w:rPr>
        <w:t>U pogledu vanjskotrgovinske razmjene, p</w:t>
      </w:r>
      <w:r w:rsidRPr="00401344">
        <w:rPr>
          <w:rFonts w:eastAsiaTheme="minorHAnsi"/>
          <w:sz w:val="24"/>
          <w:szCs w:val="24"/>
        </w:rPr>
        <w:t xml:space="preserve">rema podacima DZS-a, </w:t>
      </w:r>
      <w:r>
        <w:rPr>
          <w:rFonts w:eastAsiaTheme="minorHAnsi"/>
          <w:sz w:val="24"/>
          <w:szCs w:val="24"/>
        </w:rPr>
        <w:t>tijekom</w:t>
      </w:r>
      <w:r w:rsidRPr="00401344">
        <w:rPr>
          <w:rFonts w:eastAsiaTheme="minorHAnsi"/>
          <w:sz w:val="24"/>
          <w:szCs w:val="24"/>
        </w:rPr>
        <w:t xml:space="preserve"> 2024. </w:t>
      </w:r>
      <w:r>
        <w:rPr>
          <w:rFonts w:eastAsiaTheme="minorHAnsi"/>
          <w:sz w:val="24"/>
          <w:szCs w:val="24"/>
        </w:rPr>
        <w:t xml:space="preserve">u Hrvatsku je </w:t>
      </w:r>
      <w:r w:rsidRPr="00D1465B">
        <w:rPr>
          <w:rFonts w:eastAsiaTheme="minorHAnsi"/>
          <w:sz w:val="24"/>
          <w:szCs w:val="24"/>
        </w:rPr>
        <w:t>uvezeno poljoprivredno-prehrambenih proizvoda u vrijednosti od 6,5 milijarda eura</w:t>
      </w:r>
      <w:r>
        <w:rPr>
          <w:rFonts w:eastAsiaTheme="minorHAnsi"/>
          <w:sz w:val="24"/>
          <w:szCs w:val="24"/>
        </w:rPr>
        <w:t xml:space="preserve"> (5,9 milijardi eura u 2023.)</w:t>
      </w:r>
      <w:r w:rsidRPr="00D1465B">
        <w:rPr>
          <w:rFonts w:eastAsiaTheme="minorHAnsi"/>
          <w:sz w:val="24"/>
          <w:szCs w:val="24"/>
        </w:rPr>
        <w:t>, a izvezeno ih je u vrijednosti od 3,9 milijardi eura</w:t>
      </w:r>
      <w:r>
        <w:rPr>
          <w:rFonts w:eastAsiaTheme="minorHAnsi"/>
          <w:sz w:val="24"/>
          <w:szCs w:val="24"/>
        </w:rPr>
        <w:t xml:space="preserve"> (isto kao i u  2023.)</w:t>
      </w:r>
      <w:r w:rsidRPr="00D1465B">
        <w:rPr>
          <w:rFonts w:eastAsiaTheme="minorHAnsi"/>
          <w:sz w:val="24"/>
          <w:szCs w:val="24"/>
        </w:rPr>
        <w:t>, čime je ostvaren</w:t>
      </w:r>
      <w:r>
        <w:rPr>
          <w:rFonts w:eastAsiaTheme="minorHAnsi"/>
          <w:sz w:val="24"/>
          <w:szCs w:val="24"/>
        </w:rPr>
        <w:t xml:space="preserve"> </w:t>
      </w:r>
      <w:r w:rsidRPr="00D1465B">
        <w:rPr>
          <w:rFonts w:eastAsiaTheme="minorHAnsi"/>
          <w:sz w:val="24"/>
          <w:szCs w:val="24"/>
        </w:rPr>
        <w:t>deficit od 2,6 milijardi eura</w:t>
      </w:r>
      <w:r>
        <w:rPr>
          <w:rFonts w:eastAsiaTheme="minorHAnsi"/>
          <w:sz w:val="24"/>
          <w:szCs w:val="24"/>
        </w:rPr>
        <w:t>, uz porast od 30% u odnosu na 2023</w:t>
      </w:r>
      <w:r w:rsidRPr="00D1465B">
        <w:rPr>
          <w:rFonts w:eastAsiaTheme="minorHAnsi"/>
          <w:sz w:val="24"/>
          <w:szCs w:val="24"/>
        </w:rPr>
        <w:t>.</w:t>
      </w:r>
      <w:r>
        <w:rPr>
          <w:rFonts w:eastAsiaTheme="minorHAnsi"/>
          <w:sz w:val="24"/>
          <w:szCs w:val="24"/>
        </w:rPr>
        <w:t xml:space="preserve"> (2 milijarde eura). </w:t>
      </w:r>
      <w:r w:rsidRPr="00D1465B">
        <w:rPr>
          <w:rFonts w:eastAsiaTheme="minorHAnsi"/>
          <w:sz w:val="24"/>
          <w:szCs w:val="24"/>
        </w:rPr>
        <w:t>U ukupnoj bilanci robne razmjene Hrvatske, bilanca vanjskotrgovinske razmjene poljoprivredno-prehrambenih proizvoda u 2024. godini činila je 12,9%.</w:t>
      </w:r>
      <w:r>
        <w:rPr>
          <w:rFonts w:eastAsiaTheme="minorHAnsi"/>
          <w:sz w:val="24"/>
          <w:szCs w:val="24"/>
        </w:rPr>
        <w:t xml:space="preserve"> (12% u 2023.)</w:t>
      </w:r>
      <w:r w:rsidRPr="00D1465B">
        <w:rPr>
          <w:rFonts w:eastAsiaTheme="minorHAnsi"/>
          <w:sz w:val="24"/>
          <w:szCs w:val="24"/>
        </w:rPr>
        <w:t xml:space="preserve"> Pokrivenost uvoza izvozom poljoprivredno prehrambenih proizvoda </w:t>
      </w:r>
      <w:r>
        <w:rPr>
          <w:rFonts w:eastAsiaTheme="minorHAnsi"/>
          <w:sz w:val="24"/>
          <w:szCs w:val="24"/>
        </w:rPr>
        <w:t xml:space="preserve">je </w:t>
      </w:r>
      <w:r w:rsidRPr="00D1465B">
        <w:rPr>
          <w:rFonts w:eastAsiaTheme="minorHAnsi"/>
          <w:sz w:val="24"/>
          <w:szCs w:val="24"/>
        </w:rPr>
        <w:t xml:space="preserve">u 2024. </w:t>
      </w:r>
      <w:r>
        <w:rPr>
          <w:rFonts w:eastAsiaTheme="minorHAnsi"/>
          <w:sz w:val="24"/>
          <w:szCs w:val="24"/>
        </w:rPr>
        <w:t xml:space="preserve">smanjena te je </w:t>
      </w:r>
      <w:r w:rsidRPr="00D1465B">
        <w:rPr>
          <w:rFonts w:eastAsiaTheme="minorHAnsi"/>
          <w:sz w:val="24"/>
          <w:szCs w:val="24"/>
        </w:rPr>
        <w:t>iznosila 59,5%</w:t>
      </w:r>
      <w:r>
        <w:rPr>
          <w:rFonts w:eastAsiaTheme="minorHAnsi"/>
          <w:sz w:val="24"/>
          <w:szCs w:val="24"/>
        </w:rPr>
        <w:t xml:space="preserve"> (65,9% u 2023.), no i dalje je</w:t>
      </w:r>
      <w:r w:rsidRPr="00D1465B">
        <w:rPr>
          <w:rFonts w:eastAsiaTheme="minorHAnsi"/>
          <w:sz w:val="24"/>
          <w:szCs w:val="24"/>
        </w:rPr>
        <w:t xml:space="preserve"> veća </w:t>
      </w:r>
      <w:r w:rsidRPr="00C31E0E">
        <w:rPr>
          <w:rFonts w:eastAsiaTheme="minorHAnsi"/>
          <w:sz w:val="24"/>
          <w:szCs w:val="24"/>
        </w:rPr>
        <w:t>za 4,0 postotna boda</w:t>
      </w:r>
      <w:r w:rsidRPr="00C31E0E" w:rsidDel="00C31E0E">
        <w:rPr>
          <w:rFonts w:eastAsiaTheme="minorHAnsi"/>
          <w:sz w:val="24"/>
          <w:szCs w:val="24"/>
        </w:rPr>
        <w:t xml:space="preserve"> </w:t>
      </w:r>
      <w:r w:rsidRPr="00D1465B">
        <w:rPr>
          <w:rFonts w:eastAsiaTheme="minorHAnsi"/>
          <w:sz w:val="24"/>
          <w:szCs w:val="24"/>
        </w:rPr>
        <w:t>od pokrivenosti uvoza izvozom ostalih proizvoda vanjskotrgovinske razmjene.</w:t>
      </w:r>
      <w:r>
        <w:rPr>
          <w:rFonts w:eastAsiaTheme="minorHAnsi"/>
          <w:sz w:val="24"/>
          <w:szCs w:val="24"/>
        </w:rPr>
        <w:t xml:space="preserve"> </w:t>
      </w:r>
    </w:p>
    <w:p w14:paraId="17068821" w14:textId="77777777" w:rsidR="00FB178A" w:rsidRDefault="00FB178A" w:rsidP="00FB178A">
      <w:pPr>
        <w:spacing w:after="240" w:line="276" w:lineRule="auto"/>
        <w:jc w:val="both"/>
        <w:rPr>
          <w:rFonts w:eastAsiaTheme="minorHAnsi"/>
          <w:sz w:val="24"/>
          <w:szCs w:val="24"/>
        </w:rPr>
      </w:pPr>
      <w:r w:rsidRPr="008541AF">
        <w:rPr>
          <w:rFonts w:eastAsiaTheme="minorHAnsi"/>
          <w:sz w:val="24"/>
          <w:szCs w:val="24"/>
        </w:rPr>
        <w:t>U 2024.</w:t>
      </w:r>
      <w:r>
        <w:rPr>
          <w:rFonts w:eastAsiaTheme="minorHAnsi"/>
          <w:sz w:val="24"/>
          <w:szCs w:val="24"/>
        </w:rPr>
        <w:t xml:space="preserve"> prema podacima Upisnika ekoloških subjekata</w:t>
      </w:r>
      <w:r w:rsidRPr="008541AF">
        <w:rPr>
          <w:rFonts w:eastAsiaTheme="minorHAnsi"/>
          <w:sz w:val="24"/>
          <w:szCs w:val="24"/>
        </w:rPr>
        <w:t xml:space="preserve"> broj ekoloških subjekata poljoprivrednih proizvođača je </w:t>
      </w:r>
      <w:r>
        <w:rPr>
          <w:rFonts w:eastAsiaTheme="minorHAnsi"/>
          <w:sz w:val="24"/>
          <w:szCs w:val="24"/>
        </w:rPr>
        <w:t xml:space="preserve">iznosio 7.586 subjekata (375 novih) i neznatno je </w:t>
      </w:r>
      <w:r w:rsidRPr="008541AF">
        <w:rPr>
          <w:rFonts w:eastAsiaTheme="minorHAnsi"/>
          <w:sz w:val="24"/>
          <w:szCs w:val="24"/>
        </w:rPr>
        <w:t>smanjen</w:t>
      </w:r>
      <w:r>
        <w:rPr>
          <w:rFonts w:eastAsiaTheme="minorHAnsi"/>
          <w:sz w:val="24"/>
          <w:szCs w:val="24"/>
        </w:rPr>
        <w:t xml:space="preserve"> (-1%)</w:t>
      </w:r>
      <w:r w:rsidRPr="008541AF">
        <w:rPr>
          <w:rFonts w:eastAsiaTheme="minorHAnsi"/>
          <w:sz w:val="24"/>
          <w:szCs w:val="24"/>
        </w:rPr>
        <w:t xml:space="preserve"> u odnosu na 2023.</w:t>
      </w:r>
      <w:r>
        <w:rPr>
          <w:rFonts w:eastAsiaTheme="minorHAnsi"/>
          <w:sz w:val="24"/>
          <w:szCs w:val="24"/>
        </w:rPr>
        <w:t xml:space="preserve"> godinu. S druge strane</w:t>
      </w:r>
      <w:r w:rsidRPr="008541AF">
        <w:rPr>
          <w:rFonts w:eastAsiaTheme="minorHAnsi"/>
          <w:sz w:val="24"/>
          <w:szCs w:val="24"/>
        </w:rPr>
        <w:t>, površine pod ekološkom proizvodnjom</w:t>
      </w:r>
      <w:r>
        <w:rPr>
          <w:rFonts w:eastAsiaTheme="minorHAnsi"/>
          <w:sz w:val="24"/>
          <w:szCs w:val="24"/>
        </w:rPr>
        <w:t>,</w:t>
      </w:r>
      <w:r w:rsidRPr="008541AF">
        <w:rPr>
          <w:rFonts w:eastAsiaTheme="minorHAnsi"/>
          <w:sz w:val="24"/>
          <w:szCs w:val="24"/>
        </w:rPr>
        <w:t xml:space="preserve"> kao i broj stoke koja se uzgaja na ekološki način su povećane za 10,3%. </w:t>
      </w:r>
      <w:r w:rsidRPr="008513DD">
        <w:rPr>
          <w:rFonts w:eastAsiaTheme="minorHAnsi"/>
          <w:sz w:val="24"/>
          <w:szCs w:val="24"/>
        </w:rPr>
        <w:t xml:space="preserve">U </w:t>
      </w:r>
      <w:r>
        <w:rPr>
          <w:rFonts w:eastAsiaTheme="minorHAnsi"/>
          <w:sz w:val="24"/>
          <w:szCs w:val="24"/>
        </w:rPr>
        <w:t>okviru</w:t>
      </w:r>
      <w:r w:rsidRPr="008513DD">
        <w:rPr>
          <w:rFonts w:eastAsiaTheme="minorHAnsi"/>
          <w:sz w:val="24"/>
          <w:szCs w:val="24"/>
        </w:rPr>
        <w:t xml:space="preserve"> Zajedničke poljoprivredne politike</w:t>
      </w:r>
      <w:r>
        <w:rPr>
          <w:rFonts w:eastAsiaTheme="minorHAnsi"/>
          <w:sz w:val="24"/>
          <w:szCs w:val="24"/>
        </w:rPr>
        <w:t>,</w:t>
      </w:r>
      <w:r w:rsidRPr="008513DD">
        <w:rPr>
          <w:rFonts w:eastAsiaTheme="minorHAnsi"/>
          <w:sz w:val="24"/>
          <w:szCs w:val="24"/>
        </w:rPr>
        <w:t xml:space="preserve"> potpora dohotku poljoprivrednika uvjetovana je ispunjavanjem propisanih dobrih poljoprivrednih i okolišnih praksi (GAEC i SMR), dok su im dodatne potpore na raspolaganju kroz eko-sheme i intervencije ruralnog razvoja</w:t>
      </w:r>
      <w:r>
        <w:rPr>
          <w:rFonts w:eastAsiaTheme="minorHAnsi"/>
          <w:sz w:val="24"/>
          <w:szCs w:val="24"/>
        </w:rPr>
        <w:t>,</w:t>
      </w:r>
      <w:r w:rsidRPr="008513DD">
        <w:rPr>
          <w:rFonts w:eastAsiaTheme="minorHAnsi"/>
          <w:sz w:val="24"/>
          <w:szCs w:val="24"/>
        </w:rPr>
        <w:t xml:space="preserve"> ako se dobrovoljno obvežu na provedbu strožih okolišnih standarda ili primjenu praksi kojima se unapređuje dobrobit životinja.</w:t>
      </w:r>
    </w:p>
    <w:p w14:paraId="70A121B1" w14:textId="77777777" w:rsidR="00FB178A" w:rsidRDefault="00FB178A" w:rsidP="00FB178A">
      <w:pPr>
        <w:spacing w:after="240" w:line="276" w:lineRule="auto"/>
        <w:jc w:val="both"/>
        <w:rPr>
          <w:rFonts w:eastAsiaTheme="minorHAnsi"/>
          <w:sz w:val="24"/>
          <w:szCs w:val="24"/>
        </w:rPr>
      </w:pPr>
      <w:r w:rsidRPr="008541AF">
        <w:rPr>
          <w:rFonts w:eastAsiaTheme="minorHAnsi"/>
          <w:sz w:val="24"/>
          <w:szCs w:val="24"/>
        </w:rPr>
        <w:t xml:space="preserve">Dodatno, </w:t>
      </w:r>
      <w:r>
        <w:rPr>
          <w:rFonts w:eastAsiaTheme="minorHAnsi"/>
          <w:sz w:val="24"/>
          <w:szCs w:val="24"/>
        </w:rPr>
        <w:t>n</w:t>
      </w:r>
      <w:r w:rsidRPr="00C43A8E">
        <w:rPr>
          <w:rFonts w:eastAsiaTheme="minorHAnsi"/>
          <w:sz w:val="24"/>
          <w:szCs w:val="24"/>
        </w:rPr>
        <w:t>a razini Europske unije u 2024. registrirana su četiri nova hrvatska poljoprivredna i prehrambena proizvoda</w:t>
      </w:r>
      <w:r>
        <w:rPr>
          <w:rFonts w:eastAsiaTheme="minorHAnsi"/>
          <w:sz w:val="24"/>
          <w:szCs w:val="24"/>
        </w:rPr>
        <w:t xml:space="preserve"> (</w:t>
      </w:r>
      <w:proofErr w:type="spellStart"/>
      <w:r>
        <w:rPr>
          <w:rFonts w:eastAsiaTheme="minorHAnsi"/>
          <w:sz w:val="24"/>
          <w:szCs w:val="24"/>
        </w:rPr>
        <w:t>Ludbreški</w:t>
      </w:r>
      <w:proofErr w:type="spellEnd"/>
      <w:r>
        <w:rPr>
          <w:rFonts w:eastAsiaTheme="minorHAnsi"/>
          <w:sz w:val="24"/>
          <w:szCs w:val="24"/>
        </w:rPr>
        <w:t xml:space="preserve"> hren, Vrbovečka pera, Istarski med i Dalmatinski med)</w:t>
      </w:r>
      <w:r w:rsidRPr="00C43A8E">
        <w:rPr>
          <w:rFonts w:eastAsiaTheme="minorHAnsi"/>
          <w:sz w:val="24"/>
          <w:szCs w:val="24"/>
        </w:rPr>
        <w:t xml:space="preserve"> s oznakama kvalitete (zaštićena oznaka izvornosti, zaštićena oznaka zemljopisnog podrijetla i </w:t>
      </w:r>
      <w:r w:rsidRPr="00C43A8E">
        <w:rPr>
          <w:rFonts w:eastAsiaTheme="minorHAnsi"/>
          <w:sz w:val="24"/>
          <w:szCs w:val="24"/>
        </w:rPr>
        <w:lastRenderedPageBreak/>
        <w:t>zajamčeno tradicionalni specijalitet), čime se dodatno jača prepoznatljivost i tržišna vrijednost domaće proizvodnje</w:t>
      </w:r>
      <w:r>
        <w:rPr>
          <w:rFonts w:eastAsiaTheme="minorHAnsi"/>
          <w:sz w:val="24"/>
          <w:szCs w:val="24"/>
        </w:rPr>
        <w:t>. U registru zaštićenih naziva poljoprivrednih proizvoda nalazi se ukupno 51 proizvod, dok je postupak registracije krajem 2024. još bio u tijeku za 4 proizvoda (Istarski ovčji sir, Čepinski kupus, Banov kesten med, Med hrvatskog primorja). Također, u 2024.</w:t>
      </w:r>
      <w:r w:rsidRPr="00E80526">
        <w:rPr>
          <w:rFonts w:eastAsiaTheme="minorHAnsi"/>
          <w:sz w:val="24"/>
          <w:szCs w:val="24"/>
        </w:rPr>
        <w:t xml:space="preserve"> nastavljena je provedba mjera suzbijanja i sprječavanja širenja afričke svinjske kuge. Kako bi se </w:t>
      </w:r>
      <w:r>
        <w:rPr>
          <w:rFonts w:eastAsiaTheme="minorHAnsi"/>
          <w:sz w:val="24"/>
          <w:szCs w:val="24"/>
        </w:rPr>
        <w:t>ublažili negativni utjecaji tih</w:t>
      </w:r>
      <w:r w:rsidRPr="00E80526">
        <w:rPr>
          <w:rFonts w:eastAsiaTheme="minorHAnsi"/>
          <w:sz w:val="24"/>
          <w:szCs w:val="24"/>
        </w:rPr>
        <w:t xml:space="preserve"> mjera na prihode svinjogojskog sektora donesen je niz mjera za koje je isplaćeno 19,3 milijuna eura. </w:t>
      </w:r>
    </w:p>
    <w:p w14:paraId="70967CFB" w14:textId="77777777" w:rsidR="00FB178A" w:rsidRDefault="00FB178A" w:rsidP="00FB178A">
      <w:pPr>
        <w:spacing w:after="240" w:line="276" w:lineRule="auto"/>
        <w:jc w:val="both"/>
        <w:rPr>
          <w:sz w:val="24"/>
          <w:szCs w:val="24"/>
        </w:rPr>
      </w:pPr>
      <w:r w:rsidRPr="0004221B">
        <w:rPr>
          <w:rFonts w:eastAsiaTheme="minorHAnsi"/>
          <w:sz w:val="24"/>
          <w:szCs w:val="24"/>
        </w:rPr>
        <w:t>Hrvatska je intenzivirala mjere za jačanje otpornosti i produktivnosti poljoprivrednih</w:t>
      </w:r>
      <w:r w:rsidRPr="00B529C7">
        <w:rPr>
          <w:sz w:val="24"/>
          <w:szCs w:val="24"/>
        </w:rPr>
        <w:t xml:space="preserve"> gospodarstava, uz poseban naglasak na prilagodbu klimatskim promjenama. U okviru</w:t>
      </w:r>
      <w:r>
        <w:rPr>
          <w:sz w:val="24"/>
          <w:szCs w:val="24"/>
        </w:rPr>
        <w:t xml:space="preserve"> </w:t>
      </w:r>
      <w:r w:rsidRPr="00D46FC7">
        <w:rPr>
          <w:sz w:val="24"/>
          <w:szCs w:val="24"/>
        </w:rPr>
        <w:t>mjer</w:t>
      </w:r>
      <w:r>
        <w:rPr>
          <w:sz w:val="24"/>
          <w:szCs w:val="24"/>
        </w:rPr>
        <w:t>a</w:t>
      </w:r>
      <w:r w:rsidRPr="00D46FC7">
        <w:rPr>
          <w:sz w:val="24"/>
          <w:szCs w:val="24"/>
        </w:rPr>
        <w:t xml:space="preserve"> Zajedničke poljoprivredne politike i Zajedničke </w:t>
      </w:r>
      <w:proofErr w:type="spellStart"/>
      <w:r w:rsidRPr="00D46FC7">
        <w:rPr>
          <w:sz w:val="24"/>
          <w:szCs w:val="24"/>
        </w:rPr>
        <w:t>ribarstvene</w:t>
      </w:r>
      <w:proofErr w:type="spellEnd"/>
      <w:r w:rsidRPr="00D46FC7">
        <w:rPr>
          <w:sz w:val="24"/>
          <w:szCs w:val="24"/>
        </w:rPr>
        <w:t xml:space="preserve"> politike, uključujući sve aktivnosti vezane uz izravna plaćanja, intervencije ruralnog razvoja, sektorske mjere i nacionalne programe potpore</w:t>
      </w:r>
      <w:r>
        <w:rPr>
          <w:sz w:val="24"/>
          <w:szCs w:val="24"/>
        </w:rPr>
        <w:t>, tijekom 2024. sveu</w:t>
      </w:r>
      <w:r w:rsidRPr="00D46FC7">
        <w:rPr>
          <w:sz w:val="24"/>
          <w:szCs w:val="24"/>
        </w:rPr>
        <w:t xml:space="preserve">kupno je zaprimljeno </w:t>
      </w:r>
      <w:r w:rsidRPr="0004221B">
        <w:rPr>
          <w:sz w:val="24"/>
          <w:szCs w:val="24"/>
        </w:rPr>
        <w:t>101.936 zahtjeva</w:t>
      </w:r>
      <w:r w:rsidRPr="00D46FC7">
        <w:rPr>
          <w:sz w:val="24"/>
          <w:szCs w:val="24"/>
        </w:rPr>
        <w:t xml:space="preserve"> za izravne potpore i IAKS mjere</w:t>
      </w:r>
      <w:r>
        <w:rPr>
          <w:sz w:val="24"/>
          <w:szCs w:val="24"/>
        </w:rPr>
        <w:t xml:space="preserve">. Ukupno je </w:t>
      </w:r>
      <w:r w:rsidRPr="00D46FC7">
        <w:rPr>
          <w:sz w:val="24"/>
          <w:szCs w:val="24"/>
        </w:rPr>
        <w:t xml:space="preserve">za proizvodnu godinu </w:t>
      </w:r>
      <w:r>
        <w:rPr>
          <w:sz w:val="24"/>
          <w:szCs w:val="24"/>
        </w:rPr>
        <w:t xml:space="preserve">(2024.) </w:t>
      </w:r>
      <w:r w:rsidRPr="00D46FC7">
        <w:rPr>
          <w:sz w:val="24"/>
          <w:szCs w:val="24"/>
        </w:rPr>
        <w:t xml:space="preserve">isplaćeno </w:t>
      </w:r>
      <w:r w:rsidRPr="0004221B">
        <w:rPr>
          <w:sz w:val="24"/>
          <w:szCs w:val="24"/>
        </w:rPr>
        <w:t>211,7 milijuna eura</w:t>
      </w:r>
      <w:r w:rsidRPr="00315013">
        <w:rPr>
          <w:sz w:val="24"/>
          <w:szCs w:val="24"/>
        </w:rPr>
        <w:t xml:space="preserve"> izravnih plaćanja, dok je za IAKS mjere isplaćeno </w:t>
      </w:r>
      <w:r w:rsidRPr="0004221B">
        <w:rPr>
          <w:sz w:val="24"/>
          <w:szCs w:val="24"/>
        </w:rPr>
        <w:t>139,4 milijuna eura</w:t>
      </w:r>
      <w:r w:rsidRPr="00315013">
        <w:rPr>
          <w:sz w:val="24"/>
          <w:szCs w:val="24"/>
        </w:rPr>
        <w:t>, uključujući 114,7 milijuna eura EU sredstava i 24,7 milijuna eura iz nacionalnih izvora</w:t>
      </w:r>
      <w:r>
        <w:rPr>
          <w:sz w:val="24"/>
          <w:szCs w:val="24"/>
        </w:rPr>
        <w:t xml:space="preserve">. </w:t>
      </w:r>
      <w:r w:rsidRPr="000B5AEE">
        <w:rPr>
          <w:sz w:val="24"/>
          <w:szCs w:val="24"/>
        </w:rPr>
        <w:t xml:space="preserve">U okviru Programa ruralnog razvoja isplaćeno je 145,1 milijun eura, a tijekom </w:t>
      </w:r>
      <w:r>
        <w:rPr>
          <w:sz w:val="24"/>
          <w:szCs w:val="24"/>
        </w:rPr>
        <w:t>2024.</w:t>
      </w:r>
      <w:r w:rsidRPr="000B5AEE">
        <w:rPr>
          <w:sz w:val="24"/>
          <w:szCs w:val="24"/>
        </w:rPr>
        <w:t xml:space="preserve"> obrađeno je više od </w:t>
      </w:r>
      <w:r w:rsidRPr="00D71753">
        <w:rPr>
          <w:sz w:val="24"/>
          <w:szCs w:val="24"/>
        </w:rPr>
        <w:t>10 000</w:t>
      </w:r>
      <w:r>
        <w:rPr>
          <w:sz w:val="24"/>
          <w:szCs w:val="24"/>
        </w:rPr>
        <w:t xml:space="preserve"> </w:t>
      </w:r>
      <w:r w:rsidRPr="000B5AEE">
        <w:rPr>
          <w:sz w:val="24"/>
          <w:szCs w:val="24"/>
        </w:rPr>
        <w:t xml:space="preserve">zahtjeva po posljednjem otvorenom natječaju. U </w:t>
      </w:r>
      <w:r>
        <w:rPr>
          <w:sz w:val="24"/>
          <w:szCs w:val="24"/>
        </w:rPr>
        <w:t>okvir</w:t>
      </w:r>
      <w:r w:rsidRPr="000B5AEE">
        <w:rPr>
          <w:sz w:val="24"/>
          <w:szCs w:val="24"/>
        </w:rPr>
        <w:t xml:space="preserve">u ne-IAKS mjera ruralnog razvoja </w:t>
      </w:r>
      <w:r>
        <w:rPr>
          <w:sz w:val="24"/>
          <w:szCs w:val="24"/>
        </w:rPr>
        <w:t xml:space="preserve">tijekom 2024. </w:t>
      </w:r>
      <w:r w:rsidRPr="000B5AEE">
        <w:rPr>
          <w:sz w:val="24"/>
          <w:szCs w:val="24"/>
        </w:rPr>
        <w:t>odobreno je 11.275 zahtjeva s ukupnim iznosom potpore od 112 milijuna eura, dok je za financijske instrumente u poljoprivredi, kroz posrednike HAMAG-BICRO i HBOR, podržano 199 investicijskih projekata i 66 zajmova za obrtna sredstva, ukupne vrijednosti 19,3 milijuna eura.</w:t>
      </w:r>
    </w:p>
    <w:p w14:paraId="5845A8C9" w14:textId="77777777" w:rsidR="00FB178A" w:rsidRDefault="00FB178A" w:rsidP="00FB178A">
      <w:pPr>
        <w:spacing w:after="240" w:line="276" w:lineRule="auto"/>
        <w:jc w:val="both"/>
        <w:rPr>
          <w:sz w:val="24"/>
          <w:szCs w:val="24"/>
        </w:rPr>
      </w:pPr>
      <w:r>
        <w:rPr>
          <w:sz w:val="24"/>
          <w:szCs w:val="24"/>
        </w:rPr>
        <w:t>Tijekom 2024. nastavljena je p</w:t>
      </w:r>
      <w:r w:rsidRPr="00DF6BF3">
        <w:rPr>
          <w:sz w:val="24"/>
          <w:szCs w:val="24"/>
        </w:rPr>
        <w:t>rovedba Strateškog plana Zajedničke poljoprivredne politike 2023.</w:t>
      </w:r>
      <w:r>
        <w:rPr>
          <w:sz w:val="24"/>
          <w:szCs w:val="24"/>
        </w:rPr>
        <w:t>-</w:t>
      </w:r>
      <w:r w:rsidRPr="00DF6BF3">
        <w:rPr>
          <w:sz w:val="24"/>
          <w:szCs w:val="24"/>
        </w:rPr>
        <w:t xml:space="preserve">2027. </w:t>
      </w:r>
      <w:r>
        <w:rPr>
          <w:sz w:val="24"/>
          <w:szCs w:val="24"/>
        </w:rPr>
        <w:t>U okviru Strateškog plana o</w:t>
      </w:r>
      <w:r w:rsidRPr="00DF6BF3">
        <w:rPr>
          <w:sz w:val="24"/>
          <w:szCs w:val="24"/>
        </w:rPr>
        <w:t>bjavljeno je 25 natječaja ukupne vrijednosti 442,9 milijuna eura</w:t>
      </w:r>
      <w:r>
        <w:rPr>
          <w:sz w:val="24"/>
          <w:szCs w:val="24"/>
        </w:rPr>
        <w:t xml:space="preserve"> bespovratnih sredstava. </w:t>
      </w:r>
      <w:r w:rsidRPr="000679D8">
        <w:rPr>
          <w:sz w:val="24"/>
          <w:szCs w:val="24"/>
        </w:rPr>
        <w:t>Od toga 9 natječaja objavljeno je u 2023.</w:t>
      </w:r>
      <w:r>
        <w:rPr>
          <w:sz w:val="24"/>
          <w:szCs w:val="24"/>
        </w:rPr>
        <w:t xml:space="preserve"> </w:t>
      </w:r>
      <w:r w:rsidRPr="000679D8">
        <w:rPr>
          <w:sz w:val="24"/>
          <w:szCs w:val="24"/>
        </w:rPr>
        <w:t>u vrijednosti od 235 milijuna eura, a u 2024. Po objavljenim natječajima do konca 2024. zaprimljeno je 16.698 zahtjeva ukupne vrijednosti tražene potpore 711,43 milijuna eura, a odobreno je ukupno 8.449 zahtjeva vrijednosti odobrene potpore od 71,65 milijuna eura</w:t>
      </w:r>
      <w:r>
        <w:rPr>
          <w:sz w:val="24"/>
          <w:szCs w:val="24"/>
        </w:rPr>
        <w:t>. Do kraja</w:t>
      </w:r>
      <w:r w:rsidRPr="00DF6BF3">
        <w:rPr>
          <w:sz w:val="24"/>
          <w:szCs w:val="24"/>
        </w:rPr>
        <w:t xml:space="preserve"> 2024. isplaćeno je 37,5 milijuna eura za ne-IAKS intervencije, pri čemu je najznačajnija bila intervencija </w:t>
      </w:r>
      <w:r>
        <w:rPr>
          <w:sz w:val="24"/>
          <w:szCs w:val="24"/>
        </w:rPr>
        <w:t>(</w:t>
      </w:r>
      <w:r w:rsidRPr="00DF6BF3">
        <w:rPr>
          <w:sz w:val="24"/>
          <w:szCs w:val="24"/>
        </w:rPr>
        <w:t>76.01</w:t>
      </w:r>
      <w:r>
        <w:rPr>
          <w:sz w:val="24"/>
          <w:szCs w:val="24"/>
        </w:rPr>
        <w:t>)</w:t>
      </w:r>
      <w:r w:rsidRPr="00DF6BF3">
        <w:rPr>
          <w:sz w:val="24"/>
          <w:szCs w:val="24"/>
        </w:rPr>
        <w:t xml:space="preserve"> Osiguranje poljoprivredne proizvodnje, za koju je isplaćeno 23,2 milijuna eura kroz 8.149 odobrenih zahtjeva.</w:t>
      </w:r>
      <w:r>
        <w:rPr>
          <w:sz w:val="24"/>
          <w:szCs w:val="24"/>
        </w:rPr>
        <w:t xml:space="preserve"> </w:t>
      </w:r>
    </w:p>
    <w:p w14:paraId="03690DC0" w14:textId="77777777" w:rsidR="00FB178A" w:rsidRPr="0004221B" w:rsidRDefault="00FB178A" w:rsidP="00FB178A">
      <w:pPr>
        <w:spacing w:after="240" w:line="276" w:lineRule="auto"/>
        <w:jc w:val="both"/>
        <w:rPr>
          <w:sz w:val="24"/>
          <w:szCs w:val="24"/>
        </w:rPr>
      </w:pPr>
      <w:r>
        <w:rPr>
          <w:sz w:val="24"/>
          <w:szCs w:val="24"/>
        </w:rPr>
        <w:t>P</w:t>
      </w:r>
      <w:r w:rsidRPr="008D0675">
        <w:rPr>
          <w:sz w:val="24"/>
          <w:szCs w:val="24"/>
        </w:rPr>
        <w:t>oticanjem poljoprivrednika na osiguranje usjeva, životinja i biljaka</w:t>
      </w:r>
      <w:r>
        <w:rPr>
          <w:sz w:val="24"/>
          <w:szCs w:val="24"/>
        </w:rPr>
        <w:t>, s</w:t>
      </w:r>
      <w:r w:rsidRPr="00631B5B">
        <w:rPr>
          <w:sz w:val="24"/>
          <w:szCs w:val="24"/>
        </w:rPr>
        <w:t>manj</w:t>
      </w:r>
      <w:r>
        <w:rPr>
          <w:sz w:val="24"/>
          <w:szCs w:val="24"/>
        </w:rPr>
        <w:t>uju se</w:t>
      </w:r>
      <w:r w:rsidRPr="00631B5B">
        <w:rPr>
          <w:sz w:val="24"/>
          <w:szCs w:val="24"/>
        </w:rPr>
        <w:t xml:space="preserve"> rizi</w:t>
      </w:r>
      <w:r>
        <w:rPr>
          <w:sz w:val="24"/>
          <w:szCs w:val="24"/>
        </w:rPr>
        <w:t>ci</w:t>
      </w:r>
      <w:r w:rsidRPr="00631B5B">
        <w:rPr>
          <w:sz w:val="24"/>
          <w:szCs w:val="24"/>
        </w:rPr>
        <w:t>, uključujući one od klimatskih promjena</w:t>
      </w:r>
      <w:r>
        <w:rPr>
          <w:sz w:val="24"/>
          <w:szCs w:val="24"/>
        </w:rPr>
        <w:t>, i doprinosi održivosti poljoprivredne proizvodnje</w:t>
      </w:r>
      <w:r w:rsidRPr="00631B5B">
        <w:rPr>
          <w:sz w:val="24"/>
          <w:szCs w:val="24"/>
        </w:rPr>
        <w:t>.</w:t>
      </w:r>
      <w:r>
        <w:rPr>
          <w:sz w:val="24"/>
          <w:szCs w:val="24"/>
        </w:rPr>
        <w:t xml:space="preserve"> Financijski najznačajniji natječaj objavljen iz </w:t>
      </w:r>
      <w:r w:rsidRPr="00B529C7">
        <w:rPr>
          <w:sz w:val="24"/>
          <w:szCs w:val="24"/>
        </w:rPr>
        <w:t xml:space="preserve">Strateškog plana </w:t>
      </w:r>
      <w:r>
        <w:rPr>
          <w:sz w:val="24"/>
          <w:szCs w:val="24"/>
        </w:rPr>
        <w:t>ZPP</w:t>
      </w:r>
      <w:r w:rsidRPr="00B529C7">
        <w:rPr>
          <w:sz w:val="24"/>
          <w:szCs w:val="24"/>
        </w:rPr>
        <w:t xml:space="preserve"> </w:t>
      </w:r>
      <w:r>
        <w:rPr>
          <w:sz w:val="24"/>
          <w:szCs w:val="24"/>
        </w:rPr>
        <w:t>odnosi se na</w:t>
      </w:r>
      <w:r w:rsidRPr="00B529C7">
        <w:rPr>
          <w:sz w:val="24"/>
          <w:szCs w:val="24"/>
        </w:rPr>
        <w:t xml:space="preserve"> intervenciju </w:t>
      </w:r>
      <w:r>
        <w:rPr>
          <w:sz w:val="24"/>
          <w:szCs w:val="24"/>
        </w:rPr>
        <w:t xml:space="preserve">(73.10) </w:t>
      </w:r>
      <w:r w:rsidRPr="00B529C7">
        <w:rPr>
          <w:sz w:val="24"/>
          <w:szCs w:val="24"/>
        </w:rPr>
        <w:t>„Potpora za ulaganja u primarnu poljoprivrednu proizvodnju“ ukupne alokacije 60 milijuna eura</w:t>
      </w:r>
      <w:r>
        <w:rPr>
          <w:sz w:val="24"/>
          <w:szCs w:val="24"/>
        </w:rPr>
        <w:t xml:space="preserve">. Isti je </w:t>
      </w:r>
      <w:r w:rsidRPr="00B529C7">
        <w:rPr>
          <w:sz w:val="24"/>
          <w:szCs w:val="24"/>
        </w:rPr>
        <w:t xml:space="preserve">namijenjen potporama za mikro, male i srednje te velike korisnike i ekološke proizvođače. </w:t>
      </w:r>
      <w:r w:rsidRPr="00377D38">
        <w:rPr>
          <w:sz w:val="24"/>
          <w:szCs w:val="24"/>
        </w:rPr>
        <w:t xml:space="preserve">Potporom u </w:t>
      </w:r>
      <w:r>
        <w:rPr>
          <w:sz w:val="24"/>
          <w:szCs w:val="24"/>
        </w:rPr>
        <w:t xml:space="preserve">okviru </w:t>
      </w:r>
      <w:r w:rsidRPr="00377D38">
        <w:rPr>
          <w:sz w:val="24"/>
          <w:szCs w:val="24"/>
        </w:rPr>
        <w:t>ove intervencije sufinancira</w:t>
      </w:r>
      <w:r>
        <w:rPr>
          <w:sz w:val="24"/>
          <w:szCs w:val="24"/>
        </w:rPr>
        <w:t>ju</w:t>
      </w:r>
      <w:r w:rsidRPr="00377D38">
        <w:rPr>
          <w:sz w:val="24"/>
          <w:szCs w:val="24"/>
        </w:rPr>
        <w:t xml:space="preserve"> se ulaganja u primarnu poljoprivrednu proizvodnju kako bi se poboljšala učinkovitost i održivost poljoprivrednih gospodarstava, uključujući zaštitu okoliša i prilagodbu klimatskim promjenama. Ulaganja su moguća u svim poljoprivrednim sektorima, a prioritet su ulaganja u sektoru voća i povrća te sektoru stočarstva.</w:t>
      </w:r>
      <w:r w:rsidRPr="00377D38" w:rsidDel="00377D38">
        <w:rPr>
          <w:sz w:val="24"/>
          <w:szCs w:val="24"/>
        </w:rPr>
        <w:t xml:space="preserve"> </w:t>
      </w:r>
      <w:bookmarkStart w:id="100" w:name="_Hlk207358959"/>
      <w:r w:rsidRPr="0004221B">
        <w:rPr>
          <w:sz w:val="24"/>
          <w:szCs w:val="24"/>
        </w:rPr>
        <w:t xml:space="preserve">Ukupno je na natječaj </w:t>
      </w:r>
      <w:r>
        <w:rPr>
          <w:sz w:val="24"/>
          <w:szCs w:val="24"/>
        </w:rPr>
        <w:t xml:space="preserve">do kraja 2024. </w:t>
      </w:r>
      <w:r w:rsidRPr="0004221B">
        <w:rPr>
          <w:sz w:val="24"/>
          <w:szCs w:val="24"/>
        </w:rPr>
        <w:t xml:space="preserve">zaprimljeno 1.285 zahtjeva za potporu u ukupnom iznosu od 357 milijuna eura. </w:t>
      </w:r>
      <w:r>
        <w:rPr>
          <w:sz w:val="24"/>
          <w:szCs w:val="24"/>
        </w:rPr>
        <w:t>U tijeku je o</w:t>
      </w:r>
      <w:r w:rsidRPr="0004221B">
        <w:rPr>
          <w:sz w:val="24"/>
          <w:szCs w:val="24"/>
        </w:rPr>
        <w:t xml:space="preserve">brada zaprimljenih zahtjeva i ugovaranje </w:t>
      </w:r>
      <w:r w:rsidRPr="0004221B">
        <w:rPr>
          <w:sz w:val="24"/>
          <w:szCs w:val="24"/>
        </w:rPr>
        <w:lastRenderedPageBreak/>
        <w:t xml:space="preserve">korisnika </w:t>
      </w:r>
      <w:r>
        <w:rPr>
          <w:sz w:val="24"/>
          <w:szCs w:val="24"/>
        </w:rPr>
        <w:t xml:space="preserve">koje se </w:t>
      </w:r>
      <w:r w:rsidRPr="0004221B">
        <w:rPr>
          <w:sz w:val="24"/>
          <w:szCs w:val="24"/>
        </w:rPr>
        <w:t>nastav</w:t>
      </w:r>
      <w:r>
        <w:rPr>
          <w:sz w:val="24"/>
          <w:szCs w:val="24"/>
        </w:rPr>
        <w:t>lja</w:t>
      </w:r>
      <w:r w:rsidRPr="0004221B">
        <w:rPr>
          <w:sz w:val="24"/>
          <w:szCs w:val="24"/>
        </w:rPr>
        <w:t xml:space="preserve"> u 2025.</w:t>
      </w:r>
      <w:r>
        <w:rPr>
          <w:sz w:val="24"/>
          <w:szCs w:val="24"/>
        </w:rPr>
        <w:t xml:space="preserve"> godini. </w:t>
      </w:r>
      <w:r w:rsidRPr="0004221B">
        <w:rPr>
          <w:sz w:val="24"/>
          <w:szCs w:val="24"/>
        </w:rPr>
        <w:t xml:space="preserve"> </w:t>
      </w:r>
    </w:p>
    <w:p w14:paraId="70413359" w14:textId="77777777" w:rsidR="00FB178A" w:rsidRPr="0004221B" w:rsidRDefault="00FB178A" w:rsidP="00FB178A">
      <w:pPr>
        <w:adjustRightInd w:val="0"/>
        <w:spacing w:before="120" w:after="120" w:line="276" w:lineRule="auto"/>
        <w:jc w:val="both"/>
        <w:rPr>
          <w:sz w:val="24"/>
          <w:szCs w:val="24"/>
        </w:rPr>
      </w:pPr>
      <w:r w:rsidRPr="0004221B">
        <w:rPr>
          <w:sz w:val="24"/>
          <w:szCs w:val="24"/>
        </w:rPr>
        <w:t xml:space="preserve">U okviru intervencije </w:t>
      </w:r>
      <w:r>
        <w:rPr>
          <w:sz w:val="24"/>
          <w:szCs w:val="24"/>
        </w:rPr>
        <w:t>(</w:t>
      </w:r>
      <w:r w:rsidRPr="0004221B">
        <w:rPr>
          <w:sz w:val="24"/>
          <w:szCs w:val="24"/>
        </w:rPr>
        <w:t>73.12.</w:t>
      </w:r>
      <w:r>
        <w:rPr>
          <w:sz w:val="24"/>
          <w:szCs w:val="24"/>
        </w:rPr>
        <w:t>)</w:t>
      </w:r>
      <w:r w:rsidRPr="0004221B">
        <w:rPr>
          <w:sz w:val="24"/>
          <w:szCs w:val="24"/>
        </w:rPr>
        <w:t xml:space="preserve"> Potpora malim poljoprivrednicima u 2024. raspisan je natječaj ukupne alokacije 15 milijuna eura</w:t>
      </w:r>
      <w:r>
        <w:rPr>
          <w:sz w:val="24"/>
          <w:szCs w:val="24"/>
        </w:rPr>
        <w:t xml:space="preserve">, na koji je </w:t>
      </w:r>
      <w:r w:rsidRPr="0004221B">
        <w:rPr>
          <w:sz w:val="24"/>
          <w:szCs w:val="24"/>
        </w:rPr>
        <w:t>zaprimljeno 2.110 zahtjeva za</w:t>
      </w:r>
      <w:r>
        <w:rPr>
          <w:sz w:val="24"/>
          <w:szCs w:val="24"/>
        </w:rPr>
        <w:t xml:space="preserve"> dodjelu</w:t>
      </w:r>
      <w:r w:rsidRPr="0004221B">
        <w:rPr>
          <w:sz w:val="24"/>
          <w:szCs w:val="24"/>
        </w:rPr>
        <w:t xml:space="preserve"> potpor</w:t>
      </w:r>
      <w:r>
        <w:rPr>
          <w:sz w:val="24"/>
          <w:szCs w:val="24"/>
        </w:rPr>
        <w:t>e</w:t>
      </w:r>
      <w:r w:rsidRPr="0004221B">
        <w:rPr>
          <w:sz w:val="24"/>
          <w:szCs w:val="24"/>
        </w:rPr>
        <w:t>. Ovaj tip intervencije pruža podršku malim, potencijalno održivim poljoprivrednim gospodarstvima orijentiran</w:t>
      </w:r>
      <w:r>
        <w:rPr>
          <w:sz w:val="24"/>
          <w:szCs w:val="24"/>
        </w:rPr>
        <w:t>im</w:t>
      </w:r>
      <w:r w:rsidRPr="0004221B">
        <w:rPr>
          <w:sz w:val="24"/>
          <w:szCs w:val="24"/>
        </w:rPr>
        <w:t xml:space="preserve"> na tržišnu proizvodnju u skladu sa zahtjevima koje postavlja tržište. </w:t>
      </w:r>
      <w:r>
        <w:rPr>
          <w:sz w:val="24"/>
          <w:szCs w:val="24"/>
        </w:rPr>
        <w:t>Potporama</w:t>
      </w:r>
      <w:r w:rsidRPr="0004221B">
        <w:rPr>
          <w:sz w:val="24"/>
          <w:szCs w:val="24"/>
        </w:rPr>
        <w:t xml:space="preserve"> </w:t>
      </w:r>
      <w:r>
        <w:rPr>
          <w:sz w:val="24"/>
          <w:szCs w:val="24"/>
        </w:rPr>
        <w:t xml:space="preserve">se pomaže </w:t>
      </w:r>
      <w:r w:rsidRPr="0004221B">
        <w:rPr>
          <w:sz w:val="24"/>
          <w:szCs w:val="24"/>
        </w:rPr>
        <w:t>poljoprivrednim gospodarstvima u komercijalno isplativom prijelazu na tržišno orijentiranu proizvodnju, što je preduvjet za posti</w:t>
      </w:r>
      <w:r>
        <w:rPr>
          <w:sz w:val="24"/>
          <w:szCs w:val="24"/>
        </w:rPr>
        <w:t>z</w:t>
      </w:r>
      <w:r w:rsidRPr="0004221B">
        <w:rPr>
          <w:sz w:val="24"/>
          <w:szCs w:val="24"/>
        </w:rPr>
        <w:t>anje konkurentnosti u poljoprivrednom sektoru.</w:t>
      </w:r>
    </w:p>
    <w:bookmarkEnd w:id="100"/>
    <w:p w14:paraId="105BCACE" w14:textId="77777777" w:rsidR="00FB178A" w:rsidRPr="0004221B" w:rsidRDefault="00FB178A" w:rsidP="00FB178A">
      <w:pPr>
        <w:adjustRightInd w:val="0"/>
        <w:spacing w:before="120" w:after="120" w:line="276" w:lineRule="auto"/>
        <w:jc w:val="both"/>
        <w:rPr>
          <w:sz w:val="24"/>
          <w:szCs w:val="24"/>
        </w:rPr>
      </w:pPr>
      <w:r>
        <w:rPr>
          <w:sz w:val="24"/>
          <w:szCs w:val="24"/>
        </w:rPr>
        <w:t>S ciljem poticanja u</w:t>
      </w:r>
      <w:r w:rsidRPr="00D17011">
        <w:rPr>
          <w:sz w:val="24"/>
          <w:szCs w:val="24"/>
        </w:rPr>
        <w:t>laganj</w:t>
      </w:r>
      <w:r>
        <w:rPr>
          <w:sz w:val="24"/>
          <w:szCs w:val="24"/>
        </w:rPr>
        <w:t>a</w:t>
      </w:r>
      <w:r w:rsidRPr="00D17011">
        <w:rPr>
          <w:sz w:val="24"/>
          <w:szCs w:val="24"/>
        </w:rPr>
        <w:t xml:space="preserve"> u obnovu poljoprivrednog zemljišta i proizvodnog potencijala oštećenog potresom</w:t>
      </w:r>
      <w:r>
        <w:rPr>
          <w:sz w:val="24"/>
          <w:szCs w:val="24"/>
        </w:rPr>
        <w:t xml:space="preserve">, </w:t>
      </w:r>
      <w:r w:rsidRPr="00E06D4A">
        <w:rPr>
          <w:sz w:val="24"/>
          <w:szCs w:val="24"/>
        </w:rPr>
        <w:t>u studenom 2024.</w:t>
      </w:r>
      <w:r>
        <w:rPr>
          <w:sz w:val="24"/>
          <w:szCs w:val="24"/>
        </w:rPr>
        <w:t xml:space="preserve"> </w:t>
      </w:r>
      <w:r w:rsidRPr="00A61B50">
        <w:rPr>
          <w:sz w:val="24"/>
          <w:szCs w:val="24"/>
        </w:rPr>
        <w:t>raspisan je natječaj ukupne alokacije 10 milijuna eura</w:t>
      </w:r>
      <w:r>
        <w:rPr>
          <w:sz w:val="24"/>
          <w:szCs w:val="24"/>
        </w:rPr>
        <w:t xml:space="preserve"> </w:t>
      </w:r>
      <w:bookmarkStart w:id="101" w:name="_Hlk207355249"/>
      <w:r>
        <w:rPr>
          <w:sz w:val="24"/>
          <w:szCs w:val="24"/>
        </w:rPr>
        <w:t>u</w:t>
      </w:r>
      <w:r w:rsidRPr="0004221B">
        <w:rPr>
          <w:sz w:val="24"/>
          <w:szCs w:val="24"/>
        </w:rPr>
        <w:t xml:space="preserve"> okviru intervencije </w:t>
      </w:r>
      <w:r>
        <w:rPr>
          <w:sz w:val="24"/>
          <w:szCs w:val="24"/>
        </w:rPr>
        <w:t>(</w:t>
      </w:r>
      <w:r w:rsidRPr="0004221B">
        <w:rPr>
          <w:sz w:val="24"/>
          <w:szCs w:val="24"/>
        </w:rPr>
        <w:t>73.02.</w:t>
      </w:r>
      <w:r>
        <w:rPr>
          <w:sz w:val="24"/>
          <w:szCs w:val="24"/>
        </w:rPr>
        <w:t>)</w:t>
      </w:r>
      <w:r w:rsidRPr="0004221B">
        <w:rPr>
          <w:sz w:val="24"/>
          <w:szCs w:val="24"/>
        </w:rPr>
        <w:t xml:space="preserve"> </w:t>
      </w:r>
      <w:r>
        <w:rPr>
          <w:sz w:val="24"/>
          <w:szCs w:val="24"/>
        </w:rPr>
        <w:t>„</w:t>
      </w:r>
      <w:r w:rsidRPr="0004221B">
        <w:rPr>
          <w:sz w:val="24"/>
          <w:szCs w:val="24"/>
        </w:rPr>
        <w:t>Obnova poljoprivrednog potencijala</w:t>
      </w:r>
      <w:r>
        <w:rPr>
          <w:sz w:val="24"/>
          <w:szCs w:val="24"/>
        </w:rPr>
        <w:t>“.</w:t>
      </w:r>
      <w:r w:rsidRPr="0004221B">
        <w:rPr>
          <w:sz w:val="24"/>
          <w:szCs w:val="24"/>
        </w:rPr>
        <w:t xml:space="preserve"> </w:t>
      </w:r>
      <w:r>
        <w:rPr>
          <w:sz w:val="24"/>
          <w:szCs w:val="24"/>
        </w:rPr>
        <w:t>Potpora u okviru</w:t>
      </w:r>
      <w:r w:rsidRPr="000F3849">
        <w:rPr>
          <w:sz w:val="24"/>
          <w:szCs w:val="24"/>
        </w:rPr>
        <w:t xml:space="preserve"> </w:t>
      </w:r>
      <w:r>
        <w:rPr>
          <w:sz w:val="24"/>
          <w:szCs w:val="24"/>
        </w:rPr>
        <w:t xml:space="preserve">ove </w:t>
      </w:r>
      <w:r w:rsidRPr="000F3849">
        <w:rPr>
          <w:sz w:val="24"/>
          <w:szCs w:val="24"/>
        </w:rPr>
        <w:t xml:space="preserve">intervencije </w:t>
      </w:r>
      <w:r>
        <w:rPr>
          <w:sz w:val="24"/>
          <w:szCs w:val="24"/>
        </w:rPr>
        <w:t xml:space="preserve">se dodjeljuje za </w:t>
      </w:r>
      <w:r w:rsidRPr="000F3849">
        <w:rPr>
          <w:sz w:val="24"/>
          <w:szCs w:val="24"/>
        </w:rPr>
        <w:t>obnov</w:t>
      </w:r>
      <w:r>
        <w:rPr>
          <w:sz w:val="24"/>
          <w:szCs w:val="24"/>
        </w:rPr>
        <w:t>u</w:t>
      </w:r>
      <w:r w:rsidRPr="000F3849">
        <w:rPr>
          <w:sz w:val="24"/>
          <w:szCs w:val="24"/>
        </w:rPr>
        <w:t xml:space="preserve"> poljoprivredn</w:t>
      </w:r>
      <w:r>
        <w:rPr>
          <w:sz w:val="24"/>
          <w:szCs w:val="24"/>
        </w:rPr>
        <w:t>og</w:t>
      </w:r>
      <w:r w:rsidRPr="000F3849">
        <w:rPr>
          <w:sz w:val="24"/>
          <w:szCs w:val="24"/>
        </w:rPr>
        <w:t xml:space="preserve"> potencijal</w:t>
      </w:r>
      <w:r>
        <w:rPr>
          <w:sz w:val="24"/>
          <w:szCs w:val="24"/>
        </w:rPr>
        <w:t>a (poljoprivredno zemljište, nasadi, plastenici, oprema i dr.)</w:t>
      </w:r>
      <w:r w:rsidRPr="000F3849">
        <w:rPr>
          <w:sz w:val="24"/>
          <w:szCs w:val="24"/>
        </w:rPr>
        <w:t xml:space="preserve"> narušen</w:t>
      </w:r>
      <w:r>
        <w:rPr>
          <w:sz w:val="24"/>
          <w:szCs w:val="24"/>
        </w:rPr>
        <w:t>og</w:t>
      </w:r>
      <w:r w:rsidRPr="000F3849">
        <w:rPr>
          <w:sz w:val="24"/>
          <w:szCs w:val="24"/>
        </w:rPr>
        <w:t xml:space="preserve"> prirodnim nepogodama i katastrofalnim događajima </w:t>
      </w:r>
      <w:r>
        <w:rPr>
          <w:sz w:val="24"/>
          <w:szCs w:val="24"/>
        </w:rPr>
        <w:t>s ciljem</w:t>
      </w:r>
      <w:r w:rsidRPr="000F3849">
        <w:rPr>
          <w:sz w:val="24"/>
          <w:szCs w:val="24"/>
        </w:rPr>
        <w:t xml:space="preserve"> osigura</w:t>
      </w:r>
      <w:r>
        <w:rPr>
          <w:sz w:val="24"/>
          <w:szCs w:val="24"/>
        </w:rPr>
        <w:t>nja</w:t>
      </w:r>
      <w:r w:rsidRPr="000F3849">
        <w:rPr>
          <w:sz w:val="24"/>
          <w:szCs w:val="24"/>
        </w:rPr>
        <w:t xml:space="preserve"> održivost</w:t>
      </w:r>
      <w:r>
        <w:rPr>
          <w:sz w:val="24"/>
          <w:szCs w:val="24"/>
        </w:rPr>
        <w:t>i</w:t>
      </w:r>
      <w:r w:rsidRPr="000F3849">
        <w:rPr>
          <w:sz w:val="24"/>
          <w:szCs w:val="24"/>
        </w:rPr>
        <w:t xml:space="preserve"> poljoprivredne proizvodnje i </w:t>
      </w:r>
      <w:r>
        <w:rPr>
          <w:sz w:val="24"/>
          <w:szCs w:val="24"/>
        </w:rPr>
        <w:t xml:space="preserve">stabilnih </w:t>
      </w:r>
      <w:r w:rsidRPr="000F3849">
        <w:rPr>
          <w:sz w:val="24"/>
          <w:szCs w:val="24"/>
        </w:rPr>
        <w:t>prihoda stanovništv</w:t>
      </w:r>
      <w:r>
        <w:rPr>
          <w:sz w:val="24"/>
          <w:szCs w:val="24"/>
        </w:rPr>
        <w:t>a u</w:t>
      </w:r>
      <w:r w:rsidRPr="000F3849">
        <w:rPr>
          <w:sz w:val="24"/>
          <w:szCs w:val="24"/>
        </w:rPr>
        <w:t xml:space="preserve"> ruralni</w:t>
      </w:r>
      <w:r>
        <w:rPr>
          <w:sz w:val="24"/>
          <w:szCs w:val="24"/>
        </w:rPr>
        <w:t>m</w:t>
      </w:r>
      <w:r w:rsidRPr="000F3849">
        <w:rPr>
          <w:sz w:val="24"/>
          <w:szCs w:val="24"/>
        </w:rPr>
        <w:t xml:space="preserve"> p</w:t>
      </w:r>
      <w:r>
        <w:rPr>
          <w:sz w:val="24"/>
          <w:szCs w:val="24"/>
        </w:rPr>
        <w:t>odručjima. Dodjelom potpora u okviru ove intervencije</w:t>
      </w:r>
      <w:r w:rsidRPr="000F3849">
        <w:rPr>
          <w:sz w:val="24"/>
          <w:szCs w:val="24"/>
        </w:rPr>
        <w:t xml:space="preserve"> se </w:t>
      </w:r>
      <w:r w:rsidRPr="00BB28B0">
        <w:rPr>
          <w:sz w:val="24"/>
          <w:szCs w:val="24"/>
        </w:rPr>
        <w:t>omogućuje nastavak poljoprivredne djelatnosti</w:t>
      </w:r>
      <w:r>
        <w:rPr>
          <w:sz w:val="24"/>
          <w:szCs w:val="24"/>
        </w:rPr>
        <w:t xml:space="preserve"> i </w:t>
      </w:r>
      <w:r w:rsidRPr="000F3849">
        <w:rPr>
          <w:sz w:val="24"/>
          <w:szCs w:val="24"/>
        </w:rPr>
        <w:t>sprječava propadanje poljoprivrednih gospodarstava</w:t>
      </w:r>
      <w:r>
        <w:rPr>
          <w:sz w:val="24"/>
          <w:szCs w:val="24"/>
        </w:rPr>
        <w:t xml:space="preserve"> kao i </w:t>
      </w:r>
      <w:r w:rsidRPr="000F3849">
        <w:rPr>
          <w:sz w:val="24"/>
          <w:szCs w:val="24"/>
        </w:rPr>
        <w:t>iseljavanje iz ruralnih područja</w:t>
      </w:r>
      <w:r>
        <w:rPr>
          <w:sz w:val="24"/>
          <w:szCs w:val="24"/>
        </w:rPr>
        <w:t xml:space="preserve">. </w:t>
      </w:r>
    </w:p>
    <w:p w14:paraId="2C8002D9" w14:textId="77777777" w:rsidR="00FB178A" w:rsidRPr="0004221B" w:rsidRDefault="00FB178A" w:rsidP="00FB178A">
      <w:pPr>
        <w:adjustRightInd w:val="0"/>
        <w:spacing w:before="120" w:after="120" w:line="276" w:lineRule="auto"/>
        <w:jc w:val="both"/>
        <w:rPr>
          <w:sz w:val="24"/>
          <w:szCs w:val="24"/>
        </w:rPr>
      </w:pPr>
      <w:r>
        <w:rPr>
          <w:sz w:val="24"/>
          <w:szCs w:val="24"/>
        </w:rPr>
        <w:t>Nastavljena je provedba</w:t>
      </w:r>
      <w:r w:rsidRPr="0004221B">
        <w:rPr>
          <w:sz w:val="24"/>
          <w:szCs w:val="24"/>
        </w:rPr>
        <w:t xml:space="preserve"> </w:t>
      </w:r>
      <w:r>
        <w:rPr>
          <w:sz w:val="24"/>
          <w:szCs w:val="24"/>
        </w:rPr>
        <w:t xml:space="preserve">aktivnosti u okviru </w:t>
      </w:r>
      <w:r w:rsidRPr="0004221B">
        <w:rPr>
          <w:sz w:val="24"/>
          <w:szCs w:val="24"/>
        </w:rPr>
        <w:t>mjer</w:t>
      </w:r>
      <w:r>
        <w:rPr>
          <w:sz w:val="24"/>
          <w:szCs w:val="24"/>
        </w:rPr>
        <w:t>e (II.2) „</w:t>
      </w:r>
      <w:r w:rsidRPr="00E56919">
        <w:rPr>
          <w:sz w:val="24"/>
          <w:szCs w:val="24"/>
        </w:rPr>
        <w:t>Produktivna ulaganja u akvakulturu</w:t>
      </w:r>
      <w:r>
        <w:rPr>
          <w:sz w:val="24"/>
          <w:szCs w:val="24"/>
        </w:rPr>
        <w:t>“</w:t>
      </w:r>
      <w:r w:rsidRPr="0004221B">
        <w:rPr>
          <w:sz w:val="24"/>
          <w:szCs w:val="24"/>
        </w:rPr>
        <w:t xml:space="preserve"> </w:t>
      </w:r>
      <w:r>
        <w:rPr>
          <w:sz w:val="24"/>
          <w:szCs w:val="24"/>
        </w:rPr>
        <w:t>usmjerene na</w:t>
      </w:r>
      <w:r w:rsidRPr="0004221B">
        <w:rPr>
          <w:sz w:val="24"/>
          <w:szCs w:val="24"/>
        </w:rPr>
        <w:t xml:space="preserve"> jačanje konkurentnosti i održivosti poduzeća, zaštitu i obnovu vodne </w:t>
      </w:r>
      <w:proofErr w:type="spellStart"/>
      <w:r w:rsidRPr="0004221B">
        <w:rPr>
          <w:sz w:val="24"/>
          <w:szCs w:val="24"/>
        </w:rPr>
        <w:t>bioraznolikosti</w:t>
      </w:r>
      <w:proofErr w:type="spellEnd"/>
      <w:r w:rsidRPr="0004221B">
        <w:rPr>
          <w:sz w:val="24"/>
          <w:szCs w:val="24"/>
        </w:rPr>
        <w:t xml:space="preserve"> te promociju resursno učinkovite </w:t>
      </w:r>
      <w:r>
        <w:rPr>
          <w:sz w:val="24"/>
          <w:szCs w:val="24"/>
        </w:rPr>
        <w:t xml:space="preserve">i dugoročno održive </w:t>
      </w:r>
      <w:r w:rsidRPr="0004221B">
        <w:rPr>
          <w:sz w:val="24"/>
          <w:szCs w:val="24"/>
        </w:rPr>
        <w:t>akvakulture</w:t>
      </w:r>
      <w:r>
        <w:rPr>
          <w:sz w:val="24"/>
          <w:szCs w:val="24"/>
        </w:rPr>
        <w:t>. I</w:t>
      </w:r>
      <w:r w:rsidRPr="0004221B">
        <w:rPr>
          <w:sz w:val="24"/>
          <w:szCs w:val="24"/>
        </w:rPr>
        <w:t>z</w:t>
      </w:r>
      <w:r>
        <w:rPr>
          <w:sz w:val="24"/>
          <w:szCs w:val="24"/>
        </w:rPr>
        <w:t xml:space="preserve"> navedene mjere </w:t>
      </w:r>
      <w:r w:rsidRPr="0004221B">
        <w:rPr>
          <w:sz w:val="24"/>
          <w:szCs w:val="24"/>
        </w:rPr>
        <w:t xml:space="preserve">je u 2024. korisnicima isplaćeno 3,7 milijuna eura. </w:t>
      </w:r>
      <w:r>
        <w:rPr>
          <w:sz w:val="24"/>
          <w:szCs w:val="24"/>
        </w:rPr>
        <w:t>Od ostalih mjera kojima se</w:t>
      </w:r>
      <w:r w:rsidRPr="00AC4895">
        <w:rPr>
          <w:sz w:val="24"/>
          <w:szCs w:val="24"/>
        </w:rPr>
        <w:t xml:space="preserve"> doprinosi jačanju održivosti, produktivnosti i konkurentnosti hrvatskog </w:t>
      </w:r>
      <w:proofErr w:type="spellStart"/>
      <w:r w:rsidRPr="00AC4895">
        <w:rPr>
          <w:sz w:val="24"/>
          <w:szCs w:val="24"/>
        </w:rPr>
        <w:t>akvakulturnog</w:t>
      </w:r>
      <w:proofErr w:type="spellEnd"/>
      <w:r w:rsidRPr="00AC4895">
        <w:rPr>
          <w:sz w:val="24"/>
          <w:szCs w:val="24"/>
        </w:rPr>
        <w:t xml:space="preserve"> sektora</w:t>
      </w:r>
      <w:r>
        <w:rPr>
          <w:sz w:val="24"/>
          <w:szCs w:val="24"/>
        </w:rPr>
        <w:t>, n</w:t>
      </w:r>
      <w:r w:rsidRPr="00AC4895">
        <w:rPr>
          <w:sz w:val="24"/>
          <w:szCs w:val="24"/>
        </w:rPr>
        <w:t xml:space="preserve">ajveći iznos isplaćen je kroz mjeru (II.7) „Povećanje potencijala lokaliteta za akvakulturu“, u okviru koje je dodijeljeno 2,7 milijuna eura, </w:t>
      </w:r>
      <w:r>
        <w:rPr>
          <w:sz w:val="24"/>
          <w:szCs w:val="24"/>
        </w:rPr>
        <w:t>u svrhu poticanja</w:t>
      </w:r>
      <w:r w:rsidRPr="00AC4895">
        <w:rPr>
          <w:sz w:val="24"/>
          <w:szCs w:val="24"/>
        </w:rPr>
        <w:t xml:space="preserve"> modernizacij</w:t>
      </w:r>
      <w:r>
        <w:rPr>
          <w:sz w:val="24"/>
          <w:szCs w:val="24"/>
        </w:rPr>
        <w:t>e</w:t>
      </w:r>
      <w:r w:rsidRPr="00AC4895">
        <w:rPr>
          <w:sz w:val="24"/>
          <w:szCs w:val="24"/>
        </w:rPr>
        <w:t xml:space="preserve"> i bolj</w:t>
      </w:r>
      <w:r>
        <w:rPr>
          <w:sz w:val="24"/>
          <w:szCs w:val="24"/>
        </w:rPr>
        <w:t>e</w:t>
      </w:r>
      <w:r w:rsidRPr="00AC4895">
        <w:rPr>
          <w:sz w:val="24"/>
          <w:szCs w:val="24"/>
        </w:rPr>
        <w:t xml:space="preserve"> iskorištenost</w:t>
      </w:r>
      <w:r>
        <w:rPr>
          <w:sz w:val="24"/>
          <w:szCs w:val="24"/>
        </w:rPr>
        <w:t>i</w:t>
      </w:r>
      <w:r w:rsidRPr="00AC4895">
        <w:rPr>
          <w:sz w:val="24"/>
          <w:szCs w:val="24"/>
        </w:rPr>
        <w:t xml:space="preserve"> postojećih uzgojnih područja. Kroz mjeru (II.10) „Akvakultura koja osigurava usluge zaštite okoliša“ isplaćeno je 1,6 milijuna eura, </w:t>
      </w:r>
      <w:r>
        <w:rPr>
          <w:sz w:val="24"/>
          <w:szCs w:val="24"/>
        </w:rPr>
        <w:t>za poticanje</w:t>
      </w:r>
      <w:r w:rsidRPr="00AC4895">
        <w:rPr>
          <w:sz w:val="24"/>
          <w:szCs w:val="24"/>
        </w:rPr>
        <w:t xml:space="preserve"> proizvodnj</w:t>
      </w:r>
      <w:r>
        <w:rPr>
          <w:sz w:val="24"/>
          <w:szCs w:val="24"/>
        </w:rPr>
        <w:t>e</w:t>
      </w:r>
      <w:r w:rsidRPr="00AC4895">
        <w:rPr>
          <w:sz w:val="24"/>
          <w:szCs w:val="24"/>
        </w:rPr>
        <w:t xml:space="preserve"> s pozitivnim ekološkim učinkom i doprinosom očuvanju biološke raznolikosti. Dodatno, iz mjere (II.13) „Osiguranje </w:t>
      </w:r>
      <w:proofErr w:type="spellStart"/>
      <w:r w:rsidRPr="00AC4895">
        <w:rPr>
          <w:sz w:val="24"/>
          <w:szCs w:val="24"/>
        </w:rPr>
        <w:t>akvakulturnih</w:t>
      </w:r>
      <w:proofErr w:type="spellEnd"/>
      <w:r w:rsidRPr="00AC4895">
        <w:rPr>
          <w:sz w:val="24"/>
          <w:szCs w:val="24"/>
        </w:rPr>
        <w:t xml:space="preserve"> stokova“ isplaćeno je 0,8 milijuna eura, </w:t>
      </w:r>
      <w:r>
        <w:rPr>
          <w:sz w:val="24"/>
          <w:szCs w:val="24"/>
        </w:rPr>
        <w:t>za jačanje</w:t>
      </w:r>
      <w:r w:rsidRPr="00AC4895">
        <w:rPr>
          <w:sz w:val="24"/>
          <w:szCs w:val="24"/>
        </w:rPr>
        <w:t xml:space="preserve"> otpornost</w:t>
      </w:r>
      <w:r>
        <w:rPr>
          <w:sz w:val="24"/>
          <w:szCs w:val="24"/>
        </w:rPr>
        <w:t>i</w:t>
      </w:r>
      <w:r w:rsidRPr="00AC4895">
        <w:rPr>
          <w:sz w:val="24"/>
          <w:szCs w:val="24"/>
        </w:rPr>
        <w:t xml:space="preserve"> proizvodnje i smanjen</w:t>
      </w:r>
      <w:r>
        <w:rPr>
          <w:sz w:val="24"/>
          <w:szCs w:val="24"/>
        </w:rPr>
        <w:t>ja</w:t>
      </w:r>
      <w:r w:rsidRPr="00AC4895">
        <w:rPr>
          <w:sz w:val="24"/>
          <w:szCs w:val="24"/>
        </w:rPr>
        <w:t xml:space="preserve"> rizi</w:t>
      </w:r>
      <w:r>
        <w:rPr>
          <w:sz w:val="24"/>
          <w:szCs w:val="24"/>
        </w:rPr>
        <w:t>ka</w:t>
      </w:r>
      <w:r w:rsidRPr="00AC4895">
        <w:rPr>
          <w:sz w:val="24"/>
          <w:szCs w:val="24"/>
        </w:rPr>
        <w:t xml:space="preserve"> od gubitaka uslijed bolesti i drugih štetnih utjecaja. </w:t>
      </w:r>
    </w:p>
    <w:bookmarkEnd w:id="101"/>
    <w:p w14:paraId="45FA19A5" w14:textId="77777777" w:rsidR="00FB178A" w:rsidRDefault="00FB178A" w:rsidP="00FB178A">
      <w:pPr>
        <w:adjustRightInd w:val="0"/>
        <w:spacing w:before="120" w:after="120" w:line="276" w:lineRule="auto"/>
        <w:jc w:val="both"/>
        <w:rPr>
          <w:sz w:val="24"/>
          <w:szCs w:val="24"/>
        </w:rPr>
      </w:pPr>
      <w:r w:rsidRPr="00E01901">
        <w:rPr>
          <w:bCs/>
          <w:sz w:val="24"/>
          <w:szCs w:val="24"/>
        </w:rPr>
        <w:t xml:space="preserve">U </w:t>
      </w:r>
      <w:r w:rsidRPr="0004221B">
        <w:rPr>
          <w:bCs/>
          <w:sz w:val="24"/>
          <w:szCs w:val="24"/>
        </w:rPr>
        <w:t>području jačanja konkurentnosti i inovativnosti u poljoprivredi i akvakulturi</w:t>
      </w:r>
      <w:r>
        <w:rPr>
          <w:bCs/>
          <w:sz w:val="24"/>
          <w:szCs w:val="24"/>
        </w:rPr>
        <w:t xml:space="preserve">, nastavljena je </w:t>
      </w:r>
      <w:r>
        <w:rPr>
          <w:sz w:val="24"/>
          <w:szCs w:val="24"/>
        </w:rPr>
        <w:t>provedba</w:t>
      </w:r>
      <w:r w:rsidRPr="0004221B">
        <w:rPr>
          <w:sz w:val="24"/>
          <w:szCs w:val="24"/>
        </w:rPr>
        <w:t xml:space="preserve"> ulaganja </w:t>
      </w:r>
      <w:r>
        <w:rPr>
          <w:sz w:val="24"/>
          <w:szCs w:val="24"/>
        </w:rPr>
        <w:t>usmjerenih na</w:t>
      </w:r>
      <w:r w:rsidRPr="0004221B">
        <w:rPr>
          <w:sz w:val="24"/>
          <w:szCs w:val="24"/>
        </w:rPr>
        <w:t xml:space="preserve"> povećanj</w:t>
      </w:r>
      <w:r>
        <w:rPr>
          <w:sz w:val="24"/>
          <w:szCs w:val="24"/>
        </w:rPr>
        <w:t>e</w:t>
      </w:r>
      <w:r w:rsidRPr="0004221B">
        <w:rPr>
          <w:sz w:val="24"/>
          <w:szCs w:val="24"/>
        </w:rPr>
        <w:t xml:space="preserve"> produktivnosti poljoprivrede.</w:t>
      </w:r>
      <w:r>
        <w:rPr>
          <w:sz w:val="24"/>
          <w:szCs w:val="24"/>
        </w:rPr>
        <w:t xml:space="preserve"> O</w:t>
      </w:r>
      <w:r w:rsidRPr="000B4CB1">
        <w:rPr>
          <w:sz w:val="24"/>
          <w:szCs w:val="24"/>
        </w:rPr>
        <w:t xml:space="preserve">bjavljen je natječaj za provedbu intervencije </w:t>
      </w:r>
      <w:r>
        <w:rPr>
          <w:sz w:val="24"/>
          <w:szCs w:val="24"/>
        </w:rPr>
        <w:t>(</w:t>
      </w:r>
      <w:r w:rsidRPr="00B10360">
        <w:rPr>
          <w:sz w:val="24"/>
          <w:szCs w:val="24"/>
        </w:rPr>
        <w:t>73.10</w:t>
      </w:r>
      <w:r w:rsidRPr="000B4CB1">
        <w:rPr>
          <w:sz w:val="24"/>
          <w:szCs w:val="24"/>
        </w:rPr>
        <w:t>.</w:t>
      </w:r>
      <w:r>
        <w:rPr>
          <w:sz w:val="24"/>
          <w:szCs w:val="24"/>
        </w:rPr>
        <w:t>)</w:t>
      </w:r>
      <w:r w:rsidRPr="000B4CB1">
        <w:rPr>
          <w:sz w:val="24"/>
          <w:szCs w:val="24"/>
        </w:rPr>
        <w:t xml:space="preserve"> </w:t>
      </w:r>
      <w:r>
        <w:rPr>
          <w:sz w:val="24"/>
          <w:szCs w:val="24"/>
        </w:rPr>
        <w:t>„</w:t>
      </w:r>
      <w:r w:rsidRPr="000B4CB1">
        <w:rPr>
          <w:sz w:val="24"/>
          <w:szCs w:val="24"/>
        </w:rPr>
        <w:t>Potpora za ulaganja u primarnu poljoprivrednu proizvodnju</w:t>
      </w:r>
      <w:r>
        <w:rPr>
          <w:sz w:val="24"/>
          <w:szCs w:val="24"/>
        </w:rPr>
        <w:t>“</w:t>
      </w:r>
      <w:r w:rsidRPr="000B4CB1">
        <w:rPr>
          <w:sz w:val="24"/>
          <w:szCs w:val="24"/>
        </w:rPr>
        <w:t xml:space="preserve"> iz Strateškog plana Z</w:t>
      </w:r>
      <w:r>
        <w:rPr>
          <w:sz w:val="24"/>
          <w:szCs w:val="24"/>
        </w:rPr>
        <w:t>PP</w:t>
      </w:r>
      <w:r w:rsidRPr="000B4CB1">
        <w:rPr>
          <w:sz w:val="24"/>
          <w:szCs w:val="24"/>
        </w:rPr>
        <w:t xml:space="preserve">. </w:t>
      </w:r>
      <w:r w:rsidRPr="00516F25">
        <w:rPr>
          <w:sz w:val="24"/>
          <w:szCs w:val="24"/>
        </w:rPr>
        <w:t>U</w:t>
      </w:r>
      <w:r>
        <w:rPr>
          <w:sz w:val="24"/>
          <w:szCs w:val="24"/>
        </w:rPr>
        <w:t xml:space="preserve"> okviru natječaja, u</w:t>
      </w:r>
      <w:r w:rsidRPr="00516F25">
        <w:rPr>
          <w:sz w:val="24"/>
          <w:szCs w:val="24"/>
        </w:rPr>
        <w:t>laganj</w:t>
      </w:r>
      <w:r>
        <w:rPr>
          <w:sz w:val="24"/>
          <w:szCs w:val="24"/>
        </w:rPr>
        <w:t>im</w:t>
      </w:r>
      <w:r w:rsidRPr="00516F25">
        <w:rPr>
          <w:sz w:val="24"/>
          <w:szCs w:val="24"/>
        </w:rPr>
        <w:t xml:space="preserve">a u napredna </w:t>
      </w:r>
      <w:proofErr w:type="spellStart"/>
      <w:r w:rsidRPr="00516F25">
        <w:rPr>
          <w:sz w:val="24"/>
          <w:szCs w:val="24"/>
        </w:rPr>
        <w:t>IoT</w:t>
      </w:r>
      <w:proofErr w:type="spellEnd"/>
      <w:r w:rsidRPr="00516F25">
        <w:rPr>
          <w:sz w:val="24"/>
          <w:szCs w:val="24"/>
        </w:rPr>
        <w:t xml:space="preserve"> (</w:t>
      </w:r>
      <w:proofErr w:type="spellStart"/>
      <w:r>
        <w:rPr>
          <w:sz w:val="24"/>
          <w:szCs w:val="24"/>
        </w:rPr>
        <w:t>eng</w:t>
      </w:r>
      <w:proofErr w:type="spellEnd"/>
      <w:r>
        <w:rPr>
          <w:sz w:val="24"/>
          <w:szCs w:val="24"/>
        </w:rPr>
        <w:t xml:space="preserve">. </w:t>
      </w:r>
      <w:r w:rsidRPr="0004221B">
        <w:rPr>
          <w:i/>
          <w:sz w:val="24"/>
          <w:szCs w:val="24"/>
        </w:rPr>
        <w:t xml:space="preserve">Internet </w:t>
      </w:r>
      <w:proofErr w:type="spellStart"/>
      <w:r w:rsidRPr="0004221B">
        <w:rPr>
          <w:i/>
          <w:sz w:val="24"/>
          <w:szCs w:val="24"/>
        </w:rPr>
        <w:t>of</w:t>
      </w:r>
      <w:proofErr w:type="spellEnd"/>
      <w:r w:rsidRPr="0004221B">
        <w:rPr>
          <w:i/>
          <w:sz w:val="24"/>
          <w:szCs w:val="24"/>
        </w:rPr>
        <w:t xml:space="preserve"> </w:t>
      </w:r>
      <w:proofErr w:type="spellStart"/>
      <w:r w:rsidRPr="0004221B">
        <w:rPr>
          <w:i/>
          <w:sz w:val="24"/>
          <w:szCs w:val="24"/>
        </w:rPr>
        <w:t>Things</w:t>
      </w:r>
      <w:proofErr w:type="spellEnd"/>
      <w:r w:rsidRPr="00516F25">
        <w:rPr>
          <w:sz w:val="24"/>
          <w:szCs w:val="24"/>
        </w:rPr>
        <w:t>) rješenja za pametnu poljoprivredu, opremu i mehanizaciju za preciznu poljoprivredu te prateće softverske alate za digitalizaciju poljoprivrednih aktivnosti i proizvodnih procesa</w:t>
      </w:r>
      <w:r>
        <w:rPr>
          <w:sz w:val="24"/>
          <w:szCs w:val="24"/>
        </w:rPr>
        <w:t>,</w:t>
      </w:r>
      <w:r w:rsidRPr="00516F25">
        <w:rPr>
          <w:sz w:val="24"/>
          <w:szCs w:val="24"/>
        </w:rPr>
        <w:t xml:space="preserve"> os</w:t>
      </w:r>
      <w:r>
        <w:rPr>
          <w:sz w:val="24"/>
          <w:szCs w:val="24"/>
        </w:rPr>
        <w:t>igurani su</w:t>
      </w:r>
      <w:r w:rsidRPr="00516F25">
        <w:rPr>
          <w:sz w:val="24"/>
          <w:szCs w:val="24"/>
        </w:rPr>
        <w:t xml:space="preserve"> dodatn</w:t>
      </w:r>
      <w:r>
        <w:rPr>
          <w:sz w:val="24"/>
          <w:szCs w:val="24"/>
        </w:rPr>
        <w:t>i</w:t>
      </w:r>
      <w:r w:rsidRPr="00516F25">
        <w:rPr>
          <w:sz w:val="24"/>
          <w:szCs w:val="24"/>
        </w:rPr>
        <w:t xml:space="preserve"> bodov</w:t>
      </w:r>
      <w:r>
        <w:rPr>
          <w:sz w:val="24"/>
          <w:szCs w:val="24"/>
        </w:rPr>
        <w:t>i</w:t>
      </w:r>
      <w:r w:rsidRPr="00516F25">
        <w:rPr>
          <w:sz w:val="24"/>
          <w:szCs w:val="24"/>
        </w:rPr>
        <w:t xml:space="preserve"> prilikom ocjenjivanja projekata, čime se snažnije potiče inovativnost </w:t>
      </w:r>
      <w:r>
        <w:rPr>
          <w:sz w:val="24"/>
          <w:szCs w:val="24"/>
        </w:rPr>
        <w:t xml:space="preserve">kod korisnika </w:t>
      </w:r>
      <w:r w:rsidRPr="00516F25">
        <w:rPr>
          <w:sz w:val="24"/>
          <w:szCs w:val="24"/>
        </w:rPr>
        <w:t>u poljoprivrednoj proizvodnji.</w:t>
      </w:r>
      <w:r w:rsidRPr="0004221B">
        <w:rPr>
          <w:sz w:val="24"/>
          <w:szCs w:val="24"/>
        </w:rPr>
        <w:t xml:space="preserve"> </w:t>
      </w:r>
      <w:r>
        <w:rPr>
          <w:sz w:val="24"/>
          <w:szCs w:val="24"/>
        </w:rPr>
        <w:t>Također, u</w:t>
      </w:r>
      <w:r w:rsidRPr="0004221B">
        <w:rPr>
          <w:sz w:val="24"/>
          <w:szCs w:val="24"/>
        </w:rPr>
        <w:t xml:space="preserve">  svrhu </w:t>
      </w:r>
      <w:r>
        <w:rPr>
          <w:sz w:val="24"/>
          <w:szCs w:val="24"/>
        </w:rPr>
        <w:t xml:space="preserve">jačanja znanja i vještina poljoprivrednika, u srpnju 2024. </w:t>
      </w:r>
      <w:r w:rsidRPr="0004221B">
        <w:rPr>
          <w:sz w:val="24"/>
          <w:szCs w:val="24"/>
        </w:rPr>
        <w:t xml:space="preserve">objavljen je </w:t>
      </w:r>
      <w:r>
        <w:rPr>
          <w:sz w:val="24"/>
          <w:szCs w:val="24"/>
        </w:rPr>
        <w:t xml:space="preserve">drugi </w:t>
      </w:r>
      <w:r w:rsidRPr="0004221B">
        <w:rPr>
          <w:sz w:val="24"/>
          <w:szCs w:val="24"/>
        </w:rPr>
        <w:t xml:space="preserve">natječaj za provedbu intervencije </w:t>
      </w:r>
      <w:r>
        <w:rPr>
          <w:sz w:val="24"/>
          <w:szCs w:val="24"/>
        </w:rPr>
        <w:t>(</w:t>
      </w:r>
      <w:r w:rsidRPr="0004221B">
        <w:rPr>
          <w:sz w:val="24"/>
          <w:szCs w:val="24"/>
        </w:rPr>
        <w:t>78.01.</w:t>
      </w:r>
      <w:r>
        <w:rPr>
          <w:sz w:val="24"/>
          <w:szCs w:val="24"/>
        </w:rPr>
        <w:t>)</w:t>
      </w:r>
      <w:r w:rsidRPr="0004221B">
        <w:rPr>
          <w:sz w:val="24"/>
          <w:szCs w:val="24"/>
        </w:rPr>
        <w:t xml:space="preserve"> </w:t>
      </w:r>
      <w:r>
        <w:rPr>
          <w:sz w:val="24"/>
          <w:szCs w:val="24"/>
        </w:rPr>
        <w:t>„</w:t>
      </w:r>
      <w:r w:rsidRPr="0004221B">
        <w:rPr>
          <w:sz w:val="24"/>
          <w:szCs w:val="24"/>
        </w:rPr>
        <w:t>Potpora prenošenju znanja</w:t>
      </w:r>
      <w:r>
        <w:rPr>
          <w:sz w:val="24"/>
          <w:szCs w:val="24"/>
        </w:rPr>
        <w:t>“</w:t>
      </w:r>
      <w:r w:rsidRPr="0004221B">
        <w:rPr>
          <w:sz w:val="24"/>
          <w:szCs w:val="24"/>
        </w:rPr>
        <w:t xml:space="preserve"> </w:t>
      </w:r>
      <w:r>
        <w:rPr>
          <w:sz w:val="24"/>
          <w:szCs w:val="24"/>
        </w:rPr>
        <w:t xml:space="preserve">financiran </w:t>
      </w:r>
      <w:r w:rsidRPr="0004221B">
        <w:rPr>
          <w:sz w:val="24"/>
          <w:szCs w:val="24"/>
        </w:rPr>
        <w:t>iz Strateškog plana Z</w:t>
      </w:r>
      <w:r>
        <w:rPr>
          <w:sz w:val="24"/>
          <w:szCs w:val="24"/>
        </w:rPr>
        <w:t xml:space="preserve">PP, </w:t>
      </w:r>
      <w:r w:rsidRPr="0004221B">
        <w:rPr>
          <w:sz w:val="24"/>
          <w:szCs w:val="24"/>
        </w:rPr>
        <w:t xml:space="preserve">ukupne alokacije </w:t>
      </w:r>
      <w:r>
        <w:rPr>
          <w:sz w:val="24"/>
          <w:szCs w:val="24"/>
        </w:rPr>
        <w:t xml:space="preserve">6 </w:t>
      </w:r>
      <w:r w:rsidRPr="0004221B">
        <w:rPr>
          <w:sz w:val="24"/>
          <w:szCs w:val="24"/>
        </w:rPr>
        <w:t>milijuna eura</w:t>
      </w:r>
      <w:r>
        <w:rPr>
          <w:sz w:val="24"/>
          <w:szCs w:val="24"/>
        </w:rPr>
        <w:t>. Na natječaj su</w:t>
      </w:r>
      <w:r w:rsidRPr="0004221B">
        <w:rPr>
          <w:sz w:val="24"/>
          <w:szCs w:val="24"/>
        </w:rPr>
        <w:t xml:space="preserve"> zaprimljen</w:t>
      </w:r>
      <w:r>
        <w:rPr>
          <w:sz w:val="24"/>
          <w:szCs w:val="24"/>
        </w:rPr>
        <w:t>a</w:t>
      </w:r>
      <w:r w:rsidRPr="0004221B">
        <w:rPr>
          <w:sz w:val="24"/>
          <w:szCs w:val="24"/>
        </w:rPr>
        <w:t xml:space="preserve"> </w:t>
      </w:r>
      <w:r>
        <w:rPr>
          <w:sz w:val="24"/>
          <w:szCs w:val="24"/>
        </w:rPr>
        <w:t>33</w:t>
      </w:r>
      <w:r w:rsidRPr="0004221B">
        <w:rPr>
          <w:sz w:val="24"/>
          <w:szCs w:val="24"/>
        </w:rPr>
        <w:t xml:space="preserve"> zahtjeva za potporu privatnih i javnih savjetnika</w:t>
      </w:r>
      <w:r>
        <w:rPr>
          <w:sz w:val="24"/>
          <w:szCs w:val="24"/>
        </w:rPr>
        <w:t>, kojima je d</w:t>
      </w:r>
      <w:r w:rsidRPr="0004221B">
        <w:rPr>
          <w:sz w:val="24"/>
          <w:szCs w:val="24"/>
        </w:rPr>
        <w:t xml:space="preserve">o kraja 2024. isplaćeno </w:t>
      </w:r>
      <w:r w:rsidRPr="0004221B">
        <w:rPr>
          <w:sz w:val="24"/>
          <w:szCs w:val="24"/>
        </w:rPr>
        <w:lastRenderedPageBreak/>
        <w:t xml:space="preserve">1,5 milijuna eura. </w:t>
      </w:r>
    </w:p>
    <w:p w14:paraId="26B6AE7A" w14:textId="77777777" w:rsidR="00FB178A" w:rsidRDefault="00FB178A" w:rsidP="00FB178A">
      <w:pPr>
        <w:pStyle w:val="Default"/>
        <w:spacing w:before="240" w:after="240" w:line="276" w:lineRule="auto"/>
        <w:jc w:val="both"/>
        <w:rPr>
          <w:b/>
          <w:bCs/>
        </w:rPr>
      </w:pPr>
      <w:r>
        <w:t>N</w:t>
      </w:r>
      <w:r w:rsidRPr="00341C88">
        <w:t>astavljeno je ulaganje u projekte koji se provode putem lokalnih razvojnih strategija LAG-ova. U Hrvatskoj djeluje 56 odobrenih lokalnih akcijskih grupa (LAG-ovi) osnovanih sa ciljem udruživanja partnera iz javnog i privatnog sektora čija je namje</w:t>
      </w:r>
      <w:r>
        <w:t>n</w:t>
      </w:r>
      <w:r w:rsidRPr="00341C88">
        <w:t>a zajedničko djelovanje</w:t>
      </w:r>
      <w:r>
        <w:t xml:space="preserve"> za održivi razvoj ruralnih područja</w:t>
      </w:r>
      <w:r w:rsidRPr="00341C88">
        <w:t xml:space="preserve">. </w:t>
      </w:r>
      <w:r>
        <w:t xml:space="preserve">Tijekom 2024. nastavljena je provedba </w:t>
      </w:r>
      <w:r w:rsidRPr="001941AE">
        <w:t>natječaj</w:t>
      </w:r>
      <w:r>
        <w:t>a</w:t>
      </w:r>
      <w:r w:rsidRPr="001941AE">
        <w:t xml:space="preserve"> </w:t>
      </w:r>
      <w:r w:rsidRPr="00DE4ACD">
        <w:t>financiranog iz Strateškog plana</w:t>
      </w:r>
      <w:r>
        <w:t xml:space="preserve"> ZPP-a,</w:t>
      </w:r>
      <w:r w:rsidRPr="00DE4ACD">
        <w:t xml:space="preserve"> </w:t>
      </w:r>
      <w:r w:rsidRPr="001941AE">
        <w:t xml:space="preserve">za provedbu intervencije (73.13.) </w:t>
      </w:r>
      <w:r>
        <w:t>„</w:t>
      </w:r>
      <w:r w:rsidRPr="001941AE">
        <w:t>Potpora javnoj infrastrukturi u ruralnim područjima</w:t>
      </w:r>
      <w:r>
        <w:t xml:space="preserve">“, s ciljem </w:t>
      </w:r>
      <w:r w:rsidRPr="00341C88">
        <w:t>oživljavanja ruralnih područja i unaprjeđenj</w:t>
      </w:r>
      <w:r>
        <w:t>a</w:t>
      </w:r>
      <w:r w:rsidRPr="00341C88">
        <w:t xml:space="preserve"> kvalitete života na ruralnim i obalnim područjima</w:t>
      </w:r>
      <w:r>
        <w:t>. Z</w:t>
      </w:r>
      <w:r w:rsidRPr="0004221B">
        <w:t>a projekte izgradnje ili rekonstrukcije nerazvrstanih cesta</w:t>
      </w:r>
      <w:r>
        <w:t>, koji su jedna od prihvatljivih aktivnosti</w:t>
      </w:r>
      <w:r w:rsidRPr="00341C88">
        <w:t xml:space="preserve"> </w:t>
      </w:r>
      <w:r w:rsidRPr="00100BEC">
        <w:t xml:space="preserve">u okviru natječaja za </w:t>
      </w:r>
      <w:r w:rsidRPr="00E01901">
        <w:t>intervenciju 73.13.</w:t>
      </w:r>
      <w:r>
        <w:t xml:space="preserve">, određena je </w:t>
      </w:r>
      <w:r w:rsidRPr="00341C88">
        <w:t>u</w:t>
      </w:r>
      <w:r>
        <w:t xml:space="preserve">kupna </w:t>
      </w:r>
      <w:r w:rsidRPr="00341C88">
        <w:t>alokacij</w:t>
      </w:r>
      <w:r>
        <w:t>a od</w:t>
      </w:r>
      <w:r w:rsidRPr="00341C88">
        <w:t xml:space="preserve"> 30 milijuna </w:t>
      </w:r>
      <w:r>
        <w:t>eura</w:t>
      </w:r>
      <w:r w:rsidRPr="00341C88">
        <w:t>. Na natječaj je u 2024</w:t>
      </w:r>
      <w:r>
        <w:t xml:space="preserve">. </w:t>
      </w:r>
      <w:r w:rsidRPr="00341C88">
        <w:t>zaprimljeno ukupno 266 zahtjeva za potporu u ukupnom iznosu tražene potpore od 236 milijuna eura.</w:t>
      </w:r>
      <w:r>
        <w:br w:type="page"/>
      </w:r>
    </w:p>
    <w:p w14:paraId="49504880" w14:textId="77777777" w:rsidR="00FB178A" w:rsidRPr="004C7396" w:rsidRDefault="00FB178A" w:rsidP="00FB178A">
      <w:pPr>
        <w:pStyle w:val="Heading2"/>
        <w:spacing w:after="240" w:line="276" w:lineRule="auto"/>
        <w:rPr>
          <w:sz w:val="24"/>
          <w:szCs w:val="24"/>
        </w:rPr>
      </w:pPr>
      <w:bookmarkStart w:id="102" w:name="_Toc223002950"/>
      <w:r w:rsidRPr="004C7396">
        <w:rPr>
          <w:sz w:val="24"/>
          <w:szCs w:val="24"/>
        </w:rPr>
        <w:lastRenderedPageBreak/>
        <w:t>10. Održiva mobilnost</w:t>
      </w:r>
      <w:bookmarkEnd w:id="102"/>
    </w:p>
    <w:p w14:paraId="27FA2999" w14:textId="77777777" w:rsidR="00FB178A" w:rsidRPr="00145379" w:rsidRDefault="00FB178A" w:rsidP="00FB178A">
      <w:pPr>
        <w:pStyle w:val="Heading3"/>
      </w:pPr>
      <w:bookmarkStart w:id="103" w:name="_Toc223002951"/>
      <w:r w:rsidRPr="7B8BC2C2">
        <w:t>10.1.</w:t>
      </w:r>
      <w:r w:rsidRPr="7B8BC2C2">
        <w:rPr>
          <w:rFonts w:ascii="Calibri" w:eastAsia="Calibri" w:hAnsi="Calibri" w:cs="Calibri"/>
        </w:rPr>
        <w:t xml:space="preserve"> </w:t>
      </w:r>
      <w:r w:rsidRPr="7B8BC2C2">
        <w:t>Ostvarene vrijednosti pokazatelja uspješnosti</w:t>
      </w:r>
      <w:bookmarkEnd w:id="103"/>
    </w:p>
    <w:tbl>
      <w:tblPr>
        <w:tblStyle w:val="PlainTable1"/>
        <w:tblW w:w="9075" w:type="dxa"/>
        <w:tblInd w:w="2" w:type="dxa"/>
        <w:tblLayout w:type="fixed"/>
        <w:tblLook w:val="04A0" w:firstRow="1" w:lastRow="0" w:firstColumn="1" w:lastColumn="0" w:noHBand="0" w:noVBand="1"/>
      </w:tblPr>
      <w:tblGrid>
        <w:gridCol w:w="3251"/>
        <w:gridCol w:w="1842"/>
        <w:gridCol w:w="1843"/>
        <w:gridCol w:w="2139"/>
      </w:tblGrid>
      <w:tr w:rsidR="00FB178A" w:rsidRPr="00145379" w14:paraId="19AED3B6" w14:textId="77777777" w:rsidTr="009E18ED">
        <w:trPr>
          <w:cnfStyle w:val="100000000000" w:firstRow="1" w:lastRow="0" w:firstColumn="0" w:lastColumn="0" w:oddVBand="0" w:evenVBand="0" w:oddHBand="0" w:evenHBand="0" w:firstRowFirstColumn="0" w:firstRowLastColumn="0" w:lastRowFirstColumn="0" w:lastRowLastColumn="0"/>
          <w:trHeight w:val="636"/>
        </w:trPr>
        <w:tc>
          <w:tcPr>
            <w:cnfStyle w:val="001000000000" w:firstRow="0" w:lastRow="0" w:firstColumn="1" w:lastColumn="0" w:oddVBand="0" w:evenVBand="0" w:oddHBand="0" w:evenHBand="0" w:firstRowFirstColumn="0" w:firstRowLastColumn="0" w:lastRowFirstColumn="0" w:lastRowLastColumn="0"/>
            <w:tcW w:w="325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B6DDE8" w:themeFill="accent5" w:themeFillTint="66"/>
            <w:tcMar>
              <w:left w:w="108" w:type="dxa"/>
              <w:right w:w="108" w:type="dxa"/>
            </w:tcMar>
            <w:vAlign w:val="center"/>
          </w:tcPr>
          <w:p w14:paraId="431A96EB" w14:textId="77777777" w:rsidR="00FB178A" w:rsidRPr="00145379" w:rsidRDefault="00FB178A" w:rsidP="009E18ED">
            <w:pPr>
              <w:spacing w:line="276" w:lineRule="auto"/>
              <w:jc w:val="center"/>
              <w:rPr>
                <w:sz w:val="24"/>
                <w:szCs w:val="24"/>
              </w:rPr>
            </w:pPr>
            <w:r w:rsidRPr="00145379">
              <w:rPr>
                <w:sz w:val="24"/>
                <w:szCs w:val="24"/>
              </w:rPr>
              <w:t>Pokazatelj učinka</w:t>
            </w:r>
          </w:p>
        </w:tc>
        <w:tc>
          <w:tcPr>
            <w:tcW w:w="184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B6DDE8" w:themeFill="accent5" w:themeFillTint="66"/>
            <w:tcMar>
              <w:left w:w="108" w:type="dxa"/>
              <w:right w:w="108" w:type="dxa"/>
            </w:tcMar>
            <w:vAlign w:val="center"/>
          </w:tcPr>
          <w:p w14:paraId="6E1C8205" w14:textId="77777777" w:rsidR="00FB178A" w:rsidRPr="00145379" w:rsidRDefault="00FB178A" w:rsidP="009E18ED">
            <w:pPr>
              <w:spacing w:line="276" w:lineRule="auto"/>
              <w:jc w:val="center"/>
              <w:cnfStyle w:val="100000000000" w:firstRow="1" w:lastRow="0" w:firstColumn="0" w:lastColumn="0" w:oddVBand="0" w:evenVBand="0" w:oddHBand="0" w:evenHBand="0" w:firstRowFirstColumn="0" w:firstRowLastColumn="0" w:lastRowFirstColumn="0" w:lastRowLastColumn="0"/>
              <w:rPr>
                <w:sz w:val="24"/>
                <w:szCs w:val="24"/>
              </w:rPr>
            </w:pPr>
            <w:r w:rsidRPr="00145379">
              <w:rPr>
                <w:sz w:val="24"/>
                <w:szCs w:val="24"/>
              </w:rPr>
              <w:t>Početna vrijednost</w:t>
            </w:r>
          </w:p>
        </w:tc>
        <w:tc>
          <w:tcPr>
            <w:tcW w:w="184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B6DDE8" w:themeFill="accent5" w:themeFillTint="66"/>
            <w:tcMar>
              <w:left w:w="108" w:type="dxa"/>
              <w:right w:w="108" w:type="dxa"/>
            </w:tcMar>
            <w:vAlign w:val="center"/>
          </w:tcPr>
          <w:p w14:paraId="56B4F30D" w14:textId="77777777" w:rsidR="00FB178A" w:rsidRPr="00145379" w:rsidRDefault="00FB178A" w:rsidP="009E18ED">
            <w:pPr>
              <w:spacing w:line="276" w:lineRule="auto"/>
              <w:jc w:val="center"/>
              <w:cnfStyle w:val="100000000000" w:firstRow="1" w:lastRow="0" w:firstColumn="0" w:lastColumn="0" w:oddVBand="0" w:evenVBand="0" w:oddHBand="0" w:evenHBand="0" w:firstRowFirstColumn="0" w:firstRowLastColumn="0" w:lastRowFirstColumn="0" w:lastRowLastColumn="0"/>
              <w:rPr>
                <w:sz w:val="24"/>
                <w:szCs w:val="24"/>
              </w:rPr>
            </w:pPr>
            <w:r w:rsidRPr="00145379">
              <w:rPr>
                <w:sz w:val="24"/>
                <w:szCs w:val="24"/>
              </w:rPr>
              <w:t>Ciljna vrijednost</w:t>
            </w:r>
          </w:p>
        </w:tc>
        <w:tc>
          <w:tcPr>
            <w:tcW w:w="213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B6DDE8" w:themeFill="accent5" w:themeFillTint="66"/>
            <w:tcMar>
              <w:left w:w="108" w:type="dxa"/>
              <w:right w:w="108" w:type="dxa"/>
            </w:tcMar>
            <w:vAlign w:val="center"/>
          </w:tcPr>
          <w:p w14:paraId="76DD0FAA" w14:textId="77777777" w:rsidR="00FB178A" w:rsidRPr="00145379" w:rsidRDefault="00FB178A" w:rsidP="009E18ED">
            <w:pPr>
              <w:spacing w:line="276" w:lineRule="auto"/>
              <w:jc w:val="center"/>
              <w:cnfStyle w:val="100000000000" w:firstRow="1" w:lastRow="0" w:firstColumn="0" w:lastColumn="0" w:oddVBand="0" w:evenVBand="0" w:oddHBand="0" w:evenHBand="0" w:firstRowFirstColumn="0" w:firstRowLastColumn="0" w:lastRowFirstColumn="0" w:lastRowLastColumn="0"/>
              <w:rPr>
                <w:sz w:val="24"/>
                <w:szCs w:val="24"/>
              </w:rPr>
            </w:pPr>
            <w:r w:rsidRPr="00145379">
              <w:rPr>
                <w:sz w:val="24"/>
                <w:szCs w:val="24"/>
              </w:rPr>
              <w:t xml:space="preserve">Ostvarena vrijednost </w:t>
            </w:r>
          </w:p>
        </w:tc>
      </w:tr>
      <w:tr w:rsidR="00FB178A" w:rsidRPr="00145379" w14:paraId="7CB99E1A" w14:textId="77777777" w:rsidTr="009E18ED">
        <w:trPr>
          <w:trHeight w:val="986"/>
        </w:trPr>
        <w:tc>
          <w:tcPr>
            <w:cnfStyle w:val="001000000000" w:firstRow="0" w:lastRow="0" w:firstColumn="1" w:lastColumn="0" w:oddVBand="0" w:evenVBand="0" w:oddHBand="0" w:evenHBand="0" w:firstRowFirstColumn="0" w:firstRowLastColumn="0" w:lastRowFirstColumn="0" w:lastRowLastColumn="0"/>
            <w:tcW w:w="325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Mar>
              <w:left w:w="108" w:type="dxa"/>
              <w:right w:w="108" w:type="dxa"/>
            </w:tcMar>
            <w:vAlign w:val="center"/>
          </w:tcPr>
          <w:p w14:paraId="62FCB6C5" w14:textId="77777777" w:rsidR="00FB178A" w:rsidRPr="00145379" w:rsidRDefault="00FB178A" w:rsidP="009E18ED">
            <w:pPr>
              <w:spacing w:line="276" w:lineRule="auto"/>
              <w:rPr>
                <w:b w:val="0"/>
                <w:i/>
                <w:color w:val="000000" w:themeColor="text1"/>
                <w:sz w:val="24"/>
                <w:szCs w:val="24"/>
              </w:rPr>
            </w:pPr>
            <w:r w:rsidRPr="00145379">
              <w:rPr>
                <w:b w:val="0"/>
                <w:i/>
                <w:color w:val="000000" w:themeColor="text1"/>
                <w:sz w:val="24"/>
                <w:szCs w:val="24"/>
              </w:rPr>
              <w:t>Indeks globalne konkurentnosti (GCI), komponentna „Infrastruktura”</w:t>
            </w:r>
          </w:p>
        </w:tc>
        <w:tc>
          <w:tcPr>
            <w:tcW w:w="184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Mar>
              <w:left w:w="108" w:type="dxa"/>
              <w:right w:w="108" w:type="dxa"/>
            </w:tcMar>
            <w:vAlign w:val="center"/>
          </w:tcPr>
          <w:p w14:paraId="13FC929D" w14:textId="77777777" w:rsidR="00FB178A" w:rsidRPr="00145379" w:rsidRDefault="00FB178A" w:rsidP="009E18ED">
            <w:pPr>
              <w:spacing w:line="276" w:lineRule="auto"/>
              <w:jc w:val="center"/>
              <w:cnfStyle w:val="000000000000" w:firstRow="0" w:lastRow="0" w:firstColumn="0" w:lastColumn="0" w:oddVBand="0" w:evenVBand="0" w:oddHBand="0" w:evenHBand="0" w:firstRowFirstColumn="0" w:firstRowLastColumn="0" w:lastRowFirstColumn="0" w:lastRowLastColumn="0"/>
              <w:rPr>
                <w:i/>
                <w:color w:val="000000" w:themeColor="text1"/>
                <w:sz w:val="24"/>
                <w:szCs w:val="24"/>
              </w:rPr>
            </w:pPr>
            <w:r w:rsidRPr="00145379">
              <w:rPr>
                <w:i/>
                <w:color w:val="000000" w:themeColor="text1"/>
                <w:sz w:val="24"/>
                <w:szCs w:val="24"/>
              </w:rPr>
              <w:t>32. mjesto</w:t>
            </w:r>
          </w:p>
          <w:p w14:paraId="5B914BDA" w14:textId="77777777" w:rsidR="00FB178A" w:rsidRPr="00145379" w:rsidRDefault="00FB178A" w:rsidP="009E18ED">
            <w:pPr>
              <w:spacing w:line="276" w:lineRule="auto"/>
              <w:jc w:val="center"/>
              <w:cnfStyle w:val="000000000000" w:firstRow="0" w:lastRow="0" w:firstColumn="0" w:lastColumn="0" w:oddVBand="0" w:evenVBand="0" w:oddHBand="0" w:evenHBand="0" w:firstRowFirstColumn="0" w:firstRowLastColumn="0" w:lastRowFirstColumn="0" w:lastRowLastColumn="0"/>
              <w:rPr>
                <w:i/>
                <w:color w:val="000000" w:themeColor="text1"/>
                <w:sz w:val="24"/>
                <w:szCs w:val="24"/>
              </w:rPr>
            </w:pPr>
            <w:r w:rsidRPr="00145379">
              <w:rPr>
                <w:i/>
                <w:color w:val="000000" w:themeColor="text1"/>
                <w:sz w:val="24"/>
                <w:szCs w:val="24"/>
              </w:rPr>
              <w:t>(2019.)</w:t>
            </w:r>
          </w:p>
        </w:tc>
        <w:tc>
          <w:tcPr>
            <w:tcW w:w="184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Mar>
              <w:left w:w="108" w:type="dxa"/>
              <w:right w:w="108" w:type="dxa"/>
            </w:tcMar>
            <w:vAlign w:val="center"/>
          </w:tcPr>
          <w:p w14:paraId="7017DA96" w14:textId="77777777" w:rsidR="00FB178A" w:rsidRPr="00145379" w:rsidRDefault="00FB178A" w:rsidP="009E18ED">
            <w:pPr>
              <w:spacing w:line="276" w:lineRule="auto"/>
              <w:jc w:val="center"/>
              <w:cnfStyle w:val="000000000000" w:firstRow="0" w:lastRow="0" w:firstColumn="0" w:lastColumn="0" w:oddVBand="0" w:evenVBand="0" w:oddHBand="0" w:evenHBand="0" w:firstRowFirstColumn="0" w:firstRowLastColumn="0" w:lastRowFirstColumn="0" w:lastRowLastColumn="0"/>
              <w:rPr>
                <w:i/>
                <w:color w:val="000000" w:themeColor="text1"/>
                <w:sz w:val="24"/>
                <w:szCs w:val="24"/>
              </w:rPr>
            </w:pPr>
            <w:r w:rsidRPr="00145379">
              <w:rPr>
                <w:i/>
                <w:color w:val="000000" w:themeColor="text1"/>
                <w:sz w:val="24"/>
                <w:szCs w:val="24"/>
              </w:rPr>
              <w:t>&lt; 28. mjesta</w:t>
            </w:r>
          </w:p>
        </w:tc>
        <w:tc>
          <w:tcPr>
            <w:tcW w:w="213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Mar>
              <w:left w:w="108" w:type="dxa"/>
              <w:right w:w="108" w:type="dxa"/>
            </w:tcMar>
            <w:vAlign w:val="center"/>
          </w:tcPr>
          <w:p w14:paraId="5E299803" w14:textId="77777777" w:rsidR="00FB178A" w:rsidRPr="00145379" w:rsidRDefault="00FB178A" w:rsidP="009E18ED">
            <w:pPr>
              <w:spacing w:line="276" w:lineRule="auto"/>
              <w:jc w:val="center"/>
              <w:cnfStyle w:val="000000000000" w:firstRow="0" w:lastRow="0" w:firstColumn="0" w:lastColumn="0" w:oddVBand="0" w:evenVBand="0" w:oddHBand="0" w:evenHBand="0" w:firstRowFirstColumn="0" w:firstRowLastColumn="0" w:lastRowFirstColumn="0" w:lastRowLastColumn="0"/>
              <w:rPr>
                <w:i/>
                <w:sz w:val="24"/>
                <w:szCs w:val="24"/>
                <w:vertAlign w:val="superscript"/>
              </w:rPr>
            </w:pPr>
            <w:r w:rsidRPr="00FA316D">
              <w:rPr>
                <w:i/>
                <w:sz w:val="32"/>
                <w:szCs w:val="32"/>
                <w:vertAlign w:val="superscript"/>
              </w:rPr>
              <w:t>nisu dostupni podaci</w:t>
            </w:r>
          </w:p>
        </w:tc>
      </w:tr>
      <w:tr w:rsidR="00FB178A" w:rsidRPr="00145379" w14:paraId="69629653" w14:textId="77777777" w:rsidTr="009E18ED">
        <w:trPr>
          <w:trHeight w:val="1282"/>
        </w:trPr>
        <w:tc>
          <w:tcPr>
            <w:cnfStyle w:val="001000000000" w:firstRow="0" w:lastRow="0" w:firstColumn="1" w:lastColumn="0" w:oddVBand="0" w:evenVBand="0" w:oddHBand="0" w:evenHBand="0" w:firstRowFirstColumn="0" w:firstRowLastColumn="0" w:lastRowFirstColumn="0" w:lastRowLastColumn="0"/>
            <w:tcW w:w="325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77F344AD" w14:textId="77777777" w:rsidR="00FB178A" w:rsidRPr="0004221B" w:rsidRDefault="00FB178A" w:rsidP="009E18ED">
            <w:pPr>
              <w:spacing w:line="276" w:lineRule="auto"/>
              <w:rPr>
                <w:b w:val="0"/>
                <w:bCs w:val="0"/>
                <w:sz w:val="24"/>
                <w:szCs w:val="24"/>
              </w:rPr>
            </w:pPr>
            <w:r w:rsidRPr="004C1BAC">
              <w:rPr>
                <w:sz w:val="24"/>
                <w:szCs w:val="24"/>
              </w:rPr>
              <w:t>Poredak na ljestvici globalne konkurentnosti (WCR, IMD), kategorija Infrastruktura</w:t>
            </w:r>
          </w:p>
        </w:tc>
        <w:tc>
          <w:tcPr>
            <w:tcW w:w="184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AEEF3" w:themeFill="accent5" w:themeFillTint="33"/>
            <w:tcMar>
              <w:left w:w="108" w:type="dxa"/>
              <w:right w:w="108" w:type="dxa"/>
            </w:tcMar>
            <w:vAlign w:val="center"/>
          </w:tcPr>
          <w:p w14:paraId="4A9E9D27" w14:textId="77777777" w:rsidR="00FB178A" w:rsidRPr="004C1BAC" w:rsidRDefault="00FB178A" w:rsidP="009E18ED">
            <w:pPr>
              <w:spacing w:line="276"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04221B">
              <w:rPr>
                <w:sz w:val="24"/>
                <w:szCs w:val="24"/>
              </w:rPr>
              <w:t>48. mjesto (2020.)</w:t>
            </w:r>
          </w:p>
        </w:tc>
        <w:tc>
          <w:tcPr>
            <w:tcW w:w="184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41FFC832" w14:textId="77777777" w:rsidR="00FB178A" w:rsidRPr="004C1BAC" w:rsidRDefault="00FB178A" w:rsidP="009E18ED">
            <w:pPr>
              <w:spacing w:line="276"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04221B">
              <w:rPr>
                <w:sz w:val="24"/>
                <w:szCs w:val="24"/>
              </w:rPr>
              <w:t>n/p</w:t>
            </w:r>
          </w:p>
        </w:tc>
        <w:tc>
          <w:tcPr>
            <w:tcW w:w="213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AEEF3" w:themeFill="accent5" w:themeFillTint="33"/>
            <w:tcMar>
              <w:left w:w="108" w:type="dxa"/>
              <w:right w:w="108" w:type="dxa"/>
            </w:tcMar>
            <w:vAlign w:val="center"/>
          </w:tcPr>
          <w:p w14:paraId="0CAFF6A4" w14:textId="77777777" w:rsidR="00FB178A" w:rsidRPr="004C1BAC" w:rsidRDefault="00FB178A" w:rsidP="009E18ED">
            <w:pPr>
              <w:spacing w:line="276"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4C1BAC">
              <w:rPr>
                <w:sz w:val="24"/>
                <w:szCs w:val="24"/>
              </w:rPr>
              <w:t xml:space="preserve">44. mjesto </w:t>
            </w:r>
          </w:p>
          <w:p w14:paraId="5595A833" w14:textId="77777777" w:rsidR="00FB178A" w:rsidRPr="004C1BAC" w:rsidRDefault="00FB178A" w:rsidP="009E18ED">
            <w:pPr>
              <w:spacing w:line="276"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4C1BAC">
              <w:rPr>
                <w:sz w:val="24"/>
                <w:szCs w:val="24"/>
              </w:rPr>
              <w:t>(2024.)</w:t>
            </w:r>
          </w:p>
        </w:tc>
      </w:tr>
    </w:tbl>
    <w:p w14:paraId="062DDA47" w14:textId="77777777" w:rsidR="00FB178A" w:rsidRPr="00145379" w:rsidRDefault="00FB178A" w:rsidP="00FB178A">
      <w:pPr>
        <w:spacing w:after="160" w:line="276" w:lineRule="auto"/>
        <w:jc w:val="both"/>
        <w:rPr>
          <w:sz w:val="24"/>
          <w:szCs w:val="24"/>
        </w:rPr>
      </w:pPr>
      <w:r w:rsidRPr="00145379">
        <w:rPr>
          <w:b/>
          <w:bCs/>
          <w:sz w:val="24"/>
          <w:szCs w:val="24"/>
        </w:rPr>
        <w:t xml:space="preserve"> </w:t>
      </w:r>
    </w:p>
    <w:p w14:paraId="281B8D64" w14:textId="77777777" w:rsidR="00FB178A" w:rsidRPr="004709B9" w:rsidRDefault="00FB178A" w:rsidP="00FB178A">
      <w:pPr>
        <w:pStyle w:val="Heading3"/>
      </w:pPr>
      <w:bookmarkStart w:id="104" w:name="_Toc223002952"/>
      <w:r w:rsidRPr="004709B9">
        <w:t>10.2. Opis napretka u provedbi strateškog cilja „Održiva mobilnost“</w:t>
      </w:r>
      <w:bookmarkEnd w:id="104"/>
    </w:p>
    <w:p w14:paraId="440C06A0" w14:textId="77777777" w:rsidR="00FB178A" w:rsidRDefault="00FB178A" w:rsidP="00FB178A">
      <w:pPr>
        <w:spacing w:line="276" w:lineRule="auto"/>
        <w:ind w:firstLine="709"/>
        <w:jc w:val="both"/>
        <w:rPr>
          <w:sz w:val="24"/>
          <w:szCs w:val="24"/>
        </w:rPr>
      </w:pPr>
      <w:r w:rsidRPr="0004221B">
        <w:rPr>
          <w:sz w:val="24"/>
          <w:szCs w:val="24"/>
        </w:rPr>
        <w:t>Hrvatska je tijekom 2024. nastavila aktivnosti usmjerene na razvoj konkurentnog, učinkovitog i energetski održivog prometnog sustava</w:t>
      </w:r>
      <w:r>
        <w:rPr>
          <w:sz w:val="24"/>
          <w:szCs w:val="24"/>
        </w:rPr>
        <w:t>. Nastavljena su</w:t>
      </w:r>
      <w:r w:rsidRPr="0004221B">
        <w:rPr>
          <w:sz w:val="24"/>
          <w:szCs w:val="24"/>
        </w:rPr>
        <w:t xml:space="preserve"> ulaganj</w:t>
      </w:r>
      <w:r>
        <w:rPr>
          <w:sz w:val="24"/>
          <w:szCs w:val="24"/>
        </w:rPr>
        <w:t>a</w:t>
      </w:r>
      <w:r w:rsidRPr="0004221B">
        <w:rPr>
          <w:sz w:val="24"/>
          <w:szCs w:val="24"/>
        </w:rPr>
        <w:t xml:space="preserve"> u modernizaciju prometne infrastrukture, sigurnost</w:t>
      </w:r>
      <w:r>
        <w:rPr>
          <w:sz w:val="24"/>
          <w:szCs w:val="24"/>
        </w:rPr>
        <w:t>i</w:t>
      </w:r>
      <w:r w:rsidRPr="0004221B">
        <w:rPr>
          <w:sz w:val="24"/>
          <w:szCs w:val="24"/>
        </w:rPr>
        <w:t>, ekološk</w:t>
      </w:r>
      <w:r>
        <w:rPr>
          <w:sz w:val="24"/>
          <w:szCs w:val="24"/>
        </w:rPr>
        <w:t>e</w:t>
      </w:r>
      <w:r w:rsidRPr="0004221B">
        <w:rPr>
          <w:sz w:val="24"/>
          <w:szCs w:val="24"/>
        </w:rPr>
        <w:t xml:space="preserve"> održivost</w:t>
      </w:r>
      <w:r>
        <w:rPr>
          <w:sz w:val="24"/>
          <w:szCs w:val="24"/>
        </w:rPr>
        <w:t>i</w:t>
      </w:r>
      <w:r w:rsidRPr="0004221B">
        <w:rPr>
          <w:sz w:val="24"/>
          <w:szCs w:val="24"/>
        </w:rPr>
        <w:t>, učinkovitost</w:t>
      </w:r>
      <w:r>
        <w:rPr>
          <w:sz w:val="24"/>
          <w:szCs w:val="24"/>
        </w:rPr>
        <w:t>i</w:t>
      </w:r>
      <w:r w:rsidRPr="0004221B">
        <w:rPr>
          <w:sz w:val="24"/>
          <w:szCs w:val="24"/>
        </w:rPr>
        <w:t xml:space="preserve"> i konkurentnost</w:t>
      </w:r>
      <w:r>
        <w:rPr>
          <w:sz w:val="24"/>
          <w:szCs w:val="24"/>
        </w:rPr>
        <w:t>i</w:t>
      </w:r>
      <w:r w:rsidRPr="0004221B">
        <w:rPr>
          <w:sz w:val="24"/>
          <w:szCs w:val="24"/>
        </w:rPr>
        <w:t xml:space="preserve"> svih vidova prometa. Istodobno se provode sveobuhvatne reforme željezničkog, cestovnog, zračnog i elektroničkog prometa, kao i reforme pomorstva i unutarnjih plovnih putova, u skladu sa strateškim aktima čij</w:t>
      </w:r>
      <w:r>
        <w:rPr>
          <w:sz w:val="24"/>
          <w:szCs w:val="24"/>
        </w:rPr>
        <w:t>i</w:t>
      </w:r>
      <w:r w:rsidRPr="0004221B">
        <w:rPr>
          <w:sz w:val="24"/>
          <w:szCs w:val="24"/>
        </w:rPr>
        <w:t xml:space="preserve"> se </w:t>
      </w:r>
      <w:r>
        <w:rPr>
          <w:sz w:val="24"/>
          <w:szCs w:val="24"/>
        </w:rPr>
        <w:t xml:space="preserve">ciljevi i </w:t>
      </w:r>
      <w:r w:rsidRPr="0004221B">
        <w:rPr>
          <w:sz w:val="24"/>
          <w:szCs w:val="24"/>
        </w:rPr>
        <w:t>mjere dosljedno realiziraju.</w:t>
      </w:r>
      <w:r>
        <w:rPr>
          <w:sz w:val="24"/>
          <w:szCs w:val="24"/>
        </w:rPr>
        <w:t xml:space="preserve"> Prema istraživanju</w:t>
      </w:r>
      <w:r w:rsidRPr="00394BE5">
        <w:rPr>
          <w:sz w:val="24"/>
          <w:szCs w:val="24"/>
        </w:rPr>
        <w:t xml:space="preserve"> </w:t>
      </w:r>
      <w:r>
        <w:rPr>
          <w:sz w:val="24"/>
          <w:szCs w:val="24"/>
        </w:rPr>
        <w:t xml:space="preserve">„Ljestvica globalne konkurentnosti (WCR)“ Instituta za poslovno upravljanje iz </w:t>
      </w:r>
      <w:proofErr w:type="spellStart"/>
      <w:r>
        <w:rPr>
          <w:sz w:val="24"/>
          <w:szCs w:val="24"/>
        </w:rPr>
        <w:t>Lausanne</w:t>
      </w:r>
      <w:proofErr w:type="spellEnd"/>
      <w:r>
        <w:rPr>
          <w:sz w:val="24"/>
          <w:szCs w:val="24"/>
        </w:rPr>
        <w:t xml:space="preserve"> (IMD)</w:t>
      </w:r>
      <w:r w:rsidRPr="00394BE5">
        <w:rPr>
          <w:sz w:val="24"/>
          <w:szCs w:val="24"/>
        </w:rPr>
        <w:t xml:space="preserve">, </w:t>
      </w:r>
      <w:r>
        <w:rPr>
          <w:sz w:val="24"/>
          <w:szCs w:val="24"/>
        </w:rPr>
        <w:t>Hrvatska je prema pokazateljima u kategoriji</w:t>
      </w:r>
      <w:r w:rsidRPr="00394BE5">
        <w:rPr>
          <w:sz w:val="24"/>
          <w:szCs w:val="24"/>
        </w:rPr>
        <w:t xml:space="preserve"> „Infrastruktura“ </w:t>
      </w:r>
      <w:r>
        <w:rPr>
          <w:sz w:val="24"/>
          <w:szCs w:val="24"/>
        </w:rPr>
        <w:t xml:space="preserve">zabilježila pomak za jedno mjesto na poretku te je s 45. mjesta napredovala na 44. mjesto. </w:t>
      </w:r>
      <w:r w:rsidRPr="00044C17">
        <w:rPr>
          <w:sz w:val="24"/>
          <w:szCs w:val="24"/>
        </w:rPr>
        <w:t xml:space="preserve">Ovakav pomak potvrđuje da su pouzdanost, kvaliteta i dostupnost prometne infrastrukture </w:t>
      </w:r>
      <w:r>
        <w:rPr>
          <w:sz w:val="24"/>
          <w:szCs w:val="24"/>
        </w:rPr>
        <w:t xml:space="preserve">u Hrvatskoj </w:t>
      </w:r>
      <w:r w:rsidRPr="00044C17">
        <w:rPr>
          <w:sz w:val="24"/>
          <w:szCs w:val="24"/>
        </w:rPr>
        <w:t>prepoznat</w:t>
      </w:r>
      <w:r>
        <w:rPr>
          <w:sz w:val="24"/>
          <w:szCs w:val="24"/>
        </w:rPr>
        <w:t>e</w:t>
      </w:r>
      <w:r w:rsidRPr="00044C17">
        <w:rPr>
          <w:sz w:val="24"/>
          <w:szCs w:val="24"/>
        </w:rPr>
        <w:t xml:space="preserve"> kao čimbenici koji doprinose jačanju</w:t>
      </w:r>
      <w:r>
        <w:rPr>
          <w:sz w:val="24"/>
          <w:szCs w:val="24"/>
        </w:rPr>
        <w:t xml:space="preserve"> njene</w:t>
      </w:r>
      <w:r w:rsidRPr="00044C17">
        <w:rPr>
          <w:sz w:val="24"/>
          <w:szCs w:val="24"/>
        </w:rPr>
        <w:t xml:space="preserve"> međunarodne konkurentnosti.</w:t>
      </w:r>
    </w:p>
    <w:p w14:paraId="1C67050A" w14:textId="77777777" w:rsidR="00FB178A" w:rsidRDefault="00FB178A" w:rsidP="00FB178A">
      <w:pPr>
        <w:spacing w:before="240" w:after="240" w:line="276" w:lineRule="auto"/>
        <w:jc w:val="both"/>
        <w:rPr>
          <w:sz w:val="24"/>
          <w:szCs w:val="24"/>
        </w:rPr>
      </w:pPr>
      <w:r w:rsidRPr="0019409E">
        <w:rPr>
          <w:sz w:val="24"/>
          <w:szCs w:val="24"/>
        </w:rPr>
        <w:t>Tijekom 202</w:t>
      </w:r>
      <w:r>
        <w:rPr>
          <w:sz w:val="24"/>
          <w:szCs w:val="24"/>
        </w:rPr>
        <w:t>4</w:t>
      </w:r>
      <w:r w:rsidRPr="0019409E">
        <w:rPr>
          <w:sz w:val="24"/>
          <w:szCs w:val="24"/>
        </w:rPr>
        <w:t>. svim modalitetima prijevoza prevezeno je ukupno 8</w:t>
      </w:r>
      <w:r>
        <w:rPr>
          <w:sz w:val="24"/>
          <w:szCs w:val="24"/>
        </w:rPr>
        <w:t>3</w:t>
      </w:r>
      <w:r w:rsidRPr="0019409E">
        <w:rPr>
          <w:sz w:val="24"/>
          <w:szCs w:val="24"/>
        </w:rPr>
        <w:t>,</w:t>
      </w:r>
      <w:r>
        <w:rPr>
          <w:sz w:val="24"/>
          <w:szCs w:val="24"/>
        </w:rPr>
        <w:t>961</w:t>
      </w:r>
      <w:r w:rsidRPr="0019409E">
        <w:rPr>
          <w:sz w:val="24"/>
          <w:szCs w:val="24"/>
        </w:rPr>
        <w:t xml:space="preserve"> milijun putnika, </w:t>
      </w:r>
      <w:r w:rsidRPr="00292F65">
        <w:rPr>
          <w:sz w:val="24"/>
          <w:szCs w:val="24"/>
        </w:rPr>
        <w:t>što</w:t>
      </w:r>
      <w:r>
        <w:rPr>
          <w:sz w:val="24"/>
          <w:szCs w:val="24"/>
        </w:rPr>
        <w:t xml:space="preserve"> u usporedbi </w:t>
      </w:r>
      <w:r w:rsidRPr="00292F65">
        <w:rPr>
          <w:sz w:val="24"/>
          <w:szCs w:val="24"/>
        </w:rPr>
        <w:t xml:space="preserve">s 2023. </w:t>
      </w:r>
      <w:r>
        <w:rPr>
          <w:sz w:val="24"/>
          <w:szCs w:val="24"/>
        </w:rPr>
        <w:t xml:space="preserve">predstavlja </w:t>
      </w:r>
      <w:r w:rsidRPr="00292F65">
        <w:rPr>
          <w:sz w:val="24"/>
          <w:szCs w:val="24"/>
        </w:rPr>
        <w:t>pad za 0,</w:t>
      </w:r>
      <w:r>
        <w:rPr>
          <w:sz w:val="24"/>
          <w:szCs w:val="24"/>
        </w:rPr>
        <w:t>24</w:t>
      </w:r>
      <w:r w:rsidRPr="00292F65">
        <w:rPr>
          <w:sz w:val="24"/>
          <w:szCs w:val="24"/>
        </w:rPr>
        <w:t>%.</w:t>
      </w:r>
      <w:r>
        <w:rPr>
          <w:sz w:val="24"/>
          <w:szCs w:val="24"/>
        </w:rPr>
        <w:t xml:space="preserve"> Unatoč ukupnom padu, u </w:t>
      </w:r>
      <w:r w:rsidRPr="00026EB2">
        <w:rPr>
          <w:sz w:val="24"/>
          <w:szCs w:val="24"/>
        </w:rPr>
        <w:t xml:space="preserve">većini </w:t>
      </w:r>
      <w:r>
        <w:rPr>
          <w:sz w:val="24"/>
          <w:szCs w:val="24"/>
        </w:rPr>
        <w:t>sektora prometnog sustava</w:t>
      </w:r>
      <w:r w:rsidRPr="00026EB2">
        <w:rPr>
          <w:sz w:val="24"/>
          <w:szCs w:val="24"/>
        </w:rPr>
        <w:t xml:space="preserve"> zabilježen je rast p</w:t>
      </w:r>
      <w:r>
        <w:rPr>
          <w:sz w:val="24"/>
          <w:szCs w:val="24"/>
        </w:rPr>
        <w:t>rijevoza putnika</w:t>
      </w:r>
      <w:r w:rsidRPr="00026EB2">
        <w:rPr>
          <w:sz w:val="24"/>
          <w:szCs w:val="24"/>
        </w:rPr>
        <w:t xml:space="preserve">. Najveći porast ostvaren je u pomorskom i obalnom prijevozu (3,1%) te u zračnom prijevozu (2,7%), dok je željeznički promet porastao za </w:t>
      </w:r>
      <w:r>
        <w:rPr>
          <w:sz w:val="24"/>
          <w:szCs w:val="24"/>
        </w:rPr>
        <w:t>3</w:t>
      </w:r>
      <w:r w:rsidRPr="00026EB2">
        <w:rPr>
          <w:sz w:val="24"/>
          <w:szCs w:val="24"/>
        </w:rPr>
        <w:t>,</w:t>
      </w:r>
      <w:r>
        <w:rPr>
          <w:sz w:val="24"/>
          <w:szCs w:val="24"/>
        </w:rPr>
        <w:t>09</w:t>
      </w:r>
      <w:r w:rsidRPr="00026EB2">
        <w:rPr>
          <w:sz w:val="24"/>
          <w:szCs w:val="24"/>
        </w:rPr>
        <w:t>%. Jedino je u cestovnom linijskom prijevozu putnika zabilježen pad od 3,5%.</w:t>
      </w:r>
      <w:r w:rsidRPr="0019409E">
        <w:rPr>
          <w:sz w:val="24"/>
          <w:szCs w:val="24"/>
        </w:rPr>
        <w:t xml:space="preserve"> </w:t>
      </w:r>
      <w:r>
        <w:rPr>
          <w:sz w:val="24"/>
          <w:szCs w:val="24"/>
        </w:rPr>
        <w:t xml:space="preserve">Obzirom da su pomorski i </w:t>
      </w:r>
      <w:r w:rsidRPr="00030625">
        <w:rPr>
          <w:sz w:val="24"/>
          <w:szCs w:val="24"/>
        </w:rPr>
        <w:t xml:space="preserve">željeznički prijevoz znatno ekološki prihvatljiviji od cestovnog, ostvareni trendovi upućuju na pozitivan doprinos ciljevima </w:t>
      </w:r>
      <w:proofErr w:type="spellStart"/>
      <w:r w:rsidRPr="00030625">
        <w:rPr>
          <w:sz w:val="24"/>
          <w:szCs w:val="24"/>
        </w:rPr>
        <w:t>dekarbonizacije</w:t>
      </w:r>
      <w:proofErr w:type="spellEnd"/>
      <w:r w:rsidRPr="00030625">
        <w:rPr>
          <w:sz w:val="24"/>
          <w:szCs w:val="24"/>
        </w:rPr>
        <w:t xml:space="preserve"> prometa.</w:t>
      </w:r>
      <w:r>
        <w:rPr>
          <w:sz w:val="24"/>
          <w:szCs w:val="24"/>
        </w:rPr>
        <w:t xml:space="preserve"> U</w:t>
      </w:r>
      <w:r w:rsidRPr="002D3B7E">
        <w:rPr>
          <w:sz w:val="24"/>
          <w:szCs w:val="24"/>
        </w:rPr>
        <w:t xml:space="preserve"> segmentu teretnog prijevoza, u 202</w:t>
      </w:r>
      <w:r>
        <w:rPr>
          <w:sz w:val="24"/>
          <w:szCs w:val="24"/>
        </w:rPr>
        <w:t>4</w:t>
      </w:r>
      <w:r w:rsidRPr="002D3B7E">
        <w:rPr>
          <w:sz w:val="24"/>
          <w:szCs w:val="24"/>
        </w:rPr>
        <w:t xml:space="preserve">. </w:t>
      </w:r>
      <w:r w:rsidRPr="00825F29">
        <w:rPr>
          <w:sz w:val="24"/>
          <w:szCs w:val="24"/>
        </w:rPr>
        <w:t>ukupno su prevezena 133,4 milijuna tona robe, što je za 5,1% više u odnosu na isto razdoblje 2023. Porast prometa ostvaren je u cestovnom prijevozu za 6,4%, u pomorskome i obalnom prijevozu za 6,9%, u željezničkom prijevozu za 4,0%</w:t>
      </w:r>
      <w:r>
        <w:rPr>
          <w:sz w:val="24"/>
          <w:szCs w:val="24"/>
        </w:rPr>
        <w:t xml:space="preserve"> </w:t>
      </w:r>
      <w:r w:rsidRPr="00825F29">
        <w:rPr>
          <w:sz w:val="24"/>
          <w:szCs w:val="24"/>
        </w:rPr>
        <w:t>te u prijevozu na unutarnjim vodnim putovima za 7,7%. Pad prometa evidentiran je u zračnom prijevozu za 7,4%, te u cjevovodnom transportu za 7,3%.</w:t>
      </w:r>
      <w:r>
        <w:rPr>
          <w:sz w:val="24"/>
          <w:szCs w:val="24"/>
        </w:rPr>
        <w:t xml:space="preserve"> </w:t>
      </w:r>
      <w:r w:rsidRPr="00E80EDC">
        <w:rPr>
          <w:sz w:val="24"/>
          <w:szCs w:val="24"/>
        </w:rPr>
        <w:t xml:space="preserve">Struktura </w:t>
      </w:r>
      <w:r>
        <w:rPr>
          <w:sz w:val="24"/>
          <w:szCs w:val="24"/>
        </w:rPr>
        <w:t xml:space="preserve">zabilježenog </w:t>
      </w:r>
      <w:r w:rsidRPr="00E80EDC">
        <w:rPr>
          <w:sz w:val="24"/>
          <w:szCs w:val="24"/>
        </w:rPr>
        <w:t xml:space="preserve">rasta, osobito u željezničkom </w:t>
      </w:r>
      <w:r>
        <w:rPr>
          <w:sz w:val="24"/>
          <w:szCs w:val="24"/>
        </w:rPr>
        <w:t>te</w:t>
      </w:r>
      <w:r w:rsidRPr="00E80EDC">
        <w:rPr>
          <w:sz w:val="24"/>
          <w:szCs w:val="24"/>
        </w:rPr>
        <w:t xml:space="preserve"> pomorskom </w:t>
      </w:r>
      <w:r>
        <w:rPr>
          <w:sz w:val="24"/>
          <w:szCs w:val="24"/>
        </w:rPr>
        <w:t xml:space="preserve">i vodnom </w:t>
      </w:r>
      <w:r w:rsidRPr="00E80EDC">
        <w:rPr>
          <w:sz w:val="24"/>
          <w:szCs w:val="24"/>
        </w:rPr>
        <w:t xml:space="preserve">prometu, upućuje na pozitivan doprinos ciljevima postupne </w:t>
      </w:r>
      <w:proofErr w:type="spellStart"/>
      <w:r w:rsidRPr="00E80EDC">
        <w:rPr>
          <w:sz w:val="24"/>
          <w:szCs w:val="24"/>
        </w:rPr>
        <w:t>dekarbonizacije</w:t>
      </w:r>
      <w:proofErr w:type="spellEnd"/>
      <w:r w:rsidRPr="00E80EDC">
        <w:rPr>
          <w:sz w:val="24"/>
          <w:szCs w:val="24"/>
        </w:rPr>
        <w:t xml:space="preserve"> </w:t>
      </w:r>
      <w:r w:rsidRPr="00E80EDC">
        <w:rPr>
          <w:sz w:val="24"/>
          <w:szCs w:val="24"/>
        </w:rPr>
        <w:lastRenderedPageBreak/>
        <w:t>prometa, unatoč i dalje snažnoj ulozi cestovnog i zračnog prijevoza.</w:t>
      </w:r>
    </w:p>
    <w:p w14:paraId="37390D1A" w14:textId="77777777" w:rsidR="00FB178A" w:rsidRDefault="00FB178A" w:rsidP="00FB178A">
      <w:pPr>
        <w:spacing w:after="240" w:line="276" w:lineRule="auto"/>
        <w:jc w:val="both"/>
        <w:rPr>
          <w:sz w:val="24"/>
          <w:szCs w:val="24"/>
        </w:rPr>
      </w:pPr>
      <w:r>
        <w:rPr>
          <w:sz w:val="24"/>
          <w:szCs w:val="24"/>
        </w:rPr>
        <w:t xml:space="preserve">Nastavljene su aktivnosti na provedbi </w:t>
      </w:r>
      <w:r w:rsidRPr="00A36469">
        <w:rPr>
          <w:sz w:val="24"/>
          <w:szCs w:val="24"/>
        </w:rPr>
        <w:t>Strategij</w:t>
      </w:r>
      <w:r>
        <w:rPr>
          <w:sz w:val="24"/>
          <w:szCs w:val="24"/>
        </w:rPr>
        <w:t>e</w:t>
      </w:r>
      <w:r w:rsidRPr="00A36469">
        <w:rPr>
          <w:sz w:val="24"/>
          <w:szCs w:val="24"/>
        </w:rPr>
        <w:t xml:space="preserve"> razvoja željezničkog sustava Republike Hrvatske do 2032. godine, Nacionaln</w:t>
      </w:r>
      <w:r>
        <w:rPr>
          <w:sz w:val="24"/>
          <w:szCs w:val="24"/>
        </w:rPr>
        <w:t>og</w:t>
      </w:r>
      <w:r w:rsidRPr="00A36469">
        <w:rPr>
          <w:sz w:val="24"/>
          <w:szCs w:val="24"/>
        </w:rPr>
        <w:t xml:space="preserve"> plan</w:t>
      </w:r>
      <w:r>
        <w:rPr>
          <w:sz w:val="24"/>
          <w:szCs w:val="24"/>
        </w:rPr>
        <w:t>a</w:t>
      </w:r>
      <w:r w:rsidRPr="00A36469">
        <w:rPr>
          <w:sz w:val="24"/>
          <w:szCs w:val="24"/>
        </w:rPr>
        <w:t xml:space="preserve"> razvoja željezničke infrastrukture do 2030. </w:t>
      </w:r>
      <w:r>
        <w:rPr>
          <w:sz w:val="24"/>
          <w:szCs w:val="24"/>
        </w:rPr>
        <w:t xml:space="preserve">godine </w:t>
      </w:r>
      <w:r w:rsidRPr="00A36469">
        <w:rPr>
          <w:sz w:val="24"/>
          <w:szCs w:val="24"/>
        </w:rPr>
        <w:t>te Nacionaln</w:t>
      </w:r>
      <w:r>
        <w:rPr>
          <w:sz w:val="24"/>
          <w:szCs w:val="24"/>
        </w:rPr>
        <w:t>og</w:t>
      </w:r>
      <w:r w:rsidRPr="00A36469">
        <w:rPr>
          <w:sz w:val="24"/>
          <w:szCs w:val="24"/>
        </w:rPr>
        <w:t xml:space="preserve"> plan</w:t>
      </w:r>
      <w:r>
        <w:rPr>
          <w:sz w:val="24"/>
          <w:szCs w:val="24"/>
        </w:rPr>
        <w:t>a</w:t>
      </w:r>
      <w:r w:rsidRPr="00A36469">
        <w:rPr>
          <w:sz w:val="24"/>
          <w:szCs w:val="24"/>
        </w:rPr>
        <w:t xml:space="preserve"> upravljanja željezničkom infrastrukturom i uslužnim objektima</w:t>
      </w:r>
      <w:r w:rsidRPr="00A71BA2">
        <w:rPr>
          <w:sz w:val="24"/>
          <w:szCs w:val="24"/>
        </w:rPr>
        <w:t xml:space="preserve"> te razvoja usluga željezničkog prijevoza do 2030. godine</w:t>
      </w:r>
      <w:r>
        <w:rPr>
          <w:sz w:val="24"/>
          <w:szCs w:val="24"/>
        </w:rPr>
        <w:t>. Navedeni akti uz</w:t>
      </w:r>
      <w:r w:rsidRPr="00A36469">
        <w:rPr>
          <w:sz w:val="24"/>
          <w:szCs w:val="24"/>
        </w:rPr>
        <w:t xml:space="preserve"> Strategij</w:t>
      </w:r>
      <w:r>
        <w:rPr>
          <w:sz w:val="24"/>
          <w:szCs w:val="24"/>
        </w:rPr>
        <w:t>u</w:t>
      </w:r>
      <w:r w:rsidRPr="00A36469">
        <w:rPr>
          <w:sz w:val="24"/>
          <w:szCs w:val="24"/>
        </w:rPr>
        <w:t xml:space="preserve"> razvitka riječnog prometa </w:t>
      </w:r>
      <w:r w:rsidRPr="00B9138F">
        <w:rPr>
          <w:sz w:val="24"/>
          <w:szCs w:val="24"/>
        </w:rPr>
        <w:t xml:space="preserve">u Republici Hrvatskoj za razdoblje od 2022. do 2032. </w:t>
      </w:r>
      <w:r>
        <w:rPr>
          <w:sz w:val="24"/>
          <w:szCs w:val="24"/>
        </w:rPr>
        <w:t xml:space="preserve">godine </w:t>
      </w:r>
      <w:r w:rsidRPr="00A36469">
        <w:rPr>
          <w:sz w:val="24"/>
          <w:szCs w:val="24"/>
        </w:rPr>
        <w:t>i Srednjoročni plan</w:t>
      </w:r>
      <w:r>
        <w:rPr>
          <w:sz w:val="24"/>
          <w:szCs w:val="24"/>
        </w:rPr>
        <w:t xml:space="preserve"> </w:t>
      </w:r>
      <w:r w:rsidRPr="00A36469">
        <w:rPr>
          <w:sz w:val="24"/>
          <w:szCs w:val="24"/>
        </w:rPr>
        <w:t>razvitka vodnih putova, luka i pristaništa</w:t>
      </w:r>
      <w:r w:rsidRPr="00A71BA2">
        <w:rPr>
          <w:sz w:val="24"/>
          <w:szCs w:val="24"/>
        </w:rPr>
        <w:t xml:space="preserve"> </w:t>
      </w:r>
      <w:r>
        <w:rPr>
          <w:sz w:val="24"/>
          <w:szCs w:val="24"/>
        </w:rPr>
        <w:t xml:space="preserve">Republike Hrvatske </w:t>
      </w:r>
      <w:r w:rsidRPr="00FD5642">
        <w:rPr>
          <w:sz w:val="24"/>
          <w:szCs w:val="24"/>
        </w:rPr>
        <w:t xml:space="preserve">za razdoblje </w:t>
      </w:r>
      <w:r>
        <w:rPr>
          <w:sz w:val="24"/>
          <w:szCs w:val="24"/>
        </w:rPr>
        <w:t xml:space="preserve">od </w:t>
      </w:r>
      <w:r w:rsidRPr="00FD5642">
        <w:rPr>
          <w:sz w:val="24"/>
          <w:szCs w:val="24"/>
        </w:rPr>
        <w:t>2022.</w:t>
      </w:r>
      <w:r>
        <w:rPr>
          <w:sz w:val="24"/>
          <w:szCs w:val="24"/>
        </w:rPr>
        <w:t xml:space="preserve"> do </w:t>
      </w:r>
      <w:r w:rsidRPr="00FD5642">
        <w:rPr>
          <w:sz w:val="24"/>
          <w:szCs w:val="24"/>
        </w:rPr>
        <w:t>2031.</w:t>
      </w:r>
      <w:r>
        <w:rPr>
          <w:sz w:val="24"/>
          <w:szCs w:val="24"/>
        </w:rPr>
        <w:t xml:space="preserve"> godine, koji </w:t>
      </w:r>
      <w:r w:rsidRPr="00A36469">
        <w:rPr>
          <w:sz w:val="24"/>
          <w:szCs w:val="24"/>
        </w:rPr>
        <w:t xml:space="preserve">imaju važnu ulogu u ostvarivanju </w:t>
      </w:r>
      <w:r>
        <w:rPr>
          <w:sz w:val="24"/>
          <w:szCs w:val="24"/>
        </w:rPr>
        <w:t>cilja održive mobilnosti</w:t>
      </w:r>
      <w:r w:rsidRPr="00A36469">
        <w:rPr>
          <w:sz w:val="24"/>
          <w:szCs w:val="24"/>
        </w:rPr>
        <w:t>.</w:t>
      </w:r>
      <w:r>
        <w:rPr>
          <w:sz w:val="24"/>
          <w:szCs w:val="24"/>
        </w:rPr>
        <w:t xml:space="preserve"> Provedbom akata</w:t>
      </w:r>
      <w:r w:rsidRPr="005327E0">
        <w:rPr>
          <w:sz w:val="24"/>
          <w:szCs w:val="24"/>
        </w:rPr>
        <w:t xml:space="preserve"> osigurava</w:t>
      </w:r>
      <w:r>
        <w:rPr>
          <w:sz w:val="24"/>
          <w:szCs w:val="24"/>
        </w:rPr>
        <w:t xml:space="preserve"> se</w:t>
      </w:r>
      <w:r w:rsidRPr="005327E0">
        <w:rPr>
          <w:sz w:val="24"/>
          <w:szCs w:val="24"/>
        </w:rPr>
        <w:t xml:space="preserve"> kontinuitet u strateškom planiranju i provedbi reformi u željezničkom prometu te u području pomorstva i unutarnjih plovnih putova. </w:t>
      </w:r>
      <w:r>
        <w:rPr>
          <w:sz w:val="24"/>
          <w:szCs w:val="24"/>
        </w:rPr>
        <w:t xml:space="preserve">Temeljem Izvješća o provedbi </w:t>
      </w:r>
      <w:r w:rsidRPr="00B87549">
        <w:rPr>
          <w:sz w:val="24"/>
          <w:szCs w:val="24"/>
        </w:rPr>
        <w:t>Nacionalnog plana razvoja željezničke infrastrukture razdoblje do 2030. godine</w:t>
      </w:r>
      <w:r>
        <w:rPr>
          <w:sz w:val="24"/>
          <w:szCs w:val="24"/>
        </w:rPr>
        <w:t xml:space="preserve"> za 2024. najveći pomaci su ostvareni u </w:t>
      </w:r>
      <w:r w:rsidRPr="00A06B33">
        <w:rPr>
          <w:sz w:val="24"/>
          <w:szCs w:val="24"/>
        </w:rPr>
        <w:t xml:space="preserve">području sigurnosti željezničkog sustava, gdje </w:t>
      </w:r>
      <w:r>
        <w:rPr>
          <w:sz w:val="24"/>
          <w:szCs w:val="24"/>
        </w:rPr>
        <w:t>je za većinu</w:t>
      </w:r>
      <w:r w:rsidRPr="00A06B33">
        <w:rPr>
          <w:sz w:val="24"/>
          <w:szCs w:val="24"/>
        </w:rPr>
        <w:t xml:space="preserve"> pokazatelja premaš</w:t>
      </w:r>
      <w:r>
        <w:rPr>
          <w:sz w:val="24"/>
          <w:szCs w:val="24"/>
        </w:rPr>
        <w:t xml:space="preserve">ena </w:t>
      </w:r>
      <w:r w:rsidRPr="00A06B33">
        <w:rPr>
          <w:sz w:val="24"/>
          <w:szCs w:val="24"/>
        </w:rPr>
        <w:t>cilj</w:t>
      </w:r>
      <w:r>
        <w:rPr>
          <w:sz w:val="24"/>
          <w:szCs w:val="24"/>
        </w:rPr>
        <w:t>na vrijednost</w:t>
      </w:r>
      <w:r w:rsidRPr="00A06B33">
        <w:rPr>
          <w:sz w:val="24"/>
          <w:szCs w:val="24"/>
        </w:rPr>
        <w:t>,</w:t>
      </w:r>
      <w:r>
        <w:rPr>
          <w:sz w:val="24"/>
          <w:szCs w:val="24"/>
        </w:rPr>
        <w:t xml:space="preserve"> poput</w:t>
      </w:r>
      <w:r w:rsidRPr="00A06B33">
        <w:rPr>
          <w:sz w:val="24"/>
          <w:szCs w:val="24"/>
        </w:rPr>
        <w:t xml:space="preserve"> smanjenj</w:t>
      </w:r>
      <w:r>
        <w:rPr>
          <w:sz w:val="24"/>
          <w:szCs w:val="24"/>
        </w:rPr>
        <w:t>a</w:t>
      </w:r>
      <w:r w:rsidRPr="00A06B33">
        <w:rPr>
          <w:sz w:val="24"/>
          <w:szCs w:val="24"/>
        </w:rPr>
        <w:t xml:space="preserve"> broja nesreća i poginulih </w:t>
      </w:r>
      <w:r>
        <w:rPr>
          <w:sz w:val="24"/>
          <w:szCs w:val="24"/>
        </w:rPr>
        <w:t xml:space="preserve">u željezničkom prometu </w:t>
      </w:r>
      <w:r w:rsidRPr="00A06B33">
        <w:rPr>
          <w:sz w:val="24"/>
          <w:szCs w:val="24"/>
        </w:rPr>
        <w:t>te značajno</w:t>
      </w:r>
      <w:r>
        <w:rPr>
          <w:sz w:val="24"/>
          <w:szCs w:val="24"/>
        </w:rPr>
        <w:t>m</w:t>
      </w:r>
      <w:r w:rsidRPr="00A06B33">
        <w:rPr>
          <w:sz w:val="24"/>
          <w:szCs w:val="24"/>
        </w:rPr>
        <w:t xml:space="preserve"> povećanj</w:t>
      </w:r>
      <w:r>
        <w:rPr>
          <w:sz w:val="24"/>
          <w:szCs w:val="24"/>
        </w:rPr>
        <w:t>u</w:t>
      </w:r>
      <w:r w:rsidRPr="00A06B33">
        <w:rPr>
          <w:sz w:val="24"/>
          <w:szCs w:val="24"/>
        </w:rPr>
        <w:t xml:space="preserve"> pokrivenosti mreže mjernim stanicama i osiguranih željezničko-cestovnih prijelaza. </w:t>
      </w:r>
    </w:p>
    <w:p w14:paraId="22B86854" w14:textId="77777777" w:rsidR="00FB178A" w:rsidRPr="0004221B" w:rsidRDefault="00FB178A" w:rsidP="00FB178A">
      <w:pPr>
        <w:spacing w:after="240" w:line="276" w:lineRule="auto"/>
        <w:jc w:val="both"/>
        <w:rPr>
          <w:sz w:val="24"/>
          <w:szCs w:val="24"/>
        </w:rPr>
      </w:pPr>
      <w:r w:rsidRPr="00CE2577">
        <w:rPr>
          <w:sz w:val="24"/>
          <w:szCs w:val="24"/>
        </w:rPr>
        <w:t xml:space="preserve">Ključan iskorak u financiranju modernizacije željezničkog sustava ostvaren je sklapanjem okvirnog zajma Europske investicijske banke u ukupnom iznosu od 900 milijuna eura, od čega je u 2024. potpisan Ugovor o financiranju projekta „Revitalizacija željezničkog sustava Republike Hrvatske“ u iznosu od 400 milijuna eura. Sredstva su usmjerena na obnovu lokalne i regionalne željezničke mreže, modernizaciju kolodvora i stajališta, te nabavu novih putničkih vlakova. HŽ Infrastruktura d.o.o. zadužena je za projekte obnove i modernizacije infrastrukturne mreže, dok HŽ Putnički prijevoz d.o.o. provodi projekte nabave novih vozila i jačanja kapaciteta za kvalitetniji i ekološki prihvatljiv javni prijevoz. U srpnju 2024. potpisan je i ugovor o nabavi šest novih </w:t>
      </w:r>
      <w:proofErr w:type="spellStart"/>
      <w:r w:rsidRPr="00CE2577">
        <w:rPr>
          <w:sz w:val="24"/>
          <w:szCs w:val="24"/>
        </w:rPr>
        <w:t>elektro</w:t>
      </w:r>
      <w:proofErr w:type="spellEnd"/>
      <w:r w:rsidRPr="00CE2577">
        <w:rPr>
          <w:sz w:val="24"/>
          <w:szCs w:val="24"/>
        </w:rPr>
        <w:t>-dizelskih motornih vlakova za relaciju Zagreb</w:t>
      </w:r>
      <w:r>
        <w:rPr>
          <w:sz w:val="24"/>
          <w:szCs w:val="24"/>
        </w:rPr>
        <w:t>-</w:t>
      </w:r>
      <w:r w:rsidRPr="00CE2577">
        <w:rPr>
          <w:sz w:val="24"/>
          <w:szCs w:val="24"/>
        </w:rPr>
        <w:t>Split, ukupne vrijednosti 57,3 milijuna eura, čime se dodatno unapređuje kvaliteta i pouzdanost međugradskog prijevoza.</w:t>
      </w:r>
    </w:p>
    <w:p w14:paraId="178715BE" w14:textId="77777777" w:rsidR="00FB178A" w:rsidRPr="00E45C5A" w:rsidRDefault="00FB178A" w:rsidP="00FB178A">
      <w:pPr>
        <w:spacing w:after="240" w:line="276" w:lineRule="auto"/>
        <w:jc w:val="both"/>
        <w:rPr>
          <w:sz w:val="24"/>
          <w:szCs w:val="24"/>
        </w:rPr>
      </w:pPr>
      <w:r w:rsidRPr="00D56DF1">
        <w:rPr>
          <w:sz w:val="24"/>
          <w:szCs w:val="24"/>
        </w:rPr>
        <w:t xml:space="preserve">Tijekom 2024. ostvaren je vidljiv napredak u </w:t>
      </w:r>
      <w:r>
        <w:rPr>
          <w:sz w:val="24"/>
          <w:szCs w:val="24"/>
        </w:rPr>
        <w:t>provedbi</w:t>
      </w:r>
      <w:r w:rsidRPr="00D56DF1">
        <w:rPr>
          <w:sz w:val="24"/>
          <w:szCs w:val="24"/>
        </w:rPr>
        <w:t xml:space="preserve"> strateških projekata obnove i modernizacije željezničke infrastrukture</w:t>
      </w:r>
      <w:r>
        <w:rPr>
          <w:sz w:val="24"/>
          <w:szCs w:val="24"/>
        </w:rPr>
        <w:t>,</w:t>
      </w:r>
      <w:r w:rsidRPr="00D56DF1">
        <w:rPr>
          <w:sz w:val="24"/>
          <w:szCs w:val="24"/>
        </w:rPr>
        <w:t xml:space="preserve"> koji se financiraju nacionalnim i EU sredstvima. Za dionice Karlovac</w:t>
      </w:r>
      <w:r>
        <w:rPr>
          <w:sz w:val="24"/>
          <w:szCs w:val="24"/>
        </w:rPr>
        <w:t>-</w:t>
      </w:r>
      <w:r w:rsidRPr="00D56DF1">
        <w:rPr>
          <w:sz w:val="24"/>
          <w:szCs w:val="24"/>
        </w:rPr>
        <w:t>Oštarije i Oštarije</w:t>
      </w:r>
      <w:r>
        <w:rPr>
          <w:sz w:val="24"/>
          <w:szCs w:val="24"/>
        </w:rPr>
        <w:t>-</w:t>
      </w:r>
      <w:proofErr w:type="spellStart"/>
      <w:r w:rsidRPr="00D56DF1">
        <w:rPr>
          <w:sz w:val="24"/>
          <w:szCs w:val="24"/>
        </w:rPr>
        <w:t>Škrljevo</w:t>
      </w:r>
      <w:proofErr w:type="spellEnd"/>
      <w:r w:rsidRPr="00D56DF1">
        <w:rPr>
          <w:sz w:val="24"/>
          <w:szCs w:val="24"/>
        </w:rPr>
        <w:t xml:space="preserve"> izrađena je cjelokupna studijska dokumentacija te su provedeni postupci procjene utjecaja na okoliš, uz dorade studija temeljem zaprimljenih mišljenja. Za dionicu Karlovac</w:t>
      </w:r>
      <w:r>
        <w:rPr>
          <w:sz w:val="24"/>
          <w:szCs w:val="24"/>
        </w:rPr>
        <w:t>-</w:t>
      </w:r>
      <w:r w:rsidRPr="00D56DF1">
        <w:rPr>
          <w:sz w:val="24"/>
          <w:szCs w:val="24"/>
        </w:rPr>
        <w:t xml:space="preserve">Oštarije pokrenut je postupak javne nabave za izradu glavnih projekata, dok je za projekt </w:t>
      </w:r>
      <w:proofErr w:type="spellStart"/>
      <w:r w:rsidRPr="00D56DF1">
        <w:rPr>
          <w:sz w:val="24"/>
          <w:szCs w:val="24"/>
        </w:rPr>
        <w:t>Skradnik</w:t>
      </w:r>
      <w:r>
        <w:rPr>
          <w:sz w:val="24"/>
          <w:szCs w:val="24"/>
        </w:rPr>
        <w:t>-</w:t>
      </w:r>
      <w:r w:rsidRPr="00D56DF1">
        <w:rPr>
          <w:sz w:val="24"/>
          <w:szCs w:val="24"/>
        </w:rPr>
        <w:t>Krasica</w:t>
      </w:r>
      <w:r>
        <w:rPr>
          <w:sz w:val="24"/>
          <w:szCs w:val="24"/>
        </w:rPr>
        <w:t>-</w:t>
      </w:r>
      <w:r w:rsidRPr="00D56DF1">
        <w:rPr>
          <w:sz w:val="24"/>
          <w:szCs w:val="24"/>
        </w:rPr>
        <w:t>Tijani</w:t>
      </w:r>
      <w:proofErr w:type="spellEnd"/>
      <w:r w:rsidRPr="00D56DF1">
        <w:rPr>
          <w:sz w:val="24"/>
          <w:szCs w:val="24"/>
        </w:rPr>
        <w:t xml:space="preserve"> proveden postupak nabave i potpisan ugovor za izradu projektne dokumentacije. Nastavljene su aktivnosti na izradi projekata za dionice </w:t>
      </w:r>
      <w:proofErr w:type="spellStart"/>
      <w:r w:rsidRPr="00D56DF1">
        <w:rPr>
          <w:sz w:val="24"/>
          <w:szCs w:val="24"/>
        </w:rPr>
        <w:t>Okučani</w:t>
      </w:r>
      <w:proofErr w:type="spellEnd"/>
      <w:r>
        <w:rPr>
          <w:sz w:val="24"/>
          <w:szCs w:val="24"/>
        </w:rPr>
        <w:t>-</w:t>
      </w:r>
      <w:r w:rsidRPr="00D56DF1">
        <w:rPr>
          <w:sz w:val="24"/>
          <w:szCs w:val="24"/>
        </w:rPr>
        <w:t xml:space="preserve">Vinkovci i </w:t>
      </w:r>
      <w:proofErr w:type="spellStart"/>
      <w:r w:rsidRPr="00D56DF1">
        <w:rPr>
          <w:sz w:val="24"/>
          <w:szCs w:val="24"/>
        </w:rPr>
        <w:t>Škrljevo</w:t>
      </w:r>
      <w:proofErr w:type="spellEnd"/>
      <w:r>
        <w:rPr>
          <w:sz w:val="24"/>
          <w:szCs w:val="24"/>
        </w:rPr>
        <w:t>-</w:t>
      </w:r>
      <w:r w:rsidRPr="00D56DF1">
        <w:rPr>
          <w:sz w:val="24"/>
          <w:szCs w:val="24"/>
        </w:rPr>
        <w:t>Rijeka</w:t>
      </w:r>
      <w:r>
        <w:rPr>
          <w:sz w:val="24"/>
          <w:szCs w:val="24"/>
        </w:rPr>
        <w:t>-</w:t>
      </w:r>
      <w:proofErr w:type="spellStart"/>
      <w:r w:rsidRPr="00D56DF1">
        <w:rPr>
          <w:sz w:val="24"/>
          <w:szCs w:val="24"/>
        </w:rPr>
        <w:t>Jurdani</w:t>
      </w:r>
      <w:proofErr w:type="spellEnd"/>
      <w:r w:rsidRPr="00D56DF1">
        <w:rPr>
          <w:sz w:val="24"/>
          <w:szCs w:val="24"/>
        </w:rPr>
        <w:t xml:space="preserve">, pri čemu je za potonju dionicu sklopljen ugovor za dovršetak i </w:t>
      </w:r>
      <w:proofErr w:type="spellStart"/>
      <w:r w:rsidRPr="00D56DF1">
        <w:rPr>
          <w:sz w:val="24"/>
          <w:szCs w:val="24"/>
        </w:rPr>
        <w:t>noveliranje</w:t>
      </w:r>
      <w:proofErr w:type="spellEnd"/>
      <w:r w:rsidRPr="00D56DF1">
        <w:rPr>
          <w:sz w:val="24"/>
          <w:szCs w:val="24"/>
        </w:rPr>
        <w:t xml:space="preserve"> glavnih projekata. Projekt „Nadogradnja i elektrifikacija pruge Vinkovci</w:t>
      </w:r>
      <w:r>
        <w:rPr>
          <w:sz w:val="24"/>
          <w:szCs w:val="24"/>
        </w:rPr>
        <w:t xml:space="preserve"> - </w:t>
      </w:r>
      <w:r w:rsidRPr="00D56DF1">
        <w:rPr>
          <w:sz w:val="24"/>
          <w:szCs w:val="24"/>
        </w:rPr>
        <w:t>Vukovar“ dovršen je tijekom 2024.</w:t>
      </w:r>
      <w:r>
        <w:rPr>
          <w:sz w:val="24"/>
          <w:szCs w:val="24"/>
        </w:rPr>
        <w:t xml:space="preserve"> čime će se omogućiti prometovanje vlakova s brzinom do 120km/h te skratiti vrijeme putovanja na predmetno dionici</w:t>
      </w:r>
      <w:r w:rsidRPr="00D56DF1">
        <w:rPr>
          <w:sz w:val="24"/>
          <w:szCs w:val="24"/>
        </w:rPr>
        <w:t>, a radovi su se kontinuirano provodili na projektima Križevci</w:t>
      </w:r>
      <w:r>
        <w:rPr>
          <w:sz w:val="24"/>
          <w:szCs w:val="24"/>
        </w:rPr>
        <w:t>-</w:t>
      </w:r>
      <w:r w:rsidRPr="00D56DF1">
        <w:rPr>
          <w:sz w:val="24"/>
          <w:szCs w:val="24"/>
        </w:rPr>
        <w:t>Koprivnica</w:t>
      </w:r>
      <w:r>
        <w:rPr>
          <w:sz w:val="24"/>
          <w:szCs w:val="24"/>
        </w:rPr>
        <w:t>-</w:t>
      </w:r>
      <w:r w:rsidRPr="00D56DF1">
        <w:rPr>
          <w:sz w:val="24"/>
          <w:szCs w:val="24"/>
        </w:rPr>
        <w:t>državna granica i Hrvatski Leskovac</w:t>
      </w:r>
      <w:r>
        <w:rPr>
          <w:sz w:val="24"/>
          <w:szCs w:val="24"/>
        </w:rPr>
        <w:t>-</w:t>
      </w:r>
      <w:r w:rsidRPr="00D56DF1">
        <w:rPr>
          <w:sz w:val="24"/>
          <w:szCs w:val="24"/>
        </w:rPr>
        <w:t>Karlovac. Za dionicu Dugo Selo</w:t>
      </w:r>
      <w:r>
        <w:rPr>
          <w:sz w:val="24"/>
          <w:szCs w:val="24"/>
        </w:rPr>
        <w:t>-</w:t>
      </w:r>
      <w:r w:rsidRPr="00D56DF1">
        <w:rPr>
          <w:sz w:val="24"/>
          <w:szCs w:val="24"/>
        </w:rPr>
        <w:t xml:space="preserve">Novska izrađivala se projektna dokumentacija i građevinske dozvole, te je </w:t>
      </w:r>
      <w:r>
        <w:rPr>
          <w:sz w:val="24"/>
          <w:szCs w:val="24"/>
        </w:rPr>
        <w:t xml:space="preserve">tijekom 2024. </w:t>
      </w:r>
      <w:r w:rsidRPr="00D56DF1">
        <w:rPr>
          <w:sz w:val="24"/>
          <w:szCs w:val="24"/>
        </w:rPr>
        <w:t>pripremljena dokumentacija o nabavi za radove i proveden</w:t>
      </w:r>
      <w:r>
        <w:rPr>
          <w:sz w:val="24"/>
          <w:szCs w:val="24"/>
        </w:rPr>
        <w:t xml:space="preserve"> je postupak </w:t>
      </w:r>
      <w:r w:rsidRPr="00D56DF1">
        <w:rPr>
          <w:sz w:val="24"/>
          <w:szCs w:val="24"/>
        </w:rPr>
        <w:t>prethodno</w:t>
      </w:r>
      <w:r>
        <w:rPr>
          <w:sz w:val="24"/>
          <w:szCs w:val="24"/>
        </w:rPr>
        <w:t>g</w:t>
      </w:r>
      <w:r w:rsidRPr="00D56DF1">
        <w:rPr>
          <w:sz w:val="24"/>
          <w:szCs w:val="24"/>
        </w:rPr>
        <w:t xml:space="preserve"> savjetovanj</w:t>
      </w:r>
      <w:r>
        <w:rPr>
          <w:sz w:val="24"/>
          <w:szCs w:val="24"/>
        </w:rPr>
        <w:t>a</w:t>
      </w:r>
      <w:r w:rsidRPr="00D56DF1">
        <w:rPr>
          <w:sz w:val="24"/>
          <w:szCs w:val="24"/>
        </w:rPr>
        <w:t>.</w:t>
      </w:r>
    </w:p>
    <w:p w14:paraId="3459C87B" w14:textId="77777777" w:rsidR="00FB178A" w:rsidRPr="001E79DC" w:rsidRDefault="00FB178A" w:rsidP="00FB178A">
      <w:pPr>
        <w:spacing w:before="240" w:after="240" w:line="276" w:lineRule="auto"/>
        <w:jc w:val="both"/>
        <w:rPr>
          <w:sz w:val="24"/>
          <w:szCs w:val="24"/>
        </w:rPr>
      </w:pPr>
      <w:r>
        <w:rPr>
          <w:sz w:val="24"/>
          <w:szCs w:val="24"/>
        </w:rPr>
        <w:lastRenderedPageBreak/>
        <w:t>S</w:t>
      </w:r>
      <w:r w:rsidRPr="001626CC">
        <w:rPr>
          <w:sz w:val="24"/>
          <w:szCs w:val="24"/>
        </w:rPr>
        <w:t xml:space="preserve"> cilj</w:t>
      </w:r>
      <w:r>
        <w:rPr>
          <w:sz w:val="24"/>
          <w:szCs w:val="24"/>
        </w:rPr>
        <w:t>em daljnjeg</w:t>
      </w:r>
      <w:r w:rsidRPr="001626CC">
        <w:rPr>
          <w:sz w:val="24"/>
          <w:szCs w:val="24"/>
        </w:rPr>
        <w:t xml:space="preserve"> smanjenja negativnog utjecaja željezničkog prometa na okoliš, </w:t>
      </w:r>
      <w:r>
        <w:rPr>
          <w:sz w:val="24"/>
          <w:szCs w:val="24"/>
        </w:rPr>
        <w:t>nastavljena je provedba</w:t>
      </w:r>
      <w:r w:rsidRPr="001626CC">
        <w:rPr>
          <w:sz w:val="24"/>
          <w:szCs w:val="24"/>
        </w:rPr>
        <w:t xml:space="preserve"> NPOO</w:t>
      </w:r>
      <w:r>
        <w:rPr>
          <w:sz w:val="24"/>
          <w:szCs w:val="24"/>
        </w:rPr>
        <w:t xml:space="preserve"> investicije</w:t>
      </w:r>
      <w:r w:rsidRPr="001626CC">
        <w:rPr>
          <w:sz w:val="24"/>
          <w:szCs w:val="24"/>
        </w:rPr>
        <w:t xml:space="preserve"> „Primjena zelenih tehnologija u željezničkom putničkom prijevozu“, kojim se nabavlja baterijski elektromotorni vlak (BEMV), baterijski motorni vlak (BMV) te šest stabilnih energetskih priključaka za punjenje baterija u kolodvorima Split, Osijek, Varaždin, Bjelovar, Virovitica i Pula. Ukupna vrijednost projekta iznosi 17,12 milijuna eura, a završetak se očekuje tijekom 2025. godine. U području </w:t>
      </w:r>
      <w:proofErr w:type="spellStart"/>
      <w:r w:rsidRPr="001626CC">
        <w:rPr>
          <w:sz w:val="24"/>
          <w:szCs w:val="24"/>
        </w:rPr>
        <w:t>intermodalnog</w:t>
      </w:r>
      <w:proofErr w:type="spellEnd"/>
      <w:r w:rsidRPr="001626CC">
        <w:rPr>
          <w:sz w:val="24"/>
          <w:szCs w:val="24"/>
        </w:rPr>
        <w:t xml:space="preserve"> i integriranog urbanog prijevoza, ključni projekt je „Izrada studije razvoja željezničkog čvora Zagreb“, čija je izrada započela u ožujku 2024. i obuhvaća varijantna rješenja modernizacije pruga, studiju izvodljivosti, analizu troškova i koristi, procjenu utjecaja na okoliš i prijedlog izmjena prostorno</w:t>
      </w:r>
      <w:r>
        <w:rPr>
          <w:sz w:val="24"/>
          <w:szCs w:val="24"/>
        </w:rPr>
        <w:t>-</w:t>
      </w:r>
      <w:r w:rsidRPr="001626CC">
        <w:rPr>
          <w:sz w:val="24"/>
          <w:szCs w:val="24"/>
        </w:rPr>
        <w:t>planske dokumentacije, s ciljem razvoja integriranog javnog prijevoza putnika i pozicioniranja Zagreba kao regionalnog teretnog čvora. U ovom kontekstu, tijekom 2024. nastavljene su aktivnosti na razradi rješenja za željezničko povezivanje Međunarodne zračne luke Zagreb „Franjo Tuđman“ s mrežom željezničkih pruga.</w:t>
      </w:r>
    </w:p>
    <w:p w14:paraId="736CE1D5" w14:textId="77777777" w:rsidR="00FB178A" w:rsidRDefault="00FB178A" w:rsidP="00FB178A">
      <w:pPr>
        <w:spacing w:after="240" w:line="276" w:lineRule="auto"/>
        <w:jc w:val="both"/>
        <w:rPr>
          <w:sz w:val="24"/>
          <w:szCs w:val="24"/>
        </w:rPr>
      </w:pPr>
      <w:r w:rsidRPr="00333813">
        <w:rPr>
          <w:sz w:val="24"/>
          <w:szCs w:val="24"/>
        </w:rPr>
        <w:t xml:space="preserve">U sektoru unutarnje plovidbe </w:t>
      </w:r>
      <w:r>
        <w:rPr>
          <w:sz w:val="24"/>
          <w:szCs w:val="24"/>
        </w:rPr>
        <w:t>tijekom 2024.</w:t>
      </w:r>
      <w:r w:rsidRPr="00333813">
        <w:rPr>
          <w:sz w:val="24"/>
          <w:szCs w:val="24"/>
        </w:rPr>
        <w:t xml:space="preserve"> bilježi se daljnji napredak kroz modernizaciju flote, unapređenje infrastrukture luka, pristaništa i plovnih putova te jačanje logističkih i sigurnosnih kapaciteta. Nastavljene su pripremne aktivnosti i izrada dokumentacije za strateške projekte uređenja vodn</w:t>
      </w:r>
      <w:r>
        <w:rPr>
          <w:sz w:val="24"/>
          <w:szCs w:val="24"/>
        </w:rPr>
        <w:t>ih</w:t>
      </w:r>
      <w:r w:rsidRPr="00333813">
        <w:rPr>
          <w:sz w:val="24"/>
          <w:szCs w:val="24"/>
        </w:rPr>
        <w:t xml:space="preserve"> put</w:t>
      </w:r>
      <w:r>
        <w:rPr>
          <w:sz w:val="24"/>
          <w:szCs w:val="24"/>
        </w:rPr>
        <w:t>ev</w:t>
      </w:r>
      <w:r w:rsidRPr="00333813">
        <w:rPr>
          <w:sz w:val="24"/>
          <w:szCs w:val="24"/>
        </w:rPr>
        <w:t>a</w:t>
      </w:r>
      <w:r>
        <w:rPr>
          <w:sz w:val="24"/>
          <w:szCs w:val="24"/>
        </w:rPr>
        <w:t>, uključujući uređenje vodnog puta</w:t>
      </w:r>
      <w:r w:rsidRPr="00333813">
        <w:rPr>
          <w:sz w:val="24"/>
          <w:szCs w:val="24"/>
        </w:rPr>
        <w:t xml:space="preserve"> rijek</w:t>
      </w:r>
      <w:r>
        <w:rPr>
          <w:sz w:val="24"/>
          <w:szCs w:val="24"/>
        </w:rPr>
        <w:t>a</w:t>
      </w:r>
      <w:r w:rsidRPr="00333813">
        <w:rPr>
          <w:sz w:val="24"/>
          <w:szCs w:val="24"/>
        </w:rPr>
        <w:t xml:space="preserve"> Save i</w:t>
      </w:r>
      <w:r>
        <w:rPr>
          <w:sz w:val="24"/>
          <w:szCs w:val="24"/>
        </w:rPr>
        <w:t xml:space="preserve"> Drave te</w:t>
      </w:r>
      <w:r w:rsidRPr="00333813">
        <w:rPr>
          <w:sz w:val="24"/>
          <w:szCs w:val="24"/>
        </w:rPr>
        <w:t xml:space="preserve"> višenamjenskog kanala Dunav</w:t>
      </w:r>
      <w:r>
        <w:rPr>
          <w:sz w:val="24"/>
          <w:szCs w:val="24"/>
        </w:rPr>
        <w:t>-</w:t>
      </w:r>
      <w:r w:rsidRPr="00333813">
        <w:rPr>
          <w:sz w:val="24"/>
          <w:szCs w:val="24"/>
        </w:rPr>
        <w:t xml:space="preserve">Sava, uz istodobno ulaganje u digitalizaciju sustava upravljanja sigurnošću plovidbe i razvoj stručnog kadra (stipendije, novi strukovni </w:t>
      </w:r>
      <w:proofErr w:type="spellStart"/>
      <w:r w:rsidRPr="00333813">
        <w:rPr>
          <w:sz w:val="24"/>
          <w:szCs w:val="24"/>
        </w:rPr>
        <w:t>kurikul</w:t>
      </w:r>
      <w:proofErr w:type="spellEnd"/>
      <w:r>
        <w:rPr>
          <w:sz w:val="24"/>
          <w:szCs w:val="24"/>
        </w:rPr>
        <w:t xml:space="preserve"> i program obrazovanja za stjecanje kvalifikacija u unutarnjoj plovidbi</w:t>
      </w:r>
      <w:r w:rsidRPr="00333813">
        <w:rPr>
          <w:sz w:val="24"/>
          <w:szCs w:val="24"/>
        </w:rPr>
        <w:t>). Ulaganja u opremu luka</w:t>
      </w:r>
      <w:r>
        <w:rPr>
          <w:sz w:val="24"/>
          <w:szCs w:val="24"/>
        </w:rPr>
        <w:t xml:space="preserve"> i pristaništa</w:t>
      </w:r>
      <w:r w:rsidRPr="00333813">
        <w:rPr>
          <w:sz w:val="24"/>
          <w:szCs w:val="24"/>
        </w:rPr>
        <w:t xml:space="preserve">, punionice alternativnim gorivima i </w:t>
      </w:r>
      <w:r>
        <w:rPr>
          <w:sz w:val="24"/>
          <w:szCs w:val="24"/>
        </w:rPr>
        <w:t xml:space="preserve">infrastrukturu za zbrinjavanje otpada te </w:t>
      </w:r>
      <w:r w:rsidRPr="00333813">
        <w:rPr>
          <w:sz w:val="24"/>
          <w:szCs w:val="24"/>
        </w:rPr>
        <w:t>održavanje plovnih putova doprinose većoj konkurentnosti unutarnje plovidbe i njezinoj ulozi u održivom teretnom prometu.</w:t>
      </w:r>
    </w:p>
    <w:p w14:paraId="3320AFB3" w14:textId="77777777" w:rsidR="00FB178A" w:rsidRDefault="00FB178A" w:rsidP="00FB178A">
      <w:pPr>
        <w:spacing w:line="276" w:lineRule="auto"/>
        <w:jc w:val="both"/>
        <w:rPr>
          <w:sz w:val="24"/>
          <w:szCs w:val="24"/>
        </w:rPr>
      </w:pPr>
      <w:r>
        <w:rPr>
          <w:sz w:val="24"/>
          <w:szCs w:val="24"/>
        </w:rPr>
        <w:t>Tijekom 2024. nastavljena je p</w:t>
      </w:r>
      <w:r w:rsidRPr="00A45983">
        <w:rPr>
          <w:sz w:val="24"/>
          <w:szCs w:val="24"/>
        </w:rPr>
        <w:t>rovedb</w:t>
      </w:r>
      <w:r>
        <w:rPr>
          <w:sz w:val="24"/>
          <w:szCs w:val="24"/>
        </w:rPr>
        <w:t>a</w:t>
      </w:r>
      <w:r w:rsidRPr="00A45983">
        <w:rPr>
          <w:sz w:val="24"/>
          <w:szCs w:val="24"/>
        </w:rPr>
        <w:t xml:space="preserve"> Nacionalnog plana razvoja biciklističkog prometa za razdoblje 2023.</w:t>
      </w:r>
      <w:r>
        <w:rPr>
          <w:sz w:val="24"/>
          <w:szCs w:val="24"/>
        </w:rPr>
        <w:t>-</w:t>
      </w:r>
      <w:r w:rsidRPr="00A45983">
        <w:rPr>
          <w:sz w:val="24"/>
          <w:szCs w:val="24"/>
        </w:rPr>
        <w:t xml:space="preserve">2027. </w:t>
      </w:r>
      <w:r>
        <w:rPr>
          <w:sz w:val="24"/>
          <w:szCs w:val="24"/>
        </w:rPr>
        <w:t>čime su</w:t>
      </w:r>
      <w:r w:rsidRPr="00A45983">
        <w:rPr>
          <w:sz w:val="24"/>
          <w:szCs w:val="24"/>
        </w:rPr>
        <w:t xml:space="preserve"> dodatno učvršćeni temelji za sustavno planiranje, upravljanje i praćenje razvoja biciklističkog prometa. Broj operativnih sustava javnih bicikala povećan je s 36 </w:t>
      </w:r>
      <w:r>
        <w:rPr>
          <w:sz w:val="24"/>
          <w:szCs w:val="24"/>
        </w:rPr>
        <w:t xml:space="preserve">u </w:t>
      </w:r>
      <w:r w:rsidRPr="00A45983">
        <w:rPr>
          <w:sz w:val="24"/>
          <w:szCs w:val="24"/>
        </w:rPr>
        <w:t xml:space="preserve">2022. na 46 </w:t>
      </w:r>
      <w:r>
        <w:rPr>
          <w:sz w:val="24"/>
          <w:szCs w:val="24"/>
        </w:rPr>
        <w:t xml:space="preserve">u </w:t>
      </w:r>
      <w:r w:rsidRPr="00A45983">
        <w:rPr>
          <w:sz w:val="24"/>
          <w:szCs w:val="24"/>
        </w:rPr>
        <w:t xml:space="preserve">2024., čime je </w:t>
      </w:r>
      <w:r>
        <w:rPr>
          <w:sz w:val="24"/>
          <w:szCs w:val="24"/>
        </w:rPr>
        <w:t xml:space="preserve">već </w:t>
      </w:r>
      <w:r w:rsidRPr="00A45983">
        <w:rPr>
          <w:sz w:val="24"/>
          <w:szCs w:val="24"/>
        </w:rPr>
        <w:t xml:space="preserve">premašena planirana ciljna vrijednost </w:t>
      </w:r>
      <w:r>
        <w:rPr>
          <w:sz w:val="24"/>
          <w:szCs w:val="24"/>
        </w:rPr>
        <w:t>za 2027. godinu</w:t>
      </w:r>
      <w:r w:rsidRPr="00A45983">
        <w:rPr>
          <w:sz w:val="24"/>
          <w:szCs w:val="24"/>
        </w:rPr>
        <w:t xml:space="preserve"> </w:t>
      </w:r>
      <w:r>
        <w:rPr>
          <w:sz w:val="24"/>
          <w:szCs w:val="24"/>
        </w:rPr>
        <w:t>(</w:t>
      </w:r>
      <w:r w:rsidRPr="00A45983">
        <w:rPr>
          <w:sz w:val="24"/>
          <w:szCs w:val="24"/>
        </w:rPr>
        <w:t>42 sustava</w:t>
      </w:r>
      <w:r>
        <w:rPr>
          <w:sz w:val="24"/>
          <w:szCs w:val="24"/>
        </w:rPr>
        <w:t>)</w:t>
      </w:r>
      <w:r w:rsidRPr="00A45983">
        <w:rPr>
          <w:sz w:val="24"/>
          <w:szCs w:val="24"/>
        </w:rPr>
        <w:t>. Ukupna duljina biciklističkih prometnica porasla je s početnih 1.400 km (2022.) na 1.521,91 km (2024.), pri čemu je tijekom 2024. izgrađeno 82,23 km novih dionica. Istodobno</w:t>
      </w:r>
      <w:r>
        <w:rPr>
          <w:sz w:val="24"/>
          <w:szCs w:val="24"/>
        </w:rPr>
        <w:t>, zabilježen je</w:t>
      </w:r>
      <w:r w:rsidRPr="00A45983">
        <w:rPr>
          <w:sz w:val="24"/>
          <w:szCs w:val="24"/>
        </w:rPr>
        <w:t xml:space="preserve"> napredak u sigurnosti biciklist</w:t>
      </w:r>
      <w:r>
        <w:rPr>
          <w:sz w:val="24"/>
          <w:szCs w:val="24"/>
        </w:rPr>
        <w:t xml:space="preserve">ičkog prometa te je </w:t>
      </w:r>
      <w:r w:rsidRPr="00A45983">
        <w:rPr>
          <w:sz w:val="24"/>
          <w:szCs w:val="24"/>
        </w:rPr>
        <w:t xml:space="preserve">broj </w:t>
      </w:r>
      <w:r>
        <w:rPr>
          <w:sz w:val="24"/>
          <w:szCs w:val="24"/>
        </w:rPr>
        <w:t xml:space="preserve">smrtno stradalih </w:t>
      </w:r>
      <w:r w:rsidRPr="00A45983">
        <w:rPr>
          <w:sz w:val="24"/>
          <w:szCs w:val="24"/>
        </w:rPr>
        <w:t>biciklista smanjen s 28</w:t>
      </w:r>
      <w:r>
        <w:rPr>
          <w:sz w:val="24"/>
          <w:szCs w:val="24"/>
        </w:rPr>
        <w:t xml:space="preserve"> smrtno stradalih</w:t>
      </w:r>
      <w:r w:rsidRPr="00A45983">
        <w:rPr>
          <w:sz w:val="24"/>
          <w:szCs w:val="24"/>
        </w:rPr>
        <w:t xml:space="preserve"> </w:t>
      </w:r>
      <w:r>
        <w:rPr>
          <w:sz w:val="24"/>
          <w:szCs w:val="24"/>
        </w:rPr>
        <w:t xml:space="preserve">u </w:t>
      </w:r>
      <w:r w:rsidRPr="00A45983">
        <w:rPr>
          <w:sz w:val="24"/>
          <w:szCs w:val="24"/>
        </w:rPr>
        <w:t xml:space="preserve">2022. na 11 </w:t>
      </w:r>
      <w:r>
        <w:rPr>
          <w:sz w:val="24"/>
          <w:szCs w:val="24"/>
        </w:rPr>
        <w:t xml:space="preserve">u </w:t>
      </w:r>
      <w:r w:rsidRPr="00A45983">
        <w:rPr>
          <w:sz w:val="24"/>
          <w:szCs w:val="24"/>
        </w:rPr>
        <w:t xml:space="preserve">2024., što predstavlja smanjenje od 60,7%. </w:t>
      </w:r>
      <w:r>
        <w:rPr>
          <w:sz w:val="24"/>
          <w:szCs w:val="24"/>
        </w:rPr>
        <w:t>Također, blago je smanjen b</w:t>
      </w:r>
      <w:r w:rsidRPr="00A45983">
        <w:rPr>
          <w:sz w:val="24"/>
          <w:szCs w:val="24"/>
        </w:rPr>
        <w:t>roj prometnih nesreća s teško ozlijeđenim biciklistima</w:t>
      </w:r>
      <w:r>
        <w:rPr>
          <w:sz w:val="24"/>
          <w:szCs w:val="24"/>
        </w:rPr>
        <w:t>,</w:t>
      </w:r>
      <w:r w:rsidRPr="00A45983">
        <w:rPr>
          <w:sz w:val="24"/>
          <w:szCs w:val="24"/>
        </w:rPr>
        <w:t xml:space="preserve"> s 364 </w:t>
      </w:r>
      <w:r>
        <w:rPr>
          <w:sz w:val="24"/>
          <w:szCs w:val="24"/>
        </w:rPr>
        <w:t xml:space="preserve">u </w:t>
      </w:r>
      <w:r w:rsidRPr="00A45983">
        <w:rPr>
          <w:sz w:val="24"/>
          <w:szCs w:val="24"/>
        </w:rPr>
        <w:t xml:space="preserve">2022. na 355 </w:t>
      </w:r>
      <w:r>
        <w:rPr>
          <w:sz w:val="24"/>
          <w:szCs w:val="24"/>
        </w:rPr>
        <w:t xml:space="preserve">u </w:t>
      </w:r>
      <w:r w:rsidRPr="00A45983">
        <w:rPr>
          <w:sz w:val="24"/>
          <w:szCs w:val="24"/>
        </w:rPr>
        <w:t xml:space="preserve">2024., što upućuje na pozitivan trend </w:t>
      </w:r>
      <w:r>
        <w:rPr>
          <w:sz w:val="24"/>
          <w:szCs w:val="24"/>
        </w:rPr>
        <w:t xml:space="preserve">u </w:t>
      </w:r>
      <w:r w:rsidRPr="00A45983">
        <w:rPr>
          <w:sz w:val="24"/>
          <w:szCs w:val="24"/>
        </w:rPr>
        <w:t>poboljšanj</w:t>
      </w:r>
      <w:r>
        <w:rPr>
          <w:sz w:val="24"/>
          <w:szCs w:val="24"/>
        </w:rPr>
        <w:t>u</w:t>
      </w:r>
      <w:r w:rsidRPr="00A45983">
        <w:rPr>
          <w:sz w:val="24"/>
          <w:szCs w:val="24"/>
        </w:rPr>
        <w:t xml:space="preserve"> sigurnosti. Unatoč određenim kašnjenjima pojedinih kapitalnih ulaganja, provedene mjere jasno ukazuju na napredak u razvoju održive, sigurne i </w:t>
      </w:r>
      <w:proofErr w:type="spellStart"/>
      <w:r w:rsidRPr="00A45983">
        <w:rPr>
          <w:sz w:val="24"/>
          <w:szCs w:val="24"/>
        </w:rPr>
        <w:t>multimodalne</w:t>
      </w:r>
      <w:proofErr w:type="spellEnd"/>
      <w:r w:rsidRPr="00A45983">
        <w:rPr>
          <w:sz w:val="24"/>
          <w:szCs w:val="24"/>
        </w:rPr>
        <w:t xml:space="preserve"> mobilnosti, u skladu sa </w:t>
      </w:r>
      <w:r>
        <w:rPr>
          <w:sz w:val="24"/>
          <w:szCs w:val="24"/>
        </w:rPr>
        <w:t xml:space="preserve">prioritetima </w:t>
      </w:r>
      <w:r w:rsidRPr="00A45983">
        <w:rPr>
          <w:sz w:val="24"/>
          <w:szCs w:val="24"/>
        </w:rPr>
        <w:t>održive mobilnosti.</w:t>
      </w:r>
    </w:p>
    <w:p w14:paraId="080141AB" w14:textId="77777777" w:rsidR="00FB178A" w:rsidRDefault="00FB178A" w:rsidP="00FB178A">
      <w:pPr>
        <w:spacing w:line="276" w:lineRule="auto"/>
        <w:jc w:val="both"/>
        <w:rPr>
          <w:sz w:val="24"/>
          <w:szCs w:val="24"/>
        </w:rPr>
      </w:pPr>
    </w:p>
    <w:p w14:paraId="3340F638" w14:textId="77777777" w:rsidR="00FB178A" w:rsidRDefault="00FB178A" w:rsidP="00FB178A">
      <w:pPr>
        <w:spacing w:line="276" w:lineRule="auto"/>
        <w:jc w:val="both"/>
        <w:rPr>
          <w:b/>
          <w:bCs/>
          <w:sz w:val="24"/>
          <w:szCs w:val="24"/>
        </w:rPr>
      </w:pPr>
    </w:p>
    <w:p w14:paraId="5E32858E" w14:textId="77777777" w:rsidR="00FB178A" w:rsidRPr="00AB5D1E" w:rsidRDefault="00FB178A" w:rsidP="00FB178A">
      <w:pPr>
        <w:spacing w:line="276" w:lineRule="auto"/>
        <w:jc w:val="both"/>
        <w:rPr>
          <w:sz w:val="24"/>
          <w:szCs w:val="24"/>
        </w:rPr>
      </w:pPr>
    </w:p>
    <w:p w14:paraId="533A6FCD" w14:textId="77777777" w:rsidR="00FB178A" w:rsidRDefault="00FB178A" w:rsidP="00FB178A">
      <w:pPr>
        <w:rPr>
          <w:sz w:val="24"/>
          <w:szCs w:val="24"/>
        </w:rPr>
      </w:pPr>
      <w:r>
        <w:rPr>
          <w:sz w:val="24"/>
          <w:szCs w:val="24"/>
        </w:rPr>
        <w:br w:type="page"/>
      </w:r>
    </w:p>
    <w:p w14:paraId="03DFF5CD" w14:textId="77777777" w:rsidR="00FB178A" w:rsidRPr="004C7396" w:rsidRDefault="00FB178A" w:rsidP="00FB178A">
      <w:pPr>
        <w:pStyle w:val="Heading2"/>
        <w:spacing w:after="240"/>
        <w:rPr>
          <w:rStyle w:val="Heading2Char"/>
          <w:b/>
          <w:bCs/>
          <w:sz w:val="24"/>
          <w:szCs w:val="24"/>
        </w:rPr>
      </w:pPr>
      <w:bookmarkStart w:id="105" w:name="_Toc223002953"/>
      <w:r w:rsidRPr="004C7396">
        <w:rPr>
          <w:rStyle w:val="Heading2Char"/>
          <w:b/>
          <w:bCs/>
          <w:sz w:val="24"/>
          <w:szCs w:val="24"/>
        </w:rPr>
        <w:lastRenderedPageBreak/>
        <w:t>11. Digitalna tranzicija društva i gospodarstva</w:t>
      </w:r>
      <w:bookmarkEnd w:id="105"/>
    </w:p>
    <w:p w14:paraId="41E56348" w14:textId="77777777" w:rsidR="00FB178A" w:rsidRPr="004C7396" w:rsidRDefault="00FB178A" w:rsidP="00FB178A">
      <w:pPr>
        <w:pStyle w:val="Heading3"/>
        <w:rPr>
          <w:szCs w:val="24"/>
        </w:rPr>
      </w:pPr>
      <w:bookmarkStart w:id="106" w:name="_Toc223002954"/>
      <w:r w:rsidRPr="004C7396">
        <w:rPr>
          <w:szCs w:val="24"/>
        </w:rPr>
        <w:t>11.1. Ostvarene vrijednosti pokazatelja učinka</w:t>
      </w:r>
      <w:bookmarkEnd w:id="106"/>
      <w:r w:rsidRPr="004C7396">
        <w:rPr>
          <w:szCs w:val="24"/>
        </w:rPr>
        <w:t xml:space="preserve"> </w:t>
      </w:r>
    </w:p>
    <w:tbl>
      <w:tblPr>
        <w:tblStyle w:val="TableGrid"/>
        <w:tblW w:w="0" w:type="auto"/>
        <w:tblInd w:w="0" w:type="dxa"/>
        <w:tblLayout w:type="fixed"/>
        <w:tblLook w:val="04A0" w:firstRow="1" w:lastRow="0" w:firstColumn="1" w:lastColumn="0" w:noHBand="0" w:noVBand="1"/>
      </w:tblPr>
      <w:tblGrid>
        <w:gridCol w:w="2685"/>
        <w:gridCol w:w="2355"/>
        <w:gridCol w:w="1754"/>
        <w:gridCol w:w="2251"/>
      </w:tblGrid>
      <w:tr w:rsidR="00FB178A" w:rsidRPr="00145379" w14:paraId="1F696EE9" w14:textId="77777777" w:rsidTr="009E18ED">
        <w:trPr>
          <w:trHeight w:val="756"/>
        </w:trPr>
        <w:tc>
          <w:tcPr>
            <w:tcW w:w="2685" w:type="dxa"/>
            <w:tcBorders>
              <w:top w:val="dotted" w:sz="8" w:space="0" w:color="auto"/>
              <w:left w:val="dotted" w:sz="8" w:space="0" w:color="auto"/>
              <w:bottom w:val="dotted" w:sz="8" w:space="0" w:color="auto"/>
              <w:right w:val="dotted" w:sz="8" w:space="0" w:color="auto"/>
            </w:tcBorders>
            <w:shd w:val="clear" w:color="auto" w:fill="B6DDE8" w:themeFill="accent5" w:themeFillTint="66"/>
            <w:tcMar>
              <w:left w:w="108" w:type="dxa"/>
              <w:right w:w="108" w:type="dxa"/>
            </w:tcMar>
            <w:vAlign w:val="center"/>
          </w:tcPr>
          <w:p w14:paraId="181EA8A3" w14:textId="77777777" w:rsidR="00FB178A" w:rsidRPr="00145379" w:rsidRDefault="00FB178A" w:rsidP="009E18ED">
            <w:pPr>
              <w:spacing w:line="276" w:lineRule="auto"/>
              <w:jc w:val="center"/>
              <w:rPr>
                <w:b/>
                <w:bCs/>
                <w:sz w:val="24"/>
                <w:szCs w:val="24"/>
              </w:rPr>
            </w:pPr>
            <w:r w:rsidRPr="00145379">
              <w:rPr>
                <w:b/>
                <w:bCs/>
                <w:color w:val="000000" w:themeColor="text1"/>
                <w:sz w:val="24"/>
                <w:szCs w:val="24"/>
              </w:rPr>
              <w:t>Pokazatelj učinka</w:t>
            </w:r>
          </w:p>
        </w:tc>
        <w:tc>
          <w:tcPr>
            <w:tcW w:w="2355" w:type="dxa"/>
            <w:tcBorders>
              <w:top w:val="dotted" w:sz="8" w:space="0" w:color="auto"/>
              <w:left w:val="dotted" w:sz="8" w:space="0" w:color="auto"/>
              <w:bottom w:val="dotted" w:sz="8" w:space="0" w:color="auto"/>
              <w:right w:val="dotted" w:sz="8" w:space="0" w:color="auto"/>
            </w:tcBorders>
            <w:shd w:val="clear" w:color="auto" w:fill="B6DDE8" w:themeFill="accent5" w:themeFillTint="66"/>
            <w:tcMar>
              <w:left w:w="108" w:type="dxa"/>
              <w:right w:w="108" w:type="dxa"/>
            </w:tcMar>
            <w:vAlign w:val="center"/>
          </w:tcPr>
          <w:p w14:paraId="6B3822C5" w14:textId="77777777" w:rsidR="00FB178A" w:rsidRPr="00145379" w:rsidRDefault="00FB178A" w:rsidP="009E18ED">
            <w:pPr>
              <w:spacing w:line="276" w:lineRule="auto"/>
              <w:jc w:val="center"/>
              <w:rPr>
                <w:b/>
                <w:bCs/>
                <w:sz w:val="24"/>
                <w:szCs w:val="24"/>
              </w:rPr>
            </w:pPr>
            <w:r w:rsidRPr="00145379">
              <w:rPr>
                <w:b/>
                <w:bCs/>
                <w:color w:val="000000" w:themeColor="text1"/>
                <w:sz w:val="24"/>
                <w:szCs w:val="24"/>
              </w:rPr>
              <w:t>Početna vrijednost</w:t>
            </w:r>
          </w:p>
        </w:tc>
        <w:tc>
          <w:tcPr>
            <w:tcW w:w="1754" w:type="dxa"/>
            <w:tcBorders>
              <w:top w:val="dotted" w:sz="8" w:space="0" w:color="auto"/>
              <w:left w:val="dotted" w:sz="8" w:space="0" w:color="auto"/>
              <w:bottom w:val="dotted" w:sz="8" w:space="0" w:color="auto"/>
              <w:right w:val="dotted" w:sz="8" w:space="0" w:color="auto"/>
            </w:tcBorders>
            <w:shd w:val="clear" w:color="auto" w:fill="B6DDE8" w:themeFill="accent5" w:themeFillTint="66"/>
            <w:tcMar>
              <w:left w:w="108" w:type="dxa"/>
              <w:right w:w="108" w:type="dxa"/>
            </w:tcMar>
            <w:vAlign w:val="center"/>
          </w:tcPr>
          <w:p w14:paraId="639ACA30" w14:textId="77777777" w:rsidR="00FB178A" w:rsidRPr="00145379" w:rsidRDefault="00FB178A" w:rsidP="009E18ED">
            <w:pPr>
              <w:spacing w:line="276" w:lineRule="auto"/>
              <w:jc w:val="center"/>
              <w:rPr>
                <w:b/>
                <w:bCs/>
                <w:sz w:val="24"/>
                <w:szCs w:val="24"/>
              </w:rPr>
            </w:pPr>
            <w:r w:rsidRPr="00145379">
              <w:rPr>
                <w:b/>
                <w:bCs/>
                <w:color w:val="000000" w:themeColor="text1"/>
                <w:sz w:val="24"/>
                <w:szCs w:val="24"/>
              </w:rPr>
              <w:t>Ciljna vrijednost</w:t>
            </w:r>
          </w:p>
        </w:tc>
        <w:tc>
          <w:tcPr>
            <w:tcW w:w="2251" w:type="dxa"/>
            <w:tcBorders>
              <w:top w:val="dotted" w:sz="8" w:space="0" w:color="auto"/>
              <w:left w:val="dotted" w:sz="8" w:space="0" w:color="auto"/>
              <w:bottom w:val="dotted" w:sz="8" w:space="0" w:color="auto"/>
              <w:right w:val="dotted" w:sz="8" w:space="0" w:color="auto"/>
            </w:tcBorders>
            <w:shd w:val="clear" w:color="auto" w:fill="B6DDE8" w:themeFill="accent5" w:themeFillTint="66"/>
            <w:tcMar>
              <w:left w:w="108" w:type="dxa"/>
              <w:right w:w="108" w:type="dxa"/>
            </w:tcMar>
            <w:vAlign w:val="center"/>
          </w:tcPr>
          <w:p w14:paraId="444B7F8F" w14:textId="77777777" w:rsidR="00FB178A" w:rsidRPr="00145379" w:rsidRDefault="00FB178A" w:rsidP="009E18ED">
            <w:pPr>
              <w:spacing w:line="276" w:lineRule="auto"/>
              <w:jc w:val="center"/>
              <w:rPr>
                <w:b/>
                <w:bCs/>
                <w:sz w:val="24"/>
                <w:szCs w:val="24"/>
              </w:rPr>
            </w:pPr>
            <w:r w:rsidRPr="00145379">
              <w:rPr>
                <w:b/>
                <w:bCs/>
                <w:color w:val="000000" w:themeColor="text1"/>
                <w:sz w:val="24"/>
                <w:szCs w:val="24"/>
              </w:rPr>
              <w:t>Ostvarena vrijednost</w:t>
            </w:r>
            <w:r>
              <w:rPr>
                <w:b/>
                <w:bCs/>
                <w:color w:val="000000" w:themeColor="text1"/>
                <w:sz w:val="24"/>
                <w:szCs w:val="24"/>
              </w:rPr>
              <w:t xml:space="preserve"> (2023.)</w:t>
            </w:r>
          </w:p>
        </w:tc>
      </w:tr>
      <w:tr w:rsidR="00FB178A" w:rsidRPr="00145379" w14:paraId="56A038F5" w14:textId="77777777" w:rsidTr="009E18ED">
        <w:trPr>
          <w:trHeight w:val="300"/>
        </w:trPr>
        <w:tc>
          <w:tcPr>
            <w:tcW w:w="2685" w:type="dxa"/>
            <w:tcBorders>
              <w:top w:val="dotted" w:sz="8" w:space="0" w:color="auto"/>
              <w:left w:val="dotted" w:sz="8" w:space="0" w:color="auto"/>
              <w:bottom w:val="dotted" w:sz="8" w:space="0" w:color="auto"/>
              <w:right w:val="nil"/>
            </w:tcBorders>
            <w:tcMar>
              <w:left w:w="108" w:type="dxa"/>
              <w:right w:w="108" w:type="dxa"/>
            </w:tcMar>
          </w:tcPr>
          <w:p w14:paraId="2AD0B1F1" w14:textId="77777777" w:rsidR="00FB178A" w:rsidRPr="00B44EB7" w:rsidRDefault="00FB178A" w:rsidP="009E18ED">
            <w:pPr>
              <w:spacing w:before="165" w:line="276" w:lineRule="auto"/>
              <w:jc w:val="both"/>
              <w:rPr>
                <w:i/>
                <w:sz w:val="24"/>
                <w:szCs w:val="24"/>
              </w:rPr>
            </w:pPr>
            <w:r w:rsidRPr="00B44EB7">
              <w:rPr>
                <w:i/>
                <w:color w:val="000000" w:themeColor="text1"/>
                <w:sz w:val="24"/>
                <w:szCs w:val="24"/>
              </w:rPr>
              <w:t>DESI indeks gospodarske i društvene digitalizacije (do 2022.)</w:t>
            </w:r>
          </w:p>
        </w:tc>
        <w:tc>
          <w:tcPr>
            <w:tcW w:w="2355" w:type="dxa"/>
            <w:tcBorders>
              <w:top w:val="dotted" w:sz="8" w:space="0" w:color="auto"/>
              <w:left w:val="nil"/>
              <w:bottom w:val="dotted" w:sz="8" w:space="0" w:color="auto"/>
              <w:right w:val="nil"/>
            </w:tcBorders>
            <w:shd w:val="clear" w:color="auto" w:fill="DAEEF3" w:themeFill="accent5" w:themeFillTint="33"/>
            <w:tcMar>
              <w:left w:w="108" w:type="dxa"/>
              <w:right w:w="108" w:type="dxa"/>
            </w:tcMar>
            <w:vAlign w:val="center"/>
          </w:tcPr>
          <w:p w14:paraId="23474777" w14:textId="77777777" w:rsidR="00FB178A" w:rsidRPr="00B44EB7" w:rsidRDefault="00FB178A" w:rsidP="009E18ED">
            <w:pPr>
              <w:spacing w:line="276" w:lineRule="auto"/>
              <w:jc w:val="center"/>
              <w:rPr>
                <w:i/>
                <w:color w:val="000000" w:themeColor="text1"/>
                <w:sz w:val="24"/>
                <w:szCs w:val="24"/>
              </w:rPr>
            </w:pPr>
            <w:r w:rsidRPr="00B44EB7">
              <w:rPr>
                <w:i/>
                <w:color w:val="000000" w:themeColor="text1"/>
                <w:sz w:val="24"/>
                <w:szCs w:val="24"/>
              </w:rPr>
              <w:t>47,60</w:t>
            </w:r>
          </w:p>
          <w:p w14:paraId="008D5CB4" w14:textId="77777777" w:rsidR="00FB178A" w:rsidRPr="00B44EB7" w:rsidRDefault="00FB178A" w:rsidP="009E18ED">
            <w:pPr>
              <w:spacing w:line="276" w:lineRule="auto"/>
              <w:jc w:val="center"/>
              <w:rPr>
                <w:i/>
                <w:sz w:val="24"/>
                <w:szCs w:val="24"/>
              </w:rPr>
            </w:pPr>
            <w:r w:rsidRPr="00B44EB7">
              <w:rPr>
                <w:i/>
                <w:color w:val="000000" w:themeColor="text1"/>
                <w:sz w:val="24"/>
                <w:szCs w:val="24"/>
              </w:rPr>
              <w:t>(20. mjesto u EU) (2020.)</w:t>
            </w:r>
          </w:p>
        </w:tc>
        <w:tc>
          <w:tcPr>
            <w:tcW w:w="1754" w:type="dxa"/>
            <w:tcBorders>
              <w:top w:val="dotted" w:sz="8" w:space="0" w:color="auto"/>
              <w:left w:val="nil"/>
              <w:bottom w:val="dotted" w:sz="8" w:space="0" w:color="auto"/>
              <w:right w:val="nil"/>
            </w:tcBorders>
            <w:tcMar>
              <w:left w:w="108" w:type="dxa"/>
              <w:right w:w="108" w:type="dxa"/>
            </w:tcMar>
          </w:tcPr>
          <w:p w14:paraId="4A2A08E8" w14:textId="77777777" w:rsidR="00FB178A" w:rsidRPr="00B44EB7" w:rsidRDefault="00FB178A" w:rsidP="009E18ED">
            <w:pPr>
              <w:spacing w:before="165" w:line="276" w:lineRule="auto"/>
              <w:jc w:val="center"/>
              <w:rPr>
                <w:i/>
                <w:sz w:val="24"/>
                <w:szCs w:val="24"/>
              </w:rPr>
            </w:pPr>
            <w:r w:rsidRPr="00B44EB7">
              <w:rPr>
                <w:i/>
                <w:color w:val="000000" w:themeColor="text1"/>
                <w:sz w:val="24"/>
                <w:szCs w:val="24"/>
              </w:rPr>
              <w:t>Dostići prosjek EU-a</w:t>
            </w:r>
          </w:p>
        </w:tc>
        <w:tc>
          <w:tcPr>
            <w:tcW w:w="2251" w:type="dxa"/>
            <w:tcBorders>
              <w:top w:val="dotted" w:sz="8" w:space="0" w:color="auto"/>
              <w:left w:val="nil"/>
              <w:bottom w:val="dotted" w:sz="8" w:space="0" w:color="auto"/>
              <w:right w:val="dotted" w:sz="8" w:space="0" w:color="auto"/>
            </w:tcBorders>
            <w:shd w:val="clear" w:color="auto" w:fill="DAEEF3" w:themeFill="accent5" w:themeFillTint="33"/>
            <w:tcMar>
              <w:left w:w="108" w:type="dxa"/>
              <w:right w:w="108" w:type="dxa"/>
            </w:tcMar>
            <w:vAlign w:val="center"/>
          </w:tcPr>
          <w:p w14:paraId="49A489DE" w14:textId="77777777" w:rsidR="00FB178A" w:rsidRDefault="00FB178A" w:rsidP="009E18ED">
            <w:pPr>
              <w:spacing w:line="276" w:lineRule="auto"/>
              <w:jc w:val="center"/>
              <w:rPr>
                <w:i/>
                <w:iCs/>
                <w:sz w:val="24"/>
                <w:szCs w:val="24"/>
              </w:rPr>
            </w:pPr>
            <w:r>
              <w:rPr>
                <w:i/>
                <w:iCs/>
                <w:sz w:val="24"/>
                <w:szCs w:val="24"/>
              </w:rPr>
              <w:t>N</w:t>
            </w:r>
            <w:r w:rsidRPr="00DC5D1F">
              <w:rPr>
                <w:i/>
                <w:iCs/>
                <w:sz w:val="24"/>
                <w:szCs w:val="24"/>
              </w:rPr>
              <w:t>isu dostupni</w:t>
            </w:r>
          </w:p>
          <w:p w14:paraId="4849E9EE" w14:textId="77777777" w:rsidR="00FB178A" w:rsidRPr="003C388F" w:rsidRDefault="00FB178A" w:rsidP="009E18ED">
            <w:pPr>
              <w:spacing w:line="276" w:lineRule="auto"/>
              <w:jc w:val="center"/>
              <w:rPr>
                <w:i/>
                <w:iCs/>
                <w:sz w:val="24"/>
                <w:szCs w:val="24"/>
              </w:rPr>
            </w:pPr>
            <w:r w:rsidRPr="00DC5D1F">
              <w:rPr>
                <w:i/>
                <w:iCs/>
                <w:sz w:val="24"/>
                <w:szCs w:val="24"/>
              </w:rPr>
              <w:t xml:space="preserve"> poda</w:t>
            </w:r>
            <w:r>
              <w:rPr>
                <w:i/>
                <w:iCs/>
                <w:sz w:val="24"/>
                <w:szCs w:val="24"/>
              </w:rPr>
              <w:t>t</w:t>
            </w:r>
            <w:r w:rsidRPr="00DC5D1F">
              <w:rPr>
                <w:i/>
                <w:iCs/>
                <w:sz w:val="24"/>
                <w:szCs w:val="24"/>
              </w:rPr>
              <w:t>ci</w:t>
            </w:r>
            <w:r w:rsidRPr="00DC5D1F" w:rsidDel="00DC5D1F">
              <w:rPr>
                <w:i/>
                <w:iCs/>
                <w:sz w:val="24"/>
                <w:szCs w:val="24"/>
              </w:rPr>
              <w:t xml:space="preserve"> </w:t>
            </w:r>
            <w:r>
              <w:rPr>
                <w:rStyle w:val="FootnoteReference"/>
                <w:i/>
                <w:iCs/>
                <w:sz w:val="24"/>
                <w:szCs w:val="24"/>
              </w:rPr>
              <w:footnoteReference w:id="16"/>
            </w:r>
          </w:p>
        </w:tc>
      </w:tr>
    </w:tbl>
    <w:p w14:paraId="5BB6059D" w14:textId="77777777" w:rsidR="00FB178A" w:rsidRPr="00145379" w:rsidRDefault="00FB178A" w:rsidP="00FB178A">
      <w:pPr>
        <w:spacing w:line="276" w:lineRule="auto"/>
        <w:rPr>
          <w:sz w:val="24"/>
          <w:szCs w:val="24"/>
        </w:rPr>
      </w:pPr>
    </w:p>
    <w:p w14:paraId="7102467A" w14:textId="77777777" w:rsidR="00FB178A" w:rsidRPr="00145379" w:rsidRDefault="00FB178A" w:rsidP="00FB178A">
      <w:pPr>
        <w:pStyle w:val="Heading3"/>
      </w:pPr>
      <w:bookmarkStart w:id="107" w:name="_Toc223002955"/>
      <w:r w:rsidRPr="7B8BC2C2">
        <w:t>11.2. Opis napretka u provedbi strateškog cilja Digitalna tranzicija društva i gospodarstva</w:t>
      </w:r>
      <w:bookmarkEnd w:id="107"/>
    </w:p>
    <w:p w14:paraId="7F56AC7B" w14:textId="77777777" w:rsidR="00FB178A" w:rsidRDefault="00FB178A" w:rsidP="00FB178A">
      <w:pPr>
        <w:spacing w:before="240" w:line="276" w:lineRule="auto"/>
        <w:ind w:firstLine="720"/>
        <w:jc w:val="both"/>
        <w:rPr>
          <w:bCs/>
          <w:sz w:val="24"/>
          <w:szCs w:val="24"/>
        </w:rPr>
      </w:pPr>
      <w:r w:rsidRPr="0004221B">
        <w:rPr>
          <w:bCs/>
          <w:sz w:val="24"/>
          <w:szCs w:val="24"/>
        </w:rPr>
        <w:t>U skladu s Izvješćem</w:t>
      </w:r>
      <w:r>
        <w:rPr>
          <w:bCs/>
          <w:sz w:val="24"/>
          <w:szCs w:val="24"/>
        </w:rPr>
        <w:t xml:space="preserve"> o stanju digitalnog desetljeća</w:t>
      </w:r>
      <w:r w:rsidRPr="0004221B">
        <w:rPr>
          <w:bCs/>
          <w:sz w:val="24"/>
          <w:szCs w:val="24"/>
        </w:rPr>
        <w:t xml:space="preserve">, Hrvatska </w:t>
      </w:r>
      <w:r>
        <w:rPr>
          <w:bCs/>
          <w:sz w:val="24"/>
          <w:szCs w:val="24"/>
        </w:rPr>
        <w:t>u</w:t>
      </w:r>
      <w:r w:rsidRPr="0004221B">
        <w:rPr>
          <w:bCs/>
          <w:sz w:val="24"/>
          <w:szCs w:val="24"/>
        </w:rPr>
        <w:t xml:space="preserve"> 2024. </w:t>
      </w:r>
      <w:r w:rsidRPr="001E0658">
        <w:rPr>
          <w:bCs/>
          <w:sz w:val="24"/>
          <w:szCs w:val="24"/>
        </w:rPr>
        <w:t>ostvar</w:t>
      </w:r>
      <w:r>
        <w:rPr>
          <w:bCs/>
          <w:sz w:val="24"/>
          <w:szCs w:val="24"/>
        </w:rPr>
        <w:t>uje zamjetan</w:t>
      </w:r>
      <w:r w:rsidRPr="001E0658">
        <w:rPr>
          <w:bCs/>
          <w:sz w:val="24"/>
          <w:szCs w:val="24"/>
        </w:rPr>
        <w:t xml:space="preserve"> napredak u </w:t>
      </w:r>
      <w:r w:rsidRPr="007E3645">
        <w:rPr>
          <w:bCs/>
          <w:sz w:val="24"/>
          <w:szCs w:val="24"/>
        </w:rPr>
        <w:t>nizu segmenata</w:t>
      </w:r>
      <w:r>
        <w:rPr>
          <w:bCs/>
          <w:sz w:val="24"/>
          <w:szCs w:val="24"/>
        </w:rPr>
        <w:t>:</w:t>
      </w:r>
      <w:r w:rsidRPr="007E3645">
        <w:rPr>
          <w:bCs/>
          <w:sz w:val="24"/>
          <w:szCs w:val="24"/>
        </w:rPr>
        <w:t xml:space="preserve"> digitaln</w:t>
      </w:r>
      <w:r>
        <w:rPr>
          <w:bCs/>
          <w:sz w:val="24"/>
          <w:szCs w:val="24"/>
        </w:rPr>
        <w:t>im</w:t>
      </w:r>
      <w:r w:rsidRPr="007E3645">
        <w:rPr>
          <w:bCs/>
          <w:sz w:val="24"/>
          <w:szCs w:val="24"/>
        </w:rPr>
        <w:t xml:space="preserve"> vještin</w:t>
      </w:r>
      <w:r>
        <w:rPr>
          <w:bCs/>
          <w:sz w:val="24"/>
          <w:szCs w:val="24"/>
        </w:rPr>
        <w:t>ama</w:t>
      </w:r>
      <w:r w:rsidRPr="007E3645">
        <w:rPr>
          <w:bCs/>
          <w:sz w:val="24"/>
          <w:szCs w:val="24"/>
        </w:rPr>
        <w:t xml:space="preserve">, </w:t>
      </w:r>
      <w:r>
        <w:rPr>
          <w:bCs/>
          <w:sz w:val="24"/>
          <w:szCs w:val="24"/>
        </w:rPr>
        <w:t xml:space="preserve">korištenju </w:t>
      </w:r>
      <w:r w:rsidRPr="007E3645">
        <w:rPr>
          <w:bCs/>
          <w:sz w:val="24"/>
          <w:szCs w:val="24"/>
        </w:rPr>
        <w:t>napredn</w:t>
      </w:r>
      <w:r>
        <w:rPr>
          <w:bCs/>
          <w:sz w:val="24"/>
          <w:szCs w:val="24"/>
        </w:rPr>
        <w:t>ih</w:t>
      </w:r>
      <w:r w:rsidRPr="007E3645">
        <w:rPr>
          <w:bCs/>
          <w:sz w:val="24"/>
          <w:szCs w:val="24"/>
        </w:rPr>
        <w:t xml:space="preserve"> tehnologij</w:t>
      </w:r>
      <w:r>
        <w:rPr>
          <w:bCs/>
          <w:sz w:val="24"/>
          <w:szCs w:val="24"/>
        </w:rPr>
        <w:t>a</w:t>
      </w:r>
      <w:r w:rsidRPr="007E3645">
        <w:rPr>
          <w:bCs/>
          <w:sz w:val="24"/>
          <w:szCs w:val="24"/>
        </w:rPr>
        <w:t xml:space="preserve"> u poduzećima, </w:t>
      </w:r>
      <w:r>
        <w:rPr>
          <w:bCs/>
          <w:sz w:val="24"/>
          <w:szCs w:val="24"/>
        </w:rPr>
        <w:t xml:space="preserve">širenju </w:t>
      </w:r>
      <w:r w:rsidRPr="007E3645">
        <w:rPr>
          <w:bCs/>
          <w:sz w:val="24"/>
          <w:szCs w:val="24"/>
        </w:rPr>
        <w:t>digitaln</w:t>
      </w:r>
      <w:r>
        <w:rPr>
          <w:bCs/>
          <w:sz w:val="24"/>
          <w:szCs w:val="24"/>
        </w:rPr>
        <w:t>ih</w:t>
      </w:r>
      <w:r w:rsidRPr="007E3645">
        <w:rPr>
          <w:bCs/>
          <w:sz w:val="24"/>
          <w:szCs w:val="24"/>
        </w:rPr>
        <w:t xml:space="preserve"> javn</w:t>
      </w:r>
      <w:r>
        <w:rPr>
          <w:bCs/>
          <w:sz w:val="24"/>
          <w:szCs w:val="24"/>
        </w:rPr>
        <w:t>ih</w:t>
      </w:r>
      <w:r w:rsidRPr="007E3645">
        <w:rPr>
          <w:bCs/>
          <w:sz w:val="24"/>
          <w:szCs w:val="24"/>
        </w:rPr>
        <w:t xml:space="preserve"> uslug</w:t>
      </w:r>
      <w:r>
        <w:rPr>
          <w:bCs/>
          <w:sz w:val="24"/>
          <w:szCs w:val="24"/>
        </w:rPr>
        <w:t>a</w:t>
      </w:r>
      <w:r w:rsidRPr="007E3645">
        <w:rPr>
          <w:bCs/>
          <w:sz w:val="24"/>
          <w:szCs w:val="24"/>
        </w:rPr>
        <w:t xml:space="preserve"> za građane</w:t>
      </w:r>
      <w:r>
        <w:rPr>
          <w:bCs/>
          <w:sz w:val="24"/>
          <w:szCs w:val="24"/>
        </w:rPr>
        <w:t xml:space="preserve"> i</w:t>
      </w:r>
      <w:r w:rsidRPr="007E3645">
        <w:rPr>
          <w:bCs/>
          <w:sz w:val="24"/>
          <w:szCs w:val="24"/>
        </w:rPr>
        <w:t xml:space="preserve"> razvoj optičke i 5G infrastrukture</w:t>
      </w:r>
      <w:r>
        <w:rPr>
          <w:bCs/>
          <w:sz w:val="24"/>
          <w:szCs w:val="24"/>
        </w:rPr>
        <w:t>. S druge strane, i dalje je n</w:t>
      </w:r>
      <w:r w:rsidRPr="007E3645">
        <w:rPr>
          <w:bCs/>
          <w:sz w:val="24"/>
          <w:szCs w:val="24"/>
        </w:rPr>
        <w:t>aglaš</w:t>
      </w:r>
      <w:r>
        <w:rPr>
          <w:bCs/>
          <w:sz w:val="24"/>
          <w:szCs w:val="24"/>
        </w:rPr>
        <w:t>ena</w:t>
      </w:r>
      <w:r w:rsidRPr="007E3645">
        <w:rPr>
          <w:bCs/>
          <w:sz w:val="24"/>
          <w:szCs w:val="24"/>
        </w:rPr>
        <w:t xml:space="preserve"> potreb</w:t>
      </w:r>
      <w:r>
        <w:rPr>
          <w:bCs/>
          <w:sz w:val="24"/>
          <w:szCs w:val="24"/>
        </w:rPr>
        <w:t>a</w:t>
      </w:r>
      <w:r w:rsidRPr="007E3645">
        <w:rPr>
          <w:bCs/>
          <w:sz w:val="24"/>
          <w:szCs w:val="24"/>
        </w:rPr>
        <w:t xml:space="preserve"> za ubrzanjem digitalne transformacije gospodarstva, daljnjim jačanjem digitalnih kompetencija svih skupina stanovništva te ciljanom potporom </w:t>
      </w:r>
      <w:r>
        <w:rPr>
          <w:bCs/>
          <w:sz w:val="24"/>
          <w:szCs w:val="24"/>
        </w:rPr>
        <w:t xml:space="preserve">infrastrukturi u </w:t>
      </w:r>
      <w:r w:rsidRPr="007E3645">
        <w:rPr>
          <w:bCs/>
          <w:sz w:val="24"/>
          <w:szCs w:val="24"/>
        </w:rPr>
        <w:t>ruralnim područjima, MSP-ovima i visoko inovativnim poduzećima kako bi se ostvarili ciljevi Digitalnog desetljeća</w:t>
      </w:r>
      <w:r>
        <w:rPr>
          <w:bCs/>
          <w:sz w:val="24"/>
          <w:szCs w:val="24"/>
        </w:rPr>
        <w:t>. Sveukupno</w:t>
      </w:r>
      <w:r w:rsidRPr="00565C17">
        <w:rPr>
          <w:bCs/>
          <w:sz w:val="24"/>
          <w:szCs w:val="24"/>
        </w:rPr>
        <w:t xml:space="preserve"> gledano, Hrvatska se nalazi na dobrom putu prema ostvarenju ciljeva </w:t>
      </w:r>
      <w:r w:rsidRPr="00276E55">
        <w:rPr>
          <w:sz w:val="24"/>
          <w:szCs w:val="24"/>
        </w:rPr>
        <w:t>Digitalnog desetljeća</w:t>
      </w:r>
      <w:r w:rsidRPr="00565C17">
        <w:rPr>
          <w:sz w:val="24"/>
          <w:szCs w:val="24"/>
        </w:rPr>
        <w:t>,</w:t>
      </w:r>
      <w:r w:rsidRPr="00565C17">
        <w:rPr>
          <w:bCs/>
          <w:sz w:val="24"/>
          <w:szCs w:val="24"/>
        </w:rPr>
        <w:t xml:space="preserve"> pri čemu najveći potencijal rasta leži u jačanju digitalne povezanosti i dostupnosti naprednih komunikacijskih tehnologija.</w:t>
      </w:r>
    </w:p>
    <w:p w14:paraId="3B23D5C2" w14:textId="77777777" w:rsidR="00FB178A" w:rsidRDefault="00FB178A" w:rsidP="00FB178A">
      <w:pPr>
        <w:spacing w:line="276" w:lineRule="auto"/>
        <w:ind w:firstLine="720"/>
        <w:jc w:val="both"/>
        <w:rPr>
          <w:b/>
          <w:sz w:val="24"/>
          <w:szCs w:val="24"/>
        </w:rPr>
      </w:pPr>
    </w:p>
    <w:p w14:paraId="68CC3CAE" w14:textId="77777777" w:rsidR="00FB178A" w:rsidRPr="0004221B" w:rsidRDefault="00FB178A" w:rsidP="00FB178A">
      <w:pPr>
        <w:spacing w:line="276" w:lineRule="auto"/>
        <w:ind w:firstLine="720"/>
        <w:jc w:val="both"/>
        <w:rPr>
          <w:b/>
          <w:sz w:val="24"/>
          <w:szCs w:val="24"/>
        </w:rPr>
      </w:pPr>
      <w:r w:rsidRPr="0004221B">
        <w:rPr>
          <w:b/>
          <w:sz w:val="24"/>
          <w:szCs w:val="24"/>
        </w:rPr>
        <w:t>Razvoj digitalnih  kompetencija i digitalnih radnih mjesta</w:t>
      </w:r>
    </w:p>
    <w:p w14:paraId="7E40CACE" w14:textId="77777777" w:rsidR="00FB178A" w:rsidRDefault="00FB178A" w:rsidP="00FB178A">
      <w:pPr>
        <w:spacing w:before="240" w:line="276" w:lineRule="auto"/>
        <w:ind w:firstLine="720"/>
        <w:jc w:val="both"/>
        <w:rPr>
          <w:rFonts w:eastAsia="Calibri"/>
          <w:sz w:val="24"/>
          <w:szCs w:val="24"/>
        </w:rPr>
      </w:pPr>
      <w:r w:rsidRPr="00834598">
        <w:rPr>
          <w:sz w:val="24"/>
          <w:szCs w:val="24"/>
        </w:rPr>
        <w:t>Hrvatska u području digitalnih vještina bilježi iznadprosječne rezultate u odnosu na EU, ali uz izražene razlike među pojedinim skupinama stanovništva. Udio stanovništva s barem osnovnim digitalnim vještinama iznosio je 58,95%, iznad prosjeka EU-a od 55,56%, uz nacionalni cilj od 80% do 2030. godine. Mladi (16</w:t>
      </w:r>
      <w:r>
        <w:rPr>
          <w:sz w:val="24"/>
          <w:szCs w:val="24"/>
        </w:rPr>
        <w:t>-</w:t>
      </w:r>
      <w:r w:rsidRPr="00834598">
        <w:rPr>
          <w:sz w:val="24"/>
          <w:szCs w:val="24"/>
        </w:rPr>
        <w:t xml:space="preserve">24 godine) su posebno dobro opremljeni </w:t>
      </w:r>
      <w:r>
        <w:rPr>
          <w:sz w:val="24"/>
          <w:szCs w:val="24"/>
        </w:rPr>
        <w:t>-</w:t>
      </w:r>
      <w:r w:rsidRPr="00834598">
        <w:rPr>
          <w:sz w:val="24"/>
          <w:szCs w:val="24"/>
        </w:rPr>
        <w:t xml:space="preserve"> 86,33% ima barem osnovne digitalne vještine (EU: 69,98%), dok u skupini 65</w:t>
      </w:r>
      <w:r>
        <w:rPr>
          <w:sz w:val="24"/>
          <w:szCs w:val="24"/>
        </w:rPr>
        <w:t>-</w:t>
      </w:r>
      <w:r w:rsidRPr="00834598">
        <w:rPr>
          <w:sz w:val="24"/>
          <w:szCs w:val="24"/>
        </w:rPr>
        <w:t>74 godine taj udio iznosi svega 17,86%, značajno ispod prosjeka EU-a (28,19%). Istodobno, razlike prema obrazovanju i dalje su vrlo izražene: 81,46% osoba s visokim obrazovanjem ima barem osnovne digitalne vještine, nasuprot 26,12% osoba s niskom razinom obrazovanja</w:t>
      </w:r>
      <w:r w:rsidRPr="0004221B">
        <w:rPr>
          <w:rFonts w:eastAsia="Calibri"/>
          <w:sz w:val="24"/>
          <w:szCs w:val="24"/>
        </w:rPr>
        <w:t>.</w:t>
      </w:r>
      <w:r>
        <w:rPr>
          <w:rFonts w:eastAsia="Calibri"/>
          <w:sz w:val="24"/>
          <w:szCs w:val="24"/>
        </w:rPr>
        <w:t xml:space="preserve"> </w:t>
      </w:r>
      <w:r w:rsidRPr="008B0A35">
        <w:rPr>
          <w:rFonts w:eastAsia="Calibri"/>
          <w:sz w:val="24"/>
          <w:szCs w:val="24"/>
        </w:rPr>
        <w:t xml:space="preserve">Hrvatska dodatno jača digitalne kompetencije kroz vaučere za obrazovanje odraslih, aktivne od 2022., pri čemu je do </w:t>
      </w:r>
      <w:r>
        <w:rPr>
          <w:rFonts w:eastAsia="Calibri"/>
          <w:sz w:val="24"/>
          <w:szCs w:val="24"/>
        </w:rPr>
        <w:t xml:space="preserve">kraja </w:t>
      </w:r>
      <w:r w:rsidRPr="008B0A35">
        <w:rPr>
          <w:rFonts w:eastAsia="Calibri"/>
          <w:sz w:val="24"/>
          <w:szCs w:val="24"/>
        </w:rPr>
        <w:t>202</w:t>
      </w:r>
      <w:r>
        <w:rPr>
          <w:rFonts w:eastAsia="Calibri"/>
          <w:sz w:val="24"/>
          <w:szCs w:val="24"/>
        </w:rPr>
        <w:t>4</w:t>
      </w:r>
      <w:r w:rsidRPr="008B0A35">
        <w:rPr>
          <w:rFonts w:eastAsia="Calibri"/>
          <w:sz w:val="24"/>
          <w:szCs w:val="24"/>
        </w:rPr>
        <w:t xml:space="preserve">. dodijeljeno više od 19.000 vaučera za stjecanje digitalnih vještina, uz više od 100 programa u preko 150 ustanova diljem </w:t>
      </w:r>
      <w:r>
        <w:rPr>
          <w:rFonts w:eastAsia="Calibri"/>
          <w:sz w:val="24"/>
          <w:szCs w:val="24"/>
        </w:rPr>
        <w:t>Hrvatske</w:t>
      </w:r>
      <w:r w:rsidRPr="008B0A35">
        <w:rPr>
          <w:rFonts w:eastAsia="Calibri"/>
          <w:sz w:val="24"/>
          <w:szCs w:val="24"/>
        </w:rPr>
        <w:t xml:space="preserve"> i snažnu potporu sredstvima iz </w:t>
      </w:r>
      <w:r>
        <w:rPr>
          <w:rFonts w:eastAsia="Calibri"/>
          <w:sz w:val="24"/>
          <w:szCs w:val="24"/>
        </w:rPr>
        <w:t>NPOO-a</w:t>
      </w:r>
      <w:r w:rsidRPr="008B0A35">
        <w:rPr>
          <w:rFonts w:eastAsia="Calibri"/>
          <w:sz w:val="24"/>
          <w:szCs w:val="24"/>
        </w:rPr>
        <w:t xml:space="preserve"> (211 mil</w:t>
      </w:r>
      <w:r>
        <w:rPr>
          <w:rFonts w:eastAsia="Calibri"/>
          <w:sz w:val="24"/>
          <w:szCs w:val="24"/>
        </w:rPr>
        <w:t>ijuna</w:t>
      </w:r>
      <w:r w:rsidRPr="008B0A35">
        <w:rPr>
          <w:rFonts w:eastAsia="Calibri"/>
          <w:sz w:val="24"/>
          <w:szCs w:val="24"/>
        </w:rPr>
        <w:t xml:space="preserve"> eura </w:t>
      </w:r>
      <w:r w:rsidRPr="008B0A35">
        <w:rPr>
          <w:rFonts w:eastAsia="Calibri"/>
          <w:sz w:val="24"/>
          <w:szCs w:val="24"/>
        </w:rPr>
        <w:lastRenderedPageBreak/>
        <w:t>za reforme i ulaganja u vještine i obrazovanje).</w:t>
      </w:r>
    </w:p>
    <w:p w14:paraId="16B13ABF" w14:textId="77777777" w:rsidR="00FB178A" w:rsidRPr="0004221B" w:rsidRDefault="00FB178A" w:rsidP="00FB178A">
      <w:pPr>
        <w:spacing w:before="240" w:line="276" w:lineRule="auto"/>
        <w:jc w:val="both"/>
        <w:rPr>
          <w:rFonts w:eastAsia="Calibri"/>
          <w:sz w:val="24"/>
          <w:szCs w:val="24"/>
        </w:rPr>
      </w:pPr>
      <w:r w:rsidRPr="008B1898">
        <w:rPr>
          <w:rFonts w:eastAsia="Calibri"/>
          <w:sz w:val="24"/>
          <w:szCs w:val="24"/>
        </w:rPr>
        <w:t>U području digitalnih radnih mjesta Hrvatska također napreduje. Udio I</w:t>
      </w:r>
      <w:r>
        <w:rPr>
          <w:rFonts w:eastAsia="Calibri"/>
          <w:sz w:val="24"/>
          <w:szCs w:val="24"/>
        </w:rPr>
        <w:t>K</w:t>
      </w:r>
      <w:r w:rsidRPr="008B1898">
        <w:rPr>
          <w:rFonts w:eastAsia="Calibri"/>
          <w:sz w:val="24"/>
          <w:szCs w:val="24"/>
        </w:rPr>
        <w:t>T stručnjaka u ukupnoj zaposlenosti porastao je s 4,3% u 2023. na 5,0% u 2024., čime se dostiže prosjek EU-a, uz nacionalni indikativni cilj od 10% do 2030. godine. Posebno je pozitivan pomak u udjelu žena među I</w:t>
      </w:r>
      <w:r>
        <w:rPr>
          <w:rFonts w:eastAsia="Calibri"/>
          <w:sz w:val="24"/>
          <w:szCs w:val="24"/>
        </w:rPr>
        <w:t>K</w:t>
      </w:r>
      <w:r w:rsidRPr="008B1898">
        <w:rPr>
          <w:rFonts w:eastAsia="Calibri"/>
          <w:sz w:val="24"/>
          <w:szCs w:val="24"/>
        </w:rPr>
        <w:t>T stručnjacima</w:t>
      </w:r>
      <w:r>
        <w:rPr>
          <w:rFonts w:eastAsia="Calibri"/>
          <w:sz w:val="24"/>
          <w:szCs w:val="24"/>
        </w:rPr>
        <w:t>,</w:t>
      </w:r>
      <w:r w:rsidRPr="008B1898">
        <w:rPr>
          <w:rFonts w:eastAsia="Calibri"/>
          <w:sz w:val="24"/>
          <w:szCs w:val="24"/>
        </w:rPr>
        <w:t xml:space="preserve"> </w:t>
      </w:r>
      <w:r>
        <w:rPr>
          <w:rFonts w:eastAsia="Calibri"/>
          <w:sz w:val="24"/>
          <w:szCs w:val="24"/>
        </w:rPr>
        <w:t xml:space="preserve">u </w:t>
      </w:r>
      <w:r w:rsidRPr="008B1898">
        <w:rPr>
          <w:rFonts w:eastAsia="Calibri"/>
          <w:sz w:val="24"/>
          <w:szCs w:val="24"/>
        </w:rPr>
        <w:t xml:space="preserve">2024. </w:t>
      </w:r>
      <w:r>
        <w:rPr>
          <w:rFonts w:eastAsia="Calibri"/>
          <w:sz w:val="24"/>
          <w:szCs w:val="24"/>
        </w:rPr>
        <w:t>žene su</w:t>
      </w:r>
      <w:r w:rsidRPr="008B1898">
        <w:rPr>
          <w:rFonts w:eastAsia="Calibri"/>
          <w:sz w:val="24"/>
          <w:szCs w:val="24"/>
        </w:rPr>
        <w:t xml:space="preserve"> čin</w:t>
      </w:r>
      <w:r>
        <w:rPr>
          <w:rFonts w:eastAsia="Calibri"/>
          <w:sz w:val="24"/>
          <w:szCs w:val="24"/>
        </w:rPr>
        <w:t>ile</w:t>
      </w:r>
      <w:r w:rsidRPr="008B1898">
        <w:rPr>
          <w:rFonts w:eastAsia="Calibri"/>
          <w:sz w:val="24"/>
          <w:szCs w:val="24"/>
        </w:rPr>
        <w:t xml:space="preserve"> 21,5% I</w:t>
      </w:r>
      <w:r>
        <w:rPr>
          <w:rFonts w:eastAsia="Calibri"/>
          <w:sz w:val="24"/>
          <w:szCs w:val="24"/>
        </w:rPr>
        <w:t>K</w:t>
      </w:r>
      <w:r w:rsidRPr="008B1898">
        <w:rPr>
          <w:rFonts w:eastAsia="Calibri"/>
          <w:sz w:val="24"/>
          <w:szCs w:val="24"/>
        </w:rPr>
        <w:t xml:space="preserve">T radne snage, više od prosjeka EU-a </w:t>
      </w:r>
      <w:r>
        <w:rPr>
          <w:rFonts w:eastAsia="Calibri"/>
          <w:sz w:val="24"/>
          <w:szCs w:val="24"/>
        </w:rPr>
        <w:t>(</w:t>
      </w:r>
      <w:r w:rsidRPr="008B1898">
        <w:rPr>
          <w:rFonts w:eastAsia="Calibri"/>
          <w:sz w:val="24"/>
          <w:szCs w:val="24"/>
        </w:rPr>
        <w:t>19,5%</w:t>
      </w:r>
      <w:r>
        <w:rPr>
          <w:rFonts w:eastAsia="Calibri"/>
          <w:sz w:val="24"/>
          <w:szCs w:val="24"/>
        </w:rPr>
        <w:t xml:space="preserve">). </w:t>
      </w:r>
      <w:r w:rsidRPr="008B1898">
        <w:rPr>
          <w:rFonts w:eastAsia="Calibri"/>
          <w:sz w:val="24"/>
          <w:szCs w:val="24"/>
        </w:rPr>
        <w:t>Unatoč tome, 43% poduzeća prijavljuje poteškoće u pronalaženju radnika s odgovarajućim vještinama, a I</w:t>
      </w:r>
      <w:r>
        <w:rPr>
          <w:rFonts w:eastAsia="Calibri"/>
          <w:sz w:val="24"/>
          <w:szCs w:val="24"/>
        </w:rPr>
        <w:t>K</w:t>
      </w:r>
      <w:r w:rsidRPr="008B1898">
        <w:rPr>
          <w:rFonts w:eastAsia="Calibri"/>
          <w:sz w:val="24"/>
          <w:szCs w:val="24"/>
        </w:rPr>
        <w:t>T usavršavanje zaposlenika provodi 20,44% poduzeća</w:t>
      </w:r>
      <w:r>
        <w:rPr>
          <w:rFonts w:eastAsia="Calibri"/>
          <w:sz w:val="24"/>
          <w:szCs w:val="24"/>
        </w:rPr>
        <w:t xml:space="preserve">, dok je prosjek </w:t>
      </w:r>
      <w:r w:rsidRPr="008B1898">
        <w:rPr>
          <w:rFonts w:eastAsia="Calibri"/>
          <w:sz w:val="24"/>
          <w:szCs w:val="24"/>
        </w:rPr>
        <w:t>EU</w:t>
      </w:r>
      <w:r>
        <w:rPr>
          <w:rFonts w:eastAsia="Calibri"/>
          <w:sz w:val="24"/>
          <w:szCs w:val="24"/>
        </w:rPr>
        <w:t>-a nešto viši i iznosi</w:t>
      </w:r>
      <w:r w:rsidRPr="008B1898">
        <w:rPr>
          <w:rFonts w:eastAsia="Calibri"/>
          <w:sz w:val="24"/>
          <w:szCs w:val="24"/>
        </w:rPr>
        <w:t xml:space="preserve"> 22,29%</w:t>
      </w:r>
      <w:r>
        <w:rPr>
          <w:rFonts w:eastAsia="Calibri"/>
          <w:sz w:val="24"/>
          <w:szCs w:val="24"/>
        </w:rPr>
        <w:t xml:space="preserve">. Također, </w:t>
      </w:r>
      <w:r w:rsidRPr="008B1898">
        <w:rPr>
          <w:rFonts w:eastAsia="Calibri"/>
          <w:sz w:val="24"/>
          <w:szCs w:val="24"/>
        </w:rPr>
        <w:t>u</w:t>
      </w:r>
      <w:r>
        <w:rPr>
          <w:rFonts w:eastAsia="Calibri"/>
          <w:sz w:val="24"/>
          <w:szCs w:val="24"/>
        </w:rPr>
        <w:t xml:space="preserve"> Hrvatskoj je </w:t>
      </w:r>
      <w:r w:rsidRPr="008B1898">
        <w:rPr>
          <w:rFonts w:eastAsia="Calibri"/>
          <w:sz w:val="24"/>
          <w:szCs w:val="24"/>
        </w:rPr>
        <w:t>i dalje prisutno iseljavanje visokoobrazovanih stručnjaka</w:t>
      </w:r>
      <w:r>
        <w:rPr>
          <w:rFonts w:eastAsia="Calibri"/>
          <w:sz w:val="24"/>
          <w:szCs w:val="24"/>
        </w:rPr>
        <w:t xml:space="preserve"> u području IKT.</w:t>
      </w:r>
    </w:p>
    <w:p w14:paraId="2827793F" w14:textId="77777777" w:rsidR="00FB178A" w:rsidRDefault="00FB178A" w:rsidP="00FB178A">
      <w:pPr>
        <w:spacing w:before="240" w:line="276" w:lineRule="auto"/>
        <w:jc w:val="both"/>
        <w:rPr>
          <w:sz w:val="24"/>
          <w:szCs w:val="24"/>
        </w:rPr>
      </w:pPr>
      <w:r w:rsidRPr="00310CB0">
        <w:rPr>
          <w:sz w:val="24"/>
          <w:szCs w:val="24"/>
        </w:rPr>
        <w:t xml:space="preserve">Provođenjem projekta </w:t>
      </w:r>
      <w:r w:rsidRPr="0004221B">
        <w:rPr>
          <w:sz w:val="24"/>
          <w:szCs w:val="24"/>
        </w:rPr>
        <w:t>e-Sveučilišta</w:t>
      </w:r>
      <w:r w:rsidRPr="00310CB0">
        <w:rPr>
          <w:sz w:val="24"/>
          <w:szCs w:val="24"/>
        </w:rPr>
        <w:t xml:space="preserve">, s ciljem digitalne preobrazbe visokog obrazovanja i razvoja digitalne zrelosti visokoškolskih ustanova u Hrvatskoj, ulaže se u mrežnu i računalnu infrastrukturu, povezane servise i usluge, aktivnosti </w:t>
      </w:r>
      <w:proofErr w:type="spellStart"/>
      <w:r w:rsidRPr="00310CB0">
        <w:rPr>
          <w:sz w:val="24"/>
          <w:szCs w:val="24"/>
        </w:rPr>
        <w:t>kibernetičke</w:t>
      </w:r>
      <w:proofErr w:type="spellEnd"/>
      <w:r w:rsidRPr="00310CB0">
        <w:rPr>
          <w:sz w:val="24"/>
          <w:szCs w:val="24"/>
        </w:rPr>
        <w:t xml:space="preserve"> sigurnosti te unaprjeđenje informatičkog sustava evidencija u visokom obrazovanju.</w:t>
      </w:r>
      <w:r>
        <w:rPr>
          <w:sz w:val="24"/>
          <w:szCs w:val="24"/>
        </w:rPr>
        <w:t xml:space="preserve"> </w:t>
      </w:r>
      <w:r w:rsidRPr="00A1787F">
        <w:rPr>
          <w:sz w:val="24"/>
          <w:szCs w:val="24"/>
        </w:rPr>
        <w:t>Projekt uključuje i obrazovnu podršku te obrazovne programe osnaživanja kompetencija nastavnog osoblja za učenje i poučavanje uz podršku digitalnih tehnologija, kao i podršku i profesionalni razvoj stručnog osoblja.</w:t>
      </w:r>
      <w:r>
        <w:rPr>
          <w:sz w:val="24"/>
          <w:szCs w:val="24"/>
        </w:rPr>
        <w:t xml:space="preserve"> </w:t>
      </w:r>
      <w:r w:rsidRPr="0004221B">
        <w:rPr>
          <w:sz w:val="24"/>
          <w:szCs w:val="24"/>
        </w:rPr>
        <w:t xml:space="preserve">U 2024. djelatnicima visokih učilišta dodijeljeno je 500 </w:t>
      </w:r>
      <w:r>
        <w:rPr>
          <w:sz w:val="24"/>
          <w:szCs w:val="24"/>
        </w:rPr>
        <w:t>dozvola</w:t>
      </w:r>
      <w:r w:rsidRPr="0004221B">
        <w:rPr>
          <w:sz w:val="24"/>
          <w:szCs w:val="24"/>
        </w:rPr>
        <w:t xml:space="preserve"> za korištenje alata za izradu, izvoz i prikaz digitalnih obrazovnih sadržaja. </w:t>
      </w:r>
      <w:r w:rsidRPr="00360174">
        <w:rPr>
          <w:sz w:val="24"/>
          <w:szCs w:val="24"/>
        </w:rPr>
        <w:t xml:space="preserve">Također se provodi </w:t>
      </w:r>
      <w:r w:rsidRPr="0004221B">
        <w:rPr>
          <w:sz w:val="24"/>
          <w:szCs w:val="24"/>
        </w:rPr>
        <w:t>cjelovita informatizacija sustava odgoja i obrazovanja (</w:t>
      </w:r>
      <w:r>
        <w:rPr>
          <w:sz w:val="24"/>
          <w:szCs w:val="24"/>
        </w:rPr>
        <w:t xml:space="preserve">u daljnjem tekstu: </w:t>
      </w:r>
      <w:r w:rsidRPr="0004221B">
        <w:rPr>
          <w:sz w:val="24"/>
          <w:szCs w:val="24"/>
        </w:rPr>
        <w:t>CISOO)</w:t>
      </w:r>
      <w:r w:rsidRPr="00360174">
        <w:rPr>
          <w:sz w:val="24"/>
          <w:szCs w:val="24"/>
        </w:rPr>
        <w:t>. Cilj je razvoj novih te unaprjeđenje i povezivanje postojećih elektroničkih usluga, upisnika i evidencija kroz cijelu vertikalu sustava odgoja i obrazovanja.</w:t>
      </w:r>
      <w:r>
        <w:rPr>
          <w:sz w:val="24"/>
          <w:szCs w:val="24"/>
        </w:rPr>
        <w:t xml:space="preserve"> </w:t>
      </w:r>
      <w:r w:rsidRPr="001346A6">
        <w:rPr>
          <w:sz w:val="24"/>
          <w:szCs w:val="24"/>
        </w:rPr>
        <w:t xml:space="preserve">U okviru CISOO-a unapređuju se kompetencije zaposlenih i pruža se podrška za korištenje unaprijeđenih ili novih usluga. Obuhvaćeni su i </w:t>
      </w:r>
      <w:r w:rsidRPr="0004221B">
        <w:rPr>
          <w:sz w:val="24"/>
          <w:szCs w:val="24"/>
        </w:rPr>
        <w:t>Nacionalni informacijski sustav prijave na visoka učilišta</w:t>
      </w:r>
      <w:r w:rsidRPr="001346A6">
        <w:rPr>
          <w:sz w:val="24"/>
          <w:szCs w:val="24"/>
        </w:rPr>
        <w:t xml:space="preserve"> te digitalna evidencija izdanih isprava visokog obrazovanja.</w:t>
      </w:r>
    </w:p>
    <w:p w14:paraId="0D6320C9" w14:textId="77777777" w:rsidR="00FB178A" w:rsidRPr="005A2281" w:rsidRDefault="00FB178A" w:rsidP="00FB178A">
      <w:pPr>
        <w:spacing w:line="276" w:lineRule="auto"/>
        <w:jc w:val="both"/>
      </w:pPr>
    </w:p>
    <w:p w14:paraId="2EED69A8" w14:textId="77777777" w:rsidR="00FB178A" w:rsidRPr="0004221B" w:rsidRDefault="00FB178A" w:rsidP="00FB178A">
      <w:pPr>
        <w:spacing w:after="240" w:line="276" w:lineRule="auto"/>
        <w:ind w:firstLine="720"/>
        <w:jc w:val="both"/>
        <w:rPr>
          <w:b/>
          <w:sz w:val="24"/>
          <w:szCs w:val="24"/>
        </w:rPr>
      </w:pPr>
      <w:r w:rsidRPr="0004221B">
        <w:rPr>
          <w:b/>
          <w:sz w:val="24"/>
          <w:szCs w:val="24"/>
        </w:rPr>
        <w:t>Digitalna tranzicija gospodarstva</w:t>
      </w:r>
    </w:p>
    <w:p w14:paraId="64FB1311" w14:textId="77777777" w:rsidR="00FB178A" w:rsidRDefault="00FB178A" w:rsidP="00FB178A">
      <w:pPr>
        <w:spacing w:after="240" w:line="276" w:lineRule="auto"/>
        <w:ind w:firstLine="720"/>
        <w:jc w:val="both"/>
        <w:rPr>
          <w:sz w:val="24"/>
          <w:szCs w:val="24"/>
        </w:rPr>
      </w:pPr>
      <w:r w:rsidRPr="00C4066A">
        <w:rPr>
          <w:sz w:val="24"/>
          <w:szCs w:val="24"/>
        </w:rPr>
        <w:t xml:space="preserve">Digitalna transformacija poduzeća napreduje, ali strukturni jaz u odnosu na prosjek EU-a ostaje posebno izražen među malim i srednjim poduzećima (MSP). U 2024. </w:t>
      </w:r>
      <w:r>
        <w:rPr>
          <w:sz w:val="24"/>
          <w:szCs w:val="24"/>
        </w:rPr>
        <w:t xml:space="preserve">udio </w:t>
      </w:r>
      <w:r w:rsidRPr="00C64EF1">
        <w:rPr>
          <w:sz w:val="24"/>
          <w:szCs w:val="24"/>
        </w:rPr>
        <w:t xml:space="preserve">MSP-ova u Hrvatskoj </w:t>
      </w:r>
      <w:r>
        <w:rPr>
          <w:sz w:val="24"/>
          <w:szCs w:val="24"/>
        </w:rPr>
        <w:t>s</w:t>
      </w:r>
      <w:r w:rsidRPr="00C64EF1">
        <w:rPr>
          <w:sz w:val="24"/>
          <w:szCs w:val="24"/>
        </w:rPr>
        <w:t xml:space="preserve"> barem osnovn</w:t>
      </w:r>
      <w:r>
        <w:rPr>
          <w:sz w:val="24"/>
          <w:szCs w:val="24"/>
        </w:rPr>
        <w:t>om</w:t>
      </w:r>
      <w:r w:rsidRPr="00C64EF1">
        <w:rPr>
          <w:sz w:val="24"/>
          <w:szCs w:val="24"/>
        </w:rPr>
        <w:t xml:space="preserve"> razin</w:t>
      </w:r>
      <w:r>
        <w:rPr>
          <w:sz w:val="24"/>
          <w:szCs w:val="24"/>
        </w:rPr>
        <w:t>om</w:t>
      </w:r>
      <w:r w:rsidRPr="00C64EF1">
        <w:rPr>
          <w:sz w:val="24"/>
          <w:szCs w:val="24"/>
        </w:rPr>
        <w:t xml:space="preserve"> digitalne intenzivnosti </w:t>
      </w:r>
      <w:r>
        <w:rPr>
          <w:sz w:val="24"/>
          <w:szCs w:val="24"/>
        </w:rPr>
        <w:t xml:space="preserve">iznosio je </w:t>
      </w:r>
      <w:r w:rsidRPr="00C4066A">
        <w:rPr>
          <w:sz w:val="24"/>
          <w:szCs w:val="24"/>
        </w:rPr>
        <w:t>63,45%, što je jedan od najbrž</w:t>
      </w:r>
      <w:r>
        <w:rPr>
          <w:sz w:val="24"/>
          <w:szCs w:val="24"/>
        </w:rPr>
        <w:t xml:space="preserve">eg rasta </w:t>
      </w:r>
      <w:r w:rsidRPr="00C4066A">
        <w:rPr>
          <w:sz w:val="24"/>
          <w:szCs w:val="24"/>
        </w:rPr>
        <w:t xml:space="preserve">u EU u posljednje dvije godine, ali i dalje ispod prosjeka EU-a </w:t>
      </w:r>
      <w:r>
        <w:rPr>
          <w:sz w:val="24"/>
          <w:szCs w:val="24"/>
        </w:rPr>
        <w:t>(</w:t>
      </w:r>
      <w:r w:rsidRPr="00C4066A">
        <w:rPr>
          <w:sz w:val="24"/>
          <w:szCs w:val="24"/>
        </w:rPr>
        <w:t>72,91%</w:t>
      </w:r>
      <w:r>
        <w:rPr>
          <w:sz w:val="24"/>
          <w:szCs w:val="24"/>
        </w:rPr>
        <w:t>)</w:t>
      </w:r>
      <w:r w:rsidRPr="00C4066A">
        <w:rPr>
          <w:sz w:val="24"/>
          <w:szCs w:val="24"/>
        </w:rPr>
        <w:t xml:space="preserve"> i daleko od nacionalnog cilja od 90% do 2030. godine. Samo 27,62% MSP-ova doseže visoku ili vrlo visoku digitalnu intenzivnost (</w:t>
      </w:r>
      <w:r>
        <w:rPr>
          <w:sz w:val="24"/>
          <w:szCs w:val="24"/>
        </w:rPr>
        <w:t xml:space="preserve">prosjek </w:t>
      </w:r>
      <w:r w:rsidRPr="00C4066A">
        <w:rPr>
          <w:sz w:val="24"/>
          <w:szCs w:val="24"/>
        </w:rPr>
        <w:t>EU</w:t>
      </w:r>
      <w:r>
        <w:rPr>
          <w:sz w:val="24"/>
          <w:szCs w:val="24"/>
        </w:rPr>
        <w:t>-a</w:t>
      </w:r>
      <w:r w:rsidRPr="00C4066A">
        <w:rPr>
          <w:sz w:val="24"/>
          <w:szCs w:val="24"/>
        </w:rPr>
        <w:t xml:space="preserve"> 32,66%), što ukazuje na potrebu daljnjeg ulaganja u naprednu digitalizaciju, osobito među mikro i malim poduzećima.</w:t>
      </w:r>
      <w:r>
        <w:rPr>
          <w:sz w:val="24"/>
          <w:szCs w:val="24"/>
        </w:rPr>
        <w:t xml:space="preserve"> </w:t>
      </w:r>
    </w:p>
    <w:p w14:paraId="0F17667E" w14:textId="77777777" w:rsidR="00FB178A" w:rsidRDefault="00FB178A" w:rsidP="00FB178A">
      <w:pPr>
        <w:spacing w:after="240" w:line="276" w:lineRule="auto"/>
        <w:jc w:val="both"/>
        <w:rPr>
          <w:sz w:val="24"/>
          <w:szCs w:val="24"/>
        </w:rPr>
      </w:pPr>
      <w:r w:rsidRPr="00DC7066">
        <w:rPr>
          <w:sz w:val="24"/>
          <w:szCs w:val="24"/>
        </w:rPr>
        <w:t xml:space="preserve">Istodobno, Hrvatska je iznad prosjeka EU-a </w:t>
      </w:r>
      <w:r>
        <w:rPr>
          <w:sz w:val="24"/>
          <w:szCs w:val="24"/>
        </w:rPr>
        <w:t>prema</w:t>
      </w:r>
      <w:r w:rsidRPr="00DC7066">
        <w:rPr>
          <w:sz w:val="24"/>
          <w:szCs w:val="24"/>
        </w:rPr>
        <w:t xml:space="preserve"> korištenju naprednih digitalnih tehnologija</w:t>
      </w:r>
      <w:r>
        <w:rPr>
          <w:sz w:val="24"/>
          <w:szCs w:val="24"/>
        </w:rPr>
        <w:t xml:space="preserve"> te </w:t>
      </w:r>
      <w:r w:rsidRPr="00DC7066">
        <w:rPr>
          <w:sz w:val="24"/>
          <w:szCs w:val="24"/>
        </w:rPr>
        <w:t xml:space="preserve">65,59% poduzeća koristi barem jednu od </w:t>
      </w:r>
      <w:r>
        <w:rPr>
          <w:sz w:val="24"/>
          <w:szCs w:val="24"/>
        </w:rPr>
        <w:t xml:space="preserve">naprednih digitalnih </w:t>
      </w:r>
      <w:r w:rsidRPr="00DC7066">
        <w:rPr>
          <w:sz w:val="24"/>
          <w:szCs w:val="24"/>
        </w:rPr>
        <w:t>tehnologija</w:t>
      </w:r>
      <w:r>
        <w:rPr>
          <w:sz w:val="24"/>
          <w:szCs w:val="24"/>
        </w:rPr>
        <w:t xml:space="preserve"> (</w:t>
      </w:r>
      <w:r w:rsidRPr="00DC7066">
        <w:rPr>
          <w:sz w:val="24"/>
          <w:szCs w:val="24"/>
        </w:rPr>
        <w:t>računalni oblak, podatkovnu analitiku ili umjetnu inteligenciju</w:t>
      </w:r>
      <w:r>
        <w:rPr>
          <w:sz w:val="24"/>
          <w:szCs w:val="24"/>
        </w:rPr>
        <w:t>),</w:t>
      </w:r>
      <w:r w:rsidRPr="00DC7066">
        <w:rPr>
          <w:sz w:val="24"/>
          <w:szCs w:val="24"/>
        </w:rPr>
        <w:t xml:space="preserve"> u odnosu na 54,7% u EU-u. Posebno se ističe vrlo visoka uporaba podatkovne analitike: 51,68% poduzeća u Hrvatskoj koristi analitiku</w:t>
      </w:r>
      <w:r>
        <w:rPr>
          <w:sz w:val="24"/>
          <w:szCs w:val="24"/>
        </w:rPr>
        <w:t xml:space="preserve">, značajno iznad prosjeka </w:t>
      </w:r>
      <w:r w:rsidRPr="00DC7066">
        <w:rPr>
          <w:sz w:val="24"/>
          <w:szCs w:val="24"/>
        </w:rPr>
        <w:t>EU</w:t>
      </w:r>
      <w:r>
        <w:rPr>
          <w:sz w:val="24"/>
          <w:szCs w:val="24"/>
        </w:rPr>
        <w:t>-a od</w:t>
      </w:r>
      <w:r w:rsidRPr="00DC7066">
        <w:rPr>
          <w:sz w:val="24"/>
          <w:szCs w:val="24"/>
        </w:rPr>
        <w:t xml:space="preserve"> 33,25%. Uporaba računalnog oblaka </w:t>
      </w:r>
      <w:r>
        <w:rPr>
          <w:sz w:val="24"/>
          <w:szCs w:val="24"/>
        </w:rPr>
        <w:t xml:space="preserve">od 40,73% u Hrvatskoj također je </w:t>
      </w:r>
      <w:r w:rsidRPr="00DC7066">
        <w:rPr>
          <w:sz w:val="24"/>
          <w:szCs w:val="24"/>
        </w:rPr>
        <w:t>iznad prosjeka EU-a (</w:t>
      </w:r>
      <w:r>
        <w:rPr>
          <w:sz w:val="24"/>
          <w:szCs w:val="24"/>
        </w:rPr>
        <w:t>3</w:t>
      </w:r>
      <w:r w:rsidRPr="00DC7066">
        <w:rPr>
          <w:sz w:val="24"/>
          <w:szCs w:val="24"/>
        </w:rPr>
        <w:t>8,97%)</w:t>
      </w:r>
      <w:r>
        <w:rPr>
          <w:sz w:val="24"/>
          <w:szCs w:val="24"/>
        </w:rPr>
        <w:t>, s time da se u</w:t>
      </w:r>
      <w:r w:rsidRPr="00DC7066">
        <w:rPr>
          <w:sz w:val="24"/>
          <w:szCs w:val="24"/>
        </w:rPr>
        <w:t xml:space="preserve"> 2024. bilježi se lagani pad </w:t>
      </w:r>
      <w:r>
        <w:rPr>
          <w:sz w:val="24"/>
          <w:szCs w:val="24"/>
        </w:rPr>
        <w:t xml:space="preserve">uporabe među MSP-ovima </w:t>
      </w:r>
      <w:r w:rsidRPr="00DC7066">
        <w:rPr>
          <w:sz w:val="24"/>
          <w:szCs w:val="24"/>
        </w:rPr>
        <w:t xml:space="preserve">na 38,55%, </w:t>
      </w:r>
      <w:r>
        <w:rPr>
          <w:sz w:val="24"/>
          <w:szCs w:val="24"/>
        </w:rPr>
        <w:t>a porast</w:t>
      </w:r>
      <w:r w:rsidRPr="00DC7066">
        <w:rPr>
          <w:sz w:val="24"/>
          <w:szCs w:val="24"/>
        </w:rPr>
        <w:t xml:space="preserve"> uporab</w:t>
      </w:r>
      <w:r>
        <w:rPr>
          <w:sz w:val="24"/>
          <w:szCs w:val="24"/>
        </w:rPr>
        <w:t>e</w:t>
      </w:r>
      <w:r w:rsidRPr="00DC7066">
        <w:rPr>
          <w:sz w:val="24"/>
          <w:szCs w:val="24"/>
        </w:rPr>
        <w:t xml:space="preserve"> </w:t>
      </w:r>
      <w:r>
        <w:rPr>
          <w:sz w:val="24"/>
          <w:szCs w:val="24"/>
        </w:rPr>
        <w:t>u</w:t>
      </w:r>
      <w:r w:rsidRPr="00DC7066">
        <w:rPr>
          <w:sz w:val="24"/>
          <w:szCs w:val="24"/>
        </w:rPr>
        <w:t xml:space="preserve"> veliki</w:t>
      </w:r>
      <w:r>
        <w:rPr>
          <w:sz w:val="24"/>
          <w:szCs w:val="24"/>
        </w:rPr>
        <w:t>m</w:t>
      </w:r>
      <w:r w:rsidRPr="00DC7066">
        <w:rPr>
          <w:sz w:val="24"/>
          <w:szCs w:val="24"/>
        </w:rPr>
        <w:t xml:space="preserve"> poduzeć</w:t>
      </w:r>
      <w:r>
        <w:rPr>
          <w:sz w:val="24"/>
          <w:szCs w:val="24"/>
        </w:rPr>
        <w:t>im</w:t>
      </w:r>
      <w:r w:rsidRPr="00DC7066">
        <w:rPr>
          <w:sz w:val="24"/>
          <w:szCs w:val="24"/>
        </w:rPr>
        <w:t xml:space="preserve">a na 68,96%. Umjetnu inteligenciju </w:t>
      </w:r>
      <w:r>
        <w:rPr>
          <w:sz w:val="24"/>
          <w:szCs w:val="24"/>
        </w:rPr>
        <w:t xml:space="preserve">u </w:t>
      </w:r>
      <w:r w:rsidRPr="00DC7066">
        <w:rPr>
          <w:sz w:val="24"/>
          <w:szCs w:val="24"/>
        </w:rPr>
        <w:lastRenderedPageBreak/>
        <w:t>2024. koristi</w:t>
      </w:r>
      <w:r>
        <w:rPr>
          <w:sz w:val="24"/>
          <w:szCs w:val="24"/>
        </w:rPr>
        <w:t>lo je</w:t>
      </w:r>
      <w:r w:rsidRPr="00DC7066">
        <w:rPr>
          <w:sz w:val="24"/>
          <w:szCs w:val="24"/>
        </w:rPr>
        <w:t xml:space="preserve"> 11,76% poduzeća</w:t>
      </w:r>
      <w:r>
        <w:rPr>
          <w:sz w:val="24"/>
          <w:szCs w:val="24"/>
        </w:rPr>
        <w:t>,</w:t>
      </w:r>
      <w:r w:rsidRPr="00DC7066">
        <w:rPr>
          <w:sz w:val="24"/>
          <w:szCs w:val="24"/>
        </w:rPr>
        <w:t xml:space="preserve"> što </w:t>
      </w:r>
      <w:r>
        <w:rPr>
          <w:sz w:val="24"/>
          <w:szCs w:val="24"/>
        </w:rPr>
        <w:t>predstavlja</w:t>
      </w:r>
      <w:r w:rsidRPr="00DC7066">
        <w:rPr>
          <w:sz w:val="24"/>
          <w:szCs w:val="24"/>
        </w:rPr>
        <w:t xml:space="preserve"> znatan rast u odnosu na 2023. (7,89%), ali i dalje ispod EU prosjeka</w:t>
      </w:r>
      <w:r>
        <w:rPr>
          <w:sz w:val="24"/>
          <w:szCs w:val="24"/>
        </w:rPr>
        <w:t xml:space="preserve"> (</w:t>
      </w:r>
      <w:r w:rsidRPr="00DC7066">
        <w:rPr>
          <w:sz w:val="24"/>
          <w:szCs w:val="24"/>
        </w:rPr>
        <w:t>13,48%)  i nacionalne ambicije.</w:t>
      </w:r>
    </w:p>
    <w:p w14:paraId="0FC3B828" w14:textId="77777777" w:rsidR="00FB178A" w:rsidRDefault="00FB178A" w:rsidP="00FB178A">
      <w:pPr>
        <w:spacing w:after="240" w:line="276" w:lineRule="auto"/>
        <w:jc w:val="both"/>
        <w:rPr>
          <w:sz w:val="24"/>
          <w:szCs w:val="24"/>
        </w:rPr>
      </w:pPr>
      <w:r>
        <w:rPr>
          <w:sz w:val="24"/>
          <w:szCs w:val="24"/>
        </w:rPr>
        <w:t>P</w:t>
      </w:r>
      <w:r w:rsidRPr="009A2896">
        <w:rPr>
          <w:sz w:val="24"/>
          <w:szCs w:val="24"/>
        </w:rPr>
        <w:t xml:space="preserve">rema izdanju </w:t>
      </w:r>
      <w:r>
        <w:rPr>
          <w:sz w:val="24"/>
          <w:szCs w:val="24"/>
        </w:rPr>
        <w:t>Globalne ljestvice digitalne konkurentnosti za</w:t>
      </w:r>
      <w:r w:rsidRPr="009A2896">
        <w:rPr>
          <w:sz w:val="24"/>
          <w:szCs w:val="24"/>
        </w:rPr>
        <w:t xml:space="preserve"> 2024</w:t>
      </w:r>
      <w:r>
        <w:rPr>
          <w:sz w:val="24"/>
          <w:szCs w:val="24"/>
        </w:rPr>
        <w:t>.</w:t>
      </w:r>
      <w:r w:rsidRPr="009A2896">
        <w:rPr>
          <w:sz w:val="24"/>
          <w:szCs w:val="24"/>
        </w:rPr>
        <w:t>, koje objavljuje IMD</w:t>
      </w:r>
      <w:r>
        <w:rPr>
          <w:sz w:val="24"/>
          <w:szCs w:val="24"/>
        </w:rPr>
        <w:t>, istraživanjem je obuhvaćeno</w:t>
      </w:r>
      <w:r w:rsidRPr="009A2896">
        <w:rPr>
          <w:sz w:val="24"/>
          <w:szCs w:val="24"/>
        </w:rPr>
        <w:t xml:space="preserve"> 67 gospodarstava</w:t>
      </w:r>
      <w:r>
        <w:rPr>
          <w:sz w:val="24"/>
          <w:szCs w:val="24"/>
        </w:rPr>
        <w:t>, uključujući i Hrvatsku</w:t>
      </w:r>
      <w:r w:rsidRPr="009A2896">
        <w:rPr>
          <w:sz w:val="24"/>
          <w:szCs w:val="24"/>
        </w:rPr>
        <w:t>.</w:t>
      </w:r>
      <w:r>
        <w:rPr>
          <w:sz w:val="24"/>
          <w:szCs w:val="24"/>
        </w:rPr>
        <w:t xml:space="preserve"> </w:t>
      </w:r>
      <w:r w:rsidRPr="009B50FC">
        <w:rPr>
          <w:sz w:val="24"/>
          <w:szCs w:val="24"/>
        </w:rPr>
        <w:t xml:space="preserve">Hrvatska je u izdanju za 2024. zauzela 46. mjesto od 67 gospodarstava, s </w:t>
      </w:r>
      <w:r>
        <w:rPr>
          <w:sz w:val="24"/>
          <w:szCs w:val="24"/>
        </w:rPr>
        <w:t>I</w:t>
      </w:r>
      <w:r w:rsidRPr="009B50FC">
        <w:rPr>
          <w:sz w:val="24"/>
          <w:szCs w:val="24"/>
        </w:rPr>
        <w:t>ndeksom digitalne konkurentnosti od 55,4</w:t>
      </w:r>
      <w:r>
        <w:rPr>
          <w:sz w:val="24"/>
          <w:szCs w:val="24"/>
        </w:rPr>
        <w:t>, č</w:t>
      </w:r>
      <w:r w:rsidRPr="009B50FC">
        <w:rPr>
          <w:sz w:val="24"/>
          <w:szCs w:val="24"/>
        </w:rPr>
        <w:t xml:space="preserve">ime se </w:t>
      </w:r>
      <w:r>
        <w:rPr>
          <w:sz w:val="24"/>
          <w:szCs w:val="24"/>
        </w:rPr>
        <w:t>smjestila</w:t>
      </w:r>
      <w:r w:rsidRPr="009B50FC">
        <w:rPr>
          <w:sz w:val="24"/>
          <w:szCs w:val="24"/>
        </w:rPr>
        <w:t xml:space="preserve"> u donj</w:t>
      </w:r>
      <w:r>
        <w:rPr>
          <w:sz w:val="24"/>
          <w:szCs w:val="24"/>
        </w:rPr>
        <w:t>u</w:t>
      </w:r>
      <w:r w:rsidRPr="009B50FC">
        <w:rPr>
          <w:sz w:val="24"/>
          <w:szCs w:val="24"/>
        </w:rPr>
        <w:t xml:space="preserve"> polovic</w:t>
      </w:r>
      <w:r>
        <w:rPr>
          <w:sz w:val="24"/>
          <w:szCs w:val="24"/>
        </w:rPr>
        <w:t>u</w:t>
      </w:r>
      <w:r w:rsidRPr="009B50FC">
        <w:rPr>
          <w:sz w:val="24"/>
          <w:szCs w:val="24"/>
        </w:rPr>
        <w:t xml:space="preserve"> poretka, u skupin</w:t>
      </w:r>
      <w:r>
        <w:rPr>
          <w:sz w:val="24"/>
          <w:szCs w:val="24"/>
        </w:rPr>
        <w:t>u</w:t>
      </w:r>
      <w:r w:rsidRPr="009B50FC">
        <w:rPr>
          <w:sz w:val="24"/>
          <w:szCs w:val="24"/>
        </w:rPr>
        <w:t xml:space="preserve"> zemalja srednje razine digitalne konkurentnosti, i</w:t>
      </w:r>
      <w:r>
        <w:rPr>
          <w:sz w:val="24"/>
          <w:szCs w:val="24"/>
        </w:rPr>
        <w:t>spod</w:t>
      </w:r>
      <w:r w:rsidRPr="009B50FC">
        <w:rPr>
          <w:sz w:val="24"/>
          <w:szCs w:val="24"/>
        </w:rPr>
        <w:t xml:space="preserve"> Slovenije, Portugala i Poljske, a i</w:t>
      </w:r>
      <w:r>
        <w:rPr>
          <w:sz w:val="24"/>
          <w:szCs w:val="24"/>
        </w:rPr>
        <w:t xml:space="preserve">znad </w:t>
      </w:r>
      <w:r w:rsidRPr="009B50FC">
        <w:rPr>
          <w:sz w:val="24"/>
          <w:szCs w:val="24"/>
        </w:rPr>
        <w:t>Rumunjske, Cipra i Grčke</w:t>
      </w:r>
      <w:r>
        <w:rPr>
          <w:sz w:val="24"/>
          <w:szCs w:val="24"/>
        </w:rPr>
        <w:t xml:space="preserve">. </w:t>
      </w:r>
      <w:r w:rsidRPr="00195278">
        <w:rPr>
          <w:sz w:val="24"/>
          <w:szCs w:val="24"/>
        </w:rPr>
        <w:t>Ovaj se indeks temelji na tri skupin</w:t>
      </w:r>
      <w:r>
        <w:rPr>
          <w:sz w:val="24"/>
          <w:szCs w:val="24"/>
        </w:rPr>
        <w:t>e čimbenika digitalne konkurentnosti</w:t>
      </w:r>
      <w:r w:rsidRPr="00195278">
        <w:rPr>
          <w:sz w:val="24"/>
          <w:szCs w:val="24"/>
        </w:rPr>
        <w:t xml:space="preserve"> (znanje, tehnologija i spremnost za budućnost) te kombinira</w:t>
      </w:r>
      <w:r>
        <w:rPr>
          <w:sz w:val="24"/>
          <w:szCs w:val="24"/>
        </w:rPr>
        <w:t xml:space="preserve"> rezultate prema</w:t>
      </w:r>
      <w:r w:rsidRPr="00195278">
        <w:rPr>
          <w:sz w:val="24"/>
          <w:szCs w:val="24"/>
        </w:rPr>
        <w:t xml:space="preserve"> 59 pokazatelja (38 kvantitativnih i 21 anketni). </w:t>
      </w:r>
      <w:r w:rsidRPr="00DE567E">
        <w:rPr>
          <w:sz w:val="24"/>
          <w:szCs w:val="24"/>
        </w:rPr>
        <w:t xml:space="preserve">U odnosu na </w:t>
      </w:r>
      <w:r>
        <w:rPr>
          <w:sz w:val="24"/>
          <w:szCs w:val="24"/>
        </w:rPr>
        <w:t>2023.</w:t>
      </w:r>
      <w:r w:rsidRPr="00DE567E">
        <w:rPr>
          <w:sz w:val="24"/>
          <w:szCs w:val="24"/>
        </w:rPr>
        <w:t xml:space="preserve">, kada je Hrvatska prema istom IMD-ovu indeksu bila 44. od 64 države, došlo je do blagoga pada relativnog položaja, što ukazuje da napredak u digitalnoj transformaciji postoji, ali je </w:t>
      </w:r>
      <w:r>
        <w:rPr>
          <w:sz w:val="24"/>
          <w:szCs w:val="24"/>
        </w:rPr>
        <w:t xml:space="preserve">nešto </w:t>
      </w:r>
      <w:r w:rsidRPr="00DE567E">
        <w:rPr>
          <w:sz w:val="24"/>
          <w:szCs w:val="24"/>
        </w:rPr>
        <w:t>sporiji od napretka usporedivih zemalja.</w:t>
      </w:r>
      <w:r>
        <w:rPr>
          <w:sz w:val="24"/>
          <w:szCs w:val="24"/>
        </w:rPr>
        <w:t xml:space="preserve"> </w:t>
      </w:r>
    </w:p>
    <w:p w14:paraId="627C9BD7" w14:textId="77777777" w:rsidR="00FB178A" w:rsidRPr="009A2896" w:rsidRDefault="00FB178A" w:rsidP="00FB178A">
      <w:pPr>
        <w:spacing w:after="240" w:line="276" w:lineRule="auto"/>
        <w:jc w:val="both"/>
        <w:rPr>
          <w:sz w:val="24"/>
          <w:szCs w:val="24"/>
        </w:rPr>
      </w:pPr>
      <w:r w:rsidRPr="005F7D03">
        <w:rPr>
          <w:sz w:val="24"/>
          <w:szCs w:val="24"/>
        </w:rPr>
        <w:t>Za ubrzanje digitalne tranzicije gospodarstva uspostavljen je robustan paket financijskih potpora</w:t>
      </w:r>
      <w:r>
        <w:rPr>
          <w:sz w:val="24"/>
          <w:szCs w:val="24"/>
        </w:rPr>
        <w:t>. U okviru NPOO-a osigurano je</w:t>
      </w:r>
      <w:r w:rsidRPr="005F7D03">
        <w:rPr>
          <w:sz w:val="24"/>
          <w:szCs w:val="24"/>
        </w:rPr>
        <w:t xml:space="preserve"> 29,7 mil</w:t>
      </w:r>
      <w:r>
        <w:rPr>
          <w:sz w:val="24"/>
          <w:szCs w:val="24"/>
        </w:rPr>
        <w:t>ijuna</w:t>
      </w:r>
      <w:r w:rsidRPr="005F7D03">
        <w:rPr>
          <w:sz w:val="24"/>
          <w:szCs w:val="24"/>
        </w:rPr>
        <w:t xml:space="preserve"> eura bespovratnih sredstava </w:t>
      </w:r>
      <w:r>
        <w:rPr>
          <w:sz w:val="24"/>
          <w:szCs w:val="24"/>
        </w:rPr>
        <w:t>dok je</w:t>
      </w:r>
      <w:r w:rsidRPr="005F7D03">
        <w:rPr>
          <w:sz w:val="24"/>
          <w:szCs w:val="24"/>
        </w:rPr>
        <w:t xml:space="preserve"> više od 60 mi</w:t>
      </w:r>
      <w:r>
        <w:rPr>
          <w:sz w:val="24"/>
          <w:szCs w:val="24"/>
        </w:rPr>
        <w:t>lijuna</w:t>
      </w:r>
      <w:r w:rsidRPr="005F7D03">
        <w:rPr>
          <w:sz w:val="24"/>
          <w:szCs w:val="24"/>
        </w:rPr>
        <w:t xml:space="preserve"> eura iz fondova</w:t>
      </w:r>
      <w:r>
        <w:rPr>
          <w:sz w:val="24"/>
          <w:szCs w:val="24"/>
        </w:rPr>
        <w:t xml:space="preserve"> EU</w:t>
      </w:r>
      <w:r w:rsidRPr="005F7D03">
        <w:rPr>
          <w:sz w:val="24"/>
          <w:szCs w:val="24"/>
        </w:rPr>
        <w:t xml:space="preserve"> namijenjeno digitalizaciji MSP-ova. Usto </w:t>
      </w:r>
      <w:r>
        <w:rPr>
          <w:sz w:val="24"/>
          <w:szCs w:val="24"/>
        </w:rPr>
        <w:t xml:space="preserve">u Hrvatskoj </w:t>
      </w:r>
      <w:r w:rsidRPr="005F7D03">
        <w:rPr>
          <w:sz w:val="24"/>
          <w:szCs w:val="24"/>
        </w:rPr>
        <w:t>djeluju četiri europska digitalna inovacijska središta (EDIH) koja pružaju usluge digitalne zrelosti, „test-</w:t>
      </w:r>
      <w:proofErr w:type="spellStart"/>
      <w:r w:rsidRPr="005F7D03">
        <w:rPr>
          <w:sz w:val="24"/>
          <w:szCs w:val="24"/>
        </w:rPr>
        <w:t>before</w:t>
      </w:r>
      <w:proofErr w:type="spellEnd"/>
      <w:r w:rsidRPr="005F7D03">
        <w:rPr>
          <w:sz w:val="24"/>
          <w:szCs w:val="24"/>
        </w:rPr>
        <w:t>-</w:t>
      </w:r>
      <w:proofErr w:type="spellStart"/>
      <w:r w:rsidRPr="005F7D03">
        <w:rPr>
          <w:sz w:val="24"/>
          <w:szCs w:val="24"/>
        </w:rPr>
        <w:t>invest</w:t>
      </w:r>
      <w:proofErr w:type="spellEnd"/>
      <w:r w:rsidRPr="005F7D03">
        <w:rPr>
          <w:sz w:val="24"/>
          <w:szCs w:val="24"/>
        </w:rPr>
        <w:t xml:space="preserve">“ okruženja i podršku pri pristupu nacionalnim i EU izvorima financiranja. Unatoč tomu, </w:t>
      </w:r>
      <w:r w:rsidRPr="0004221B">
        <w:rPr>
          <w:i/>
          <w:iCs/>
          <w:sz w:val="24"/>
          <w:szCs w:val="24"/>
        </w:rPr>
        <w:t>start-</w:t>
      </w:r>
      <w:proofErr w:type="spellStart"/>
      <w:r w:rsidRPr="0004221B">
        <w:rPr>
          <w:i/>
          <w:iCs/>
          <w:sz w:val="24"/>
          <w:szCs w:val="24"/>
        </w:rPr>
        <w:t>up</w:t>
      </w:r>
      <w:proofErr w:type="spellEnd"/>
      <w:r w:rsidRPr="005F7D03">
        <w:rPr>
          <w:sz w:val="24"/>
          <w:szCs w:val="24"/>
        </w:rPr>
        <w:t xml:space="preserve"> i </w:t>
      </w:r>
      <w:proofErr w:type="spellStart"/>
      <w:r w:rsidRPr="0004221B">
        <w:rPr>
          <w:i/>
          <w:iCs/>
          <w:sz w:val="24"/>
          <w:szCs w:val="24"/>
        </w:rPr>
        <w:t>scale-up</w:t>
      </w:r>
      <w:proofErr w:type="spellEnd"/>
      <w:r w:rsidRPr="005F7D03">
        <w:rPr>
          <w:sz w:val="24"/>
          <w:szCs w:val="24"/>
        </w:rPr>
        <w:t xml:space="preserve"> ekosustav </w:t>
      </w:r>
      <w:r>
        <w:rPr>
          <w:sz w:val="24"/>
          <w:szCs w:val="24"/>
        </w:rPr>
        <w:t>niži je</w:t>
      </w:r>
      <w:r w:rsidRPr="005F7D03">
        <w:rPr>
          <w:sz w:val="24"/>
          <w:szCs w:val="24"/>
        </w:rPr>
        <w:t xml:space="preserve"> od prosjeka EU-a</w:t>
      </w:r>
      <w:r>
        <w:rPr>
          <w:sz w:val="24"/>
          <w:szCs w:val="24"/>
        </w:rPr>
        <w:t>.</w:t>
      </w:r>
      <w:r w:rsidRPr="005F7D03">
        <w:rPr>
          <w:sz w:val="24"/>
          <w:szCs w:val="24"/>
        </w:rPr>
        <w:t xml:space="preserve"> Hrvatska bilježi dva </w:t>
      </w:r>
      <w:r>
        <w:rPr>
          <w:sz w:val="24"/>
          <w:szCs w:val="24"/>
        </w:rPr>
        <w:t xml:space="preserve">jednorog </w:t>
      </w:r>
      <w:r w:rsidRPr="005F7D03">
        <w:rPr>
          <w:sz w:val="24"/>
          <w:szCs w:val="24"/>
        </w:rPr>
        <w:t xml:space="preserve">poduzeća, a ulaganja rizičnog kapitala iznose oko 0,028% BDP-a, </w:t>
      </w:r>
      <w:r>
        <w:rPr>
          <w:sz w:val="24"/>
          <w:szCs w:val="24"/>
        </w:rPr>
        <w:t>dok je prosjek EU-a</w:t>
      </w:r>
      <w:r w:rsidRPr="005F7D03">
        <w:rPr>
          <w:sz w:val="24"/>
          <w:szCs w:val="24"/>
        </w:rPr>
        <w:t xml:space="preserve"> 0,078% BDP-a</w:t>
      </w:r>
      <w:r>
        <w:rPr>
          <w:sz w:val="24"/>
          <w:szCs w:val="24"/>
        </w:rPr>
        <w:t>. Slijedom navedenog,</w:t>
      </w:r>
      <w:r w:rsidRPr="005F7D03">
        <w:rPr>
          <w:sz w:val="24"/>
          <w:szCs w:val="24"/>
        </w:rPr>
        <w:t xml:space="preserve"> Europska komisija preporučila </w:t>
      </w:r>
      <w:r>
        <w:rPr>
          <w:sz w:val="24"/>
          <w:szCs w:val="24"/>
        </w:rPr>
        <w:t xml:space="preserve">je Hrvatskoj </w:t>
      </w:r>
      <w:r w:rsidRPr="005F7D03">
        <w:rPr>
          <w:sz w:val="24"/>
          <w:szCs w:val="24"/>
        </w:rPr>
        <w:t>daljnje jačanje instrumenata financiranja visokotehnoloških i brzo rastućih poduzeća.</w:t>
      </w:r>
    </w:p>
    <w:p w14:paraId="6173619E" w14:textId="77777777" w:rsidR="00FB178A" w:rsidRDefault="00FB178A" w:rsidP="00FB178A">
      <w:pPr>
        <w:spacing w:after="240" w:line="276" w:lineRule="auto"/>
        <w:jc w:val="both"/>
      </w:pPr>
      <w:r>
        <w:rPr>
          <w:sz w:val="24"/>
          <w:szCs w:val="24"/>
        </w:rPr>
        <w:t>T</w:t>
      </w:r>
      <w:r w:rsidRPr="00862C0D">
        <w:rPr>
          <w:sz w:val="24"/>
          <w:szCs w:val="24"/>
        </w:rPr>
        <w:t xml:space="preserve">ijekom 2024. nastavljen je intenzivan razvoj </w:t>
      </w:r>
      <w:r w:rsidRPr="0004221B">
        <w:rPr>
          <w:sz w:val="24"/>
          <w:szCs w:val="24"/>
        </w:rPr>
        <w:t>Nacionalne infrastrukture prostornih podataka (</w:t>
      </w:r>
      <w:r>
        <w:rPr>
          <w:sz w:val="24"/>
          <w:szCs w:val="24"/>
        </w:rPr>
        <w:t xml:space="preserve">u daljnjem tekstu: </w:t>
      </w:r>
      <w:r w:rsidRPr="0004221B">
        <w:rPr>
          <w:sz w:val="24"/>
          <w:szCs w:val="24"/>
        </w:rPr>
        <w:t>NIPP)</w:t>
      </w:r>
      <w:r w:rsidRPr="00862C0D">
        <w:rPr>
          <w:sz w:val="24"/>
          <w:szCs w:val="24"/>
        </w:rPr>
        <w:t xml:space="preserve">, s naglaskom na uključivanje novih subjekata i izvora prostornih podataka. </w:t>
      </w:r>
      <w:r w:rsidRPr="00115575">
        <w:rPr>
          <w:sz w:val="24"/>
          <w:szCs w:val="24"/>
        </w:rPr>
        <w:t xml:space="preserve">Do kraja 2024. na </w:t>
      </w:r>
      <w:proofErr w:type="spellStart"/>
      <w:r w:rsidRPr="0004221B">
        <w:rPr>
          <w:sz w:val="24"/>
          <w:szCs w:val="24"/>
        </w:rPr>
        <w:t>Geoportalu</w:t>
      </w:r>
      <w:proofErr w:type="spellEnd"/>
      <w:r w:rsidRPr="0004221B">
        <w:rPr>
          <w:sz w:val="24"/>
          <w:szCs w:val="24"/>
        </w:rPr>
        <w:t xml:space="preserve"> NIPP-a</w:t>
      </w:r>
      <w:r w:rsidRPr="00115575">
        <w:rPr>
          <w:sz w:val="24"/>
          <w:szCs w:val="24"/>
        </w:rPr>
        <w:t xml:space="preserve"> bilo je prijavljeno ukupno </w:t>
      </w:r>
      <w:r w:rsidRPr="0004221B">
        <w:rPr>
          <w:sz w:val="24"/>
          <w:szCs w:val="24"/>
        </w:rPr>
        <w:t>1</w:t>
      </w:r>
      <w:r>
        <w:rPr>
          <w:sz w:val="24"/>
          <w:szCs w:val="24"/>
        </w:rPr>
        <w:t>.</w:t>
      </w:r>
      <w:r w:rsidRPr="0004221B">
        <w:rPr>
          <w:sz w:val="24"/>
          <w:szCs w:val="24"/>
        </w:rPr>
        <w:t xml:space="preserve">150 </w:t>
      </w:r>
      <w:proofErr w:type="spellStart"/>
      <w:r w:rsidRPr="0004221B">
        <w:rPr>
          <w:sz w:val="24"/>
          <w:szCs w:val="24"/>
        </w:rPr>
        <w:t>metapodataka</w:t>
      </w:r>
      <w:proofErr w:type="spellEnd"/>
      <w:r w:rsidRPr="00115575">
        <w:rPr>
          <w:sz w:val="24"/>
          <w:szCs w:val="24"/>
        </w:rPr>
        <w:t xml:space="preserve"> i </w:t>
      </w:r>
      <w:r w:rsidRPr="0004221B">
        <w:rPr>
          <w:sz w:val="24"/>
          <w:szCs w:val="24"/>
        </w:rPr>
        <w:t>543 mrežne usluge</w:t>
      </w:r>
      <w:r w:rsidRPr="00115575">
        <w:rPr>
          <w:sz w:val="24"/>
          <w:szCs w:val="24"/>
        </w:rPr>
        <w:t xml:space="preserve">, koje je dostavilo </w:t>
      </w:r>
      <w:r w:rsidRPr="0004221B">
        <w:rPr>
          <w:sz w:val="24"/>
          <w:szCs w:val="24"/>
        </w:rPr>
        <w:t>148 subjekata</w:t>
      </w:r>
      <w:r w:rsidRPr="00115575">
        <w:rPr>
          <w:sz w:val="24"/>
          <w:szCs w:val="24"/>
        </w:rPr>
        <w:t xml:space="preserve"> uključenih u NIPP. Nadalje, kroz razvoj mobilne aplikacije </w:t>
      </w:r>
      <w:proofErr w:type="spellStart"/>
      <w:r w:rsidRPr="0004221B">
        <w:rPr>
          <w:sz w:val="24"/>
          <w:szCs w:val="24"/>
        </w:rPr>
        <w:t>GeoHrvatska</w:t>
      </w:r>
      <w:proofErr w:type="spellEnd"/>
      <w:r w:rsidRPr="00115575">
        <w:rPr>
          <w:sz w:val="24"/>
          <w:szCs w:val="24"/>
        </w:rPr>
        <w:t xml:space="preserve"> javnosti je omogućen jednostavan i interaktivan pristup službenim prostornim podacima tijela javne vlasti, odnosno subjekata NIPP-a, u odnosu na trenutačnu lokaciju korisnika, čime se povećava dostupnost i transparentnost prostornih informacija.</w:t>
      </w:r>
      <w:r>
        <w:rPr>
          <w:sz w:val="24"/>
          <w:szCs w:val="24"/>
        </w:rPr>
        <w:t xml:space="preserve"> </w:t>
      </w:r>
      <w:r w:rsidRPr="0004221B">
        <w:rPr>
          <w:sz w:val="24"/>
          <w:szCs w:val="24"/>
        </w:rPr>
        <w:t xml:space="preserve">Na </w:t>
      </w:r>
      <w:proofErr w:type="spellStart"/>
      <w:r w:rsidRPr="0004221B">
        <w:rPr>
          <w:sz w:val="24"/>
          <w:szCs w:val="24"/>
        </w:rPr>
        <w:t>Geoportalu</w:t>
      </w:r>
      <w:proofErr w:type="spellEnd"/>
      <w:r w:rsidRPr="0004221B">
        <w:rPr>
          <w:sz w:val="24"/>
          <w:szCs w:val="24"/>
        </w:rPr>
        <w:t xml:space="preserve"> Državne geodetske uprave, kao središnjem mjestu za pregled i preuzimanje službenih geodetskih i kartografskih podataka namijenjenih građanima, profesionalnim korisnicima i javnim institucijama, do kraja 2024. bilo je dostupno 77 mrežnih usluga, što predstavlja značajan porast u odnosu na 35 usluga dostupnih 2020. </w:t>
      </w:r>
      <w:r w:rsidRPr="00F23AC7">
        <w:rPr>
          <w:sz w:val="24"/>
          <w:szCs w:val="24"/>
        </w:rPr>
        <w:t xml:space="preserve">Također je do kraja 2024. omogućena </w:t>
      </w:r>
      <w:r w:rsidRPr="0004221B">
        <w:rPr>
          <w:sz w:val="24"/>
          <w:szCs w:val="24"/>
        </w:rPr>
        <w:t>elektronička razmjena podataka</w:t>
      </w:r>
      <w:r w:rsidRPr="00F23AC7">
        <w:rPr>
          <w:sz w:val="24"/>
          <w:szCs w:val="24"/>
        </w:rPr>
        <w:t xml:space="preserve"> između D</w:t>
      </w:r>
      <w:r>
        <w:rPr>
          <w:sz w:val="24"/>
          <w:szCs w:val="24"/>
        </w:rPr>
        <w:t xml:space="preserve">ržavne geodetske uprave </w:t>
      </w:r>
      <w:r w:rsidRPr="00F23AC7">
        <w:rPr>
          <w:sz w:val="24"/>
          <w:szCs w:val="24"/>
        </w:rPr>
        <w:t xml:space="preserve">i </w:t>
      </w:r>
      <w:r w:rsidRPr="0004221B">
        <w:rPr>
          <w:sz w:val="24"/>
          <w:szCs w:val="24"/>
        </w:rPr>
        <w:t>220 javnopravnih tijela</w:t>
      </w:r>
      <w:r w:rsidRPr="00F23AC7">
        <w:rPr>
          <w:sz w:val="24"/>
          <w:szCs w:val="24"/>
        </w:rPr>
        <w:t xml:space="preserve"> u Hrvatskoj, čime se dodatno unaprijedila učinkovitost i </w:t>
      </w:r>
      <w:proofErr w:type="spellStart"/>
      <w:r w:rsidRPr="00F23AC7">
        <w:rPr>
          <w:sz w:val="24"/>
          <w:szCs w:val="24"/>
        </w:rPr>
        <w:t>interoperabilnost</w:t>
      </w:r>
      <w:proofErr w:type="spellEnd"/>
      <w:r w:rsidRPr="00F23AC7">
        <w:rPr>
          <w:sz w:val="24"/>
          <w:szCs w:val="24"/>
        </w:rPr>
        <w:t xml:space="preserve"> javne uprave te potaknula digitalna transformacija gospodarstva kroz bržu, sigurniju i ekonomičniju razmjenu prostornih informacija.</w:t>
      </w:r>
    </w:p>
    <w:p w14:paraId="2274D46D" w14:textId="77777777" w:rsidR="00FB178A" w:rsidRDefault="00FB178A" w:rsidP="00FB178A">
      <w:pPr>
        <w:spacing w:after="240" w:line="276" w:lineRule="auto"/>
        <w:jc w:val="both"/>
      </w:pPr>
      <w:r w:rsidRPr="00192BA4">
        <w:rPr>
          <w:sz w:val="24"/>
          <w:szCs w:val="24"/>
        </w:rPr>
        <w:t xml:space="preserve">U 2024. godini nastavljen je razvoj i nadogradnja Jedinstvenog informacijskog sustava mineralnih sirovina kao središnje digitalne platforme za upravljanje prostornim i </w:t>
      </w:r>
      <w:proofErr w:type="spellStart"/>
      <w:r w:rsidRPr="00192BA4">
        <w:rPr>
          <w:sz w:val="24"/>
          <w:szCs w:val="24"/>
        </w:rPr>
        <w:t>neprostronim</w:t>
      </w:r>
      <w:proofErr w:type="spellEnd"/>
      <w:r w:rsidRPr="00192BA4">
        <w:rPr>
          <w:sz w:val="24"/>
          <w:szCs w:val="24"/>
        </w:rPr>
        <w:t xml:space="preserve"> podacima, registrima i dokumentima vezanim uz istražne prostore, eksploatacijska polja, rudarske subjekte i </w:t>
      </w:r>
      <w:r w:rsidRPr="00192BA4">
        <w:rPr>
          <w:sz w:val="24"/>
          <w:szCs w:val="24"/>
        </w:rPr>
        <w:lastRenderedPageBreak/>
        <w:t>rezerve mineralnih sirovina. Djelomičnom provedbom treće faze nadogradnje unaprijeđene su tehničke funkcionalnosti sustava te uveden novi model plaćanja naknade za koncesije za eksploataciju mineralnih sirovina. Nadogradnja je omogućila javni uvid u ključne akte, izvješća i prostorne podatke iz područja zaštite okoliša, prostornog planiranja i rudarstva, kao i pristup javnim nadmetanjima i registrima, čime je dodatno ojačana transparentnost i digitalizacija postupaka u rudarskom sektoru.</w:t>
      </w:r>
    </w:p>
    <w:p w14:paraId="77060DE5" w14:textId="77777777" w:rsidR="00FB178A" w:rsidRDefault="00FB178A" w:rsidP="00FB178A">
      <w:pPr>
        <w:spacing w:after="240" w:line="276" w:lineRule="auto"/>
        <w:ind w:firstLine="720"/>
        <w:jc w:val="both"/>
      </w:pPr>
      <w:r w:rsidRPr="0004221B">
        <w:rPr>
          <w:b/>
          <w:sz w:val="24"/>
          <w:szCs w:val="24"/>
        </w:rPr>
        <w:t>Digitalizacija javne uprave i pravosuđa</w:t>
      </w:r>
    </w:p>
    <w:p w14:paraId="3E500227" w14:textId="77777777" w:rsidR="00FB178A" w:rsidRDefault="00FB178A" w:rsidP="00FB178A">
      <w:pPr>
        <w:spacing w:after="240" w:line="276" w:lineRule="auto"/>
        <w:ind w:firstLine="720"/>
        <w:jc w:val="both"/>
        <w:rPr>
          <w:sz w:val="24"/>
          <w:szCs w:val="24"/>
          <w:highlight w:val="yellow"/>
        </w:rPr>
      </w:pPr>
      <w:r w:rsidRPr="0004221B">
        <w:rPr>
          <w:sz w:val="24"/>
          <w:szCs w:val="24"/>
        </w:rPr>
        <w:t xml:space="preserve">Iako Hrvatska u 2024. bilježi napredak u pojedinim područjima digitalnih javnih usluga, i dalje postoje izazovi koji doprinose neujednačenim ukupnim rezultatima. S rezultatom od 75,20 u odnosu na 67,2 </w:t>
      </w:r>
      <w:r>
        <w:rPr>
          <w:sz w:val="24"/>
          <w:szCs w:val="24"/>
        </w:rPr>
        <w:t>(</w:t>
      </w:r>
      <w:r w:rsidRPr="0004221B">
        <w:rPr>
          <w:sz w:val="24"/>
          <w:szCs w:val="24"/>
        </w:rPr>
        <w:t>2023.</w:t>
      </w:r>
      <w:r>
        <w:rPr>
          <w:sz w:val="24"/>
          <w:szCs w:val="24"/>
        </w:rPr>
        <w:t>)</w:t>
      </w:r>
      <w:r w:rsidRPr="0004221B">
        <w:rPr>
          <w:sz w:val="24"/>
          <w:szCs w:val="24"/>
        </w:rPr>
        <w:t xml:space="preserve"> Hrvatska je zabilježila </w:t>
      </w:r>
      <w:r>
        <w:rPr>
          <w:sz w:val="24"/>
          <w:szCs w:val="24"/>
        </w:rPr>
        <w:t>napredak</w:t>
      </w:r>
      <w:r w:rsidRPr="0004221B">
        <w:rPr>
          <w:sz w:val="24"/>
          <w:szCs w:val="24"/>
        </w:rPr>
        <w:t xml:space="preserve"> u području digitalnih javnih usluga za građane</w:t>
      </w:r>
      <w:r>
        <w:rPr>
          <w:sz w:val="24"/>
          <w:szCs w:val="24"/>
        </w:rPr>
        <w:t xml:space="preserve"> (</w:t>
      </w:r>
      <w:r w:rsidRPr="0004221B">
        <w:rPr>
          <w:sz w:val="24"/>
          <w:szCs w:val="24"/>
        </w:rPr>
        <w:t xml:space="preserve">prosjek EU-a </w:t>
      </w:r>
      <w:r>
        <w:rPr>
          <w:sz w:val="24"/>
          <w:szCs w:val="24"/>
        </w:rPr>
        <w:t xml:space="preserve">je </w:t>
      </w:r>
      <w:r w:rsidRPr="0004221B">
        <w:rPr>
          <w:sz w:val="24"/>
          <w:szCs w:val="24"/>
        </w:rPr>
        <w:t>82,30</w:t>
      </w:r>
      <w:r>
        <w:rPr>
          <w:sz w:val="24"/>
          <w:szCs w:val="24"/>
        </w:rPr>
        <w:t xml:space="preserve">), ali je nazadovala </w:t>
      </w:r>
      <w:r w:rsidRPr="0004221B">
        <w:rPr>
          <w:sz w:val="24"/>
          <w:szCs w:val="24"/>
        </w:rPr>
        <w:t xml:space="preserve">u području digitalnih javnih usluga za poduzetnike </w:t>
      </w:r>
      <w:r>
        <w:rPr>
          <w:sz w:val="24"/>
          <w:szCs w:val="24"/>
        </w:rPr>
        <w:t xml:space="preserve">gdje </w:t>
      </w:r>
      <w:r w:rsidRPr="0004221B">
        <w:rPr>
          <w:sz w:val="24"/>
          <w:szCs w:val="24"/>
        </w:rPr>
        <w:t xml:space="preserve">s rezultatom od 65,30 </w:t>
      </w:r>
      <w:r>
        <w:rPr>
          <w:sz w:val="24"/>
          <w:szCs w:val="24"/>
        </w:rPr>
        <w:t>(</w:t>
      </w:r>
      <w:r w:rsidRPr="0004221B">
        <w:rPr>
          <w:sz w:val="24"/>
          <w:szCs w:val="24"/>
        </w:rPr>
        <w:t xml:space="preserve">66,2 </w:t>
      </w:r>
      <w:r>
        <w:rPr>
          <w:sz w:val="24"/>
          <w:szCs w:val="24"/>
        </w:rPr>
        <w:t xml:space="preserve">u </w:t>
      </w:r>
      <w:r w:rsidRPr="0004221B">
        <w:rPr>
          <w:sz w:val="24"/>
          <w:szCs w:val="24"/>
        </w:rPr>
        <w:t>2023.</w:t>
      </w:r>
      <w:r>
        <w:rPr>
          <w:sz w:val="24"/>
          <w:szCs w:val="24"/>
        </w:rPr>
        <w:t>)</w:t>
      </w:r>
      <w:r w:rsidRPr="0004221B">
        <w:rPr>
          <w:sz w:val="24"/>
          <w:szCs w:val="24"/>
        </w:rPr>
        <w:t xml:space="preserve"> znatno zaostaje za prosjekom EU-a </w:t>
      </w:r>
      <w:r>
        <w:rPr>
          <w:sz w:val="24"/>
          <w:szCs w:val="24"/>
        </w:rPr>
        <w:t>(</w:t>
      </w:r>
      <w:r w:rsidRPr="0004221B">
        <w:rPr>
          <w:sz w:val="24"/>
          <w:szCs w:val="24"/>
        </w:rPr>
        <w:t>86,2</w:t>
      </w:r>
      <w:r>
        <w:rPr>
          <w:sz w:val="24"/>
          <w:szCs w:val="24"/>
        </w:rPr>
        <w:t>)</w:t>
      </w:r>
      <w:r w:rsidRPr="0004221B">
        <w:rPr>
          <w:sz w:val="24"/>
          <w:szCs w:val="24"/>
        </w:rPr>
        <w:t>. Iz navedenog razloga, pokrenuti su napori na unaprjeđenju razine pristupačnosti javnih e-usluga uz poboljšanje korisničkog iskustva te povećanje razine digitalizacije administrativnih postupaka. S druge strane, Hrvatska ostvaruje iznadprosječne rezultate u korištenju digitalnih usluga.</w:t>
      </w:r>
      <w:r>
        <w:rPr>
          <w:sz w:val="24"/>
          <w:szCs w:val="24"/>
        </w:rPr>
        <w:t xml:space="preserve"> </w:t>
      </w:r>
      <w:r w:rsidRPr="00F9274E">
        <w:rPr>
          <w:sz w:val="24"/>
          <w:szCs w:val="24"/>
        </w:rPr>
        <w:t xml:space="preserve">Naime, </w:t>
      </w:r>
      <w:r w:rsidRPr="0004221B">
        <w:rPr>
          <w:sz w:val="24"/>
          <w:szCs w:val="24"/>
        </w:rPr>
        <w:t>89% građana</w:t>
      </w:r>
      <w:r w:rsidRPr="00F9274E">
        <w:rPr>
          <w:sz w:val="24"/>
          <w:szCs w:val="24"/>
        </w:rPr>
        <w:t xml:space="preserve"> koristi usluge e-uprave, dok je prosjek EU-a </w:t>
      </w:r>
      <w:r w:rsidRPr="0004221B">
        <w:rPr>
          <w:sz w:val="24"/>
          <w:szCs w:val="24"/>
        </w:rPr>
        <w:t>85%</w:t>
      </w:r>
      <w:r w:rsidRPr="00F9274E">
        <w:rPr>
          <w:sz w:val="24"/>
          <w:szCs w:val="24"/>
        </w:rPr>
        <w:t xml:space="preserve">. Također, </w:t>
      </w:r>
      <w:r w:rsidRPr="0004221B">
        <w:rPr>
          <w:sz w:val="24"/>
          <w:szCs w:val="24"/>
        </w:rPr>
        <w:t>39,20% građana</w:t>
      </w:r>
      <w:r w:rsidRPr="00F9274E">
        <w:rPr>
          <w:sz w:val="24"/>
          <w:szCs w:val="24"/>
        </w:rPr>
        <w:t xml:space="preserve"> koristilo je</w:t>
      </w:r>
      <w:r>
        <w:rPr>
          <w:sz w:val="24"/>
          <w:szCs w:val="24"/>
        </w:rPr>
        <w:t xml:space="preserve"> elektroničku osobnu iskaznicu</w:t>
      </w:r>
      <w:r w:rsidRPr="00F9274E">
        <w:rPr>
          <w:sz w:val="24"/>
          <w:szCs w:val="24"/>
        </w:rPr>
        <w:t xml:space="preserve"> </w:t>
      </w:r>
      <w:r>
        <w:rPr>
          <w:sz w:val="24"/>
          <w:szCs w:val="24"/>
        </w:rPr>
        <w:t>(</w:t>
      </w:r>
      <w:proofErr w:type="spellStart"/>
      <w:r w:rsidRPr="00F9274E">
        <w:rPr>
          <w:sz w:val="24"/>
          <w:szCs w:val="24"/>
        </w:rPr>
        <w:t>eID</w:t>
      </w:r>
      <w:proofErr w:type="spellEnd"/>
      <w:r>
        <w:rPr>
          <w:sz w:val="24"/>
          <w:szCs w:val="24"/>
        </w:rPr>
        <w:t>)</w:t>
      </w:r>
      <w:r w:rsidRPr="00F9274E">
        <w:rPr>
          <w:sz w:val="24"/>
          <w:szCs w:val="24"/>
        </w:rPr>
        <w:t xml:space="preserve"> kao sredstvo identifikacije u posljednjih 12 mjeseci, što je više od prosjeka EU-a </w:t>
      </w:r>
      <w:r>
        <w:rPr>
          <w:sz w:val="24"/>
          <w:szCs w:val="24"/>
        </w:rPr>
        <w:t>(</w:t>
      </w:r>
      <w:r w:rsidRPr="0004221B">
        <w:rPr>
          <w:sz w:val="24"/>
          <w:szCs w:val="24"/>
        </w:rPr>
        <w:t>36,80%</w:t>
      </w:r>
      <w:r>
        <w:rPr>
          <w:sz w:val="24"/>
          <w:szCs w:val="24"/>
        </w:rPr>
        <w:t>)</w:t>
      </w:r>
      <w:r w:rsidRPr="00F9274E">
        <w:rPr>
          <w:sz w:val="24"/>
          <w:szCs w:val="24"/>
        </w:rPr>
        <w:t>.</w:t>
      </w:r>
      <w:r>
        <w:rPr>
          <w:sz w:val="24"/>
          <w:szCs w:val="24"/>
        </w:rPr>
        <w:t xml:space="preserve"> Iznadprosječno je </w:t>
      </w:r>
      <w:r w:rsidRPr="00F9274E">
        <w:rPr>
          <w:sz w:val="24"/>
          <w:szCs w:val="24"/>
        </w:rPr>
        <w:t>oc</w:t>
      </w:r>
      <w:r>
        <w:rPr>
          <w:sz w:val="24"/>
          <w:szCs w:val="24"/>
        </w:rPr>
        <w:t>i</w:t>
      </w:r>
      <w:r w:rsidRPr="00F9274E">
        <w:rPr>
          <w:sz w:val="24"/>
          <w:szCs w:val="24"/>
        </w:rPr>
        <w:t>jen</w:t>
      </w:r>
      <w:r>
        <w:rPr>
          <w:sz w:val="24"/>
          <w:szCs w:val="24"/>
        </w:rPr>
        <w:t xml:space="preserve">jena i </w:t>
      </w:r>
      <w:r w:rsidRPr="00F9274E">
        <w:rPr>
          <w:sz w:val="24"/>
          <w:szCs w:val="24"/>
        </w:rPr>
        <w:t xml:space="preserve">mogućnost pristupa građana </w:t>
      </w:r>
      <w:r>
        <w:rPr>
          <w:sz w:val="24"/>
          <w:szCs w:val="24"/>
        </w:rPr>
        <w:t xml:space="preserve">u Hrvatskoj </w:t>
      </w:r>
      <w:r w:rsidRPr="00F9274E">
        <w:rPr>
          <w:sz w:val="24"/>
          <w:szCs w:val="24"/>
        </w:rPr>
        <w:t>vlastit</w:t>
      </w:r>
      <w:r>
        <w:rPr>
          <w:sz w:val="24"/>
          <w:szCs w:val="24"/>
        </w:rPr>
        <w:t>im</w:t>
      </w:r>
      <w:r w:rsidRPr="00F9274E">
        <w:rPr>
          <w:sz w:val="24"/>
          <w:szCs w:val="24"/>
        </w:rPr>
        <w:t xml:space="preserve"> e-zdravstven</w:t>
      </w:r>
      <w:r>
        <w:rPr>
          <w:sz w:val="24"/>
          <w:szCs w:val="24"/>
        </w:rPr>
        <w:t>im</w:t>
      </w:r>
      <w:r w:rsidRPr="00F9274E">
        <w:rPr>
          <w:sz w:val="24"/>
          <w:szCs w:val="24"/>
        </w:rPr>
        <w:t xml:space="preserve"> karton</w:t>
      </w:r>
      <w:r>
        <w:rPr>
          <w:sz w:val="24"/>
          <w:szCs w:val="24"/>
        </w:rPr>
        <w:t>ima, s rezultatom od</w:t>
      </w:r>
      <w:r w:rsidRPr="00F9274E">
        <w:rPr>
          <w:sz w:val="24"/>
          <w:szCs w:val="24"/>
        </w:rPr>
        <w:t xml:space="preserve"> </w:t>
      </w:r>
      <w:r w:rsidRPr="0004221B">
        <w:rPr>
          <w:sz w:val="24"/>
          <w:szCs w:val="24"/>
        </w:rPr>
        <w:t>86,6</w:t>
      </w:r>
      <w:r>
        <w:rPr>
          <w:sz w:val="24"/>
          <w:szCs w:val="24"/>
        </w:rPr>
        <w:t xml:space="preserve"> (omogućen</w:t>
      </w:r>
      <w:r w:rsidRPr="00C23614">
        <w:rPr>
          <w:sz w:val="24"/>
          <w:szCs w:val="24"/>
        </w:rPr>
        <w:t xml:space="preserve"> pristup</w:t>
      </w:r>
      <w:r>
        <w:rPr>
          <w:sz w:val="24"/>
          <w:szCs w:val="24"/>
        </w:rPr>
        <w:t xml:space="preserve"> za</w:t>
      </w:r>
      <w:r w:rsidRPr="00C23614">
        <w:rPr>
          <w:sz w:val="24"/>
          <w:szCs w:val="24"/>
        </w:rPr>
        <w:t xml:space="preserve"> 12 od 13 kategorija</w:t>
      </w:r>
      <w:r>
        <w:rPr>
          <w:sz w:val="24"/>
          <w:szCs w:val="24"/>
        </w:rPr>
        <w:t xml:space="preserve"> podataka</w:t>
      </w:r>
      <w:r w:rsidRPr="00C23614">
        <w:rPr>
          <w:sz w:val="24"/>
          <w:szCs w:val="24"/>
        </w:rPr>
        <w:t>)</w:t>
      </w:r>
      <w:r w:rsidRPr="00F9274E">
        <w:rPr>
          <w:sz w:val="24"/>
          <w:szCs w:val="24"/>
        </w:rPr>
        <w:t xml:space="preserve">, dok prosjek EU-a </w:t>
      </w:r>
      <w:r>
        <w:rPr>
          <w:sz w:val="24"/>
          <w:szCs w:val="24"/>
        </w:rPr>
        <w:t xml:space="preserve">iznosi </w:t>
      </w:r>
      <w:r w:rsidRPr="0004221B">
        <w:rPr>
          <w:sz w:val="24"/>
          <w:szCs w:val="24"/>
        </w:rPr>
        <w:t>82,70%</w:t>
      </w:r>
      <w:r w:rsidRPr="00F9274E">
        <w:rPr>
          <w:sz w:val="24"/>
          <w:szCs w:val="24"/>
        </w:rPr>
        <w:t>.</w:t>
      </w:r>
    </w:p>
    <w:p w14:paraId="1E6F64AB" w14:textId="77777777" w:rsidR="00FB178A" w:rsidRDefault="00FB178A" w:rsidP="00FB178A">
      <w:pPr>
        <w:spacing w:before="240" w:after="240" w:line="276" w:lineRule="auto"/>
        <w:jc w:val="both"/>
        <w:rPr>
          <w:sz w:val="24"/>
          <w:szCs w:val="24"/>
        </w:rPr>
      </w:pPr>
      <w:r w:rsidRPr="0004221B">
        <w:rPr>
          <w:sz w:val="24"/>
          <w:szCs w:val="24"/>
        </w:rPr>
        <w:t xml:space="preserve">Također, prema podacima posebnog izdanja </w:t>
      </w:r>
      <w:proofErr w:type="spellStart"/>
      <w:r w:rsidRPr="0004221B">
        <w:rPr>
          <w:sz w:val="24"/>
          <w:szCs w:val="24"/>
        </w:rPr>
        <w:t>Eurobarometra</w:t>
      </w:r>
      <w:proofErr w:type="spellEnd"/>
      <w:r w:rsidRPr="0004221B">
        <w:rPr>
          <w:sz w:val="24"/>
          <w:szCs w:val="24"/>
        </w:rPr>
        <w:t xml:space="preserve"> 81% građana</w:t>
      </w:r>
      <w:r>
        <w:rPr>
          <w:sz w:val="24"/>
          <w:szCs w:val="24"/>
        </w:rPr>
        <w:t xml:space="preserve"> u Hrvatskoj</w:t>
      </w:r>
      <w:r w:rsidRPr="00B023C0">
        <w:rPr>
          <w:sz w:val="24"/>
          <w:szCs w:val="24"/>
        </w:rPr>
        <w:t xml:space="preserve"> smatra da digitalizacija olakšava njihov svakodnevni život, što je više od prosjeka EU-a </w:t>
      </w:r>
      <w:r>
        <w:rPr>
          <w:sz w:val="24"/>
          <w:szCs w:val="24"/>
        </w:rPr>
        <w:t>(</w:t>
      </w:r>
      <w:r w:rsidRPr="0004221B">
        <w:rPr>
          <w:sz w:val="24"/>
          <w:szCs w:val="24"/>
        </w:rPr>
        <w:t>75%</w:t>
      </w:r>
      <w:r>
        <w:rPr>
          <w:sz w:val="24"/>
          <w:szCs w:val="24"/>
        </w:rPr>
        <w:t>)</w:t>
      </w:r>
      <w:r w:rsidRPr="00B023C0">
        <w:rPr>
          <w:sz w:val="24"/>
          <w:szCs w:val="24"/>
        </w:rPr>
        <w:t>.</w:t>
      </w:r>
      <w:r w:rsidRPr="0004221B">
        <w:rPr>
          <w:sz w:val="24"/>
          <w:szCs w:val="24"/>
        </w:rPr>
        <w:t xml:space="preserve"> </w:t>
      </w:r>
      <w:r w:rsidRPr="0086332C">
        <w:rPr>
          <w:sz w:val="24"/>
          <w:szCs w:val="24"/>
        </w:rPr>
        <w:t xml:space="preserve">Također, </w:t>
      </w:r>
      <w:r w:rsidRPr="0004221B">
        <w:rPr>
          <w:sz w:val="24"/>
          <w:szCs w:val="24"/>
        </w:rPr>
        <w:t>90%</w:t>
      </w:r>
      <w:r w:rsidRPr="00937B16">
        <w:rPr>
          <w:sz w:val="24"/>
          <w:szCs w:val="24"/>
        </w:rPr>
        <w:t xml:space="preserve"> </w:t>
      </w:r>
      <w:r w:rsidRPr="0004221B">
        <w:rPr>
          <w:sz w:val="24"/>
          <w:szCs w:val="24"/>
        </w:rPr>
        <w:t>građana</w:t>
      </w:r>
      <w:r w:rsidRPr="0086332C">
        <w:rPr>
          <w:sz w:val="24"/>
          <w:szCs w:val="24"/>
        </w:rPr>
        <w:t xml:space="preserve"> smatra da bi javne vlasti trebale izgraditi učinkovitu i sigurnu digitalnu infrastrukturu, uključujući infrastrukturu </w:t>
      </w:r>
      <w:proofErr w:type="spellStart"/>
      <w:r w:rsidRPr="0086332C">
        <w:rPr>
          <w:sz w:val="24"/>
          <w:szCs w:val="24"/>
        </w:rPr>
        <w:t>povezivosti</w:t>
      </w:r>
      <w:proofErr w:type="spellEnd"/>
      <w:r w:rsidRPr="0086332C">
        <w:rPr>
          <w:sz w:val="24"/>
          <w:szCs w:val="24"/>
        </w:rPr>
        <w:t xml:space="preserve"> i podatkovne centre</w:t>
      </w:r>
      <w:r>
        <w:rPr>
          <w:sz w:val="24"/>
          <w:szCs w:val="24"/>
        </w:rPr>
        <w:t>, što</w:t>
      </w:r>
      <w:r w:rsidRPr="0086332C">
        <w:rPr>
          <w:sz w:val="24"/>
          <w:szCs w:val="24"/>
        </w:rPr>
        <w:t xml:space="preserve"> je iznad prosjeka EU-a od </w:t>
      </w:r>
      <w:r w:rsidRPr="0004221B">
        <w:rPr>
          <w:sz w:val="24"/>
          <w:szCs w:val="24"/>
        </w:rPr>
        <w:t>84%</w:t>
      </w:r>
      <w:r w:rsidRPr="0086332C">
        <w:rPr>
          <w:sz w:val="24"/>
          <w:szCs w:val="24"/>
        </w:rPr>
        <w:t>.</w:t>
      </w:r>
      <w:r w:rsidRPr="0004221B">
        <w:rPr>
          <w:sz w:val="24"/>
          <w:szCs w:val="24"/>
        </w:rPr>
        <w:t xml:space="preserve"> Prema </w:t>
      </w:r>
      <w:proofErr w:type="spellStart"/>
      <w:r>
        <w:rPr>
          <w:sz w:val="24"/>
          <w:szCs w:val="24"/>
        </w:rPr>
        <w:t>Eurobarometru</w:t>
      </w:r>
      <w:proofErr w:type="spellEnd"/>
      <w:r>
        <w:rPr>
          <w:sz w:val="24"/>
          <w:szCs w:val="24"/>
        </w:rPr>
        <w:t xml:space="preserve">, ocjenjuje se kako je </w:t>
      </w:r>
      <w:r w:rsidRPr="0004221B">
        <w:rPr>
          <w:sz w:val="24"/>
          <w:szCs w:val="24"/>
        </w:rPr>
        <w:t xml:space="preserve">Hrvatska ostvarila značajan napredak u strateškim tehnološkim sektorima, ali se i dalje suočava s izazovima u širokom prihvaćanju naprednih digitalnih tehnologija. </w:t>
      </w:r>
      <w:r w:rsidRPr="00E64C8D">
        <w:rPr>
          <w:sz w:val="24"/>
          <w:szCs w:val="24"/>
        </w:rPr>
        <w:t xml:space="preserve">Hrvatska također pokazuje značajnu razinu ambicije u svom doprinosu </w:t>
      </w:r>
      <w:r w:rsidRPr="0004221B">
        <w:rPr>
          <w:sz w:val="24"/>
          <w:szCs w:val="24"/>
        </w:rPr>
        <w:t>Digitalnom desetljeću</w:t>
      </w:r>
      <w:r w:rsidRPr="00E64C8D">
        <w:rPr>
          <w:sz w:val="24"/>
          <w:szCs w:val="24"/>
        </w:rPr>
        <w:t xml:space="preserve">, postavivši </w:t>
      </w:r>
      <w:r w:rsidRPr="0004221B">
        <w:rPr>
          <w:sz w:val="24"/>
          <w:szCs w:val="24"/>
        </w:rPr>
        <w:t>13 nacionalnih ciljeva</w:t>
      </w:r>
      <w:r w:rsidRPr="00E64C8D">
        <w:rPr>
          <w:sz w:val="24"/>
          <w:szCs w:val="24"/>
        </w:rPr>
        <w:t xml:space="preserve">, od kojih je </w:t>
      </w:r>
      <w:r w:rsidRPr="0004221B">
        <w:rPr>
          <w:sz w:val="24"/>
          <w:szCs w:val="24"/>
        </w:rPr>
        <w:t>77%</w:t>
      </w:r>
      <w:r w:rsidRPr="00E64C8D">
        <w:rPr>
          <w:sz w:val="24"/>
          <w:szCs w:val="24"/>
        </w:rPr>
        <w:t xml:space="preserve"> dobro usklađeno s ciljevima EU-a za 2030.</w:t>
      </w:r>
      <w:r>
        <w:rPr>
          <w:sz w:val="24"/>
          <w:szCs w:val="24"/>
        </w:rPr>
        <w:t xml:space="preserve"> </w:t>
      </w:r>
    </w:p>
    <w:p w14:paraId="3275A713" w14:textId="77777777" w:rsidR="00FB178A" w:rsidRDefault="00FB178A" w:rsidP="00FB178A">
      <w:pPr>
        <w:spacing w:after="240" w:line="276" w:lineRule="auto"/>
        <w:jc w:val="both"/>
        <w:rPr>
          <w:sz w:val="24"/>
          <w:szCs w:val="24"/>
        </w:rPr>
      </w:pPr>
      <w:r w:rsidRPr="0004221B">
        <w:rPr>
          <w:sz w:val="24"/>
          <w:szCs w:val="24"/>
        </w:rPr>
        <w:t xml:space="preserve">Kako bi se pojednostavnila interakcija građana s javnim službama te potaknuo daljnji razvoj javnih e-usluga, pokrenuta je uspostava Središnjeg registra stanovništva. </w:t>
      </w:r>
      <w:r>
        <w:rPr>
          <w:sz w:val="24"/>
          <w:szCs w:val="24"/>
        </w:rPr>
        <w:t>A</w:t>
      </w:r>
      <w:r w:rsidRPr="00F4259E">
        <w:rPr>
          <w:sz w:val="24"/>
          <w:szCs w:val="24"/>
        </w:rPr>
        <w:t xml:space="preserve">ktivnosti na izradi Zakona o Središnjem registru stanovništva </w:t>
      </w:r>
      <w:r>
        <w:rPr>
          <w:sz w:val="24"/>
          <w:szCs w:val="24"/>
        </w:rPr>
        <w:t>su pokrenute t</w:t>
      </w:r>
      <w:r w:rsidRPr="00763BF3">
        <w:rPr>
          <w:sz w:val="24"/>
          <w:szCs w:val="24"/>
        </w:rPr>
        <w:t xml:space="preserve">ijekom 2023. </w:t>
      </w:r>
      <w:r>
        <w:rPr>
          <w:sz w:val="24"/>
          <w:szCs w:val="24"/>
        </w:rPr>
        <w:t>a z</w:t>
      </w:r>
      <w:r w:rsidRPr="00763BF3">
        <w:rPr>
          <w:sz w:val="24"/>
          <w:szCs w:val="24"/>
        </w:rPr>
        <w:t>avršetak rada</w:t>
      </w:r>
      <w:r>
        <w:rPr>
          <w:sz w:val="24"/>
          <w:szCs w:val="24"/>
        </w:rPr>
        <w:t xml:space="preserve"> i pristup</w:t>
      </w:r>
      <w:r w:rsidRPr="00763BF3">
        <w:rPr>
          <w:sz w:val="24"/>
          <w:szCs w:val="24"/>
        </w:rPr>
        <w:t xml:space="preserve"> za korisnike </w:t>
      </w:r>
      <w:r>
        <w:rPr>
          <w:sz w:val="24"/>
          <w:szCs w:val="24"/>
        </w:rPr>
        <w:t xml:space="preserve">se </w:t>
      </w:r>
      <w:r w:rsidRPr="00763BF3">
        <w:rPr>
          <w:sz w:val="24"/>
          <w:szCs w:val="24"/>
        </w:rPr>
        <w:t xml:space="preserve">očekuje u lipnju 2026. </w:t>
      </w:r>
      <w:r w:rsidRPr="0004221B">
        <w:rPr>
          <w:sz w:val="24"/>
          <w:szCs w:val="24"/>
        </w:rPr>
        <w:t>Uspostava registra predstavlja ključni korak u digitalizaciji javne uprave</w:t>
      </w:r>
      <w:r>
        <w:rPr>
          <w:sz w:val="24"/>
          <w:szCs w:val="24"/>
        </w:rPr>
        <w:t>. U okviru registra bit će objedinjeni</w:t>
      </w:r>
      <w:r w:rsidRPr="0004221B">
        <w:rPr>
          <w:sz w:val="24"/>
          <w:szCs w:val="24"/>
        </w:rPr>
        <w:t xml:space="preserve"> svi ključni podaci o građanima</w:t>
      </w:r>
      <w:r>
        <w:rPr>
          <w:sz w:val="24"/>
          <w:szCs w:val="24"/>
        </w:rPr>
        <w:t xml:space="preserve"> ma jednom mjestu. </w:t>
      </w:r>
      <w:r w:rsidRPr="0029361D">
        <w:rPr>
          <w:sz w:val="24"/>
          <w:szCs w:val="24"/>
        </w:rPr>
        <w:t xml:space="preserve">Registar će </w:t>
      </w:r>
      <w:r w:rsidRPr="006D00C2">
        <w:rPr>
          <w:sz w:val="24"/>
          <w:szCs w:val="24"/>
        </w:rPr>
        <w:t>voditi Ministarstvo financija putem Porezne uprave</w:t>
      </w:r>
      <w:r>
        <w:rPr>
          <w:sz w:val="24"/>
          <w:szCs w:val="24"/>
        </w:rPr>
        <w:t>,</w:t>
      </w:r>
      <w:r w:rsidRPr="006D00C2">
        <w:rPr>
          <w:sz w:val="24"/>
          <w:szCs w:val="24"/>
        </w:rPr>
        <w:t xml:space="preserve"> </w:t>
      </w:r>
      <w:r>
        <w:rPr>
          <w:sz w:val="24"/>
          <w:szCs w:val="24"/>
        </w:rPr>
        <w:t xml:space="preserve">a </w:t>
      </w:r>
      <w:r w:rsidRPr="0029361D">
        <w:rPr>
          <w:sz w:val="24"/>
          <w:szCs w:val="24"/>
        </w:rPr>
        <w:t xml:space="preserve">omogućiti </w:t>
      </w:r>
      <w:r>
        <w:rPr>
          <w:sz w:val="24"/>
          <w:szCs w:val="24"/>
        </w:rPr>
        <w:t xml:space="preserve">će </w:t>
      </w:r>
      <w:r w:rsidRPr="0029361D">
        <w:rPr>
          <w:sz w:val="24"/>
          <w:szCs w:val="24"/>
        </w:rPr>
        <w:t>pouzdan i ažuran izračun dohotka po članu kućanstva. Također, administrativno će rasteretiti građane u postupcima ostvarivanja različitih prava i korištenja javnih usluga. Građanima će biti omogućeno i praćenje i uvid u osobne podatke na jednom mjestu.</w:t>
      </w:r>
    </w:p>
    <w:p w14:paraId="66974B28" w14:textId="77777777" w:rsidR="00FB178A" w:rsidRDefault="00FB178A" w:rsidP="00FB178A">
      <w:pPr>
        <w:spacing w:after="240" w:line="276" w:lineRule="auto"/>
        <w:jc w:val="both"/>
        <w:rPr>
          <w:sz w:val="24"/>
          <w:szCs w:val="24"/>
        </w:rPr>
      </w:pPr>
      <w:r>
        <w:rPr>
          <w:sz w:val="24"/>
          <w:szCs w:val="24"/>
        </w:rPr>
        <w:lastRenderedPageBreak/>
        <w:t>Nastav</w:t>
      </w:r>
      <w:r w:rsidRPr="00D40290">
        <w:rPr>
          <w:sz w:val="24"/>
          <w:szCs w:val="24"/>
        </w:rPr>
        <w:t xml:space="preserve">ljeno je širenje digitalnih javnih usluga na portalu e-Građani, uz devet novih usluga koje dodatno olakšavaju pristup </w:t>
      </w:r>
      <w:r>
        <w:rPr>
          <w:sz w:val="24"/>
          <w:szCs w:val="24"/>
        </w:rPr>
        <w:t xml:space="preserve">korisnika </w:t>
      </w:r>
      <w:r w:rsidRPr="00D40290">
        <w:rPr>
          <w:sz w:val="24"/>
          <w:szCs w:val="24"/>
        </w:rPr>
        <w:t xml:space="preserve">administrativnim postupcima te doprinose pojednostavljenju i većoj transparentnosti rada javne uprave. </w:t>
      </w:r>
      <w:r w:rsidRPr="00572AAE">
        <w:rPr>
          <w:sz w:val="24"/>
          <w:szCs w:val="24"/>
        </w:rPr>
        <w:t xml:space="preserve">Na dan 31. prosinca 2024. građanima i poduzetnicima </w:t>
      </w:r>
      <w:r>
        <w:rPr>
          <w:sz w:val="24"/>
          <w:szCs w:val="24"/>
        </w:rPr>
        <w:t xml:space="preserve">je </w:t>
      </w:r>
      <w:r w:rsidRPr="00572AAE">
        <w:rPr>
          <w:sz w:val="24"/>
          <w:szCs w:val="24"/>
        </w:rPr>
        <w:t xml:space="preserve">na raspolaganju putem portala e-Građani </w:t>
      </w:r>
      <w:r>
        <w:rPr>
          <w:sz w:val="24"/>
          <w:szCs w:val="24"/>
        </w:rPr>
        <w:t xml:space="preserve">bilo </w:t>
      </w:r>
      <w:r w:rsidRPr="00572AAE">
        <w:rPr>
          <w:sz w:val="24"/>
          <w:szCs w:val="24"/>
        </w:rPr>
        <w:t xml:space="preserve">ukupno 108 javnih e-usluge na jednom mjestu. </w:t>
      </w:r>
      <w:r>
        <w:rPr>
          <w:sz w:val="24"/>
          <w:szCs w:val="24"/>
        </w:rPr>
        <w:t>Nove usluge korisnicima omogućuju</w:t>
      </w:r>
      <w:r w:rsidRPr="00D40290">
        <w:rPr>
          <w:sz w:val="24"/>
          <w:szCs w:val="24"/>
        </w:rPr>
        <w:t xml:space="preserve"> </w:t>
      </w:r>
      <w:r>
        <w:rPr>
          <w:sz w:val="24"/>
          <w:szCs w:val="24"/>
        </w:rPr>
        <w:t>niz pojednostavljenja,</w:t>
      </w:r>
      <w:r w:rsidRPr="00D40290">
        <w:rPr>
          <w:sz w:val="24"/>
          <w:szCs w:val="24"/>
        </w:rPr>
        <w:t xml:space="preserve"> </w:t>
      </w:r>
      <w:r w:rsidRPr="00B40B30">
        <w:rPr>
          <w:sz w:val="24"/>
          <w:szCs w:val="24"/>
        </w:rPr>
        <w:t xml:space="preserve">od </w:t>
      </w:r>
      <w:r>
        <w:rPr>
          <w:sz w:val="24"/>
          <w:szCs w:val="24"/>
        </w:rPr>
        <w:t xml:space="preserve">podnošenja </w:t>
      </w:r>
      <w:r w:rsidRPr="00B40B30">
        <w:rPr>
          <w:sz w:val="24"/>
          <w:szCs w:val="24"/>
        </w:rPr>
        <w:t xml:space="preserve">zahtjeva za privremeno uzdržavanje djeteta, </w:t>
      </w:r>
      <w:r>
        <w:rPr>
          <w:sz w:val="24"/>
          <w:szCs w:val="24"/>
        </w:rPr>
        <w:t xml:space="preserve">izdavanja </w:t>
      </w:r>
      <w:r w:rsidRPr="00B40B30">
        <w:rPr>
          <w:sz w:val="24"/>
          <w:szCs w:val="24"/>
        </w:rPr>
        <w:t>potvrda o roditeljskoj skrbi, prijave za posao u policiji, uvida u zdravstvene usluge (e</w:t>
      </w:r>
      <w:r>
        <w:rPr>
          <w:sz w:val="24"/>
          <w:szCs w:val="24"/>
        </w:rPr>
        <w:t>-</w:t>
      </w:r>
      <w:r w:rsidRPr="00B40B30">
        <w:rPr>
          <w:sz w:val="24"/>
          <w:szCs w:val="24"/>
        </w:rPr>
        <w:t>HZZO) i</w:t>
      </w:r>
      <w:r>
        <w:rPr>
          <w:sz w:val="24"/>
          <w:szCs w:val="24"/>
        </w:rPr>
        <w:t xml:space="preserve"> uvid u</w:t>
      </w:r>
      <w:r w:rsidRPr="00B40B30">
        <w:rPr>
          <w:sz w:val="24"/>
          <w:szCs w:val="24"/>
        </w:rPr>
        <w:t xml:space="preserve"> mirovinska prava, do centraliziranog zapošljavanja u javnom sektoru i e-akreditacija za poduzetnike. Dodatno su uvedene usluge e-Konzervatorska lokacijska informacija i MOSI za osobe s invaliditetom, </w:t>
      </w:r>
      <w:r>
        <w:rPr>
          <w:sz w:val="24"/>
          <w:szCs w:val="24"/>
        </w:rPr>
        <w:t xml:space="preserve">za </w:t>
      </w:r>
      <w:r w:rsidRPr="00B40B30">
        <w:rPr>
          <w:sz w:val="24"/>
          <w:szCs w:val="24"/>
        </w:rPr>
        <w:t>ostvarivanje posebnih prava te općenito korištenje javnih usluga bez papirologije</w:t>
      </w:r>
      <w:r>
        <w:rPr>
          <w:sz w:val="24"/>
          <w:szCs w:val="24"/>
        </w:rPr>
        <w:t xml:space="preserve">. </w:t>
      </w:r>
      <w:r w:rsidRPr="002D15F4">
        <w:rPr>
          <w:sz w:val="24"/>
          <w:szCs w:val="24"/>
        </w:rPr>
        <w:t xml:space="preserve">Tijekom 2024. javne e-usluge putem portala e-Građani, koristilo je ukupno 2.038.699 građana, uz zabilježeni porast od 8,35% korisnika u odnosu na </w:t>
      </w:r>
      <w:r>
        <w:rPr>
          <w:sz w:val="24"/>
          <w:szCs w:val="24"/>
        </w:rPr>
        <w:t>prethodnu godinu</w:t>
      </w:r>
      <w:r w:rsidRPr="002D15F4">
        <w:rPr>
          <w:sz w:val="24"/>
          <w:szCs w:val="24"/>
        </w:rPr>
        <w:t xml:space="preserve">. </w:t>
      </w:r>
      <w:r>
        <w:rPr>
          <w:sz w:val="24"/>
          <w:szCs w:val="24"/>
        </w:rPr>
        <w:t>Omogućavanjem novih</w:t>
      </w:r>
      <w:r w:rsidRPr="00D40290">
        <w:rPr>
          <w:sz w:val="24"/>
          <w:szCs w:val="24"/>
        </w:rPr>
        <w:t xml:space="preserve"> usluga </w:t>
      </w:r>
      <w:r>
        <w:rPr>
          <w:sz w:val="24"/>
          <w:szCs w:val="24"/>
        </w:rPr>
        <w:t>poduzima se</w:t>
      </w:r>
      <w:r w:rsidRPr="00D40290">
        <w:rPr>
          <w:sz w:val="24"/>
          <w:szCs w:val="24"/>
        </w:rPr>
        <w:t xml:space="preserve"> značajan iskorak prema povećanju</w:t>
      </w:r>
      <w:r>
        <w:rPr>
          <w:sz w:val="24"/>
          <w:szCs w:val="24"/>
        </w:rPr>
        <w:t xml:space="preserve"> učinkovitosti,</w:t>
      </w:r>
      <w:r w:rsidRPr="00D40290">
        <w:rPr>
          <w:sz w:val="24"/>
          <w:szCs w:val="24"/>
        </w:rPr>
        <w:t xml:space="preserve"> dostupnosti i kvalitete digitalnih javnih usluga te </w:t>
      </w:r>
      <w:r>
        <w:rPr>
          <w:sz w:val="24"/>
          <w:szCs w:val="24"/>
        </w:rPr>
        <w:t xml:space="preserve">istovremeno osigurava </w:t>
      </w:r>
      <w:r w:rsidRPr="00D40290">
        <w:rPr>
          <w:sz w:val="24"/>
          <w:szCs w:val="24"/>
        </w:rPr>
        <w:t>daljnj</w:t>
      </w:r>
      <w:r>
        <w:rPr>
          <w:sz w:val="24"/>
          <w:szCs w:val="24"/>
        </w:rPr>
        <w:t xml:space="preserve">i doprinos </w:t>
      </w:r>
      <w:r w:rsidRPr="00D40290">
        <w:rPr>
          <w:sz w:val="24"/>
          <w:szCs w:val="24"/>
        </w:rPr>
        <w:t>provedbi ciljeva EU Digitalnog desetljeća.</w:t>
      </w:r>
    </w:p>
    <w:p w14:paraId="552B33C4" w14:textId="77777777" w:rsidR="00FB178A" w:rsidRPr="00246738" w:rsidRDefault="00FB178A" w:rsidP="00FB178A">
      <w:pPr>
        <w:spacing w:after="240" w:line="276" w:lineRule="auto"/>
        <w:jc w:val="both"/>
        <w:rPr>
          <w:sz w:val="24"/>
          <w:szCs w:val="24"/>
        </w:rPr>
      </w:pPr>
      <w:r w:rsidRPr="00842D5F">
        <w:rPr>
          <w:sz w:val="24"/>
          <w:szCs w:val="24"/>
        </w:rPr>
        <w:t>U okviru digitalizacije procesa upravljanja i praćenja provedbe EU projekata tijekom 2024. godine nastavljen je razvoj i nadogradnja Platforme Fondovi EU</w:t>
      </w:r>
      <w:r>
        <w:rPr>
          <w:sz w:val="24"/>
          <w:szCs w:val="24"/>
        </w:rPr>
        <w:t>. Platforma</w:t>
      </w:r>
      <w:r w:rsidRPr="00842D5F">
        <w:rPr>
          <w:sz w:val="24"/>
          <w:szCs w:val="24"/>
        </w:rPr>
        <w:t xml:space="preserve"> objedinjuje četiri ključne komponente e-Koheziju, fondovi</w:t>
      </w:r>
      <w:r>
        <w:rPr>
          <w:sz w:val="24"/>
          <w:szCs w:val="24"/>
        </w:rPr>
        <w:t xml:space="preserve"> </w:t>
      </w:r>
      <w:r w:rsidRPr="00842D5F">
        <w:rPr>
          <w:sz w:val="24"/>
          <w:szCs w:val="24"/>
        </w:rPr>
        <w:t>EU (NPOO), e-Fondovi i e-FZOEU</w:t>
      </w:r>
      <w:r>
        <w:rPr>
          <w:sz w:val="24"/>
          <w:szCs w:val="24"/>
        </w:rPr>
        <w:t>, a</w:t>
      </w:r>
      <w:r w:rsidRPr="00842D5F">
        <w:rPr>
          <w:sz w:val="24"/>
          <w:szCs w:val="24"/>
        </w:rPr>
        <w:t xml:space="preserve"> korisnicima omogućuje jedinstvenu elektroničku prijavu i obradu projektnih prijedloga za sva relevantna programska razdoblja i financijske instrumente. Tijekom </w:t>
      </w:r>
      <w:r>
        <w:rPr>
          <w:sz w:val="24"/>
          <w:szCs w:val="24"/>
        </w:rPr>
        <w:t>2024.</w:t>
      </w:r>
      <w:r w:rsidRPr="00842D5F">
        <w:rPr>
          <w:sz w:val="24"/>
          <w:szCs w:val="24"/>
        </w:rPr>
        <w:t xml:space="preserve"> dovršene su sve planirane aktivnosti iz </w:t>
      </w:r>
      <w:r>
        <w:rPr>
          <w:sz w:val="24"/>
          <w:szCs w:val="24"/>
        </w:rPr>
        <w:t xml:space="preserve">1. </w:t>
      </w:r>
      <w:r w:rsidRPr="00842D5F">
        <w:rPr>
          <w:sz w:val="24"/>
          <w:szCs w:val="24"/>
        </w:rPr>
        <w:t>Faze nadogradnje</w:t>
      </w:r>
      <w:r>
        <w:rPr>
          <w:sz w:val="24"/>
          <w:szCs w:val="24"/>
        </w:rPr>
        <w:t xml:space="preserve"> (</w:t>
      </w:r>
      <w:r w:rsidRPr="00842D5F">
        <w:rPr>
          <w:sz w:val="24"/>
          <w:szCs w:val="24"/>
        </w:rPr>
        <w:t xml:space="preserve">NPOO-a i </w:t>
      </w:r>
      <w:r>
        <w:rPr>
          <w:sz w:val="24"/>
          <w:szCs w:val="24"/>
        </w:rPr>
        <w:t>e-K</w:t>
      </w:r>
      <w:r w:rsidRPr="00842D5F">
        <w:rPr>
          <w:sz w:val="24"/>
          <w:szCs w:val="24"/>
        </w:rPr>
        <w:t>ohezijskih</w:t>
      </w:r>
      <w:r>
        <w:rPr>
          <w:sz w:val="24"/>
          <w:szCs w:val="24"/>
        </w:rPr>
        <w:t>),</w:t>
      </w:r>
      <w:r w:rsidRPr="00842D5F">
        <w:rPr>
          <w:sz w:val="24"/>
          <w:szCs w:val="24"/>
        </w:rPr>
        <w:t xml:space="preserve"> a potpisani su </w:t>
      </w:r>
      <w:r>
        <w:rPr>
          <w:sz w:val="24"/>
          <w:szCs w:val="24"/>
        </w:rPr>
        <w:t xml:space="preserve">i </w:t>
      </w:r>
      <w:r w:rsidRPr="00842D5F">
        <w:rPr>
          <w:sz w:val="24"/>
          <w:szCs w:val="24"/>
        </w:rPr>
        <w:t xml:space="preserve">novi ugovori za nastavak </w:t>
      </w:r>
      <w:r>
        <w:rPr>
          <w:sz w:val="24"/>
          <w:szCs w:val="24"/>
        </w:rPr>
        <w:t xml:space="preserve">2. </w:t>
      </w:r>
      <w:r w:rsidRPr="00842D5F">
        <w:rPr>
          <w:sz w:val="24"/>
          <w:szCs w:val="24"/>
        </w:rPr>
        <w:t xml:space="preserve">Faze. </w:t>
      </w:r>
      <w:r>
        <w:rPr>
          <w:sz w:val="24"/>
          <w:szCs w:val="24"/>
        </w:rPr>
        <w:t>Istovremeno</w:t>
      </w:r>
      <w:r w:rsidRPr="00842D5F">
        <w:rPr>
          <w:sz w:val="24"/>
          <w:szCs w:val="24"/>
        </w:rPr>
        <w:t xml:space="preserve">, u </w:t>
      </w:r>
      <w:r>
        <w:rPr>
          <w:sz w:val="24"/>
          <w:szCs w:val="24"/>
        </w:rPr>
        <w:t>okviru</w:t>
      </w:r>
      <w:r w:rsidRPr="00842D5F">
        <w:rPr>
          <w:sz w:val="24"/>
          <w:szCs w:val="24"/>
        </w:rPr>
        <w:t xml:space="preserve"> unaprjeđenja digitalnog sustava javne uprave, nastavljene su aktivnosti na razvoju i održavanju Sustava za naplatu javnih davanja putem platnih kartica (SNJD) i Sustava e-Pristojbe (</w:t>
      </w:r>
      <w:proofErr w:type="spellStart"/>
      <w:r w:rsidRPr="00842D5F">
        <w:rPr>
          <w:sz w:val="24"/>
          <w:szCs w:val="24"/>
        </w:rPr>
        <w:t>SeP</w:t>
      </w:r>
      <w:proofErr w:type="spellEnd"/>
      <w:r w:rsidRPr="00842D5F">
        <w:rPr>
          <w:sz w:val="24"/>
          <w:szCs w:val="24"/>
        </w:rPr>
        <w:t>) kao dvaju integriranih sustava koji građanima i poslovnim korisnicima omogućuju bezgotovinsko plaćanje pristojbi, kazni i drugih javnih davanja. Provedene su aktivnosti redovitog održavanja, operativnog vođenja i tehničkog unaprjeđenja funkcionalnosti, uz poseban naglasak na proširenje obuhvata usluga kroz uključivanje novih tijela i institucija, povećanje broja integriranih POS uređaja te rast ukupnog broja transakcija, čime se dodatno povećava dostupnost i učinkovitost javnih usluga.</w:t>
      </w:r>
    </w:p>
    <w:p w14:paraId="756DD82B" w14:textId="77777777" w:rsidR="00FB178A" w:rsidRDefault="00FB178A" w:rsidP="00FB178A">
      <w:pPr>
        <w:spacing w:after="240" w:line="276" w:lineRule="auto"/>
        <w:jc w:val="both"/>
        <w:rPr>
          <w:sz w:val="24"/>
          <w:szCs w:val="24"/>
        </w:rPr>
      </w:pPr>
      <w:r w:rsidRPr="0004221B">
        <w:rPr>
          <w:sz w:val="24"/>
          <w:szCs w:val="24"/>
        </w:rPr>
        <w:t xml:space="preserve">Tijekom 2024. u Hrvatskoj </w:t>
      </w:r>
      <w:r>
        <w:rPr>
          <w:sz w:val="24"/>
          <w:szCs w:val="24"/>
        </w:rPr>
        <w:t xml:space="preserve">je </w:t>
      </w:r>
      <w:r w:rsidRPr="0004221B">
        <w:rPr>
          <w:sz w:val="24"/>
          <w:szCs w:val="24"/>
        </w:rPr>
        <w:t xml:space="preserve">provedeno niz aktivnosti usmjerenih na jačanje nacionalnog okvira </w:t>
      </w:r>
      <w:proofErr w:type="spellStart"/>
      <w:r w:rsidRPr="0004221B">
        <w:rPr>
          <w:sz w:val="24"/>
          <w:szCs w:val="24"/>
        </w:rPr>
        <w:t>kibernetičke</w:t>
      </w:r>
      <w:proofErr w:type="spellEnd"/>
      <w:r w:rsidRPr="0004221B">
        <w:rPr>
          <w:sz w:val="24"/>
          <w:szCs w:val="24"/>
        </w:rPr>
        <w:t xml:space="preserve"> sigurnosti</w:t>
      </w:r>
      <w:r>
        <w:rPr>
          <w:sz w:val="24"/>
          <w:szCs w:val="24"/>
        </w:rPr>
        <w:t xml:space="preserve">. U pravnom okviru izrađeni su </w:t>
      </w:r>
      <w:r w:rsidRPr="0004221B">
        <w:rPr>
          <w:sz w:val="24"/>
          <w:szCs w:val="24"/>
        </w:rPr>
        <w:t xml:space="preserve">Zakon o </w:t>
      </w:r>
      <w:proofErr w:type="spellStart"/>
      <w:r w:rsidRPr="0004221B">
        <w:rPr>
          <w:sz w:val="24"/>
          <w:szCs w:val="24"/>
        </w:rPr>
        <w:t>kibernetičkoj</w:t>
      </w:r>
      <w:proofErr w:type="spellEnd"/>
      <w:r w:rsidRPr="0004221B">
        <w:rPr>
          <w:sz w:val="24"/>
          <w:szCs w:val="24"/>
        </w:rPr>
        <w:t xml:space="preserve"> sigurnosti i Zakon o upravljanju kritičnom infrastrukturom, </w:t>
      </w:r>
      <w:r w:rsidRPr="00F40D97">
        <w:rPr>
          <w:sz w:val="24"/>
          <w:szCs w:val="24"/>
        </w:rPr>
        <w:t xml:space="preserve">dok su pripremljeni i prijedlozi </w:t>
      </w:r>
      <w:proofErr w:type="spellStart"/>
      <w:r w:rsidRPr="00F40D97">
        <w:rPr>
          <w:sz w:val="24"/>
          <w:szCs w:val="24"/>
        </w:rPr>
        <w:t>podzakonskih</w:t>
      </w:r>
      <w:proofErr w:type="spellEnd"/>
      <w:r w:rsidRPr="00F40D97">
        <w:rPr>
          <w:sz w:val="24"/>
          <w:szCs w:val="24"/>
        </w:rPr>
        <w:t xml:space="preserve"> akata kojima se definiraju obveze nadležnih tijela i subjekata.</w:t>
      </w:r>
      <w:r>
        <w:rPr>
          <w:sz w:val="24"/>
          <w:szCs w:val="24"/>
        </w:rPr>
        <w:t xml:space="preserve"> P</w:t>
      </w:r>
      <w:r w:rsidRPr="0004221B">
        <w:rPr>
          <w:sz w:val="24"/>
          <w:szCs w:val="24"/>
        </w:rPr>
        <w:t xml:space="preserve">aralelno </w:t>
      </w:r>
      <w:r>
        <w:rPr>
          <w:sz w:val="24"/>
          <w:szCs w:val="24"/>
        </w:rPr>
        <w:t>s tim,</w:t>
      </w:r>
      <w:r w:rsidRPr="0004221B">
        <w:rPr>
          <w:sz w:val="24"/>
          <w:szCs w:val="24"/>
        </w:rPr>
        <w:t xml:space="preserve"> </w:t>
      </w:r>
      <w:r w:rsidRPr="001728B8">
        <w:rPr>
          <w:sz w:val="24"/>
          <w:szCs w:val="24"/>
        </w:rPr>
        <w:t xml:space="preserve">u suradnji s drugim relevantnim </w:t>
      </w:r>
      <w:r w:rsidRPr="0004221B">
        <w:rPr>
          <w:sz w:val="24"/>
          <w:szCs w:val="24"/>
        </w:rPr>
        <w:t>izrađen</w:t>
      </w:r>
      <w:r>
        <w:rPr>
          <w:sz w:val="24"/>
          <w:szCs w:val="24"/>
        </w:rPr>
        <w:t xml:space="preserve"> je</w:t>
      </w:r>
      <w:r w:rsidRPr="0004221B">
        <w:rPr>
          <w:sz w:val="24"/>
          <w:szCs w:val="24"/>
        </w:rPr>
        <w:t xml:space="preserve"> nacrt Nacionalnog programa upravljanja </w:t>
      </w:r>
      <w:proofErr w:type="spellStart"/>
      <w:r w:rsidRPr="0004221B">
        <w:rPr>
          <w:sz w:val="24"/>
          <w:szCs w:val="24"/>
        </w:rPr>
        <w:t>kibernetičkim</w:t>
      </w:r>
      <w:proofErr w:type="spellEnd"/>
      <w:r w:rsidRPr="0004221B">
        <w:rPr>
          <w:sz w:val="24"/>
          <w:szCs w:val="24"/>
        </w:rPr>
        <w:t xml:space="preserve"> krizama</w:t>
      </w:r>
      <w:r>
        <w:rPr>
          <w:sz w:val="24"/>
          <w:szCs w:val="24"/>
        </w:rPr>
        <w:t xml:space="preserve">. </w:t>
      </w:r>
      <w:r w:rsidRPr="0004221B">
        <w:rPr>
          <w:sz w:val="24"/>
          <w:szCs w:val="24"/>
        </w:rPr>
        <w:t>U okviru Akcijskog plana za suzbijanje seksualnog nasilja i seksualnog uznemiravanja 2025.</w:t>
      </w:r>
      <w:r>
        <w:rPr>
          <w:sz w:val="24"/>
          <w:szCs w:val="24"/>
        </w:rPr>
        <w:t>-</w:t>
      </w:r>
      <w:r w:rsidRPr="0004221B">
        <w:rPr>
          <w:sz w:val="24"/>
          <w:szCs w:val="24"/>
        </w:rPr>
        <w:t xml:space="preserve">2027., u suradnji s Državnom školom za javnu upravu razvijena je mjera usmjerena na jačanje svijesti i znanja o </w:t>
      </w:r>
      <w:proofErr w:type="spellStart"/>
      <w:r w:rsidRPr="0004221B">
        <w:rPr>
          <w:sz w:val="24"/>
          <w:szCs w:val="24"/>
        </w:rPr>
        <w:t>kibernetičkoj</w:t>
      </w:r>
      <w:proofErr w:type="spellEnd"/>
      <w:r w:rsidRPr="0004221B">
        <w:rPr>
          <w:sz w:val="24"/>
          <w:szCs w:val="24"/>
        </w:rPr>
        <w:t xml:space="preserve"> sigurnosti kod državnih službenika.</w:t>
      </w:r>
      <w:r>
        <w:rPr>
          <w:sz w:val="24"/>
          <w:szCs w:val="24"/>
        </w:rPr>
        <w:t xml:space="preserve"> </w:t>
      </w:r>
      <w:r w:rsidRPr="0004221B">
        <w:rPr>
          <w:sz w:val="24"/>
          <w:szCs w:val="24"/>
        </w:rPr>
        <w:t>Na tehničkoj razini provedene su aktivnosti na unaprjeđenju sigurnosne infrastrukture Centra dijeljenih usluga</w:t>
      </w:r>
      <w:r>
        <w:rPr>
          <w:sz w:val="24"/>
          <w:szCs w:val="24"/>
        </w:rPr>
        <w:t xml:space="preserve"> (u daljnjem tekstu: CDU)</w:t>
      </w:r>
      <w:r w:rsidRPr="0004221B">
        <w:rPr>
          <w:sz w:val="24"/>
          <w:szCs w:val="24"/>
        </w:rPr>
        <w:t>, uključujući pripremu za certifikaciju prema normi ISO/IEC 27001 i implementaciju sustava za nadzor mrežnih aktivnosti.</w:t>
      </w:r>
    </w:p>
    <w:p w14:paraId="120ACE07" w14:textId="77777777" w:rsidR="00FB178A" w:rsidRDefault="00FB178A" w:rsidP="00FB178A">
      <w:pPr>
        <w:spacing w:after="240" w:line="276" w:lineRule="auto"/>
        <w:jc w:val="both"/>
        <w:rPr>
          <w:sz w:val="24"/>
          <w:szCs w:val="24"/>
        </w:rPr>
      </w:pPr>
      <w:r w:rsidRPr="00141F3D">
        <w:rPr>
          <w:sz w:val="24"/>
          <w:szCs w:val="24"/>
        </w:rPr>
        <w:lastRenderedPageBreak/>
        <w:t xml:space="preserve">U svrhu racionalizacije i ubrzanja digitalizacije usluga javne uprave tijekom 2024. godine nastavljena su ulaganja u državnu informacijsku infrastrukturu, uključujući unaprjeđenje sigurnosti računalno-komunikacijskih mreža, zajedničkih sustava i komponenti te poboljšanje postojećih i uspostavu novih zajedničkih servisa. </w:t>
      </w:r>
      <w:r>
        <w:rPr>
          <w:sz w:val="24"/>
          <w:szCs w:val="24"/>
        </w:rPr>
        <w:t>Nastavljen je r</w:t>
      </w:r>
      <w:r w:rsidRPr="00141F3D">
        <w:rPr>
          <w:sz w:val="24"/>
          <w:szCs w:val="24"/>
        </w:rPr>
        <w:t>azv</w:t>
      </w:r>
      <w:r>
        <w:rPr>
          <w:sz w:val="24"/>
          <w:szCs w:val="24"/>
        </w:rPr>
        <w:t>o</w:t>
      </w:r>
      <w:r w:rsidRPr="00141F3D">
        <w:rPr>
          <w:sz w:val="24"/>
          <w:szCs w:val="24"/>
        </w:rPr>
        <w:t>j i nadogra</w:t>
      </w:r>
      <w:r>
        <w:rPr>
          <w:sz w:val="24"/>
          <w:szCs w:val="24"/>
        </w:rPr>
        <w:t>dnja</w:t>
      </w:r>
      <w:r w:rsidRPr="00141F3D">
        <w:rPr>
          <w:sz w:val="24"/>
          <w:szCs w:val="24"/>
        </w:rPr>
        <w:t xml:space="preserve"> C</w:t>
      </w:r>
      <w:r>
        <w:rPr>
          <w:sz w:val="24"/>
          <w:szCs w:val="24"/>
        </w:rPr>
        <w:t>DU-a</w:t>
      </w:r>
      <w:r w:rsidRPr="00141F3D">
        <w:rPr>
          <w:sz w:val="24"/>
          <w:szCs w:val="24"/>
        </w:rPr>
        <w:t xml:space="preserve">, uz jačanje </w:t>
      </w:r>
      <w:proofErr w:type="spellStart"/>
      <w:r w:rsidRPr="00141F3D">
        <w:rPr>
          <w:sz w:val="24"/>
          <w:szCs w:val="24"/>
        </w:rPr>
        <w:t>interoperabilnosti</w:t>
      </w:r>
      <w:proofErr w:type="spellEnd"/>
      <w:r w:rsidRPr="00141F3D">
        <w:rPr>
          <w:sz w:val="24"/>
          <w:szCs w:val="24"/>
        </w:rPr>
        <w:t xml:space="preserve"> putem Središnje državne sabirnice i stavljanje u produkciju Portala Središnji sustav </w:t>
      </w:r>
      <w:proofErr w:type="spellStart"/>
      <w:r w:rsidRPr="00141F3D">
        <w:rPr>
          <w:sz w:val="24"/>
          <w:szCs w:val="24"/>
        </w:rPr>
        <w:t>interoperabilnosti</w:t>
      </w:r>
      <w:proofErr w:type="spellEnd"/>
      <w:r w:rsidRPr="00141F3D">
        <w:rPr>
          <w:sz w:val="24"/>
          <w:szCs w:val="24"/>
        </w:rPr>
        <w:t xml:space="preserve"> s integriranim Katalogom servisa. U </w:t>
      </w:r>
      <w:r>
        <w:rPr>
          <w:sz w:val="24"/>
          <w:szCs w:val="24"/>
        </w:rPr>
        <w:t>okviru</w:t>
      </w:r>
      <w:r w:rsidRPr="00141F3D">
        <w:rPr>
          <w:sz w:val="24"/>
          <w:szCs w:val="24"/>
        </w:rPr>
        <w:t xml:space="preserve"> podatkovne platforme CDU-a razvijaju se analitički projekti različitih institucija, pri čemu je dosad preneseno više od 1,6 milijardi redaka podataka. Nacionalni portal otvorenih podataka dodatno je dorađen novim funkcionalnostima, što je unaprijedilo korisničko iskustvo i pridonijelo poboljšanju dostupnosti podataka i dosljedne provedbe nacionalne politike otvorenih podataka.</w:t>
      </w:r>
    </w:p>
    <w:p w14:paraId="438EA54E" w14:textId="77777777" w:rsidR="00FB178A" w:rsidRPr="0004221B" w:rsidRDefault="00FB178A" w:rsidP="00FB178A">
      <w:pPr>
        <w:spacing w:after="240" w:line="276" w:lineRule="auto"/>
        <w:jc w:val="both"/>
        <w:rPr>
          <w:sz w:val="24"/>
          <w:szCs w:val="24"/>
        </w:rPr>
      </w:pPr>
      <w:r w:rsidRPr="005E4AE2">
        <w:rPr>
          <w:sz w:val="24"/>
          <w:szCs w:val="24"/>
        </w:rPr>
        <w:t>U okviru NPOO projekta „Unaprjeđenje sustava za upravljanje sudskim predmetima (</w:t>
      </w:r>
      <w:proofErr w:type="spellStart"/>
      <w:r w:rsidRPr="005E4AE2">
        <w:rPr>
          <w:sz w:val="24"/>
          <w:szCs w:val="24"/>
        </w:rPr>
        <w:t>eSpis</w:t>
      </w:r>
      <w:proofErr w:type="spellEnd"/>
      <w:r w:rsidRPr="005E4AE2">
        <w:rPr>
          <w:sz w:val="24"/>
          <w:szCs w:val="24"/>
        </w:rPr>
        <w:t xml:space="preserve">)“ tijekom 2024. ostvaren je napredak u modernizaciji pravosudnih informacijskih sustava </w:t>
      </w:r>
      <w:r>
        <w:rPr>
          <w:sz w:val="24"/>
          <w:szCs w:val="24"/>
        </w:rPr>
        <w:t>te</w:t>
      </w:r>
      <w:r w:rsidRPr="005E4AE2">
        <w:rPr>
          <w:sz w:val="24"/>
          <w:szCs w:val="24"/>
        </w:rPr>
        <w:t xml:space="preserve"> jačanju transparentnosti rada sudova. Proveden je tehnološki reinženjering sustava e-Komunikacija, uvedene su nove funkcionalnosti te je sustav povezan s uslugom e-Ovlaštenja i platform</w:t>
      </w:r>
      <w:r>
        <w:rPr>
          <w:sz w:val="24"/>
          <w:szCs w:val="24"/>
        </w:rPr>
        <w:t>om</w:t>
      </w:r>
      <w:r w:rsidRPr="005E4AE2">
        <w:rPr>
          <w:sz w:val="24"/>
          <w:szCs w:val="24"/>
        </w:rPr>
        <w:t xml:space="preserve"> e-Građani, čime je dodatno olakšan pristup pravosuđu građanima i pravnim osobama. Nadograđena je i e-usluga izdavanja „Uvjerenja da se ne vodi kazneni postupak s prekršajnim postupkom“, a u produkciju su pušteni virtualni asistenti za ključne usluge povezane s e</w:t>
      </w:r>
      <w:r>
        <w:rPr>
          <w:sz w:val="24"/>
          <w:szCs w:val="24"/>
        </w:rPr>
        <w:t>-</w:t>
      </w:r>
      <w:r w:rsidRPr="005E4AE2">
        <w:rPr>
          <w:sz w:val="24"/>
          <w:szCs w:val="24"/>
        </w:rPr>
        <w:t xml:space="preserve">Spisom (e-Komunikacija, e-Ovrhe, e-Oglasna ploča, e-Predmet i Registar nesolventnosti), koji korisnicima omogućuju brze odgovore na najčešća pitanja i praktično vođenje kroz korištenje usluga. Dodatno, u okviru NPOO-a razvijen je alat za javnu objavu i pretraživanje sudskih odluka, čime je dodatno ojačana javnost </w:t>
      </w:r>
      <w:r>
        <w:rPr>
          <w:sz w:val="24"/>
          <w:szCs w:val="24"/>
        </w:rPr>
        <w:t xml:space="preserve">i transparentnost </w:t>
      </w:r>
      <w:r w:rsidRPr="005E4AE2">
        <w:rPr>
          <w:sz w:val="24"/>
          <w:szCs w:val="24"/>
        </w:rPr>
        <w:t>rada sudova</w:t>
      </w:r>
      <w:r>
        <w:rPr>
          <w:sz w:val="24"/>
          <w:szCs w:val="24"/>
        </w:rPr>
        <w:t>.</w:t>
      </w:r>
    </w:p>
    <w:p w14:paraId="5268751B" w14:textId="77777777" w:rsidR="00FB178A" w:rsidRPr="0004221B" w:rsidRDefault="00FB178A" w:rsidP="00FB178A">
      <w:pPr>
        <w:spacing w:after="240" w:line="276" w:lineRule="auto"/>
        <w:ind w:firstLine="720"/>
        <w:jc w:val="both"/>
        <w:rPr>
          <w:b/>
          <w:sz w:val="24"/>
          <w:szCs w:val="24"/>
        </w:rPr>
      </w:pPr>
      <w:r w:rsidRPr="0004221B">
        <w:rPr>
          <w:b/>
          <w:sz w:val="24"/>
          <w:szCs w:val="24"/>
        </w:rPr>
        <w:t>Razvoj širokopojasnih  elektroničkih  komunikacijskih  mreža</w:t>
      </w:r>
    </w:p>
    <w:p w14:paraId="0C616980" w14:textId="77777777" w:rsidR="00FB178A" w:rsidRDefault="00FB178A" w:rsidP="00FB178A">
      <w:pPr>
        <w:spacing w:after="240" w:line="276" w:lineRule="auto"/>
        <w:ind w:firstLine="720"/>
        <w:jc w:val="both"/>
        <w:rPr>
          <w:sz w:val="24"/>
          <w:szCs w:val="24"/>
        </w:rPr>
      </w:pPr>
      <w:r w:rsidRPr="0004221B">
        <w:rPr>
          <w:sz w:val="24"/>
          <w:szCs w:val="24"/>
        </w:rPr>
        <w:t xml:space="preserve">Prema </w:t>
      </w:r>
      <w:r w:rsidRPr="0004221B">
        <w:t>Izvješća o stanju</w:t>
      </w:r>
      <w:r w:rsidRPr="0004221B">
        <w:rPr>
          <w:sz w:val="24"/>
          <w:szCs w:val="24"/>
        </w:rPr>
        <w:t xml:space="preserve"> digitalnog desetljeća</w:t>
      </w:r>
      <w:r>
        <w:rPr>
          <w:sz w:val="24"/>
          <w:szCs w:val="24"/>
        </w:rPr>
        <w:t>, H</w:t>
      </w:r>
      <w:r w:rsidRPr="0004221B">
        <w:rPr>
          <w:sz w:val="24"/>
          <w:szCs w:val="24"/>
        </w:rPr>
        <w:t xml:space="preserve">rvatska </w:t>
      </w:r>
      <w:r w:rsidRPr="00777182">
        <w:rPr>
          <w:sz w:val="24"/>
          <w:szCs w:val="24"/>
        </w:rPr>
        <w:t xml:space="preserve">u 2024. </w:t>
      </w:r>
      <w:r>
        <w:rPr>
          <w:sz w:val="24"/>
          <w:szCs w:val="24"/>
        </w:rPr>
        <w:t>bilježi</w:t>
      </w:r>
      <w:r w:rsidRPr="0004221B">
        <w:rPr>
          <w:sz w:val="24"/>
          <w:szCs w:val="24"/>
        </w:rPr>
        <w:t xml:space="preserve"> </w:t>
      </w:r>
      <w:r>
        <w:rPr>
          <w:sz w:val="24"/>
          <w:szCs w:val="24"/>
        </w:rPr>
        <w:t>dobar</w:t>
      </w:r>
      <w:r w:rsidRPr="0004221B">
        <w:rPr>
          <w:sz w:val="24"/>
          <w:szCs w:val="24"/>
        </w:rPr>
        <w:t xml:space="preserve"> napredak u </w:t>
      </w:r>
      <w:r>
        <w:rPr>
          <w:sz w:val="24"/>
          <w:szCs w:val="24"/>
        </w:rPr>
        <w:t xml:space="preserve">području širokopojasne </w:t>
      </w:r>
      <w:proofErr w:type="spellStart"/>
      <w:r>
        <w:rPr>
          <w:sz w:val="24"/>
          <w:szCs w:val="24"/>
        </w:rPr>
        <w:t>povezivosti</w:t>
      </w:r>
      <w:proofErr w:type="spellEnd"/>
      <w:r>
        <w:rPr>
          <w:sz w:val="24"/>
          <w:szCs w:val="24"/>
        </w:rPr>
        <w:t xml:space="preserve">. </w:t>
      </w:r>
      <w:r w:rsidRPr="005827F4">
        <w:rPr>
          <w:sz w:val="24"/>
          <w:szCs w:val="24"/>
        </w:rPr>
        <w:t>Posebno se ističe visoka stopa rasta pokrivenosti svjetlovodnom mrežom i mrežama vrlo velikog kapaciteta (</w:t>
      </w:r>
      <w:r>
        <w:rPr>
          <w:sz w:val="24"/>
          <w:szCs w:val="24"/>
        </w:rPr>
        <w:t xml:space="preserve">u daljnjem tekstu: </w:t>
      </w:r>
      <w:r w:rsidRPr="005827F4">
        <w:rPr>
          <w:sz w:val="24"/>
          <w:szCs w:val="24"/>
        </w:rPr>
        <w:t>VHCN) u cijeloj zemlji, uključujući ruralna područja, u kojima je pokrivenost</w:t>
      </w:r>
      <w:r>
        <w:rPr>
          <w:sz w:val="24"/>
          <w:szCs w:val="24"/>
        </w:rPr>
        <w:t>, unatoč napretku,</w:t>
      </w:r>
      <w:r w:rsidRPr="005827F4">
        <w:rPr>
          <w:sz w:val="24"/>
          <w:szCs w:val="24"/>
        </w:rPr>
        <w:t xml:space="preserve"> i dalje niska</w:t>
      </w:r>
      <w:r>
        <w:rPr>
          <w:sz w:val="24"/>
          <w:szCs w:val="24"/>
        </w:rPr>
        <w:t xml:space="preserve">. </w:t>
      </w:r>
      <w:r w:rsidRPr="002869B5">
        <w:rPr>
          <w:sz w:val="24"/>
          <w:szCs w:val="24"/>
        </w:rPr>
        <w:t>Ukupna pokrivenost fiksnom mrežom VHCN u Hrvatskoj</w:t>
      </w:r>
      <w:r>
        <w:rPr>
          <w:sz w:val="24"/>
          <w:szCs w:val="24"/>
        </w:rPr>
        <w:t xml:space="preserve"> je u 2024.</w:t>
      </w:r>
      <w:r w:rsidRPr="002869B5">
        <w:rPr>
          <w:sz w:val="24"/>
          <w:szCs w:val="24"/>
        </w:rPr>
        <w:t xml:space="preserve"> iznosi</w:t>
      </w:r>
      <w:r>
        <w:rPr>
          <w:sz w:val="24"/>
          <w:szCs w:val="24"/>
        </w:rPr>
        <w:t>la</w:t>
      </w:r>
      <w:r w:rsidRPr="002869B5">
        <w:rPr>
          <w:sz w:val="24"/>
          <w:szCs w:val="24"/>
        </w:rPr>
        <w:t xml:space="preserve"> 78,93%, </w:t>
      </w:r>
      <w:r>
        <w:rPr>
          <w:sz w:val="24"/>
          <w:szCs w:val="24"/>
        </w:rPr>
        <w:t xml:space="preserve">uz snažan rast od 16,4% u odnosu na 2023. te je na dobrom putu sustizanja </w:t>
      </w:r>
      <w:r w:rsidRPr="002869B5">
        <w:rPr>
          <w:sz w:val="24"/>
          <w:szCs w:val="24"/>
        </w:rPr>
        <w:t xml:space="preserve">prosjeka EU-a </w:t>
      </w:r>
      <w:r>
        <w:rPr>
          <w:sz w:val="24"/>
          <w:szCs w:val="24"/>
        </w:rPr>
        <w:t>(</w:t>
      </w:r>
      <w:r w:rsidRPr="002869B5">
        <w:rPr>
          <w:sz w:val="24"/>
          <w:szCs w:val="24"/>
        </w:rPr>
        <w:t>82,49%</w:t>
      </w:r>
      <w:r>
        <w:rPr>
          <w:sz w:val="24"/>
          <w:szCs w:val="24"/>
        </w:rPr>
        <w:t xml:space="preserve"> u 2024.)</w:t>
      </w:r>
      <w:r w:rsidRPr="002869B5">
        <w:rPr>
          <w:sz w:val="24"/>
          <w:szCs w:val="24"/>
        </w:rPr>
        <w:t xml:space="preserve">, </w:t>
      </w:r>
      <w:r>
        <w:rPr>
          <w:sz w:val="24"/>
          <w:szCs w:val="24"/>
        </w:rPr>
        <w:t xml:space="preserve">i </w:t>
      </w:r>
      <w:r w:rsidRPr="002869B5">
        <w:rPr>
          <w:sz w:val="24"/>
          <w:szCs w:val="24"/>
        </w:rPr>
        <w:t>predstavlja znatan napredak prema nacionalnom cilju od 100% do 2030.</w:t>
      </w:r>
      <w:r>
        <w:rPr>
          <w:sz w:val="24"/>
          <w:szCs w:val="24"/>
        </w:rPr>
        <w:t xml:space="preserve"> godine.</w:t>
      </w:r>
      <w:r w:rsidRPr="002869B5">
        <w:rPr>
          <w:sz w:val="24"/>
          <w:szCs w:val="24"/>
        </w:rPr>
        <w:t xml:space="preserve"> Povećanje pokrivenosti </w:t>
      </w:r>
      <w:r>
        <w:rPr>
          <w:sz w:val="24"/>
          <w:szCs w:val="24"/>
        </w:rPr>
        <w:t>od</w:t>
      </w:r>
      <w:r w:rsidRPr="002869B5">
        <w:rPr>
          <w:sz w:val="24"/>
          <w:szCs w:val="24"/>
        </w:rPr>
        <w:t xml:space="preserve"> 16,4%</w:t>
      </w:r>
      <w:r>
        <w:rPr>
          <w:sz w:val="24"/>
          <w:szCs w:val="24"/>
        </w:rPr>
        <w:t xml:space="preserve"> </w:t>
      </w:r>
      <w:r w:rsidRPr="002869B5">
        <w:rPr>
          <w:sz w:val="24"/>
          <w:szCs w:val="24"/>
        </w:rPr>
        <w:t xml:space="preserve">u Hrvatskoj znatno nadmašuje </w:t>
      </w:r>
      <w:r>
        <w:rPr>
          <w:sz w:val="24"/>
          <w:szCs w:val="24"/>
        </w:rPr>
        <w:t xml:space="preserve">povećanje </w:t>
      </w:r>
      <w:r w:rsidRPr="002869B5">
        <w:rPr>
          <w:sz w:val="24"/>
          <w:szCs w:val="24"/>
        </w:rPr>
        <w:t>prosjek</w:t>
      </w:r>
      <w:r>
        <w:rPr>
          <w:sz w:val="24"/>
          <w:szCs w:val="24"/>
        </w:rPr>
        <w:t>a</w:t>
      </w:r>
      <w:r w:rsidRPr="002869B5">
        <w:rPr>
          <w:sz w:val="24"/>
          <w:szCs w:val="24"/>
        </w:rPr>
        <w:t xml:space="preserve"> EU-a od 4,9%, što potvrđuje učinkovitost mjera usmjerenih na razvoj digitalne infrastrukture.</w:t>
      </w:r>
      <w:r>
        <w:rPr>
          <w:sz w:val="24"/>
          <w:szCs w:val="24"/>
        </w:rPr>
        <w:t xml:space="preserve"> </w:t>
      </w:r>
      <w:r w:rsidRPr="006940D4">
        <w:rPr>
          <w:sz w:val="24"/>
          <w:szCs w:val="24"/>
        </w:rPr>
        <w:t>U ruralnim područjima pokrivenost mrežama VHCN dosegnula je 49,09%, što je ispod prosjeka EU-a od 61,89%. Unatoč tome, godišnja stopa rasta iznosi 92,8%</w:t>
      </w:r>
      <w:r>
        <w:rPr>
          <w:sz w:val="24"/>
          <w:szCs w:val="24"/>
        </w:rPr>
        <w:t xml:space="preserve"> što je</w:t>
      </w:r>
      <w:r w:rsidRPr="006940D4">
        <w:rPr>
          <w:sz w:val="24"/>
          <w:szCs w:val="24"/>
        </w:rPr>
        <w:t xml:space="preserve"> znatno više od prosjeka EU-a od 11,3%.</w:t>
      </w:r>
      <w:r>
        <w:rPr>
          <w:sz w:val="24"/>
          <w:szCs w:val="24"/>
        </w:rPr>
        <w:t xml:space="preserve"> </w:t>
      </w:r>
      <w:r w:rsidRPr="0004221B">
        <w:rPr>
          <w:sz w:val="24"/>
          <w:szCs w:val="24"/>
        </w:rPr>
        <w:t>Ti rezultati upućuju na to da je Hrvatska premašila očekivani cilj od 66% za 2024.</w:t>
      </w:r>
      <w:r>
        <w:rPr>
          <w:sz w:val="24"/>
          <w:szCs w:val="24"/>
        </w:rPr>
        <w:t xml:space="preserve"> </w:t>
      </w:r>
      <w:r w:rsidRPr="00451604">
        <w:rPr>
          <w:sz w:val="24"/>
          <w:szCs w:val="24"/>
        </w:rPr>
        <w:t>Podaci iz 2024. potvrđuju da Hrvatska ostvaruje značajan napredak u razvoju digitalne infrastrukture, osobito u ruralnim područjima, te da je provedba nacionalnih mjera u skladu s dugoročnim ciljevima digitalnog desetljeća.</w:t>
      </w:r>
      <w:r>
        <w:rPr>
          <w:sz w:val="24"/>
          <w:szCs w:val="24"/>
        </w:rPr>
        <w:t xml:space="preserve"> </w:t>
      </w:r>
      <w:r w:rsidRPr="00212410">
        <w:rPr>
          <w:sz w:val="24"/>
          <w:szCs w:val="24"/>
        </w:rPr>
        <w:t>Dodatno, u 2024. sklopljen</w:t>
      </w:r>
      <w:r>
        <w:rPr>
          <w:sz w:val="24"/>
          <w:szCs w:val="24"/>
        </w:rPr>
        <w:t xml:space="preserve">a su </w:t>
      </w:r>
      <w:r w:rsidRPr="00212410">
        <w:rPr>
          <w:sz w:val="24"/>
          <w:szCs w:val="24"/>
        </w:rPr>
        <w:t xml:space="preserve">ukupno 23 ugovora o dodjeli bespovratnih sredstava u okviru NPOO investicije C2.3.R4-I1 „Provedba projekata u sklopu Okvirnog nacionalnog programa za razvoj infrastrukture širokopojasnog pristupa u područjima u kojima ne postoji </w:t>
      </w:r>
      <w:r w:rsidRPr="00212410">
        <w:rPr>
          <w:sz w:val="24"/>
          <w:szCs w:val="24"/>
        </w:rPr>
        <w:lastRenderedPageBreak/>
        <w:t>dostatan komercijalni interes za ulaganja“</w:t>
      </w:r>
      <w:r>
        <w:rPr>
          <w:sz w:val="24"/>
          <w:szCs w:val="24"/>
        </w:rPr>
        <w:t xml:space="preserve"> ukupne vrijednosti</w:t>
      </w:r>
      <w:r w:rsidRPr="00212410">
        <w:rPr>
          <w:sz w:val="24"/>
          <w:szCs w:val="24"/>
        </w:rPr>
        <w:t xml:space="preserve"> 133 milijuna eura bespovratnih sredstava</w:t>
      </w:r>
      <w:r>
        <w:rPr>
          <w:sz w:val="24"/>
          <w:szCs w:val="24"/>
        </w:rPr>
        <w:t>. Investicija</w:t>
      </w:r>
      <w:r w:rsidRPr="00212410">
        <w:rPr>
          <w:sz w:val="24"/>
          <w:szCs w:val="24"/>
        </w:rPr>
        <w:t xml:space="preserve"> je usmjerena na izgradnju VHCN mreža u tzv. NGA bijelim područjima. Provedbom ove investicije planira se obuhvatiti do 125 jedinica lokalne samouprave te osigurati pristup VHCN mrežama za približno 124.000 kućanstava, čime će se znatno smanjiti digitalni jaz između urbanih i ruralnih područja te doprinijeti ostvarenju ciljeva Europskog gigabitnog društva</w:t>
      </w:r>
      <w:r>
        <w:rPr>
          <w:sz w:val="24"/>
          <w:szCs w:val="24"/>
        </w:rPr>
        <w:t>.</w:t>
      </w:r>
    </w:p>
    <w:p w14:paraId="1018FB11" w14:textId="77777777" w:rsidR="00FB178A" w:rsidRDefault="00FB178A" w:rsidP="00FB178A">
      <w:pPr>
        <w:spacing w:before="240" w:line="276" w:lineRule="auto"/>
        <w:jc w:val="both"/>
        <w:rPr>
          <w:sz w:val="24"/>
          <w:szCs w:val="24"/>
        </w:rPr>
      </w:pPr>
      <w:r w:rsidRPr="00315738">
        <w:rPr>
          <w:sz w:val="24"/>
          <w:szCs w:val="24"/>
        </w:rPr>
        <w:t>Pokrivenost mrežom optičkih priključaka do kućanstva (u</w:t>
      </w:r>
      <w:r>
        <w:rPr>
          <w:sz w:val="24"/>
          <w:szCs w:val="24"/>
        </w:rPr>
        <w:t xml:space="preserve"> daljnjem</w:t>
      </w:r>
      <w:r w:rsidRPr="00315738">
        <w:rPr>
          <w:sz w:val="24"/>
          <w:szCs w:val="24"/>
        </w:rPr>
        <w:t xml:space="preserve"> </w:t>
      </w:r>
      <w:r>
        <w:rPr>
          <w:sz w:val="24"/>
          <w:szCs w:val="24"/>
        </w:rPr>
        <w:t xml:space="preserve">tekstu: </w:t>
      </w:r>
      <w:r w:rsidRPr="00315738">
        <w:rPr>
          <w:sz w:val="24"/>
          <w:szCs w:val="24"/>
        </w:rPr>
        <w:t>FTTP) u Hrvatskoj u 2024. dosegnula je 75,</w:t>
      </w:r>
      <w:r>
        <w:rPr>
          <w:sz w:val="24"/>
          <w:szCs w:val="24"/>
        </w:rPr>
        <w:t>4</w:t>
      </w:r>
      <w:r w:rsidRPr="00315738">
        <w:rPr>
          <w:sz w:val="24"/>
          <w:szCs w:val="24"/>
        </w:rPr>
        <w:t xml:space="preserve">%, </w:t>
      </w:r>
      <w:r>
        <w:rPr>
          <w:sz w:val="24"/>
          <w:szCs w:val="24"/>
        </w:rPr>
        <w:t>uz</w:t>
      </w:r>
      <w:r w:rsidRPr="00315738">
        <w:rPr>
          <w:sz w:val="24"/>
          <w:szCs w:val="24"/>
        </w:rPr>
        <w:t xml:space="preserve"> povećanje od 21,4% u odnosu na 2023. te </w:t>
      </w:r>
      <w:r>
        <w:rPr>
          <w:sz w:val="24"/>
          <w:szCs w:val="24"/>
        </w:rPr>
        <w:t xml:space="preserve">premašivanje </w:t>
      </w:r>
      <w:r w:rsidRPr="00315738">
        <w:rPr>
          <w:sz w:val="24"/>
          <w:szCs w:val="24"/>
        </w:rPr>
        <w:t xml:space="preserve">prosjeka </w:t>
      </w:r>
      <w:r>
        <w:rPr>
          <w:sz w:val="24"/>
          <w:szCs w:val="24"/>
        </w:rPr>
        <w:t>EU-a (</w:t>
      </w:r>
      <w:r w:rsidRPr="00315738">
        <w:rPr>
          <w:sz w:val="24"/>
          <w:szCs w:val="24"/>
        </w:rPr>
        <w:t>69,24%</w:t>
      </w:r>
      <w:r>
        <w:rPr>
          <w:sz w:val="24"/>
          <w:szCs w:val="24"/>
        </w:rPr>
        <w:t>)</w:t>
      </w:r>
      <w:r w:rsidRPr="00315738">
        <w:rPr>
          <w:sz w:val="24"/>
          <w:szCs w:val="24"/>
        </w:rPr>
        <w:t>. U ruralnim područjima pokrivenost FTTP-om iznosila je 44,43%, i dal</w:t>
      </w:r>
      <w:r>
        <w:rPr>
          <w:sz w:val="24"/>
          <w:szCs w:val="24"/>
        </w:rPr>
        <w:t>je</w:t>
      </w:r>
      <w:r w:rsidRPr="00315738">
        <w:rPr>
          <w:sz w:val="24"/>
          <w:szCs w:val="24"/>
        </w:rPr>
        <w:t xml:space="preserve"> ispod prosjeka EU-a </w:t>
      </w:r>
      <w:r>
        <w:rPr>
          <w:sz w:val="24"/>
          <w:szCs w:val="24"/>
        </w:rPr>
        <w:t>(</w:t>
      </w:r>
      <w:r w:rsidRPr="00315738">
        <w:rPr>
          <w:sz w:val="24"/>
          <w:szCs w:val="24"/>
        </w:rPr>
        <w:t>58,78%</w:t>
      </w:r>
      <w:r>
        <w:rPr>
          <w:sz w:val="24"/>
          <w:szCs w:val="24"/>
        </w:rPr>
        <w:t xml:space="preserve">) no uz </w:t>
      </w:r>
      <w:r w:rsidRPr="00315738">
        <w:rPr>
          <w:sz w:val="24"/>
          <w:szCs w:val="24"/>
        </w:rPr>
        <w:t>ostvar</w:t>
      </w:r>
      <w:r>
        <w:rPr>
          <w:sz w:val="24"/>
          <w:szCs w:val="24"/>
        </w:rPr>
        <w:t>en</w:t>
      </w:r>
      <w:r w:rsidRPr="00315738">
        <w:rPr>
          <w:sz w:val="24"/>
          <w:szCs w:val="24"/>
        </w:rPr>
        <w:t xml:space="preserve"> izniman godišnji rast od 126%</w:t>
      </w:r>
      <w:r>
        <w:rPr>
          <w:sz w:val="24"/>
          <w:szCs w:val="24"/>
        </w:rPr>
        <w:t xml:space="preserve"> u odnosu na 2023. godinu. D</w:t>
      </w:r>
      <w:r w:rsidRPr="00315738">
        <w:rPr>
          <w:sz w:val="24"/>
          <w:szCs w:val="24"/>
        </w:rPr>
        <w:t xml:space="preserve">osadašnji rezultati pokazuju da je tempo uvođenja </w:t>
      </w:r>
      <w:r w:rsidRPr="00105654">
        <w:rPr>
          <w:sz w:val="24"/>
          <w:szCs w:val="24"/>
        </w:rPr>
        <w:t>FTTP infrastruktur</w:t>
      </w:r>
      <w:r>
        <w:rPr>
          <w:sz w:val="24"/>
          <w:szCs w:val="24"/>
        </w:rPr>
        <w:t>e</w:t>
      </w:r>
      <w:r w:rsidRPr="00105654">
        <w:rPr>
          <w:sz w:val="24"/>
          <w:szCs w:val="24"/>
        </w:rPr>
        <w:t xml:space="preserve"> </w:t>
      </w:r>
      <w:r>
        <w:rPr>
          <w:sz w:val="24"/>
          <w:szCs w:val="24"/>
        </w:rPr>
        <w:t xml:space="preserve">u Hrvatskoj dobro </w:t>
      </w:r>
      <w:r w:rsidRPr="00315738">
        <w:rPr>
          <w:sz w:val="24"/>
          <w:szCs w:val="24"/>
        </w:rPr>
        <w:t xml:space="preserve">usklađen </w:t>
      </w:r>
      <w:r>
        <w:rPr>
          <w:sz w:val="24"/>
          <w:szCs w:val="24"/>
        </w:rPr>
        <w:t xml:space="preserve">sa širim ciljevima EU </w:t>
      </w:r>
      <w:r w:rsidRPr="00315738">
        <w:rPr>
          <w:sz w:val="24"/>
          <w:szCs w:val="24"/>
        </w:rPr>
        <w:t>vezanim uz razvoj mreža vrlo velikog kapaciteta.</w:t>
      </w:r>
      <w:r>
        <w:rPr>
          <w:sz w:val="24"/>
          <w:szCs w:val="24"/>
        </w:rPr>
        <w:t xml:space="preserve"> </w:t>
      </w:r>
      <w:r w:rsidRPr="001553F4">
        <w:rPr>
          <w:sz w:val="24"/>
          <w:szCs w:val="24"/>
        </w:rPr>
        <w:t xml:space="preserve">Što se tiče razvoja 5G mreže, Hrvatska je u 2024. dosegnula 94,20% ukupne pokrivenosti, </w:t>
      </w:r>
      <w:r>
        <w:rPr>
          <w:sz w:val="24"/>
          <w:szCs w:val="24"/>
        </w:rPr>
        <w:t xml:space="preserve">uz </w:t>
      </w:r>
      <w:r w:rsidRPr="001553F4">
        <w:rPr>
          <w:sz w:val="24"/>
          <w:szCs w:val="24"/>
        </w:rPr>
        <w:t xml:space="preserve">povećanje od 12,9% u odnosu na prethodnu godinu te </w:t>
      </w:r>
      <w:r>
        <w:rPr>
          <w:sz w:val="24"/>
          <w:szCs w:val="24"/>
        </w:rPr>
        <w:t>dostizanje</w:t>
      </w:r>
      <w:r w:rsidRPr="001553F4">
        <w:rPr>
          <w:sz w:val="24"/>
          <w:szCs w:val="24"/>
        </w:rPr>
        <w:t xml:space="preserve"> prosjek</w:t>
      </w:r>
      <w:r>
        <w:rPr>
          <w:sz w:val="24"/>
          <w:szCs w:val="24"/>
        </w:rPr>
        <w:t>a</w:t>
      </w:r>
      <w:r w:rsidRPr="001553F4">
        <w:rPr>
          <w:sz w:val="24"/>
          <w:szCs w:val="24"/>
        </w:rPr>
        <w:t xml:space="preserve"> </w:t>
      </w:r>
      <w:r>
        <w:rPr>
          <w:sz w:val="24"/>
          <w:szCs w:val="24"/>
        </w:rPr>
        <w:t>EU-a</w:t>
      </w:r>
      <w:r w:rsidRPr="001553F4">
        <w:rPr>
          <w:sz w:val="24"/>
          <w:szCs w:val="24"/>
        </w:rPr>
        <w:t xml:space="preserve"> koji iznosi 94,35%. Hrvatska je tako na dobrom putu ostvarivanja nacionalnih ciljeva i usklađena je s europskim smjernicama za digitalnu transformaciju.</w:t>
      </w:r>
      <w:r>
        <w:rPr>
          <w:sz w:val="24"/>
          <w:szCs w:val="24"/>
        </w:rPr>
        <w:t xml:space="preserve"> </w:t>
      </w:r>
      <w:r w:rsidRPr="00C35116">
        <w:rPr>
          <w:sz w:val="24"/>
          <w:szCs w:val="24"/>
        </w:rPr>
        <w:t xml:space="preserve">U ruralnim područjima pokrivenost 5G mrežom iznosila je 86,35%, što nadmašuje prosjek </w:t>
      </w:r>
      <w:r>
        <w:rPr>
          <w:sz w:val="24"/>
          <w:szCs w:val="24"/>
        </w:rPr>
        <w:t>EU-a</w:t>
      </w:r>
      <w:r w:rsidRPr="00C35116">
        <w:rPr>
          <w:sz w:val="24"/>
          <w:szCs w:val="24"/>
        </w:rPr>
        <w:t xml:space="preserve"> od 79,57%. </w:t>
      </w:r>
    </w:p>
    <w:p w14:paraId="29646B0F" w14:textId="77777777" w:rsidR="00FB178A" w:rsidRDefault="00FB178A" w:rsidP="00FB178A">
      <w:pPr>
        <w:spacing w:before="240" w:line="276" w:lineRule="auto"/>
        <w:jc w:val="both"/>
        <w:rPr>
          <w:sz w:val="24"/>
          <w:szCs w:val="24"/>
        </w:rPr>
      </w:pPr>
      <w:r w:rsidRPr="00C05F8A">
        <w:rPr>
          <w:sz w:val="24"/>
          <w:szCs w:val="24"/>
        </w:rPr>
        <w:t xml:space="preserve">Pokrivenost strateškim frekvencijskim pojasom od 3,4 do 3,8 GHz i dalje predstavlja izazov u razvoju 5G infrastrukture. Nacionalna pokrivenost Hrvatske u tom pojasu u 2024. iznosila je 45,18%, što je ispod prosjeka </w:t>
      </w:r>
      <w:r>
        <w:rPr>
          <w:sz w:val="24"/>
          <w:szCs w:val="24"/>
        </w:rPr>
        <w:t xml:space="preserve">EU </w:t>
      </w:r>
      <w:r w:rsidRPr="00C05F8A">
        <w:rPr>
          <w:sz w:val="24"/>
          <w:szCs w:val="24"/>
        </w:rPr>
        <w:t xml:space="preserve">od 67,72%. U odnosu na prethodnu godinu zabilježena je stopa rasta od 13,0%, dok je prosječna stopa rasta </w:t>
      </w:r>
      <w:r>
        <w:rPr>
          <w:sz w:val="24"/>
          <w:szCs w:val="24"/>
        </w:rPr>
        <w:t>EU-a</w:t>
      </w:r>
      <w:r w:rsidRPr="00C05F8A">
        <w:rPr>
          <w:sz w:val="24"/>
          <w:szCs w:val="24"/>
        </w:rPr>
        <w:t xml:space="preserve"> iznosila </w:t>
      </w:r>
      <w:r>
        <w:rPr>
          <w:sz w:val="24"/>
          <w:szCs w:val="24"/>
        </w:rPr>
        <w:t xml:space="preserve">značajnih </w:t>
      </w:r>
      <w:r w:rsidRPr="00C05F8A">
        <w:rPr>
          <w:sz w:val="24"/>
          <w:szCs w:val="24"/>
        </w:rPr>
        <w:t xml:space="preserve">32,6%. </w:t>
      </w:r>
      <w:r>
        <w:rPr>
          <w:sz w:val="24"/>
          <w:szCs w:val="24"/>
        </w:rPr>
        <w:t xml:space="preserve">Također, </w:t>
      </w:r>
      <w:r w:rsidRPr="00C05F8A">
        <w:rPr>
          <w:sz w:val="24"/>
          <w:szCs w:val="24"/>
        </w:rPr>
        <w:t xml:space="preserve"> </w:t>
      </w:r>
      <w:r>
        <w:rPr>
          <w:sz w:val="24"/>
          <w:szCs w:val="24"/>
        </w:rPr>
        <w:t xml:space="preserve">pokrivenost 5G infrastrukturom u </w:t>
      </w:r>
      <w:r w:rsidRPr="00C05F8A">
        <w:rPr>
          <w:sz w:val="24"/>
          <w:szCs w:val="24"/>
        </w:rPr>
        <w:t xml:space="preserve">ruralnim područjima </w:t>
      </w:r>
      <w:r>
        <w:rPr>
          <w:sz w:val="24"/>
          <w:szCs w:val="24"/>
        </w:rPr>
        <w:t>iznosila je</w:t>
      </w:r>
      <w:r w:rsidRPr="00C05F8A">
        <w:rPr>
          <w:sz w:val="24"/>
          <w:szCs w:val="24"/>
        </w:rPr>
        <w:t xml:space="preserve"> 8,48%, što je </w:t>
      </w:r>
      <w:r>
        <w:rPr>
          <w:sz w:val="24"/>
          <w:szCs w:val="24"/>
        </w:rPr>
        <w:t xml:space="preserve">znatno </w:t>
      </w:r>
      <w:r w:rsidRPr="00C05F8A">
        <w:rPr>
          <w:sz w:val="24"/>
          <w:szCs w:val="24"/>
        </w:rPr>
        <w:t xml:space="preserve">ispod prosjeka EU-a od 26,19%, uz </w:t>
      </w:r>
      <w:r>
        <w:rPr>
          <w:sz w:val="24"/>
          <w:szCs w:val="24"/>
        </w:rPr>
        <w:t xml:space="preserve">zabilježeno </w:t>
      </w:r>
      <w:r w:rsidRPr="00C05F8A">
        <w:rPr>
          <w:sz w:val="24"/>
          <w:szCs w:val="24"/>
        </w:rPr>
        <w:t>skromno povećanje od 5,7%. Ovi pokazatelji upućuju na potrebu za dodatnim naporima i ubrzanim uvođenjem 5G mrež</w:t>
      </w:r>
      <w:r>
        <w:rPr>
          <w:sz w:val="24"/>
          <w:szCs w:val="24"/>
        </w:rPr>
        <w:t>e</w:t>
      </w:r>
      <w:r w:rsidRPr="00C05F8A">
        <w:rPr>
          <w:sz w:val="24"/>
          <w:szCs w:val="24"/>
        </w:rPr>
        <w:t xml:space="preserve"> u srednjem frekvencijskom pojasu</w:t>
      </w:r>
      <w:r>
        <w:rPr>
          <w:sz w:val="24"/>
          <w:szCs w:val="24"/>
        </w:rPr>
        <w:t xml:space="preserve">. </w:t>
      </w:r>
    </w:p>
    <w:p w14:paraId="0C6BD48D" w14:textId="77777777" w:rsidR="00FB178A" w:rsidRPr="00300B11" w:rsidRDefault="00FB178A" w:rsidP="00FB178A">
      <w:pPr>
        <w:spacing w:before="240" w:line="276" w:lineRule="auto"/>
        <w:jc w:val="both"/>
        <w:rPr>
          <w:sz w:val="24"/>
          <w:szCs w:val="24"/>
        </w:rPr>
      </w:pPr>
      <w:r w:rsidRPr="0065472D">
        <w:rPr>
          <w:sz w:val="24"/>
          <w:szCs w:val="24"/>
        </w:rPr>
        <w:t xml:space="preserve">U pogledu uporabe fiksnog širokopojasnog pristupa, 43,64% </w:t>
      </w:r>
      <w:r>
        <w:rPr>
          <w:sz w:val="24"/>
          <w:szCs w:val="24"/>
        </w:rPr>
        <w:t xml:space="preserve">svih </w:t>
      </w:r>
      <w:r w:rsidRPr="0065472D">
        <w:rPr>
          <w:sz w:val="24"/>
          <w:szCs w:val="24"/>
        </w:rPr>
        <w:t xml:space="preserve">pretplata u 2024. odnosilo se na brzine veće ili jednake 100 Mbps, što predstavlja porast u odnosu na 2023. </w:t>
      </w:r>
      <w:r>
        <w:rPr>
          <w:sz w:val="24"/>
          <w:szCs w:val="24"/>
        </w:rPr>
        <w:t>(</w:t>
      </w:r>
      <w:r w:rsidRPr="0065472D">
        <w:rPr>
          <w:sz w:val="24"/>
          <w:szCs w:val="24"/>
        </w:rPr>
        <w:t>38,62%</w:t>
      </w:r>
      <w:r>
        <w:rPr>
          <w:sz w:val="24"/>
          <w:szCs w:val="24"/>
        </w:rPr>
        <w:t>),</w:t>
      </w:r>
      <w:r w:rsidRPr="0065472D">
        <w:rPr>
          <w:sz w:val="24"/>
          <w:szCs w:val="24"/>
        </w:rPr>
        <w:t xml:space="preserve"> taj udio i dalje</w:t>
      </w:r>
      <w:r>
        <w:rPr>
          <w:sz w:val="24"/>
          <w:szCs w:val="24"/>
        </w:rPr>
        <w:t xml:space="preserve"> je</w:t>
      </w:r>
      <w:r w:rsidRPr="0065472D">
        <w:rPr>
          <w:sz w:val="24"/>
          <w:szCs w:val="24"/>
        </w:rPr>
        <w:t xml:space="preserve"> </w:t>
      </w:r>
      <w:r>
        <w:rPr>
          <w:sz w:val="24"/>
          <w:szCs w:val="24"/>
        </w:rPr>
        <w:t xml:space="preserve">znatno </w:t>
      </w:r>
      <w:r w:rsidRPr="0065472D">
        <w:rPr>
          <w:sz w:val="24"/>
          <w:szCs w:val="24"/>
        </w:rPr>
        <w:t xml:space="preserve">ispod prosjeka </w:t>
      </w:r>
      <w:r>
        <w:rPr>
          <w:sz w:val="24"/>
          <w:szCs w:val="24"/>
        </w:rPr>
        <w:t>EU-a</w:t>
      </w:r>
      <w:r w:rsidRPr="0065472D">
        <w:rPr>
          <w:sz w:val="24"/>
          <w:szCs w:val="24"/>
        </w:rPr>
        <w:t xml:space="preserve"> </w:t>
      </w:r>
      <w:r>
        <w:rPr>
          <w:sz w:val="24"/>
          <w:szCs w:val="24"/>
        </w:rPr>
        <w:t>(</w:t>
      </w:r>
      <w:r w:rsidRPr="0065472D">
        <w:rPr>
          <w:sz w:val="24"/>
          <w:szCs w:val="24"/>
        </w:rPr>
        <w:t>71,88%</w:t>
      </w:r>
      <w:r>
        <w:rPr>
          <w:sz w:val="24"/>
          <w:szCs w:val="24"/>
        </w:rPr>
        <w:t>).</w:t>
      </w:r>
      <w:r w:rsidRPr="0065472D">
        <w:rPr>
          <w:sz w:val="24"/>
          <w:szCs w:val="24"/>
        </w:rPr>
        <w:t xml:space="preserve"> Kada je riječ o pretplatama na </w:t>
      </w:r>
      <w:r>
        <w:rPr>
          <w:sz w:val="24"/>
          <w:szCs w:val="24"/>
        </w:rPr>
        <w:t xml:space="preserve">gigabitne </w:t>
      </w:r>
      <w:r w:rsidRPr="0065472D">
        <w:rPr>
          <w:sz w:val="24"/>
          <w:szCs w:val="24"/>
        </w:rPr>
        <w:t xml:space="preserve">brzine, </w:t>
      </w:r>
      <w:r>
        <w:rPr>
          <w:sz w:val="24"/>
          <w:szCs w:val="24"/>
        </w:rPr>
        <w:t>u Hrvatskoj se taj</w:t>
      </w:r>
      <w:r w:rsidRPr="0065472D">
        <w:rPr>
          <w:sz w:val="24"/>
          <w:szCs w:val="24"/>
        </w:rPr>
        <w:t xml:space="preserve"> udio s 3,22% </w:t>
      </w:r>
      <w:r>
        <w:rPr>
          <w:sz w:val="24"/>
          <w:szCs w:val="24"/>
        </w:rPr>
        <w:t xml:space="preserve">u 2023. povećao </w:t>
      </w:r>
      <w:r w:rsidRPr="0065472D">
        <w:rPr>
          <w:sz w:val="24"/>
          <w:szCs w:val="24"/>
        </w:rPr>
        <w:t>na 5,81%</w:t>
      </w:r>
      <w:r>
        <w:rPr>
          <w:sz w:val="24"/>
          <w:szCs w:val="24"/>
        </w:rPr>
        <w:t xml:space="preserve"> u 2024. </w:t>
      </w:r>
      <w:r w:rsidRPr="0065472D">
        <w:rPr>
          <w:sz w:val="24"/>
          <w:szCs w:val="24"/>
        </w:rPr>
        <w:t xml:space="preserve">dok se </w:t>
      </w:r>
      <w:r>
        <w:rPr>
          <w:sz w:val="24"/>
          <w:szCs w:val="24"/>
        </w:rPr>
        <w:t>na razini prosjeka</w:t>
      </w:r>
      <w:r w:rsidRPr="0065472D">
        <w:rPr>
          <w:sz w:val="24"/>
          <w:szCs w:val="24"/>
        </w:rPr>
        <w:t xml:space="preserve"> </w:t>
      </w:r>
      <w:r>
        <w:rPr>
          <w:sz w:val="24"/>
          <w:szCs w:val="24"/>
        </w:rPr>
        <w:t>EU-a</w:t>
      </w:r>
      <w:r w:rsidRPr="0065472D">
        <w:rPr>
          <w:sz w:val="24"/>
          <w:szCs w:val="24"/>
        </w:rPr>
        <w:t xml:space="preserve"> taj </w:t>
      </w:r>
      <w:r>
        <w:rPr>
          <w:sz w:val="24"/>
          <w:szCs w:val="24"/>
        </w:rPr>
        <w:t>udio</w:t>
      </w:r>
      <w:r w:rsidRPr="0065472D">
        <w:rPr>
          <w:sz w:val="24"/>
          <w:szCs w:val="24"/>
        </w:rPr>
        <w:t xml:space="preserve"> povećao s 18,47% na 22,25%. Iako je udio pretplata na gigabitne brzine u Hrvatskoj i dalje nizak, rast od 80,4% znatno premašuje prosječni rast u </w:t>
      </w:r>
      <w:r>
        <w:rPr>
          <w:sz w:val="24"/>
          <w:szCs w:val="24"/>
        </w:rPr>
        <w:t>EU</w:t>
      </w:r>
      <w:r w:rsidRPr="0065472D">
        <w:rPr>
          <w:sz w:val="24"/>
          <w:szCs w:val="24"/>
        </w:rPr>
        <w:t xml:space="preserve"> od 20,5%</w:t>
      </w:r>
      <w:r>
        <w:rPr>
          <w:sz w:val="24"/>
          <w:szCs w:val="24"/>
        </w:rPr>
        <w:t xml:space="preserve"> BDP-a</w:t>
      </w:r>
      <w:r w:rsidRPr="0065472D">
        <w:rPr>
          <w:sz w:val="24"/>
          <w:szCs w:val="24"/>
        </w:rPr>
        <w:t>, što upućuje na sve izraženiju potražnju korisnika za uslugama vrlo visokih brzina prijenosa podataka.</w:t>
      </w:r>
      <w:r>
        <w:rPr>
          <w:sz w:val="24"/>
          <w:szCs w:val="24"/>
        </w:rPr>
        <w:t xml:space="preserve"> </w:t>
      </w:r>
      <w:r w:rsidRPr="0004221B">
        <w:rPr>
          <w:sz w:val="24"/>
          <w:szCs w:val="24"/>
        </w:rPr>
        <w:t>Kako bi se u nadolazećem razdoblju mogli iskoristiti svi potencijali modernih tehnologija te provesti sveobuhvatna digitalizacija gospodarstva, preduvjet su najmodernije širokopoj</w:t>
      </w:r>
      <w:r w:rsidRPr="00300B11">
        <w:t>a</w:t>
      </w:r>
      <w:r w:rsidRPr="0004221B">
        <w:rPr>
          <w:sz w:val="24"/>
          <w:szCs w:val="24"/>
        </w:rPr>
        <w:t>sne elektroničke komunikacijske mreže vrlo velikog kapaciteta. Ostvarenje navedene razvojne potrebe preduvjet je za ispunjavanje ostalih razvojnih potencijala temeljenih na razvijenoj elektroničkoj komunikacijskoj infrastrukturi.</w:t>
      </w:r>
      <w:r>
        <w:t xml:space="preserve"> </w:t>
      </w:r>
      <w:r w:rsidRPr="00B805B7">
        <w:rPr>
          <w:sz w:val="24"/>
          <w:szCs w:val="24"/>
        </w:rPr>
        <w:t>U ožujku 2024. Vlada</w:t>
      </w:r>
      <w:r>
        <w:rPr>
          <w:sz w:val="24"/>
          <w:szCs w:val="24"/>
        </w:rPr>
        <w:t xml:space="preserve"> </w:t>
      </w:r>
      <w:r>
        <w:rPr>
          <w:color w:val="000000" w:themeColor="text1"/>
          <w:sz w:val="24"/>
          <w:szCs w:val="24"/>
        </w:rPr>
        <w:t>Republike Hrvatske</w:t>
      </w:r>
      <w:r w:rsidRPr="00B805B7">
        <w:rPr>
          <w:sz w:val="24"/>
          <w:szCs w:val="24"/>
        </w:rPr>
        <w:t xml:space="preserve"> je usvojila Program politike </w:t>
      </w:r>
      <w:r w:rsidRPr="0004221B">
        <w:rPr>
          <w:sz w:val="24"/>
          <w:szCs w:val="24"/>
        </w:rPr>
        <w:t>Put u digitalno desetljeće 2030.</w:t>
      </w:r>
      <w:r w:rsidRPr="00B805B7">
        <w:rPr>
          <w:sz w:val="24"/>
          <w:szCs w:val="24"/>
        </w:rPr>
        <w:t xml:space="preserve"> Program </w:t>
      </w:r>
      <w:r>
        <w:rPr>
          <w:sz w:val="24"/>
          <w:szCs w:val="24"/>
        </w:rPr>
        <w:t>se</w:t>
      </w:r>
      <w:r w:rsidRPr="00B805B7">
        <w:rPr>
          <w:sz w:val="24"/>
          <w:szCs w:val="24"/>
        </w:rPr>
        <w:t xml:space="preserve"> </w:t>
      </w:r>
      <w:r>
        <w:rPr>
          <w:sz w:val="24"/>
          <w:szCs w:val="24"/>
        </w:rPr>
        <w:t xml:space="preserve">u </w:t>
      </w:r>
      <w:r w:rsidRPr="00B805B7">
        <w:rPr>
          <w:sz w:val="24"/>
          <w:szCs w:val="24"/>
        </w:rPr>
        <w:t xml:space="preserve">dijelu koji se odnosi na osiguranje sigurne i održive digitalne infrastrukture, nadovezuje na ciljeve i mjere utvrđene u </w:t>
      </w:r>
      <w:r w:rsidRPr="0004221B">
        <w:rPr>
          <w:sz w:val="24"/>
          <w:szCs w:val="24"/>
        </w:rPr>
        <w:t>Strategiji digitalne Hrvatske do 2032. godine</w:t>
      </w:r>
      <w:r w:rsidRPr="00B805B7">
        <w:rPr>
          <w:sz w:val="24"/>
          <w:szCs w:val="24"/>
        </w:rPr>
        <w:t xml:space="preserve"> te u </w:t>
      </w:r>
      <w:r w:rsidRPr="0004221B">
        <w:rPr>
          <w:sz w:val="24"/>
          <w:szCs w:val="24"/>
        </w:rPr>
        <w:t xml:space="preserve">Nacionalnom planu razvoja širokopojasnog pristupa </w:t>
      </w:r>
      <w:r>
        <w:rPr>
          <w:sz w:val="24"/>
          <w:szCs w:val="24"/>
        </w:rPr>
        <w:t xml:space="preserve">do </w:t>
      </w:r>
      <w:r w:rsidRPr="0004221B">
        <w:rPr>
          <w:sz w:val="24"/>
          <w:szCs w:val="24"/>
        </w:rPr>
        <w:t>2027.</w:t>
      </w:r>
      <w:r>
        <w:rPr>
          <w:sz w:val="24"/>
          <w:szCs w:val="24"/>
        </w:rPr>
        <w:t xml:space="preserve"> </w:t>
      </w:r>
      <w:r w:rsidRPr="00705FE5">
        <w:rPr>
          <w:sz w:val="24"/>
          <w:szCs w:val="24"/>
        </w:rPr>
        <w:t xml:space="preserve">Provedbom digitalnog cilja 3, koji predviđa da svi krajnji korisnici na fiksnim lokacijama budu </w:t>
      </w:r>
      <w:r w:rsidRPr="00705FE5">
        <w:rPr>
          <w:sz w:val="24"/>
          <w:szCs w:val="24"/>
        </w:rPr>
        <w:lastRenderedPageBreak/>
        <w:t xml:space="preserve">pokriveni gigabitnom mrežom te da sva naseljena područja imaju pristup mrežama nove generacije s performansama </w:t>
      </w:r>
      <w:r w:rsidRPr="00D04C3B">
        <w:rPr>
          <w:sz w:val="24"/>
          <w:szCs w:val="24"/>
        </w:rPr>
        <w:t>barem jednakima 5G</w:t>
      </w:r>
      <w:r w:rsidRPr="00705FE5">
        <w:rPr>
          <w:sz w:val="24"/>
          <w:szCs w:val="24"/>
        </w:rPr>
        <w:t>, očekuje se značajan doprinos  digitalnoj transformaciji Hrvatske do 2030. godine.</w:t>
      </w:r>
      <w:r>
        <w:rPr>
          <w:sz w:val="24"/>
          <w:szCs w:val="24"/>
        </w:rPr>
        <w:t xml:space="preserve"> </w:t>
      </w:r>
    </w:p>
    <w:p w14:paraId="1FC5DE3F" w14:textId="77777777" w:rsidR="00FB178A" w:rsidRPr="0004221B" w:rsidRDefault="00FB178A" w:rsidP="00FB178A">
      <w:pPr>
        <w:pStyle w:val="paragraph"/>
        <w:spacing w:line="276" w:lineRule="auto"/>
        <w:jc w:val="both"/>
        <w:textAlignment w:val="baseline"/>
      </w:pPr>
      <w:r>
        <w:t>K</w:t>
      </w:r>
      <w:r w:rsidRPr="0004221B">
        <w:t>ada</w:t>
      </w:r>
      <w:r>
        <w:t xml:space="preserve"> </w:t>
      </w:r>
      <w:r w:rsidRPr="0004221B">
        <w:t>je</w:t>
      </w:r>
      <w:r>
        <w:t xml:space="preserve"> </w:t>
      </w:r>
      <w:r w:rsidRPr="0004221B">
        <w:t>riječ o službenoj statistici</w:t>
      </w:r>
      <w:r>
        <w:t>,</w:t>
      </w:r>
      <w:r w:rsidRPr="0004221B">
        <w:t xml:space="preserve"> </w:t>
      </w:r>
      <w:r w:rsidRPr="0004221B">
        <w:rPr>
          <w:lang w:eastAsia="en-US"/>
        </w:rPr>
        <w:t>uvođenjem modernih informacijsko-komunikacijskih rješenja u sustav prikupljanja, obrade i diseminacije službene statistike postiže se povećana učinkovitost cjelokupnog sustava proizvodnje službene statistike što, u konačnici, ima utjecaj na zadovoljstvo širega kruga korisnika. </w:t>
      </w:r>
      <w:r w:rsidRPr="003F2B3F">
        <w:t xml:space="preserve"> U okviru provedbe Strategije digitalne Hrvatske za razdoblje do 2032. godine, provodi se niz projekata usmjerenih na jačanje digitalne infrastrukture i unaprjeđenje upravljanja podacima. </w:t>
      </w:r>
      <w:r>
        <w:t>N</w:t>
      </w:r>
      <w:r w:rsidRPr="003F2B3F">
        <w:t>aglasak je na provedb</w:t>
      </w:r>
      <w:r>
        <w:t>i</w:t>
      </w:r>
      <w:r w:rsidRPr="003F2B3F">
        <w:t xml:space="preserve"> Akta o upravljanju podacima, uspostav</w:t>
      </w:r>
      <w:r>
        <w:t>i</w:t>
      </w:r>
      <w:r w:rsidRPr="003F2B3F">
        <w:t xml:space="preserve"> Državne sabirnice, prela</w:t>
      </w:r>
      <w:r>
        <w:t>sku</w:t>
      </w:r>
      <w:r w:rsidRPr="003F2B3F">
        <w:t xml:space="preserve"> na C</w:t>
      </w:r>
      <w:r>
        <w:t xml:space="preserve">DU-a </w:t>
      </w:r>
      <w:r w:rsidRPr="003F2B3F">
        <w:t>te provedb</w:t>
      </w:r>
      <w:r>
        <w:t>i</w:t>
      </w:r>
      <w:r w:rsidRPr="003F2B3F">
        <w:t xml:space="preserve"> drugih međusobno povezanih aktivnosti koje doprinose razvoju digitalne javne uprave i učinkovitijem korištenju podataka.</w:t>
      </w:r>
      <w:r>
        <w:t xml:space="preserve"> </w:t>
      </w:r>
      <w:r w:rsidRPr="003F2B3F">
        <w:t xml:space="preserve">U nadolazećem razdoblju predviđena je daljnja modernizacija i povećanje učinkovitosti proizvodnih procesa, sudjelovanje u nacionalnim međuresornim projektima te širenje spektra izvora podataka i unaprjeđenje odnosa s korisnicima. Sve navedeno pridonijet će većoj kvaliteti, pouzdanosti i učinkovitosti u proizvodnji službenih </w:t>
      </w:r>
      <w:r>
        <w:t>statističkih podataka.</w:t>
      </w:r>
    </w:p>
    <w:p w14:paraId="04EBD322" w14:textId="77777777" w:rsidR="00FB178A" w:rsidRDefault="00FB178A" w:rsidP="00FB178A">
      <w:pPr>
        <w:rPr>
          <w:rStyle w:val="normaltextrun"/>
          <w:sz w:val="24"/>
          <w:szCs w:val="24"/>
          <w:lang w:eastAsia="hr-HR"/>
        </w:rPr>
      </w:pPr>
      <w:r>
        <w:rPr>
          <w:rStyle w:val="normaltextrun"/>
        </w:rPr>
        <w:t xml:space="preserve"> </w:t>
      </w:r>
      <w:r>
        <w:rPr>
          <w:rStyle w:val="normaltextrun"/>
        </w:rPr>
        <w:br w:type="page"/>
      </w:r>
    </w:p>
    <w:p w14:paraId="660F7453" w14:textId="77777777" w:rsidR="00FB178A" w:rsidRPr="004C7396" w:rsidRDefault="00FB178A" w:rsidP="00FB178A">
      <w:pPr>
        <w:pStyle w:val="Heading2"/>
        <w:spacing w:after="240" w:line="276" w:lineRule="auto"/>
        <w:ind w:left="-1" w:firstLine="0"/>
        <w:rPr>
          <w:sz w:val="24"/>
          <w:szCs w:val="24"/>
        </w:rPr>
      </w:pPr>
      <w:bookmarkStart w:id="108" w:name="_Toc223002956"/>
      <w:r w:rsidRPr="004C7396">
        <w:rPr>
          <w:sz w:val="24"/>
          <w:szCs w:val="24"/>
        </w:rPr>
        <w:lastRenderedPageBreak/>
        <w:t>12. Razvoj potpomognutih područja i područja s razvojnim posebnostima</w:t>
      </w:r>
      <w:bookmarkEnd w:id="108"/>
      <w:r w:rsidRPr="004C7396">
        <w:rPr>
          <w:sz w:val="24"/>
          <w:szCs w:val="24"/>
        </w:rPr>
        <w:t xml:space="preserve"> </w:t>
      </w:r>
    </w:p>
    <w:p w14:paraId="79EE7E19" w14:textId="77777777" w:rsidR="00FB178A" w:rsidRPr="00145379" w:rsidRDefault="00FB178A" w:rsidP="00FB178A">
      <w:pPr>
        <w:pStyle w:val="Heading3"/>
      </w:pPr>
      <w:bookmarkStart w:id="109" w:name="_Toc223002957"/>
      <w:r w:rsidRPr="7B8BC2C2">
        <w:t>12.1. Ostvarene vrijednosti pokazatelja uspješnosti</w:t>
      </w:r>
      <w:bookmarkEnd w:id="109"/>
      <w:r w:rsidRPr="7B8BC2C2">
        <w:t xml:space="preserve"> </w:t>
      </w:r>
    </w:p>
    <w:tbl>
      <w:tblPr>
        <w:tblW w:w="0" w:type="auto"/>
        <w:tblInd w:w="2"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4A0" w:firstRow="1" w:lastRow="0" w:firstColumn="1" w:lastColumn="0" w:noHBand="0" w:noVBand="1"/>
      </w:tblPr>
      <w:tblGrid>
        <w:gridCol w:w="2970"/>
        <w:gridCol w:w="1840"/>
        <w:gridCol w:w="1984"/>
        <w:gridCol w:w="2251"/>
      </w:tblGrid>
      <w:tr w:rsidR="00FB178A" w:rsidRPr="00145379" w14:paraId="6E01129D" w14:textId="77777777" w:rsidTr="009E18ED">
        <w:trPr>
          <w:trHeight w:val="705"/>
        </w:trPr>
        <w:tc>
          <w:tcPr>
            <w:tcW w:w="2970" w:type="dxa"/>
            <w:tcBorders>
              <w:top w:val="dotted" w:sz="8" w:space="0" w:color="auto"/>
              <w:left w:val="dotted" w:sz="8" w:space="0" w:color="auto"/>
              <w:bottom w:val="dotted" w:sz="8" w:space="0" w:color="auto"/>
              <w:right w:val="dotted" w:sz="8" w:space="0" w:color="auto"/>
            </w:tcBorders>
            <w:shd w:val="clear" w:color="auto" w:fill="B6DDE8" w:themeFill="accent5" w:themeFillTint="66"/>
            <w:vAlign w:val="center"/>
          </w:tcPr>
          <w:p w14:paraId="4D687F24" w14:textId="77777777" w:rsidR="00FB178A" w:rsidRPr="00145379" w:rsidRDefault="00FB178A" w:rsidP="009E18ED">
            <w:pPr>
              <w:spacing w:line="276" w:lineRule="auto"/>
              <w:jc w:val="center"/>
              <w:rPr>
                <w:sz w:val="24"/>
                <w:szCs w:val="24"/>
              </w:rPr>
            </w:pPr>
            <w:r w:rsidRPr="00145379">
              <w:rPr>
                <w:sz w:val="24"/>
                <w:szCs w:val="24"/>
              </w:rPr>
              <w:t xml:space="preserve"> </w:t>
            </w:r>
            <w:r w:rsidRPr="00145379">
              <w:rPr>
                <w:b/>
                <w:bCs/>
                <w:color w:val="000000" w:themeColor="text1"/>
                <w:sz w:val="24"/>
                <w:szCs w:val="24"/>
              </w:rPr>
              <w:t>Pokazatelj uspješnosti</w:t>
            </w:r>
            <w:r w:rsidRPr="00145379">
              <w:rPr>
                <w:color w:val="000000" w:themeColor="text1"/>
                <w:sz w:val="24"/>
                <w:szCs w:val="24"/>
              </w:rPr>
              <w:t xml:space="preserve"> </w:t>
            </w:r>
          </w:p>
        </w:tc>
        <w:tc>
          <w:tcPr>
            <w:tcW w:w="1840" w:type="dxa"/>
            <w:tcBorders>
              <w:top w:val="dotted" w:sz="8" w:space="0" w:color="auto"/>
              <w:left w:val="dotted" w:sz="8" w:space="0" w:color="auto"/>
              <w:bottom w:val="dotted" w:sz="8" w:space="0" w:color="auto"/>
              <w:right w:val="dotted" w:sz="8" w:space="0" w:color="auto"/>
            </w:tcBorders>
            <w:shd w:val="clear" w:color="auto" w:fill="B6DDE8" w:themeFill="accent5" w:themeFillTint="66"/>
            <w:vAlign w:val="center"/>
          </w:tcPr>
          <w:p w14:paraId="3CE25DDF" w14:textId="77777777" w:rsidR="00FB178A" w:rsidRPr="00145379" w:rsidRDefault="00FB178A" w:rsidP="009E18ED">
            <w:pPr>
              <w:spacing w:line="276" w:lineRule="auto"/>
              <w:jc w:val="center"/>
              <w:rPr>
                <w:sz w:val="24"/>
                <w:szCs w:val="24"/>
              </w:rPr>
            </w:pPr>
            <w:r w:rsidRPr="00145379">
              <w:rPr>
                <w:b/>
                <w:bCs/>
                <w:color w:val="000000" w:themeColor="text1"/>
                <w:sz w:val="24"/>
                <w:szCs w:val="24"/>
              </w:rPr>
              <w:t>Početna vrijednost</w:t>
            </w:r>
            <w:r w:rsidRPr="00145379">
              <w:rPr>
                <w:color w:val="000000" w:themeColor="text1"/>
                <w:sz w:val="24"/>
                <w:szCs w:val="24"/>
              </w:rPr>
              <w:t xml:space="preserve"> </w:t>
            </w:r>
          </w:p>
        </w:tc>
        <w:tc>
          <w:tcPr>
            <w:tcW w:w="1984" w:type="dxa"/>
            <w:tcBorders>
              <w:top w:val="dotted" w:sz="8" w:space="0" w:color="auto"/>
              <w:left w:val="dotted" w:sz="8" w:space="0" w:color="auto"/>
              <w:bottom w:val="dotted" w:sz="8" w:space="0" w:color="auto"/>
              <w:right w:val="dotted" w:sz="8" w:space="0" w:color="auto"/>
            </w:tcBorders>
            <w:shd w:val="clear" w:color="auto" w:fill="B6DDE8" w:themeFill="accent5" w:themeFillTint="66"/>
            <w:vAlign w:val="center"/>
          </w:tcPr>
          <w:p w14:paraId="53380D07" w14:textId="77777777" w:rsidR="00FB178A" w:rsidRPr="00145379" w:rsidRDefault="00FB178A" w:rsidP="009E18ED">
            <w:pPr>
              <w:spacing w:line="276" w:lineRule="auto"/>
              <w:jc w:val="center"/>
              <w:rPr>
                <w:sz w:val="24"/>
                <w:szCs w:val="24"/>
              </w:rPr>
            </w:pPr>
            <w:r w:rsidRPr="00145379">
              <w:rPr>
                <w:b/>
                <w:bCs/>
                <w:color w:val="000000" w:themeColor="text1"/>
                <w:sz w:val="24"/>
                <w:szCs w:val="24"/>
              </w:rPr>
              <w:t xml:space="preserve">Ciljna </w:t>
            </w:r>
          </w:p>
          <w:p w14:paraId="2858974B" w14:textId="77777777" w:rsidR="00FB178A" w:rsidRPr="00145379" w:rsidRDefault="00FB178A" w:rsidP="009E18ED">
            <w:pPr>
              <w:spacing w:line="276" w:lineRule="auto"/>
              <w:jc w:val="center"/>
              <w:rPr>
                <w:sz w:val="24"/>
                <w:szCs w:val="24"/>
              </w:rPr>
            </w:pPr>
            <w:r w:rsidRPr="00145379">
              <w:rPr>
                <w:b/>
                <w:bCs/>
                <w:color w:val="000000" w:themeColor="text1"/>
                <w:sz w:val="24"/>
                <w:szCs w:val="24"/>
              </w:rPr>
              <w:t>vrijednost</w:t>
            </w:r>
            <w:r w:rsidRPr="00145379">
              <w:rPr>
                <w:color w:val="000000" w:themeColor="text1"/>
                <w:sz w:val="24"/>
                <w:szCs w:val="24"/>
              </w:rPr>
              <w:t xml:space="preserve"> </w:t>
            </w:r>
          </w:p>
        </w:tc>
        <w:tc>
          <w:tcPr>
            <w:tcW w:w="2251" w:type="dxa"/>
            <w:tcBorders>
              <w:top w:val="dotted" w:sz="8" w:space="0" w:color="auto"/>
              <w:left w:val="dotted" w:sz="8" w:space="0" w:color="auto"/>
              <w:bottom w:val="dotted" w:sz="8" w:space="0" w:color="auto"/>
              <w:right w:val="dotted" w:sz="8" w:space="0" w:color="auto"/>
            </w:tcBorders>
            <w:shd w:val="clear" w:color="auto" w:fill="B6DDE8" w:themeFill="accent5" w:themeFillTint="66"/>
            <w:vAlign w:val="center"/>
          </w:tcPr>
          <w:p w14:paraId="69B0D23D" w14:textId="77777777" w:rsidR="00FB178A" w:rsidRPr="00145379" w:rsidRDefault="00FB178A" w:rsidP="009E18ED">
            <w:pPr>
              <w:spacing w:line="276" w:lineRule="auto"/>
              <w:jc w:val="center"/>
              <w:rPr>
                <w:sz w:val="24"/>
                <w:szCs w:val="24"/>
              </w:rPr>
            </w:pPr>
            <w:r w:rsidRPr="00145379">
              <w:rPr>
                <w:b/>
                <w:bCs/>
                <w:color w:val="000000" w:themeColor="text1"/>
                <w:sz w:val="24"/>
                <w:szCs w:val="24"/>
              </w:rPr>
              <w:t xml:space="preserve">Ostvarena </w:t>
            </w:r>
          </w:p>
          <w:p w14:paraId="3F7E5EA1" w14:textId="77777777" w:rsidR="00FB178A" w:rsidRPr="00145379" w:rsidRDefault="00FB178A" w:rsidP="009E18ED">
            <w:pPr>
              <w:spacing w:line="276" w:lineRule="auto"/>
              <w:jc w:val="center"/>
              <w:rPr>
                <w:sz w:val="24"/>
                <w:szCs w:val="24"/>
              </w:rPr>
            </w:pPr>
            <w:r w:rsidRPr="00145379">
              <w:rPr>
                <w:b/>
                <w:bCs/>
                <w:color w:val="000000" w:themeColor="text1"/>
                <w:sz w:val="24"/>
                <w:szCs w:val="24"/>
              </w:rPr>
              <w:t>vrijednost</w:t>
            </w:r>
            <w:r w:rsidRPr="00145379">
              <w:rPr>
                <w:color w:val="000000" w:themeColor="text1"/>
                <w:sz w:val="24"/>
                <w:szCs w:val="24"/>
              </w:rPr>
              <w:t xml:space="preserve"> </w:t>
            </w:r>
          </w:p>
        </w:tc>
      </w:tr>
      <w:tr w:rsidR="00FB178A" w:rsidRPr="00145379" w14:paraId="1774CED7" w14:textId="77777777" w:rsidTr="009E18ED">
        <w:trPr>
          <w:trHeight w:val="721"/>
        </w:trPr>
        <w:tc>
          <w:tcPr>
            <w:tcW w:w="2970" w:type="dxa"/>
            <w:tcBorders>
              <w:top w:val="dotted" w:sz="8" w:space="0" w:color="auto"/>
              <w:left w:val="dotted" w:sz="8" w:space="0" w:color="auto"/>
              <w:bottom w:val="dotted" w:sz="8" w:space="0" w:color="auto"/>
              <w:right w:val="nil"/>
            </w:tcBorders>
            <w:vAlign w:val="center"/>
          </w:tcPr>
          <w:p w14:paraId="3A33FFDB" w14:textId="77777777" w:rsidR="00FB178A" w:rsidRPr="00B44EB7" w:rsidRDefault="00FB178A" w:rsidP="009E18ED">
            <w:pPr>
              <w:spacing w:line="276" w:lineRule="auto"/>
              <w:rPr>
                <w:i/>
                <w:sz w:val="24"/>
                <w:szCs w:val="24"/>
                <w:vertAlign w:val="superscript"/>
              </w:rPr>
            </w:pPr>
            <w:r w:rsidRPr="00B44EB7">
              <w:rPr>
                <w:i/>
                <w:color w:val="000000" w:themeColor="text1"/>
                <w:sz w:val="24"/>
                <w:szCs w:val="24"/>
              </w:rPr>
              <w:t xml:space="preserve">Razlika u </w:t>
            </w:r>
            <w:r>
              <w:rPr>
                <w:i/>
                <w:color w:val="000000" w:themeColor="text1"/>
                <w:sz w:val="24"/>
                <w:szCs w:val="24"/>
              </w:rPr>
              <w:t>županijskom</w:t>
            </w:r>
            <w:r w:rsidRPr="00B44EB7">
              <w:rPr>
                <w:i/>
                <w:color w:val="000000" w:themeColor="text1"/>
                <w:sz w:val="24"/>
                <w:szCs w:val="24"/>
              </w:rPr>
              <w:t xml:space="preserve"> BDP-u po stanovniku</w:t>
            </w:r>
            <w:r>
              <w:rPr>
                <w:i/>
                <w:color w:val="000000" w:themeColor="text1"/>
                <w:sz w:val="24"/>
                <w:szCs w:val="24"/>
              </w:rPr>
              <w:t>*</w:t>
            </w:r>
          </w:p>
        </w:tc>
        <w:tc>
          <w:tcPr>
            <w:tcW w:w="1840" w:type="dxa"/>
            <w:tcBorders>
              <w:top w:val="dotted" w:sz="8" w:space="0" w:color="auto"/>
              <w:left w:val="nil"/>
              <w:bottom w:val="dotted" w:sz="8" w:space="0" w:color="auto"/>
              <w:right w:val="nil"/>
            </w:tcBorders>
            <w:shd w:val="clear" w:color="auto" w:fill="DAEEF3" w:themeFill="accent5" w:themeFillTint="33"/>
            <w:vAlign w:val="center"/>
          </w:tcPr>
          <w:p w14:paraId="77EB40E8" w14:textId="77777777" w:rsidR="00FB178A" w:rsidRPr="00B44EB7" w:rsidRDefault="00FB178A" w:rsidP="009E18ED">
            <w:pPr>
              <w:spacing w:line="276" w:lineRule="auto"/>
              <w:jc w:val="center"/>
              <w:rPr>
                <w:i/>
                <w:sz w:val="24"/>
                <w:szCs w:val="24"/>
              </w:rPr>
            </w:pPr>
            <w:r w:rsidRPr="00B44EB7">
              <w:rPr>
                <w:i/>
                <w:color w:val="000000" w:themeColor="text1"/>
                <w:sz w:val="24"/>
                <w:szCs w:val="24"/>
              </w:rPr>
              <w:t xml:space="preserve">3,10 </w:t>
            </w:r>
            <w:r w:rsidRPr="00B44EB7">
              <w:rPr>
                <w:i/>
                <w:sz w:val="24"/>
                <w:szCs w:val="24"/>
              </w:rPr>
              <w:br/>
            </w:r>
            <w:r w:rsidRPr="00B44EB7">
              <w:rPr>
                <w:i/>
                <w:color w:val="000000" w:themeColor="text1"/>
                <w:sz w:val="24"/>
                <w:szCs w:val="24"/>
              </w:rPr>
              <w:t xml:space="preserve"> (2017.) </w:t>
            </w:r>
          </w:p>
        </w:tc>
        <w:tc>
          <w:tcPr>
            <w:tcW w:w="1984" w:type="dxa"/>
            <w:tcBorders>
              <w:top w:val="dotted" w:sz="8" w:space="0" w:color="auto"/>
              <w:left w:val="nil"/>
              <w:bottom w:val="dotted" w:sz="8" w:space="0" w:color="auto"/>
              <w:right w:val="nil"/>
            </w:tcBorders>
            <w:vAlign w:val="center"/>
          </w:tcPr>
          <w:p w14:paraId="17260802" w14:textId="77777777" w:rsidR="00FB178A" w:rsidRPr="00B44EB7" w:rsidRDefault="00FB178A" w:rsidP="009E18ED">
            <w:pPr>
              <w:spacing w:line="276" w:lineRule="auto"/>
              <w:jc w:val="center"/>
              <w:rPr>
                <w:i/>
                <w:sz w:val="24"/>
                <w:szCs w:val="24"/>
              </w:rPr>
            </w:pPr>
            <w:r w:rsidRPr="00B44EB7">
              <w:rPr>
                <w:i/>
                <w:color w:val="000000" w:themeColor="text1"/>
                <w:sz w:val="24"/>
                <w:szCs w:val="24"/>
              </w:rPr>
              <w:t xml:space="preserve">2,5 </w:t>
            </w:r>
          </w:p>
        </w:tc>
        <w:tc>
          <w:tcPr>
            <w:tcW w:w="2251" w:type="dxa"/>
            <w:tcBorders>
              <w:top w:val="dotted" w:sz="8" w:space="0" w:color="auto"/>
              <w:left w:val="nil"/>
              <w:bottom w:val="dotted" w:sz="8" w:space="0" w:color="auto"/>
              <w:right w:val="dotted" w:sz="8" w:space="0" w:color="auto"/>
            </w:tcBorders>
            <w:shd w:val="clear" w:color="auto" w:fill="DAEEF3" w:themeFill="accent5" w:themeFillTint="33"/>
            <w:vAlign w:val="center"/>
          </w:tcPr>
          <w:p w14:paraId="290DF4CB" w14:textId="77777777" w:rsidR="00FB178A" w:rsidRPr="000C31FF" w:rsidRDefault="00FB178A" w:rsidP="009E18ED">
            <w:pPr>
              <w:spacing w:line="276" w:lineRule="auto"/>
              <w:jc w:val="center"/>
              <w:rPr>
                <w:i/>
                <w:color w:val="000000" w:themeColor="text1"/>
                <w:sz w:val="24"/>
                <w:szCs w:val="24"/>
              </w:rPr>
            </w:pPr>
            <w:r>
              <w:rPr>
                <w:i/>
                <w:color w:val="000000" w:themeColor="text1"/>
                <w:sz w:val="24"/>
                <w:szCs w:val="24"/>
              </w:rPr>
              <w:t xml:space="preserve">3,15 </w:t>
            </w:r>
            <w:r>
              <w:rPr>
                <w:i/>
                <w:color w:val="000000" w:themeColor="text1"/>
                <w:sz w:val="24"/>
                <w:szCs w:val="24"/>
              </w:rPr>
              <w:br/>
              <w:t>(2024.)</w:t>
            </w:r>
          </w:p>
        </w:tc>
      </w:tr>
    </w:tbl>
    <w:p w14:paraId="772FBF55" w14:textId="77777777" w:rsidR="00FB178A" w:rsidRDefault="00FB178A" w:rsidP="00FB178A">
      <w:pPr>
        <w:spacing w:line="276" w:lineRule="auto"/>
        <w:ind w:right="427"/>
        <w:jc w:val="both"/>
        <w:rPr>
          <w:i/>
          <w:iCs/>
          <w:sz w:val="20"/>
          <w:szCs w:val="20"/>
        </w:rPr>
      </w:pPr>
      <w:r>
        <w:rPr>
          <w:sz w:val="24"/>
          <w:szCs w:val="24"/>
        </w:rPr>
        <w:t xml:space="preserve">* </w:t>
      </w:r>
      <w:r w:rsidRPr="00073087">
        <w:rPr>
          <w:i/>
          <w:iCs/>
          <w:sz w:val="20"/>
          <w:szCs w:val="20"/>
        </w:rPr>
        <w:t>Pokazatelj se odnosi na omjer BDP-a po stanovniku u tekućim cijenama</w:t>
      </w:r>
      <w:r>
        <w:rPr>
          <w:i/>
          <w:iCs/>
          <w:sz w:val="20"/>
          <w:szCs w:val="20"/>
        </w:rPr>
        <w:t xml:space="preserve"> gospodarski</w:t>
      </w:r>
      <w:r w:rsidRPr="00073087">
        <w:rPr>
          <w:i/>
          <w:iCs/>
          <w:sz w:val="20"/>
          <w:szCs w:val="20"/>
        </w:rPr>
        <w:t xml:space="preserve"> najrazvijenije županije (Grad Zagreb) u odnosu na </w:t>
      </w:r>
      <w:r>
        <w:rPr>
          <w:i/>
          <w:iCs/>
          <w:sz w:val="20"/>
          <w:szCs w:val="20"/>
        </w:rPr>
        <w:t xml:space="preserve">gospodarski </w:t>
      </w:r>
      <w:r w:rsidRPr="00073087">
        <w:rPr>
          <w:i/>
          <w:iCs/>
          <w:sz w:val="20"/>
          <w:szCs w:val="20"/>
        </w:rPr>
        <w:t>najmanje razvijenu županiju (Požeško-slavonska županija)</w:t>
      </w:r>
    </w:p>
    <w:p w14:paraId="7DCC06AD" w14:textId="77777777" w:rsidR="00FB178A" w:rsidRPr="00073087" w:rsidRDefault="00FB178A" w:rsidP="00FB178A">
      <w:pPr>
        <w:spacing w:line="276" w:lineRule="auto"/>
        <w:jc w:val="both"/>
      </w:pPr>
    </w:p>
    <w:p w14:paraId="17292325" w14:textId="77777777" w:rsidR="00FB178A" w:rsidRPr="0004221B" w:rsidRDefault="00FB178A" w:rsidP="00FB178A">
      <w:pPr>
        <w:pStyle w:val="Heading3"/>
      </w:pPr>
      <w:bookmarkStart w:id="110" w:name="_Toc223002958"/>
      <w:r w:rsidRPr="0004221B">
        <w:t>12.2. Opis napretka u provedbi strateškog cilja Razvoj potpomognutih područja i područja s razvojnim posebnostima</w:t>
      </w:r>
      <w:bookmarkEnd w:id="110"/>
    </w:p>
    <w:p w14:paraId="20360581" w14:textId="77777777" w:rsidR="00FB178A" w:rsidRPr="00A03ED7" w:rsidRDefault="00FB178A" w:rsidP="00FB178A">
      <w:pPr>
        <w:spacing w:before="240" w:after="160" w:line="276" w:lineRule="auto"/>
        <w:ind w:firstLine="720"/>
        <w:jc w:val="both"/>
        <w:rPr>
          <w:b/>
          <w:sz w:val="24"/>
          <w:szCs w:val="24"/>
        </w:rPr>
      </w:pPr>
      <w:r w:rsidRPr="00A03ED7">
        <w:rPr>
          <w:b/>
          <w:sz w:val="24"/>
          <w:szCs w:val="24"/>
        </w:rPr>
        <w:t xml:space="preserve">Razvoj potpomognutih područja i brdsko planinskih područja </w:t>
      </w:r>
    </w:p>
    <w:p w14:paraId="537DEF24" w14:textId="77777777" w:rsidR="00FB178A" w:rsidRPr="0004221B" w:rsidRDefault="00FB178A" w:rsidP="00FB178A">
      <w:pPr>
        <w:spacing w:before="240" w:after="160" w:line="276" w:lineRule="auto"/>
        <w:ind w:firstLine="720"/>
        <w:jc w:val="both"/>
        <w:rPr>
          <w:sz w:val="24"/>
          <w:szCs w:val="24"/>
        </w:rPr>
      </w:pPr>
      <w:r w:rsidRPr="00962392">
        <w:rPr>
          <w:sz w:val="24"/>
          <w:szCs w:val="24"/>
        </w:rPr>
        <w:t xml:space="preserve">Gospodarska kretanja u 2024. obilježena su snažnim i sveobuhvatnim rastom na cijelom području Republike Hrvatske, uz istodobno usporavanje inflacijskih pritisaka i stabilizaciju tržišta rada. Prema podacima HNB-a, nacionalni BDP po stanovniku u tekućim cijenama porastao je za značajnih 9,49%, pri čemu je pozitivan trend gospodarske aktivnosti zabilježen u svim jedinicama regionalne samouprave bez iznimke. Iako je </w:t>
      </w:r>
      <w:r>
        <w:rPr>
          <w:sz w:val="24"/>
          <w:szCs w:val="24"/>
        </w:rPr>
        <w:t>pokazatelj</w:t>
      </w:r>
      <w:r w:rsidRPr="00962392">
        <w:rPr>
          <w:sz w:val="24"/>
          <w:szCs w:val="24"/>
        </w:rPr>
        <w:t xml:space="preserve"> razlike između najrazvijenije i najmanje razvijene županije zabilježio blagi porast</w:t>
      </w:r>
      <w:r>
        <w:rPr>
          <w:sz w:val="24"/>
          <w:szCs w:val="24"/>
        </w:rPr>
        <w:t>,</w:t>
      </w:r>
      <w:r w:rsidRPr="00962392">
        <w:rPr>
          <w:sz w:val="24"/>
          <w:szCs w:val="24"/>
        </w:rPr>
        <w:t xml:space="preserve"> s 3,05 </w:t>
      </w:r>
      <w:r>
        <w:rPr>
          <w:sz w:val="24"/>
          <w:szCs w:val="24"/>
        </w:rPr>
        <w:t xml:space="preserve">u 2023. </w:t>
      </w:r>
      <w:r w:rsidRPr="00962392">
        <w:rPr>
          <w:sz w:val="24"/>
          <w:szCs w:val="24"/>
        </w:rPr>
        <w:t>na 3,</w:t>
      </w:r>
      <w:r>
        <w:rPr>
          <w:sz w:val="24"/>
          <w:szCs w:val="24"/>
        </w:rPr>
        <w:t>15 u 2024.</w:t>
      </w:r>
      <w:r w:rsidRPr="00962392">
        <w:rPr>
          <w:sz w:val="24"/>
          <w:szCs w:val="24"/>
        </w:rPr>
        <w:t xml:space="preserve">, važno je naglasiti kako takvo kretanje nije rezultat stagnacije manje razvijenih područja, već primarno odražava iznimnu </w:t>
      </w:r>
      <w:r>
        <w:rPr>
          <w:sz w:val="24"/>
          <w:szCs w:val="24"/>
        </w:rPr>
        <w:t>gospodarsku</w:t>
      </w:r>
      <w:r w:rsidRPr="00962392">
        <w:rPr>
          <w:sz w:val="24"/>
          <w:szCs w:val="24"/>
        </w:rPr>
        <w:t xml:space="preserve"> dinamiku Grada Zagreba. Kao ključni motor nacionalne konkurentnosti koji generira visoku dodanu vrijednost,</w:t>
      </w:r>
      <w:r>
        <w:rPr>
          <w:sz w:val="24"/>
          <w:szCs w:val="24"/>
        </w:rPr>
        <w:t xml:space="preserve"> Grad</w:t>
      </w:r>
      <w:r w:rsidRPr="00962392">
        <w:rPr>
          <w:sz w:val="24"/>
          <w:szCs w:val="24"/>
        </w:rPr>
        <w:t xml:space="preserve"> Zagreb nastavlja predvoditi gospodarski razvoj, što se očituje i u podacima FINA-e o rastu ukupne neto dobiti poduzetnika od 14,6%. Uz </w:t>
      </w:r>
      <w:r>
        <w:rPr>
          <w:sz w:val="24"/>
          <w:szCs w:val="24"/>
        </w:rPr>
        <w:t>značajan</w:t>
      </w:r>
      <w:r w:rsidRPr="00962392">
        <w:rPr>
          <w:sz w:val="24"/>
          <w:szCs w:val="24"/>
        </w:rPr>
        <w:t xml:space="preserve"> doprinos glavnoga grada, iskorak i pozitivan poslovni rezultat ostvaren je i u većini ostalih županija, što potvrđuje sustavan oporavak poslovnog sektora i </w:t>
      </w:r>
      <w:r>
        <w:rPr>
          <w:sz w:val="24"/>
          <w:szCs w:val="24"/>
        </w:rPr>
        <w:t>postupno</w:t>
      </w:r>
      <w:r w:rsidRPr="00962392">
        <w:rPr>
          <w:sz w:val="24"/>
          <w:szCs w:val="24"/>
        </w:rPr>
        <w:t xml:space="preserve"> </w:t>
      </w:r>
      <w:r w:rsidRPr="00000407">
        <w:rPr>
          <w:sz w:val="24"/>
          <w:szCs w:val="24"/>
        </w:rPr>
        <w:t>jačanje razvojnih kapaciteta na cijelom području Republike Hrvatske</w:t>
      </w:r>
      <w:r w:rsidRPr="00962392">
        <w:rPr>
          <w:sz w:val="24"/>
          <w:szCs w:val="24"/>
        </w:rPr>
        <w:t>.</w:t>
      </w:r>
    </w:p>
    <w:p w14:paraId="214C2AA5" w14:textId="77777777" w:rsidR="00FB178A" w:rsidRDefault="00FB178A" w:rsidP="00FB178A">
      <w:pPr>
        <w:spacing w:before="240" w:after="160" w:line="276" w:lineRule="auto"/>
        <w:jc w:val="both"/>
        <w:rPr>
          <w:sz w:val="24"/>
          <w:szCs w:val="24"/>
        </w:rPr>
      </w:pPr>
      <w:r w:rsidRPr="00860919">
        <w:rPr>
          <w:sz w:val="24"/>
          <w:szCs w:val="24"/>
        </w:rPr>
        <w:t>Prema podacima Državnog zavoda za statistiku za četvrto tromjesečje 2024., prosječna mjesečna isplaćena neto plaća po zaposlenome u pravnim osobama porasla je u svim županijama u odnosu na isto razdoblje 2023. godine. Najveći rast zabilježen je u Požeško-slavonskoj županiji, za 14,9 %, pri čemu je prosječna neto plaća iznosila 1.237 eura (1.077 eura u 2023.), dok je najmanji rast ostvaren u Međimurskoj županiji, za 13,0%, uz prosječnu neto plaću od 1.255 eura (1.111 eura u 2023.</w:t>
      </w:r>
      <w:r>
        <w:rPr>
          <w:sz w:val="24"/>
          <w:szCs w:val="24"/>
        </w:rPr>
        <w:t xml:space="preserve"> godini</w:t>
      </w:r>
      <w:r w:rsidRPr="00860919">
        <w:rPr>
          <w:sz w:val="24"/>
          <w:szCs w:val="24"/>
        </w:rPr>
        <w:t>). Takva kretanja potvrđuju nastavak rasta plaća na cijelom području Republike Hrvatske, a istodobno upućuju i na povoljniju dinamiku rasta u dijelu manje razvijenih područja. Grad Zagreb i dalje prednjači prema visini prosječne neto plaće, koja je u 2024. iznosila 1.563 eura (1.380 eura u 2023.), što je znatno iznad državnog prosjeka od 1.356 eura (1.192 eura u 2023.), dok je najniža prosječna neto plaća zabilježena u Virovitičko-podravskoj županiji, u iznosu od 1.189 eura (1.043 eura u 2023.</w:t>
      </w:r>
      <w:r>
        <w:rPr>
          <w:sz w:val="24"/>
          <w:szCs w:val="24"/>
        </w:rPr>
        <w:t xml:space="preserve"> godini</w:t>
      </w:r>
      <w:r w:rsidRPr="00860919">
        <w:rPr>
          <w:sz w:val="24"/>
          <w:szCs w:val="24"/>
        </w:rPr>
        <w:t xml:space="preserve">). </w:t>
      </w:r>
      <w:r w:rsidRPr="006F551B">
        <w:rPr>
          <w:sz w:val="24"/>
          <w:szCs w:val="24"/>
        </w:rPr>
        <w:t xml:space="preserve">Sveukupno promatrano, u 2024. potvrđen je nastavak pozitivnog trenda rasta plaća u svim županijama, pri čemu su regionalne razlike i nadalje prisutne, </w:t>
      </w:r>
      <w:r w:rsidRPr="006F551B">
        <w:rPr>
          <w:sz w:val="24"/>
          <w:szCs w:val="24"/>
        </w:rPr>
        <w:lastRenderedPageBreak/>
        <w:t>no pokazatelji upućuju na njihovo postupno ublažavanje, budući da je razlika između najviš</w:t>
      </w:r>
      <w:r>
        <w:rPr>
          <w:sz w:val="24"/>
          <w:szCs w:val="24"/>
        </w:rPr>
        <w:t>e</w:t>
      </w:r>
      <w:r w:rsidRPr="006F551B">
        <w:rPr>
          <w:sz w:val="24"/>
          <w:szCs w:val="24"/>
        </w:rPr>
        <w:t xml:space="preserve"> i najniže prosječne neto plaće</w:t>
      </w:r>
      <w:r>
        <w:rPr>
          <w:sz w:val="24"/>
          <w:szCs w:val="24"/>
        </w:rPr>
        <w:t xml:space="preserve"> isplaćene na županijskoj razini</w:t>
      </w:r>
      <w:r w:rsidRPr="006F551B">
        <w:rPr>
          <w:sz w:val="24"/>
          <w:szCs w:val="24"/>
        </w:rPr>
        <w:t xml:space="preserve"> smanjena s 32,31% </w:t>
      </w:r>
      <w:r>
        <w:rPr>
          <w:sz w:val="24"/>
          <w:szCs w:val="24"/>
        </w:rPr>
        <w:t>(</w:t>
      </w:r>
      <w:r w:rsidRPr="006F551B">
        <w:rPr>
          <w:sz w:val="24"/>
          <w:szCs w:val="24"/>
        </w:rPr>
        <w:t>u 2023.</w:t>
      </w:r>
      <w:r>
        <w:rPr>
          <w:sz w:val="24"/>
          <w:szCs w:val="24"/>
        </w:rPr>
        <w:t>)</w:t>
      </w:r>
      <w:r w:rsidRPr="006F551B">
        <w:rPr>
          <w:sz w:val="24"/>
          <w:szCs w:val="24"/>
        </w:rPr>
        <w:t xml:space="preserve"> na 31,45% u 2024. godini.</w:t>
      </w:r>
    </w:p>
    <w:p w14:paraId="020CCB5F" w14:textId="77777777" w:rsidR="00FB178A" w:rsidRPr="0004221B" w:rsidRDefault="00FB178A" w:rsidP="00FB178A">
      <w:pPr>
        <w:spacing w:before="240" w:after="160" w:line="276" w:lineRule="auto"/>
        <w:jc w:val="both"/>
        <w:rPr>
          <w:sz w:val="24"/>
          <w:szCs w:val="24"/>
        </w:rPr>
      </w:pPr>
      <w:r>
        <w:rPr>
          <w:sz w:val="24"/>
          <w:szCs w:val="24"/>
        </w:rPr>
        <w:t>N</w:t>
      </w:r>
      <w:r w:rsidRPr="006F3C13">
        <w:rPr>
          <w:sz w:val="24"/>
          <w:szCs w:val="24"/>
        </w:rPr>
        <w:t>astav</w:t>
      </w:r>
      <w:r>
        <w:rPr>
          <w:sz w:val="24"/>
          <w:szCs w:val="24"/>
        </w:rPr>
        <w:t>ljena su</w:t>
      </w:r>
      <w:r w:rsidRPr="006F3C13">
        <w:rPr>
          <w:sz w:val="24"/>
          <w:szCs w:val="24"/>
        </w:rPr>
        <w:t xml:space="preserve"> povoljn</w:t>
      </w:r>
      <w:r>
        <w:rPr>
          <w:sz w:val="24"/>
          <w:szCs w:val="24"/>
        </w:rPr>
        <w:t xml:space="preserve">a </w:t>
      </w:r>
      <w:r w:rsidRPr="006F3C13">
        <w:rPr>
          <w:sz w:val="24"/>
          <w:szCs w:val="24"/>
        </w:rPr>
        <w:t>kretanja na tržištu rada, obilježen</w:t>
      </w:r>
      <w:r>
        <w:rPr>
          <w:sz w:val="24"/>
          <w:szCs w:val="24"/>
        </w:rPr>
        <w:t>a</w:t>
      </w:r>
      <w:r w:rsidRPr="006F3C13">
        <w:rPr>
          <w:sz w:val="24"/>
          <w:szCs w:val="24"/>
        </w:rPr>
        <w:t xml:space="preserve"> rastom zaposlenosti i smanjenjem nezaposlenosti</w:t>
      </w:r>
      <w:r>
        <w:rPr>
          <w:sz w:val="24"/>
          <w:szCs w:val="24"/>
        </w:rPr>
        <w:t xml:space="preserve"> (</w:t>
      </w:r>
      <w:r w:rsidRPr="00982BD6">
        <w:rPr>
          <w:sz w:val="24"/>
          <w:szCs w:val="24"/>
        </w:rPr>
        <w:t>nacionaln</w:t>
      </w:r>
      <w:r>
        <w:rPr>
          <w:sz w:val="24"/>
          <w:szCs w:val="24"/>
        </w:rPr>
        <w:t xml:space="preserve">i </w:t>
      </w:r>
      <w:r w:rsidRPr="00982BD6">
        <w:rPr>
          <w:sz w:val="24"/>
          <w:szCs w:val="24"/>
        </w:rPr>
        <w:t>prosjek</w:t>
      </w:r>
      <w:r>
        <w:rPr>
          <w:sz w:val="24"/>
          <w:szCs w:val="24"/>
        </w:rPr>
        <w:t xml:space="preserve"> </w:t>
      </w:r>
      <w:r w:rsidRPr="00982BD6">
        <w:rPr>
          <w:sz w:val="24"/>
          <w:szCs w:val="24"/>
        </w:rPr>
        <w:t>5,1%</w:t>
      </w:r>
      <w:r>
        <w:rPr>
          <w:sz w:val="24"/>
          <w:szCs w:val="24"/>
        </w:rPr>
        <w:t>)</w:t>
      </w:r>
      <w:r w:rsidRPr="006F3C13">
        <w:rPr>
          <w:sz w:val="24"/>
          <w:szCs w:val="24"/>
        </w:rPr>
        <w:t xml:space="preserve"> </w:t>
      </w:r>
      <w:r>
        <w:rPr>
          <w:sz w:val="24"/>
          <w:szCs w:val="24"/>
        </w:rPr>
        <w:t xml:space="preserve">uz i dalje određene </w:t>
      </w:r>
      <w:r w:rsidRPr="006F3C13">
        <w:rPr>
          <w:sz w:val="24"/>
          <w:szCs w:val="24"/>
        </w:rPr>
        <w:t>regionalne razlike.</w:t>
      </w:r>
      <w:r>
        <w:rPr>
          <w:sz w:val="24"/>
          <w:szCs w:val="24"/>
        </w:rPr>
        <w:t xml:space="preserve"> </w:t>
      </w:r>
      <w:r w:rsidRPr="006F3C13">
        <w:rPr>
          <w:sz w:val="24"/>
          <w:szCs w:val="24"/>
        </w:rPr>
        <w:t xml:space="preserve">U prosincu 2024. najviša stopa registrirane nezaposlenosti zabilježena je u Virovitičko-podravskoj županiji, gdje je iznosila 10,2%, dok je najniža stopa registrirane nezaposlenosti zabilježena u Gradu Zagrebu i iznosila je 2,6%. Što se tiče stope zaposlenosti osoba u dobi od 15 do 64 godine, ona je na razini Republike Hrvatske u 2024. iznosila 68,3%, </w:t>
      </w:r>
      <w:r>
        <w:rPr>
          <w:sz w:val="24"/>
          <w:szCs w:val="24"/>
        </w:rPr>
        <w:t>uz</w:t>
      </w:r>
      <w:r w:rsidRPr="006F3C13">
        <w:rPr>
          <w:sz w:val="24"/>
          <w:szCs w:val="24"/>
        </w:rPr>
        <w:t xml:space="preserve"> porast od 2,5 postotnih bodova u odnosu na 2023. </w:t>
      </w:r>
      <w:r>
        <w:rPr>
          <w:sz w:val="24"/>
          <w:szCs w:val="24"/>
        </w:rPr>
        <w:t>(</w:t>
      </w:r>
      <w:r w:rsidRPr="006F3C13">
        <w:rPr>
          <w:sz w:val="24"/>
          <w:szCs w:val="24"/>
        </w:rPr>
        <w:t>65,7</w:t>
      </w:r>
      <w:r>
        <w:rPr>
          <w:sz w:val="24"/>
          <w:szCs w:val="24"/>
        </w:rPr>
        <w:t>%)</w:t>
      </w:r>
      <w:r w:rsidRPr="006F3C13">
        <w:rPr>
          <w:sz w:val="24"/>
          <w:szCs w:val="24"/>
        </w:rPr>
        <w:t xml:space="preserve">. </w:t>
      </w:r>
      <w:r>
        <w:rPr>
          <w:sz w:val="24"/>
          <w:szCs w:val="24"/>
        </w:rPr>
        <w:t xml:space="preserve">Istodobno, </w:t>
      </w:r>
      <w:r w:rsidRPr="006F3C13">
        <w:rPr>
          <w:sz w:val="24"/>
          <w:szCs w:val="24"/>
        </w:rPr>
        <w:t xml:space="preserve">broj zaposlenih u pravnim osobama u razdoblju od listopada do prosinca 2024., u odnosu na isto razdoblje </w:t>
      </w:r>
      <w:r>
        <w:rPr>
          <w:sz w:val="24"/>
          <w:szCs w:val="24"/>
        </w:rPr>
        <w:t xml:space="preserve">u </w:t>
      </w:r>
      <w:r w:rsidRPr="006F3C13">
        <w:rPr>
          <w:sz w:val="24"/>
          <w:szCs w:val="24"/>
        </w:rPr>
        <w:t xml:space="preserve">2023., porastao </w:t>
      </w:r>
      <w:r>
        <w:rPr>
          <w:sz w:val="24"/>
          <w:szCs w:val="24"/>
        </w:rPr>
        <w:t xml:space="preserve">je </w:t>
      </w:r>
      <w:r w:rsidRPr="006F3C13">
        <w:rPr>
          <w:sz w:val="24"/>
          <w:szCs w:val="24"/>
        </w:rPr>
        <w:t xml:space="preserve">u svim županijama, pri čemu je najveći rast </w:t>
      </w:r>
      <w:r>
        <w:rPr>
          <w:sz w:val="24"/>
          <w:szCs w:val="24"/>
        </w:rPr>
        <w:t xml:space="preserve">broja zaposlenih </w:t>
      </w:r>
      <w:r w:rsidRPr="006F3C13">
        <w:rPr>
          <w:sz w:val="24"/>
          <w:szCs w:val="24"/>
        </w:rPr>
        <w:t>zabilježen u Brodsko-posavskoj i Vukovarsko-srijemskoj županiji</w:t>
      </w:r>
      <w:r>
        <w:rPr>
          <w:sz w:val="24"/>
          <w:szCs w:val="24"/>
        </w:rPr>
        <w:t xml:space="preserve"> (</w:t>
      </w:r>
      <w:r w:rsidRPr="006F3C13">
        <w:rPr>
          <w:sz w:val="24"/>
          <w:szCs w:val="24"/>
        </w:rPr>
        <w:t>3,5%</w:t>
      </w:r>
      <w:r>
        <w:rPr>
          <w:sz w:val="24"/>
          <w:szCs w:val="24"/>
        </w:rPr>
        <w:t>)</w:t>
      </w:r>
      <w:r w:rsidRPr="006F3C13">
        <w:rPr>
          <w:sz w:val="24"/>
          <w:szCs w:val="24"/>
        </w:rPr>
        <w:t>, što upućuje na postupno jačanje tržišta rada i u dijelu slabije razvijenih područja</w:t>
      </w:r>
      <w:r>
        <w:rPr>
          <w:sz w:val="24"/>
          <w:szCs w:val="24"/>
        </w:rPr>
        <w:t xml:space="preserve">. </w:t>
      </w:r>
    </w:p>
    <w:p w14:paraId="3FE29D4E" w14:textId="77777777" w:rsidR="00FB178A" w:rsidRDefault="00FB178A" w:rsidP="00FB178A">
      <w:pPr>
        <w:spacing w:before="240" w:after="160" w:line="276" w:lineRule="auto"/>
        <w:jc w:val="both"/>
        <w:rPr>
          <w:sz w:val="24"/>
          <w:szCs w:val="24"/>
        </w:rPr>
      </w:pPr>
      <w:r w:rsidRPr="00F15A9C">
        <w:rPr>
          <w:sz w:val="24"/>
          <w:szCs w:val="24"/>
        </w:rPr>
        <w:t>U 2024., u skladu s Odlukom o razvrstavanju jedinica lokalne i područne (regionalne) samouprave prema stupnju razvijenosti („Narodne novine“, broj 3/24</w:t>
      </w:r>
      <w:r>
        <w:rPr>
          <w:sz w:val="24"/>
          <w:szCs w:val="24"/>
        </w:rPr>
        <w:t>.</w:t>
      </w:r>
      <w:r w:rsidRPr="00F15A9C">
        <w:rPr>
          <w:sz w:val="24"/>
          <w:szCs w:val="24"/>
        </w:rPr>
        <w:t>) i rezultatima posljednjeg ocjenjivanja i razvrstavanja prema indeksu razvijenosti, potvrđen je nastavak pozitivnih trendova u smanjivanju razvojnih razlika među jedinicama lokalne samouprave.</w:t>
      </w:r>
      <w:r>
        <w:rPr>
          <w:sz w:val="24"/>
          <w:szCs w:val="24"/>
        </w:rPr>
        <w:t xml:space="preserve"> </w:t>
      </w:r>
      <w:r w:rsidRPr="00D94CCF">
        <w:rPr>
          <w:sz w:val="24"/>
          <w:szCs w:val="24"/>
        </w:rPr>
        <w:t xml:space="preserve">Razlika u vrijednosti indeksa razvijenosti između najrazvijenije i najmanje razvijene jedinice lokalne samouprave smanjena je s 80,07 </w:t>
      </w:r>
      <w:r>
        <w:rPr>
          <w:sz w:val="24"/>
          <w:szCs w:val="24"/>
        </w:rPr>
        <w:t xml:space="preserve">(u </w:t>
      </w:r>
      <w:r w:rsidRPr="00D94CCF">
        <w:rPr>
          <w:sz w:val="24"/>
          <w:szCs w:val="24"/>
        </w:rPr>
        <w:t>2018.</w:t>
      </w:r>
      <w:r>
        <w:rPr>
          <w:sz w:val="24"/>
          <w:szCs w:val="24"/>
        </w:rPr>
        <w:t>)</w:t>
      </w:r>
      <w:r w:rsidRPr="00D94CCF">
        <w:rPr>
          <w:sz w:val="24"/>
          <w:szCs w:val="24"/>
        </w:rPr>
        <w:t xml:space="preserve"> na 52,09 u 2024. godini, uz istodobno povećanje broja iznadprosječno razvijenih jedinica lokalne samouprave na 269 </w:t>
      </w:r>
      <w:r>
        <w:rPr>
          <w:sz w:val="24"/>
          <w:szCs w:val="24"/>
        </w:rPr>
        <w:t>(</w:t>
      </w:r>
      <w:r w:rsidRPr="00D94CCF">
        <w:rPr>
          <w:sz w:val="24"/>
          <w:szCs w:val="24"/>
        </w:rPr>
        <w:t xml:space="preserve">s 252 </w:t>
      </w:r>
      <w:r>
        <w:rPr>
          <w:sz w:val="24"/>
          <w:szCs w:val="24"/>
        </w:rPr>
        <w:t xml:space="preserve">u 2018.) </w:t>
      </w:r>
      <w:r w:rsidRPr="00D94CCF">
        <w:rPr>
          <w:sz w:val="24"/>
          <w:szCs w:val="24"/>
        </w:rPr>
        <w:t>te smanjenje broja ispodprosječno razvijenih jedinica na 287</w:t>
      </w:r>
      <w:r>
        <w:rPr>
          <w:sz w:val="24"/>
          <w:szCs w:val="24"/>
        </w:rPr>
        <w:t xml:space="preserve"> (</w:t>
      </w:r>
      <w:r w:rsidRPr="00D94CCF">
        <w:rPr>
          <w:sz w:val="24"/>
          <w:szCs w:val="24"/>
        </w:rPr>
        <w:t>sa 304</w:t>
      </w:r>
      <w:r>
        <w:rPr>
          <w:sz w:val="24"/>
          <w:szCs w:val="24"/>
        </w:rPr>
        <w:t xml:space="preserve"> u 2018.)</w:t>
      </w:r>
      <w:r w:rsidRPr="00D94CCF">
        <w:rPr>
          <w:sz w:val="24"/>
          <w:szCs w:val="24"/>
        </w:rPr>
        <w:t xml:space="preserve">. </w:t>
      </w:r>
      <w:r w:rsidRPr="00EE6905">
        <w:rPr>
          <w:sz w:val="24"/>
          <w:szCs w:val="24"/>
        </w:rPr>
        <w:t xml:space="preserve">Navedeno potvrđuje pozitivne učinke </w:t>
      </w:r>
      <w:r>
        <w:rPr>
          <w:sz w:val="24"/>
          <w:szCs w:val="24"/>
        </w:rPr>
        <w:t xml:space="preserve">provedenih </w:t>
      </w:r>
      <w:r w:rsidRPr="00EE6905">
        <w:rPr>
          <w:sz w:val="24"/>
          <w:szCs w:val="24"/>
        </w:rPr>
        <w:t xml:space="preserve">ulaganja u </w:t>
      </w:r>
      <w:r>
        <w:rPr>
          <w:sz w:val="24"/>
          <w:szCs w:val="24"/>
        </w:rPr>
        <w:t>društveno-</w:t>
      </w:r>
      <w:r w:rsidRPr="00EE6905">
        <w:rPr>
          <w:sz w:val="24"/>
          <w:szCs w:val="24"/>
        </w:rPr>
        <w:t>gospodarsk</w:t>
      </w:r>
      <w:r>
        <w:rPr>
          <w:sz w:val="24"/>
          <w:szCs w:val="24"/>
        </w:rPr>
        <w:t xml:space="preserve">i razvoj </w:t>
      </w:r>
      <w:r w:rsidRPr="00EE6905">
        <w:rPr>
          <w:sz w:val="24"/>
          <w:szCs w:val="24"/>
        </w:rPr>
        <w:t>i</w:t>
      </w:r>
      <w:r>
        <w:rPr>
          <w:sz w:val="24"/>
          <w:szCs w:val="24"/>
        </w:rPr>
        <w:t xml:space="preserve"> demografsku </w:t>
      </w:r>
      <w:r w:rsidRPr="00EE6905">
        <w:rPr>
          <w:sz w:val="24"/>
          <w:szCs w:val="24"/>
        </w:rPr>
        <w:t xml:space="preserve">revitalizaciju </w:t>
      </w:r>
      <w:r w:rsidRPr="00BD7E65">
        <w:rPr>
          <w:sz w:val="24"/>
          <w:szCs w:val="24"/>
        </w:rPr>
        <w:t>te realizaciju vlastitih razvojnih potencijala</w:t>
      </w:r>
      <w:r>
        <w:rPr>
          <w:sz w:val="24"/>
          <w:szCs w:val="24"/>
        </w:rPr>
        <w:t xml:space="preserve"> slabije</w:t>
      </w:r>
      <w:r w:rsidRPr="00EE6905">
        <w:rPr>
          <w:sz w:val="24"/>
          <w:szCs w:val="24"/>
        </w:rPr>
        <w:t xml:space="preserve"> razvijenih jedinica lokalne samouprave</w:t>
      </w:r>
      <w:r>
        <w:rPr>
          <w:sz w:val="24"/>
          <w:szCs w:val="24"/>
        </w:rPr>
        <w:t>.</w:t>
      </w:r>
    </w:p>
    <w:p w14:paraId="73B9901A" w14:textId="77777777" w:rsidR="00FB178A" w:rsidRPr="0004221B" w:rsidRDefault="00FB178A" w:rsidP="00FB178A">
      <w:pPr>
        <w:spacing w:before="240" w:after="160" w:line="276" w:lineRule="auto"/>
        <w:jc w:val="both"/>
        <w:rPr>
          <w:sz w:val="24"/>
          <w:szCs w:val="24"/>
        </w:rPr>
      </w:pPr>
      <w:r>
        <w:rPr>
          <w:sz w:val="24"/>
          <w:szCs w:val="24"/>
        </w:rPr>
        <w:t>Radi</w:t>
      </w:r>
      <w:r w:rsidRPr="0004221B">
        <w:rPr>
          <w:sz w:val="24"/>
          <w:szCs w:val="24"/>
        </w:rPr>
        <w:t xml:space="preserve"> unaprjeđenja učinkovitosti instrumenata regionalne politike, </w:t>
      </w:r>
      <w:r>
        <w:rPr>
          <w:sz w:val="24"/>
          <w:szCs w:val="24"/>
        </w:rPr>
        <w:t>u</w:t>
      </w:r>
      <w:r w:rsidRPr="0004221B">
        <w:rPr>
          <w:sz w:val="24"/>
          <w:szCs w:val="24"/>
        </w:rPr>
        <w:t xml:space="preserve"> 2024.</w:t>
      </w:r>
      <w:r>
        <w:rPr>
          <w:sz w:val="24"/>
          <w:szCs w:val="24"/>
        </w:rPr>
        <w:t xml:space="preserve"> je</w:t>
      </w:r>
      <w:r w:rsidRPr="0004221B">
        <w:rPr>
          <w:sz w:val="24"/>
          <w:szCs w:val="24"/>
        </w:rPr>
        <w:t xml:space="preserve"> </w:t>
      </w:r>
      <w:r>
        <w:rPr>
          <w:sz w:val="24"/>
          <w:szCs w:val="24"/>
        </w:rPr>
        <w:t>pokrenuta</w:t>
      </w:r>
      <w:r w:rsidRPr="0004221B">
        <w:rPr>
          <w:sz w:val="24"/>
          <w:szCs w:val="24"/>
        </w:rPr>
        <w:t xml:space="preserve"> izrada novog Zakona o regionalnom razvoju Republike Hrvatske</w:t>
      </w:r>
      <w:r>
        <w:rPr>
          <w:sz w:val="24"/>
          <w:szCs w:val="24"/>
        </w:rPr>
        <w:t xml:space="preserve">. Novim zakonom i pripadajućim </w:t>
      </w:r>
      <w:proofErr w:type="spellStart"/>
      <w:r>
        <w:rPr>
          <w:sz w:val="24"/>
          <w:szCs w:val="24"/>
        </w:rPr>
        <w:t>podzakonskim</w:t>
      </w:r>
      <w:proofErr w:type="spellEnd"/>
      <w:r>
        <w:rPr>
          <w:sz w:val="24"/>
          <w:szCs w:val="24"/>
        </w:rPr>
        <w:t xml:space="preserve"> aktima</w:t>
      </w:r>
      <w:r w:rsidRPr="0004221B">
        <w:rPr>
          <w:sz w:val="24"/>
          <w:szCs w:val="24"/>
        </w:rPr>
        <w:t xml:space="preserve"> će se modernizirati sustav planiranja, praćenja i vrednovanja učinaka regionalne politike, redefinirati kriteriji za razvrstavanje potpomognutih područja te ojačati fiskalni mehanizmi i mogućnosti za korištenje regionalnih potpora. Novi zakon</w:t>
      </w:r>
      <w:r>
        <w:rPr>
          <w:sz w:val="24"/>
          <w:szCs w:val="24"/>
        </w:rPr>
        <w:t>odavni</w:t>
      </w:r>
      <w:r w:rsidRPr="0004221B">
        <w:rPr>
          <w:sz w:val="24"/>
          <w:szCs w:val="24"/>
        </w:rPr>
        <w:t xml:space="preserve"> okvir donosi i poboljšanja u dijelu upravljanja teritorijalnim ulaganjima </w:t>
      </w:r>
      <w:r>
        <w:rPr>
          <w:sz w:val="24"/>
          <w:szCs w:val="24"/>
        </w:rPr>
        <w:t>čime će se</w:t>
      </w:r>
      <w:r w:rsidRPr="0004221B">
        <w:rPr>
          <w:sz w:val="24"/>
          <w:szCs w:val="24"/>
        </w:rPr>
        <w:t xml:space="preserve"> omoguć</w:t>
      </w:r>
      <w:r>
        <w:rPr>
          <w:sz w:val="24"/>
          <w:szCs w:val="24"/>
        </w:rPr>
        <w:t>iti</w:t>
      </w:r>
      <w:r w:rsidRPr="0004221B">
        <w:rPr>
          <w:sz w:val="24"/>
          <w:szCs w:val="24"/>
        </w:rPr>
        <w:t xml:space="preserve"> bolje povezivanje nacionalnih, županijskih i lokalnih razvojnih planova s fondovima EU.</w:t>
      </w:r>
    </w:p>
    <w:p w14:paraId="30DA3353" w14:textId="77777777" w:rsidR="00FB178A" w:rsidRPr="0004221B" w:rsidRDefault="00FB178A" w:rsidP="00FB178A">
      <w:pPr>
        <w:spacing w:before="240" w:after="160" w:line="276" w:lineRule="auto"/>
        <w:jc w:val="both"/>
        <w:rPr>
          <w:sz w:val="24"/>
          <w:szCs w:val="24"/>
        </w:rPr>
      </w:pPr>
      <w:r>
        <w:rPr>
          <w:sz w:val="24"/>
          <w:szCs w:val="24"/>
        </w:rPr>
        <w:t>U</w:t>
      </w:r>
      <w:r w:rsidRPr="0004221B">
        <w:rPr>
          <w:sz w:val="24"/>
          <w:szCs w:val="24"/>
        </w:rPr>
        <w:t xml:space="preserve"> listopadu 2024. Europska </w:t>
      </w:r>
      <w:r>
        <w:rPr>
          <w:sz w:val="24"/>
          <w:szCs w:val="24"/>
        </w:rPr>
        <w:t>k</w:t>
      </w:r>
      <w:r w:rsidRPr="0004221B">
        <w:rPr>
          <w:sz w:val="24"/>
          <w:szCs w:val="24"/>
        </w:rPr>
        <w:t xml:space="preserve">omisija je odobrila </w:t>
      </w:r>
      <w:r>
        <w:rPr>
          <w:sz w:val="24"/>
          <w:szCs w:val="24"/>
        </w:rPr>
        <w:t>D</w:t>
      </w:r>
      <w:r w:rsidRPr="0004221B">
        <w:rPr>
          <w:sz w:val="24"/>
          <w:szCs w:val="24"/>
        </w:rPr>
        <w:t>rugu izmjenu Karte regionalnih potpora za Republiku Hrvatsku za razdoblje od 2022. do 2027. godine</w:t>
      </w:r>
      <w:r>
        <w:rPr>
          <w:sz w:val="24"/>
          <w:szCs w:val="24"/>
        </w:rPr>
        <w:t xml:space="preserve">, čime je </w:t>
      </w:r>
      <w:r w:rsidRPr="0004221B">
        <w:rPr>
          <w:sz w:val="24"/>
          <w:szCs w:val="24"/>
        </w:rPr>
        <w:t xml:space="preserve">omogućeno povećanje najviših intenziteta potpore u visini od 10% za tri NUTS 2 regije: Panonsku Hrvatsku, Sjevernu Hrvatsku i Jadransku Hrvatsku, te u visini od 5% za  Grad Zagreb. </w:t>
      </w:r>
      <w:r w:rsidRPr="009F4E06">
        <w:rPr>
          <w:sz w:val="24"/>
          <w:szCs w:val="24"/>
        </w:rPr>
        <w:t>Ove izmjene, koje s</w:t>
      </w:r>
      <w:r>
        <w:rPr>
          <w:sz w:val="24"/>
          <w:szCs w:val="24"/>
        </w:rPr>
        <w:t>u</w:t>
      </w:r>
      <w:r w:rsidRPr="009F4E06">
        <w:rPr>
          <w:sz w:val="24"/>
          <w:szCs w:val="24"/>
        </w:rPr>
        <w:t xml:space="preserve"> </w:t>
      </w:r>
      <w:r>
        <w:rPr>
          <w:sz w:val="24"/>
          <w:szCs w:val="24"/>
        </w:rPr>
        <w:t xml:space="preserve">u </w:t>
      </w:r>
      <w:r w:rsidRPr="009F4E06">
        <w:rPr>
          <w:sz w:val="24"/>
          <w:szCs w:val="24"/>
        </w:rPr>
        <w:t>primjen</w:t>
      </w:r>
      <w:r>
        <w:rPr>
          <w:sz w:val="24"/>
          <w:szCs w:val="24"/>
        </w:rPr>
        <w:t>i</w:t>
      </w:r>
      <w:r w:rsidRPr="009F4E06">
        <w:rPr>
          <w:sz w:val="24"/>
          <w:szCs w:val="24"/>
        </w:rPr>
        <w:t xml:space="preserve"> od ožujka 2024., prate pozitivan trend gospodarske konvergencije, rasta plaća i smanjenja regionalnih nejednakosti.</w:t>
      </w:r>
      <w:r>
        <w:rPr>
          <w:sz w:val="24"/>
          <w:szCs w:val="24"/>
        </w:rPr>
        <w:t xml:space="preserve"> </w:t>
      </w:r>
      <w:r w:rsidRPr="0004221B">
        <w:rPr>
          <w:sz w:val="24"/>
          <w:szCs w:val="24"/>
        </w:rPr>
        <w:t>Ti rezultati potvrđuju da su provedene mjere u okviru Programa održivog društvenog i gospodarskog razvoja potpomognutih područja 2022.</w:t>
      </w:r>
      <w:r>
        <w:rPr>
          <w:sz w:val="24"/>
          <w:szCs w:val="24"/>
        </w:rPr>
        <w:t xml:space="preserve"> - </w:t>
      </w:r>
      <w:r w:rsidRPr="0004221B">
        <w:rPr>
          <w:sz w:val="24"/>
          <w:szCs w:val="24"/>
        </w:rPr>
        <w:t>2025., kao i ostalih programa pridonijele uravnoteženijem teritorijalnom razvoju i jačanju gospodarske otpornosti Hrvatske.</w:t>
      </w:r>
    </w:p>
    <w:p w14:paraId="3DEFD6FC" w14:textId="77777777" w:rsidR="00FB178A" w:rsidRDefault="00FB178A" w:rsidP="00FB178A">
      <w:pPr>
        <w:spacing w:before="240" w:after="160" w:line="276" w:lineRule="auto"/>
        <w:jc w:val="both"/>
        <w:rPr>
          <w:sz w:val="24"/>
          <w:szCs w:val="24"/>
        </w:rPr>
      </w:pPr>
      <w:r w:rsidRPr="001D1CDF">
        <w:rPr>
          <w:sz w:val="24"/>
          <w:szCs w:val="24"/>
        </w:rPr>
        <w:lastRenderedPageBreak/>
        <w:t>Tijekom 2024. nastavljena je provedba Programa održivog razvoja potpomognutih područja (2022. – 2025.), čime je osigurana sustavna podrška slabije razvijenim krajevima. Kroz niz javnih poziva i specijaliziranih programa za gospodarsku revitalizaciju (Slavonija, Baranja i Srijem, Ravni kotari, Bukovica, Neretvanska dolina te Karlovačka i Sisačko-moslavačka županija), realizirano je 428 infrastrukturnih projekata ukupne vrijednosti 26,5 milijuna eura. Ulaganja u komunalnu, prometnu i društvenu infrastrukturu izravno su doprinijela jačanju gospodarske aktivnosti, rastu zaposlenosti i podizanju kvalitete života na tim područjima</w:t>
      </w:r>
      <w:r>
        <w:rPr>
          <w:sz w:val="24"/>
          <w:szCs w:val="24"/>
        </w:rPr>
        <w:t>.</w:t>
      </w:r>
    </w:p>
    <w:p w14:paraId="3517679A" w14:textId="77777777" w:rsidR="00FB178A" w:rsidRDefault="00FB178A" w:rsidP="00FB178A">
      <w:pPr>
        <w:spacing w:before="240" w:line="276" w:lineRule="auto"/>
        <w:jc w:val="both"/>
        <w:rPr>
          <w:sz w:val="24"/>
          <w:szCs w:val="24"/>
        </w:rPr>
      </w:pPr>
      <w:r w:rsidRPr="001D28B6">
        <w:rPr>
          <w:sz w:val="24"/>
          <w:szCs w:val="24"/>
        </w:rPr>
        <w:t>U 2024. godini poseban fokus stavljen je na 85 jedinica lokalne samouprave s</w:t>
      </w:r>
      <w:r>
        <w:rPr>
          <w:sz w:val="24"/>
          <w:szCs w:val="24"/>
        </w:rPr>
        <w:t>a statusom</w:t>
      </w:r>
      <w:r w:rsidRPr="001D28B6">
        <w:rPr>
          <w:sz w:val="24"/>
          <w:szCs w:val="24"/>
        </w:rPr>
        <w:t xml:space="preserve"> brdsko-planinski</w:t>
      </w:r>
      <w:r>
        <w:rPr>
          <w:sz w:val="24"/>
          <w:szCs w:val="24"/>
        </w:rPr>
        <w:t>h</w:t>
      </w:r>
      <w:r w:rsidRPr="001D28B6">
        <w:rPr>
          <w:sz w:val="24"/>
          <w:szCs w:val="24"/>
        </w:rPr>
        <w:t xml:space="preserve"> </w:t>
      </w:r>
      <w:r>
        <w:rPr>
          <w:sz w:val="24"/>
          <w:szCs w:val="24"/>
        </w:rPr>
        <w:t xml:space="preserve">područja, </w:t>
      </w:r>
      <w:r w:rsidRPr="001D28B6">
        <w:rPr>
          <w:sz w:val="24"/>
          <w:szCs w:val="24"/>
        </w:rPr>
        <w:t>kako bi se ublažil</w:t>
      </w:r>
      <w:r>
        <w:rPr>
          <w:sz w:val="24"/>
          <w:szCs w:val="24"/>
        </w:rPr>
        <w:t xml:space="preserve">i negativni </w:t>
      </w:r>
      <w:r w:rsidRPr="001D28B6">
        <w:rPr>
          <w:sz w:val="24"/>
          <w:szCs w:val="24"/>
        </w:rPr>
        <w:t>demografsk</w:t>
      </w:r>
      <w:r>
        <w:rPr>
          <w:sz w:val="24"/>
          <w:szCs w:val="24"/>
        </w:rPr>
        <w:t xml:space="preserve">i trendovi </w:t>
      </w:r>
      <w:r w:rsidRPr="001D28B6">
        <w:rPr>
          <w:sz w:val="24"/>
          <w:szCs w:val="24"/>
        </w:rPr>
        <w:t>i geografska ograničenja</w:t>
      </w:r>
      <w:r>
        <w:rPr>
          <w:sz w:val="24"/>
          <w:szCs w:val="24"/>
        </w:rPr>
        <w:t xml:space="preserve"> tih područja</w:t>
      </w:r>
      <w:r w:rsidRPr="001D28B6">
        <w:rPr>
          <w:sz w:val="24"/>
          <w:szCs w:val="24"/>
        </w:rPr>
        <w:t xml:space="preserve">. Kroz nacionalne programe namijenjene Lici, Gorskom kotaru i Dalmatinskoj zagori, </w:t>
      </w:r>
      <w:r>
        <w:rPr>
          <w:sz w:val="24"/>
          <w:szCs w:val="24"/>
        </w:rPr>
        <w:t xml:space="preserve">tijekom 2024. </w:t>
      </w:r>
      <w:r w:rsidRPr="001D28B6">
        <w:rPr>
          <w:sz w:val="24"/>
          <w:szCs w:val="24"/>
        </w:rPr>
        <w:t xml:space="preserve">realizirano je 140 projekata </w:t>
      </w:r>
      <w:r>
        <w:rPr>
          <w:sz w:val="24"/>
          <w:szCs w:val="24"/>
        </w:rPr>
        <w:t xml:space="preserve">ukupne </w:t>
      </w:r>
      <w:r w:rsidRPr="001D28B6">
        <w:rPr>
          <w:sz w:val="24"/>
          <w:szCs w:val="24"/>
        </w:rPr>
        <w:t>vrijedn</w:t>
      </w:r>
      <w:r>
        <w:rPr>
          <w:sz w:val="24"/>
          <w:szCs w:val="24"/>
        </w:rPr>
        <w:t>osti</w:t>
      </w:r>
      <w:r w:rsidRPr="001D28B6">
        <w:rPr>
          <w:sz w:val="24"/>
          <w:szCs w:val="24"/>
        </w:rPr>
        <w:t xml:space="preserve"> 10,2 milijuna eura, primarno u sektoru prometa, komunalne infrastrukture i javnih usluga. Dodatni strateški iskorak </w:t>
      </w:r>
      <w:r>
        <w:rPr>
          <w:sz w:val="24"/>
          <w:szCs w:val="24"/>
        </w:rPr>
        <w:t xml:space="preserve">za razvoj brdsko-planinskih područja </w:t>
      </w:r>
      <w:r w:rsidRPr="001D28B6">
        <w:rPr>
          <w:sz w:val="24"/>
          <w:szCs w:val="24"/>
        </w:rPr>
        <w:t xml:space="preserve">učinjen je </w:t>
      </w:r>
      <w:r>
        <w:rPr>
          <w:sz w:val="24"/>
          <w:szCs w:val="24"/>
        </w:rPr>
        <w:t>kroz</w:t>
      </w:r>
      <w:r w:rsidRPr="001D28B6">
        <w:rPr>
          <w:sz w:val="24"/>
          <w:szCs w:val="24"/>
        </w:rPr>
        <w:t xml:space="preserve"> </w:t>
      </w:r>
      <w:r>
        <w:rPr>
          <w:sz w:val="24"/>
          <w:szCs w:val="24"/>
        </w:rPr>
        <w:t xml:space="preserve">PKK </w:t>
      </w:r>
      <w:r w:rsidRPr="001D28B6">
        <w:rPr>
          <w:sz w:val="24"/>
          <w:szCs w:val="24"/>
        </w:rPr>
        <w:t>2021.</w:t>
      </w:r>
      <w:r>
        <w:rPr>
          <w:sz w:val="24"/>
          <w:szCs w:val="24"/>
        </w:rPr>
        <w:t>-</w:t>
      </w:r>
      <w:r w:rsidRPr="001D28B6">
        <w:rPr>
          <w:sz w:val="24"/>
          <w:szCs w:val="24"/>
        </w:rPr>
        <w:t xml:space="preserve">2027., </w:t>
      </w:r>
      <w:r>
        <w:rPr>
          <w:sz w:val="24"/>
          <w:szCs w:val="24"/>
        </w:rPr>
        <w:t>u okviru kojeg</w:t>
      </w:r>
      <w:r w:rsidRPr="001D28B6">
        <w:rPr>
          <w:sz w:val="24"/>
          <w:szCs w:val="24"/>
        </w:rPr>
        <w:t xml:space="preserve"> su otvoreni pozivi za protupožarnu zaštitu, biciklističku infrastrukturu i stambeno zbrinjavanje, uz ukupnu alokaciju od preko 150 milijuna eura</w:t>
      </w:r>
      <w:r>
        <w:rPr>
          <w:sz w:val="24"/>
          <w:szCs w:val="24"/>
        </w:rPr>
        <w:t xml:space="preserve"> bespovratnih sredstava</w:t>
      </w:r>
      <w:r w:rsidRPr="001D28B6">
        <w:rPr>
          <w:sz w:val="24"/>
          <w:szCs w:val="24"/>
        </w:rPr>
        <w:t>.</w:t>
      </w:r>
    </w:p>
    <w:p w14:paraId="5DEE418E" w14:textId="77777777" w:rsidR="00FB178A" w:rsidRPr="00BE17F4" w:rsidRDefault="00FB178A" w:rsidP="00FB178A">
      <w:pPr>
        <w:spacing w:before="240" w:after="160" w:line="276" w:lineRule="auto"/>
        <w:ind w:firstLine="720"/>
        <w:jc w:val="both"/>
        <w:rPr>
          <w:b/>
          <w:sz w:val="24"/>
          <w:szCs w:val="24"/>
        </w:rPr>
      </w:pPr>
      <w:r w:rsidRPr="00052374">
        <w:rPr>
          <w:sz w:val="24"/>
          <w:szCs w:val="24"/>
        </w:rPr>
        <w:t xml:space="preserve">U suradnji s OECD-om, u travnju 2024. završena je provedba projekta „Jačanje strateškog planiranja na regionalnoj i lokalnoj razini u Republici Hrvatskoj“, ukupne vrijednosti 1,1 milijun eura, sufinanciranog sredstvima Financijskog mehanizma Kraljevine Norveške. Projekt je bio usmjeren na jačanje višerazinskog upravljanja te unaprjeđenje kapaciteta i </w:t>
      </w:r>
      <w:r>
        <w:rPr>
          <w:sz w:val="24"/>
          <w:szCs w:val="24"/>
        </w:rPr>
        <w:t xml:space="preserve">primjene </w:t>
      </w:r>
      <w:r w:rsidRPr="00052374">
        <w:rPr>
          <w:sz w:val="24"/>
          <w:szCs w:val="24"/>
        </w:rPr>
        <w:t xml:space="preserve">dobrih praksi strateškog planiranja na regionalnoj i lokalnoj razini. U okviru projekta provedene su aktivnosti jačanja kapaciteta i prijenosa znanja, izrađene su preporuke OECD-a za daljnje unaprjeđenje strateškog planiranja i provedbe integriranih teritorijalnih ulaganja radi poticanja ravnomjernijeg </w:t>
      </w:r>
      <w:r w:rsidRPr="00B83DB9">
        <w:rPr>
          <w:bCs/>
          <w:sz w:val="24"/>
          <w:szCs w:val="24"/>
        </w:rPr>
        <w:t xml:space="preserve">regionalnog razvoja, a razvijen je i alat za </w:t>
      </w:r>
      <w:proofErr w:type="spellStart"/>
      <w:r w:rsidRPr="00B83DB9">
        <w:rPr>
          <w:bCs/>
          <w:sz w:val="24"/>
          <w:szCs w:val="24"/>
        </w:rPr>
        <w:t>samoprocjenu</w:t>
      </w:r>
      <w:proofErr w:type="spellEnd"/>
      <w:r w:rsidRPr="00B83DB9">
        <w:rPr>
          <w:bCs/>
          <w:sz w:val="24"/>
          <w:szCs w:val="24"/>
        </w:rPr>
        <w:t xml:space="preserve"> kapaciteta regionalnih razvojnih agencija te pripremljena analiza s preporukama za njihovo daljnje unaprjeđenje.</w:t>
      </w:r>
    </w:p>
    <w:p w14:paraId="1855D0C9" w14:textId="77777777" w:rsidR="00FB178A" w:rsidRPr="0004221B" w:rsidRDefault="00FB178A" w:rsidP="00FB178A">
      <w:pPr>
        <w:spacing w:before="240" w:after="160" w:line="276" w:lineRule="auto"/>
        <w:ind w:firstLine="720"/>
        <w:jc w:val="both"/>
        <w:rPr>
          <w:b/>
          <w:sz w:val="24"/>
          <w:szCs w:val="24"/>
        </w:rPr>
      </w:pPr>
      <w:r w:rsidRPr="0004221B">
        <w:rPr>
          <w:b/>
          <w:sz w:val="24"/>
          <w:szCs w:val="24"/>
        </w:rPr>
        <w:t>Razvoj pametnih i održivih otoka</w:t>
      </w:r>
    </w:p>
    <w:p w14:paraId="2F376D96" w14:textId="77777777" w:rsidR="00FB178A" w:rsidRPr="0004221B" w:rsidRDefault="00FB178A" w:rsidP="00FB178A">
      <w:pPr>
        <w:spacing w:before="240" w:after="160" w:line="276" w:lineRule="auto"/>
        <w:ind w:firstLine="720"/>
        <w:jc w:val="both"/>
        <w:rPr>
          <w:sz w:val="24"/>
          <w:szCs w:val="24"/>
        </w:rPr>
      </w:pPr>
      <w:r w:rsidRPr="00AA2CF1">
        <w:rPr>
          <w:bCs/>
          <w:sz w:val="24"/>
          <w:szCs w:val="24"/>
        </w:rPr>
        <w:t>U 2024. nastavljen</w:t>
      </w:r>
      <w:r w:rsidRPr="0004221B">
        <w:rPr>
          <w:sz w:val="24"/>
          <w:szCs w:val="24"/>
        </w:rPr>
        <w:t xml:space="preserve"> je rad na provedbi Nacionalnog plana razvoja otoka 2021.-2027., koji je temeljni </w:t>
      </w:r>
      <w:r>
        <w:rPr>
          <w:sz w:val="24"/>
          <w:szCs w:val="24"/>
        </w:rPr>
        <w:t>akt strateškog planiranja politike</w:t>
      </w:r>
      <w:r w:rsidRPr="0004221B">
        <w:rPr>
          <w:sz w:val="24"/>
          <w:szCs w:val="24"/>
        </w:rPr>
        <w:t xml:space="preserve"> održivog otočnog razvoja. Aktivnosti su provedene u skladu s načelima održivog gospodarstva, zelene tranzicije i demografske obnove.</w:t>
      </w:r>
      <w:r>
        <w:rPr>
          <w:sz w:val="24"/>
          <w:szCs w:val="24"/>
        </w:rPr>
        <w:t xml:space="preserve"> </w:t>
      </w:r>
      <w:r w:rsidRPr="0004221B">
        <w:rPr>
          <w:sz w:val="24"/>
          <w:szCs w:val="24"/>
        </w:rPr>
        <w:t>Pozitivni trendovi zabilježeni u 2023. nastavili su se i u 2024. Broj aktivnih gospodarskih subjekata na otocima povećan je za 13,4%, stopa zaposlenosti porasla je za 9,2%, dok su prihodi otočnih gospodarstvenika porasli za 6,2% u odnosu na prethodnu godinu. U sustavu predškolskog odgoja i obrazovanja stopa upisa djece povećana je za 4,95% u odnosu na prošlu godinu, što potvrđuje postupni demografski oporavak i rast kvalitete života otočnog stanovništva.</w:t>
      </w:r>
      <w:r>
        <w:rPr>
          <w:sz w:val="24"/>
          <w:szCs w:val="24"/>
        </w:rPr>
        <w:t xml:space="preserve"> </w:t>
      </w:r>
      <w:r w:rsidRPr="0004221B">
        <w:rPr>
          <w:sz w:val="24"/>
          <w:szCs w:val="24"/>
        </w:rPr>
        <w:t>Dostupnost osnovne infrastrukture također se poboljšala: udio stanovništva priključenog na javnu vodoopskrbu dosegnuo je 91,77% (+0,87%), a priključenost na sustav javne odvodnje 47,42% (+4,87%), što predstavlja porast u odnosu na 2023. U pomorskom prometu zabilježen je rast broja dnevnih polazaka brodskih linija izvan turističke sezone za 8,9%, čime se osigurava bolja povezanost i mobilnost otočnog stanovništva tijekom cijele godine.</w:t>
      </w:r>
    </w:p>
    <w:p w14:paraId="7C73E0AA" w14:textId="77777777" w:rsidR="00FB178A" w:rsidRPr="0004221B" w:rsidRDefault="00FB178A" w:rsidP="00FB178A">
      <w:pPr>
        <w:spacing w:after="160" w:line="276" w:lineRule="auto"/>
        <w:jc w:val="both"/>
        <w:rPr>
          <w:sz w:val="24"/>
          <w:szCs w:val="24"/>
        </w:rPr>
      </w:pPr>
      <w:r w:rsidRPr="0004221B">
        <w:rPr>
          <w:sz w:val="24"/>
          <w:szCs w:val="24"/>
        </w:rPr>
        <w:lastRenderedPageBreak/>
        <w:t xml:space="preserve">U okviru Programa potpore otočnim poslodavcima, tijekom 2024. </w:t>
      </w:r>
      <w:r>
        <w:rPr>
          <w:sz w:val="24"/>
          <w:szCs w:val="24"/>
        </w:rPr>
        <w:t xml:space="preserve">ukupno </w:t>
      </w:r>
      <w:r w:rsidRPr="0004221B">
        <w:rPr>
          <w:sz w:val="24"/>
          <w:szCs w:val="24"/>
        </w:rPr>
        <w:t xml:space="preserve">652 poslodavca ostvarila su potporu za 3.097 zaposlenika s prebivalištem na otocima, u ukupnom iznosu od 1,5 milijuna eura. Dodatno, kroz Program označavanja otočnih proizvoda oznakom „Hrvatski otočni proizvod (HOP)”, potporu je dobilo 49 otočnih proizvođača za ukupno 100 proizvoda, čime se potiče razvoj </w:t>
      </w:r>
      <w:proofErr w:type="spellStart"/>
      <w:r w:rsidRPr="0004221B">
        <w:rPr>
          <w:sz w:val="24"/>
          <w:szCs w:val="24"/>
        </w:rPr>
        <w:t>brenda</w:t>
      </w:r>
      <w:proofErr w:type="spellEnd"/>
      <w:r w:rsidRPr="0004221B">
        <w:rPr>
          <w:sz w:val="24"/>
          <w:szCs w:val="24"/>
        </w:rPr>
        <w:t xml:space="preserve"> i održivih gospodarskih aktivnosti temeljenih na lokalnim resursima.</w:t>
      </w:r>
      <w:r w:rsidRPr="0004221B">
        <w:rPr>
          <w:rFonts w:ascii="Aptos" w:eastAsia="Aptos" w:hAnsi="Aptos" w:cs="Aptos"/>
          <w:sz w:val="24"/>
          <w:szCs w:val="24"/>
        </w:rPr>
        <w:t xml:space="preserve"> </w:t>
      </w:r>
      <w:r w:rsidRPr="0004221B">
        <w:rPr>
          <w:sz w:val="24"/>
          <w:szCs w:val="24"/>
        </w:rPr>
        <w:t xml:space="preserve">Na otocima </w:t>
      </w:r>
      <w:r>
        <w:rPr>
          <w:sz w:val="24"/>
          <w:szCs w:val="24"/>
        </w:rPr>
        <w:t xml:space="preserve">je </w:t>
      </w:r>
      <w:r w:rsidRPr="0004221B">
        <w:rPr>
          <w:sz w:val="24"/>
          <w:szCs w:val="24"/>
        </w:rPr>
        <w:t>nastavljeno jačanje civilnog društva, pa je tako u sklopu javnog poziva za 2024. podržano 43 projek</w:t>
      </w:r>
      <w:r>
        <w:rPr>
          <w:sz w:val="24"/>
          <w:szCs w:val="24"/>
        </w:rPr>
        <w:t>a</w:t>
      </w:r>
      <w:r w:rsidRPr="0004221B">
        <w:rPr>
          <w:sz w:val="24"/>
          <w:szCs w:val="24"/>
        </w:rPr>
        <w:t>ta organizacija civilnog društva na otocima u iznosu potpore od 0,39 milijuna eura.</w:t>
      </w:r>
      <w:r>
        <w:rPr>
          <w:sz w:val="24"/>
          <w:szCs w:val="24"/>
        </w:rPr>
        <w:t xml:space="preserve"> </w:t>
      </w:r>
      <w:r w:rsidRPr="0004221B">
        <w:rPr>
          <w:sz w:val="24"/>
          <w:szCs w:val="24"/>
        </w:rPr>
        <w:t>Provedeno je 27 projekata javne namjene i 11 projekata sportsko-rekreativne infrastrukture, ukupne vrijednosti 2,63 milijuna eura, dok je za sufinanciranje opskrbe stanovništva vodom na otocima bez javne vodoopskrbe osigurano 2,24 milijuna eura iz državnog proračuna.</w:t>
      </w:r>
    </w:p>
    <w:p w14:paraId="047EDD69" w14:textId="77777777" w:rsidR="00FB178A" w:rsidRPr="0004221B" w:rsidRDefault="00FB178A" w:rsidP="00FB178A">
      <w:pPr>
        <w:spacing w:after="240" w:line="276" w:lineRule="auto"/>
        <w:jc w:val="both"/>
        <w:rPr>
          <w:sz w:val="24"/>
          <w:szCs w:val="24"/>
        </w:rPr>
      </w:pPr>
      <w:r w:rsidRPr="0004221B">
        <w:rPr>
          <w:sz w:val="24"/>
          <w:szCs w:val="24"/>
        </w:rPr>
        <w:t>Tijekom 2024. ostvaren je napredak u osiguravanju preduvjeta za provedbu ulaganja za razvoj otoka u okviru ITP 2021.-2027. Započela je provedba teritorijalnih strategija za razvoj otoka koje su usvojene od strane predstavničkih tijela sedam obalno-otočnih županija u 2023. U 2024.</w:t>
      </w:r>
      <w:r>
        <w:rPr>
          <w:sz w:val="24"/>
          <w:szCs w:val="24"/>
        </w:rPr>
        <w:t xml:space="preserve"> </w:t>
      </w:r>
      <w:r w:rsidRPr="0004221B">
        <w:rPr>
          <w:sz w:val="24"/>
          <w:szCs w:val="24"/>
        </w:rPr>
        <w:t xml:space="preserve">proveden je Poziv na dostavu prijava za sudjelovanje u postupku pred-odabira unaprijed određenih prijavitelja te </w:t>
      </w:r>
      <w:proofErr w:type="spellStart"/>
      <w:r w:rsidRPr="0004221B">
        <w:rPr>
          <w:sz w:val="24"/>
          <w:szCs w:val="24"/>
        </w:rPr>
        <w:t>prioritiziranih</w:t>
      </w:r>
      <w:proofErr w:type="spellEnd"/>
      <w:r w:rsidRPr="0004221B">
        <w:rPr>
          <w:sz w:val="24"/>
          <w:szCs w:val="24"/>
        </w:rPr>
        <w:t xml:space="preserve"> i integriranih projektnih prijedloga u svrhu provedbe teritorijalne strategije za područje otoka za svaku pojedinu županiju temeljem kojega su odabrani projekti za provedbu u okviru ITP-a</w:t>
      </w:r>
      <w:r>
        <w:rPr>
          <w:sz w:val="24"/>
          <w:szCs w:val="24"/>
        </w:rPr>
        <w:t xml:space="preserve"> 2021.-2027.</w:t>
      </w:r>
      <w:r w:rsidRPr="0004221B">
        <w:rPr>
          <w:sz w:val="24"/>
          <w:szCs w:val="24"/>
        </w:rPr>
        <w:t xml:space="preserve">. Sklopljeni su Sporazumi o provedbi teritorijalnih strategija između MRRFEU i svake od županija u kojima je lista projekata za financiranje iz ITP-a </w:t>
      </w:r>
      <w:r>
        <w:rPr>
          <w:sz w:val="24"/>
          <w:szCs w:val="24"/>
        </w:rPr>
        <w:t>2021.-2027.</w:t>
      </w:r>
      <w:r w:rsidRPr="0004221B">
        <w:rPr>
          <w:sz w:val="24"/>
          <w:szCs w:val="24"/>
        </w:rPr>
        <w:t xml:space="preserve"> za otoke sastavni dio. U 2024. objavljeno je 16 izravnih dodjela za provedbu projekata iz ITP-a </w:t>
      </w:r>
      <w:r>
        <w:rPr>
          <w:sz w:val="24"/>
          <w:szCs w:val="24"/>
        </w:rPr>
        <w:t xml:space="preserve">2021.-2027. </w:t>
      </w:r>
      <w:r w:rsidRPr="0004221B">
        <w:rPr>
          <w:sz w:val="24"/>
          <w:szCs w:val="24"/>
        </w:rPr>
        <w:t>za otoke u vrijednosti 40,66 milijuna eura bespovratnih sredstava.</w:t>
      </w:r>
    </w:p>
    <w:p w14:paraId="1200BE2B" w14:textId="77777777" w:rsidR="00FB178A" w:rsidRDefault="00FB178A" w:rsidP="00FB178A">
      <w:pPr>
        <w:spacing w:after="240" w:line="276" w:lineRule="auto"/>
        <w:jc w:val="both"/>
        <w:rPr>
          <w:sz w:val="24"/>
          <w:szCs w:val="24"/>
        </w:rPr>
      </w:pPr>
      <w:r w:rsidRPr="0004221B">
        <w:rPr>
          <w:sz w:val="24"/>
          <w:szCs w:val="24"/>
        </w:rPr>
        <w:t>Sve navedeno pokazuje da ulaganja u infrastrukturu, gospodarstvo i socijalne usluge pridonose smanjenju negativnih trendova te jačanju održivog razvoja i kvalitete života na hrvatskim otocima. S druge strane, određena područja (zdravstvena zaštita, IKT infrastruktura, korištenje OIE, gospodarenje otpadom, prometna povezanost) još uvijek zahtijevaju dodatnu pozornost i izravnije mjere. Rezultati ostvareni tijekom 2024. ukazuju na primjerenost i djelotvornost provedenih ulaganja te na potrebu za njihovim nastavkom i daljnjim jačanjem u narednom razdoblju.</w:t>
      </w:r>
      <w:r>
        <w:rPr>
          <w:sz w:val="24"/>
          <w:szCs w:val="24"/>
        </w:rPr>
        <w:t xml:space="preserve"> </w:t>
      </w:r>
      <w:r w:rsidRPr="0004221B">
        <w:rPr>
          <w:sz w:val="24"/>
          <w:szCs w:val="24"/>
        </w:rPr>
        <w:t>U cilju jačanja normativnog okvira za dugoročni održivi razvoj, krajem 2024. započet je proces izrade novog Zakona o otocima</w:t>
      </w:r>
      <w:r>
        <w:rPr>
          <w:sz w:val="24"/>
          <w:szCs w:val="24"/>
        </w:rPr>
        <w:t xml:space="preserve"> (Zakon je donesen u veljači 2026.)</w:t>
      </w:r>
      <w:r w:rsidRPr="0004221B">
        <w:rPr>
          <w:sz w:val="24"/>
          <w:szCs w:val="24"/>
        </w:rPr>
        <w:t xml:space="preserve"> kojim se planira redefinirati model upravljanja otočnim resursima, uvesti dodatni fiskalni poticaji i mjere za zelenu i digitalnu transformaciju otočnih zajednica, te poboljšati mehanizmi praćenja učinaka otočne politike.</w:t>
      </w:r>
    </w:p>
    <w:p w14:paraId="418C33DD" w14:textId="77777777" w:rsidR="00FB178A" w:rsidRDefault="00FB178A" w:rsidP="00FB178A">
      <w:pPr>
        <w:widowControl/>
        <w:spacing w:line="276" w:lineRule="auto"/>
        <w:jc w:val="both"/>
        <w:rPr>
          <w:sz w:val="24"/>
          <w:szCs w:val="24"/>
        </w:rPr>
      </w:pPr>
    </w:p>
    <w:p w14:paraId="3AAE80A0" w14:textId="77777777" w:rsidR="00FB178A" w:rsidRDefault="00FB178A" w:rsidP="00FB178A">
      <w:pPr>
        <w:rPr>
          <w:sz w:val="24"/>
          <w:szCs w:val="24"/>
        </w:rPr>
      </w:pPr>
      <w:r>
        <w:rPr>
          <w:sz w:val="24"/>
          <w:szCs w:val="24"/>
        </w:rPr>
        <w:br w:type="page"/>
      </w:r>
    </w:p>
    <w:p w14:paraId="53893DB6" w14:textId="77777777" w:rsidR="00FB178A" w:rsidRPr="004C7396" w:rsidRDefault="00FB178A" w:rsidP="00FB178A">
      <w:pPr>
        <w:pStyle w:val="Heading2"/>
        <w:spacing w:line="276" w:lineRule="auto"/>
        <w:rPr>
          <w:sz w:val="24"/>
          <w:szCs w:val="24"/>
        </w:rPr>
      </w:pPr>
      <w:bookmarkStart w:id="111" w:name="_Toc223002959"/>
      <w:r w:rsidRPr="004C7396">
        <w:rPr>
          <w:sz w:val="24"/>
          <w:szCs w:val="24"/>
        </w:rPr>
        <w:lastRenderedPageBreak/>
        <w:t>13. Jačanje regionalne konkurentnosti</w:t>
      </w:r>
      <w:bookmarkEnd w:id="111"/>
    </w:p>
    <w:p w14:paraId="531142D0" w14:textId="77777777" w:rsidR="00FB178A" w:rsidRPr="00145379" w:rsidRDefault="00FB178A" w:rsidP="00FB178A">
      <w:pPr>
        <w:pStyle w:val="Heading3"/>
      </w:pPr>
      <w:bookmarkStart w:id="112" w:name="_Toc223002960"/>
      <w:r w:rsidRPr="7B8BC2C2">
        <w:t>13.1. Ostvarene vrijednosti pokazatelja uspješnosti</w:t>
      </w:r>
      <w:bookmarkEnd w:id="112"/>
      <w:r w:rsidRPr="7B8BC2C2">
        <w:t xml:space="preserve"> </w:t>
      </w:r>
    </w:p>
    <w:tbl>
      <w:tblPr>
        <w:tblW w:w="0" w:type="auto"/>
        <w:tblInd w:w="2"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4A0" w:firstRow="1" w:lastRow="0" w:firstColumn="1" w:lastColumn="0" w:noHBand="0" w:noVBand="1"/>
      </w:tblPr>
      <w:tblGrid>
        <w:gridCol w:w="3105"/>
        <w:gridCol w:w="1695"/>
        <w:gridCol w:w="1980"/>
        <w:gridCol w:w="2265"/>
      </w:tblGrid>
      <w:tr w:rsidR="00FB178A" w:rsidRPr="00145379" w14:paraId="2C5960CF" w14:textId="77777777" w:rsidTr="009E18ED">
        <w:trPr>
          <w:trHeight w:val="300"/>
        </w:trPr>
        <w:tc>
          <w:tcPr>
            <w:tcW w:w="3105" w:type="dxa"/>
            <w:tcBorders>
              <w:top w:val="dotted" w:sz="8" w:space="0" w:color="auto"/>
              <w:left w:val="dotted" w:sz="8" w:space="0" w:color="auto"/>
              <w:bottom w:val="dotted" w:sz="8" w:space="0" w:color="auto"/>
              <w:right w:val="dotted" w:sz="8" w:space="0" w:color="auto"/>
            </w:tcBorders>
            <w:shd w:val="clear" w:color="auto" w:fill="B6DDE8" w:themeFill="accent5" w:themeFillTint="66"/>
            <w:vAlign w:val="center"/>
          </w:tcPr>
          <w:p w14:paraId="583CFB48" w14:textId="77777777" w:rsidR="00FB178A" w:rsidRPr="00145379" w:rsidRDefault="00FB178A" w:rsidP="009E18ED">
            <w:pPr>
              <w:spacing w:line="276" w:lineRule="auto"/>
              <w:jc w:val="center"/>
              <w:rPr>
                <w:sz w:val="24"/>
                <w:szCs w:val="24"/>
              </w:rPr>
            </w:pPr>
            <w:r w:rsidRPr="00145379">
              <w:rPr>
                <w:b/>
                <w:bCs/>
                <w:color w:val="000000" w:themeColor="text1"/>
                <w:sz w:val="24"/>
                <w:szCs w:val="24"/>
              </w:rPr>
              <w:t>Pokazatelj uspješnosti</w:t>
            </w:r>
            <w:r w:rsidRPr="00145379">
              <w:rPr>
                <w:color w:val="000000" w:themeColor="text1"/>
                <w:sz w:val="24"/>
                <w:szCs w:val="24"/>
              </w:rPr>
              <w:t xml:space="preserve"> </w:t>
            </w:r>
          </w:p>
        </w:tc>
        <w:tc>
          <w:tcPr>
            <w:tcW w:w="1695" w:type="dxa"/>
            <w:tcBorders>
              <w:top w:val="dotted" w:sz="8" w:space="0" w:color="auto"/>
              <w:left w:val="dotted" w:sz="8" w:space="0" w:color="auto"/>
              <w:bottom w:val="dotted" w:sz="8" w:space="0" w:color="auto"/>
              <w:right w:val="dotted" w:sz="8" w:space="0" w:color="auto"/>
            </w:tcBorders>
            <w:shd w:val="clear" w:color="auto" w:fill="B6DDE8" w:themeFill="accent5" w:themeFillTint="66"/>
            <w:vAlign w:val="center"/>
          </w:tcPr>
          <w:p w14:paraId="3680CB34" w14:textId="77777777" w:rsidR="00FB178A" w:rsidRPr="00145379" w:rsidRDefault="00FB178A" w:rsidP="009E18ED">
            <w:pPr>
              <w:spacing w:line="276" w:lineRule="auto"/>
              <w:jc w:val="center"/>
              <w:rPr>
                <w:sz w:val="24"/>
                <w:szCs w:val="24"/>
              </w:rPr>
            </w:pPr>
            <w:r w:rsidRPr="00145379">
              <w:rPr>
                <w:b/>
                <w:bCs/>
                <w:color w:val="000000" w:themeColor="text1"/>
                <w:sz w:val="24"/>
                <w:szCs w:val="24"/>
              </w:rPr>
              <w:t>Početna vrijednost</w:t>
            </w:r>
            <w:r w:rsidRPr="00145379">
              <w:rPr>
                <w:color w:val="000000" w:themeColor="text1"/>
                <w:sz w:val="24"/>
                <w:szCs w:val="24"/>
              </w:rPr>
              <w:t xml:space="preserve"> </w:t>
            </w:r>
          </w:p>
        </w:tc>
        <w:tc>
          <w:tcPr>
            <w:tcW w:w="1980" w:type="dxa"/>
            <w:tcBorders>
              <w:top w:val="dotted" w:sz="8" w:space="0" w:color="auto"/>
              <w:left w:val="dotted" w:sz="8" w:space="0" w:color="auto"/>
              <w:bottom w:val="dotted" w:sz="8" w:space="0" w:color="auto"/>
              <w:right w:val="dotted" w:sz="8" w:space="0" w:color="auto"/>
            </w:tcBorders>
            <w:shd w:val="clear" w:color="auto" w:fill="B6DDE8" w:themeFill="accent5" w:themeFillTint="66"/>
            <w:vAlign w:val="center"/>
          </w:tcPr>
          <w:p w14:paraId="06005FC3" w14:textId="77777777" w:rsidR="00FB178A" w:rsidRPr="00145379" w:rsidRDefault="00FB178A" w:rsidP="009E18ED">
            <w:pPr>
              <w:spacing w:line="276" w:lineRule="auto"/>
              <w:jc w:val="center"/>
              <w:rPr>
                <w:sz w:val="24"/>
                <w:szCs w:val="24"/>
              </w:rPr>
            </w:pPr>
            <w:r w:rsidRPr="00145379">
              <w:rPr>
                <w:b/>
                <w:bCs/>
                <w:color w:val="000000" w:themeColor="text1"/>
                <w:sz w:val="24"/>
                <w:szCs w:val="24"/>
              </w:rPr>
              <w:t>Ciljna</w:t>
            </w:r>
            <w:r w:rsidRPr="00145379">
              <w:rPr>
                <w:color w:val="000000" w:themeColor="text1"/>
                <w:sz w:val="24"/>
                <w:szCs w:val="24"/>
              </w:rPr>
              <w:t xml:space="preserve"> </w:t>
            </w:r>
          </w:p>
          <w:p w14:paraId="57667575" w14:textId="77777777" w:rsidR="00FB178A" w:rsidRPr="00145379" w:rsidRDefault="00FB178A" w:rsidP="009E18ED">
            <w:pPr>
              <w:spacing w:line="276" w:lineRule="auto"/>
              <w:jc w:val="center"/>
              <w:rPr>
                <w:sz w:val="24"/>
                <w:szCs w:val="24"/>
              </w:rPr>
            </w:pPr>
            <w:r w:rsidRPr="00145379">
              <w:rPr>
                <w:b/>
                <w:bCs/>
                <w:color w:val="000000" w:themeColor="text1"/>
                <w:sz w:val="24"/>
                <w:szCs w:val="24"/>
              </w:rPr>
              <w:t>vrijednost</w:t>
            </w:r>
            <w:r w:rsidRPr="00145379">
              <w:rPr>
                <w:color w:val="000000" w:themeColor="text1"/>
                <w:sz w:val="24"/>
                <w:szCs w:val="24"/>
              </w:rPr>
              <w:t xml:space="preserve"> </w:t>
            </w:r>
          </w:p>
        </w:tc>
        <w:tc>
          <w:tcPr>
            <w:tcW w:w="2265" w:type="dxa"/>
            <w:tcBorders>
              <w:top w:val="dotted" w:sz="8" w:space="0" w:color="auto"/>
              <w:left w:val="dotted" w:sz="8" w:space="0" w:color="auto"/>
              <w:bottom w:val="dotted" w:sz="8" w:space="0" w:color="auto"/>
              <w:right w:val="dotted" w:sz="8" w:space="0" w:color="auto"/>
            </w:tcBorders>
            <w:shd w:val="clear" w:color="auto" w:fill="B6DDE8" w:themeFill="accent5" w:themeFillTint="66"/>
            <w:vAlign w:val="center"/>
          </w:tcPr>
          <w:p w14:paraId="10B4FD7F" w14:textId="77777777" w:rsidR="00FB178A" w:rsidRPr="00145379" w:rsidRDefault="00FB178A" w:rsidP="009E18ED">
            <w:pPr>
              <w:spacing w:line="276" w:lineRule="auto"/>
              <w:jc w:val="center"/>
              <w:rPr>
                <w:sz w:val="24"/>
                <w:szCs w:val="24"/>
              </w:rPr>
            </w:pPr>
            <w:r w:rsidRPr="00145379">
              <w:rPr>
                <w:b/>
                <w:bCs/>
                <w:color w:val="000000" w:themeColor="text1"/>
                <w:sz w:val="24"/>
                <w:szCs w:val="24"/>
              </w:rPr>
              <w:t>Ostvarena</w:t>
            </w:r>
          </w:p>
          <w:p w14:paraId="0A6DAB82" w14:textId="77777777" w:rsidR="00FB178A" w:rsidRPr="00145379" w:rsidRDefault="00FB178A" w:rsidP="009E18ED">
            <w:pPr>
              <w:spacing w:line="276" w:lineRule="auto"/>
              <w:jc w:val="center"/>
              <w:rPr>
                <w:sz w:val="24"/>
                <w:szCs w:val="24"/>
              </w:rPr>
            </w:pPr>
            <w:r w:rsidRPr="00145379">
              <w:rPr>
                <w:b/>
                <w:bCs/>
                <w:color w:val="000000" w:themeColor="text1"/>
                <w:sz w:val="24"/>
                <w:szCs w:val="24"/>
              </w:rPr>
              <w:t>vrijednost</w:t>
            </w:r>
            <w:r w:rsidRPr="00145379">
              <w:rPr>
                <w:color w:val="000000" w:themeColor="text1"/>
                <w:sz w:val="24"/>
                <w:szCs w:val="24"/>
              </w:rPr>
              <w:t xml:space="preserve"> </w:t>
            </w:r>
          </w:p>
        </w:tc>
      </w:tr>
      <w:tr w:rsidR="00FB178A" w:rsidRPr="00145379" w14:paraId="235099A9" w14:textId="77777777" w:rsidTr="009E18ED">
        <w:trPr>
          <w:trHeight w:val="810"/>
        </w:trPr>
        <w:tc>
          <w:tcPr>
            <w:tcW w:w="3105" w:type="dxa"/>
            <w:tcBorders>
              <w:top w:val="dotted" w:sz="8" w:space="0" w:color="auto"/>
              <w:left w:val="dotted" w:sz="8" w:space="0" w:color="auto"/>
              <w:bottom w:val="dotted" w:sz="8" w:space="0" w:color="auto"/>
              <w:right w:val="nil"/>
            </w:tcBorders>
            <w:vAlign w:val="center"/>
          </w:tcPr>
          <w:p w14:paraId="7BE3C315" w14:textId="77777777" w:rsidR="00FB178A" w:rsidRPr="00B44EB7" w:rsidRDefault="00FB178A" w:rsidP="009E18ED">
            <w:pPr>
              <w:spacing w:line="276" w:lineRule="auto"/>
              <w:rPr>
                <w:i/>
                <w:sz w:val="24"/>
                <w:szCs w:val="24"/>
                <w:vertAlign w:val="superscript"/>
              </w:rPr>
            </w:pPr>
            <w:r w:rsidRPr="00B44EB7">
              <w:rPr>
                <w:i/>
                <w:color w:val="000000" w:themeColor="text1"/>
                <w:sz w:val="24"/>
                <w:szCs w:val="24"/>
              </w:rPr>
              <w:t>Regionalni indeks konkurentnosti RCI 2.0 (EU)</w:t>
            </w:r>
          </w:p>
        </w:tc>
        <w:tc>
          <w:tcPr>
            <w:tcW w:w="1695" w:type="dxa"/>
            <w:tcBorders>
              <w:top w:val="dotted" w:sz="8" w:space="0" w:color="auto"/>
              <w:left w:val="nil"/>
              <w:bottom w:val="dotted" w:sz="8" w:space="0" w:color="auto"/>
              <w:right w:val="nil"/>
            </w:tcBorders>
            <w:shd w:val="clear" w:color="auto" w:fill="DAEEF3" w:themeFill="accent5" w:themeFillTint="33"/>
            <w:vAlign w:val="center"/>
          </w:tcPr>
          <w:p w14:paraId="6BBFED52" w14:textId="77777777" w:rsidR="00FB178A" w:rsidRPr="00B44EB7" w:rsidRDefault="00FB178A" w:rsidP="009E18ED">
            <w:pPr>
              <w:spacing w:line="276" w:lineRule="auto"/>
              <w:jc w:val="center"/>
              <w:rPr>
                <w:i/>
                <w:sz w:val="24"/>
                <w:szCs w:val="24"/>
              </w:rPr>
            </w:pPr>
            <w:r w:rsidRPr="00B44EB7">
              <w:rPr>
                <w:i/>
                <w:color w:val="000000" w:themeColor="text1"/>
                <w:sz w:val="24"/>
                <w:szCs w:val="24"/>
              </w:rPr>
              <w:t xml:space="preserve">73,8 </w:t>
            </w:r>
            <w:r w:rsidRPr="00B44EB7">
              <w:rPr>
                <w:i/>
                <w:sz w:val="24"/>
                <w:szCs w:val="24"/>
              </w:rPr>
              <w:br/>
            </w:r>
            <w:r w:rsidRPr="00B44EB7">
              <w:rPr>
                <w:i/>
                <w:color w:val="000000" w:themeColor="text1"/>
                <w:sz w:val="24"/>
                <w:szCs w:val="24"/>
              </w:rPr>
              <w:t xml:space="preserve">(2019.) </w:t>
            </w:r>
          </w:p>
        </w:tc>
        <w:tc>
          <w:tcPr>
            <w:tcW w:w="1980" w:type="dxa"/>
            <w:tcBorders>
              <w:top w:val="dotted" w:sz="8" w:space="0" w:color="auto"/>
              <w:left w:val="nil"/>
              <w:bottom w:val="dotted" w:sz="8" w:space="0" w:color="auto"/>
              <w:right w:val="nil"/>
            </w:tcBorders>
            <w:vAlign w:val="center"/>
          </w:tcPr>
          <w:p w14:paraId="3D0043D2" w14:textId="77777777" w:rsidR="00FB178A" w:rsidRPr="00B44EB7" w:rsidRDefault="00FB178A" w:rsidP="009E18ED">
            <w:pPr>
              <w:spacing w:line="276" w:lineRule="auto"/>
              <w:jc w:val="center"/>
              <w:rPr>
                <w:i/>
                <w:sz w:val="24"/>
                <w:szCs w:val="24"/>
              </w:rPr>
            </w:pPr>
            <w:r w:rsidRPr="00B44EB7">
              <w:rPr>
                <w:i/>
                <w:color w:val="000000" w:themeColor="text1"/>
                <w:sz w:val="24"/>
                <w:szCs w:val="24"/>
              </w:rPr>
              <w:t>87,64</w:t>
            </w:r>
          </w:p>
        </w:tc>
        <w:tc>
          <w:tcPr>
            <w:tcW w:w="2265" w:type="dxa"/>
            <w:tcBorders>
              <w:top w:val="dotted" w:sz="8" w:space="0" w:color="auto"/>
              <w:left w:val="nil"/>
              <w:bottom w:val="dotted" w:sz="8" w:space="0" w:color="auto"/>
              <w:right w:val="dotted" w:sz="8" w:space="0" w:color="auto"/>
            </w:tcBorders>
            <w:shd w:val="clear" w:color="auto" w:fill="DAEEF3" w:themeFill="accent5" w:themeFillTint="33"/>
            <w:vAlign w:val="center"/>
          </w:tcPr>
          <w:p w14:paraId="4E36B1D2" w14:textId="77777777" w:rsidR="00FB178A" w:rsidRPr="00B44EB7" w:rsidRDefault="00FB178A" w:rsidP="009E18ED">
            <w:pPr>
              <w:spacing w:line="276" w:lineRule="auto"/>
              <w:jc w:val="center"/>
              <w:rPr>
                <w:i/>
                <w:sz w:val="24"/>
                <w:szCs w:val="24"/>
              </w:rPr>
            </w:pPr>
            <w:r>
              <w:rPr>
                <w:i/>
                <w:iCs/>
                <w:sz w:val="24"/>
                <w:szCs w:val="24"/>
              </w:rPr>
              <w:t xml:space="preserve">Nisu dostupni podaci </w:t>
            </w:r>
          </w:p>
        </w:tc>
      </w:tr>
    </w:tbl>
    <w:p w14:paraId="6623B019" w14:textId="77777777" w:rsidR="00FB178A" w:rsidRDefault="00FB178A" w:rsidP="00FB178A">
      <w:pPr>
        <w:rPr>
          <w:b/>
          <w:bCs/>
          <w:sz w:val="24"/>
          <w:szCs w:val="24"/>
        </w:rPr>
      </w:pPr>
    </w:p>
    <w:p w14:paraId="0227A8C5" w14:textId="77777777" w:rsidR="00FB178A" w:rsidRDefault="00FB178A" w:rsidP="00FB178A">
      <w:pPr>
        <w:pStyle w:val="Heading3"/>
      </w:pPr>
      <w:bookmarkStart w:id="113" w:name="_Toc223002961"/>
      <w:r w:rsidRPr="717119A5">
        <w:t>13.2. Opis napretka u provedbi strateškog cilja Jačanje regionalne konkurentnosti</w:t>
      </w:r>
      <w:bookmarkEnd w:id="113"/>
    </w:p>
    <w:p w14:paraId="46824071" w14:textId="77777777" w:rsidR="00FB178A" w:rsidRPr="0004221B" w:rsidRDefault="00FB178A" w:rsidP="00FB178A">
      <w:pPr>
        <w:spacing w:after="160" w:line="276" w:lineRule="auto"/>
        <w:ind w:left="709" w:firstLine="11"/>
        <w:jc w:val="both"/>
        <w:rPr>
          <w:b/>
          <w:sz w:val="24"/>
          <w:szCs w:val="24"/>
        </w:rPr>
      </w:pPr>
      <w:r w:rsidRPr="0004221B">
        <w:rPr>
          <w:b/>
          <w:sz w:val="24"/>
          <w:szCs w:val="24"/>
        </w:rPr>
        <w:t>Pametna specijalizacija i jačanje pozicije regionalnoga gospodarstva u globalnim lancima vrijednosti</w:t>
      </w:r>
    </w:p>
    <w:p w14:paraId="0DEF15B5" w14:textId="77777777" w:rsidR="00FB178A" w:rsidRDefault="00FB178A" w:rsidP="00FB178A">
      <w:pPr>
        <w:spacing w:after="160" w:line="276" w:lineRule="auto"/>
        <w:ind w:firstLine="709"/>
        <w:jc w:val="both"/>
        <w:rPr>
          <w:sz w:val="24"/>
          <w:szCs w:val="24"/>
        </w:rPr>
      </w:pPr>
      <w:r w:rsidRPr="6E601FB9">
        <w:rPr>
          <w:sz w:val="24"/>
          <w:szCs w:val="24"/>
        </w:rPr>
        <w:t>U 2024. nastavljen</w:t>
      </w:r>
      <w:r>
        <w:rPr>
          <w:sz w:val="24"/>
          <w:szCs w:val="24"/>
        </w:rPr>
        <w:t>o</w:t>
      </w:r>
      <w:r w:rsidRPr="6E601FB9">
        <w:rPr>
          <w:sz w:val="24"/>
          <w:szCs w:val="24"/>
        </w:rPr>
        <w:t xml:space="preserve"> je </w:t>
      </w:r>
      <w:r>
        <w:rPr>
          <w:sz w:val="24"/>
          <w:szCs w:val="24"/>
        </w:rPr>
        <w:t>poticanje</w:t>
      </w:r>
      <w:r w:rsidRPr="6E601FB9">
        <w:rPr>
          <w:sz w:val="24"/>
          <w:szCs w:val="24"/>
        </w:rPr>
        <w:t xml:space="preserve"> jačanja konkurentnosti hrvatskih regija i unaprjeđenja pozicije regionalnog gospodarstva u globalnim lancima vrijednosti, kroz provedbu mjera i programa kojima se potiče inovativnost, industrijska tranzicija, pametna specijalizacija i učinkovito korištenje fondova </w:t>
      </w:r>
      <w:r>
        <w:rPr>
          <w:sz w:val="24"/>
          <w:szCs w:val="24"/>
        </w:rPr>
        <w:t>EU</w:t>
      </w:r>
      <w:r w:rsidRPr="6E601FB9">
        <w:rPr>
          <w:sz w:val="24"/>
          <w:szCs w:val="24"/>
        </w:rPr>
        <w:t>. U tom kontekstu započeta je izrada novog Zakona o regionalnom razvoju Republike Hrvatske, kojim se dodatno unaprjeđuje strateško planiranje politike regionalnog razvoja, jača institucionalni okvir na središnjoj, regionalnoj i lokalnoj razini te se po prvi put integrirano uređuje politika održivog urbanog razvoja. Novi zakonski okvir definira ciljeve održivog urbanog razvoja, uspostavlja Vijeće za urbani razvoj te proširuje područja s razvojnim posebnostima na pogranična područja uz već postojeće brdsko-planinske i otočne jedinice. Time se stvaraju temelji za učinkovitije planiranje, praćenje i vrednovanje politike regionalnoga razvoja, uz snažniji naglasak na teritorijalnu koheziju i smanjenje regionalnih nejednakosti.</w:t>
      </w:r>
    </w:p>
    <w:p w14:paraId="28208564" w14:textId="77777777" w:rsidR="00FB178A" w:rsidRDefault="00FB178A" w:rsidP="00FB178A">
      <w:pPr>
        <w:spacing w:after="160" w:line="276" w:lineRule="auto"/>
        <w:jc w:val="both"/>
        <w:rPr>
          <w:sz w:val="24"/>
          <w:szCs w:val="24"/>
        </w:rPr>
      </w:pPr>
      <w:r w:rsidRPr="6E601FB9">
        <w:rPr>
          <w:sz w:val="24"/>
          <w:szCs w:val="24"/>
        </w:rPr>
        <w:t xml:space="preserve">Tijekom 2024. nastavljena je provedba Programa sufinanciranja provedbe EU projekata na regionalnoj i lokalnoj razini. Program omogućuje korisnicima pokrivanje dijela sredstava koje su obvezni osigurati iz vlastitih izvora, čime se izravno doprinosi rastu apsorpcije sredstava iz EU fondova te jačanju fiskalne održivosti lokalnih i regionalnih proračuna. U okviru 8. javnog poziva provedenog u 2024. sklopljeno je 337 ugovora ukupne vrijednosti 32,44 milijuna eura, dok je kroz Javni poziv za sufinanciranje završetka provedbe EU projekata sklopljeno dodatnih 29 ugovora vrijednih 31,56 milijuna eura. Ukupno je tijekom 2024. </w:t>
      </w:r>
      <w:r>
        <w:rPr>
          <w:sz w:val="24"/>
          <w:szCs w:val="24"/>
        </w:rPr>
        <w:t>sklopljeno</w:t>
      </w:r>
      <w:r w:rsidRPr="6E601FB9">
        <w:rPr>
          <w:sz w:val="24"/>
          <w:szCs w:val="24"/>
        </w:rPr>
        <w:t xml:space="preserve"> 366 ugovora ukupne vrijednosti 64 milijuna eura, </w:t>
      </w:r>
      <w:r>
        <w:rPr>
          <w:sz w:val="24"/>
          <w:szCs w:val="24"/>
        </w:rPr>
        <w:t>od čega je</w:t>
      </w:r>
      <w:r w:rsidRPr="6E601FB9">
        <w:rPr>
          <w:sz w:val="24"/>
          <w:szCs w:val="24"/>
        </w:rPr>
        <w:t xml:space="preserve"> do kraja </w:t>
      </w:r>
      <w:r>
        <w:rPr>
          <w:sz w:val="24"/>
          <w:szCs w:val="24"/>
        </w:rPr>
        <w:t>izvještajnog razdoblja</w:t>
      </w:r>
      <w:r w:rsidRPr="6E601FB9">
        <w:rPr>
          <w:sz w:val="24"/>
          <w:szCs w:val="24"/>
        </w:rPr>
        <w:t xml:space="preserve"> isplaćeno 38,29 milijuna eura. Od početka provedbe</w:t>
      </w:r>
      <w:r>
        <w:rPr>
          <w:sz w:val="24"/>
          <w:szCs w:val="24"/>
        </w:rPr>
        <w:t>,</w:t>
      </w:r>
      <w:r w:rsidRPr="6E601FB9">
        <w:rPr>
          <w:sz w:val="24"/>
          <w:szCs w:val="24"/>
        </w:rPr>
        <w:t xml:space="preserve"> ukupno je sklopljeno 2.494 ugovora </w:t>
      </w:r>
      <w:r>
        <w:rPr>
          <w:sz w:val="24"/>
          <w:szCs w:val="24"/>
        </w:rPr>
        <w:t xml:space="preserve">o sufinanciranju završetka provedbe projekata, ukupne </w:t>
      </w:r>
      <w:r w:rsidRPr="6E601FB9">
        <w:rPr>
          <w:sz w:val="24"/>
          <w:szCs w:val="24"/>
        </w:rPr>
        <w:t xml:space="preserve">vrijednosti </w:t>
      </w:r>
      <w:r>
        <w:rPr>
          <w:sz w:val="24"/>
          <w:szCs w:val="24"/>
        </w:rPr>
        <w:t xml:space="preserve">dodijeljenih sredstava </w:t>
      </w:r>
      <w:r w:rsidRPr="6E601FB9">
        <w:rPr>
          <w:sz w:val="24"/>
          <w:szCs w:val="24"/>
        </w:rPr>
        <w:t>37</w:t>
      </w:r>
      <w:r>
        <w:rPr>
          <w:sz w:val="24"/>
          <w:szCs w:val="24"/>
        </w:rPr>
        <w:t>2</w:t>
      </w:r>
      <w:r w:rsidRPr="6E601FB9">
        <w:rPr>
          <w:sz w:val="24"/>
          <w:szCs w:val="24"/>
        </w:rPr>
        <w:t xml:space="preserve"> milijuna eura</w:t>
      </w:r>
      <w:r>
        <w:rPr>
          <w:sz w:val="24"/>
          <w:szCs w:val="24"/>
        </w:rPr>
        <w:t>.</w:t>
      </w:r>
    </w:p>
    <w:p w14:paraId="02AA0F7E" w14:textId="77777777" w:rsidR="00FB178A" w:rsidRDefault="00FB178A" w:rsidP="00FB178A">
      <w:pPr>
        <w:spacing w:after="160" w:line="276" w:lineRule="auto"/>
        <w:jc w:val="both"/>
        <w:rPr>
          <w:sz w:val="24"/>
          <w:szCs w:val="24"/>
        </w:rPr>
      </w:pPr>
      <w:r w:rsidRPr="6E601FB9">
        <w:rPr>
          <w:sz w:val="24"/>
          <w:szCs w:val="24"/>
        </w:rPr>
        <w:t xml:space="preserve">Temeljem usvojenih Planova za industrijsku tranziciju Jadranske, Panonske i Sjeverne Hrvatske, nastavljen je proces industrijske </w:t>
      </w:r>
      <w:r>
        <w:rPr>
          <w:sz w:val="24"/>
          <w:szCs w:val="24"/>
        </w:rPr>
        <w:t>tranzicije</w:t>
      </w:r>
      <w:r w:rsidRPr="6E601FB9">
        <w:rPr>
          <w:sz w:val="24"/>
          <w:szCs w:val="24"/>
        </w:rPr>
        <w:t xml:space="preserve"> hrvatskih regija</w:t>
      </w:r>
      <w:r>
        <w:rPr>
          <w:sz w:val="24"/>
          <w:szCs w:val="24"/>
        </w:rPr>
        <w:t xml:space="preserve">. U 2024. u okviru provedbe </w:t>
      </w:r>
      <w:r w:rsidRPr="6E601FB9">
        <w:rPr>
          <w:sz w:val="24"/>
          <w:szCs w:val="24"/>
        </w:rPr>
        <w:t>I</w:t>
      </w:r>
      <w:r>
        <w:rPr>
          <w:sz w:val="24"/>
          <w:szCs w:val="24"/>
        </w:rPr>
        <w:t>TP 2</w:t>
      </w:r>
      <w:r w:rsidRPr="6E601FB9">
        <w:rPr>
          <w:sz w:val="24"/>
          <w:szCs w:val="24"/>
        </w:rPr>
        <w:t>021.-2027.</w:t>
      </w:r>
      <w:r>
        <w:rPr>
          <w:sz w:val="24"/>
          <w:szCs w:val="24"/>
        </w:rPr>
        <w:t xml:space="preserve">, </w:t>
      </w:r>
      <w:r w:rsidRPr="6E601FB9">
        <w:rPr>
          <w:sz w:val="24"/>
          <w:szCs w:val="24"/>
        </w:rPr>
        <w:t>Prioriteta 1</w:t>
      </w:r>
      <w:r>
        <w:rPr>
          <w:sz w:val="24"/>
          <w:szCs w:val="24"/>
        </w:rPr>
        <w:t xml:space="preserve">, </w:t>
      </w:r>
      <w:r w:rsidRPr="6E601FB9">
        <w:rPr>
          <w:sz w:val="24"/>
          <w:szCs w:val="24"/>
        </w:rPr>
        <w:t>proveden je prvi poziv</w:t>
      </w:r>
      <w:r>
        <w:rPr>
          <w:sz w:val="24"/>
          <w:szCs w:val="24"/>
        </w:rPr>
        <w:t xml:space="preserve"> </w:t>
      </w:r>
      <w:r w:rsidRPr="0044714D">
        <w:rPr>
          <w:rFonts w:eastAsia="Aptos"/>
          <w:kern w:val="2"/>
          <w:sz w:val="24"/>
          <w:szCs w:val="24"/>
          <w14:ligatures w14:val="standardContextual"/>
        </w:rPr>
        <w:t xml:space="preserve">na dostavu projektnih prijedloga za jačanje strateških partnerstva za inovacije </w:t>
      </w:r>
      <w:r>
        <w:rPr>
          <w:rFonts w:eastAsia="Aptos"/>
          <w:kern w:val="2"/>
          <w:sz w:val="24"/>
          <w:szCs w:val="24"/>
          <w14:ligatures w14:val="standardContextual"/>
        </w:rPr>
        <w:t xml:space="preserve">(SPIN). </w:t>
      </w:r>
      <w:r w:rsidRPr="6E601FB9">
        <w:rPr>
          <w:sz w:val="24"/>
          <w:szCs w:val="24"/>
        </w:rPr>
        <w:t xml:space="preserve">Do kraja 2024. ugovoreno je 78 SPIN projekata ukupne vrijednosti 227 milijuna eura, od čega 138,8 milijuna eura čine bespovratna sredstva </w:t>
      </w:r>
      <w:r>
        <w:rPr>
          <w:sz w:val="24"/>
          <w:szCs w:val="24"/>
        </w:rPr>
        <w:t>EU</w:t>
      </w:r>
      <w:r w:rsidRPr="6E601FB9">
        <w:rPr>
          <w:sz w:val="24"/>
          <w:szCs w:val="24"/>
        </w:rPr>
        <w:t xml:space="preserve">. Projekti </w:t>
      </w:r>
      <w:r w:rsidRPr="6E601FB9">
        <w:rPr>
          <w:sz w:val="24"/>
          <w:szCs w:val="24"/>
        </w:rPr>
        <w:lastRenderedPageBreak/>
        <w:t>su ravnomjerno raspoređeni po regijama (32 u Panonskoj, 29 u Jadranskoj i 17 u Sjevernoj Hrvatskoj), čime se omogućuje uravnotežen tehnološki i inovacijski razvoj svih dijelova zemlje.</w:t>
      </w:r>
      <w:r>
        <w:rPr>
          <w:sz w:val="24"/>
          <w:szCs w:val="24"/>
        </w:rPr>
        <w:t xml:space="preserve"> </w:t>
      </w:r>
      <w:r w:rsidRPr="006D6683">
        <w:rPr>
          <w:sz w:val="24"/>
          <w:szCs w:val="24"/>
        </w:rPr>
        <w:t>Dodatni ugovori predviđeni su u 2025. godini u skladu s Programom dodjele državnih potpora za strateška partnerstva za inovacije.</w:t>
      </w:r>
    </w:p>
    <w:p w14:paraId="51211729" w14:textId="77777777" w:rsidR="00FB178A" w:rsidRDefault="00FB178A" w:rsidP="00FB178A">
      <w:pPr>
        <w:spacing w:after="160" w:line="276" w:lineRule="auto"/>
        <w:jc w:val="both"/>
        <w:rPr>
          <w:sz w:val="24"/>
          <w:szCs w:val="24"/>
        </w:rPr>
      </w:pPr>
      <w:r>
        <w:rPr>
          <w:sz w:val="24"/>
          <w:szCs w:val="24"/>
        </w:rPr>
        <w:t>Istovremeno</w:t>
      </w:r>
      <w:r w:rsidRPr="6E601FB9">
        <w:rPr>
          <w:sz w:val="24"/>
          <w:szCs w:val="24"/>
        </w:rPr>
        <w:t xml:space="preserve">, objavljen je Poziv na izravnu dodjelu bespovratnih sredstava za Horizontalni transformacijski projekt za jačanje regionalnog ekosustava za industrijsku tranziciju, ukupne vrijednosti 5 milijuna eura. Projekt je usmjeren na izgradnju učinkovitih regionalnih inovacijskih sustava, jačanje poduzetničkog ekosustava, potporu </w:t>
      </w:r>
      <w:proofErr w:type="spellStart"/>
      <w:r w:rsidRPr="6E601FB9">
        <w:rPr>
          <w:sz w:val="24"/>
          <w:szCs w:val="24"/>
        </w:rPr>
        <w:t>startup</w:t>
      </w:r>
      <w:proofErr w:type="spellEnd"/>
      <w:r w:rsidRPr="6E601FB9">
        <w:rPr>
          <w:sz w:val="24"/>
          <w:szCs w:val="24"/>
        </w:rPr>
        <w:t xml:space="preserve">-ovima te </w:t>
      </w:r>
      <w:proofErr w:type="spellStart"/>
      <w:r w:rsidRPr="6E601FB9">
        <w:rPr>
          <w:sz w:val="24"/>
          <w:szCs w:val="24"/>
        </w:rPr>
        <w:t>brendiranje</w:t>
      </w:r>
      <w:proofErr w:type="spellEnd"/>
      <w:r w:rsidRPr="6E601FB9">
        <w:rPr>
          <w:sz w:val="24"/>
          <w:szCs w:val="24"/>
        </w:rPr>
        <w:t xml:space="preserve"> i internacionalizaciju regionalnih gospodarstava. Time se osigurava sustavna podrška procesima transformacije i jačanja kapaciteta regionalnih inovacijskih zajednica u skladu s načelima Strategije pametne specijalizacije.</w:t>
      </w:r>
    </w:p>
    <w:p w14:paraId="7D82572F" w14:textId="77777777" w:rsidR="00FB178A" w:rsidRDefault="00FB178A" w:rsidP="00FB178A">
      <w:pPr>
        <w:spacing w:after="160" w:line="276" w:lineRule="auto"/>
        <w:jc w:val="both"/>
        <w:rPr>
          <w:sz w:val="24"/>
          <w:szCs w:val="24"/>
        </w:rPr>
      </w:pPr>
      <w:r w:rsidRPr="6E601FB9">
        <w:rPr>
          <w:sz w:val="24"/>
          <w:szCs w:val="24"/>
        </w:rPr>
        <w:t>U 2024. donesen je Program dodjele državnih potpora za provedbu I</w:t>
      </w:r>
      <w:r>
        <w:rPr>
          <w:sz w:val="24"/>
          <w:szCs w:val="24"/>
        </w:rPr>
        <w:t xml:space="preserve">TP-a </w:t>
      </w:r>
      <w:r w:rsidRPr="6E601FB9">
        <w:rPr>
          <w:sz w:val="24"/>
          <w:szCs w:val="24"/>
        </w:rPr>
        <w:t>2021.-2027.</w:t>
      </w:r>
      <w:r>
        <w:rPr>
          <w:sz w:val="24"/>
          <w:szCs w:val="24"/>
        </w:rPr>
        <w:t xml:space="preserve"> </w:t>
      </w:r>
      <w:r w:rsidRPr="00DE6E5B">
        <w:rPr>
          <w:sz w:val="24"/>
          <w:szCs w:val="24"/>
        </w:rPr>
        <w:t>Prioritet 1. Industrijska tranzicija hrvatskih regija i Prioritet 3. Razvoj urbanih područja kao pokretača regionalnog rasta i razvoja njihovih funkcionalnih područja te razvoj održivih i zelenih otoka u dijelu koji se odnosi na sudjelovanje gradova kroz ITU mehanizam</w:t>
      </w:r>
      <w:r w:rsidRPr="6E601FB9">
        <w:rPr>
          <w:sz w:val="24"/>
          <w:szCs w:val="24"/>
        </w:rPr>
        <w:t>, čime je dodatno osigurana provedba projekata u okviru industrijske tranzicije i razvoja urbanih područja</w:t>
      </w:r>
      <w:r>
        <w:rPr>
          <w:sz w:val="24"/>
          <w:szCs w:val="24"/>
        </w:rPr>
        <w:t xml:space="preserve"> te je ugovoren</w:t>
      </w:r>
      <w:r w:rsidRPr="6E601FB9">
        <w:rPr>
          <w:sz w:val="24"/>
          <w:szCs w:val="24"/>
        </w:rPr>
        <w:t xml:space="preserve"> projekt</w:t>
      </w:r>
      <w:r>
        <w:rPr>
          <w:sz w:val="24"/>
          <w:szCs w:val="24"/>
        </w:rPr>
        <w:t>:</w:t>
      </w:r>
      <w:r w:rsidRPr="6E601FB9">
        <w:rPr>
          <w:sz w:val="24"/>
          <w:szCs w:val="24"/>
        </w:rPr>
        <w:t xml:space="preserve"> „ITU - Regionalni centar za </w:t>
      </w:r>
      <w:proofErr w:type="spellStart"/>
      <w:r w:rsidRPr="6E601FB9">
        <w:rPr>
          <w:sz w:val="24"/>
          <w:szCs w:val="24"/>
        </w:rPr>
        <w:t>predinkubaciju</w:t>
      </w:r>
      <w:proofErr w:type="spellEnd"/>
      <w:r w:rsidRPr="6E601FB9">
        <w:rPr>
          <w:sz w:val="24"/>
          <w:szCs w:val="24"/>
        </w:rPr>
        <w:t xml:space="preserve"> u pametnoj industriji“, vrijedan 5,2 milijuna eura, koji predstavlja primjer dobre prakse u povezivanju industrijske tranzicije i urbanog razvoja.</w:t>
      </w:r>
    </w:p>
    <w:p w14:paraId="0C57AE5F" w14:textId="77777777" w:rsidR="00FB178A" w:rsidRDefault="00FB178A" w:rsidP="00FB178A">
      <w:pPr>
        <w:spacing w:after="160" w:line="276" w:lineRule="auto"/>
        <w:jc w:val="both"/>
        <w:rPr>
          <w:sz w:val="24"/>
          <w:szCs w:val="24"/>
        </w:rPr>
      </w:pPr>
      <w:r w:rsidRPr="6E601FB9">
        <w:rPr>
          <w:sz w:val="24"/>
          <w:szCs w:val="24"/>
        </w:rPr>
        <w:t xml:space="preserve">Posebnu važnost u provedbi industrijske tranzicije ima proces </w:t>
      </w:r>
      <w:proofErr w:type="spellStart"/>
      <w:r w:rsidRPr="6E601FB9">
        <w:rPr>
          <w:sz w:val="24"/>
          <w:szCs w:val="24"/>
        </w:rPr>
        <w:t>mapiranja</w:t>
      </w:r>
      <w:proofErr w:type="spellEnd"/>
      <w:r w:rsidRPr="6E601FB9">
        <w:rPr>
          <w:sz w:val="24"/>
          <w:szCs w:val="24"/>
        </w:rPr>
        <w:t xml:space="preserve"> dionika regionalnih lanaca vrijednosti (</w:t>
      </w:r>
      <w:r>
        <w:rPr>
          <w:sz w:val="24"/>
          <w:szCs w:val="24"/>
        </w:rPr>
        <w:t xml:space="preserve">u daljnjem tekstu: </w:t>
      </w:r>
      <w:r w:rsidRPr="6E601FB9">
        <w:rPr>
          <w:sz w:val="24"/>
          <w:szCs w:val="24"/>
        </w:rPr>
        <w:t xml:space="preserve">RLV). Do kraja 2024. </w:t>
      </w:r>
      <w:proofErr w:type="spellStart"/>
      <w:r w:rsidRPr="6E601FB9">
        <w:rPr>
          <w:sz w:val="24"/>
          <w:szCs w:val="24"/>
        </w:rPr>
        <w:t>mapirano</w:t>
      </w:r>
      <w:proofErr w:type="spellEnd"/>
      <w:r w:rsidRPr="6E601FB9">
        <w:rPr>
          <w:sz w:val="24"/>
          <w:szCs w:val="24"/>
        </w:rPr>
        <w:t xml:space="preserve"> je više od 3.900 dionika, čime je stvoren temelj za nastavak procesa poduzetničkog otkrivanja (EDP) i povezivanje poduzetnika, istraživačkih institucija i javnog sektora. U suradnji s Europskom komisijom, izrađena je metodologija i provedena su tri pilot strateška foruma za RLV-ove Jadranske, Panonske i Sjeverne Hrvatske, s ciljem definiranja misija za istraživanje, razvoj i inovacije (IRI misija) usmjerenih na rješavanje društvenih izazova. Hrvatska je time prepoznata kao primjer dobre prakse na razini Europske unije u provedbi transformacijskih politika kroz EU fondove.</w:t>
      </w:r>
    </w:p>
    <w:p w14:paraId="1AC93593" w14:textId="77777777" w:rsidR="00FB178A" w:rsidRDefault="00FB178A" w:rsidP="00FB178A">
      <w:pPr>
        <w:spacing w:after="160" w:line="276" w:lineRule="auto"/>
        <w:jc w:val="both"/>
        <w:rPr>
          <w:sz w:val="24"/>
          <w:szCs w:val="24"/>
        </w:rPr>
      </w:pPr>
      <w:r>
        <w:rPr>
          <w:sz w:val="24"/>
          <w:szCs w:val="24"/>
        </w:rPr>
        <w:t>Dodatno</w:t>
      </w:r>
      <w:r w:rsidRPr="6E601FB9">
        <w:rPr>
          <w:sz w:val="24"/>
          <w:szCs w:val="24"/>
        </w:rPr>
        <w:t>, u okviru inicijative Europske komisije „</w:t>
      </w:r>
      <w:proofErr w:type="spellStart"/>
      <w:r w:rsidRPr="0004221B">
        <w:rPr>
          <w:i/>
          <w:sz w:val="24"/>
          <w:szCs w:val="24"/>
        </w:rPr>
        <w:t>Harnessing</w:t>
      </w:r>
      <w:proofErr w:type="spellEnd"/>
      <w:r w:rsidRPr="0004221B">
        <w:rPr>
          <w:i/>
          <w:sz w:val="24"/>
          <w:szCs w:val="24"/>
        </w:rPr>
        <w:t xml:space="preserve"> Talent</w:t>
      </w:r>
      <w:r w:rsidRPr="6E601FB9">
        <w:rPr>
          <w:sz w:val="24"/>
          <w:szCs w:val="24"/>
        </w:rPr>
        <w:t>“, započele su aktivnosti identificiranja potrebnih pametnih vještina za industrijsku tranziciju, posebno u području razvoja i primjene tehnologija povezanih s digitalnom i zelenom transformacijom. Ove aktivnosti dodatno doprinose jačanju ljudskog kapitala, povećanju inovacijskog kapaciteta i jačanju otpornosti regionalnih gospodarstava na globalne tržišne promjene.</w:t>
      </w:r>
    </w:p>
    <w:p w14:paraId="341911AF" w14:textId="77777777" w:rsidR="00FB178A" w:rsidRDefault="00FB178A" w:rsidP="00FB178A">
      <w:pPr>
        <w:spacing w:after="160" w:line="276" w:lineRule="auto"/>
        <w:jc w:val="both"/>
        <w:rPr>
          <w:sz w:val="24"/>
          <w:szCs w:val="24"/>
        </w:rPr>
      </w:pPr>
      <w:r w:rsidRPr="6E601FB9">
        <w:rPr>
          <w:sz w:val="24"/>
          <w:szCs w:val="24"/>
        </w:rPr>
        <w:t>Poticanjem i koordinacijom procesa industrijske tranzicije hrvatskih regija te stvaranjem novih radnih mjesta s konkurentskim plaćama u Jadranskoj, Panonskoj i Sjevernoj Hrvatskoj</w:t>
      </w:r>
      <w:r>
        <w:rPr>
          <w:sz w:val="24"/>
          <w:szCs w:val="24"/>
        </w:rPr>
        <w:t xml:space="preserve"> potiče se razvoj tih regija. P</w:t>
      </w:r>
      <w:r w:rsidRPr="6E601FB9">
        <w:rPr>
          <w:sz w:val="24"/>
          <w:szCs w:val="24"/>
        </w:rPr>
        <w:t>oticanjem suradnje znanstveno-istraživačkih institucija s gospodarstvom, jačaju se inovacijski kapacitet</w:t>
      </w:r>
      <w:r>
        <w:rPr>
          <w:sz w:val="24"/>
          <w:szCs w:val="24"/>
        </w:rPr>
        <w:t>. L</w:t>
      </w:r>
      <w:r w:rsidRPr="6E601FB9">
        <w:rPr>
          <w:sz w:val="24"/>
          <w:szCs w:val="24"/>
        </w:rPr>
        <w:t>okalnim zajednicama se osigurava razvoj i poboljšava dostupnost specijaliziranih vještina i radnih mjesta u sektorima s visokom dodanom vrijednošću</w:t>
      </w:r>
      <w:r>
        <w:rPr>
          <w:sz w:val="24"/>
          <w:szCs w:val="24"/>
        </w:rPr>
        <w:t xml:space="preserve">. Time </w:t>
      </w:r>
      <w:r w:rsidRPr="6E601FB9">
        <w:rPr>
          <w:sz w:val="24"/>
          <w:szCs w:val="24"/>
        </w:rPr>
        <w:t xml:space="preserve">se mlade potiče na ostanak u svojim zajednicama te se privlače nove investicije i talenti za dolazak u Hrvatsku. Po stupanju na snagu Uredbe (EU) o uspostavi </w:t>
      </w:r>
      <w:r>
        <w:rPr>
          <w:sz w:val="24"/>
          <w:szCs w:val="24"/>
        </w:rPr>
        <w:t>STEP</w:t>
      </w:r>
      <w:r w:rsidRPr="6E601FB9">
        <w:rPr>
          <w:sz w:val="24"/>
          <w:szCs w:val="24"/>
        </w:rPr>
        <w:t xml:space="preserve"> </w:t>
      </w:r>
      <w:r>
        <w:rPr>
          <w:sz w:val="24"/>
          <w:szCs w:val="24"/>
        </w:rPr>
        <w:t>-a</w:t>
      </w:r>
      <w:r w:rsidRPr="6E601FB9">
        <w:rPr>
          <w:sz w:val="24"/>
          <w:szCs w:val="24"/>
        </w:rPr>
        <w:t xml:space="preserve">, dopunjena je Karta regionalnih potpora u dijelu koji se odnosi na uvećanje intenziteta potpora za najviše 10% na području </w:t>
      </w:r>
      <w:r w:rsidRPr="6E601FB9">
        <w:rPr>
          <w:sz w:val="24"/>
          <w:szCs w:val="24"/>
        </w:rPr>
        <w:lastRenderedPageBreak/>
        <w:t>Panonske, Sjeverne i Jadranske Hrvatske, odnosno za najviše 5% na području Grada Zagreba, za potporu projektima u području digitalne i duboke tehnologije, čiste tehnologije i biotehnologije, čime se regijama olakšava privlačenje investicija visokotehnološke sektore.</w:t>
      </w:r>
    </w:p>
    <w:p w14:paraId="40C832C7" w14:textId="77777777" w:rsidR="00FB178A" w:rsidRPr="004C358B" w:rsidRDefault="00FB178A" w:rsidP="00FB178A">
      <w:pPr>
        <w:spacing w:after="160" w:line="276" w:lineRule="auto"/>
        <w:jc w:val="both"/>
        <w:rPr>
          <w:sz w:val="24"/>
          <w:szCs w:val="24"/>
        </w:rPr>
      </w:pPr>
      <w:r w:rsidRPr="6E601FB9">
        <w:rPr>
          <w:sz w:val="24"/>
          <w:szCs w:val="24"/>
        </w:rPr>
        <w:t>Sve aktivnosti</w:t>
      </w:r>
      <w:r>
        <w:rPr>
          <w:sz w:val="24"/>
          <w:szCs w:val="24"/>
        </w:rPr>
        <w:t xml:space="preserve"> provedene</w:t>
      </w:r>
      <w:r w:rsidRPr="6E601FB9">
        <w:rPr>
          <w:sz w:val="24"/>
          <w:szCs w:val="24"/>
        </w:rPr>
        <w:t xml:space="preserve"> tijekom 2024. potvrđuju značajan napredak Hrvatske u provedbi transformacijskih politika i jačanju inovacijskog potencijala regija. Uspostavom regionalnih lanaca vrijednosti i strateškim usmjeravanjem regionalnih gospodarstava prema nišama više dodane vrijednosti, omogućuje se strukturirano korištenje sredstava EU fondova te poboljšava pozicija hrvatskih regija na inovacijskoj ljestvici </w:t>
      </w:r>
      <w:r>
        <w:rPr>
          <w:sz w:val="24"/>
          <w:szCs w:val="24"/>
        </w:rPr>
        <w:t>EU</w:t>
      </w:r>
      <w:r w:rsidRPr="004C358B">
        <w:rPr>
          <w:sz w:val="24"/>
          <w:szCs w:val="24"/>
        </w:rPr>
        <w:t>.</w:t>
      </w:r>
    </w:p>
    <w:p w14:paraId="5B50CBB7" w14:textId="77777777" w:rsidR="00FB178A" w:rsidRPr="0004221B" w:rsidRDefault="00FB178A" w:rsidP="00FB178A">
      <w:pPr>
        <w:spacing w:before="240" w:after="160" w:line="276" w:lineRule="auto"/>
        <w:ind w:firstLine="709"/>
        <w:jc w:val="both"/>
        <w:rPr>
          <w:b/>
          <w:sz w:val="24"/>
          <w:szCs w:val="24"/>
        </w:rPr>
      </w:pPr>
      <w:r w:rsidRPr="0004221B">
        <w:rPr>
          <w:b/>
          <w:sz w:val="24"/>
          <w:szCs w:val="24"/>
        </w:rPr>
        <w:t>Razvoj pametnih i održivih gradova</w:t>
      </w:r>
    </w:p>
    <w:p w14:paraId="45A41A00" w14:textId="77777777" w:rsidR="00FB178A" w:rsidRDefault="00FB178A" w:rsidP="00FB178A">
      <w:pPr>
        <w:spacing w:before="240" w:after="160" w:line="276" w:lineRule="auto"/>
        <w:ind w:firstLine="720"/>
        <w:jc w:val="both"/>
        <w:rPr>
          <w:sz w:val="24"/>
          <w:szCs w:val="24"/>
        </w:rPr>
      </w:pPr>
      <w:r w:rsidRPr="6E601FB9">
        <w:rPr>
          <w:sz w:val="24"/>
          <w:szCs w:val="24"/>
        </w:rPr>
        <w:t>U financijskom razdoblju 2014.-2020., mehanizam Integriranih teritorijalnih ulaganja (</w:t>
      </w:r>
      <w:r>
        <w:rPr>
          <w:sz w:val="24"/>
          <w:szCs w:val="24"/>
        </w:rPr>
        <w:t xml:space="preserve">u daljnjem tekstu: </w:t>
      </w:r>
      <w:r w:rsidRPr="6E601FB9">
        <w:rPr>
          <w:sz w:val="24"/>
          <w:szCs w:val="24"/>
        </w:rPr>
        <w:t xml:space="preserve">ITU) uspješno se provodio u osam urbanih područja (Zagreb, Split, Rijeka, Osijek, Zadar, Slavonski Brod, Pula i Karlovac). Do kraja 2024., uz potporu iz Operativnog programa Konkurentnost i kohezija 2014.-2020., završena je provedba 127 ITU projekata, od čega su dva projekta </w:t>
      </w:r>
      <w:r>
        <w:rPr>
          <w:sz w:val="24"/>
          <w:szCs w:val="24"/>
        </w:rPr>
        <w:t>dovršena</w:t>
      </w:r>
      <w:r w:rsidRPr="6E601FB9">
        <w:rPr>
          <w:sz w:val="24"/>
          <w:szCs w:val="24"/>
        </w:rPr>
        <w:t>, a pet ih je nastavilo provedbu vlastitim sredstvima. Ukupno je za provedbu ITU projekata do kraja 2024. isplaćeno 268,9 milijuna eura bespovratnih sredstava, što potvrđuje visoku učinkovitost i uspješnost mehanizma.</w:t>
      </w:r>
    </w:p>
    <w:p w14:paraId="438648C4" w14:textId="77777777" w:rsidR="00FB178A" w:rsidRDefault="00FB178A" w:rsidP="00FB178A">
      <w:pPr>
        <w:spacing w:after="160" w:line="276" w:lineRule="auto"/>
        <w:jc w:val="both"/>
        <w:rPr>
          <w:sz w:val="24"/>
          <w:szCs w:val="24"/>
        </w:rPr>
      </w:pPr>
      <w:r>
        <w:rPr>
          <w:sz w:val="24"/>
          <w:szCs w:val="24"/>
        </w:rPr>
        <w:t>U</w:t>
      </w:r>
      <w:r w:rsidRPr="6E601FB9">
        <w:rPr>
          <w:sz w:val="24"/>
          <w:szCs w:val="24"/>
        </w:rPr>
        <w:t xml:space="preserve"> financijskom razdoblju 2021.-2027. provedba ITU mehanizma značajno je proširena s 8 na 22 urbana područja, uključujući srednje i manje gradove poput Bjelovara, Čakovca, Dubrovnika, Koprivnice, Krapine, Pazina, Požege, Siska, Šibenika, Varaždina, Vinkovaca, Virovitice, Vukovara i drugih. Ovim proširenjem obuhvaćen je gotovo cjelokupan urbani sustav Hrvatske, čime su stvoreni preduvjeti za uravnotežen urbani razvoj i smanjenje prostorne nejednakosti.</w:t>
      </w:r>
      <w:r>
        <w:rPr>
          <w:sz w:val="24"/>
          <w:szCs w:val="24"/>
        </w:rPr>
        <w:t xml:space="preserve"> </w:t>
      </w:r>
      <w:r w:rsidRPr="6E601FB9">
        <w:rPr>
          <w:sz w:val="24"/>
          <w:szCs w:val="24"/>
        </w:rPr>
        <w:t>Za provedbu ITU mehanizma u okviru I</w:t>
      </w:r>
      <w:r>
        <w:rPr>
          <w:sz w:val="24"/>
          <w:szCs w:val="24"/>
        </w:rPr>
        <w:t xml:space="preserve">TP-a </w:t>
      </w:r>
      <w:r w:rsidRPr="6E601FB9">
        <w:rPr>
          <w:sz w:val="24"/>
          <w:szCs w:val="24"/>
        </w:rPr>
        <w:t>2021.-2027. osigurano je više od 680 milijuna eura. Temeljem Sporazuma o provedbi ITU mehanizma potpisanih s gradovima središtima urbanih područja krajem 2023., tijekom 2024. objavljeno je 37 poziva ukupne vrijednosti 198,5 milijuna eura</w:t>
      </w:r>
      <w:r>
        <w:rPr>
          <w:sz w:val="24"/>
          <w:szCs w:val="24"/>
        </w:rPr>
        <w:t>. U</w:t>
      </w:r>
      <w:r w:rsidRPr="6E601FB9">
        <w:rPr>
          <w:sz w:val="24"/>
          <w:szCs w:val="24"/>
        </w:rPr>
        <w:t>govoren</w:t>
      </w:r>
      <w:r>
        <w:rPr>
          <w:sz w:val="24"/>
          <w:szCs w:val="24"/>
        </w:rPr>
        <w:t xml:space="preserve"> je</w:t>
      </w:r>
      <w:r w:rsidRPr="6E601FB9">
        <w:rPr>
          <w:sz w:val="24"/>
          <w:szCs w:val="24"/>
        </w:rPr>
        <w:t xml:space="preserve"> 41 projekt ukupne vrijednosti 38,5 milijuna eura, a korisnicima je do kraja godine isplaćeno 2,2 milijuna eura bespovratnih sredstava.</w:t>
      </w:r>
    </w:p>
    <w:p w14:paraId="11A26E15" w14:textId="77777777" w:rsidR="00FB178A" w:rsidRDefault="00FB178A" w:rsidP="00FB178A">
      <w:pPr>
        <w:spacing w:after="160" w:line="276" w:lineRule="auto"/>
        <w:jc w:val="both"/>
        <w:rPr>
          <w:sz w:val="24"/>
          <w:szCs w:val="24"/>
        </w:rPr>
      </w:pPr>
      <w:r w:rsidRPr="6E601FB9">
        <w:rPr>
          <w:sz w:val="24"/>
          <w:szCs w:val="24"/>
        </w:rPr>
        <w:t xml:space="preserve">U narednom razdoblju planirano je intenziviranje objave poziva, sklapanja ugovora i isplata korisnicima, s ciljem ubrzanja provedbe projekata koji doprinose razvoju pametnih, zelenih i otpornijih urbanih područja. Kroz ITU mehanizam gradovima se omogućuje provedba projekata u područjima digitalne transformacije, energetske učinkovitosti, održive mobilnosti, kružnog gospodarstva, obnove </w:t>
      </w:r>
      <w:proofErr w:type="spellStart"/>
      <w:r w:rsidRPr="0004221B">
        <w:rPr>
          <w:i/>
          <w:sz w:val="24"/>
          <w:szCs w:val="24"/>
        </w:rPr>
        <w:t>brownfield</w:t>
      </w:r>
      <w:proofErr w:type="spellEnd"/>
      <w:r w:rsidRPr="6E601FB9">
        <w:rPr>
          <w:sz w:val="24"/>
          <w:szCs w:val="24"/>
        </w:rPr>
        <w:t xml:space="preserve"> područja i jačanja društvene kohezije. Ovaj model predstavlja temeljni instrument teritorijalne politike za jačanje uloge gradova kao pokretača regionalnog rasta i inovacija.</w:t>
      </w:r>
    </w:p>
    <w:p w14:paraId="1F65DE2B" w14:textId="77777777" w:rsidR="00FB178A" w:rsidRDefault="00FB178A" w:rsidP="00FB178A">
      <w:pPr>
        <w:spacing w:after="160" w:line="276" w:lineRule="auto"/>
        <w:jc w:val="both"/>
        <w:rPr>
          <w:sz w:val="24"/>
          <w:szCs w:val="24"/>
        </w:rPr>
      </w:pPr>
      <w:r>
        <w:rPr>
          <w:sz w:val="24"/>
          <w:szCs w:val="24"/>
        </w:rPr>
        <w:t>H</w:t>
      </w:r>
      <w:r w:rsidRPr="6E601FB9">
        <w:rPr>
          <w:sz w:val="24"/>
          <w:szCs w:val="24"/>
        </w:rPr>
        <w:t xml:space="preserve">rvatska na ovaj način, u suradnji s </w:t>
      </w:r>
      <w:r>
        <w:rPr>
          <w:sz w:val="24"/>
          <w:szCs w:val="24"/>
        </w:rPr>
        <w:t>JLS</w:t>
      </w:r>
      <w:r w:rsidRPr="6E601FB9">
        <w:rPr>
          <w:sz w:val="24"/>
          <w:szCs w:val="24"/>
        </w:rPr>
        <w:t>, nastavlja ulagati u razvoj inovativnih projekata i rješenja koja doprinose poboljšanju kvalitete života građana, jačanju otpornosti urbanih sustava i njihovoj transformaciji u pametne, zelene i digitalne gradove budućnosti. Time se, u skladu s ciljevima Nacionalne razvojne strategije do 2030. godine, dodatno doprinosi uravnoteženom regionalnom razvoju, smanjenju razvojnih razlika i jačanju konkurentnosti svih hrvatskih regija.</w:t>
      </w:r>
    </w:p>
    <w:p w14:paraId="2208D67D" w14:textId="77777777" w:rsidR="00FB178A" w:rsidRPr="004C7396" w:rsidRDefault="00FB178A" w:rsidP="00FB178A">
      <w:pPr>
        <w:pStyle w:val="Heading1"/>
        <w:rPr>
          <w:sz w:val="24"/>
          <w:szCs w:val="24"/>
        </w:rPr>
      </w:pPr>
      <w:bookmarkStart w:id="114" w:name="_Toc223002962"/>
      <w:r w:rsidRPr="004C7396">
        <w:rPr>
          <w:rStyle w:val="normaltextrun"/>
          <w:rFonts w:eastAsiaTheme="majorEastAsia"/>
          <w:sz w:val="24"/>
          <w:szCs w:val="24"/>
        </w:rPr>
        <w:lastRenderedPageBreak/>
        <w:t>Napredak u provedbi horizontalnih prioriteta Nacionalne razvojne strategije</w:t>
      </w:r>
      <w:bookmarkEnd w:id="114"/>
    </w:p>
    <w:p w14:paraId="48193C19" w14:textId="77777777" w:rsidR="00FB178A" w:rsidRDefault="00FB178A" w:rsidP="00FB178A">
      <w:pPr>
        <w:spacing w:line="276" w:lineRule="auto"/>
        <w:rPr>
          <w:color w:val="000000" w:themeColor="text1"/>
          <w:sz w:val="24"/>
          <w:szCs w:val="24"/>
        </w:rPr>
      </w:pPr>
    </w:p>
    <w:p w14:paraId="0B2357E3" w14:textId="77777777" w:rsidR="00FB178A" w:rsidRPr="002C320D" w:rsidRDefault="00FB178A" w:rsidP="00FB178A">
      <w:pPr>
        <w:spacing w:after="240" w:line="276" w:lineRule="auto"/>
        <w:ind w:firstLine="720"/>
        <w:jc w:val="both"/>
        <w:rPr>
          <w:color w:val="000000" w:themeColor="text1"/>
          <w:sz w:val="24"/>
          <w:szCs w:val="24"/>
        </w:rPr>
      </w:pPr>
      <w:r w:rsidRPr="002C320D">
        <w:rPr>
          <w:color w:val="000000" w:themeColor="text1"/>
          <w:sz w:val="24"/>
          <w:szCs w:val="24"/>
        </w:rPr>
        <w:t xml:space="preserve">Tijekom 2024. nastavljen je sustavan rad na provedbi horizontalnih prioriteta Nacionalne razvojne strategije, s naglaskom na zaštitu ljudskih prava, suzbijanje diskriminacije, jačanje ravnopravnosti spolova te poboljšanje položaja nacionalnih manjina i drugih ranjivih skupina. Provedba Nacionalnog plana zaštite i promicanja ljudskih prava i suzbijanja diskriminacije </w:t>
      </w:r>
      <w:r>
        <w:rPr>
          <w:color w:val="000000" w:themeColor="text1"/>
          <w:sz w:val="24"/>
          <w:szCs w:val="24"/>
        </w:rPr>
        <w:t xml:space="preserve">za razdoblje </w:t>
      </w:r>
      <w:r w:rsidRPr="002C320D">
        <w:rPr>
          <w:color w:val="000000" w:themeColor="text1"/>
          <w:sz w:val="24"/>
          <w:szCs w:val="24"/>
        </w:rPr>
        <w:t xml:space="preserve">do 2027. </w:t>
      </w:r>
      <w:r>
        <w:rPr>
          <w:color w:val="000000" w:themeColor="text1"/>
          <w:sz w:val="24"/>
          <w:szCs w:val="24"/>
        </w:rPr>
        <w:t xml:space="preserve">godine </w:t>
      </w:r>
      <w:r w:rsidRPr="002C320D">
        <w:rPr>
          <w:color w:val="000000" w:themeColor="text1"/>
          <w:sz w:val="24"/>
          <w:szCs w:val="24"/>
        </w:rPr>
        <w:t xml:space="preserve">nastavljena je izradom </w:t>
      </w:r>
      <w:r>
        <w:rPr>
          <w:color w:val="000000" w:themeColor="text1"/>
          <w:sz w:val="24"/>
          <w:szCs w:val="24"/>
        </w:rPr>
        <w:t>N</w:t>
      </w:r>
      <w:r w:rsidRPr="002C320D">
        <w:rPr>
          <w:color w:val="000000" w:themeColor="text1"/>
          <w:sz w:val="24"/>
          <w:szCs w:val="24"/>
        </w:rPr>
        <w:t xml:space="preserve">acrta </w:t>
      </w:r>
      <w:r>
        <w:rPr>
          <w:color w:val="000000" w:themeColor="text1"/>
          <w:sz w:val="24"/>
          <w:szCs w:val="24"/>
        </w:rPr>
        <w:t>a</w:t>
      </w:r>
      <w:r w:rsidRPr="002C320D">
        <w:rPr>
          <w:color w:val="000000" w:themeColor="text1"/>
          <w:sz w:val="24"/>
          <w:szCs w:val="24"/>
        </w:rPr>
        <w:t>kcijskog plana zaštite i promicanja ljudskih prava 2024.</w:t>
      </w:r>
      <w:r>
        <w:rPr>
          <w:color w:val="000000" w:themeColor="text1"/>
          <w:sz w:val="24"/>
          <w:szCs w:val="24"/>
        </w:rPr>
        <w:t xml:space="preserve"> - </w:t>
      </w:r>
      <w:r w:rsidRPr="002C320D">
        <w:rPr>
          <w:color w:val="000000" w:themeColor="text1"/>
          <w:sz w:val="24"/>
          <w:szCs w:val="24"/>
        </w:rPr>
        <w:t xml:space="preserve">2025. i </w:t>
      </w:r>
      <w:r>
        <w:rPr>
          <w:color w:val="000000" w:themeColor="text1"/>
          <w:sz w:val="24"/>
          <w:szCs w:val="24"/>
        </w:rPr>
        <w:t>N</w:t>
      </w:r>
      <w:r w:rsidRPr="002C320D">
        <w:rPr>
          <w:color w:val="000000" w:themeColor="text1"/>
          <w:sz w:val="24"/>
          <w:szCs w:val="24"/>
        </w:rPr>
        <w:t xml:space="preserve">acrta </w:t>
      </w:r>
      <w:r>
        <w:rPr>
          <w:color w:val="000000" w:themeColor="text1"/>
          <w:sz w:val="24"/>
          <w:szCs w:val="24"/>
        </w:rPr>
        <w:t>a</w:t>
      </w:r>
      <w:r w:rsidRPr="002C320D">
        <w:rPr>
          <w:color w:val="000000" w:themeColor="text1"/>
          <w:sz w:val="24"/>
          <w:szCs w:val="24"/>
        </w:rPr>
        <w:t>kcijskog plana suzbijanja diskriminacije 2024.</w:t>
      </w:r>
      <w:r>
        <w:rPr>
          <w:color w:val="000000" w:themeColor="text1"/>
          <w:sz w:val="24"/>
          <w:szCs w:val="24"/>
        </w:rPr>
        <w:t xml:space="preserve"> - </w:t>
      </w:r>
      <w:r w:rsidRPr="002C320D">
        <w:rPr>
          <w:color w:val="000000" w:themeColor="text1"/>
          <w:sz w:val="24"/>
          <w:szCs w:val="24"/>
        </w:rPr>
        <w:t xml:space="preserve">2025., koji su u studenome 2024. upućeni u javno savjetovanje. </w:t>
      </w:r>
      <w:r>
        <w:rPr>
          <w:color w:val="000000" w:themeColor="text1"/>
          <w:sz w:val="24"/>
          <w:szCs w:val="24"/>
        </w:rPr>
        <w:t>N</w:t>
      </w:r>
      <w:r w:rsidRPr="002C320D">
        <w:rPr>
          <w:color w:val="000000" w:themeColor="text1"/>
          <w:sz w:val="24"/>
          <w:szCs w:val="24"/>
        </w:rPr>
        <w:t>apredak u</w:t>
      </w:r>
      <w:r>
        <w:rPr>
          <w:color w:val="000000" w:themeColor="text1"/>
          <w:sz w:val="24"/>
          <w:szCs w:val="24"/>
        </w:rPr>
        <w:t xml:space="preserve"> odnosu na prvu godinu provedbe (2023.) postignut je kroz</w:t>
      </w:r>
      <w:r w:rsidRPr="002C320D">
        <w:rPr>
          <w:color w:val="000000" w:themeColor="text1"/>
          <w:sz w:val="24"/>
          <w:szCs w:val="24"/>
        </w:rPr>
        <w:t xml:space="preserve"> ispunjavanj</w:t>
      </w:r>
      <w:r>
        <w:rPr>
          <w:color w:val="000000" w:themeColor="text1"/>
          <w:sz w:val="24"/>
          <w:szCs w:val="24"/>
        </w:rPr>
        <w:t>e</w:t>
      </w:r>
      <w:r w:rsidRPr="002C320D">
        <w:rPr>
          <w:color w:val="000000" w:themeColor="text1"/>
          <w:sz w:val="24"/>
          <w:szCs w:val="24"/>
        </w:rPr>
        <w:t xml:space="preserve"> pokazatelja: udio državnih i javnih službenika koji su tijekom proteklih 12 mjeseci završili izobrazbu u području suzbijanja diskriminacije porastao je na 1,6% (4.015 osoba</w:t>
      </w:r>
      <w:r>
        <w:rPr>
          <w:color w:val="000000" w:themeColor="text1"/>
          <w:sz w:val="24"/>
          <w:szCs w:val="24"/>
        </w:rPr>
        <w:t xml:space="preserve"> u 2024.</w:t>
      </w:r>
      <w:r w:rsidRPr="002C320D">
        <w:rPr>
          <w:color w:val="000000" w:themeColor="text1"/>
          <w:sz w:val="24"/>
          <w:szCs w:val="24"/>
        </w:rPr>
        <w:t>), udio provedenih ili u provedbi preporuka pučke pravobraniteljice za 2023. dosegnuo je 59%, a smanjen je i broj predmeta Europskog suda za ljudska prava u postupku izvršenja. Napredak Hrvatske potvrđen je i u Izvješću Europske komisije o vladavini prava za 2024. godinu. Za provedbu Nacionalnog plana u 2024. utrošeno je ukupno 10,82 milijuna eura, od čega 5,69 milijuna eura iz fondova EU</w:t>
      </w:r>
      <w:r>
        <w:rPr>
          <w:color w:val="000000" w:themeColor="text1"/>
          <w:sz w:val="24"/>
          <w:szCs w:val="24"/>
        </w:rPr>
        <w:t>.</w:t>
      </w:r>
    </w:p>
    <w:p w14:paraId="65EF59E8" w14:textId="77777777" w:rsidR="00FB178A" w:rsidRDefault="00FB178A" w:rsidP="00FB178A">
      <w:pPr>
        <w:spacing w:after="240" w:line="276" w:lineRule="auto"/>
        <w:jc w:val="both"/>
        <w:rPr>
          <w:color w:val="000000" w:themeColor="text1"/>
          <w:sz w:val="24"/>
          <w:szCs w:val="24"/>
        </w:rPr>
      </w:pPr>
      <w:r w:rsidRPr="002C320D">
        <w:rPr>
          <w:color w:val="000000" w:themeColor="text1"/>
          <w:sz w:val="24"/>
          <w:szCs w:val="24"/>
        </w:rPr>
        <w:t>U području suzbijanja trgovanja ljudima Vlada</w:t>
      </w:r>
      <w:r>
        <w:rPr>
          <w:color w:val="000000" w:themeColor="text1"/>
          <w:sz w:val="24"/>
          <w:szCs w:val="24"/>
        </w:rPr>
        <w:t xml:space="preserve"> Republike Hrvatske</w:t>
      </w:r>
      <w:r w:rsidRPr="002C320D">
        <w:rPr>
          <w:color w:val="000000" w:themeColor="text1"/>
          <w:sz w:val="24"/>
          <w:szCs w:val="24"/>
        </w:rPr>
        <w:t xml:space="preserve"> je </w:t>
      </w:r>
      <w:r>
        <w:rPr>
          <w:color w:val="000000" w:themeColor="text1"/>
          <w:sz w:val="24"/>
          <w:szCs w:val="24"/>
        </w:rPr>
        <w:t>u</w:t>
      </w:r>
      <w:r w:rsidRPr="002C320D">
        <w:rPr>
          <w:color w:val="000000" w:themeColor="text1"/>
          <w:sz w:val="24"/>
          <w:szCs w:val="24"/>
        </w:rPr>
        <w:t xml:space="preserve"> listopad</w:t>
      </w:r>
      <w:r>
        <w:rPr>
          <w:color w:val="000000" w:themeColor="text1"/>
          <w:sz w:val="24"/>
          <w:szCs w:val="24"/>
        </w:rPr>
        <w:t>u</w:t>
      </w:r>
      <w:r w:rsidRPr="002C320D">
        <w:rPr>
          <w:color w:val="000000" w:themeColor="text1"/>
          <w:sz w:val="24"/>
          <w:szCs w:val="24"/>
        </w:rPr>
        <w:t xml:space="preserve"> 2024. donijela Nacionalni plan za suzbijanje trgovanja ljudima </w:t>
      </w:r>
      <w:r>
        <w:rPr>
          <w:color w:val="000000" w:themeColor="text1"/>
          <w:sz w:val="24"/>
          <w:szCs w:val="24"/>
        </w:rPr>
        <w:t xml:space="preserve">za razdoblje </w:t>
      </w:r>
      <w:r w:rsidRPr="002C320D">
        <w:rPr>
          <w:color w:val="000000" w:themeColor="text1"/>
          <w:sz w:val="24"/>
          <w:szCs w:val="24"/>
        </w:rPr>
        <w:t xml:space="preserve">do 2030. </w:t>
      </w:r>
      <w:r>
        <w:rPr>
          <w:color w:val="000000" w:themeColor="text1"/>
          <w:sz w:val="24"/>
          <w:szCs w:val="24"/>
        </w:rPr>
        <w:t xml:space="preserve">godine </w:t>
      </w:r>
      <w:r w:rsidRPr="002C320D">
        <w:rPr>
          <w:color w:val="000000" w:themeColor="text1"/>
          <w:sz w:val="24"/>
          <w:szCs w:val="24"/>
        </w:rPr>
        <w:t>i Akcijski plan za</w:t>
      </w:r>
      <w:r>
        <w:rPr>
          <w:color w:val="000000" w:themeColor="text1"/>
          <w:sz w:val="24"/>
          <w:szCs w:val="24"/>
        </w:rPr>
        <w:t xml:space="preserve"> provedbu Nacionalnog plana za suzbijanje trgovanja ljudima za razdoblje do 2030. godine, za</w:t>
      </w:r>
      <w:r w:rsidRPr="002C320D">
        <w:rPr>
          <w:color w:val="000000" w:themeColor="text1"/>
          <w:sz w:val="24"/>
          <w:szCs w:val="24"/>
        </w:rPr>
        <w:t xml:space="preserve"> razdoblje</w:t>
      </w:r>
      <w:r>
        <w:rPr>
          <w:color w:val="000000" w:themeColor="text1"/>
          <w:sz w:val="24"/>
          <w:szCs w:val="24"/>
        </w:rPr>
        <w:t xml:space="preserve"> od</w:t>
      </w:r>
      <w:r w:rsidRPr="002C320D">
        <w:rPr>
          <w:color w:val="000000" w:themeColor="text1"/>
          <w:sz w:val="24"/>
          <w:szCs w:val="24"/>
        </w:rPr>
        <w:t xml:space="preserve"> 2024.</w:t>
      </w:r>
      <w:r>
        <w:rPr>
          <w:color w:val="000000" w:themeColor="text1"/>
          <w:sz w:val="24"/>
          <w:szCs w:val="24"/>
        </w:rPr>
        <w:t xml:space="preserve"> do </w:t>
      </w:r>
      <w:r w:rsidRPr="002C320D">
        <w:rPr>
          <w:color w:val="000000" w:themeColor="text1"/>
          <w:sz w:val="24"/>
          <w:szCs w:val="24"/>
        </w:rPr>
        <w:t>2026.</w:t>
      </w:r>
      <w:r>
        <w:rPr>
          <w:color w:val="000000" w:themeColor="text1"/>
          <w:sz w:val="24"/>
          <w:szCs w:val="24"/>
        </w:rPr>
        <w:t xml:space="preserve"> godine</w:t>
      </w:r>
      <w:r w:rsidRPr="002C320D">
        <w:rPr>
          <w:color w:val="000000" w:themeColor="text1"/>
          <w:sz w:val="24"/>
          <w:szCs w:val="24"/>
        </w:rPr>
        <w:t xml:space="preserve">, čime je uspostavljen strateški okvir za jačanje ovog sustava. Provedbom </w:t>
      </w:r>
      <w:r>
        <w:rPr>
          <w:color w:val="000000" w:themeColor="text1"/>
          <w:sz w:val="24"/>
          <w:szCs w:val="24"/>
        </w:rPr>
        <w:t>mjera u okviru pripadajućeg</w:t>
      </w:r>
      <w:r w:rsidRPr="002C320D">
        <w:rPr>
          <w:color w:val="000000" w:themeColor="text1"/>
          <w:sz w:val="24"/>
          <w:szCs w:val="24"/>
        </w:rPr>
        <w:t xml:space="preserve"> Akcijskog plana predviđa se osnaživanje službenika uključenih u sustav, učinkovitije prepoznavanje i procesuiranje kaznenih djela trgovanja ljudima te kontinuirano pružanje pomoći, zaštite i socijalne uključenosti žrtava. Usvojeni dokumenti predstavljaju daljnji pomak u regulaciji poslovnog sektora kroz uvođenje mehanizama prevencije trgovanja ljudima u poslovne prakse, dok modernizacija zakonodavstva</w:t>
      </w:r>
      <w:r>
        <w:rPr>
          <w:color w:val="000000" w:themeColor="text1"/>
          <w:sz w:val="24"/>
          <w:szCs w:val="24"/>
        </w:rPr>
        <w:t>,</w:t>
      </w:r>
      <w:r w:rsidRPr="002C320D">
        <w:rPr>
          <w:color w:val="000000" w:themeColor="text1"/>
          <w:sz w:val="24"/>
          <w:szCs w:val="24"/>
        </w:rPr>
        <w:t xml:space="preserve"> osobito kroz </w:t>
      </w:r>
      <w:proofErr w:type="spellStart"/>
      <w:r w:rsidRPr="002C320D">
        <w:rPr>
          <w:color w:val="000000" w:themeColor="text1"/>
          <w:sz w:val="24"/>
          <w:szCs w:val="24"/>
        </w:rPr>
        <w:t>deviktimizaciju</w:t>
      </w:r>
      <w:proofErr w:type="spellEnd"/>
      <w:r w:rsidRPr="002C320D">
        <w:rPr>
          <w:color w:val="000000" w:themeColor="text1"/>
          <w:sz w:val="24"/>
          <w:szCs w:val="24"/>
        </w:rPr>
        <w:t xml:space="preserve"> žrtava i unapređenje sustava naknade štete</w:t>
      </w:r>
      <w:r>
        <w:rPr>
          <w:color w:val="000000" w:themeColor="text1"/>
          <w:sz w:val="24"/>
          <w:szCs w:val="24"/>
        </w:rPr>
        <w:t>,</w:t>
      </w:r>
      <w:r w:rsidRPr="002C320D">
        <w:rPr>
          <w:color w:val="000000" w:themeColor="text1"/>
          <w:sz w:val="24"/>
          <w:szCs w:val="24"/>
        </w:rPr>
        <w:t xml:space="preserve"> dodatno jača normativni okvir za njihovu zaštitu.</w:t>
      </w:r>
    </w:p>
    <w:p w14:paraId="2A590D32" w14:textId="77777777" w:rsidR="00FB178A" w:rsidRDefault="00FB178A" w:rsidP="00FB178A">
      <w:pPr>
        <w:spacing w:after="240" w:line="276" w:lineRule="auto"/>
        <w:jc w:val="both"/>
        <w:rPr>
          <w:color w:val="000000" w:themeColor="text1"/>
          <w:sz w:val="24"/>
          <w:szCs w:val="24"/>
        </w:rPr>
      </w:pPr>
      <w:r w:rsidRPr="00984D50">
        <w:rPr>
          <w:color w:val="000000" w:themeColor="text1"/>
          <w:sz w:val="24"/>
          <w:szCs w:val="24"/>
        </w:rPr>
        <w:t xml:space="preserve">Tijekom 2024. </w:t>
      </w:r>
      <w:r>
        <w:rPr>
          <w:color w:val="000000" w:themeColor="text1"/>
          <w:sz w:val="24"/>
          <w:szCs w:val="24"/>
        </w:rPr>
        <w:t xml:space="preserve">osiguran je </w:t>
      </w:r>
      <w:r w:rsidRPr="00984D50">
        <w:rPr>
          <w:color w:val="000000" w:themeColor="text1"/>
          <w:sz w:val="24"/>
          <w:szCs w:val="24"/>
        </w:rPr>
        <w:t>nastav</w:t>
      </w:r>
      <w:r>
        <w:rPr>
          <w:color w:val="000000" w:themeColor="text1"/>
          <w:sz w:val="24"/>
          <w:szCs w:val="24"/>
        </w:rPr>
        <w:t>ak</w:t>
      </w:r>
      <w:r w:rsidRPr="00984D50">
        <w:rPr>
          <w:color w:val="000000" w:themeColor="text1"/>
          <w:sz w:val="24"/>
          <w:szCs w:val="24"/>
        </w:rPr>
        <w:t xml:space="preserve"> </w:t>
      </w:r>
      <w:r>
        <w:rPr>
          <w:color w:val="000000" w:themeColor="text1"/>
          <w:sz w:val="24"/>
          <w:szCs w:val="24"/>
        </w:rPr>
        <w:t>financiranja</w:t>
      </w:r>
      <w:r w:rsidRPr="00984D50">
        <w:rPr>
          <w:color w:val="000000" w:themeColor="text1"/>
          <w:sz w:val="24"/>
          <w:szCs w:val="24"/>
        </w:rPr>
        <w:t xml:space="preserve"> projek</w:t>
      </w:r>
      <w:r>
        <w:rPr>
          <w:color w:val="000000" w:themeColor="text1"/>
          <w:sz w:val="24"/>
          <w:szCs w:val="24"/>
        </w:rPr>
        <w:t>a</w:t>
      </w:r>
      <w:r w:rsidRPr="00984D50">
        <w:rPr>
          <w:color w:val="000000" w:themeColor="text1"/>
          <w:sz w:val="24"/>
          <w:szCs w:val="24"/>
        </w:rPr>
        <w:t>t</w:t>
      </w:r>
      <w:r>
        <w:rPr>
          <w:color w:val="000000" w:themeColor="text1"/>
          <w:sz w:val="24"/>
          <w:szCs w:val="24"/>
        </w:rPr>
        <w:t>a</w:t>
      </w:r>
      <w:r w:rsidRPr="00984D50">
        <w:rPr>
          <w:color w:val="000000" w:themeColor="text1"/>
          <w:sz w:val="24"/>
          <w:szCs w:val="24"/>
        </w:rPr>
        <w:t xml:space="preserve"> organizacija civilnoga društva s ciljem jačanja njihovih kapaciteta u područj</w:t>
      </w:r>
      <w:r>
        <w:rPr>
          <w:color w:val="000000" w:themeColor="text1"/>
          <w:sz w:val="24"/>
          <w:szCs w:val="24"/>
        </w:rPr>
        <w:t>ima</w:t>
      </w:r>
      <w:r w:rsidRPr="00984D50">
        <w:rPr>
          <w:color w:val="000000" w:themeColor="text1"/>
          <w:sz w:val="24"/>
          <w:szCs w:val="24"/>
        </w:rPr>
        <w:t xml:space="preserve"> </w:t>
      </w:r>
      <w:r>
        <w:rPr>
          <w:color w:val="000000" w:themeColor="text1"/>
          <w:sz w:val="24"/>
          <w:szCs w:val="24"/>
        </w:rPr>
        <w:t xml:space="preserve">razvoja programa </w:t>
      </w:r>
      <w:r w:rsidRPr="00984D50">
        <w:rPr>
          <w:color w:val="000000" w:themeColor="text1"/>
          <w:sz w:val="24"/>
          <w:szCs w:val="24"/>
        </w:rPr>
        <w:t xml:space="preserve">revitalizacije javnih prostora kroz partnerstvo s lokalnom zajednicom, popularizacije STEM-a među djecom, mladima i </w:t>
      </w:r>
      <w:r>
        <w:rPr>
          <w:color w:val="000000" w:themeColor="text1"/>
          <w:sz w:val="24"/>
          <w:szCs w:val="24"/>
        </w:rPr>
        <w:t>općom populacijom</w:t>
      </w:r>
      <w:r w:rsidRPr="00984D50">
        <w:rPr>
          <w:color w:val="000000" w:themeColor="text1"/>
          <w:sz w:val="24"/>
          <w:szCs w:val="24"/>
        </w:rPr>
        <w:t xml:space="preserve"> te odgovaranja na potrebe lokalnih zajednica. U sklopu triju natječaja izvršena su plaćanja za ukupno 100 projekata u iznosu od </w:t>
      </w:r>
      <w:r>
        <w:rPr>
          <w:color w:val="000000" w:themeColor="text1"/>
          <w:sz w:val="24"/>
          <w:szCs w:val="24"/>
        </w:rPr>
        <w:t>2,546 milijuna</w:t>
      </w:r>
      <w:r w:rsidRPr="00984D50">
        <w:rPr>
          <w:color w:val="000000" w:themeColor="text1"/>
          <w:sz w:val="24"/>
          <w:szCs w:val="24"/>
        </w:rPr>
        <w:t xml:space="preserve"> </w:t>
      </w:r>
      <w:r>
        <w:rPr>
          <w:color w:val="000000" w:themeColor="text1"/>
          <w:sz w:val="24"/>
          <w:szCs w:val="24"/>
        </w:rPr>
        <w:t>eura</w:t>
      </w:r>
      <w:r w:rsidRPr="00984D50">
        <w:rPr>
          <w:color w:val="000000" w:themeColor="text1"/>
          <w:sz w:val="24"/>
          <w:szCs w:val="24"/>
        </w:rPr>
        <w:t>. Istodobno je nastavljen rad na izradi Nacionalnog plana stvaranja poticajnog okruženja za razvoj civilnog društva 2025.–2031. Na temelju sastanaka</w:t>
      </w:r>
      <w:r>
        <w:rPr>
          <w:color w:val="000000" w:themeColor="text1"/>
          <w:sz w:val="24"/>
          <w:szCs w:val="24"/>
        </w:rPr>
        <w:t xml:space="preserve"> </w:t>
      </w:r>
      <w:r w:rsidRPr="00DB4796">
        <w:rPr>
          <w:sz w:val="24"/>
        </w:rPr>
        <w:t>s tijelima državne uprave, uredima Vlade</w:t>
      </w:r>
      <w:r>
        <w:rPr>
          <w:sz w:val="24"/>
        </w:rPr>
        <w:t xml:space="preserve"> </w:t>
      </w:r>
      <w:r w:rsidRPr="00CC3C3F">
        <w:rPr>
          <w:sz w:val="24"/>
        </w:rPr>
        <w:t>Republike Hrvatske</w:t>
      </w:r>
      <w:r w:rsidRPr="00DB4796">
        <w:rPr>
          <w:sz w:val="24"/>
        </w:rPr>
        <w:t xml:space="preserve"> i agencija</w:t>
      </w:r>
      <w:r>
        <w:rPr>
          <w:sz w:val="24"/>
        </w:rPr>
        <w:t>ma</w:t>
      </w:r>
      <w:r w:rsidRPr="00984D50">
        <w:rPr>
          <w:color w:val="000000" w:themeColor="text1"/>
          <w:sz w:val="24"/>
          <w:szCs w:val="24"/>
        </w:rPr>
        <w:t xml:space="preserve"> izrađen je </w:t>
      </w:r>
      <w:r>
        <w:rPr>
          <w:color w:val="000000" w:themeColor="text1"/>
          <w:sz w:val="24"/>
          <w:szCs w:val="24"/>
        </w:rPr>
        <w:t>Nacrt n</w:t>
      </w:r>
      <w:r w:rsidRPr="00527F2F">
        <w:rPr>
          <w:color w:val="000000" w:themeColor="text1"/>
          <w:sz w:val="24"/>
          <w:szCs w:val="24"/>
        </w:rPr>
        <w:t>acionalnog plana s pripadajućim Akcijskim planom za prvo trogodišnje razdoblje</w:t>
      </w:r>
      <w:r>
        <w:rPr>
          <w:color w:val="000000" w:themeColor="text1"/>
          <w:sz w:val="24"/>
          <w:szCs w:val="24"/>
        </w:rPr>
        <w:t xml:space="preserve">. Plan </w:t>
      </w:r>
      <w:r w:rsidRPr="00984D50">
        <w:rPr>
          <w:color w:val="000000" w:themeColor="text1"/>
          <w:sz w:val="24"/>
          <w:szCs w:val="24"/>
        </w:rPr>
        <w:t>obuhvaća četiri tematska područja</w:t>
      </w:r>
      <w:r>
        <w:rPr>
          <w:color w:val="000000" w:themeColor="text1"/>
          <w:sz w:val="24"/>
          <w:szCs w:val="24"/>
        </w:rPr>
        <w:t xml:space="preserve"> usmjerena na</w:t>
      </w:r>
      <w:r w:rsidRPr="00984D50">
        <w:rPr>
          <w:color w:val="000000" w:themeColor="text1"/>
          <w:sz w:val="24"/>
          <w:szCs w:val="24"/>
        </w:rPr>
        <w:t xml:space="preserve"> razvoj</w:t>
      </w:r>
      <w:r>
        <w:rPr>
          <w:color w:val="000000" w:themeColor="text1"/>
          <w:sz w:val="24"/>
          <w:szCs w:val="24"/>
        </w:rPr>
        <w:t>ne potrebe i potencijale organizacija</w:t>
      </w:r>
      <w:r w:rsidRPr="00984D50">
        <w:rPr>
          <w:color w:val="000000" w:themeColor="text1"/>
          <w:sz w:val="24"/>
          <w:szCs w:val="24"/>
        </w:rPr>
        <w:t xml:space="preserve"> civilnog</w:t>
      </w:r>
      <w:r>
        <w:rPr>
          <w:color w:val="000000" w:themeColor="text1"/>
          <w:sz w:val="24"/>
          <w:szCs w:val="24"/>
        </w:rPr>
        <w:t>a</w:t>
      </w:r>
      <w:r w:rsidRPr="00984D50">
        <w:rPr>
          <w:color w:val="000000" w:themeColor="text1"/>
          <w:sz w:val="24"/>
          <w:szCs w:val="24"/>
        </w:rPr>
        <w:t xml:space="preserve"> društva </w:t>
      </w:r>
      <w:r>
        <w:rPr>
          <w:color w:val="000000" w:themeColor="text1"/>
          <w:sz w:val="24"/>
          <w:szCs w:val="24"/>
        </w:rPr>
        <w:t>s</w:t>
      </w:r>
      <w:r w:rsidRPr="00984D50">
        <w:rPr>
          <w:color w:val="000000" w:themeColor="text1"/>
          <w:sz w:val="24"/>
          <w:szCs w:val="24"/>
        </w:rPr>
        <w:t xml:space="preserve"> naglask</w:t>
      </w:r>
      <w:r>
        <w:rPr>
          <w:color w:val="000000" w:themeColor="text1"/>
          <w:sz w:val="24"/>
          <w:szCs w:val="24"/>
        </w:rPr>
        <w:t>om</w:t>
      </w:r>
      <w:r w:rsidRPr="00984D50">
        <w:rPr>
          <w:color w:val="000000" w:themeColor="text1"/>
          <w:sz w:val="24"/>
          <w:szCs w:val="24"/>
        </w:rPr>
        <w:t xml:space="preserve"> na mjerenje društvenog utjecaja kao </w:t>
      </w:r>
      <w:r>
        <w:rPr>
          <w:color w:val="000000" w:themeColor="text1"/>
          <w:sz w:val="24"/>
          <w:szCs w:val="24"/>
        </w:rPr>
        <w:t>ključnog pokazatelja</w:t>
      </w:r>
      <w:r w:rsidRPr="00984D50">
        <w:rPr>
          <w:color w:val="000000" w:themeColor="text1"/>
          <w:sz w:val="24"/>
          <w:szCs w:val="24"/>
        </w:rPr>
        <w:t xml:space="preserve"> za financiranje i vrednovanje rada organizacija.</w:t>
      </w:r>
    </w:p>
    <w:p w14:paraId="355C10EE" w14:textId="77777777" w:rsidR="00FB178A" w:rsidRPr="002C320D" w:rsidRDefault="00FB178A" w:rsidP="00FB178A">
      <w:pPr>
        <w:spacing w:after="240" w:line="276" w:lineRule="auto"/>
        <w:jc w:val="both"/>
        <w:rPr>
          <w:color w:val="000000" w:themeColor="text1"/>
          <w:sz w:val="24"/>
          <w:szCs w:val="24"/>
        </w:rPr>
      </w:pPr>
      <w:r w:rsidRPr="00564CE3">
        <w:rPr>
          <w:color w:val="000000" w:themeColor="text1"/>
          <w:sz w:val="24"/>
          <w:szCs w:val="24"/>
        </w:rPr>
        <w:t xml:space="preserve">Savjet za razvoj civilnoga društva u 2024. djelovao je u osmom sazivu s ukupno 37 članova i </w:t>
      </w:r>
      <w:r w:rsidRPr="00564CE3">
        <w:rPr>
          <w:color w:val="000000" w:themeColor="text1"/>
          <w:sz w:val="24"/>
          <w:szCs w:val="24"/>
        </w:rPr>
        <w:lastRenderedPageBreak/>
        <w:t xml:space="preserve">zamjenika, održavši tri sjednice te kontinuirano surađujući između sjednica. Putem Savjeta izabran </w:t>
      </w:r>
      <w:r>
        <w:rPr>
          <w:color w:val="000000" w:themeColor="text1"/>
          <w:sz w:val="24"/>
          <w:szCs w:val="24"/>
        </w:rPr>
        <w:t>je</w:t>
      </w:r>
      <w:r w:rsidRPr="00564CE3">
        <w:rPr>
          <w:color w:val="000000" w:themeColor="text1"/>
          <w:sz w:val="24"/>
          <w:szCs w:val="24"/>
        </w:rPr>
        <w:t xml:space="preserve"> 21 </w:t>
      </w:r>
      <w:r>
        <w:rPr>
          <w:color w:val="000000" w:themeColor="text1"/>
          <w:sz w:val="24"/>
          <w:szCs w:val="24"/>
        </w:rPr>
        <w:t>član sa zamjenama ispred</w:t>
      </w:r>
      <w:r w:rsidRPr="00564CE3">
        <w:rPr>
          <w:color w:val="000000" w:themeColor="text1"/>
          <w:sz w:val="24"/>
          <w:szCs w:val="24"/>
        </w:rPr>
        <w:t xml:space="preserve"> organizacija civilnog društva u </w:t>
      </w:r>
      <w:r w:rsidRPr="0081014E">
        <w:rPr>
          <w:color w:val="000000" w:themeColor="text1"/>
          <w:sz w:val="24"/>
          <w:szCs w:val="24"/>
        </w:rPr>
        <w:t>14 povjerenstava, savjetodavnih ili radnih tijela</w:t>
      </w:r>
      <w:r w:rsidRPr="00564CE3">
        <w:rPr>
          <w:color w:val="000000" w:themeColor="text1"/>
          <w:sz w:val="24"/>
          <w:szCs w:val="24"/>
        </w:rPr>
        <w:t>. Ured</w:t>
      </w:r>
      <w:r>
        <w:rPr>
          <w:color w:val="000000" w:themeColor="text1"/>
          <w:sz w:val="24"/>
          <w:szCs w:val="24"/>
        </w:rPr>
        <w:t xml:space="preserve"> za udruge Vlade Republike Hrvatske</w:t>
      </w:r>
      <w:r w:rsidRPr="00564CE3">
        <w:rPr>
          <w:color w:val="000000" w:themeColor="text1"/>
          <w:sz w:val="24"/>
          <w:szCs w:val="24"/>
        </w:rPr>
        <w:t xml:space="preserve"> je nastavio aktivnosti na razvoju STEM programa raspisavši </w:t>
      </w:r>
      <w:r>
        <w:rPr>
          <w:color w:val="000000" w:themeColor="text1"/>
          <w:sz w:val="24"/>
          <w:szCs w:val="24"/>
        </w:rPr>
        <w:t xml:space="preserve">u 2024. </w:t>
      </w:r>
      <w:r w:rsidRPr="00564CE3">
        <w:rPr>
          <w:color w:val="000000" w:themeColor="text1"/>
          <w:sz w:val="24"/>
          <w:szCs w:val="24"/>
        </w:rPr>
        <w:t>novi natječaj „Jačanje kapaciteta organizacija civilnoga društva za promociju STEM-a“ iz programa PULJP 2021.–2027., čije je ugovaranje provedeno u ožujku 2025.</w:t>
      </w:r>
      <w:r>
        <w:rPr>
          <w:color w:val="000000" w:themeColor="text1"/>
          <w:sz w:val="24"/>
          <w:szCs w:val="24"/>
        </w:rPr>
        <w:t xml:space="preserve"> godine.</w:t>
      </w:r>
      <w:r w:rsidRPr="00564CE3">
        <w:rPr>
          <w:color w:val="000000" w:themeColor="text1"/>
          <w:sz w:val="24"/>
          <w:szCs w:val="24"/>
        </w:rPr>
        <w:t xml:space="preserve"> </w:t>
      </w:r>
      <w:r>
        <w:rPr>
          <w:color w:val="000000" w:themeColor="text1"/>
          <w:sz w:val="24"/>
          <w:szCs w:val="24"/>
        </w:rPr>
        <w:t>B</w:t>
      </w:r>
      <w:r w:rsidRPr="00564CE3">
        <w:rPr>
          <w:color w:val="000000" w:themeColor="text1"/>
          <w:sz w:val="24"/>
          <w:szCs w:val="24"/>
        </w:rPr>
        <w:t>ilateralna suradnja sa Švicarskom Konfederacijom</w:t>
      </w:r>
      <w:r>
        <w:rPr>
          <w:color w:val="000000" w:themeColor="text1"/>
          <w:sz w:val="24"/>
          <w:szCs w:val="24"/>
        </w:rPr>
        <w:t xml:space="preserve"> nastavila se u 2024., a kroz istu je</w:t>
      </w:r>
      <w:r w:rsidRPr="00564CE3">
        <w:rPr>
          <w:color w:val="000000" w:themeColor="text1"/>
          <w:sz w:val="24"/>
          <w:szCs w:val="24"/>
        </w:rPr>
        <w:t xml:space="preserve"> Hrvatskoj osigurano 7,6 milijuna švicarskih franaka za </w:t>
      </w:r>
      <w:r>
        <w:rPr>
          <w:color w:val="000000" w:themeColor="text1"/>
          <w:sz w:val="24"/>
          <w:szCs w:val="24"/>
        </w:rPr>
        <w:t>potporu civilnom društvu</w:t>
      </w:r>
      <w:r w:rsidRPr="00564CE3">
        <w:rPr>
          <w:color w:val="000000" w:themeColor="text1"/>
          <w:sz w:val="24"/>
          <w:szCs w:val="24"/>
        </w:rPr>
        <w:t xml:space="preserve">. </w:t>
      </w:r>
      <w:r>
        <w:rPr>
          <w:color w:val="000000" w:themeColor="text1"/>
          <w:sz w:val="24"/>
          <w:szCs w:val="24"/>
        </w:rPr>
        <w:t xml:space="preserve">U </w:t>
      </w:r>
      <w:r w:rsidRPr="00DD6360">
        <w:rPr>
          <w:color w:val="000000" w:themeColor="text1"/>
          <w:sz w:val="24"/>
          <w:szCs w:val="24"/>
        </w:rPr>
        <w:t>listopada 2024. potpisan je Ugovor o provedbi programa „Civilno društvo“</w:t>
      </w:r>
      <w:r>
        <w:rPr>
          <w:color w:val="000000" w:themeColor="text1"/>
          <w:sz w:val="24"/>
          <w:szCs w:val="24"/>
        </w:rPr>
        <w:t>.</w:t>
      </w:r>
      <w:r w:rsidRPr="00DD6360">
        <w:rPr>
          <w:color w:val="000000" w:themeColor="text1"/>
          <w:sz w:val="24"/>
          <w:szCs w:val="24"/>
        </w:rPr>
        <w:t xml:space="preserve"> </w:t>
      </w:r>
      <w:r w:rsidRPr="00564CE3">
        <w:rPr>
          <w:color w:val="000000" w:themeColor="text1"/>
          <w:sz w:val="24"/>
          <w:szCs w:val="24"/>
        </w:rPr>
        <w:t xml:space="preserve">Program obuhvaća četiri komponente: obrazovanje </w:t>
      </w:r>
      <w:r>
        <w:rPr>
          <w:color w:val="000000" w:themeColor="text1"/>
          <w:sz w:val="24"/>
          <w:szCs w:val="24"/>
        </w:rPr>
        <w:t>o</w:t>
      </w:r>
      <w:r w:rsidRPr="00564CE3">
        <w:rPr>
          <w:color w:val="000000" w:themeColor="text1"/>
          <w:sz w:val="24"/>
          <w:szCs w:val="24"/>
        </w:rPr>
        <w:t xml:space="preserve"> održiv</w:t>
      </w:r>
      <w:r>
        <w:rPr>
          <w:color w:val="000000" w:themeColor="text1"/>
          <w:sz w:val="24"/>
          <w:szCs w:val="24"/>
        </w:rPr>
        <w:t>om</w:t>
      </w:r>
      <w:r w:rsidRPr="00564CE3">
        <w:rPr>
          <w:color w:val="000000" w:themeColor="text1"/>
          <w:sz w:val="24"/>
          <w:szCs w:val="24"/>
        </w:rPr>
        <w:t xml:space="preserve"> razvoj</w:t>
      </w:r>
      <w:r>
        <w:rPr>
          <w:color w:val="000000" w:themeColor="text1"/>
          <w:sz w:val="24"/>
          <w:szCs w:val="24"/>
        </w:rPr>
        <w:t>u</w:t>
      </w:r>
      <w:r w:rsidRPr="00564CE3">
        <w:rPr>
          <w:color w:val="000000" w:themeColor="text1"/>
          <w:sz w:val="24"/>
          <w:szCs w:val="24"/>
        </w:rPr>
        <w:t xml:space="preserve">, razvoj volontiranja, potporu inovativnim </w:t>
      </w:r>
      <w:proofErr w:type="spellStart"/>
      <w:r w:rsidRPr="00564CE3">
        <w:rPr>
          <w:color w:val="000000" w:themeColor="text1"/>
          <w:sz w:val="24"/>
          <w:szCs w:val="24"/>
        </w:rPr>
        <w:t>mikroprojektima</w:t>
      </w:r>
      <w:proofErr w:type="spellEnd"/>
      <w:r w:rsidRPr="00564CE3">
        <w:rPr>
          <w:color w:val="000000" w:themeColor="text1"/>
          <w:sz w:val="24"/>
          <w:szCs w:val="24"/>
        </w:rPr>
        <w:t xml:space="preserve"> za lokalni razvoj</w:t>
      </w:r>
      <w:r>
        <w:rPr>
          <w:color w:val="000000" w:themeColor="text1"/>
          <w:sz w:val="24"/>
          <w:szCs w:val="24"/>
        </w:rPr>
        <w:t xml:space="preserve"> i </w:t>
      </w:r>
      <w:r w:rsidRPr="002968F2">
        <w:rPr>
          <w:sz w:val="24"/>
        </w:rPr>
        <w:t>ravnomjeran regionalni rast</w:t>
      </w:r>
      <w:r w:rsidRPr="00564CE3">
        <w:rPr>
          <w:color w:val="000000" w:themeColor="text1"/>
          <w:sz w:val="24"/>
          <w:szCs w:val="24"/>
        </w:rPr>
        <w:t xml:space="preserve"> te programe društveno korisnog učenja kroz partnerstva organizacija civilnog društva i visokih učilišta.</w:t>
      </w:r>
    </w:p>
    <w:p w14:paraId="2802452B" w14:textId="77777777" w:rsidR="00FB178A" w:rsidRPr="002C320D" w:rsidRDefault="00FB178A" w:rsidP="00FB178A">
      <w:pPr>
        <w:spacing w:after="240" w:line="276" w:lineRule="auto"/>
        <w:jc w:val="both"/>
        <w:rPr>
          <w:color w:val="000000" w:themeColor="text1"/>
          <w:sz w:val="24"/>
          <w:szCs w:val="24"/>
        </w:rPr>
      </w:pPr>
      <w:r w:rsidRPr="002C320D">
        <w:rPr>
          <w:color w:val="000000" w:themeColor="text1"/>
          <w:sz w:val="24"/>
          <w:szCs w:val="24"/>
        </w:rPr>
        <w:t xml:space="preserve">U 2024. nastavljena je provedba aktivnosti usmjerenih na promociju i zaštitu prava nacionalnih manjina. Programom Vlade </w:t>
      </w:r>
      <w:r>
        <w:rPr>
          <w:color w:val="000000" w:themeColor="text1"/>
          <w:sz w:val="24"/>
          <w:szCs w:val="24"/>
        </w:rPr>
        <w:t xml:space="preserve">Republike Hrvatske </w:t>
      </w:r>
      <w:r w:rsidRPr="002C320D">
        <w:rPr>
          <w:color w:val="000000" w:themeColor="text1"/>
          <w:sz w:val="24"/>
          <w:szCs w:val="24"/>
        </w:rPr>
        <w:t>2024.</w:t>
      </w:r>
      <w:r>
        <w:rPr>
          <w:color w:val="000000" w:themeColor="text1"/>
          <w:sz w:val="24"/>
          <w:szCs w:val="24"/>
        </w:rPr>
        <w:t>-</w:t>
      </w:r>
      <w:r w:rsidRPr="002C320D">
        <w:rPr>
          <w:color w:val="000000" w:themeColor="text1"/>
          <w:sz w:val="24"/>
          <w:szCs w:val="24"/>
        </w:rPr>
        <w:t xml:space="preserve">2028. utvrđeno je kako će se posebna pozornost posvetiti izgradnji </w:t>
      </w:r>
      <w:proofErr w:type="spellStart"/>
      <w:r w:rsidRPr="002C320D">
        <w:rPr>
          <w:color w:val="000000" w:themeColor="text1"/>
          <w:sz w:val="24"/>
          <w:szCs w:val="24"/>
        </w:rPr>
        <w:t>uključivog</w:t>
      </w:r>
      <w:proofErr w:type="spellEnd"/>
      <w:r w:rsidRPr="002C320D">
        <w:rPr>
          <w:color w:val="000000" w:themeColor="text1"/>
          <w:sz w:val="24"/>
          <w:szCs w:val="24"/>
        </w:rPr>
        <w:t xml:space="preserve"> i tolerantnog društva koje poštuje ljudska prava i prava nacionalnih manjina. U tom je kontekstu </w:t>
      </w:r>
      <w:r>
        <w:rPr>
          <w:color w:val="000000" w:themeColor="text1"/>
          <w:sz w:val="24"/>
          <w:szCs w:val="24"/>
        </w:rPr>
        <w:t>u</w:t>
      </w:r>
      <w:r w:rsidRPr="002C320D">
        <w:rPr>
          <w:color w:val="000000" w:themeColor="text1"/>
          <w:sz w:val="24"/>
          <w:szCs w:val="24"/>
        </w:rPr>
        <w:t xml:space="preserve"> kolovoz</w:t>
      </w:r>
      <w:r>
        <w:rPr>
          <w:color w:val="000000" w:themeColor="text1"/>
          <w:sz w:val="24"/>
          <w:szCs w:val="24"/>
        </w:rPr>
        <w:t>u</w:t>
      </w:r>
      <w:r w:rsidRPr="002C320D">
        <w:rPr>
          <w:color w:val="000000" w:themeColor="text1"/>
          <w:sz w:val="24"/>
          <w:szCs w:val="24"/>
        </w:rPr>
        <w:t xml:space="preserve"> 2024. </w:t>
      </w:r>
      <w:r>
        <w:rPr>
          <w:color w:val="000000" w:themeColor="text1"/>
          <w:sz w:val="24"/>
          <w:szCs w:val="24"/>
        </w:rPr>
        <w:t xml:space="preserve">Vlada Republike Hrvatske </w:t>
      </w:r>
      <w:r w:rsidRPr="002C320D">
        <w:rPr>
          <w:color w:val="000000" w:themeColor="text1"/>
          <w:sz w:val="24"/>
          <w:szCs w:val="24"/>
        </w:rPr>
        <w:t>don</w:t>
      </w:r>
      <w:r>
        <w:rPr>
          <w:color w:val="000000" w:themeColor="text1"/>
          <w:sz w:val="24"/>
          <w:szCs w:val="24"/>
        </w:rPr>
        <w:t xml:space="preserve">ijela </w:t>
      </w:r>
      <w:r w:rsidRPr="002C320D">
        <w:rPr>
          <w:color w:val="000000" w:themeColor="text1"/>
          <w:sz w:val="24"/>
          <w:szCs w:val="24"/>
        </w:rPr>
        <w:t xml:space="preserve"> Odluk</w:t>
      </w:r>
      <w:r>
        <w:rPr>
          <w:color w:val="000000" w:themeColor="text1"/>
          <w:sz w:val="24"/>
          <w:szCs w:val="24"/>
        </w:rPr>
        <w:t>u</w:t>
      </w:r>
      <w:r w:rsidRPr="002C320D">
        <w:rPr>
          <w:color w:val="000000" w:themeColor="text1"/>
          <w:sz w:val="24"/>
          <w:szCs w:val="24"/>
        </w:rPr>
        <w:t xml:space="preserve"> o</w:t>
      </w:r>
      <w:r>
        <w:rPr>
          <w:color w:val="000000" w:themeColor="text1"/>
          <w:sz w:val="24"/>
          <w:szCs w:val="24"/>
        </w:rPr>
        <w:t xml:space="preserve"> donošenju</w:t>
      </w:r>
      <w:r w:rsidRPr="002C320D">
        <w:rPr>
          <w:color w:val="000000" w:themeColor="text1"/>
          <w:sz w:val="24"/>
          <w:szCs w:val="24"/>
        </w:rPr>
        <w:t xml:space="preserve"> Operativni</w:t>
      </w:r>
      <w:r>
        <w:rPr>
          <w:color w:val="000000" w:themeColor="text1"/>
          <w:sz w:val="24"/>
          <w:szCs w:val="24"/>
        </w:rPr>
        <w:t>h</w:t>
      </w:r>
      <w:r w:rsidRPr="002C320D">
        <w:rPr>
          <w:color w:val="000000" w:themeColor="text1"/>
          <w:sz w:val="24"/>
          <w:szCs w:val="24"/>
        </w:rPr>
        <w:t xml:space="preserve"> program</w:t>
      </w:r>
      <w:r>
        <w:rPr>
          <w:color w:val="000000" w:themeColor="text1"/>
          <w:sz w:val="24"/>
          <w:szCs w:val="24"/>
        </w:rPr>
        <w:t>a</w:t>
      </w:r>
      <w:r w:rsidRPr="002C320D">
        <w:rPr>
          <w:color w:val="000000" w:themeColor="text1"/>
          <w:sz w:val="24"/>
          <w:szCs w:val="24"/>
        </w:rPr>
        <w:t xml:space="preserve"> nacionalnih manjina za razdoblje 2024.</w:t>
      </w:r>
      <w:r>
        <w:rPr>
          <w:color w:val="000000" w:themeColor="text1"/>
          <w:sz w:val="24"/>
          <w:szCs w:val="24"/>
        </w:rPr>
        <w:t xml:space="preserve"> - </w:t>
      </w:r>
      <w:r w:rsidRPr="002C320D">
        <w:rPr>
          <w:color w:val="000000" w:themeColor="text1"/>
          <w:sz w:val="24"/>
          <w:szCs w:val="24"/>
        </w:rPr>
        <w:t>2028., kojima se određuju mehanizmi zaštite prava nacionalnih manjina i podrške djelovanju njihovih tijela, sukladno Ustavnom zakonu o pravima nacionalnih manjina i posebnim propisima. Operativni programi sadrže ukupno 209 aktivnosti, od kojih se 56 odnosi na sve manjine navedene u Izvorišnim osnovama Ustava, a preostale 153 na pojedine manjine, uvažavajući njihove specifične potrebe; izrađeni su posebni programi za 22 nacionalne manjine. U odnosu na prethodno razdoblje 2021.</w:t>
      </w:r>
      <w:r>
        <w:rPr>
          <w:color w:val="000000" w:themeColor="text1"/>
          <w:sz w:val="24"/>
          <w:szCs w:val="24"/>
        </w:rPr>
        <w:t>-</w:t>
      </w:r>
      <w:r w:rsidRPr="002C320D">
        <w:rPr>
          <w:color w:val="000000" w:themeColor="text1"/>
          <w:sz w:val="24"/>
          <w:szCs w:val="24"/>
        </w:rPr>
        <w:t>2024. definiran</w:t>
      </w:r>
      <w:r>
        <w:rPr>
          <w:color w:val="000000" w:themeColor="text1"/>
          <w:sz w:val="24"/>
          <w:szCs w:val="24"/>
        </w:rPr>
        <w:t>a</w:t>
      </w:r>
      <w:r w:rsidRPr="002C320D">
        <w:rPr>
          <w:color w:val="000000" w:themeColor="text1"/>
          <w:sz w:val="24"/>
          <w:szCs w:val="24"/>
        </w:rPr>
        <w:t xml:space="preserve"> </w:t>
      </w:r>
      <w:r>
        <w:rPr>
          <w:color w:val="000000" w:themeColor="text1"/>
          <w:sz w:val="24"/>
          <w:szCs w:val="24"/>
        </w:rPr>
        <w:t xml:space="preserve">je </w:t>
      </w:r>
      <w:r w:rsidRPr="002C320D">
        <w:rPr>
          <w:color w:val="000000" w:themeColor="text1"/>
          <w:sz w:val="24"/>
          <w:szCs w:val="24"/>
        </w:rPr>
        <w:t>41 nov</w:t>
      </w:r>
      <w:r>
        <w:rPr>
          <w:color w:val="000000" w:themeColor="text1"/>
          <w:sz w:val="24"/>
          <w:szCs w:val="24"/>
        </w:rPr>
        <w:t xml:space="preserve">a </w:t>
      </w:r>
      <w:r w:rsidRPr="002C320D">
        <w:rPr>
          <w:color w:val="000000" w:themeColor="text1"/>
          <w:sz w:val="24"/>
          <w:szCs w:val="24"/>
        </w:rPr>
        <w:t>aktivnost, a za provedbu Operativnih programa nacionalnih manjina u 2024. utrošeno je 95,36 milijuna eura</w:t>
      </w:r>
      <w:r>
        <w:rPr>
          <w:color w:val="000000" w:themeColor="text1"/>
          <w:sz w:val="24"/>
          <w:szCs w:val="24"/>
        </w:rPr>
        <w:t>, čime</w:t>
      </w:r>
      <w:r w:rsidRPr="002C320D">
        <w:rPr>
          <w:color w:val="000000" w:themeColor="text1"/>
          <w:sz w:val="24"/>
          <w:szCs w:val="24"/>
        </w:rPr>
        <w:t xml:space="preserve"> je osigurana snažna financijska potpora kulturnoj autonomiji, spomeničkoj baštini, izgradnji i unapređenju socijalne, komunalne i kulturne infrastrukture te uvjeta rada udruga i ustanova nacionalnih manjina, uz istodobno intenziviranje bilateralne suradnje s matičnim državama.</w:t>
      </w:r>
    </w:p>
    <w:p w14:paraId="7A2439C4" w14:textId="77777777" w:rsidR="00FB178A" w:rsidRPr="002C320D" w:rsidRDefault="00FB178A" w:rsidP="00FB178A">
      <w:pPr>
        <w:spacing w:after="240" w:line="276" w:lineRule="auto"/>
        <w:jc w:val="both"/>
        <w:rPr>
          <w:color w:val="000000" w:themeColor="text1"/>
          <w:sz w:val="24"/>
          <w:szCs w:val="24"/>
        </w:rPr>
      </w:pPr>
      <w:r w:rsidRPr="002C320D">
        <w:rPr>
          <w:color w:val="000000" w:themeColor="text1"/>
          <w:sz w:val="24"/>
          <w:szCs w:val="24"/>
        </w:rPr>
        <w:t xml:space="preserve">U svrhu daljnjeg unaprjeđenja položaja pripadnika romske nacionalne manjine nastavljena je provedba Nacionalnog plana za uključivanje Roma </w:t>
      </w:r>
      <w:r>
        <w:rPr>
          <w:color w:val="000000" w:themeColor="text1"/>
          <w:sz w:val="24"/>
          <w:szCs w:val="24"/>
        </w:rPr>
        <w:t xml:space="preserve">za razdoblje od </w:t>
      </w:r>
      <w:r w:rsidRPr="002C320D">
        <w:rPr>
          <w:color w:val="000000" w:themeColor="text1"/>
          <w:sz w:val="24"/>
          <w:szCs w:val="24"/>
        </w:rPr>
        <w:t>2021.</w:t>
      </w:r>
      <w:r>
        <w:rPr>
          <w:color w:val="000000" w:themeColor="text1"/>
          <w:sz w:val="24"/>
          <w:szCs w:val="24"/>
        </w:rPr>
        <w:t xml:space="preserve"> do </w:t>
      </w:r>
      <w:r w:rsidRPr="002C320D">
        <w:rPr>
          <w:color w:val="000000" w:themeColor="text1"/>
          <w:sz w:val="24"/>
          <w:szCs w:val="24"/>
        </w:rPr>
        <w:t>2027.</w:t>
      </w:r>
      <w:r>
        <w:rPr>
          <w:color w:val="000000" w:themeColor="text1"/>
          <w:sz w:val="24"/>
          <w:szCs w:val="24"/>
        </w:rPr>
        <w:t xml:space="preserve"> godine</w:t>
      </w:r>
      <w:r w:rsidRPr="002C320D">
        <w:rPr>
          <w:color w:val="000000" w:themeColor="text1"/>
          <w:sz w:val="24"/>
          <w:szCs w:val="24"/>
        </w:rPr>
        <w:t xml:space="preserve"> i Akcijskog </w:t>
      </w:r>
      <w:r w:rsidRPr="009756C5">
        <w:rPr>
          <w:color w:val="000000" w:themeColor="text1"/>
          <w:sz w:val="24"/>
          <w:szCs w:val="24"/>
        </w:rPr>
        <w:t>plana za provedbu Nacionalnog plana za uključivanje Roma, za razdoblje od 2021.do 2027. godine</w:t>
      </w:r>
      <w:r>
        <w:rPr>
          <w:color w:val="000000" w:themeColor="text1"/>
          <w:sz w:val="24"/>
          <w:szCs w:val="24"/>
        </w:rPr>
        <w:t xml:space="preserve"> </w:t>
      </w:r>
      <w:r w:rsidRPr="009756C5">
        <w:rPr>
          <w:color w:val="000000" w:themeColor="text1"/>
          <w:sz w:val="24"/>
          <w:szCs w:val="24"/>
        </w:rPr>
        <w:t>za</w:t>
      </w:r>
      <w:r w:rsidRPr="002C320D">
        <w:rPr>
          <w:color w:val="000000" w:themeColor="text1"/>
          <w:sz w:val="24"/>
          <w:szCs w:val="24"/>
        </w:rPr>
        <w:t xml:space="preserve"> 2023.</w:t>
      </w:r>
      <w:r>
        <w:rPr>
          <w:color w:val="000000" w:themeColor="text1"/>
          <w:sz w:val="24"/>
          <w:szCs w:val="24"/>
        </w:rPr>
        <w:t xml:space="preserve"> - </w:t>
      </w:r>
      <w:r w:rsidRPr="002C320D">
        <w:rPr>
          <w:color w:val="000000" w:themeColor="text1"/>
          <w:sz w:val="24"/>
          <w:szCs w:val="24"/>
        </w:rPr>
        <w:t xml:space="preserve">2025. Akcijski plan obuhvaća 24 mjere i 58 aktivnosti, a za njegovu provedbu u 2024. utrošeno je 7,73 milijuna eura, što je 51,16% više u odnosu na 2023. godinu. Za komplementarne aktivnosti u okviru Operativnog programa romske nacionalne manjine u 2024. je utrošeno dodatnih 7,73 milijuna eura, pa je ukupno iz državnog proračuna za unaprjeđenje položaja Roma </w:t>
      </w:r>
      <w:r>
        <w:rPr>
          <w:color w:val="000000" w:themeColor="text1"/>
          <w:sz w:val="24"/>
          <w:szCs w:val="24"/>
        </w:rPr>
        <w:t xml:space="preserve">tijekom 2024. </w:t>
      </w:r>
      <w:r w:rsidRPr="002C320D">
        <w:rPr>
          <w:color w:val="000000" w:themeColor="text1"/>
          <w:sz w:val="24"/>
          <w:szCs w:val="24"/>
        </w:rPr>
        <w:t>izdvojeno 15,46 milijuna eura. Osnaživanje horizontalne i vertikalne koordinacije nastavljeno je radom Povjerenstva za praćenje provedbe Nacionalnog plana</w:t>
      </w:r>
      <w:r>
        <w:rPr>
          <w:color w:val="000000" w:themeColor="text1"/>
          <w:sz w:val="24"/>
          <w:szCs w:val="24"/>
        </w:rPr>
        <w:t xml:space="preserve"> za uključivanje Roma</w:t>
      </w:r>
      <w:r w:rsidRPr="002C320D">
        <w:rPr>
          <w:color w:val="000000" w:themeColor="text1"/>
          <w:sz w:val="24"/>
          <w:szCs w:val="24"/>
        </w:rPr>
        <w:t xml:space="preserve"> i Radne skupine, uz intenzivnu suradnju s jedinicama lokalne i područne (regionalne) samouprave, romskim vijećima i predstavnicima te stručnim udrugama na područjima </w:t>
      </w:r>
      <w:proofErr w:type="spellStart"/>
      <w:r w:rsidRPr="002C320D">
        <w:rPr>
          <w:color w:val="000000" w:themeColor="text1"/>
          <w:sz w:val="24"/>
          <w:szCs w:val="24"/>
        </w:rPr>
        <w:t>antidiskriminacije</w:t>
      </w:r>
      <w:proofErr w:type="spellEnd"/>
      <w:r w:rsidRPr="002C320D">
        <w:rPr>
          <w:color w:val="000000" w:themeColor="text1"/>
          <w:sz w:val="24"/>
          <w:szCs w:val="24"/>
        </w:rPr>
        <w:t xml:space="preserve">, obrazovanja (osobito predškolskog i desegregacije), položaja djece i Romkinja te razvoja zajednice. Početkom školske godine 2023./2024. u osnovnoškolskom sustavu bilo je uključeno 5.202 učenika pripadnika romske nacionalne manjine, uz daljnji porast broja učenika u </w:t>
      </w:r>
      <w:r w:rsidRPr="002C320D">
        <w:rPr>
          <w:color w:val="000000" w:themeColor="text1"/>
          <w:sz w:val="24"/>
          <w:szCs w:val="24"/>
        </w:rPr>
        <w:lastRenderedPageBreak/>
        <w:t>produženom boravku (803 učenika), dok je u visokom obrazovanju zabilježen značajan rast broja romskih studenata, između ostalog i zbog povećanja studentskih stipendija. Savjet za nacionalne manjine dodatno je podupirao kulturne aktivnosti romske nacionalne manjine.</w:t>
      </w:r>
    </w:p>
    <w:p w14:paraId="5AC9086A" w14:textId="77777777" w:rsidR="00FB178A" w:rsidRPr="002C320D" w:rsidRDefault="00FB178A" w:rsidP="00FB178A">
      <w:pPr>
        <w:spacing w:after="240" w:line="276" w:lineRule="auto"/>
        <w:jc w:val="both"/>
        <w:rPr>
          <w:color w:val="000000" w:themeColor="text1"/>
          <w:sz w:val="24"/>
          <w:szCs w:val="24"/>
        </w:rPr>
      </w:pPr>
      <w:r w:rsidRPr="002C320D">
        <w:rPr>
          <w:color w:val="000000" w:themeColor="text1"/>
          <w:sz w:val="24"/>
          <w:szCs w:val="24"/>
        </w:rPr>
        <w:t xml:space="preserve">U okviru horizontalnog cilja usmjerenog na borbu protiv </w:t>
      </w:r>
      <w:proofErr w:type="spellStart"/>
      <w:r w:rsidRPr="002C320D">
        <w:rPr>
          <w:color w:val="000000" w:themeColor="text1"/>
          <w:sz w:val="24"/>
          <w:szCs w:val="24"/>
        </w:rPr>
        <w:t>antiromskog</w:t>
      </w:r>
      <w:proofErr w:type="spellEnd"/>
      <w:r w:rsidRPr="002C320D">
        <w:rPr>
          <w:color w:val="000000" w:themeColor="text1"/>
          <w:sz w:val="24"/>
          <w:szCs w:val="24"/>
        </w:rPr>
        <w:t xml:space="preserve"> rasizma i diskriminacije zabilježen je porast broja sudionika u aktivnostima jačanja i promicanja sigurnosti u zajednici. U području smanjenja siromaštva i socijalne isključenosti posebno se ističe osnivanje Centra za pružanje usluga u zajednici Međimurje, usmjerenog na širenje mreže socijalnih usluga za djecu i mlade u riziku od siromaštva i socijalne isključenosti. U okviru sektorskog cilja osiguravanja učinkovitog i jednakog pristupa </w:t>
      </w:r>
      <w:proofErr w:type="spellStart"/>
      <w:r w:rsidRPr="002C320D">
        <w:rPr>
          <w:color w:val="000000" w:themeColor="text1"/>
          <w:sz w:val="24"/>
          <w:szCs w:val="24"/>
        </w:rPr>
        <w:t>desegregiranom</w:t>
      </w:r>
      <w:proofErr w:type="spellEnd"/>
      <w:r w:rsidRPr="002C320D">
        <w:rPr>
          <w:color w:val="000000" w:themeColor="text1"/>
          <w:sz w:val="24"/>
          <w:szCs w:val="24"/>
        </w:rPr>
        <w:t xml:space="preserve"> stanovanju i osnovnim uslugama proveden je Godišnji program unapređenja životnih uvjeta Roma za 2024. godinu. Provedene su aktivnosti planiranja i gradnje šest obiteljskih kuća te dovršena provedba Godišnjeg programa za 2023. koji je obuhvatio 501 korisnika. Pružena je potpora za šest jedinica lokalne samouprave za izradu projektne dokumentacije za gradnju na područjima naseljenim Romima te za još </w:t>
      </w:r>
      <w:r>
        <w:rPr>
          <w:color w:val="000000" w:themeColor="text1"/>
          <w:sz w:val="24"/>
          <w:szCs w:val="24"/>
        </w:rPr>
        <w:t>13</w:t>
      </w:r>
      <w:r w:rsidRPr="002C320D">
        <w:rPr>
          <w:color w:val="000000" w:themeColor="text1"/>
          <w:sz w:val="24"/>
          <w:szCs w:val="24"/>
        </w:rPr>
        <w:t xml:space="preserve"> jedinica za lokalne projekte unapređenja infrastrukture u romskim naseljima.</w:t>
      </w:r>
    </w:p>
    <w:p w14:paraId="6D54C038" w14:textId="77777777" w:rsidR="00FB178A" w:rsidRPr="002C320D" w:rsidRDefault="00FB178A" w:rsidP="00FB178A">
      <w:pPr>
        <w:spacing w:after="240" w:line="276" w:lineRule="auto"/>
        <w:jc w:val="both"/>
        <w:rPr>
          <w:color w:val="000000" w:themeColor="text1"/>
          <w:sz w:val="24"/>
          <w:szCs w:val="24"/>
        </w:rPr>
      </w:pPr>
      <w:r w:rsidRPr="002C320D">
        <w:rPr>
          <w:color w:val="000000" w:themeColor="text1"/>
          <w:sz w:val="24"/>
          <w:szCs w:val="24"/>
        </w:rPr>
        <w:t xml:space="preserve">Nacionalnim planom za suzbijanje seksualnog nasilja i seksualnog uznemiravanja </w:t>
      </w:r>
      <w:r>
        <w:rPr>
          <w:color w:val="000000" w:themeColor="text1"/>
          <w:sz w:val="24"/>
          <w:szCs w:val="24"/>
        </w:rPr>
        <w:t xml:space="preserve">za razdoblje </w:t>
      </w:r>
      <w:r w:rsidRPr="002C320D">
        <w:rPr>
          <w:color w:val="000000" w:themeColor="text1"/>
          <w:sz w:val="24"/>
          <w:szCs w:val="24"/>
        </w:rPr>
        <w:t xml:space="preserve">do 2027. </w:t>
      </w:r>
      <w:r>
        <w:rPr>
          <w:color w:val="000000" w:themeColor="text1"/>
          <w:sz w:val="24"/>
          <w:szCs w:val="24"/>
        </w:rPr>
        <w:t xml:space="preserve">godine </w:t>
      </w:r>
      <w:r w:rsidRPr="002C320D">
        <w:rPr>
          <w:color w:val="000000" w:themeColor="text1"/>
          <w:sz w:val="24"/>
          <w:szCs w:val="24"/>
        </w:rPr>
        <w:t xml:space="preserve">nastoji se osigurati usklađena društvena reakcija na seksualno nasilje, učinkovita zaštita žrtava i jačanje javne svijesti o neprihvatljivosti takvog ponašanja. </w:t>
      </w:r>
      <w:r>
        <w:rPr>
          <w:color w:val="000000" w:themeColor="text1"/>
          <w:sz w:val="24"/>
          <w:szCs w:val="24"/>
        </w:rPr>
        <w:t>Nacionalni p</w:t>
      </w:r>
      <w:r w:rsidRPr="002C320D">
        <w:rPr>
          <w:color w:val="000000" w:themeColor="text1"/>
          <w:sz w:val="24"/>
          <w:szCs w:val="24"/>
        </w:rPr>
        <w:t>lan se provodi kroz tri posebna cilja: prevenciju, unaprjeđenje skrbi i dostupnosti usluga podrške žrtvama te postizanje odvraćajućeg učinka kod počinitelja. Prevenciji posebno doprinose medijske kampanje i programi usmjereni od najranije dječje dobi, dok se u području zaštite žrtava provode pripreme za uspostavu mreže specijaliziranih servisa za rad sa žrtvama. Kroz Poziv za projekte udruga koje pružaju savjetovališne usluge žrtvama nasilja u obitelji i seksualnog nasilja za 2023., čija se provedba nastavila do jeseni 2024., financirane su tri udruge. Tijekom 2024. kroz projekte udruga pruženo je 3.445 usluga za 347 žrtava seksualnih delikata, uključujući savjetovanje, psihoterapiju, psihološko savjetovanje, psihosocijalnu pomoć, podršku te pravnu pomoć, a dodatno je provedena edukacija za 13 stručnjaka iz područja rodno uvjetovanog i seksualnog nasilja.</w:t>
      </w:r>
    </w:p>
    <w:p w14:paraId="675F0BE5" w14:textId="77777777" w:rsidR="00FB178A" w:rsidRPr="002C320D" w:rsidRDefault="00FB178A" w:rsidP="00FB178A">
      <w:pPr>
        <w:spacing w:after="240" w:line="276" w:lineRule="auto"/>
        <w:jc w:val="both"/>
        <w:rPr>
          <w:color w:val="000000" w:themeColor="text1"/>
          <w:sz w:val="24"/>
          <w:szCs w:val="24"/>
        </w:rPr>
      </w:pPr>
      <w:r>
        <w:rPr>
          <w:color w:val="000000" w:themeColor="text1"/>
          <w:sz w:val="24"/>
          <w:szCs w:val="24"/>
        </w:rPr>
        <w:t>Nastavljena je provedba</w:t>
      </w:r>
      <w:r w:rsidRPr="002C320D">
        <w:rPr>
          <w:color w:val="000000" w:themeColor="text1"/>
          <w:sz w:val="24"/>
          <w:szCs w:val="24"/>
        </w:rPr>
        <w:t xml:space="preserve"> Nacionaln</w:t>
      </w:r>
      <w:r>
        <w:rPr>
          <w:color w:val="000000" w:themeColor="text1"/>
          <w:sz w:val="24"/>
          <w:szCs w:val="24"/>
        </w:rPr>
        <w:t>og</w:t>
      </w:r>
      <w:r w:rsidRPr="002C320D">
        <w:rPr>
          <w:color w:val="000000" w:themeColor="text1"/>
          <w:sz w:val="24"/>
          <w:szCs w:val="24"/>
        </w:rPr>
        <w:t xml:space="preserve"> plan</w:t>
      </w:r>
      <w:r>
        <w:rPr>
          <w:color w:val="000000" w:themeColor="text1"/>
          <w:sz w:val="24"/>
          <w:szCs w:val="24"/>
        </w:rPr>
        <w:t>a</w:t>
      </w:r>
      <w:r w:rsidRPr="002C320D">
        <w:rPr>
          <w:color w:val="000000" w:themeColor="text1"/>
          <w:sz w:val="24"/>
          <w:szCs w:val="24"/>
        </w:rPr>
        <w:t xml:space="preserve"> za ravnopravnost spolova </w:t>
      </w:r>
      <w:r>
        <w:rPr>
          <w:color w:val="000000" w:themeColor="text1"/>
          <w:sz w:val="24"/>
          <w:szCs w:val="24"/>
        </w:rPr>
        <w:t xml:space="preserve">za razdoblje </w:t>
      </w:r>
      <w:r w:rsidRPr="002C320D">
        <w:rPr>
          <w:color w:val="000000" w:themeColor="text1"/>
          <w:sz w:val="24"/>
          <w:szCs w:val="24"/>
        </w:rPr>
        <w:t>do 2027.</w:t>
      </w:r>
      <w:r>
        <w:rPr>
          <w:color w:val="000000" w:themeColor="text1"/>
          <w:sz w:val="24"/>
          <w:szCs w:val="24"/>
        </w:rPr>
        <w:t xml:space="preserve"> godine</w:t>
      </w:r>
      <w:r w:rsidRPr="002C320D">
        <w:rPr>
          <w:color w:val="000000" w:themeColor="text1"/>
          <w:sz w:val="24"/>
          <w:szCs w:val="24"/>
        </w:rPr>
        <w:t xml:space="preserve"> i pripadajuć</w:t>
      </w:r>
      <w:r>
        <w:rPr>
          <w:color w:val="000000" w:themeColor="text1"/>
          <w:sz w:val="24"/>
          <w:szCs w:val="24"/>
        </w:rPr>
        <w:t>eg</w:t>
      </w:r>
      <w:r w:rsidRPr="002C320D">
        <w:rPr>
          <w:color w:val="000000" w:themeColor="text1"/>
          <w:sz w:val="24"/>
          <w:szCs w:val="24"/>
        </w:rPr>
        <w:t xml:space="preserve"> Akcijsk</w:t>
      </w:r>
      <w:r>
        <w:rPr>
          <w:color w:val="000000" w:themeColor="text1"/>
          <w:sz w:val="24"/>
          <w:szCs w:val="24"/>
        </w:rPr>
        <w:t>og</w:t>
      </w:r>
      <w:r w:rsidRPr="002C320D">
        <w:rPr>
          <w:color w:val="000000" w:themeColor="text1"/>
          <w:sz w:val="24"/>
          <w:szCs w:val="24"/>
        </w:rPr>
        <w:t xml:space="preserve"> plan</w:t>
      </w:r>
      <w:r>
        <w:rPr>
          <w:color w:val="000000" w:themeColor="text1"/>
          <w:sz w:val="24"/>
          <w:szCs w:val="24"/>
        </w:rPr>
        <w:t>a za razdoblje</w:t>
      </w:r>
      <w:r w:rsidRPr="002C320D">
        <w:rPr>
          <w:color w:val="000000" w:themeColor="text1"/>
          <w:sz w:val="24"/>
          <w:szCs w:val="24"/>
        </w:rPr>
        <w:t xml:space="preserve"> do 2024. godine</w:t>
      </w:r>
      <w:r>
        <w:rPr>
          <w:color w:val="000000" w:themeColor="text1"/>
          <w:sz w:val="24"/>
          <w:szCs w:val="24"/>
        </w:rPr>
        <w:t xml:space="preserve"> koji je</w:t>
      </w:r>
      <w:r w:rsidRPr="002C320D">
        <w:rPr>
          <w:color w:val="000000" w:themeColor="text1"/>
          <w:sz w:val="24"/>
          <w:szCs w:val="24"/>
        </w:rPr>
        <w:t xml:space="preserve"> usmjeren na uklanjanje diskriminacije temeljem spola, uspostavljanje stvarne ravnopravnosti u svim područjima života i osiguranje jednakih prava i koristi od ostvarenih rezultata. </w:t>
      </w:r>
      <w:r>
        <w:rPr>
          <w:color w:val="000000" w:themeColor="text1"/>
          <w:sz w:val="24"/>
          <w:szCs w:val="24"/>
        </w:rPr>
        <w:t>Nacionalnim p</w:t>
      </w:r>
      <w:r w:rsidRPr="002C320D">
        <w:rPr>
          <w:color w:val="000000" w:themeColor="text1"/>
          <w:sz w:val="24"/>
          <w:szCs w:val="24"/>
        </w:rPr>
        <w:t>lanom je definirano sedam posebnih ciljeva i 33 mjere, za čiju provedbu je osnovana Međuresorna radna skupina</w:t>
      </w:r>
      <w:r>
        <w:rPr>
          <w:color w:val="000000" w:themeColor="text1"/>
          <w:sz w:val="24"/>
          <w:szCs w:val="24"/>
        </w:rPr>
        <w:t xml:space="preserve">. </w:t>
      </w:r>
      <w:r w:rsidRPr="002C320D">
        <w:rPr>
          <w:color w:val="000000" w:themeColor="text1"/>
          <w:sz w:val="24"/>
          <w:szCs w:val="24"/>
        </w:rPr>
        <w:t>Provedba Nacionalnog plana i Akcijskog plana u 2024. uglavnom je</w:t>
      </w:r>
      <w:r>
        <w:rPr>
          <w:color w:val="000000" w:themeColor="text1"/>
          <w:sz w:val="24"/>
          <w:szCs w:val="24"/>
        </w:rPr>
        <w:t xml:space="preserve"> </w:t>
      </w:r>
      <w:r w:rsidRPr="002C320D">
        <w:rPr>
          <w:color w:val="000000" w:themeColor="text1"/>
          <w:sz w:val="24"/>
          <w:szCs w:val="24"/>
        </w:rPr>
        <w:t xml:space="preserve">u skladu s planom, uz pojedina prekoračenja rokova i izazove, pri čemu </w:t>
      </w:r>
      <w:r>
        <w:rPr>
          <w:color w:val="000000" w:themeColor="text1"/>
          <w:sz w:val="24"/>
          <w:szCs w:val="24"/>
        </w:rPr>
        <w:t>su</w:t>
      </w:r>
      <w:r w:rsidRPr="002C320D">
        <w:rPr>
          <w:color w:val="000000" w:themeColor="text1"/>
          <w:sz w:val="24"/>
          <w:szCs w:val="24"/>
        </w:rPr>
        <w:t xml:space="preserve"> </w:t>
      </w:r>
      <w:r>
        <w:rPr>
          <w:color w:val="000000" w:themeColor="text1"/>
          <w:sz w:val="24"/>
          <w:szCs w:val="24"/>
        </w:rPr>
        <w:t xml:space="preserve">uspješno </w:t>
      </w:r>
      <w:r w:rsidRPr="002C320D">
        <w:rPr>
          <w:color w:val="000000" w:themeColor="text1"/>
          <w:sz w:val="24"/>
          <w:szCs w:val="24"/>
        </w:rPr>
        <w:t>proveden</w:t>
      </w:r>
      <w:r>
        <w:rPr>
          <w:color w:val="000000" w:themeColor="text1"/>
          <w:sz w:val="24"/>
          <w:szCs w:val="24"/>
        </w:rPr>
        <w:t>e</w:t>
      </w:r>
      <w:r w:rsidRPr="002C320D">
        <w:rPr>
          <w:color w:val="000000" w:themeColor="text1"/>
          <w:sz w:val="24"/>
          <w:szCs w:val="24"/>
        </w:rPr>
        <w:t xml:space="preserve"> 22 mjere, </w:t>
      </w:r>
      <w:r>
        <w:rPr>
          <w:color w:val="000000" w:themeColor="text1"/>
          <w:sz w:val="24"/>
          <w:szCs w:val="24"/>
        </w:rPr>
        <w:t>za što je</w:t>
      </w:r>
      <w:r w:rsidRPr="002C320D">
        <w:rPr>
          <w:color w:val="000000" w:themeColor="text1"/>
          <w:sz w:val="24"/>
          <w:szCs w:val="24"/>
        </w:rPr>
        <w:t xml:space="preserve"> ukupno utrošeno 19,45 milijuna eura. Rezultati pokazuju napredak u ključnim pokazateljima: provedene su brojne edukacije, kampanje i aktivnosti osvještavanja, poboljšan je položaj žena na tržištu rada i uvjeti za ravnotežu privatnog i poslovnog života, te </w:t>
      </w:r>
      <w:r>
        <w:rPr>
          <w:color w:val="000000" w:themeColor="text1"/>
          <w:sz w:val="24"/>
          <w:szCs w:val="24"/>
        </w:rPr>
        <w:t xml:space="preserve">je </w:t>
      </w:r>
      <w:r w:rsidRPr="002C320D">
        <w:rPr>
          <w:color w:val="000000" w:themeColor="text1"/>
          <w:sz w:val="24"/>
          <w:szCs w:val="24"/>
        </w:rPr>
        <w:t xml:space="preserve">ojačano sudjelovanje žena u poduzetništvu, što potvrđuje i rast TEA indeksa poduzetničke aktivnosti žena na 11,0 u 2024. (s 9,9 u 2023.). </w:t>
      </w:r>
      <w:r>
        <w:rPr>
          <w:color w:val="000000" w:themeColor="text1"/>
          <w:sz w:val="24"/>
          <w:szCs w:val="24"/>
        </w:rPr>
        <w:t>Tijekom</w:t>
      </w:r>
      <w:r w:rsidRPr="00636AF1">
        <w:rPr>
          <w:color w:val="000000" w:themeColor="text1"/>
          <w:sz w:val="24"/>
          <w:szCs w:val="24"/>
        </w:rPr>
        <w:t xml:space="preserve"> 2024. </w:t>
      </w:r>
      <w:r>
        <w:rPr>
          <w:color w:val="000000" w:themeColor="text1"/>
          <w:sz w:val="24"/>
          <w:szCs w:val="24"/>
        </w:rPr>
        <w:t xml:space="preserve">u pripremi je bio </w:t>
      </w:r>
      <w:r w:rsidRPr="00636AF1">
        <w:rPr>
          <w:color w:val="000000" w:themeColor="text1"/>
          <w:sz w:val="24"/>
          <w:szCs w:val="24"/>
        </w:rPr>
        <w:t xml:space="preserve">Zakon </w:t>
      </w:r>
      <w:r w:rsidRPr="004D0FA8">
        <w:rPr>
          <w:color w:val="000000" w:themeColor="text1"/>
          <w:sz w:val="24"/>
          <w:szCs w:val="24"/>
        </w:rPr>
        <w:t xml:space="preserve">o izmjenama i dopunama Zakona o </w:t>
      </w:r>
      <w:proofErr w:type="spellStart"/>
      <w:r w:rsidRPr="004D0FA8">
        <w:rPr>
          <w:color w:val="000000" w:themeColor="text1"/>
          <w:sz w:val="24"/>
          <w:szCs w:val="24"/>
        </w:rPr>
        <w:t>rodiljnim</w:t>
      </w:r>
      <w:proofErr w:type="spellEnd"/>
      <w:r w:rsidRPr="004D0FA8">
        <w:rPr>
          <w:color w:val="000000" w:themeColor="text1"/>
          <w:sz w:val="24"/>
          <w:szCs w:val="24"/>
        </w:rPr>
        <w:t xml:space="preserve"> i roditeljskim </w:t>
      </w:r>
      <w:r w:rsidRPr="004D0FA8">
        <w:rPr>
          <w:color w:val="000000" w:themeColor="text1"/>
          <w:sz w:val="24"/>
          <w:szCs w:val="24"/>
        </w:rPr>
        <w:lastRenderedPageBreak/>
        <w:t>potporama</w:t>
      </w:r>
      <w:r w:rsidRPr="004D0FA8" w:rsidDel="004D0FA8">
        <w:rPr>
          <w:color w:val="000000" w:themeColor="text1"/>
          <w:sz w:val="24"/>
          <w:szCs w:val="24"/>
        </w:rPr>
        <w:t xml:space="preserve"> </w:t>
      </w:r>
      <w:r>
        <w:rPr>
          <w:color w:val="000000" w:themeColor="text1"/>
          <w:sz w:val="24"/>
          <w:szCs w:val="24"/>
        </w:rPr>
        <w:t>(„</w:t>
      </w:r>
      <w:r w:rsidRPr="004D0FA8">
        <w:rPr>
          <w:color w:val="000000" w:themeColor="text1"/>
          <w:sz w:val="24"/>
          <w:szCs w:val="24"/>
        </w:rPr>
        <w:t>Narodne novine</w:t>
      </w:r>
      <w:r>
        <w:rPr>
          <w:color w:val="000000" w:themeColor="text1"/>
          <w:sz w:val="24"/>
          <w:szCs w:val="24"/>
        </w:rPr>
        <w:t>“,</w:t>
      </w:r>
      <w:r w:rsidRPr="004D0FA8">
        <w:rPr>
          <w:color w:val="000000" w:themeColor="text1"/>
          <w:sz w:val="24"/>
          <w:szCs w:val="24"/>
        </w:rPr>
        <w:t xml:space="preserve"> br</w:t>
      </w:r>
      <w:r>
        <w:rPr>
          <w:color w:val="000000" w:themeColor="text1"/>
          <w:sz w:val="24"/>
          <w:szCs w:val="24"/>
        </w:rPr>
        <w:t>oj</w:t>
      </w:r>
      <w:r w:rsidRPr="004D0FA8">
        <w:rPr>
          <w:color w:val="000000" w:themeColor="text1"/>
          <w:sz w:val="24"/>
          <w:szCs w:val="24"/>
        </w:rPr>
        <w:t xml:space="preserve"> 34/25</w:t>
      </w:r>
      <w:r>
        <w:rPr>
          <w:color w:val="000000" w:themeColor="text1"/>
          <w:sz w:val="24"/>
          <w:szCs w:val="24"/>
        </w:rPr>
        <w:t xml:space="preserve">.; </w:t>
      </w:r>
      <w:r w:rsidRPr="004D0FA8">
        <w:rPr>
          <w:color w:val="000000" w:themeColor="text1"/>
          <w:sz w:val="24"/>
          <w:szCs w:val="24"/>
        </w:rPr>
        <w:t>stupio na snagu 1. ožujka 2025</w:t>
      </w:r>
      <w:r>
        <w:rPr>
          <w:color w:val="000000" w:themeColor="text1"/>
          <w:sz w:val="24"/>
          <w:szCs w:val="24"/>
        </w:rPr>
        <w:t>.)</w:t>
      </w:r>
      <w:r w:rsidRPr="00636AF1">
        <w:rPr>
          <w:color w:val="000000" w:themeColor="text1"/>
          <w:sz w:val="24"/>
          <w:szCs w:val="24"/>
        </w:rPr>
        <w:t xml:space="preserve">, </w:t>
      </w:r>
      <w:r>
        <w:rPr>
          <w:color w:val="000000" w:themeColor="text1"/>
          <w:sz w:val="24"/>
          <w:szCs w:val="24"/>
        </w:rPr>
        <w:t xml:space="preserve">a </w:t>
      </w:r>
      <w:r w:rsidRPr="00636AF1">
        <w:rPr>
          <w:color w:val="000000" w:themeColor="text1"/>
          <w:sz w:val="24"/>
          <w:szCs w:val="24"/>
        </w:rPr>
        <w:t>kojim s</w:t>
      </w:r>
      <w:r>
        <w:rPr>
          <w:color w:val="000000" w:themeColor="text1"/>
          <w:sz w:val="24"/>
          <w:szCs w:val="24"/>
        </w:rPr>
        <w:t>e potiče ravnopravnija podjela roditeljskih obveza i poboljšavaju materijalna prava roditelja</w:t>
      </w:r>
      <w:r w:rsidRPr="00636AF1">
        <w:rPr>
          <w:color w:val="000000" w:themeColor="text1"/>
          <w:sz w:val="24"/>
          <w:szCs w:val="24"/>
        </w:rPr>
        <w:t>.</w:t>
      </w:r>
      <w:r>
        <w:rPr>
          <w:color w:val="000000" w:themeColor="text1"/>
          <w:sz w:val="24"/>
          <w:szCs w:val="24"/>
        </w:rPr>
        <w:t xml:space="preserve"> </w:t>
      </w:r>
      <w:r w:rsidRPr="002C320D">
        <w:rPr>
          <w:color w:val="000000" w:themeColor="text1"/>
          <w:sz w:val="24"/>
          <w:szCs w:val="24"/>
        </w:rPr>
        <w:t>U sustavu obrazovanja bilježi se rast udjela žena u visokom obrazovanju u tehničkim i informatičkim područjima te pojačana edukacija odgojno-obrazovnih djelatnika, iako je u pojedinim područjima, poput zastupljenosti djevojaka u industrijskim i obrtničkim školama, i dalje potrebna dodatna potpora.</w:t>
      </w:r>
    </w:p>
    <w:p w14:paraId="44582B3B" w14:textId="77777777" w:rsidR="00FB178A" w:rsidRPr="00CA5B01" w:rsidRDefault="00FB178A" w:rsidP="00FB178A">
      <w:pPr>
        <w:spacing w:line="276" w:lineRule="auto"/>
        <w:jc w:val="both"/>
        <w:rPr>
          <w:color w:val="000000" w:themeColor="text1"/>
          <w:sz w:val="24"/>
          <w:szCs w:val="24"/>
        </w:rPr>
      </w:pPr>
      <w:r w:rsidRPr="002C320D">
        <w:rPr>
          <w:color w:val="000000" w:themeColor="text1"/>
          <w:sz w:val="24"/>
          <w:szCs w:val="24"/>
        </w:rPr>
        <w:t>U području političke participacije žena u 2024. godini zabilježen je blagi porast udjela zastupnica u Hrvatskom</w:t>
      </w:r>
      <w:r>
        <w:rPr>
          <w:color w:val="000000" w:themeColor="text1"/>
          <w:sz w:val="24"/>
          <w:szCs w:val="24"/>
        </w:rPr>
        <w:t>e</w:t>
      </w:r>
      <w:r w:rsidRPr="002C320D">
        <w:rPr>
          <w:color w:val="000000" w:themeColor="text1"/>
          <w:sz w:val="24"/>
          <w:szCs w:val="24"/>
        </w:rPr>
        <w:t xml:space="preserve"> saboru nakon parlamentarnih izbora. Žene su činile 42,1% kandidata, a 17,8% nositeljica lista</w:t>
      </w:r>
      <w:r>
        <w:rPr>
          <w:color w:val="000000" w:themeColor="text1"/>
          <w:sz w:val="24"/>
          <w:szCs w:val="24"/>
        </w:rPr>
        <w:t xml:space="preserve">, dok je </w:t>
      </w:r>
      <w:r w:rsidRPr="002C320D">
        <w:rPr>
          <w:color w:val="000000" w:themeColor="text1"/>
          <w:sz w:val="24"/>
          <w:szCs w:val="24"/>
        </w:rPr>
        <w:t>kvota od 40% žena poštovana na 80,6% lista</w:t>
      </w:r>
      <w:r>
        <w:rPr>
          <w:color w:val="000000" w:themeColor="text1"/>
          <w:sz w:val="24"/>
          <w:szCs w:val="24"/>
        </w:rPr>
        <w:t>. U</w:t>
      </w:r>
      <w:r w:rsidRPr="002C320D">
        <w:rPr>
          <w:color w:val="000000" w:themeColor="text1"/>
          <w:sz w:val="24"/>
          <w:szCs w:val="24"/>
        </w:rPr>
        <w:t xml:space="preserve"> </w:t>
      </w:r>
      <w:r>
        <w:rPr>
          <w:color w:val="000000" w:themeColor="text1"/>
          <w:sz w:val="24"/>
          <w:szCs w:val="24"/>
        </w:rPr>
        <w:t>Hrvatski s</w:t>
      </w:r>
      <w:r w:rsidRPr="002C320D">
        <w:rPr>
          <w:color w:val="000000" w:themeColor="text1"/>
          <w:sz w:val="24"/>
          <w:szCs w:val="24"/>
        </w:rPr>
        <w:t xml:space="preserve">abor </w:t>
      </w:r>
      <w:r>
        <w:rPr>
          <w:color w:val="000000" w:themeColor="text1"/>
          <w:sz w:val="24"/>
          <w:szCs w:val="24"/>
        </w:rPr>
        <w:t xml:space="preserve">je </w:t>
      </w:r>
      <w:r w:rsidRPr="002C320D">
        <w:rPr>
          <w:color w:val="000000" w:themeColor="text1"/>
          <w:sz w:val="24"/>
          <w:szCs w:val="24"/>
        </w:rPr>
        <w:t xml:space="preserve">izabrano 24,5% žena (37 zastupnica), a nakon rotacija udio žena u </w:t>
      </w:r>
      <w:r>
        <w:rPr>
          <w:color w:val="000000" w:themeColor="text1"/>
          <w:sz w:val="24"/>
          <w:szCs w:val="24"/>
        </w:rPr>
        <w:t>Hrvatskome s</w:t>
      </w:r>
      <w:r w:rsidRPr="002C320D">
        <w:rPr>
          <w:color w:val="000000" w:themeColor="text1"/>
          <w:sz w:val="24"/>
          <w:szCs w:val="24"/>
        </w:rPr>
        <w:t xml:space="preserve">aboru iznosi 33,1%. Istodobno je ostvaren napredak u uključivanju perspektive ravnopravnosti spolova u javne politike </w:t>
      </w:r>
      <w:r>
        <w:rPr>
          <w:color w:val="000000" w:themeColor="text1"/>
          <w:sz w:val="24"/>
          <w:szCs w:val="24"/>
        </w:rPr>
        <w:t>-</w:t>
      </w:r>
      <w:r w:rsidRPr="002C320D">
        <w:rPr>
          <w:color w:val="000000" w:themeColor="text1"/>
          <w:sz w:val="24"/>
          <w:szCs w:val="24"/>
        </w:rPr>
        <w:t xml:space="preserve"> tijela državne uprave sve više uvažavaju načelo ravnopravnosti spolova u internim aktima i praksi, a Ured za ravnopravnost spolova redovito koordinira ispunjavanje međunarodnih obveza i objavljuje relevantne informacije na svojim mrežnim stranicama. Zaključno, provedbom Nacionalnog plana</w:t>
      </w:r>
      <w:r>
        <w:rPr>
          <w:color w:val="000000" w:themeColor="text1"/>
          <w:sz w:val="24"/>
          <w:szCs w:val="24"/>
        </w:rPr>
        <w:t xml:space="preserve"> </w:t>
      </w:r>
      <w:r w:rsidRPr="006D1508">
        <w:rPr>
          <w:color w:val="000000" w:themeColor="text1"/>
          <w:sz w:val="24"/>
          <w:szCs w:val="24"/>
        </w:rPr>
        <w:t>za ravnopravnost spolova za razdoblje do 2027. godine</w:t>
      </w:r>
      <w:r w:rsidRPr="002C320D">
        <w:rPr>
          <w:color w:val="000000" w:themeColor="text1"/>
          <w:sz w:val="24"/>
          <w:szCs w:val="24"/>
        </w:rPr>
        <w:t xml:space="preserve"> i Akcijskog plana </w:t>
      </w:r>
      <w:r w:rsidRPr="006D1508">
        <w:rPr>
          <w:color w:val="000000" w:themeColor="text1"/>
          <w:sz w:val="24"/>
          <w:szCs w:val="24"/>
        </w:rPr>
        <w:t>za provedbu Nacionalnog plana za ravnopravnost spolova</w:t>
      </w:r>
      <w:r>
        <w:rPr>
          <w:color w:val="000000" w:themeColor="text1"/>
          <w:sz w:val="24"/>
          <w:szCs w:val="24"/>
        </w:rPr>
        <w:t>,</w:t>
      </w:r>
      <w:r w:rsidRPr="006D1508">
        <w:rPr>
          <w:color w:val="000000" w:themeColor="text1"/>
          <w:sz w:val="24"/>
          <w:szCs w:val="24"/>
        </w:rPr>
        <w:t xml:space="preserve"> za razdoblje </w:t>
      </w:r>
      <w:r>
        <w:rPr>
          <w:color w:val="000000" w:themeColor="text1"/>
          <w:sz w:val="24"/>
          <w:szCs w:val="24"/>
        </w:rPr>
        <w:t xml:space="preserve">do </w:t>
      </w:r>
      <w:r w:rsidRPr="006D1508">
        <w:rPr>
          <w:color w:val="000000" w:themeColor="text1"/>
          <w:sz w:val="24"/>
          <w:szCs w:val="24"/>
        </w:rPr>
        <w:t>2024.</w:t>
      </w:r>
      <w:r>
        <w:rPr>
          <w:color w:val="000000" w:themeColor="text1"/>
          <w:sz w:val="24"/>
          <w:szCs w:val="24"/>
        </w:rPr>
        <w:t xml:space="preserve"> godine </w:t>
      </w:r>
      <w:r w:rsidRPr="002C320D">
        <w:rPr>
          <w:color w:val="000000" w:themeColor="text1"/>
          <w:sz w:val="24"/>
          <w:szCs w:val="24"/>
        </w:rPr>
        <w:t xml:space="preserve">u 2024. </w:t>
      </w:r>
      <w:r>
        <w:rPr>
          <w:color w:val="000000" w:themeColor="text1"/>
          <w:sz w:val="24"/>
          <w:szCs w:val="24"/>
        </w:rPr>
        <w:t xml:space="preserve">je </w:t>
      </w:r>
      <w:r w:rsidRPr="002C320D">
        <w:rPr>
          <w:color w:val="000000" w:themeColor="text1"/>
          <w:sz w:val="24"/>
          <w:szCs w:val="24"/>
        </w:rPr>
        <w:t xml:space="preserve">ostvaren vidljiv napredak u postizanju posebnih ciljeva i pokazatelja ishoda, no određena područja i dalje zahtijevaju dodatne napore kako bi se osigurala dosljedna i učinkovita primjena načela ravnopravnosti u praksi. U tom smislu, pokrenute su pripremne aktivnosti za izradu novog Akcijskog plana za razdoblje </w:t>
      </w:r>
      <w:r>
        <w:rPr>
          <w:color w:val="000000" w:themeColor="text1"/>
          <w:sz w:val="24"/>
          <w:szCs w:val="24"/>
        </w:rPr>
        <w:t xml:space="preserve">od </w:t>
      </w:r>
      <w:r w:rsidRPr="002C320D">
        <w:rPr>
          <w:color w:val="000000" w:themeColor="text1"/>
          <w:sz w:val="24"/>
          <w:szCs w:val="24"/>
        </w:rPr>
        <w:t>2025.</w:t>
      </w:r>
      <w:r>
        <w:rPr>
          <w:color w:val="000000" w:themeColor="text1"/>
          <w:sz w:val="24"/>
          <w:szCs w:val="24"/>
        </w:rPr>
        <w:t xml:space="preserve"> do </w:t>
      </w:r>
      <w:r w:rsidRPr="002C320D">
        <w:rPr>
          <w:color w:val="000000" w:themeColor="text1"/>
          <w:sz w:val="24"/>
          <w:szCs w:val="24"/>
        </w:rPr>
        <w:t>2027., s naglaskom na redefiniranje pojedinih pokazatelja rezultata, jačanje provedbenih kapaciteta i snažnije uključivanje lokalne razine.</w:t>
      </w:r>
    </w:p>
    <w:p w14:paraId="057F4483" w14:textId="77777777" w:rsidR="00FB178A" w:rsidRPr="00C53BE6" w:rsidRDefault="00FB178A" w:rsidP="00FB178A">
      <w:pPr>
        <w:spacing w:after="240" w:line="276" w:lineRule="auto"/>
        <w:jc w:val="both"/>
        <w:rPr>
          <w:color w:val="000000" w:themeColor="text1"/>
          <w:sz w:val="24"/>
          <w:szCs w:val="24"/>
        </w:rPr>
      </w:pPr>
    </w:p>
    <w:p w14:paraId="7E741367" w14:textId="77777777" w:rsidR="00FB178A" w:rsidRPr="00C53BE6" w:rsidRDefault="00FB178A" w:rsidP="00FB178A">
      <w:pPr>
        <w:spacing w:line="276" w:lineRule="auto"/>
        <w:jc w:val="both"/>
        <w:rPr>
          <w:color w:val="000000" w:themeColor="text1"/>
          <w:sz w:val="24"/>
          <w:szCs w:val="24"/>
        </w:rPr>
      </w:pPr>
    </w:p>
    <w:p w14:paraId="46195100" w14:textId="77777777" w:rsidR="00FB178A" w:rsidRPr="00C53BE6" w:rsidRDefault="00FB178A" w:rsidP="00FB178A">
      <w:pPr>
        <w:spacing w:line="276" w:lineRule="auto"/>
        <w:jc w:val="both"/>
        <w:rPr>
          <w:color w:val="000000" w:themeColor="text1"/>
          <w:sz w:val="24"/>
          <w:szCs w:val="24"/>
        </w:rPr>
      </w:pPr>
    </w:p>
    <w:p w14:paraId="54454D22" w14:textId="77777777" w:rsidR="00FB178A" w:rsidRDefault="00FB178A" w:rsidP="00FB178A">
      <w:pPr>
        <w:spacing w:line="276" w:lineRule="auto"/>
        <w:jc w:val="both"/>
        <w:rPr>
          <w:color w:val="000000" w:themeColor="text1"/>
          <w:sz w:val="24"/>
          <w:szCs w:val="24"/>
        </w:rPr>
      </w:pPr>
      <w:r>
        <w:rPr>
          <w:color w:val="000000" w:themeColor="text1"/>
          <w:sz w:val="24"/>
          <w:szCs w:val="24"/>
        </w:rPr>
        <w:br w:type="page"/>
      </w:r>
    </w:p>
    <w:p w14:paraId="01ACECEB" w14:textId="77777777" w:rsidR="00FB178A" w:rsidRPr="004C7396" w:rsidRDefault="00FB178A" w:rsidP="00FB178A">
      <w:pPr>
        <w:pStyle w:val="Heading1"/>
        <w:ind w:left="0"/>
        <w:jc w:val="both"/>
        <w:rPr>
          <w:sz w:val="24"/>
          <w:szCs w:val="24"/>
        </w:rPr>
      </w:pPr>
      <w:bookmarkStart w:id="115" w:name="_Toc223002963"/>
      <w:r w:rsidRPr="004C7396">
        <w:rPr>
          <w:color w:val="000000" w:themeColor="text1"/>
          <w:sz w:val="24"/>
          <w:szCs w:val="24"/>
        </w:rPr>
        <w:lastRenderedPageBreak/>
        <w:t xml:space="preserve">Zaključak </w:t>
      </w:r>
      <w:r w:rsidRPr="004C7396">
        <w:rPr>
          <w:sz w:val="24"/>
          <w:szCs w:val="24"/>
        </w:rPr>
        <w:t>o napretku u provedbi Nacionalne razvojne strategije Republike Hrvatske do 2030. godine, tijekom 2024. godine</w:t>
      </w:r>
      <w:bookmarkEnd w:id="115"/>
    </w:p>
    <w:p w14:paraId="6209A57F" w14:textId="77777777" w:rsidR="00FB178A" w:rsidRDefault="00FB178A" w:rsidP="00FB178A">
      <w:pPr>
        <w:rPr>
          <w:color w:val="000000" w:themeColor="text1"/>
          <w:sz w:val="24"/>
          <w:szCs w:val="24"/>
        </w:rPr>
      </w:pPr>
      <w:bookmarkStart w:id="116" w:name="_Toc133420988"/>
    </w:p>
    <w:p w14:paraId="271EE6D6" w14:textId="77777777" w:rsidR="00FB178A" w:rsidRPr="00263084" w:rsidRDefault="00FB178A" w:rsidP="00FB178A">
      <w:pPr>
        <w:spacing w:after="240" w:line="276" w:lineRule="auto"/>
        <w:jc w:val="both"/>
        <w:rPr>
          <w:color w:val="000000" w:themeColor="text1"/>
          <w:sz w:val="24"/>
          <w:szCs w:val="24"/>
        </w:rPr>
      </w:pPr>
      <w:bookmarkStart w:id="117" w:name="_Hlk214229193"/>
      <w:r>
        <w:rPr>
          <w:color w:val="000000" w:themeColor="text1"/>
          <w:sz w:val="24"/>
          <w:szCs w:val="24"/>
        </w:rPr>
        <w:t>P</w:t>
      </w:r>
      <w:r w:rsidRPr="00263084">
        <w:rPr>
          <w:color w:val="000000" w:themeColor="text1"/>
          <w:sz w:val="24"/>
          <w:szCs w:val="24"/>
        </w:rPr>
        <w:t xml:space="preserve">rovedba Nacionalne razvojne strategije Republike Hrvatske do 2030. </w:t>
      </w:r>
      <w:r>
        <w:rPr>
          <w:color w:val="000000" w:themeColor="text1"/>
          <w:sz w:val="24"/>
          <w:szCs w:val="24"/>
        </w:rPr>
        <w:t xml:space="preserve">godine </w:t>
      </w:r>
      <w:r w:rsidRPr="00263084">
        <w:rPr>
          <w:color w:val="000000" w:themeColor="text1"/>
          <w:sz w:val="24"/>
          <w:szCs w:val="24"/>
        </w:rPr>
        <w:t xml:space="preserve">nastavila se </w:t>
      </w:r>
      <w:r>
        <w:rPr>
          <w:color w:val="000000" w:themeColor="text1"/>
          <w:sz w:val="24"/>
          <w:szCs w:val="24"/>
        </w:rPr>
        <w:t xml:space="preserve">tijekom 2024. </w:t>
      </w:r>
      <w:r w:rsidRPr="00263084">
        <w:rPr>
          <w:color w:val="000000" w:themeColor="text1"/>
          <w:sz w:val="24"/>
          <w:szCs w:val="24"/>
        </w:rPr>
        <w:t>u povoljnim makroekonomskim okolnostima, uz realni rast BDP-a od 3,</w:t>
      </w:r>
      <w:r>
        <w:rPr>
          <w:color w:val="000000" w:themeColor="text1"/>
          <w:sz w:val="24"/>
          <w:szCs w:val="24"/>
        </w:rPr>
        <w:t>8</w:t>
      </w:r>
      <w:r w:rsidRPr="00263084">
        <w:rPr>
          <w:color w:val="000000" w:themeColor="text1"/>
          <w:sz w:val="24"/>
          <w:szCs w:val="24"/>
        </w:rPr>
        <w:t>%, snažan doprinos domaće potražnje, daljnje smanjenje nezaposlenosti i ubrzan realni rast plaća</w:t>
      </w:r>
      <w:r>
        <w:rPr>
          <w:color w:val="000000" w:themeColor="text1"/>
          <w:sz w:val="24"/>
          <w:szCs w:val="24"/>
        </w:rPr>
        <w:t xml:space="preserve"> (</w:t>
      </w:r>
      <w:r w:rsidRPr="00263084">
        <w:rPr>
          <w:color w:val="000000" w:themeColor="text1"/>
          <w:sz w:val="24"/>
          <w:szCs w:val="24"/>
        </w:rPr>
        <w:t>11,</w:t>
      </w:r>
      <w:r>
        <w:rPr>
          <w:color w:val="000000" w:themeColor="text1"/>
          <w:sz w:val="24"/>
          <w:szCs w:val="24"/>
        </w:rPr>
        <w:t>7</w:t>
      </w:r>
      <w:r w:rsidRPr="00263084">
        <w:rPr>
          <w:color w:val="000000" w:themeColor="text1"/>
          <w:sz w:val="24"/>
          <w:szCs w:val="24"/>
        </w:rPr>
        <w:t>% realno</w:t>
      </w:r>
      <w:r>
        <w:rPr>
          <w:color w:val="000000" w:themeColor="text1"/>
          <w:sz w:val="24"/>
          <w:szCs w:val="24"/>
        </w:rPr>
        <w:t>)</w:t>
      </w:r>
      <w:r w:rsidRPr="00263084">
        <w:rPr>
          <w:color w:val="000000" w:themeColor="text1"/>
          <w:sz w:val="24"/>
          <w:szCs w:val="24"/>
        </w:rPr>
        <w:t>. Uz zadržavanje fiskalne održivosti i ispunjavanje</w:t>
      </w:r>
      <w:r>
        <w:rPr>
          <w:color w:val="000000" w:themeColor="text1"/>
          <w:sz w:val="24"/>
          <w:szCs w:val="24"/>
        </w:rPr>
        <w:t xml:space="preserve"> </w:t>
      </w:r>
      <w:proofErr w:type="spellStart"/>
      <w:r w:rsidRPr="00263084">
        <w:rPr>
          <w:color w:val="000000" w:themeColor="text1"/>
          <w:sz w:val="24"/>
          <w:szCs w:val="24"/>
        </w:rPr>
        <w:t>Maastrichtskih</w:t>
      </w:r>
      <w:proofErr w:type="spellEnd"/>
      <w:r w:rsidRPr="00263084">
        <w:rPr>
          <w:color w:val="000000" w:themeColor="text1"/>
          <w:sz w:val="24"/>
          <w:szCs w:val="24"/>
        </w:rPr>
        <w:t xml:space="preserve"> kriterija </w:t>
      </w:r>
      <w:r>
        <w:rPr>
          <w:color w:val="000000" w:themeColor="text1"/>
          <w:sz w:val="24"/>
          <w:szCs w:val="24"/>
        </w:rPr>
        <w:t>(</w:t>
      </w:r>
      <w:r w:rsidRPr="00263084">
        <w:rPr>
          <w:color w:val="000000" w:themeColor="text1"/>
          <w:sz w:val="24"/>
          <w:szCs w:val="24"/>
        </w:rPr>
        <w:t xml:space="preserve">manjak opće države od </w:t>
      </w:r>
      <w:r>
        <w:rPr>
          <w:color w:val="000000" w:themeColor="text1"/>
          <w:sz w:val="24"/>
          <w:szCs w:val="24"/>
        </w:rPr>
        <w:t>1,9</w:t>
      </w:r>
      <w:r w:rsidRPr="00263084">
        <w:rPr>
          <w:color w:val="000000" w:themeColor="text1"/>
          <w:sz w:val="24"/>
          <w:szCs w:val="24"/>
        </w:rPr>
        <w:t>% BDP-a i pad udjela javnog duga na 57,</w:t>
      </w:r>
      <w:r>
        <w:rPr>
          <w:color w:val="000000" w:themeColor="text1"/>
          <w:sz w:val="24"/>
          <w:szCs w:val="24"/>
        </w:rPr>
        <w:t>4</w:t>
      </w:r>
      <w:r w:rsidRPr="00263084">
        <w:rPr>
          <w:color w:val="000000" w:themeColor="text1"/>
          <w:sz w:val="24"/>
          <w:szCs w:val="24"/>
        </w:rPr>
        <w:t>% BDP-a</w:t>
      </w:r>
      <w:r>
        <w:rPr>
          <w:color w:val="000000" w:themeColor="text1"/>
          <w:sz w:val="24"/>
          <w:szCs w:val="24"/>
        </w:rPr>
        <w:t>)</w:t>
      </w:r>
      <w:r w:rsidRPr="00263084">
        <w:rPr>
          <w:color w:val="000000" w:themeColor="text1"/>
          <w:sz w:val="24"/>
          <w:szCs w:val="24"/>
        </w:rPr>
        <w:t xml:space="preserve"> nastavljeno je približavanje razine razvijenosti prosjeku EU-a, pri čemu je BDP po stanovniku </w:t>
      </w:r>
      <w:r>
        <w:rPr>
          <w:color w:val="000000" w:themeColor="text1"/>
          <w:sz w:val="24"/>
          <w:szCs w:val="24"/>
        </w:rPr>
        <w:t xml:space="preserve">Hrvatske </w:t>
      </w:r>
      <w:r w:rsidRPr="00263084">
        <w:rPr>
          <w:color w:val="000000" w:themeColor="text1"/>
          <w:sz w:val="24"/>
          <w:szCs w:val="24"/>
        </w:rPr>
        <w:t xml:space="preserve">prema paritetu kupovne moći </w:t>
      </w:r>
      <w:r>
        <w:rPr>
          <w:color w:val="000000" w:themeColor="text1"/>
          <w:sz w:val="24"/>
          <w:szCs w:val="24"/>
        </w:rPr>
        <w:t xml:space="preserve">ostao nepromijenjen na razini od </w:t>
      </w:r>
      <w:r w:rsidRPr="00263084">
        <w:rPr>
          <w:color w:val="000000" w:themeColor="text1"/>
          <w:sz w:val="24"/>
          <w:szCs w:val="24"/>
        </w:rPr>
        <w:t>7</w:t>
      </w:r>
      <w:r>
        <w:rPr>
          <w:color w:val="000000" w:themeColor="text1"/>
          <w:sz w:val="24"/>
          <w:szCs w:val="24"/>
        </w:rPr>
        <w:t>8</w:t>
      </w:r>
      <w:r w:rsidRPr="00263084">
        <w:rPr>
          <w:color w:val="000000" w:themeColor="text1"/>
          <w:sz w:val="24"/>
          <w:szCs w:val="24"/>
        </w:rPr>
        <w:t xml:space="preserve">% prosjeka EU-a. </w:t>
      </w:r>
    </w:p>
    <w:p w14:paraId="678A6739" w14:textId="77777777" w:rsidR="00FB178A" w:rsidRPr="00263084" w:rsidRDefault="00FB178A" w:rsidP="00FB178A">
      <w:pPr>
        <w:spacing w:after="240" w:line="276" w:lineRule="auto"/>
        <w:jc w:val="both"/>
        <w:rPr>
          <w:color w:val="000000" w:themeColor="text1"/>
          <w:sz w:val="24"/>
          <w:szCs w:val="24"/>
        </w:rPr>
      </w:pPr>
      <w:r>
        <w:rPr>
          <w:color w:val="000000" w:themeColor="text1"/>
          <w:sz w:val="24"/>
          <w:szCs w:val="24"/>
        </w:rPr>
        <w:t>P</w:t>
      </w:r>
      <w:r w:rsidRPr="00263084">
        <w:rPr>
          <w:color w:val="000000" w:themeColor="text1"/>
          <w:sz w:val="24"/>
          <w:szCs w:val="24"/>
        </w:rPr>
        <w:t>ostignut je daljnji napredak u konvergenciji prema EU-u jačanj</w:t>
      </w:r>
      <w:r>
        <w:rPr>
          <w:color w:val="000000" w:themeColor="text1"/>
          <w:sz w:val="24"/>
          <w:szCs w:val="24"/>
        </w:rPr>
        <w:t>em</w:t>
      </w:r>
      <w:r w:rsidRPr="00263084">
        <w:rPr>
          <w:color w:val="000000" w:themeColor="text1"/>
          <w:sz w:val="24"/>
          <w:szCs w:val="24"/>
        </w:rPr>
        <w:t xml:space="preserve"> investicijske i inovacijske aktivnosti. </w:t>
      </w:r>
      <w:r>
        <w:rPr>
          <w:color w:val="000000" w:themeColor="text1"/>
          <w:sz w:val="24"/>
          <w:szCs w:val="24"/>
        </w:rPr>
        <w:t xml:space="preserve">Ukupni izdaci za </w:t>
      </w:r>
      <w:r w:rsidRPr="00E56370">
        <w:rPr>
          <w:color w:val="000000" w:themeColor="text1"/>
          <w:sz w:val="24"/>
          <w:szCs w:val="24"/>
        </w:rPr>
        <w:t xml:space="preserve">istraživanje i razvoj </w:t>
      </w:r>
      <w:r>
        <w:rPr>
          <w:color w:val="000000" w:themeColor="text1"/>
          <w:sz w:val="24"/>
          <w:szCs w:val="24"/>
        </w:rPr>
        <w:t xml:space="preserve">su u 2024. iznosili </w:t>
      </w:r>
      <w:r w:rsidRPr="00E56370">
        <w:rPr>
          <w:color w:val="000000" w:themeColor="text1"/>
          <w:sz w:val="24"/>
          <w:szCs w:val="24"/>
        </w:rPr>
        <w:t>1,2 milijarde</w:t>
      </w:r>
      <w:r>
        <w:rPr>
          <w:color w:val="000000" w:themeColor="text1"/>
          <w:sz w:val="24"/>
          <w:szCs w:val="24"/>
        </w:rPr>
        <w:t xml:space="preserve"> </w:t>
      </w:r>
      <w:r w:rsidRPr="00E56370">
        <w:rPr>
          <w:color w:val="000000" w:themeColor="text1"/>
          <w:sz w:val="24"/>
          <w:szCs w:val="24"/>
        </w:rPr>
        <w:t xml:space="preserve">eura, što predstavlja </w:t>
      </w:r>
      <w:r>
        <w:rPr>
          <w:color w:val="000000" w:themeColor="text1"/>
          <w:sz w:val="24"/>
          <w:szCs w:val="24"/>
        </w:rPr>
        <w:t xml:space="preserve">njihov </w:t>
      </w:r>
      <w:r w:rsidRPr="00E56370">
        <w:rPr>
          <w:color w:val="000000" w:themeColor="text1"/>
          <w:sz w:val="24"/>
          <w:szCs w:val="24"/>
        </w:rPr>
        <w:t>rast od 7,2%</w:t>
      </w:r>
      <w:r>
        <w:rPr>
          <w:color w:val="000000" w:themeColor="text1"/>
          <w:sz w:val="24"/>
          <w:szCs w:val="24"/>
        </w:rPr>
        <w:t xml:space="preserve"> </w:t>
      </w:r>
      <w:r w:rsidRPr="00E56370">
        <w:rPr>
          <w:color w:val="000000" w:themeColor="text1"/>
          <w:sz w:val="24"/>
          <w:szCs w:val="24"/>
        </w:rPr>
        <w:t>u odnosu na 2023.</w:t>
      </w:r>
      <w:r>
        <w:rPr>
          <w:color w:val="000000" w:themeColor="text1"/>
          <w:sz w:val="24"/>
          <w:szCs w:val="24"/>
        </w:rPr>
        <w:t xml:space="preserve"> godinu. Istodobno, njihov </w:t>
      </w:r>
      <w:r w:rsidRPr="00E56370">
        <w:rPr>
          <w:color w:val="000000" w:themeColor="text1"/>
          <w:sz w:val="24"/>
          <w:szCs w:val="24"/>
        </w:rPr>
        <w:t>udio</w:t>
      </w:r>
      <w:r>
        <w:rPr>
          <w:color w:val="000000" w:themeColor="text1"/>
          <w:sz w:val="24"/>
          <w:szCs w:val="24"/>
        </w:rPr>
        <w:t xml:space="preserve"> u BDP-u iznosio je 1,35%, što ukazuje da se Hrvatska nastavlja približavati prosjeku EU-a </w:t>
      </w:r>
      <w:r w:rsidRPr="00E56370">
        <w:rPr>
          <w:color w:val="000000" w:themeColor="text1"/>
          <w:sz w:val="24"/>
          <w:szCs w:val="24"/>
        </w:rPr>
        <w:t>(2,24% u 2024.)</w:t>
      </w:r>
      <w:r w:rsidRPr="00E56370" w:rsidDel="00E56370">
        <w:rPr>
          <w:color w:val="000000" w:themeColor="text1"/>
          <w:sz w:val="24"/>
          <w:szCs w:val="24"/>
        </w:rPr>
        <w:t xml:space="preserve"> </w:t>
      </w:r>
      <w:r>
        <w:rPr>
          <w:color w:val="000000" w:themeColor="text1"/>
          <w:sz w:val="24"/>
          <w:szCs w:val="24"/>
        </w:rPr>
        <w:t>Prema</w:t>
      </w:r>
      <w:r w:rsidRPr="00263084">
        <w:rPr>
          <w:color w:val="000000" w:themeColor="text1"/>
          <w:sz w:val="24"/>
          <w:szCs w:val="24"/>
        </w:rPr>
        <w:t xml:space="preserve"> Europskoj ljestvici uspjeha u inoviranju </w:t>
      </w:r>
      <w:r>
        <w:rPr>
          <w:color w:val="000000" w:themeColor="text1"/>
          <w:sz w:val="24"/>
          <w:szCs w:val="24"/>
        </w:rPr>
        <w:t xml:space="preserve">Hrvatska se po </w:t>
      </w:r>
      <w:r w:rsidRPr="00263084">
        <w:rPr>
          <w:color w:val="000000" w:themeColor="text1"/>
          <w:sz w:val="24"/>
          <w:szCs w:val="24"/>
        </w:rPr>
        <w:t>prvi put</w:t>
      </w:r>
      <w:r>
        <w:rPr>
          <w:color w:val="000000" w:themeColor="text1"/>
          <w:sz w:val="24"/>
          <w:szCs w:val="24"/>
        </w:rPr>
        <w:t>a</w:t>
      </w:r>
      <w:r w:rsidRPr="00263084">
        <w:rPr>
          <w:color w:val="000000" w:themeColor="text1"/>
          <w:sz w:val="24"/>
          <w:szCs w:val="24"/>
        </w:rPr>
        <w:t xml:space="preserve"> svrstala u skupinu „umjerenih inovatora“, dosegnuvši 71,6% prosjeka EU-a i napredujući na 21. mjesto u EU</w:t>
      </w:r>
      <w:r>
        <w:rPr>
          <w:color w:val="000000" w:themeColor="text1"/>
          <w:sz w:val="24"/>
          <w:szCs w:val="24"/>
        </w:rPr>
        <w:t>-u</w:t>
      </w:r>
      <w:r w:rsidRPr="00263084">
        <w:rPr>
          <w:color w:val="000000" w:themeColor="text1"/>
          <w:sz w:val="24"/>
          <w:szCs w:val="24"/>
        </w:rPr>
        <w:t xml:space="preserve">. Uz snažan rast neto priljeva izravnih stranih ulaganja </w:t>
      </w:r>
      <w:r>
        <w:rPr>
          <w:color w:val="000000" w:themeColor="text1"/>
          <w:sz w:val="24"/>
          <w:szCs w:val="24"/>
        </w:rPr>
        <w:t xml:space="preserve">na ukupno </w:t>
      </w:r>
      <w:r w:rsidRPr="00263084">
        <w:rPr>
          <w:color w:val="000000" w:themeColor="text1"/>
          <w:sz w:val="24"/>
          <w:szCs w:val="24"/>
        </w:rPr>
        <w:t>4,</w:t>
      </w:r>
      <w:r>
        <w:rPr>
          <w:color w:val="000000" w:themeColor="text1"/>
          <w:sz w:val="24"/>
          <w:szCs w:val="24"/>
        </w:rPr>
        <w:t>2</w:t>
      </w:r>
      <w:r w:rsidRPr="00263084">
        <w:rPr>
          <w:color w:val="000000" w:themeColor="text1"/>
          <w:sz w:val="24"/>
          <w:szCs w:val="24"/>
        </w:rPr>
        <w:t xml:space="preserve"> m</w:t>
      </w:r>
      <w:r>
        <w:rPr>
          <w:color w:val="000000" w:themeColor="text1"/>
          <w:sz w:val="24"/>
          <w:szCs w:val="24"/>
        </w:rPr>
        <w:t>ilijarde e</w:t>
      </w:r>
      <w:r w:rsidRPr="00263084">
        <w:rPr>
          <w:color w:val="000000" w:themeColor="text1"/>
          <w:sz w:val="24"/>
          <w:szCs w:val="24"/>
        </w:rPr>
        <w:t>ura</w:t>
      </w:r>
      <w:r>
        <w:rPr>
          <w:color w:val="000000" w:themeColor="text1"/>
          <w:sz w:val="24"/>
          <w:szCs w:val="24"/>
        </w:rPr>
        <w:t xml:space="preserve"> (28</w:t>
      </w:r>
      <w:r w:rsidRPr="00263084">
        <w:rPr>
          <w:color w:val="000000" w:themeColor="text1"/>
          <w:sz w:val="24"/>
          <w:szCs w:val="24"/>
        </w:rPr>
        <w:t xml:space="preserve">% </w:t>
      </w:r>
      <w:r>
        <w:rPr>
          <w:color w:val="000000" w:themeColor="text1"/>
          <w:sz w:val="24"/>
          <w:szCs w:val="24"/>
        </w:rPr>
        <w:t>više nego</w:t>
      </w:r>
      <w:r w:rsidRPr="00263084">
        <w:rPr>
          <w:color w:val="000000" w:themeColor="text1"/>
          <w:sz w:val="24"/>
          <w:szCs w:val="24"/>
        </w:rPr>
        <w:t xml:space="preserve"> 2023.), nastavljen je pozitivan ciklus ulaganja u zelenu i digitalnu tranziciju poduzeća, kapitalno snaženje MSP-ova te industrijsku tranziciju regija kroz integrirana ulaganja iz ITP-a i Strategije pametne specijalizacije. Istodobno, međunarodne ljestvice </w:t>
      </w:r>
      <w:r>
        <w:rPr>
          <w:color w:val="000000" w:themeColor="text1"/>
          <w:sz w:val="24"/>
          <w:szCs w:val="24"/>
        </w:rPr>
        <w:t xml:space="preserve">u području konkurentnosti </w:t>
      </w:r>
      <w:r w:rsidRPr="00263084">
        <w:rPr>
          <w:color w:val="000000" w:themeColor="text1"/>
          <w:sz w:val="24"/>
          <w:szCs w:val="24"/>
        </w:rPr>
        <w:t xml:space="preserve">(IMD WCR, Globalni inovacijski indeks) ukazuju na </w:t>
      </w:r>
      <w:r>
        <w:rPr>
          <w:color w:val="000000" w:themeColor="text1"/>
          <w:sz w:val="24"/>
          <w:szCs w:val="24"/>
        </w:rPr>
        <w:t xml:space="preserve">vidljiva </w:t>
      </w:r>
      <w:r w:rsidRPr="00263084">
        <w:rPr>
          <w:color w:val="000000" w:themeColor="text1"/>
          <w:sz w:val="24"/>
          <w:szCs w:val="24"/>
        </w:rPr>
        <w:t>poboljšanja u području javnih financija i infrastrukture, ali i na izazove vezane uz produktivnost</w:t>
      </w:r>
      <w:r>
        <w:rPr>
          <w:color w:val="000000" w:themeColor="text1"/>
          <w:sz w:val="24"/>
          <w:szCs w:val="24"/>
        </w:rPr>
        <w:t xml:space="preserve"> rada</w:t>
      </w:r>
      <w:r w:rsidRPr="00263084">
        <w:rPr>
          <w:color w:val="000000" w:themeColor="text1"/>
          <w:sz w:val="24"/>
          <w:szCs w:val="24"/>
        </w:rPr>
        <w:t>, poslovno okruženje i dinamiku  robn</w:t>
      </w:r>
      <w:r>
        <w:rPr>
          <w:color w:val="000000" w:themeColor="text1"/>
          <w:sz w:val="24"/>
          <w:szCs w:val="24"/>
        </w:rPr>
        <w:t>e</w:t>
      </w:r>
      <w:r w:rsidRPr="00263084">
        <w:rPr>
          <w:color w:val="000000" w:themeColor="text1"/>
          <w:sz w:val="24"/>
          <w:szCs w:val="24"/>
        </w:rPr>
        <w:t xml:space="preserve"> razmjen</w:t>
      </w:r>
      <w:r>
        <w:rPr>
          <w:color w:val="000000" w:themeColor="text1"/>
          <w:sz w:val="24"/>
          <w:szCs w:val="24"/>
        </w:rPr>
        <w:t>e</w:t>
      </w:r>
      <w:r w:rsidRPr="00263084">
        <w:rPr>
          <w:color w:val="000000" w:themeColor="text1"/>
          <w:sz w:val="24"/>
          <w:szCs w:val="24"/>
        </w:rPr>
        <w:t>.</w:t>
      </w:r>
    </w:p>
    <w:p w14:paraId="43A6DA7C" w14:textId="77777777" w:rsidR="00FB178A" w:rsidRPr="00263084" w:rsidRDefault="00FB178A" w:rsidP="00FB178A">
      <w:pPr>
        <w:spacing w:after="240" w:line="276" w:lineRule="auto"/>
        <w:jc w:val="both"/>
        <w:rPr>
          <w:color w:val="000000" w:themeColor="text1"/>
          <w:sz w:val="24"/>
          <w:szCs w:val="24"/>
        </w:rPr>
      </w:pPr>
      <w:r>
        <w:rPr>
          <w:color w:val="000000" w:themeColor="text1"/>
          <w:sz w:val="24"/>
          <w:szCs w:val="24"/>
        </w:rPr>
        <w:t>O</w:t>
      </w:r>
      <w:r w:rsidRPr="00263084">
        <w:rPr>
          <w:color w:val="000000" w:themeColor="text1"/>
          <w:sz w:val="24"/>
          <w:szCs w:val="24"/>
        </w:rPr>
        <w:t xml:space="preserve">stvaren je mjerljiv napredak u području obrazovanja, vještina i tržišta rada. Udio visokoobrazovanih osoba u dobi </w:t>
      </w:r>
      <w:r>
        <w:rPr>
          <w:color w:val="000000" w:themeColor="text1"/>
          <w:sz w:val="24"/>
          <w:szCs w:val="24"/>
        </w:rPr>
        <w:t xml:space="preserve">od </w:t>
      </w:r>
      <w:r w:rsidRPr="00263084">
        <w:rPr>
          <w:color w:val="000000" w:themeColor="text1"/>
          <w:sz w:val="24"/>
          <w:szCs w:val="24"/>
        </w:rPr>
        <w:t>30</w:t>
      </w:r>
      <w:r>
        <w:rPr>
          <w:color w:val="000000" w:themeColor="text1"/>
          <w:sz w:val="24"/>
          <w:szCs w:val="24"/>
        </w:rPr>
        <w:t xml:space="preserve"> do </w:t>
      </w:r>
      <w:r w:rsidRPr="00263084">
        <w:rPr>
          <w:color w:val="000000" w:themeColor="text1"/>
          <w:sz w:val="24"/>
          <w:szCs w:val="24"/>
        </w:rPr>
        <w:t xml:space="preserve">34 godine dosegnuo je 40,7%, a stopa sudjelovanja odraslih u cjeloživotnom učenju </w:t>
      </w:r>
      <w:r>
        <w:rPr>
          <w:color w:val="000000" w:themeColor="text1"/>
          <w:sz w:val="24"/>
          <w:szCs w:val="24"/>
        </w:rPr>
        <w:t xml:space="preserve">porasla je na </w:t>
      </w:r>
      <w:r w:rsidRPr="00263084">
        <w:rPr>
          <w:color w:val="000000" w:themeColor="text1"/>
          <w:sz w:val="24"/>
          <w:szCs w:val="24"/>
        </w:rPr>
        <w:t xml:space="preserve">6,6%, uz snažnu ekspanziju sustava vaučera za obrazovanje odraslih (više od 30.600 odobrenih zahtjeva od početka provedbe) i jačanje </w:t>
      </w:r>
      <w:proofErr w:type="spellStart"/>
      <w:r w:rsidRPr="00263084">
        <w:rPr>
          <w:color w:val="000000" w:themeColor="text1"/>
          <w:sz w:val="24"/>
          <w:szCs w:val="24"/>
        </w:rPr>
        <w:t>mikrokvalifikacija</w:t>
      </w:r>
      <w:proofErr w:type="spellEnd"/>
      <w:r w:rsidRPr="00263084">
        <w:rPr>
          <w:color w:val="000000" w:themeColor="text1"/>
          <w:sz w:val="24"/>
          <w:szCs w:val="24"/>
        </w:rPr>
        <w:t xml:space="preserve"> u digitalnim i zelenim vještinama. Stopa zaposlenosti u dobi</w:t>
      </w:r>
      <w:r>
        <w:rPr>
          <w:color w:val="000000" w:themeColor="text1"/>
          <w:sz w:val="24"/>
          <w:szCs w:val="24"/>
        </w:rPr>
        <w:t xml:space="preserve"> od</w:t>
      </w:r>
      <w:r w:rsidRPr="00263084">
        <w:rPr>
          <w:color w:val="000000" w:themeColor="text1"/>
          <w:sz w:val="24"/>
          <w:szCs w:val="24"/>
        </w:rPr>
        <w:t xml:space="preserve"> 20</w:t>
      </w:r>
      <w:r>
        <w:rPr>
          <w:color w:val="000000" w:themeColor="text1"/>
          <w:sz w:val="24"/>
          <w:szCs w:val="24"/>
        </w:rPr>
        <w:t xml:space="preserve"> do </w:t>
      </w:r>
      <w:r w:rsidRPr="00263084">
        <w:rPr>
          <w:color w:val="000000" w:themeColor="text1"/>
          <w:sz w:val="24"/>
          <w:szCs w:val="24"/>
        </w:rPr>
        <w:t>64 godine povećana je na 73,6%</w:t>
      </w:r>
      <w:r>
        <w:rPr>
          <w:color w:val="000000" w:themeColor="text1"/>
          <w:sz w:val="24"/>
          <w:szCs w:val="24"/>
        </w:rPr>
        <w:t xml:space="preserve">, </w:t>
      </w:r>
      <w:r w:rsidRPr="00263084">
        <w:rPr>
          <w:color w:val="000000" w:themeColor="text1"/>
          <w:sz w:val="24"/>
          <w:szCs w:val="24"/>
        </w:rPr>
        <w:t xml:space="preserve">uz </w:t>
      </w:r>
      <w:r>
        <w:rPr>
          <w:color w:val="000000" w:themeColor="text1"/>
          <w:sz w:val="24"/>
          <w:szCs w:val="24"/>
        </w:rPr>
        <w:t>dostizanje</w:t>
      </w:r>
      <w:r w:rsidRPr="00263084">
        <w:rPr>
          <w:color w:val="000000" w:themeColor="text1"/>
          <w:sz w:val="24"/>
          <w:szCs w:val="24"/>
        </w:rPr>
        <w:t xml:space="preserve"> razlike u odnosu na prosjek EU-a,</w:t>
      </w:r>
      <w:r>
        <w:rPr>
          <w:color w:val="000000" w:themeColor="text1"/>
          <w:sz w:val="24"/>
          <w:szCs w:val="24"/>
        </w:rPr>
        <w:t xml:space="preserve"> te</w:t>
      </w:r>
      <w:r w:rsidRPr="00263084">
        <w:rPr>
          <w:color w:val="000000" w:themeColor="text1"/>
          <w:sz w:val="24"/>
          <w:szCs w:val="24"/>
        </w:rPr>
        <w:t xml:space="preserve"> istodobno smanjenje udjela ugovora na određeno na 9%. Povećani su kapaciteti predškolskih ustanova, </w:t>
      </w:r>
      <w:r>
        <w:rPr>
          <w:color w:val="000000" w:themeColor="text1"/>
          <w:sz w:val="24"/>
          <w:szCs w:val="24"/>
        </w:rPr>
        <w:t xml:space="preserve">nastavljaju se </w:t>
      </w:r>
      <w:r w:rsidRPr="00263084">
        <w:rPr>
          <w:color w:val="000000" w:themeColor="text1"/>
          <w:sz w:val="24"/>
          <w:szCs w:val="24"/>
        </w:rPr>
        <w:t xml:space="preserve">ulaganja u cjelodnevnu školu i </w:t>
      </w:r>
      <w:proofErr w:type="spellStart"/>
      <w:r w:rsidRPr="00263084">
        <w:rPr>
          <w:color w:val="000000" w:themeColor="text1"/>
          <w:sz w:val="24"/>
          <w:szCs w:val="24"/>
        </w:rPr>
        <w:t>jednosmjenski</w:t>
      </w:r>
      <w:proofErr w:type="spellEnd"/>
      <w:r w:rsidRPr="00263084">
        <w:rPr>
          <w:color w:val="000000" w:themeColor="text1"/>
          <w:sz w:val="24"/>
          <w:szCs w:val="24"/>
        </w:rPr>
        <w:t xml:space="preserve"> rad te je dodatno ojačan sustav visokog obrazovanja kroz HKO, e-Sveučilište, internacionalizaciju i STEM stipendije. </w:t>
      </w:r>
    </w:p>
    <w:p w14:paraId="7318ACA6" w14:textId="77777777" w:rsidR="00FB178A" w:rsidRPr="00263084" w:rsidRDefault="00FB178A" w:rsidP="00FB178A">
      <w:pPr>
        <w:spacing w:after="240" w:line="276" w:lineRule="auto"/>
        <w:jc w:val="both"/>
        <w:rPr>
          <w:color w:val="000000" w:themeColor="text1"/>
          <w:sz w:val="24"/>
          <w:szCs w:val="24"/>
        </w:rPr>
      </w:pPr>
      <w:r w:rsidRPr="00263084">
        <w:rPr>
          <w:color w:val="000000" w:themeColor="text1"/>
          <w:sz w:val="24"/>
          <w:szCs w:val="24"/>
        </w:rPr>
        <w:t xml:space="preserve">U </w:t>
      </w:r>
      <w:r>
        <w:rPr>
          <w:color w:val="000000" w:themeColor="text1"/>
          <w:sz w:val="24"/>
          <w:szCs w:val="24"/>
        </w:rPr>
        <w:t xml:space="preserve">području zdravstva </w:t>
      </w:r>
      <w:r w:rsidRPr="00263084">
        <w:rPr>
          <w:color w:val="000000" w:themeColor="text1"/>
          <w:sz w:val="24"/>
          <w:szCs w:val="24"/>
        </w:rPr>
        <w:t>ostvaren</w:t>
      </w:r>
      <w:r>
        <w:rPr>
          <w:color w:val="000000" w:themeColor="text1"/>
          <w:sz w:val="24"/>
          <w:szCs w:val="24"/>
        </w:rPr>
        <w:t>i su pozitivni pomaci</w:t>
      </w:r>
      <w:r w:rsidRPr="00263084">
        <w:rPr>
          <w:color w:val="000000" w:themeColor="text1"/>
          <w:sz w:val="24"/>
          <w:szCs w:val="24"/>
        </w:rPr>
        <w:t xml:space="preserve"> u kapacitetima sustava zdravstva i socijalne sigurnosti, ali uz trajno prisutne strukturne izazove. Očekivani broj godina zdravog života pri rođenju povećao se na 60,4 godine za muškarce i 62,4 godine za žene, no i dalje je ispod prosjeka EU-a. Hrvatska bilježi iznadprosječan broj liječnika i medicinskih sestara po stanovniku, rast ulaganja i korištenja usluga HZZO-a te značajno širenje preventivnih </w:t>
      </w:r>
      <w:r>
        <w:rPr>
          <w:color w:val="000000" w:themeColor="text1"/>
          <w:sz w:val="24"/>
          <w:szCs w:val="24"/>
        </w:rPr>
        <w:t xml:space="preserve"> programa</w:t>
      </w:r>
      <w:r w:rsidRPr="00263084">
        <w:rPr>
          <w:color w:val="000000" w:themeColor="text1"/>
          <w:sz w:val="24"/>
          <w:szCs w:val="24"/>
        </w:rPr>
        <w:t xml:space="preserve">. Istodobno, prema OECD-u i dalje </w:t>
      </w:r>
      <w:r>
        <w:rPr>
          <w:color w:val="000000" w:themeColor="text1"/>
          <w:sz w:val="24"/>
          <w:szCs w:val="24"/>
        </w:rPr>
        <w:t>imamo</w:t>
      </w:r>
      <w:r w:rsidRPr="00263084">
        <w:rPr>
          <w:color w:val="000000" w:themeColor="text1"/>
          <w:sz w:val="24"/>
          <w:szCs w:val="24"/>
        </w:rPr>
        <w:t xml:space="preserve"> povišen</w:t>
      </w:r>
      <w:r>
        <w:rPr>
          <w:color w:val="000000" w:themeColor="text1"/>
          <w:sz w:val="24"/>
          <w:szCs w:val="24"/>
        </w:rPr>
        <w:t>u</w:t>
      </w:r>
      <w:r w:rsidRPr="00263084">
        <w:rPr>
          <w:color w:val="000000" w:themeColor="text1"/>
          <w:sz w:val="24"/>
          <w:szCs w:val="24"/>
        </w:rPr>
        <w:t xml:space="preserve"> smrtno</w:t>
      </w:r>
      <w:r>
        <w:rPr>
          <w:color w:val="000000" w:themeColor="text1"/>
          <w:sz w:val="24"/>
          <w:szCs w:val="24"/>
        </w:rPr>
        <w:t xml:space="preserve">st </w:t>
      </w:r>
      <w:r w:rsidRPr="00263084">
        <w:rPr>
          <w:color w:val="000000" w:themeColor="text1"/>
          <w:sz w:val="24"/>
          <w:szCs w:val="24"/>
        </w:rPr>
        <w:t xml:space="preserve">od kardiovaskularnih bolesti i malignih bolesti te </w:t>
      </w:r>
      <w:r>
        <w:rPr>
          <w:color w:val="000000" w:themeColor="text1"/>
          <w:sz w:val="24"/>
          <w:szCs w:val="24"/>
        </w:rPr>
        <w:t>ispodprosječnim</w:t>
      </w:r>
      <w:r w:rsidRPr="00263084">
        <w:rPr>
          <w:color w:val="000000" w:themeColor="text1"/>
          <w:sz w:val="24"/>
          <w:szCs w:val="24"/>
        </w:rPr>
        <w:t xml:space="preserve"> ulaganjima u zdravstvo. U području socijalne politike zabilježen je rast prosječnog dohotka i smanjenje materijalne i socijalne deprivacije na 5,2%, </w:t>
      </w:r>
      <w:r>
        <w:rPr>
          <w:color w:val="000000" w:themeColor="text1"/>
          <w:sz w:val="24"/>
          <w:szCs w:val="24"/>
        </w:rPr>
        <w:t>uz blagi rast stope</w:t>
      </w:r>
      <w:r w:rsidRPr="00263084">
        <w:rPr>
          <w:color w:val="000000" w:themeColor="text1"/>
          <w:sz w:val="24"/>
          <w:szCs w:val="24"/>
        </w:rPr>
        <w:t xml:space="preserve"> </w:t>
      </w:r>
      <w:r w:rsidRPr="00263084">
        <w:rPr>
          <w:color w:val="000000" w:themeColor="text1"/>
          <w:sz w:val="24"/>
          <w:szCs w:val="24"/>
        </w:rPr>
        <w:lastRenderedPageBreak/>
        <w:t>rizik</w:t>
      </w:r>
      <w:r>
        <w:rPr>
          <w:color w:val="000000" w:themeColor="text1"/>
          <w:sz w:val="24"/>
          <w:szCs w:val="24"/>
        </w:rPr>
        <w:t>a</w:t>
      </w:r>
      <w:r w:rsidRPr="00263084">
        <w:rPr>
          <w:color w:val="000000" w:themeColor="text1"/>
          <w:sz w:val="24"/>
          <w:szCs w:val="24"/>
        </w:rPr>
        <w:t xml:space="preserve"> od siromaštva i socijalne isključenosti (21,7%), uz važnu zaštitnu ulogu socijalnih transfera</w:t>
      </w:r>
      <w:r>
        <w:rPr>
          <w:color w:val="000000" w:themeColor="text1"/>
          <w:sz w:val="24"/>
          <w:szCs w:val="24"/>
        </w:rPr>
        <w:t xml:space="preserve"> u očuvanju socijalne kohezije</w:t>
      </w:r>
      <w:r w:rsidRPr="00263084">
        <w:rPr>
          <w:color w:val="000000" w:themeColor="text1"/>
          <w:sz w:val="24"/>
          <w:szCs w:val="24"/>
        </w:rPr>
        <w:t>. Sustav socijalnih usluga dodatno je ojačan širenjem usluga u zajednici, programom „Zaželi“, razvojem dugotrajne skrbi,</w:t>
      </w:r>
      <w:r>
        <w:rPr>
          <w:color w:val="000000" w:themeColor="text1"/>
          <w:sz w:val="24"/>
          <w:szCs w:val="24"/>
        </w:rPr>
        <w:t xml:space="preserve"> uvođenjem</w:t>
      </w:r>
      <w:r w:rsidRPr="00263084">
        <w:rPr>
          <w:color w:val="000000" w:themeColor="text1"/>
          <w:sz w:val="24"/>
          <w:szCs w:val="24"/>
        </w:rPr>
        <w:t xml:space="preserve"> </w:t>
      </w:r>
      <w:proofErr w:type="spellStart"/>
      <w:r w:rsidRPr="00263084">
        <w:rPr>
          <w:color w:val="000000" w:themeColor="text1"/>
          <w:sz w:val="24"/>
          <w:szCs w:val="24"/>
        </w:rPr>
        <w:t>inkluzivnog</w:t>
      </w:r>
      <w:proofErr w:type="spellEnd"/>
      <w:r w:rsidRPr="00263084">
        <w:rPr>
          <w:color w:val="000000" w:themeColor="text1"/>
          <w:sz w:val="24"/>
          <w:szCs w:val="24"/>
        </w:rPr>
        <w:t xml:space="preserve"> dodatka </w:t>
      </w:r>
      <w:r>
        <w:rPr>
          <w:color w:val="000000" w:themeColor="text1"/>
          <w:sz w:val="24"/>
          <w:szCs w:val="24"/>
        </w:rPr>
        <w:t>te povećanjem mirovina i</w:t>
      </w:r>
      <w:r w:rsidRPr="00263084">
        <w:rPr>
          <w:color w:val="000000" w:themeColor="text1"/>
          <w:sz w:val="24"/>
          <w:szCs w:val="24"/>
        </w:rPr>
        <w:t xml:space="preserve"> nacionalne naknade za starije osobe.</w:t>
      </w:r>
    </w:p>
    <w:p w14:paraId="14A441D6" w14:textId="77777777" w:rsidR="00FB178A" w:rsidRPr="00263084" w:rsidRDefault="00FB178A" w:rsidP="00FB178A">
      <w:pPr>
        <w:spacing w:after="240" w:line="276" w:lineRule="auto"/>
        <w:jc w:val="both"/>
        <w:rPr>
          <w:color w:val="000000" w:themeColor="text1"/>
          <w:sz w:val="24"/>
          <w:szCs w:val="24"/>
        </w:rPr>
      </w:pPr>
      <w:r w:rsidRPr="00263084">
        <w:rPr>
          <w:color w:val="000000" w:themeColor="text1"/>
          <w:sz w:val="24"/>
          <w:szCs w:val="24"/>
        </w:rPr>
        <w:t xml:space="preserve">U pogledu </w:t>
      </w:r>
      <w:r>
        <w:rPr>
          <w:color w:val="000000" w:themeColor="text1"/>
          <w:sz w:val="24"/>
          <w:szCs w:val="24"/>
        </w:rPr>
        <w:t>sigurnosti i g</w:t>
      </w:r>
      <w:r w:rsidRPr="00263084">
        <w:rPr>
          <w:color w:val="000000" w:themeColor="text1"/>
          <w:sz w:val="24"/>
          <w:szCs w:val="24"/>
        </w:rPr>
        <w:t>lobaln</w:t>
      </w:r>
      <w:r>
        <w:rPr>
          <w:color w:val="000000" w:themeColor="text1"/>
          <w:sz w:val="24"/>
          <w:szCs w:val="24"/>
        </w:rPr>
        <w:t>e</w:t>
      </w:r>
      <w:r w:rsidRPr="00263084">
        <w:rPr>
          <w:color w:val="000000" w:themeColor="text1"/>
          <w:sz w:val="24"/>
          <w:szCs w:val="24"/>
        </w:rPr>
        <w:t xml:space="preserve"> prepoznatljivost</w:t>
      </w:r>
      <w:r>
        <w:rPr>
          <w:color w:val="000000" w:themeColor="text1"/>
          <w:sz w:val="24"/>
          <w:szCs w:val="24"/>
        </w:rPr>
        <w:t xml:space="preserve">i </w:t>
      </w:r>
      <w:r w:rsidRPr="00263084">
        <w:rPr>
          <w:color w:val="000000" w:themeColor="text1"/>
          <w:sz w:val="24"/>
          <w:szCs w:val="24"/>
        </w:rPr>
        <w:t>Hrvatske, 2024. je obilježena daljnjim jačanjem obrambenih i sigurnosnih kapaciteta, potvrdom iznimno povoljne sigurnosne slike te jačanjem međunarodne uloge Hrvatske. Uz rast obrambenih izdataka na 1,8</w:t>
      </w:r>
      <w:r>
        <w:rPr>
          <w:color w:val="000000" w:themeColor="text1"/>
          <w:sz w:val="24"/>
          <w:szCs w:val="24"/>
        </w:rPr>
        <w:t>5</w:t>
      </w:r>
      <w:r w:rsidRPr="00263084">
        <w:rPr>
          <w:color w:val="000000" w:themeColor="text1"/>
          <w:sz w:val="24"/>
          <w:szCs w:val="24"/>
        </w:rPr>
        <w:t xml:space="preserve">% BDP-a i daljnju modernizaciju Oružanih snaga, Hrvatska sustavno unaprjeđuje spremnost i </w:t>
      </w:r>
      <w:proofErr w:type="spellStart"/>
      <w:r w:rsidRPr="00263084">
        <w:rPr>
          <w:color w:val="000000" w:themeColor="text1"/>
          <w:sz w:val="24"/>
          <w:szCs w:val="24"/>
        </w:rPr>
        <w:t>interoperabilnost</w:t>
      </w:r>
      <w:proofErr w:type="spellEnd"/>
      <w:r w:rsidRPr="00263084">
        <w:rPr>
          <w:color w:val="000000" w:themeColor="text1"/>
          <w:sz w:val="24"/>
          <w:szCs w:val="24"/>
        </w:rPr>
        <w:t xml:space="preserve"> unutar NATO-a i EU-a. P</w:t>
      </w:r>
      <w:r>
        <w:rPr>
          <w:color w:val="000000" w:themeColor="text1"/>
          <w:sz w:val="24"/>
          <w:szCs w:val="24"/>
        </w:rPr>
        <w:t>rovode</w:t>
      </w:r>
      <w:r w:rsidRPr="00263084">
        <w:rPr>
          <w:color w:val="000000" w:themeColor="text1"/>
          <w:sz w:val="24"/>
          <w:szCs w:val="24"/>
        </w:rPr>
        <w:t xml:space="preserve"> s</w:t>
      </w:r>
      <w:r>
        <w:rPr>
          <w:color w:val="000000" w:themeColor="text1"/>
          <w:sz w:val="24"/>
          <w:szCs w:val="24"/>
        </w:rPr>
        <w:t>e</w:t>
      </w:r>
      <w:r w:rsidRPr="00263084">
        <w:rPr>
          <w:color w:val="000000" w:themeColor="text1"/>
          <w:sz w:val="24"/>
          <w:szCs w:val="24"/>
        </w:rPr>
        <w:t xml:space="preserve"> važna dodatna ulaganja u civilnu zaštitu, </w:t>
      </w:r>
      <w:proofErr w:type="spellStart"/>
      <w:r w:rsidRPr="00263084">
        <w:rPr>
          <w:color w:val="000000" w:themeColor="text1"/>
          <w:sz w:val="24"/>
          <w:szCs w:val="24"/>
        </w:rPr>
        <w:t>protuminsko</w:t>
      </w:r>
      <w:proofErr w:type="spellEnd"/>
      <w:r w:rsidRPr="00263084">
        <w:rPr>
          <w:color w:val="000000" w:themeColor="text1"/>
          <w:sz w:val="24"/>
          <w:szCs w:val="24"/>
        </w:rPr>
        <w:t xml:space="preserve"> djelovanje, protupožarnu zaštitu i pripravnost na klimatske rizike, </w:t>
      </w:r>
      <w:r>
        <w:rPr>
          <w:color w:val="000000" w:themeColor="text1"/>
          <w:sz w:val="24"/>
          <w:szCs w:val="24"/>
        </w:rPr>
        <w:t>uz</w:t>
      </w:r>
      <w:r w:rsidRPr="00263084">
        <w:rPr>
          <w:color w:val="000000" w:themeColor="text1"/>
          <w:sz w:val="24"/>
          <w:szCs w:val="24"/>
        </w:rPr>
        <w:t xml:space="preserve"> nastavak jačanja sigurnosti granica i upravljanja migracijama uz potporu </w:t>
      </w:r>
      <w:r>
        <w:rPr>
          <w:color w:val="000000" w:themeColor="text1"/>
          <w:sz w:val="24"/>
          <w:szCs w:val="24"/>
        </w:rPr>
        <w:t xml:space="preserve">iz </w:t>
      </w:r>
      <w:r w:rsidRPr="00263084">
        <w:rPr>
          <w:color w:val="000000" w:themeColor="text1"/>
          <w:sz w:val="24"/>
          <w:szCs w:val="24"/>
        </w:rPr>
        <w:t>EU fondova. Na međunarodnom planu, Hrvatska nastavlja aktivno sudjelovati u radu EU</w:t>
      </w:r>
      <w:r>
        <w:rPr>
          <w:color w:val="000000" w:themeColor="text1"/>
          <w:sz w:val="24"/>
          <w:szCs w:val="24"/>
        </w:rPr>
        <w:t>-a</w:t>
      </w:r>
      <w:r w:rsidRPr="00263084">
        <w:rPr>
          <w:color w:val="000000" w:themeColor="text1"/>
          <w:sz w:val="24"/>
          <w:szCs w:val="24"/>
        </w:rPr>
        <w:t>, NATO-a, UN-a i drugih organizacija, približava se punopravnom članstvu u OECD-u te jača razvojnu i humanitarnu ulogu, osobito u potpori Ukrajini.</w:t>
      </w:r>
    </w:p>
    <w:p w14:paraId="7C7E6703" w14:textId="77777777" w:rsidR="00FB178A" w:rsidRPr="00263084" w:rsidRDefault="00FB178A" w:rsidP="00FB178A">
      <w:pPr>
        <w:spacing w:after="240" w:line="276" w:lineRule="auto"/>
        <w:jc w:val="both"/>
        <w:rPr>
          <w:color w:val="000000" w:themeColor="text1"/>
          <w:sz w:val="24"/>
          <w:szCs w:val="24"/>
        </w:rPr>
      </w:pPr>
      <w:r w:rsidRPr="00263084">
        <w:rPr>
          <w:color w:val="000000" w:themeColor="text1"/>
          <w:sz w:val="24"/>
          <w:szCs w:val="24"/>
        </w:rPr>
        <w:t xml:space="preserve">U </w:t>
      </w:r>
      <w:r>
        <w:rPr>
          <w:color w:val="000000" w:themeColor="text1"/>
          <w:sz w:val="24"/>
          <w:szCs w:val="24"/>
        </w:rPr>
        <w:t>području e</w:t>
      </w:r>
      <w:r w:rsidRPr="00263084">
        <w:rPr>
          <w:color w:val="000000" w:themeColor="text1"/>
          <w:sz w:val="24"/>
          <w:szCs w:val="24"/>
        </w:rPr>
        <w:t>kološk</w:t>
      </w:r>
      <w:r>
        <w:rPr>
          <w:color w:val="000000" w:themeColor="text1"/>
          <w:sz w:val="24"/>
          <w:szCs w:val="24"/>
        </w:rPr>
        <w:t>e</w:t>
      </w:r>
      <w:r w:rsidRPr="00263084">
        <w:rPr>
          <w:color w:val="000000" w:themeColor="text1"/>
          <w:sz w:val="24"/>
          <w:szCs w:val="24"/>
        </w:rPr>
        <w:t xml:space="preserve"> i energetsk</w:t>
      </w:r>
      <w:r>
        <w:rPr>
          <w:color w:val="000000" w:themeColor="text1"/>
          <w:sz w:val="24"/>
          <w:szCs w:val="24"/>
        </w:rPr>
        <w:t>e</w:t>
      </w:r>
      <w:r w:rsidRPr="00263084">
        <w:rPr>
          <w:color w:val="000000" w:themeColor="text1"/>
          <w:sz w:val="24"/>
          <w:szCs w:val="24"/>
        </w:rPr>
        <w:t xml:space="preserve"> tranzicija za klimatsku neutralnost</w:t>
      </w:r>
      <w:r>
        <w:rPr>
          <w:color w:val="000000" w:themeColor="text1"/>
          <w:sz w:val="24"/>
          <w:szCs w:val="24"/>
        </w:rPr>
        <w:t>,</w:t>
      </w:r>
      <w:r w:rsidRPr="00263084">
        <w:rPr>
          <w:color w:val="000000" w:themeColor="text1"/>
          <w:sz w:val="24"/>
          <w:szCs w:val="24"/>
        </w:rPr>
        <w:t xml:space="preserve"> ostvaren je pomak u </w:t>
      </w:r>
      <w:r>
        <w:rPr>
          <w:color w:val="000000" w:themeColor="text1"/>
          <w:sz w:val="24"/>
          <w:szCs w:val="24"/>
        </w:rPr>
        <w:t>području gospodarenja otpadom</w:t>
      </w:r>
      <w:r w:rsidRPr="00263084">
        <w:rPr>
          <w:color w:val="000000" w:themeColor="text1"/>
          <w:sz w:val="24"/>
          <w:szCs w:val="24"/>
        </w:rPr>
        <w:t xml:space="preserve">, energetskoj obnovi i razvoju obnovljivih izvora, ali uz </w:t>
      </w:r>
      <w:r>
        <w:rPr>
          <w:color w:val="000000" w:themeColor="text1"/>
          <w:sz w:val="24"/>
          <w:szCs w:val="24"/>
        </w:rPr>
        <w:t>značajne</w:t>
      </w:r>
      <w:r w:rsidRPr="00263084">
        <w:rPr>
          <w:color w:val="000000" w:themeColor="text1"/>
          <w:sz w:val="24"/>
          <w:szCs w:val="24"/>
        </w:rPr>
        <w:t xml:space="preserve"> izazov</w:t>
      </w:r>
      <w:r>
        <w:rPr>
          <w:color w:val="000000" w:themeColor="text1"/>
          <w:sz w:val="24"/>
          <w:szCs w:val="24"/>
        </w:rPr>
        <w:t>e u</w:t>
      </w:r>
      <w:r w:rsidRPr="00263084">
        <w:rPr>
          <w:color w:val="000000" w:themeColor="text1"/>
          <w:sz w:val="24"/>
          <w:szCs w:val="24"/>
        </w:rPr>
        <w:t xml:space="preserve"> ispunjavanj</w:t>
      </w:r>
      <w:r>
        <w:rPr>
          <w:color w:val="000000" w:themeColor="text1"/>
          <w:sz w:val="24"/>
          <w:szCs w:val="24"/>
        </w:rPr>
        <w:t>u</w:t>
      </w:r>
      <w:r w:rsidRPr="00263084">
        <w:rPr>
          <w:color w:val="000000" w:themeColor="text1"/>
          <w:sz w:val="24"/>
          <w:szCs w:val="24"/>
        </w:rPr>
        <w:t xml:space="preserve"> klimatskih ciljeva. Stopa recikliranja komunalnog otpada porasla je na 37%, odvojeno se prikuplja 49% otpada, a obuhvat organiziranim prikupljanjem doseže 99,9%, uz postupno smanjenje udjela odlaganja, ali još daleko od ciljanih 10% do 2035. godine. Udio </w:t>
      </w:r>
      <w:r>
        <w:rPr>
          <w:color w:val="000000" w:themeColor="text1"/>
          <w:sz w:val="24"/>
          <w:szCs w:val="24"/>
        </w:rPr>
        <w:t>obnovljivih izvora energije</w:t>
      </w:r>
      <w:r w:rsidRPr="00263084">
        <w:rPr>
          <w:color w:val="000000" w:themeColor="text1"/>
          <w:sz w:val="24"/>
          <w:szCs w:val="24"/>
        </w:rPr>
        <w:t xml:space="preserve"> u bruto neposrednoj potrošnji energije zadržao se </w:t>
      </w:r>
      <w:r>
        <w:rPr>
          <w:color w:val="000000" w:themeColor="text1"/>
          <w:sz w:val="24"/>
          <w:szCs w:val="24"/>
        </w:rPr>
        <w:t>na</w:t>
      </w:r>
      <w:r w:rsidRPr="00263084">
        <w:rPr>
          <w:color w:val="000000" w:themeColor="text1"/>
          <w:sz w:val="24"/>
          <w:szCs w:val="24"/>
        </w:rPr>
        <w:t xml:space="preserve"> 28%, dok se emisije stakleničkih plinova i dalje nalaze iznad željene putanje, unatoč ulaganjima iz Modernizacijskog fonda i NPOO-a te </w:t>
      </w:r>
      <w:r>
        <w:rPr>
          <w:color w:val="000000" w:themeColor="text1"/>
          <w:sz w:val="24"/>
          <w:szCs w:val="24"/>
        </w:rPr>
        <w:t>intenziviranju</w:t>
      </w:r>
      <w:r w:rsidRPr="00263084">
        <w:rPr>
          <w:color w:val="000000" w:themeColor="text1"/>
          <w:sz w:val="24"/>
          <w:szCs w:val="24"/>
        </w:rPr>
        <w:t xml:space="preserve"> energetskih i </w:t>
      </w:r>
      <w:proofErr w:type="spellStart"/>
      <w:r w:rsidRPr="00263084">
        <w:rPr>
          <w:color w:val="000000" w:themeColor="text1"/>
          <w:sz w:val="24"/>
          <w:szCs w:val="24"/>
        </w:rPr>
        <w:t>vodnokomunalnih</w:t>
      </w:r>
      <w:proofErr w:type="spellEnd"/>
      <w:r w:rsidRPr="00263084">
        <w:rPr>
          <w:color w:val="000000" w:themeColor="text1"/>
          <w:sz w:val="24"/>
          <w:szCs w:val="24"/>
        </w:rPr>
        <w:t xml:space="preserve"> projekata. Snažan je zamah dan energetskoj obnovi zgrada, liberalizaciji tržišta energetskih usluga, </w:t>
      </w:r>
      <w:proofErr w:type="spellStart"/>
      <w:r w:rsidRPr="00263084">
        <w:rPr>
          <w:color w:val="000000" w:themeColor="text1"/>
          <w:sz w:val="24"/>
          <w:szCs w:val="24"/>
        </w:rPr>
        <w:t>dekarbonizaciji</w:t>
      </w:r>
      <w:proofErr w:type="spellEnd"/>
      <w:r w:rsidRPr="00263084">
        <w:rPr>
          <w:color w:val="000000" w:themeColor="text1"/>
          <w:sz w:val="24"/>
          <w:szCs w:val="24"/>
        </w:rPr>
        <w:t xml:space="preserve"> prometa i jačanju geotermalnog i vodikovog potencijala, no ostvarenje ciljeva klimatske neutralnosti zahtijevat će stabilno i ubrzano provođenje svih započetih reformi i ulaganja.</w:t>
      </w:r>
    </w:p>
    <w:p w14:paraId="1842C7BE" w14:textId="77777777" w:rsidR="00FB178A" w:rsidRPr="00263084" w:rsidRDefault="00FB178A" w:rsidP="00FB178A">
      <w:pPr>
        <w:spacing w:after="240" w:line="276" w:lineRule="auto"/>
        <w:jc w:val="both"/>
        <w:rPr>
          <w:color w:val="000000" w:themeColor="text1"/>
          <w:sz w:val="24"/>
          <w:szCs w:val="24"/>
        </w:rPr>
      </w:pPr>
      <w:r>
        <w:rPr>
          <w:color w:val="000000" w:themeColor="text1"/>
          <w:sz w:val="24"/>
          <w:szCs w:val="24"/>
        </w:rPr>
        <w:t>U području proizvodnje hrane,</w:t>
      </w:r>
      <w:r w:rsidRPr="00263084">
        <w:rPr>
          <w:color w:val="000000" w:themeColor="text1"/>
          <w:sz w:val="24"/>
          <w:szCs w:val="24"/>
        </w:rPr>
        <w:t xml:space="preserve"> bilježi </w:t>
      </w:r>
      <w:r>
        <w:rPr>
          <w:color w:val="000000" w:themeColor="text1"/>
          <w:sz w:val="24"/>
          <w:szCs w:val="24"/>
        </w:rPr>
        <w:t xml:space="preserve">se </w:t>
      </w:r>
      <w:r w:rsidRPr="00263084">
        <w:rPr>
          <w:color w:val="000000" w:themeColor="text1"/>
          <w:sz w:val="24"/>
          <w:szCs w:val="24"/>
        </w:rPr>
        <w:t>rast produktivnosti rada u poljoprivredi (8.09</w:t>
      </w:r>
      <w:r>
        <w:rPr>
          <w:color w:val="000000" w:themeColor="text1"/>
          <w:sz w:val="24"/>
          <w:szCs w:val="24"/>
        </w:rPr>
        <w:t>1</w:t>
      </w:r>
      <w:r w:rsidRPr="00263084">
        <w:rPr>
          <w:color w:val="000000" w:themeColor="text1"/>
          <w:sz w:val="24"/>
          <w:szCs w:val="24"/>
        </w:rPr>
        <w:t xml:space="preserve"> eura/GJR, porast od 22% u odnosu na 2019.</w:t>
      </w:r>
      <w:r>
        <w:rPr>
          <w:color w:val="000000" w:themeColor="text1"/>
          <w:sz w:val="24"/>
          <w:szCs w:val="24"/>
        </w:rPr>
        <w:t xml:space="preserve">, </w:t>
      </w:r>
      <w:r w:rsidRPr="008564C7">
        <w:rPr>
          <w:color w:val="000000" w:themeColor="text1"/>
          <w:sz w:val="24"/>
          <w:szCs w:val="24"/>
        </w:rPr>
        <w:t>za 6,06% veća u odnosu na 2023. (7.600 eura</w:t>
      </w:r>
      <w:r w:rsidRPr="00263084">
        <w:rPr>
          <w:color w:val="000000" w:themeColor="text1"/>
          <w:sz w:val="24"/>
          <w:szCs w:val="24"/>
        </w:rPr>
        <w:t>), dok se istodobno potvrđuje strukturna zaostalost u odnosu na prosjek EU-a (manje od polovine prosječne produktivnosti</w:t>
      </w:r>
      <w:r>
        <w:rPr>
          <w:color w:val="000000" w:themeColor="text1"/>
          <w:sz w:val="24"/>
          <w:szCs w:val="24"/>
        </w:rPr>
        <w:t xml:space="preserve"> rada EU-a</w:t>
      </w:r>
      <w:r w:rsidRPr="00263084">
        <w:rPr>
          <w:color w:val="000000" w:themeColor="text1"/>
          <w:sz w:val="24"/>
          <w:szCs w:val="24"/>
        </w:rPr>
        <w:t>). Ukupna vrijednost poljoprivredne proizvodnje porasla je na 3,09 m</w:t>
      </w:r>
      <w:r>
        <w:rPr>
          <w:color w:val="000000" w:themeColor="text1"/>
          <w:sz w:val="24"/>
          <w:szCs w:val="24"/>
        </w:rPr>
        <w:t>ilijardi</w:t>
      </w:r>
      <w:r w:rsidRPr="00263084">
        <w:rPr>
          <w:color w:val="000000" w:themeColor="text1"/>
          <w:sz w:val="24"/>
          <w:szCs w:val="24"/>
        </w:rPr>
        <w:t xml:space="preserve"> eura, uz snažan rast biljne proizvodnje i nastavak strukturnih izazova u stočarstvu te rastući deficit u robnoj razmjeni poljoprivredno-prehrambenih proizvoda. Provedba Strateškog plana Z</w:t>
      </w:r>
      <w:r>
        <w:rPr>
          <w:color w:val="000000" w:themeColor="text1"/>
          <w:sz w:val="24"/>
          <w:szCs w:val="24"/>
        </w:rPr>
        <w:t xml:space="preserve">ajedničke poljoprivredne politike Republike Hrvatske 2023. – 2027. i </w:t>
      </w:r>
      <w:r w:rsidRPr="00263084">
        <w:rPr>
          <w:color w:val="000000" w:themeColor="text1"/>
          <w:sz w:val="24"/>
          <w:szCs w:val="24"/>
        </w:rPr>
        <w:t>mjera ruralnog razvoja, ulaganja kroz financijske instrumente i jačanje ekološke proizvodnje stvaraju povoljne preduvjete, no podaci o strukturi gospodarstava, produktivnosti i vanjskoj trgovini jasno ukazuju na potrebu nastavka dubinskih strukturnih promjena i fokusiranih intervencija u poljoprivredi i akvakulturi.</w:t>
      </w:r>
    </w:p>
    <w:p w14:paraId="54F57BFE" w14:textId="77777777" w:rsidR="00FB178A" w:rsidRPr="00263084" w:rsidRDefault="00FB178A" w:rsidP="00FB178A">
      <w:pPr>
        <w:spacing w:after="240" w:line="276" w:lineRule="auto"/>
        <w:jc w:val="both"/>
        <w:rPr>
          <w:color w:val="000000" w:themeColor="text1"/>
          <w:sz w:val="24"/>
          <w:szCs w:val="24"/>
        </w:rPr>
      </w:pPr>
      <w:r>
        <w:rPr>
          <w:color w:val="000000" w:themeColor="text1"/>
          <w:sz w:val="24"/>
          <w:szCs w:val="24"/>
        </w:rPr>
        <w:t>U području d</w:t>
      </w:r>
      <w:r w:rsidRPr="00263084">
        <w:rPr>
          <w:color w:val="000000" w:themeColor="text1"/>
          <w:sz w:val="24"/>
          <w:szCs w:val="24"/>
        </w:rPr>
        <w:t>igitaln</w:t>
      </w:r>
      <w:r>
        <w:rPr>
          <w:color w:val="000000" w:themeColor="text1"/>
          <w:sz w:val="24"/>
          <w:szCs w:val="24"/>
        </w:rPr>
        <w:t>e</w:t>
      </w:r>
      <w:r w:rsidRPr="00263084">
        <w:rPr>
          <w:color w:val="000000" w:themeColor="text1"/>
          <w:sz w:val="24"/>
          <w:szCs w:val="24"/>
        </w:rPr>
        <w:t xml:space="preserve"> tranzicij</w:t>
      </w:r>
      <w:r>
        <w:rPr>
          <w:color w:val="000000" w:themeColor="text1"/>
          <w:sz w:val="24"/>
          <w:szCs w:val="24"/>
        </w:rPr>
        <w:t>e</w:t>
      </w:r>
      <w:r w:rsidRPr="00263084">
        <w:rPr>
          <w:color w:val="000000" w:themeColor="text1"/>
          <w:sz w:val="24"/>
          <w:szCs w:val="24"/>
        </w:rPr>
        <w:t xml:space="preserve"> društva i gospodarstva bilježi </w:t>
      </w:r>
      <w:r>
        <w:rPr>
          <w:color w:val="000000" w:themeColor="text1"/>
          <w:sz w:val="24"/>
          <w:szCs w:val="24"/>
        </w:rPr>
        <w:t xml:space="preserve">se </w:t>
      </w:r>
      <w:r w:rsidRPr="00263084">
        <w:rPr>
          <w:color w:val="000000" w:themeColor="text1"/>
          <w:sz w:val="24"/>
          <w:szCs w:val="24"/>
        </w:rPr>
        <w:t xml:space="preserve">zamjetan napredak, osobito u digitalnim vještinama, naprednim tehnologijama i infrastrukturi. Udio stanovništva s barem </w:t>
      </w:r>
      <w:r w:rsidRPr="00263084">
        <w:rPr>
          <w:color w:val="000000" w:themeColor="text1"/>
          <w:sz w:val="24"/>
          <w:szCs w:val="24"/>
        </w:rPr>
        <w:lastRenderedPageBreak/>
        <w:t xml:space="preserve">osnovnim digitalnim vještinama (58,95%) iznad je prosjeka EU-a, a udio IKT stručnjaka u zaposlenosti dosegnuo je 5%, uz iznadprosječan udio žena. Hrvatska prednjači u uporabi podatkovne analitike u poduzećima, bilježi ubrzani rast FTTP i VHCN pokrivenosti, s vrlo visokim stopama rasta u ruralnim područjima te gotovo potpunu 5G pokrivenost. Istodobno, digitalna transformacija MSP-ova, uporaba umjetne inteligencije i prihvaćanje gigabitnih usluga ostaju ispod prosjeka EU-a, dok međunarodni pokazatelji (IMD Digital </w:t>
      </w:r>
      <w:proofErr w:type="spellStart"/>
      <w:r w:rsidRPr="00263084">
        <w:rPr>
          <w:color w:val="000000" w:themeColor="text1"/>
          <w:sz w:val="24"/>
          <w:szCs w:val="24"/>
        </w:rPr>
        <w:t>Competitiveness</w:t>
      </w:r>
      <w:proofErr w:type="spellEnd"/>
      <w:r w:rsidRPr="00263084">
        <w:rPr>
          <w:color w:val="000000" w:themeColor="text1"/>
          <w:sz w:val="24"/>
          <w:szCs w:val="24"/>
        </w:rPr>
        <w:t>) potvrđuju potrebu ubrzanja reformi. U javnoj upravi ostvaren je daljnji napredak u digitalnim uslugama (više od 2 milijuna korisnika i 108 e-usluga na portalu e-Građani, devet novih usluga</w:t>
      </w:r>
      <w:r>
        <w:rPr>
          <w:color w:val="000000" w:themeColor="text1"/>
          <w:sz w:val="24"/>
          <w:szCs w:val="24"/>
        </w:rPr>
        <w:t xml:space="preserve"> u 2024.</w:t>
      </w:r>
      <w:r w:rsidRPr="00263084">
        <w:rPr>
          <w:color w:val="000000" w:themeColor="text1"/>
          <w:sz w:val="24"/>
          <w:szCs w:val="24"/>
        </w:rPr>
        <w:t xml:space="preserve">, </w:t>
      </w:r>
      <w:r>
        <w:rPr>
          <w:color w:val="000000" w:themeColor="text1"/>
          <w:sz w:val="24"/>
          <w:szCs w:val="24"/>
        </w:rPr>
        <w:t xml:space="preserve">razvija se </w:t>
      </w:r>
      <w:r w:rsidRPr="00263084">
        <w:rPr>
          <w:color w:val="000000" w:themeColor="text1"/>
          <w:sz w:val="24"/>
          <w:szCs w:val="24"/>
        </w:rPr>
        <w:t>nova mobilna platforma m-Građani, razv</w:t>
      </w:r>
      <w:r>
        <w:rPr>
          <w:color w:val="000000" w:themeColor="text1"/>
          <w:sz w:val="24"/>
          <w:szCs w:val="24"/>
        </w:rPr>
        <w:t>i</w:t>
      </w:r>
      <w:r w:rsidRPr="00263084">
        <w:rPr>
          <w:color w:val="000000" w:themeColor="text1"/>
          <w:sz w:val="24"/>
          <w:szCs w:val="24"/>
        </w:rPr>
        <w:t>j</w:t>
      </w:r>
      <w:r>
        <w:rPr>
          <w:color w:val="000000" w:themeColor="text1"/>
          <w:sz w:val="24"/>
          <w:szCs w:val="24"/>
        </w:rPr>
        <w:t>a se</w:t>
      </w:r>
      <w:r w:rsidRPr="00263084">
        <w:rPr>
          <w:color w:val="000000" w:themeColor="text1"/>
          <w:sz w:val="24"/>
          <w:szCs w:val="24"/>
        </w:rPr>
        <w:t xml:space="preserve"> Središnj</w:t>
      </w:r>
      <w:r>
        <w:rPr>
          <w:color w:val="000000" w:themeColor="text1"/>
          <w:sz w:val="24"/>
          <w:szCs w:val="24"/>
        </w:rPr>
        <w:t>i</w:t>
      </w:r>
      <w:r w:rsidRPr="00263084">
        <w:rPr>
          <w:color w:val="000000" w:themeColor="text1"/>
          <w:sz w:val="24"/>
          <w:szCs w:val="24"/>
        </w:rPr>
        <w:t xml:space="preserve"> regist</w:t>
      </w:r>
      <w:r>
        <w:rPr>
          <w:color w:val="000000" w:themeColor="text1"/>
          <w:sz w:val="24"/>
          <w:szCs w:val="24"/>
        </w:rPr>
        <w:t>a</w:t>
      </w:r>
      <w:r w:rsidRPr="00263084">
        <w:rPr>
          <w:color w:val="000000" w:themeColor="text1"/>
          <w:sz w:val="24"/>
          <w:szCs w:val="24"/>
        </w:rPr>
        <w:t xml:space="preserve">r stanovništva), </w:t>
      </w:r>
      <w:r>
        <w:rPr>
          <w:color w:val="000000" w:themeColor="text1"/>
          <w:sz w:val="24"/>
          <w:szCs w:val="24"/>
        </w:rPr>
        <w:t xml:space="preserve">jačanju </w:t>
      </w:r>
      <w:proofErr w:type="spellStart"/>
      <w:r w:rsidRPr="00263084">
        <w:rPr>
          <w:color w:val="000000" w:themeColor="text1"/>
          <w:sz w:val="24"/>
          <w:szCs w:val="24"/>
        </w:rPr>
        <w:t>interoperabilnosti</w:t>
      </w:r>
      <w:proofErr w:type="spellEnd"/>
      <w:r w:rsidRPr="00263084">
        <w:rPr>
          <w:color w:val="000000" w:themeColor="text1"/>
          <w:sz w:val="24"/>
          <w:szCs w:val="24"/>
        </w:rPr>
        <w:t xml:space="preserve"> i data-infrastrukturi (CDU, GSB, NIPP, TEUTA), uz vidljive pomake u digitalizaciji pravosuđa i upravljanja EU fondovima.</w:t>
      </w:r>
    </w:p>
    <w:p w14:paraId="68A2B369" w14:textId="77777777" w:rsidR="00FB178A" w:rsidRPr="00263084" w:rsidRDefault="00FB178A" w:rsidP="00FB178A">
      <w:pPr>
        <w:spacing w:after="240" w:line="276" w:lineRule="auto"/>
        <w:jc w:val="both"/>
        <w:rPr>
          <w:color w:val="000000" w:themeColor="text1"/>
          <w:sz w:val="24"/>
          <w:szCs w:val="24"/>
        </w:rPr>
      </w:pPr>
      <w:r w:rsidRPr="00263084">
        <w:rPr>
          <w:color w:val="000000" w:themeColor="text1"/>
          <w:sz w:val="24"/>
          <w:szCs w:val="24"/>
        </w:rPr>
        <w:t xml:space="preserve">Na razini teritorijalnog razvoja nastavljena je konvergencija među regijama i jačanje potpomognutih područja, brdsko-planinskih područja i otoka. </w:t>
      </w:r>
      <w:r>
        <w:rPr>
          <w:color w:val="000000" w:themeColor="text1"/>
          <w:sz w:val="24"/>
          <w:szCs w:val="24"/>
        </w:rPr>
        <w:t>B</w:t>
      </w:r>
      <w:r w:rsidRPr="00263084">
        <w:rPr>
          <w:color w:val="000000" w:themeColor="text1"/>
          <w:sz w:val="24"/>
          <w:szCs w:val="24"/>
        </w:rPr>
        <w:t xml:space="preserve">roj JLS s indeksom razvijenosti ispodprosječno niske razine se smanjuje, a rast BDP-a, zaposlenosti i plaća </w:t>
      </w:r>
      <w:r>
        <w:rPr>
          <w:color w:val="000000" w:themeColor="text1"/>
          <w:sz w:val="24"/>
          <w:szCs w:val="24"/>
        </w:rPr>
        <w:t>zabilježen</w:t>
      </w:r>
      <w:r w:rsidRPr="00263084">
        <w:rPr>
          <w:color w:val="000000" w:themeColor="text1"/>
          <w:sz w:val="24"/>
          <w:szCs w:val="24"/>
        </w:rPr>
        <w:t xml:space="preserve"> je </w:t>
      </w:r>
      <w:r>
        <w:rPr>
          <w:color w:val="000000" w:themeColor="text1"/>
          <w:sz w:val="24"/>
          <w:szCs w:val="24"/>
        </w:rPr>
        <w:t>na području</w:t>
      </w:r>
      <w:r w:rsidRPr="00263084">
        <w:rPr>
          <w:color w:val="000000" w:themeColor="text1"/>
          <w:sz w:val="24"/>
          <w:szCs w:val="24"/>
        </w:rPr>
        <w:t xml:space="preserve"> svi</w:t>
      </w:r>
      <w:r>
        <w:rPr>
          <w:color w:val="000000" w:themeColor="text1"/>
          <w:sz w:val="24"/>
          <w:szCs w:val="24"/>
        </w:rPr>
        <w:t>h</w:t>
      </w:r>
      <w:r w:rsidRPr="00263084">
        <w:rPr>
          <w:color w:val="000000" w:themeColor="text1"/>
          <w:sz w:val="24"/>
          <w:szCs w:val="24"/>
        </w:rPr>
        <w:t xml:space="preserve"> županija. Intenzivirana su ulaganja u lokalnu infrastrukturu, društvene i gospodarske projekte, protupožarnu zaštitu i </w:t>
      </w:r>
      <w:r>
        <w:rPr>
          <w:color w:val="000000" w:themeColor="text1"/>
          <w:sz w:val="24"/>
          <w:szCs w:val="24"/>
        </w:rPr>
        <w:t xml:space="preserve">razvoj </w:t>
      </w:r>
      <w:r w:rsidRPr="00263084">
        <w:rPr>
          <w:color w:val="000000" w:themeColor="text1"/>
          <w:sz w:val="24"/>
          <w:szCs w:val="24"/>
        </w:rPr>
        <w:t>biciklističk</w:t>
      </w:r>
      <w:r>
        <w:rPr>
          <w:color w:val="000000" w:themeColor="text1"/>
          <w:sz w:val="24"/>
          <w:szCs w:val="24"/>
        </w:rPr>
        <w:t>e</w:t>
      </w:r>
      <w:r w:rsidRPr="00263084">
        <w:rPr>
          <w:color w:val="000000" w:themeColor="text1"/>
          <w:sz w:val="24"/>
          <w:szCs w:val="24"/>
        </w:rPr>
        <w:t xml:space="preserve"> infrastruktur</w:t>
      </w:r>
      <w:r>
        <w:rPr>
          <w:color w:val="000000" w:themeColor="text1"/>
          <w:sz w:val="24"/>
          <w:szCs w:val="24"/>
        </w:rPr>
        <w:t>e</w:t>
      </w:r>
      <w:r w:rsidRPr="00263084">
        <w:rPr>
          <w:color w:val="000000" w:themeColor="text1"/>
          <w:sz w:val="24"/>
          <w:szCs w:val="24"/>
        </w:rPr>
        <w:t xml:space="preserve">, uz nastavak primjene </w:t>
      </w:r>
      <w:r>
        <w:rPr>
          <w:color w:val="000000" w:themeColor="text1"/>
          <w:sz w:val="24"/>
          <w:szCs w:val="24"/>
        </w:rPr>
        <w:t xml:space="preserve">ITU-a mehanizma </w:t>
      </w:r>
      <w:r w:rsidRPr="00263084">
        <w:rPr>
          <w:color w:val="000000" w:themeColor="text1"/>
          <w:sz w:val="24"/>
          <w:szCs w:val="24"/>
        </w:rPr>
        <w:t xml:space="preserve">i </w:t>
      </w:r>
      <w:r>
        <w:rPr>
          <w:color w:val="000000" w:themeColor="text1"/>
          <w:sz w:val="24"/>
          <w:szCs w:val="24"/>
        </w:rPr>
        <w:t xml:space="preserve">proces </w:t>
      </w:r>
      <w:r w:rsidRPr="00263084">
        <w:rPr>
          <w:color w:val="000000" w:themeColor="text1"/>
          <w:sz w:val="24"/>
          <w:szCs w:val="24"/>
        </w:rPr>
        <w:t>industrijske tranzicije. Unatoč tome, pojedine slavonske i istočne županije i dalje se suočavaju s negativnim demografskim i migracijskim trendovima, što upućuje na potrebu nastavka ciljan</w:t>
      </w:r>
      <w:r>
        <w:rPr>
          <w:color w:val="000000" w:themeColor="text1"/>
          <w:sz w:val="24"/>
          <w:szCs w:val="24"/>
        </w:rPr>
        <w:t xml:space="preserve">ih </w:t>
      </w:r>
      <w:r w:rsidRPr="00263084">
        <w:rPr>
          <w:color w:val="000000" w:themeColor="text1"/>
          <w:sz w:val="24"/>
          <w:szCs w:val="24"/>
        </w:rPr>
        <w:t>mjera.</w:t>
      </w:r>
    </w:p>
    <w:p w14:paraId="44C9B1D0" w14:textId="77777777" w:rsidR="00FB178A" w:rsidRDefault="00FB178A" w:rsidP="00FB178A">
      <w:pPr>
        <w:spacing w:after="240" w:line="276" w:lineRule="auto"/>
        <w:jc w:val="both"/>
        <w:rPr>
          <w:color w:val="000000" w:themeColor="text1"/>
          <w:sz w:val="24"/>
          <w:szCs w:val="24"/>
        </w:rPr>
      </w:pPr>
      <w:r>
        <w:rPr>
          <w:color w:val="000000" w:themeColor="text1"/>
          <w:sz w:val="24"/>
          <w:szCs w:val="24"/>
        </w:rPr>
        <w:t>Zaključno</w:t>
      </w:r>
      <w:r w:rsidRPr="00263084">
        <w:rPr>
          <w:color w:val="000000" w:themeColor="text1"/>
          <w:sz w:val="24"/>
          <w:szCs w:val="24"/>
        </w:rPr>
        <w:t>, u provedbi horizontalnih prioriteta</w:t>
      </w:r>
      <w:r>
        <w:rPr>
          <w:color w:val="000000" w:themeColor="text1"/>
          <w:sz w:val="24"/>
          <w:szCs w:val="24"/>
        </w:rPr>
        <w:t xml:space="preserve"> (</w:t>
      </w:r>
      <w:r w:rsidRPr="00263084">
        <w:rPr>
          <w:color w:val="000000" w:themeColor="text1"/>
          <w:sz w:val="24"/>
          <w:szCs w:val="24"/>
        </w:rPr>
        <w:t xml:space="preserve">ljudska prava, ravnopravnost spolova, prava nacionalnih manjina, uključivanje Roma, zaštita ranjivih skupina, borba protiv </w:t>
      </w:r>
      <w:r>
        <w:rPr>
          <w:color w:val="000000" w:themeColor="text1"/>
          <w:sz w:val="24"/>
          <w:szCs w:val="24"/>
        </w:rPr>
        <w:t>nasilja)</w:t>
      </w:r>
      <w:r w:rsidRPr="00263084">
        <w:rPr>
          <w:color w:val="000000" w:themeColor="text1"/>
          <w:sz w:val="24"/>
          <w:szCs w:val="24"/>
        </w:rPr>
        <w:t xml:space="preserve"> ostvaren je vidljiv napredak u normativnom, institucionalnom i financijskom smislu. Ojačan je strateški i akcijski okvir (</w:t>
      </w:r>
      <w:r>
        <w:rPr>
          <w:color w:val="000000" w:themeColor="text1"/>
          <w:sz w:val="24"/>
          <w:szCs w:val="24"/>
        </w:rPr>
        <w:t xml:space="preserve">usvojeni su </w:t>
      </w:r>
      <w:r w:rsidRPr="00263084">
        <w:rPr>
          <w:color w:val="000000" w:themeColor="text1"/>
          <w:sz w:val="24"/>
          <w:szCs w:val="24"/>
        </w:rPr>
        <w:t xml:space="preserve">nacionalni planovi i operativni programi), povećana su izdvajanja </w:t>
      </w:r>
      <w:r>
        <w:rPr>
          <w:color w:val="000000" w:themeColor="text1"/>
          <w:sz w:val="24"/>
          <w:szCs w:val="24"/>
        </w:rPr>
        <w:t xml:space="preserve">za sve horizontalne prioritete </w:t>
      </w:r>
      <w:r w:rsidRPr="00263084">
        <w:rPr>
          <w:color w:val="000000" w:themeColor="text1"/>
          <w:sz w:val="24"/>
          <w:szCs w:val="24"/>
        </w:rPr>
        <w:t xml:space="preserve">i opseg aktivnosti, a ostvareni </w:t>
      </w:r>
      <w:r>
        <w:rPr>
          <w:color w:val="000000" w:themeColor="text1"/>
          <w:sz w:val="24"/>
          <w:szCs w:val="24"/>
        </w:rPr>
        <w:t xml:space="preserve">su pozitivni </w:t>
      </w:r>
      <w:r w:rsidRPr="00263084">
        <w:rPr>
          <w:color w:val="000000" w:themeColor="text1"/>
          <w:sz w:val="24"/>
          <w:szCs w:val="24"/>
        </w:rPr>
        <w:t xml:space="preserve">rezultati </w:t>
      </w:r>
      <w:r>
        <w:rPr>
          <w:color w:val="000000" w:themeColor="text1"/>
          <w:sz w:val="24"/>
          <w:szCs w:val="24"/>
        </w:rPr>
        <w:t xml:space="preserve">vidljivi </w:t>
      </w:r>
      <w:r w:rsidRPr="00263084">
        <w:rPr>
          <w:color w:val="000000" w:themeColor="text1"/>
          <w:sz w:val="24"/>
          <w:szCs w:val="24"/>
        </w:rPr>
        <w:t xml:space="preserve">u nizu pokazatelja (npr. udio provedenih preporuka pravobraniteljice, </w:t>
      </w:r>
      <w:r>
        <w:rPr>
          <w:color w:val="000000" w:themeColor="text1"/>
          <w:sz w:val="24"/>
          <w:szCs w:val="24"/>
        </w:rPr>
        <w:t xml:space="preserve">provedba </w:t>
      </w:r>
      <w:r w:rsidRPr="00263084">
        <w:rPr>
          <w:color w:val="000000" w:themeColor="text1"/>
          <w:sz w:val="24"/>
          <w:szCs w:val="24"/>
        </w:rPr>
        <w:t>mjera u korist nacionalnih manjina, ulaganja u položaj Roma, napredak u ravnopravnosti spolova na tržištu rada i u politici, smanjenje predmeta pred E</w:t>
      </w:r>
      <w:r>
        <w:rPr>
          <w:color w:val="000000" w:themeColor="text1"/>
          <w:sz w:val="24"/>
          <w:szCs w:val="24"/>
        </w:rPr>
        <w:t>uropskim sudom za ljudska prava</w:t>
      </w:r>
      <w:r w:rsidRPr="00263084">
        <w:rPr>
          <w:color w:val="000000" w:themeColor="text1"/>
          <w:sz w:val="24"/>
          <w:szCs w:val="24"/>
        </w:rPr>
        <w:t>, rast broja bezuvjetnih revizorskih mišljenja</w:t>
      </w:r>
      <w:r>
        <w:rPr>
          <w:color w:val="000000" w:themeColor="text1"/>
          <w:sz w:val="24"/>
          <w:szCs w:val="24"/>
        </w:rPr>
        <w:t xml:space="preserve"> i dr.</w:t>
      </w:r>
      <w:r w:rsidRPr="00263084">
        <w:rPr>
          <w:color w:val="000000" w:themeColor="text1"/>
          <w:sz w:val="24"/>
          <w:szCs w:val="24"/>
        </w:rPr>
        <w:t xml:space="preserve">) </w:t>
      </w:r>
      <w:r>
        <w:rPr>
          <w:color w:val="000000" w:themeColor="text1"/>
          <w:sz w:val="24"/>
          <w:szCs w:val="24"/>
        </w:rPr>
        <w:t xml:space="preserve">što </w:t>
      </w:r>
      <w:r w:rsidRPr="00263084">
        <w:rPr>
          <w:color w:val="000000" w:themeColor="text1"/>
          <w:sz w:val="24"/>
          <w:szCs w:val="24"/>
        </w:rPr>
        <w:t xml:space="preserve">ukazuju na kvalitativan pomak </w:t>
      </w:r>
      <w:r>
        <w:rPr>
          <w:color w:val="000000" w:themeColor="text1"/>
          <w:sz w:val="24"/>
          <w:szCs w:val="24"/>
        </w:rPr>
        <w:t>Hrvatske</w:t>
      </w:r>
      <w:r w:rsidRPr="00263084">
        <w:rPr>
          <w:color w:val="000000" w:themeColor="text1"/>
          <w:sz w:val="24"/>
          <w:szCs w:val="24"/>
        </w:rPr>
        <w:t xml:space="preserve"> prema </w:t>
      </w:r>
      <w:proofErr w:type="spellStart"/>
      <w:r w:rsidRPr="00263084">
        <w:rPr>
          <w:color w:val="000000" w:themeColor="text1"/>
          <w:sz w:val="24"/>
          <w:szCs w:val="24"/>
        </w:rPr>
        <w:t>inkluzivnijem</w:t>
      </w:r>
      <w:proofErr w:type="spellEnd"/>
      <w:r w:rsidRPr="00263084">
        <w:rPr>
          <w:color w:val="000000" w:themeColor="text1"/>
          <w:sz w:val="24"/>
          <w:szCs w:val="24"/>
        </w:rPr>
        <w:t xml:space="preserve">, pravednijem i </w:t>
      </w:r>
      <w:proofErr w:type="spellStart"/>
      <w:r w:rsidRPr="00263084">
        <w:rPr>
          <w:color w:val="000000" w:themeColor="text1"/>
          <w:sz w:val="24"/>
          <w:szCs w:val="24"/>
        </w:rPr>
        <w:t>transparentnijem</w:t>
      </w:r>
      <w:proofErr w:type="spellEnd"/>
      <w:r w:rsidRPr="00263084">
        <w:rPr>
          <w:color w:val="000000" w:themeColor="text1"/>
          <w:sz w:val="24"/>
          <w:szCs w:val="24"/>
        </w:rPr>
        <w:t xml:space="preserve"> društvu. Istodobno, postojan rizik od siromaštva, rast dječjeg siromaštva, nepovoljni demografski trendovi i dalje visoka opterećenost dijela stanovništva kroničnim bolestima</w:t>
      </w:r>
      <w:r>
        <w:rPr>
          <w:color w:val="000000" w:themeColor="text1"/>
          <w:sz w:val="24"/>
          <w:szCs w:val="24"/>
        </w:rPr>
        <w:t>,</w:t>
      </w:r>
      <w:r w:rsidRPr="00263084">
        <w:rPr>
          <w:color w:val="000000" w:themeColor="text1"/>
          <w:sz w:val="24"/>
          <w:szCs w:val="24"/>
        </w:rPr>
        <w:t xml:space="preserve"> potvrđuju da su daljnja ulaganja u socijalnu koheziju, zdravlje, demografsku revitalizaciju i jačanje ljudskog kapitala nužan uvjet za cjelovito ostvarenje vizije Nacionalne razvojne strategije </w:t>
      </w:r>
      <w:r>
        <w:rPr>
          <w:color w:val="000000" w:themeColor="text1"/>
          <w:sz w:val="24"/>
          <w:szCs w:val="24"/>
        </w:rPr>
        <w:t xml:space="preserve">Republike Hrvatske </w:t>
      </w:r>
      <w:r w:rsidRPr="00263084">
        <w:rPr>
          <w:color w:val="000000" w:themeColor="text1"/>
          <w:sz w:val="24"/>
          <w:szCs w:val="24"/>
        </w:rPr>
        <w:t>do 2030. godine</w:t>
      </w:r>
      <w:bookmarkEnd w:id="117"/>
      <w:r w:rsidRPr="00263084">
        <w:rPr>
          <w:color w:val="000000" w:themeColor="text1"/>
          <w:sz w:val="24"/>
          <w:szCs w:val="24"/>
        </w:rPr>
        <w:t>.</w:t>
      </w:r>
      <w:r>
        <w:rPr>
          <w:color w:val="000000" w:themeColor="text1"/>
          <w:sz w:val="24"/>
          <w:szCs w:val="24"/>
        </w:rPr>
        <w:br w:type="page"/>
      </w:r>
    </w:p>
    <w:p w14:paraId="08B75D45" w14:textId="77777777" w:rsidR="00FB178A" w:rsidRPr="004C7396" w:rsidRDefault="00FB178A" w:rsidP="00FB178A">
      <w:pPr>
        <w:pStyle w:val="Heading2"/>
        <w:spacing w:after="240"/>
        <w:ind w:left="0" w:firstLine="0"/>
        <w:jc w:val="both"/>
        <w:rPr>
          <w:sz w:val="24"/>
          <w:szCs w:val="24"/>
        </w:rPr>
      </w:pPr>
      <w:bookmarkStart w:id="118" w:name="_Toc223002964"/>
      <w:r w:rsidRPr="004C7396">
        <w:rPr>
          <w:sz w:val="24"/>
          <w:szCs w:val="24"/>
        </w:rPr>
        <w:lastRenderedPageBreak/>
        <w:t>Prilog 1. Zakonodavni okvir Izvješća i primjena načela transparentnosti</w:t>
      </w:r>
      <w:bookmarkEnd w:id="116"/>
      <w:bookmarkEnd w:id="118"/>
    </w:p>
    <w:p w14:paraId="7D81D856" w14:textId="77777777" w:rsidR="00FB178A" w:rsidRPr="00145379" w:rsidRDefault="00FB178A" w:rsidP="00FB178A">
      <w:pPr>
        <w:spacing w:before="164" w:after="240" w:line="276" w:lineRule="auto"/>
        <w:jc w:val="both"/>
        <w:rPr>
          <w:sz w:val="24"/>
          <w:szCs w:val="24"/>
        </w:rPr>
      </w:pPr>
      <w:r w:rsidRPr="00145379">
        <w:rPr>
          <w:sz w:val="24"/>
          <w:szCs w:val="24"/>
        </w:rPr>
        <w:t xml:space="preserve">Obveza izrade i podnošenja godišnjeg izvješća </w:t>
      </w:r>
      <w:r w:rsidRPr="00145379">
        <w:rPr>
          <w:color w:val="000000" w:themeColor="text1"/>
          <w:sz w:val="24"/>
          <w:szCs w:val="24"/>
        </w:rPr>
        <w:t xml:space="preserve">o napretku u provedbi NRS-a 2030. propisana je odredbama zakonodavnog okvira kojeg čine Zakon o sustavu strateškog planiranja i upravljanja razvojem Republike Hrvatske </w:t>
      </w:r>
      <w:r w:rsidRPr="00145379">
        <w:rPr>
          <w:sz w:val="24"/>
          <w:szCs w:val="24"/>
        </w:rPr>
        <w:t>(</w:t>
      </w:r>
      <w:hyperlink r:id="rId12">
        <w:r w:rsidRPr="004C7396">
          <w:rPr>
            <w:rStyle w:val="Hyperlink"/>
            <w:sz w:val="24"/>
            <w:szCs w:val="24"/>
          </w:rPr>
          <w:t>„</w:t>
        </w:r>
        <w:r>
          <w:rPr>
            <w:rStyle w:val="Hyperlink"/>
            <w:sz w:val="24"/>
            <w:szCs w:val="24"/>
          </w:rPr>
          <w:t>N</w:t>
        </w:r>
        <w:r w:rsidRPr="004C7396">
          <w:rPr>
            <w:rStyle w:val="Hyperlink"/>
            <w:sz w:val="24"/>
            <w:szCs w:val="24"/>
          </w:rPr>
          <w:t>arodne novine“, br. 123/17</w:t>
        </w:r>
      </w:hyperlink>
      <w:r>
        <w:rPr>
          <w:rStyle w:val="Hyperlink"/>
          <w:sz w:val="24"/>
          <w:szCs w:val="24"/>
        </w:rPr>
        <w:t>.</w:t>
      </w:r>
      <w:r>
        <w:rPr>
          <w:sz w:val="24"/>
          <w:szCs w:val="24"/>
          <w:u w:val="single"/>
        </w:rPr>
        <w:t xml:space="preserve"> i</w:t>
      </w:r>
      <w:r w:rsidRPr="00145379">
        <w:rPr>
          <w:sz w:val="24"/>
          <w:szCs w:val="24"/>
        </w:rPr>
        <w:t xml:space="preserve"> </w:t>
      </w:r>
      <w:hyperlink r:id="rId13">
        <w:r w:rsidRPr="00145379">
          <w:rPr>
            <w:rStyle w:val="Hyperlink"/>
            <w:sz w:val="24"/>
            <w:szCs w:val="24"/>
          </w:rPr>
          <w:t>151/22</w:t>
        </w:r>
      </w:hyperlink>
      <w:r>
        <w:rPr>
          <w:rStyle w:val="Hyperlink"/>
          <w:sz w:val="24"/>
          <w:szCs w:val="24"/>
        </w:rPr>
        <w:t>.</w:t>
      </w:r>
      <w:r w:rsidRPr="00145379">
        <w:rPr>
          <w:sz w:val="24"/>
          <w:szCs w:val="24"/>
        </w:rPr>
        <w:t xml:space="preserve">) </w:t>
      </w:r>
      <w:r w:rsidRPr="00145379">
        <w:rPr>
          <w:color w:val="000000" w:themeColor="text1"/>
          <w:sz w:val="24"/>
          <w:szCs w:val="24"/>
        </w:rPr>
        <w:t xml:space="preserve">i Pravilnik o rokovima i postupcima praćenja i izvještavanja o provedbi akata strateškog planiranja od nacionalnog značaja i od značaja za jedinice lokalne i područne (regionalne) samouprave </w:t>
      </w:r>
      <w:r w:rsidRPr="00145379">
        <w:rPr>
          <w:sz w:val="24"/>
          <w:szCs w:val="24"/>
        </w:rPr>
        <w:t>(</w:t>
      </w:r>
      <w:hyperlink r:id="rId14">
        <w:r w:rsidRPr="004C7396">
          <w:rPr>
            <w:rStyle w:val="Hyperlink"/>
            <w:sz w:val="24"/>
            <w:szCs w:val="24"/>
          </w:rPr>
          <w:t>„</w:t>
        </w:r>
        <w:r>
          <w:rPr>
            <w:rStyle w:val="Hyperlink"/>
            <w:sz w:val="24"/>
            <w:szCs w:val="24"/>
          </w:rPr>
          <w:t xml:space="preserve">Narodne novine“, broj </w:t>
        </w:r>
        <w:r w:rsidRPr="00145379">
          <w:rPr>
            <w:rStyle w:val="Hyperlink"/>
            <w:sz w:val="24"/>
            <w:szCs w:val="24"/>
          </w:rPr>
          <w:t>44/23</w:t>
        </w:r>
      </w:hyperlink>
      <w:r>
        <w:rPr>
          <w:rStyle w:val="Hyperlink"/>
          <w:sz w:val="24"/>
          <w:szCs w:val="24"/>
        </w:rPr>
        <w:t>.</w:t>
      </w:r>
      <w:r w:rsidRPr="00145379">
        <w:rPr>
          <w:sz w:val="24"/>
          <w:szCs w:val="24"/>
        </w:rPr>
        <w:t xml:space="preserve">) </w:t>
      </w:r>
      <w:r w:rsidRPr="00145379">
        <w:rPr>
          <w:color w:val="000000" w:themeColor="text1"/>
          <w:sz w:val="24"/>
          <w:szCs w:val="24"/>
        </w:rPr>
        <w:t>(u daljnjem tekstu: zakonodavni okvir).</w:t>
      </w:r>
    </w:p>
    <w:p w14:paraId="795544E3" w14:textId="77777777" w:rsidR="00FB178A" w:rsidRPr="00145379" w:rsidRDefault="00FB178A" w:rsidP="00FB178A">
      <w:pPr>
        <w:spacing w:before="164" w:line="276" w:lineRule="auto"/>
        <w:jc w:val="both"/>
        <w:rPr>
          <w:sz w:val="24"/>
          <w:szCs w:val="24"/>
        </w:rPr>
      </w:pPr>
      <w:r w:rsidRPr="00145379">
        <w:rPr>
          <w:color w:val="000000" w:themeColor="text1"/>
          <w:sz w:val="24"/>
          <w:szCs w:val="24"/>
        </w:rPr>
        <w:t>U skladu s odredbama zakonodavnog okvira:</w:t>
      </w:r>
    </w:p>
    <w:p w14:paraId="5740BD29" w14:textId="77777777" w:rsidR="00FB178A" w:rsidRPr="00145379" w:rsidRDefault="00FB178A" w:rsidP="00FB178A">
      <w:pPr>
        <w:pStyle w:val="ListParagraph"/>
        <w:numPr>
          <w:ilvl w:val="0"/>
          <w:numId w:val="1"/>
        </w:numPr>
        <w:spacing w:before="240" w:line="276" w:lineRule="auto"/>
        <w:jc w:val="both"/>
        <w:rPr>
          <w:color w:val="000000" w:themeColor="text1"/>
          <w:sz w:val="24"/>
          <w:szCs w:val="24"/>
        </w:rPr>
      </w:pPr>
      <w:r w:rsidRPr="00145379">
        <w:rPr>
          <w:sz w:val="24"/>
          <w:szCs w:val="24"/>
        </w:rPr>
        <w:t xml:space="preserve">Godišnje izvješće </w:t>
      </w:r>
      <w:r w:rsidRPr="00145379">
        <w:rPr>
          <w:color w:val="000000" w:themeColor="text1"/>
          <w:sz w:val="24"/>
          <w:szCs w:val="24"/>
        </w:rPr>
        <w:t xml:space="preserve">o napretku u provedbi NRS-a 2030. sadrži </w:t>
      </w:r>
      <w:r w:rsidRPr="00145379">
        <w:rPr>
          <w:color w:val="231F20"/>
          <w:sz w:val="24"/>
          <w:szCs w:val="24"/>
        </w:rPr>
        <w:t>opis napretka u provedbi svakog pojedinog strateškog cilja, podatke o ostvarenoj vrijednosti pokazatelja učinka te zaključ</w:t>
      </w:r>
      <w:r>
        <w:rPr>
          <w:color w:val="231F20"/>
          <w:sz w:val="24"/>
          <w:szCs w:val="24"/>
        </w:rPr>
        <w:t>a</w:t>
      </w:r>
      <w:r w:rsidRPr="00145379">
        <w:rPr>
          <w:color w:val="231F20"/>
          <w:sz w:val="24"/>
          <w:szCs w:val="24"/>
        </w:rPr>
        <w:t>k o provedbi tijekom izvještajnog razdoblja</w:t>
      </w:r>
    </w:p>
    <w:p w14:paraId="69A5C21B" w14:textId="77777777" w:rsidR="00FB178A" w:rsidRPr="00145379" w:rsidRDefault="00FB178A" w:rsidP="00FB178A">
      <w:pPr>
        <w:pStyle w:val="ListParagraph"/>
        <w:numPr>
          <w:ilvl w:val="0"/>
          <w:numId w:val="1"/>
        </w:numPr>
        <w:spacing w:line="276" w:lineRule="auto"/>
        <w:jc w:val="both"/>
        <w:rPr>
          <w:color w:val="000000" w:themeColor="text1"/>
          <w:sz w:val="24"/>
          <w:szCs w:val="24"/>
        </w:rPr>
      </w:pPr>
      <w:r w:rsidRPr="00145379">
        <w:rPr>
          <w:color w:val="000000" w:themeColor="text1"/>
          <w:sz w:val="24"/>
          <w:szCs w:val="24"/>
        </w:rPr>
        <w:t xml:space="preserve">Koordinacijsko tijelo za sustav strateškog planiranja i upravljanja razvojem Republike Hrvatske </w:t>
      </w:r>
      <w:r>
        <w:rPr>
          <w:color w:val="000000" w:themeColor="text1"/>
          <w:sz w:val="24"/>
          <w:szCs w:val="24"/>
        </w:rPr>
        <w:t xml:space="preserve">priprema </w:t>
      </w:r>
      <w:r w:rsidRPr="00145379">
        <w:rPr>
          <w:color w:val="000000" w:themeColor="text1"/>
          <w:sz w:val="24"/>
          <w:szCs w:val="24"/>
        </w:rPr>
        <w:t>G</w:t>
      </w:r>
      <w:r w:rsidRPr="00145379">
        <w:rPr>
          <w:sz w:val="24"/>
          <w:szCs w:val="24"/>
        </w:rPr>
        <w:t xml:space="preserve">odišnje izvješće </w:t>
      </w:r>
      <w:r w:rsidRPr="00145379">
        <w:rPr>
          <w:color w:val="000000" w:themeColor="text1"/>
          <w:sz w:val="24"/>
          <w:szCs w:val="24"/>
        </w:rPr>
        <w:t xml:space="preserve">o napretku u provedbi NRS-a 2030. na temelju podataka o provedbi u prethodnoj godini koje mu dostavljaju koordinatori za strateško planiranje tijela državne uprave te prema potrebi, lokalne i područne (regionalne) samouprave (lokalni </w:t>
      </w:r>
      <w:r>
        <w:rPr>
          <w:color w:val="000000" w:themeColor="text1"/>
          <w:sz w:val="24"/>
          <w:szCs w:val="24"/>
        </w:rPr>
        <w:t xml:space="preserve">i regionalni </w:t>
      </w:r>
      <w:r w:rsidRPr="00145379">
        <w:rPr>
          <w:color w:val="000000" w:themeColor="text1"/>
          <w:sz w:val="24"/>
          <w:szCs w:val="24"/>
        </w:rPr>
        <w:t>koordinatori)</w:t>
      </w:r>
    </w:p>
    <w:p w14:paraId="17147B73" w14:textId="77777777" w:rsidR="00FB178A" w:rsidRPr="00145379" w:rsidRDefault="00FB178A" w:rsidP="00FB178A">
      <w:pPr>
        <w:pStyle w:val="ListParagraph"/>
        <w:numPr>
          <w:ilvl w:val="0"/>
          <w:numId w:val="1"/>
        </w:numPr>
        <w:spacing w:before="240" w:line="276" w:lineRule="auto"/>
        <w:contextualSpacing/>
        <w:jc w:val="both"/>
        <w:rPr>
          <w:color w:val="000000" w:themeColor="text1"/>
          <w:sz w:val="24"/>
          <w:szCs w:val="24"/>
        </w:rPr>
      </w:pPr>
      <w:r w:rsidRPr="00145379">
        <w:rPr>
          <w:color w:val="000000" w:themeColor="text1"/>
          <w:sz w:val="24"/>
          <w:szCs w:val="24"/>
        </w:rPr>
        <w:t>Koordinacijsko tijelo za sustav strateškog planiranja i upravljanja razvojem Republike Hrvatske o napretku u provedbi strateških ciljeva i ostvarivanju pokazatelja uspješnosti iz NRS-a 2030</w:t>
      </w:r>
      <w:r>
        <w:rPr>
          <w:color w:val="000000" w:themeColor="text1"/>
          <w:sz w:val="24"/>
          <w:szCs w:val="24"/>
        </w:rPr>
        <w:t>.</w:t>
      </w:r>
      <w:r w:rsidRPr="00145379">
        <w:rPr>
          <w:color w:val="000000" w:themeColor="text1"/>
          <w:sz w:val="24"/>
          <w:szCs w:val="24"/>
        </w:rPr>
        <w:t xml:space="preserve"> Vladu</w:t>
      </w:r>
      <w:r>
        <w:rPr>
          <w:color w:val="000000" w:themeColor="text1"/>
          <w:sz w:val="24"/>
          <w:szCs w:val="24"/>
        </w:rPr>
        <w:t xml:space="preserve"> Republike Hrvatske </w:t>
      </w:r>
      <w:r w:rsidRPr="00145379">
        <w:rPr>
          <w:color w:val="000000" w:themeColor="text1"/>
          <w:sz w:val="24"/>
          <w:szCs w:val="24"/>
        </w:rPr>
        <w:t>izvješćuje jednom godišnje</w:t>
      </w:r>
    </w:p>
    <w:p w14:paraId="07D0A500" w14:textId="77777777" w:rsidR="00FB178A" w:rsidRPr="00145379" w:rsidRDefault="00FB178A" w:rsidP="00FB178A">
      <w:pPr>
        <w:pStyle w:val="ListParagraph"/>
        <w:numPr>
          <w:ilvl w:val="0"/>
          <w:numId w:val="1"/>
        </w:numPr>
        <w:spacing w:before="240" w:line="276" w:lineRule="auto"/>
        <w:contextualSpacing/>
        <w:jc w:val="both"/>
        <w:rPr>
          <w:color w:val="000000" w:themeColor="text1"/>
          <w:sz w:val="24"/>
          <w:szCs w:val="24"/>
        </w:rPr>
      </w:pPr>
      <w:r w:rsidRPr="00145379">
        <w:rPr>
          <w:color w:val="000000" w:themeColor="text1"/>
          <w:sz w:val="24"/>
          <w:szCs w:val="24"/>
        </w:rPr>
        <w:t>Vlada</w:t>
      </w:r>
      <w:r>
        <w:rPr>
          <w:color w:val="000000" w:themeColor="text1"/>
          <w:sz w:val="24"/>
          <w:szCs w:val="24"/>
        </w:rPr>
        <w:t xml:space="preserve"> Republike Hrvatske</w:t>
      </w:r>
      <w:r w:rsidRPr="00145379">
        <w:rPr>
          <w:color w:val="000000" w:themeColor="text1"/>
          <w:sz w:val="24"/>
          <w:szCs w:val="24"/>
        </w:rPr>
        <w:t xml:space="preserve"> o napretku u provedbi strateških ciljeva i ostvarivanju pokazatelja uspješnosti iz NRS-a 2030. izvješćuje Hrvatski sabor jednom godišnje</w:t>
      </w:r>
      <w:r>
        <w:rPr>
          <w:color w:val="000000" w:themeColor="text1"/>
          <w:sz w:val="24"/>
          <w:szCs w:val="24"/>
        </w:rPr>
        <w:t>.</w:t>
      </w:r>
    </w:p>
    <w:p w14:paraId="6A56A9A5" w14:textId="77777777" w:rsidR="00FB178A" w:rsidRPr="00145379" w:rsidRDefault="00FB178A" w:rsidP="00FB178A">
      <w:pPr>
        <w:spacing w:before="240" w:line="276" w:lineRule="auto"/>
        <w:jc w:val="both"/>
        <w:rPr>
          <w:color w:val="000000" w:themeColor="text1"/>
          <w:sz w:val="24"/>
          <w:szCs w:val="24"/>
        </w:rPr>
      </w:pPr>
      <w:r w:rsidRPr="00145379">
        <w:rPr>
          <w:color w:val="000000" w:themeColor="text1"/>
          <w:sz w:val="24"/>
          <w:szCs w:val="24"/>
        </w:rPr>
        <w:t xml:space="preserve">S ciljem primjene načela transparentnosti sustava strateškog planiranja i upravljanja razvojem, </w:t>
      </w:r>
      <w:r w:rsidRPr="00145379">
        <w:rPr>
          <w:sz w:val="24"/>
          <w:szCs w:val="24"/>
        </w:rPr>
        <w:t xml:space="preserve">izvješća </w:t>
      </w:r>
      <w:r w:rsidRPr="00145379">
        <w:rPr>
          <w:color w:val="000000" w:themeColor="text1"/>
          <w:sz w:val="24"/>
          <w:szCs w:val="24"/>
        </w:rPr>
        <w:t xml:space="preserve">o napretku u provedbi Nacionalne razvojne strategije objavljuju se na mrežnoj stranici </w:t>
      </w:r>
      <w:hyperlink r:id="rId15">
        <w:r w:rsidRPr="00145379">
          <w:rPr>
            <w:rStyle w:val="Hyperlink"/>
            <w:sz w:val="24"/>
            <w:szCs w:val="24"/>
          </w:rPr>
          <w:t>www.hrvatska2030.hr</w:t>
        </w:r>
      </w:hyperlink>
      <w:r w:rsidRPr="00145379">
        <w:rPr>
          <w:color w:val="000000" w:themeColor="text1"/>
          <w:sz w:val="24"/>
          <w:szCs w:val="24"/>
          <w:u w:val="single"/>
        </w:rPr>
        <w:t>,</w:t>
      </w:r>
      <w:r w:rsidRPr="00145379">
        <w:rPr>
          <w:color w:val="000000" w:themeColor="text1"/>
          <w:sz w:val="24"/>
          <w:szCs w:val="24"/>
        </w:rPr>
        <w:t xml:space="preserve"> putem koje Koordinacijsko tijelo za sustav strateškog planiranja i upravljanja razvojem Republike Hrvatske osigurava stalnu javnu dostupnost podataka vezanih za praćenje provedbe, izvješćivanje i vrednovanje provedbe NRS-a 2030.</w:t>
      </w:r>
    </w:p>
    <w:p w14:paraId="19B70512" w14:textId="77777777" w:rsidR="00FB178A" w:rsidRPr="00145379" w:rsidRDefault="00FB178A" w:rsidP="00FB178A">
      <w:pPr>
        <w:spacing w:before="240" w:line="276" w:lineRule="auto"/>
        <w:rPr>
          <w:color w:val="000000" w:themeColor="text1"/>
          <w:sz w:val="24"/>
          <w:szCs w:val="24"/>
        </w:rPr>
      </w:pPr>
    </w:p>
    <w:p w14:paraId="1D4A4D1F" w14:textId="77777777" w:rsidR="00FB178A" w:rsidRPr="00145379" w:rsidRDefault="00FB178A" w:rsidP="00FB178A">
      <w:pPr>
        <w:pStyle w:val="Heading2"/>
        <w:spacing w:after="240" w:line="276" w:lineRule="auto"/>
        <w:ind w:left="426"/>
        <w:rPr>
          <w:rFonts w:eastAsia="Calibri"/>
          <w:color w:val="000000" w:themeColor="text1"/>
          <w:sz w:val="24"/>
          <w:szCs w:val="24"/>
        </w:rPr>
        <w:sectPr w:rsidR="00FB178A" w:rsidRPr="00145379" w:rsidSect="00E01901">
          <w:footerReference w:type="default" r:id="rId16"/>
          <w:footerReference w:type="first" r:id="rId17"/>
          <w:pgSz w:w="11910" w:h="16840"/>
          <w:pgMar w:top="1418" w:right="1134" w:bottom="1418" w:left="1418" w:header="0" w:footer="760" w:gutter="0"/>
          <w:pgNumType w:start="0"/>
          <w:cols w:space="720"/>
          <w:titlePg/>
          <w:docGrid w:linePitch="299"/>
        </w:sectPr>
      </w:pPr>
    </w:p>
    <w:p w14:paraId="467D5FF9" w14:textId="77777777" w:rsidR="00FB178A" w:rsidRPr="000648AB" w:rsidRDefault="00FB178A" w:rsidP="00FB178A">
      <w:pPr>
        <w:pStyle w:val="Heading2"/>
        <w:ind w:left="0" w:firstLine="0"/>
        <w:jc w:val="both"/>
        <w:rPr>
          <w:sz w:val="24"/>
          <w:szCs w:val="24"/>
        </w:rPr>
      </w:pPr>
      <w:bookmarkStart w:id="119" w:name="_Toc223002965"/>
      <w:r w:rsidRPr="000648AB">
        <w:rPr>
          <w:sz w:val="24"/>
          <w:szCs w:val="24"/>
        </w:rPr>
        <w:lastRenderedPageBreak/>
        <w:t>Prilog 2. Pregled ostvarenih vrijednosti pokazatelja uspješnosti NRS-a 2030. tijekom 2024. godine</w:t>
      </w:r>
      <w:bookmarkEnd w:id="119"/>
    </w:p>
    <w:p w14:paraId="52D7B8C2" w14:textId="77777777" w:rsidR="00FB178A" w:rsidRPr="00145379" w:rsidRDefault="00FB178A" w:rsidP="00FB178A">
      <w:pPr>
        <w:spacing w:before="240" w:after="240" w:line="276" w:lineRule="auto"/>
        <w:jc w:val="both"/>
        <w:rPr>
          <w:sz w:val="24"/>
          <w:szCs w:val="24"/>
        </w:rPr>
      </w:pPr>
      <w:r w:rsidRPr="00145379">
        <w:rPr>
          <w:sz w:val="24"/>
          <w:szCs w:val="24"/>
        </w:rPr>
        <w:t xml:space="preserve">U skladu s odredbama Zakona o sustavu strateškog planiranja i upravljanja razvojem Republike Hrvatske </w:t>
      </w:r>
      <w:r>
        <w:rPr>
          <w:sz w:val="24"/>
          <w:szCs w:val="24"/>
        </w:rPr>
        <w:t>i</w:t>
      </w:r>
      <w:r w:rsidRPr="00145379">
        <w:rPr>
          <w:sz w:val="24"/>
          <w:szCs w:val="24"/>
        </w:rPr>
        <w:t xml:space="preserve"> Pravilnika o rokovima i postupcima praćenja i izvješćivanja o provedbi akata strateškog planiranja od nacionalnog značaja i od značaja za jedinice lokalne i područne (regionalne) samouprave Hrvatske napredak u provedbi ciljeva NRS-a 2030. prati se pokazateljima učinka.</w:t>
      </w:r>
    </w:p>
    <w:p w14:paraId="38D7DA7F" w14:textId="77777777" w:rsidR="00FB178A" w:rsidRPr="003013CC" w:rsidRDefault="00FB178A" w:rsidP="00FB178A">
      <w:pPr>
        <w:widowControl/>
        <w:autoSpaceDE/>
        <w:autoSpaceDN/>
        <w:spacing w:before="120" w:after="120" w:line="276" w:lineRule="auto"/>
        <w:jc w:val="both"/>
        <w:rPr>
          <w:rFonts w:eastAsia="Calibri"/>
          <w:sz w:val="24"/>
          <w:szCs w:val="24"/>
          <w:lang w:val="hr"/>
        </w:rPr>
      </w:pPr>
      <w:r w:rsidRPr="003013CC">
        <w:rPr>
          <w:rFonts w:eastAsia="Calibri"/>
          <w:sz w:val="24"/>
          <w:szCs w:val="24"/>
          <w:lang w:val="hr"/>
        </w:rPr>
        <w:t>Koordinatori za strateško planiranje u 24 tijela državne uprave i 3 ureda Vlade Republike Hrvatske, u skladu sa svojim nadležnostima za provedbu, pripremili su i dostavili podatke o napretku u provedbi strateških ciljeva NRS-a te sukladno svojim nadležnostima provjerili podatke o vrijednostima za ukupno 26 pokazatelja uspješnosti</w:t>
      </w:r>
      <w:r>
        <w:rPr>
          <w:rFonts w:eastAsia="Calibri"/>
          <w:sz w:val="24"/>
          <w:szCs w:val="24"/>
          <w:lang w:val="hr"/>
        </w:rPr>
        <w:t>,</w:t>
      </w:r>
      <w:r w:rsidRPr="003013CC">
        <w:rPr>
          <w:rFonts w:eastAsia="Calibri"/>
          <w:sz w:val="24"/>
          <w:szCs w:val="24"/>
          <w:lang w:val="hr"/>
        </w:rPr>
        <w:t xml:space="preserve"> kojima se prati napredak i učinci provedbe strateških ciljeva NRS-a.</w:t>
      </w:r>
    </w:p>
    <w:p w14:paraId="4BE602D1" w14:textId="77777777" w:rsidR="00FB178A" w:rsidRPr="003013CC" w:rsidRDefault="00FB178A" w:rsidP="00FB178A">
      <w:pPr>
        <w:widowControl/>
        <w:autoSpaceDE/>
        <w:autoSpaceDN/>
        <w:spacing w:before="120" w:after="120" w:line="276" w:lineRule="auto"/>
        <w:jc w:val="both"/>
        <w:rPr>
          <w:rFonts w:eastAsia="Calibri"/>
          <w:sz w:val="24"/>
          <w:szCs w:val="24"/>
          <w:lang w:val="hr"/>
        </w:rPr>
      </w:pPr>
      <w:r w:rsidRPr="003013CC">
        <w:rPr>
          <w:rFonts w:eastAsia="Calibri"/>
          <w:sz w:val="24"/>
          <w:szCs w:val="24"/>
          <w:lang w:val="hr"/>
        </w:rPr>
        <w:t>U razdoblju izrade Izvješća, podatci o ostvarenim vrijednostima za 2024. godinu su bili dostupni za 2</w:t>
      </w:r>
      <w:r>
        <w:rPr>
          <w:rFonts w:eastAsia="Calibri"/>
          <w:sz w:val="24"/>
          <w:szCs w:val="24"/>
          <w:lang w:val="hr"/>
        </w:rPr>
        <w:t>1</w:t>
      </w:r>
      <w:r w:rsidRPr="003013CC">
        <w:rPr>
          <w:rFonts w:eastAsia="Calibri"/>
          <w:sz w:val="24"/>
          <w:szCs w:val="24"/>
          <w:lang w:val="hr"/>
        </w:rPr>
        <w:t xml:space="preserve"> pokazatelj uspješnosti NRS-a, za 1 pokazatelj posljednji dostupni podaci odnose se na 2023. godinu, dok za </w:t>
      </w:r>
      <w:r>
        <w:rPr>
          <w:rFonts w:eastAsia="Calibri"/>
          <w:sz w:val="24"/>
          <w:szCs w:val="24"/>
          <w:lang w:val="hr"/>
        </w:rPr>
        <w:t>4</w:t>
      </w:r>
      <w:r w:rsidRPr="003013CC">
        <w:rPr>
          <w:rFonts w:eastAsia="Calibri"/>
          <w:sz w:val="24"/>
          <w:szCs w:val="24"/>
          <w:lang w:val="hr"/>
        </w:rPr>
        <w:t xml:space="preserve"> pokazatelja </w:t>
      </w:r>
      <w:r>
        <w:rPr>
          <w:rFonts w:eastAsia="Calibri"/>
          <w:sz w:val="24"/>
          <w:szCs w:val="24"/>
          <w:lang w:val="hr"/>
        </w:rPr>
        <w:t>uspješnosti</w:t>
      </w:r>
      <w:r w:rsidRPr="003013CC">
        <w:rPr>
          <w:rFonts w:eastAsia="Calibri"/>
          <w:sz w:val="24"/>
          <w:szCs w:val="24"/>
          <w:lang w:val="hr"/>
        </w:rPr>
        <w:t xml:space="preserve"> nisu bili dostupni noviji podaci u odnosu na podatke iz Izvješća za 2023. godinu. </w:t>
      </w:r>
    </w:p>
    <w:p w14:paraId="5206ED1B" w14:textId="77777777" w:rsidR="00FB178A" w:rsidRDefault="00FB178A" w:rsidP="00FB178A">
      <w:pPr>
        <w:widowControl/>
        <w:autoSpaceDE/>
        <w:autoSpaceDN/>
        <w:spacing w:before="120" w:after="120" w:line="276" w:lineRule="auto"/>
        <w:jc w:val="both"/>
        <w:rPr>
          <w:rFonts w:eastAsia="Calibri"/>
          <w:sz w:val="24"/>
          <w:szCs w:val="24"/>
          <w:lang w:val="hr"/>
        </w:rPr>
      </w:pPr>
      <w:r w:rsidRPr="003013CC">
        <w:rPr>
          <w:rFonts w:eastAsia="Calibri"/>
          <w:sz w:val="24"/>
          <w:szCs w:val="24"/>
          <w:lang w:val="hr"/>
        </w:rPr>
        <w:t>U odnosu na prethodno Izvješće, od ukupnog broja pokazatelja uspješnosti NRS-a za koje su bili dostupni</w:t>
      </w:r>
      <w:r>
        <w:rPr>
          <w:rFonts w:eastAsia="Calibri"/>
          <w:sz w:val="24"/>
          <w:szCs w:val="24"/>
          <w:lang w:val="hr"/>
        </w:rPr>
        <w:t xml:space="preserve"> noviji</w:t>
      </w:r>
      <w:r w:rsidRPr="003013CC">
        <w:rPr>
          <w:rFonts w:eastAsia="Calibri"/>
          <w:sz w:val="24"/>
          <w:szCs w:val="24"/>
          <w:lang w:val="hr"/>
        </w:rPr>
        <w:t xml:space="preserve"> podaci</w:t>
      </w:r>
      <w:r>
        <w:rPr>
          <w:rFonts w:eastAsia="Calibri"/>
          <w:sz w:val="24"/>
          <w:szCs w:val="24"/>
          <w:lang w:val="hr"/>
        </w:rPr>
        <w:t xml:space="preserve"> (22)</w:t>
      </w:r>
      <w:r w:rsidRPr="003013CC">
        <w:rPr>
          <w:rFonts w:eastAsia="Calibri"/>
          <w:sz w:val="24"/>
          <w:szCs w:val="24"/>
          <w:lang w:val="hr"/>
        </w:rPr>
        <w:t>, u Izvješću za 2024. pozitivni trend ostvarene vrijednosti je zabilježen kod 14 pokazatelja, kod 2 pokazatelja nije bilo promjene ostvaren</w:t>
      </w:r>
      <w:r>
        <w:rPr>
          <w:rFonts w:eastAsia="Calibri"/>
          <w:sz w:val="24"/>
          <w:szCs w:val="24"/>
          <w:lang w:val="hr"/>
        </w:rPr>
        <w:t>e</w:t>
      </w:r>
      <w:r w:rsidRPr="003013CC">
        <w:rPr>
          <w:rFonts w:eastAsia="Calibri"/>
          <w:sz w:val="24"/>
          <w:szCs w:val="24"/>
          <w:lang w:val="hr"/>
        </w:rPr>
        <w:t xml:space="preserve"> vrijednosti, dok je negativan trend ostvarene vrijednosti zabilježen kod </w:t>
      </w:r>
      <w:r>
        <w:rPr>
          <w:rFonts w:eastAsia="Calibri"/>
          <w:sz w:val="24"/>
          <w:szCs w:val="24"/>
          <w:lang w:val="hr"/>
        </w:rPr>
        <w:t>6</w:t>
      </w:r>
      <w:r w:rsidRPr="003013CC">
        <w:rPr>
          <w:rFonts w:eastAsia="Calibri"/>
          <w:sz w:val="24"/>
          <w:szCs w:val="24"/>
          <w:lang w:val="hr"/>
        </w:rPr>
        <w:t xml:space="preserve"> pokazatelja uspješnosti NRS-a. </w:t>
      </w:r>
    </w:p>
    <w:p w14:paraId="6EC31533" w14:textId="77777777" w:rsidR="00FB178A" w:rsidRDefault="00FB178A" w:rsidP="00FB178A">
      <w:pPr>
        <w:spacing w:before="240" w:after="240" w:line="276" w:lineRule="auto"/>
        <w:jc w:val="both"/>
        <w:rPr>
          <w:sz w:val="24"/>
          <w:szCs w:val="24"/>
        </w:rPr>
      </w:pPr>
      <w:r w:rsidRPr="0093131B">
        <w:rPr>
          <w:rFonts w:eastAsia="Calibri"/>
          <w:sz w:val="24"/>
          <w:szCs w:val="24"/>
          <w:lang w:val="hr"/>
        </w:rPr>
        <w:t>U tabličnim prikazima u nastavku navedeni su podaci o ostvarenim vrijednostima pokazatelja učinka NRS-a za izvještajnu 2024. godinu, uz usporedni prikaz podataka iz izvješća za 2023. godinu, razvrstani prema strateškim ciljevima NRS-a.</w:t>
      </w:r>
    </w:p>
    <w:p w14:paraId="4D11310D" w14:textId="77777777" w:rsidR="00FB178A" w:rsidRPr="00145379" w:rsidRDefault="00FB178A" w:rsidP="00FB178A">
      <w:pPr>
        <w:spacing w:before="240" w:after="240" w:line="276" w:lineRule="auto"/>
        <w:jc w:val="both"/>
        <w:rPr>
          <w:sz w:val="24"/>
          <w:szCs w:val="24"/>
        </w:rPr>
        <w:sectPr w:rsidR="00FB178A" w:rsidRPr="00145379" w:rsidSect="0096172D">
          <w:pgSz w:w="11910" w:h="16840"/>
          <w:pgMar w:top="1080" w:right="1440" w:bottom="1080" w:left="1440" w:header="0" w:footer="757" w:gutter="0"/>
          <w:cols w:space="720"/>
          <w:docGrid w:linePitch="299"/>
        </w:sectPr>
      </w:pPr>
    </w:p>
    <w:p w14:paraId="27938C60" w14:textId="77777777" w:rsidR="00FB178A" w:rsidRDefault="00FB178A" w:rsidP="00FB178A">
      <w:pPr>
        <w:tabs>
          <w:tab w:val="left" w:pos="142"/>
        </w:tabs>
        <w:ind w:left="142" w:right="-513" w:firstLine="142"/>
        <w:jc w:val="center"/>
        <w:rPr>
          <w:sz w:val="24"/>
          <w:szCs w:val="24"/>
        </w:rPr>
      </w:pPr>
      <w:r w:rsidRPr="009C48E9">
        <w:rPr>
          <w:noProof/>
          <w:sz w:val="24"/>
          <w:szCs w:val="24"/>
          <w:lang w:eastAsia="hr-HR"/>
        </w:rPr>
        <w:lastRenderedPageBreak/>
        <w:drawing>
          <wp:inline distT="0" distB="0" distL="0" distR="0" wp14:anchorId="3EE9D0F1" wp14:editId="2B01720A">
            <wp:extent cx="9035415" cy="5390909"/>
            <wp:effectExtent l="0" t="0" r="0" b="0"/>
            <wp:docPr id="10934729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472932" name=""/>
                    <pic:cNvPicPr/>
                  </pic:nvPicPr>
                  <pic:blipFill>
                    <a:blip r:embed="rId18"/>
                    <a:stretch>
                      <a:fillRect/>
                    </a:stretch>
                  </pic:blipFill>
                  <pic:spPr>
                    <a:xfrm>
                      <a:off x="0" y="0"/>
                      <a:ext cx="9035415" cy="5390909"/>
                    </a:xfrm>
                    <a:prstGeom prst="rect">
                      <a:avLst/>
                    </a:prstGeom>
                  </pic:spPr>
                </pic:pic>
              </a:graphicData>
            </a:graphic>
          </wp:inline>
        </w:drawing>
      </w:r>
      <w:r>
        <w:rPr>
          <w:sz w:val="24"/>
          <w:szCs w:val="24"/>
        </w:rPr>
        <w:br w:type="page"/>
      </w:r>
    </w:p>
    <w:p w14:paraId="627D11BE" w14:textId="77777777" w:rsidR="00FB178A" w:rsidRDefault="00FB178A" w:rsidP="00FB178A">
      <w:pPr>
        <w:tabs>
          <w:tab w:val="left" w:pos="284"/>
        </w:tabs>
        <w:ind w:left="284"/>
        <w:rPr>
          <w:sz w:val="24"/>
          <w:szCs w:val="24"/>
        </w:rPr>
      </w:pPr>
      <w:r w:rsidRPr="00FB0FE2">
        <w:rPr>
          <w:noProof/>
          <w:sz w:val="24"/>
          <w:szCs w:val="24"/>
          <w:lang w:eastAsia="hr-HR"/>
        </w:rPr>
        <w:lastRenderedPageBreak/>
        <w:drawing>
          <wp:inline distT="0" distB="0" distL="0" distR="0" wp14:anchorId="7180B4DC" wp14:editId="71A743D8">
            <wp:extent cx="9035415" cy="5410641"/>
            <wp:effectExtent l="0" t="0" r="0" b="0"/>
            <wp:docPr id="11634233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423382" name=""/>
                    <pic:cNvPicPr/>
                  </pic:nvPicPr>
                  <pic:blipFill>
                    <a:blip r:embed="rId19"/>
                    <a:stretch>
                      <a:fillRect/>
                    </a:stretch>
                  </pic:blipFill>
                  <pic:spPr>
                    <a:xfrm>
                      <a:off x="0" y="0"/>
                      <a:ext cx="9035415" cy="5410641"/>
                    </a:xfrm>
                    <a:prstGeom prst="rect">
                      <a:avLst/>
                    </a:prstGeom>
                  </pic:spPr>
                </pic:pic>
              </a:graphicData>
            </a:graphic>
          </wp:inline>
        </w:drawing>
      </w:r>
    </w:p>
    <w:p w14:paraId="731EA22D" w14:textId="77777777" w:rsidR="00FB178A" w:rsidRPr="00145379" w:rsidRDefault="00FB178A" w:rsidP="00FB178A">
      <w:pPr>
        <w:spacing w:line="276" w:lineRule="auto"/>
        <w:ind w:left="-142"/>
        <w:jc w:val="center"/>
        <w:rPr>
          <w:sz w:val="24"/>
          <w:szCs w:val="24"/>
        </w:rPr>
        <w:sectPr w:rsidR="00FB178A" w:rsidRPr="00145379" w:rsidSect="00602979">
          <w:pgSz w:w="16840" w:h="11910" w:orient="landscape"/>
          <w:pgMar w:top="993" w:right="1531" w:bottom="1440" w:left="1080" w:header="0" w:footer="757" w:gutter="0"/>
          <w:cols w:space="720"/>
          <w:docGrid w:linePitch="299"/>
        </w:sectPr>
      </w:pPr>
    </w:p>
    <w:p w14:paraId="794097B9" w14:textId="77777777" w:rsidR="00FB178A" w:rsidRPr="000648AB" w:rsidRDefault="00FB178A" w:rsidP="00FB178A">
      <w:pPr>
        <w:pStyle w:val="Heading2"/>
        <w:spacing w:after="240"/>
        <w:ind w:left="709"/>
        <w:rPr>
          <w:rFonts w:eastAsia="Calibri"/>
          <w:sz w:val="24"/>
          <w:szCs w:val="24"/>
          <w:lang w:eastAsia="en-GB"/>
        </w:rPr>
      </w:pPr>
      <w:bookmarkStart w:id="120" w:name="_Toc133420990"/>
      <w:bookmarkStart w:id="121" w:name="_Toc223002966"/>
      <w:r w:rsidRPr="000648AB">
        <w:rPr>
          <w:rFonts w:eastAsia="Calibri"/>
          <w:sz w:val="24"/>
          <w:szCs w:val="24"/>
        </w:rPr>
        <w:lastRenderedPageBreak/>
        <w:t xml:space="preserve">Prilog 3. </w:t>
      </w:r>
      <w:r w:rsidRPr="000648AB">
        <w:rPr>
          <w:rFonts w:eastAsia="Calibri"/>
          <w:color w:val="000000" w:themeColor="text1"/>
          <w:sz w:val="24"/>
          <w:szCs w:val="24"/>
        </w:rPr>
        <w:t>Popis važećih akata strateškog planiranja</w:t>
      </w:r>
      <w:r w:rsidRPr="000648AB">
        <w:rPr>
          <w:sz w:val="24"/>
          <w:szCs w:val="24"/>
        </w:rPr>
        <w:t xml:space="preserve"> </w:t>
      </w:r>
      <w:r w:rsidRPr="000648AB">
        <w:rPr>
          <w:rFonts w:eastAsia="Calibri"/>
          <w:sz w:val="24"/>
          <w:szCs w:val="24"/>
        </w:rPr>
        <w:t>koji izravno podupiru provedbu strateškog okvira NRS-a 2030</w:t>
      </w:r>
      <w:bookmarkEnd w:id="120"/>
      <w:r w:rsidRPr="000648AB">
        <w:rPr>
          <w:rFonts w:eastAsia="Calibri"/>
          <w:sz w:val="24"/>
          <w:szCs w:val="24"/>
        </w:rPr>
        <w:t>.</w:t>
      </w:r>
      <w:r w:rsidRPr="000648AB">
        <w:rPr>
          <w:rStyle w:val="FootnoteReference"/>
          <w:rFonts w:eastAsia="Calibri"/>
          <w:sz w:val="24"/>
          <w:szCs w:val="24"/>
          <w:lang w:eastAsia="en-GB"/>
        </w:rPr>
        <w:footnoteReference w:id="17"/>
      </w:r>
      <w:bookmarkEnd w:id="121"/>
    </w:p>
    <w:tbl>
      <w:tblPr>
        <w:tblStyle w:val="TableGrid"/>
        <w:tblW w:w="0" w:type="auto"/>
        <w:jc w:val="center"/>
        <w:tblInd w:w="0"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firstRow="1" w:lastRow="0" w:firstColumn="1" w:lastColumn="0" w:noHBand="0" w:noVBand="1"/>
      </w:tblPr>
      <w:tblGrid>
        <w:gridCol w:w="2972"/>
        <w:gridCol w:w="8224"/>
        <w:gridCol w:w="3118"/>
      </w:tblGrid>
      <w:tr w:rsidR="00FB178A" w:rsidRPr="00145379" w14:paraId="50EEBDA4" w14:textId="77777777" w:rsidTr="009E18ED">
        <w:trPr>
          <w:trHeight w:val="558"/>
          <w:tblHeader/>
          <w:jc w:val="center"/>
        </w:trPr>
        <w:tc>
          <w:tcPr>
            <w:tcW w:w="2972" w:type="dxa"/>
            <w:shd w:val="clear" w:color="auto" w:fill="C6D9F1" w:themeFill="text2" w:themeFillTint="33"/>
            <w:vAlign w:val="center"/>
          </w:tcPr>
          <w:p w14:paraId="3E098C51" w14:textId="77777777" w:rsidR="00FB178A" w:rsidRPr="00936B94" w:rsidRDefault="00FB178A" w:rsidP="009E18ED">
            <w:pPr>
              <w:spacing w:line="276" w:lineRule="auto"/>
              <w:jc w:val="center"/>
              <w:rPr>
                <w:b/>
                <w:bCs/>
                <w:sz w:val="24"/>
                <w:szCs w:val="24"/>
              </w:rPr>
            </w:pPr>
            <w:r w:rsidRPr="00936B94">
              <w:rPr>
                <w:b/>
                <w:bCs/>
                <w:sz w:val="24"/>
                <w:szCs w:val="24"/>
              </w:rPr>
              <w:t>Nositelj provedbe</w:t>
            </w:r>
          </w:p>
        </w:tc>
        <w:tc>
          <w:tcPr>
            <w:tcW w:w="8224" w:type="dxa"/>
            <w:shd w:val="clear" w:color="auto" w:fill="C6D9F1" w:themeFill="text2" w:themeFillTint="33"/>
            <w:vAlign w:val="center"/>
          </w:tcPr>
          <w:p w14:paraId="0F58DFDD" w14:textId="77777777" w:rsidR="00FB178A" w:rsidRPr="00936B94" w:rsidRDefault="00FB178A" w:rsidP="009E18ED">
            <w:pPr>
              <w:spacing w:line="276" w:lineRule="auto"/>
              <w:jc w:val="center"/>
              <w:rPr>
                <w:b/>
                <w:bCs/>
                <w:sz w:val="24"/>
                <w:szCs w:val="24"/>
              </w:rPr>
            </w:pPr>
            <w:r w:rsidRPr="00936B94">
              <w:rPr>
                <w:b/>
                <w:bCs/>
                <w:sz w:val="24"/>
                <w:szCs w:val="24"/>
              </w:rPr>
              <w:t>Naziv akta strateškog planiranja</w:t>
            </w:r>
          </w:p>
        </w:tc>
        <w:tc>
          <w:tcPr>
            <w:tcW w:w="3118" w:type="dxa"/>
            <w:shd w:val="clear" w:color="auto" w:fill="C6D9F1" w:themeFill="text2" w:themeFillTint="33"/>
            <w:vAlign w:val="center"/>
          </w:tcPr>
          <w:p w14:paraId="5F90CBFE" w14:textId="77777777" w:rsidR="00FB178A" w:rsidRPr="00936B94" w:rsidRDefault="00FB178A" w:rsidP="009E18ED">
            <w:pPr>
              <w:spacing w:line="276" w:lineRule="auto"/>
              <w:jc w:val="center"/>
              <w:rPr>
                <w:b/>
                <w:bCs/>
                <w:sz w:val="24"/>
                <w:szCs w:val="24"/>
              </w:rPr>
            </w:pPr>
            <w:r w:rsidRPr="00936B94">
              <w:rPr>
                <w:b/>
                <w:bCs/>
                <w:sz w:val="24"/>
                <w:szCs w:val="24"/>
              </w:rPr>
              <w:t>Strateški cilj NRS-a 2030.</w:t>
            </w:r>
          </w:p>
        </w:tc>
      </w:tr>
      <w:tr w:rsidR="00FB178A" w:rsidRPr="00145379" w14:paraId="5CBCCF2C" w14:textId="77777777" w:rsidTr="009E18ED">
        <w:trPr>
          <w:trHeight w:val="1048"/>
          <w:jc w:val="center"/>
        </w:trPr>
        <w:tc>
          <w:tcPr>
            <w:tcW w:w="2972" w:type="dxa"/>
            <w:vMerge w:val="restart"/>
            <w:vAlign w:val="center"/>
          </w:tcPr>
          <w:p w14:paraId="71EE2BC5" w14:textId="77777777" w:rsidR="00FB178A" w:rsidRPr="00936B94" w:rsidRDefault="00FB178A" w:rsidP="009E18ED">
            <w:pPr>
              <w:spacing w:line="276" w:lineRule="auto"/>
              <w:rPr>
                <w:sz w:val="24"/>
                <w:szCs w:val="24"/>
              </w:rPr>
            </w:pPr>
            <w:r w:rsidRPr="00936B94">
              <w:rPr>
                <w:sz w:val="24"/>
                <w:szCs w:val="24"/>
              </w:rPr>
              <w:t>Ministarstvo gospodarstva</w:t>
            </w:r>
          </w:p>
        </w:tc>
        <w:tc>
          <w:tcPr>
            <w:tcW w:w="8224" w:type="dxa"/>
            <w:shd w:val="clear" w:color="auto" w:fill="DBE5F1" w:themeFill="accent1" w:themeFillTint="33"/>
            <w:vAlign w:val="center"/>
          </w:tcPr>
          <w:p w14:paraId="591213AF" w14:textId="77777777" w:rsidR="00FB178A" w:rsidRPr="00936B94" w:rsidRDefault="00FB178A" w:rsidP="009E18ED">
            <w:pPr>
              <w:pStyle w:val="ListParagraph"/>
              <w:widowControl/>
              <w:numPr>
                <w:ilvl w:val="0"/>
                <w:numId w:val="2"/>
              </w:numPr>
              <w:autoSpaceDE/>
              <w:autoSpaceDN/>
              <w:spacing w:line="276" w:lineRule="auto"/>
              <w:ind w:left="564"/>
              <w:contextualSpacing/>
            </w:pPr>
            <w:hyperlink r:id="rId20" w:history="1">
              <w:r w:rsidRPr="00936B94">
                <w:rPr>
                  <w:rStyle w:val="Hyperlink"/>
                  <w:sz w:val="24"/>
                  <w:szCs w:val="24"/>
                </w:rPr>
                <w:t>Strategija za procjenu ekonomskog učinka propisa na sektor malog i srednjeg poduzetništva za razdoblje od 2023. do 2027. godine</w:t>
              </w:r>
            </w:hyperlink>
          </w:p>
        </w:tc>
        <w:tc>
          <w:tcPr>
            <w:tcW w:w="3118" w:type="dxa"/>
            <w:vMerge w:val="restart"/>
          </w:tcPr>
          <w:p w14:paraId="258A08CD" w14:textId="77777777" w:rsidR="00FB178A" w:rsidRDefault="00FB178A" w:rsidP="009E18ED">
            <w:pPr>
              <w:spacing w:line="276" w:lineRule="auto"/>
              <w:jc w:val="center"/>
              <w:rPr>
                <w:sz w:val="24"/>
                <w:szCs w:val="24"/>
              </w:rPr>
            </w:pPr>
          </w:p>
          <w:p w14:paraId="3B806D5A" w14:textId="77777777" w:rsidR="00FB178A" w:rsidRDefault="00FB178A" w:rsidP="009E18ED">
            <w:pPr>
              <w:spacing w:line="276" w:lineRule="auto"/>
              <w:jc w:val="center"/>
              <w:rPr>
                <w:sz w:val="24"/>
                <w:szCs w:val="24"/>
              </w:rPr>
            </w:pPr>
          </w:p>
          <w:p w14:paraId="48EFD71C" w14:textId="77777777" w:rsidR="00FB178A" w:rsidRDefault="00FB178A" w:rsidP="009E18ED">
            <w:pPr>
              <w:spacing w:line="276" w:lineRule="auto"/>
              <w:jc w:val="center"/>
              <w:rPr>
                <w:sz w:val="24"/>
                <w:szCs w:val="24"/>
              </w:rPr>
            </w:pPr>
          </w:p>
          <w:p w14:paraId="341C169A" w14:textId="77777777" w:rsidR="00FB178A" w:rsidRDefault="00FB178A" w:rsidP="009E18ED">
            <w:pPr>
              <w:spacing w:line="276" w:lineRule="auto"/>
              <w:jc w:val="center"/>
              <w:rPr>
                <w:sz w:val="24"/>
                <w:szCs w:val="24"/>
              </w:rPr>
            </w:pPr>
          </w:p>
          <w:p w14:paraId="349BEC16" w14:textId="77777777" w:rsidR="00FB178A" w:rsidRPr="00936B94" w:rsidRDefault="00FB178A" w:rsidP="009E18ED">
            <w:pPr>
              <w:spacing w:line="276" w:lineRule="auto"/>
              <w:jc w:val="center"/>
              <w:rPr>
                <w:sz w:val="24"/>
                <w:szCs w:val="24"/>
              </w:rPr>
            </w:pPr>
            <w:r w:rsidRPr="00936B94">
              <w:rPr>
                <w:noProof/>
                <w:sz w:val="24"/>
                <w:szCs w:val="24"/>
                <w:lang w:eastAsia="hr-HR"/>
              </w:rPr>
              <w:drawing>
                <wp:inline distT="0" distB="0" distL="0" distR="0" wp14:anchorId="38E2B346" wp14:editId="6C045D5E">
                  <wp:extent cx="579600" cy="554400"/>
                  <wp:effectExtent l="0" t="0" r="0" b="0"/>
                  <wp:docPr id="1890211820" name="Picture 2002009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9600" cy="554400"/>
                          </a:xfrm>
                          <a:prstGeom prst="rect">
                            <a:avLst/>
                          </a:prstGeom>
                          <a:noFill/>
                          <a:ln>
                            <a:noFill/>
                          </a:ln>
                        </pic:spPr>
                      </pic:pic>
                    </a:graphicData>
                  </a:graphic>
                </wp:inline>
              </w:drawing>
            </w:r>
          </w:p>
        </w:tc>
      </w:tr>
      <w:tr w:rsidR="00FB178A" w:rsidRPr="00145379" w14:paraId="0013E5CB" w14:textId="77777777" w:rsidTr="009E18ED">
        <w:trPr>
          <w:trHeight w:val="849"/>
          <w:jc w:val="center"/>
        </w:trPr>
        <w:tc>
          <w:tcPr>
            <w:tcW w:w="2972" w:type="dxa"/>
            <w:vMerge/>
            <w:vAlign w:val="center"/>
          </w:tcPr>
          <w:p w14:paraId="5264BA41" w14:textId="77777777" w:rsidR="00FB178A" w:rsidRPr="00073087" w:rsidRDefault="00FB178A" w:rsidP="009E18ED">
            <w:pPr>
              <w:spacing w:line="276" w:lineRule="auto"/>
              <w:rPr>
                <w:sz w:val="24"/>
                <w:szCs w:val="24"/>
              </w:rPr>
            </w:pPr>
          </w:p>
        </w:tc>
        <w:tc>
          <w:tcPr>
            <w:tcW w:w="8224" w:type="dxa"/>
            <w:shd w:val="clear" w:color="auto" w:fill="DBE5F1" w:themeFill="accent1" w:themeFillTint="33"/>
            <w:vAlign w:val="center"/>
          </w:tcPr>
          <w:p w14:paraId="7D4A1F55" w14:textId="77777777" w:rsidR="00FB178A" w:rsidRPr="00936B94" w:rsidRDefault="00FB178A" w:rsidP="009E18ED">
            <w:pPr>
              <w:pStyle w:val="ListParagraph"/>
              <w:widowControl/>
              <w:numPr>
                <w:ilvl w:val="0"/>
                <w:numId w:val="2"/>
              </w:numPr>
              <w:autoSpaceDE/>
              <w:autoSpaceDN/>
              <w:spacing w:line="276" w:lineRule="auto"/>
              <w:ind w:left="564"/>
              <w:contextualSpacing/>
              <w:rPr>
                <w:sz w:val="24"/>
                <w:szCs w:val="24"/>
              </w:rPr>
            </w:pPr>
            <w:hyperlink r:id="rId22" w:history="1">
              <w:r w:rsidRPr="00936B94">
                <w:rPr>
                  <w:rStyle w:val="Hyperlink"/>
                  <w:sz w:val="24"/>
                  <w:szCs w:val="24"/>
                </w:rPr>
                <w:t>Strategija energetskog razvoja Republike Hrvatske do 2030. s pogledom na 2050. godinu</w:t>
              </w:r>
            </w:hyperlink>
          </w:p>
        </w:tc>
        <w:tc>
          <w:tcPr>
            <w:tcW w:w="3118" w:type="dxa"/>
            <w:vMerge/>
          </w:tcPr>
          <w:p w14:paraId="1FA10A46" w14:textId="77777777" w:rsidR="00FB178A" w:rsidRPr="00936B94" w:rsidRDefault="00FB178A" w:rsidP="009E18ED">
            <w:pPr>
              <w:spacing w:line="276" w:lineRule="auto"/>
              <w:rPr>
                <w:sz w:val="24"/>
                <w:szCs w:val="24"/>
              </w:rPr>
            </w:pPr>
          </w:p>
        </w:tc>
      </w:tr>
      <w:tr w:rsidR="00FB178A" w:rsidRPr="00145379" w14:paraId="43BEB794" w14:textId="77777777" w:rsidTr="009E18ED">
        <w:trPr>
          <w:trHeight w:val="563"/>
          <w:jc w:val="center"/>
        </w:trPr>
        <w:tc>
          <w:tcPr>
            <w:tcW w:w="2972" w:type="dxa"/>
            <w:vMerge/>
            <w:vAlign w:val="center"/>
          </w:tcPr>
          <w:p w14:paraId="16633F5E" w14:textId="77777777" w:rsidR="00FB178A" w:rsidRPr="00073087" w:rsidRDefault="00FB178A" w:rsidP="009E18ED">
            <w:pPr>
              <w:spacing w:line="276" w:lineRule="auto"/>
              <w:rPr>
                <w:sz w:val="24"/>
                <w:szCs w:val="24"/>
              </w:rPr>
            </w:pPr>
          </w:p>
        </w:tc>
        <w:tc>
          <w:tcPr>
            <w:tcW w:w="8224" w:type="dxa"/>
            <w:shd w:val="clear" w:color="auto" w:fill="DBE5F1" w:themeFill="accent1" w:themeFillTint="33"/>
            <w:vAlign w:val="center"/>
          </w:tcPr>
          <w:p w14:paraId="7882A97A" w14:textId="77777777" w:rsidR="00FB178A" w:rsidRPr="00936B94" w:rsidRDefault="00FB178A" w:rsidP="009E18ED">
            <w:pPr>
              <w:pStyle w:val="ListParagraph"/>
              <w:widowControl/>
              <w:numPr>
                <w:ilvl w:val="0"/>
                <w:numId w:val="2"/>
              </w:numPr>
              <w:autoSpaceDE/>
              <w:autoSpaceDN/>
              <w:spacing w:line="276" w:lineRule="auto"/>
              <w:ind w:left="564"/>
              <w:contextualSpacing/>
              <w:rPr>
                <w:sz w:val="24"/>
                <w:szCs w:val="24"/>
              </w:rPr>
            </w:pPr>
            <w:hyperlink r:id="rId23" w:history="1">
              <w:r w:rsidRPr="00936B94">
                <w:rPr>
                  <w:rStyle w:val="Hyperlink"/>
                  <w:sz w:val="24"/>
                  <w:szCs w:val="24"/>
                </w:rPr>
                <w:t>Hrvatska strategija za vodik do 2050. godine</w:t>
              </w:r>
            </w:hyperlink>
          </w:p>
        </w:tc>
        <w:tc>
          <w:tcPr>
            <w:tcW w:w="3118" w:type="dxa"/>
            <w:vMerge/>
          </w:tcPr>
          <w:p w14:paraId="47AC9AE2" w14:textId="77777777" w:rsidR="00FB178A" w:rsidRPr="00936B94" w:rsidRDefault="00FB178A" w:rsidP="009E18ED">
            <w:pPr>
              <w:spacing w:line="276" w:lineRule="auto"/>
              <w:rPr>
                <w:sz w:val="24"/>
                <w:szCs w:val="24"/>
              </w:rPr>
            </w:pPr>
          </w:p>
        </w:tc>
      </w:tr>
      <w:tr w:rsidR="00FB178A" w:rsidRPr="00145379" w14:paraId="2A56209C" w14:textId="77777777" w:rsidTr="009E18ED">
        <w:trPr>
          <w:trHeight w:val="711"/>
          <w:jc w:val="center"/>
        </w:trPr>
        <w:tc>
          <w:tcPr>
            <w:tcW w:w="2972" w:type="dxa"/>
            <w:vMerge/>
            <w:vAlign w:val="center"/>
          </w:tcPr>
          <w:p w14:paraId="06957CB0" w14:textId="77777777" w:rsidR="00FB178A" w:rsidRPr="00073087" w:rsidRDefault="00FB178A" w:rsidP="009E18ED">
            <w:pPr>
              <w:spacing w:line="276" w:lineRule="auto"/>
              <w:rPr>
                <w:sz w:val="24"/>
                <w:szCs w:val="24"/>
              </w:rPr>
            </w:pPr>
          </w:p>
        </w:tc>
        <w:tc>
          <w:tcPr>
            <w:tcW w:w="8224" w:type="dxa"/>
            <w:shd w:val="clear" w:color="auto" w:fill="DBE5F1" w:themeFill="accent1" w:themeFillTint="33"/>
            <w:vAlign w:val="center"/>
          </w:tcPr>
          <w:p w14:paraId="2FDD3033" w14:textId="77777777" w:rsidR="00FB178A" w:rsidRDefault="00FB178A" w:rsidP="009E18ED">
            <w:pPr>
              <w:pStyle w:val="ListParagraph"/>
              <w:widowControl/>
              <w:numPr>
                <w:ilvl w:val="0"/>
                <w:numId w:val="2"/>
              </w:numPr>
              <w:autoSpaceDE/>
              <w:autoSpaceDN/>
              <w:spacing w:line="276" w:lineRule="auto"/>
              <w:ind w:left="564"/>
              <w:contextualSpacing/>
            </w:pPr>
            <w:hyperlink r:id="rId24" w:history="1">
              <w:r w:rsidRPr="00E5374D">
                <w:rPr>
                  <w:rStyle w:val="Hyperlink"/>
                  <w:sz w:val="24"/>
                  <w:szCs w:val="24"/>
                </w:rPr>
                <w:t>Nacionalni plan za poticanje ulaganja za razdoblje do 2030. godine</w:t>
              </w:r>
            </w:hyperlink>
          </w:p>
        </w:tc>
        <w:tc>
          <w:tcPr>
            <w:tcW w:w="3118" w:type="dxa"/>
            <w:vMerge/>
          </w:tcPr>
          <w:p w14:paraId="538EDA36" w14:textId="77777777" w:rsidR="00FB178A" w:rsidRPr="00936B94" w:rsidRDefault="00FB178A" w:rsidP="009E18ED">
            <w:pPr>
              <w:spacing w:line="276" w:lineRule="auto"/>
              <w:rPr>
                <w:sz w:val="24"/>
                <w:szCs w:val="24"/>
              </w:rPr>
            </w:pPr>
          </w:p>
        </w:tc>
      </w:tr>
      <w:tr w:rsidR="00FB178A" w:rsidRPr="00145379" w14:paraId="7E2B5C31" w14:textId="77777777" w:rsidTr="009E18ED">
        <w:trPr>
          <w:trHeight w:val="823"/>
          <w:jc w:val="center"/>
        </w:trPr>
        <w:tc>
          <w:tcPr>
            <w:tcW w:w="2972" w:type="dxa"/>
            <w:vAlign w:val="center"/>
          </w:tcPr>
          <w:p w14:paraId="452DD617" w14:textId="77777777" w:rsidR="00FB178A" w:rsidRPr="00073087" w:rsidRDefault="00FB178A" w:rsidP="009E18ED">
            <w:pPr>
              <w:spacing w:line="276" w:lineRule="auto"/>
              <w:rPr>
                <w:sz w:val="24"/>
                <w:szCs w:val="24"/>
              </w:rPr>
            </w:pPr>
            <w:r>
              <w:rPr>
                <w:sz w:val="24"/>
                <w:szCs w:val="24"/>
              </w:rPr>
              <w:t xml:space="preserve">Ministarstvo demografije i useljeništva </w:t>
            </w:r>
          </w:p>
        </w:tc>
        <w:tc>
          <w:tcPr>
            <w:tcW w:w="8224" w:type="dxa"/>
            <w:shd w:val="clear" w:color="auto" w:fill="DBE5F1" w:themeFill="accent1" w:themeFillTint="33"/>
            <w:vAlign w:val="center"/>
          </w:tcPr>
          <w:p w14:paraId="0A7B0CE5" w14:textId="77777777" w:rsidR="00FB178A" w:rsidRPr="002E5227" w:rsidRDefault="00FB178A" w:rsidP="009E18ED">
            <w:pPr>
              <w:pStyle w:val="ListParagraph"/>
              <w:widowControl/>
              <w:numPr>
                <w:ilvl w:val="0"/>
                <w:numId w:val="2"/>
              </w:numPr>
              <w:autoSpaceDE/>
              <w:autoSpaceDN/>
              <w:spacing w:line="276" w:lineRule="auto"/>
              <w:ind w:left="564"/>
              <w:contextualSpacing/>
              <w:rPr>
                <w:sz w:val="24"/>
                <w:szCs w:val="24"/>
              </w:rPr>
            </w:pPr>
            <w:hyperlink r:id="rId25" w:history="1">
              <w:r w:rsidRPr="00B225FC">
                <w:rPr>
                  <w:rStyle w:val="Hyperlink"/>
                  <w:sz w:val="24"/>
                  <w:szCs w:val="24"/>
                </w:rPr>
                <w:t>Strategija demografske revitalizacije Republike Hrvatske do 2033. godine</w:t>
              </w:r>
            </w:hyperlink>
          </w:p>
        </w:tc>
        <w:tc>
          <w:tcPr>
            <w:tcW w:w="3118" w:type="dxa"/>
          </w:tcPr>
          <w:p w14:paraId="2DAA6D2E" w14:textId="77777777" w:rsidR="00FB178A" w:rsidRPr="00936B94" w:rsidRDefault="00FB178A" w:rsidP="009E18ED">
            <w:pPr>
              <w:spacing w:line="276" w:lineRule="auto"/>
              <w:jc w:val="center"/>
              <w:rPr>
                <w:sz w:val="24"/>
                <w:szCs w:val="24"/>
              </w:rPr>
            </w:pPr>
            <w:r w:rsidRPr="00936B94">
              <w:rPr>
                <w:noProof/>
                <w:sz w:val="24"/>
                <w:szCs w:val="24"/>
                <w:lang w:eastAsia="hr-HR"/>
              </w:rPr>
              <w:drawing>
                <wp:inline distT="0" distB="0" distL="0" distR="0" wp14:anchorId="7E7ED049" wp14:editId="62098B82">
                  <wp:extent cx="571500" cy="542925"/>
                  <wp:effectExtent l="0" t="0" r="0" b="9525"/>
                  <wp:docPr id="1912658442" name="Picture 1912658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1500" cy="542925"/>
                          </a:xfrm>
                          <a:prstGeom prst="rect">
                            <a:avLst/>
                          </a:prstGeom>
                          <a:noFill/>
                          <a:ln>
                            <a:noFill/>
                          </a:ln>
                        </pic:spPr>
                      </pic:pic>
                    </a:graphicData>
                  </a:graphic>
                </wp:inline>
              </w:drawing>
            </w:r>
          </w:p>
        </w:tc>
      </w:tr>
      <w:tr w:rsidR="00FB178A" w:rsidRPr="00145379" w14:paraId="3957B21E" w14:textId="77777777" w:rsidTr="009E18ED">
        <w:trPr>
          <w:trHeight w:val="779"/>
          <w:jc w:val="center"/>
        </w:trPr>
        <w:tc>
          <w:tcPr>
            <w:tcW w:w="2972" w:type="dxa"/>
            <w:vMerge w:val="restart"/>
            <w:vAlign w:val="center"/>
          </w:tcPr>
          <w:p w14:paraId="607CC5E0" w14:textId="77777777" w:rsidR="00FB178A" w:rsidRDefault="00FB178A" w:rsidP="009E18ED">
            <w:pPr>
              <w:spacing w:line="276" w:lineRule="auto"/>
              <w:rPr>
                <w:sz w:val="24"/>
                <w:szCs w:val="24"/>
              </w:rPr>
            </w:pPr>
          </w:p>
          <w:p w14:paraId="2DC008CE" w14:textId="77777777" w:rsidR="00FB178A" w:rsidRDefault="00FB178A" w:rsidP="009E18ED">
            <w:pPr>
              <w:spacing w:line="276" w:lineRule="auto"/>
              <w:rPr>
                <w:sz w:val="24"/>
                <w:szCs w:val="24"/>
              </w:rPr>
            </w:pPr>
          </w:p>
          <w:p w14:paraId="3B1E85ED" w14:textId="77777777" w:rsidR="00FB178A" w:rsidRDefault="00FB178A" w:rsidP="009E18ED">
            <w:pPr>
              <w:spacing w:line="276" w:lineRule="auto"/>
              <w:rPr>
                <w:sz w:val="24"/>
                <w:szCs w:val="24"/>
              </w:rPr>
            </w:pPr>
          </w:p>
          <w:p w14:paraId="1D04ACB1" w14:textId="77777777" w:rsidR="00FB178A" w:rsidRDefault="00FB178A" w:rsidP="009E18ED">
            <w:pPr>
              <w:spacing w:line="276" w:lineRule="auto"/>
              <w:rPr>
                <w:sz w:val="24"/>
                <w:szCs w:val="24"/>
              </w:rPr>
            </w:pPr>
            <w:r w:rsidRPr="00936B94">
              <w:rPr>
                <w:sz w:val="24"/>
                <w:szCs w:val="24"/>
              </w:rPr>
              <w:t>Ministarstvo zaštite okoliša i zelene tranzicije</w:t>
            </w:r>
          </w:p>
          <w:p w14:paraId="5761C2BD" w14:textId="77777777" w:rsidR="00FB178A" w:rsidRDefault="00FB178A" w:rsidP="009E18ED">
            <w:pPr>
              <w:spacing w:line="276" w:lineRule="auto"/>
              <w:rPr>
                <w:sz w:val="24"/>
                <w:szCs w:val="24"/>
              </w:rPr>
            </w:pPr>
          </w:p>
          <w:p w14:paraId="5C78AE97" w14:textId="77777777" w:rsidR="00FB178A" w:rsidRDefault="00FB178A" w:rsidP="009E18ED">
            <w:pPr>
              <w:spacing w:line="276" w:lineRule="auto"/>
              <w:rPr>
                <w:sz w:val="24"/>
                <w:szCs w:val="24"/>
              </w:rPr>
            </w:pPr>
          </w:p>
          <w:p w14:paraId="1CCEC035" w14:textId="77777777" w:rsidR="00FB178A" w:rsidRDefault="00FB178A" w:rsidP="009E18ED">
            <w:pPr>
              <w:spacing w:line="276" w:lineRule="auto"/>
              <w:rPr>
                <w:sz w:val="24"/>
                <w:szCs w:val="24"/>
              </w:rPr>
            </w:pPr>
          </w:p>
          <w:p w14:paraId="42B07391" w14:textId="77777777" w:rsidR="00FB178A" w:rsidRDefault="00FB178A" w:rsidP="009E18ED">
            <w:pPr>
              <w:spacing w:line="276" w:lineRule="auto"/>
              <w:rPr>
                <w:sz w:val="24"/>
                <w:szCs w:val="24"/>
              </w:rPr>
            </w:pPr>
          </w:p>
          <w:p w14:paraId="064E5201" w14:textId="77777777" w:rsidR="00FB178A" w:rsidRDefault="00FB178A" w:rsidP="009E18ED">
            <w:pPr>
              <w:spacing w:line="276" w:lineRule="auto"/>
              <w:rPr>
                <w:sz w:val="24"/>
                <w:szCs w:val="24"/>
              </w:rPr>
            </w:pPr>
          </w:p>
          <w:p w14:paraId="05AC990E" w14:textId="77777777" w:rsidR="00FB178A" w:rsidRPr="00936B94" w:rsidRDefault="00FB178A" w:rsidP="009E18ED">
            <w:pPr>
              <w:spacing w:line="276" w:lineRule="auto"/>
              <w:rPr>
                <w:sz w:val="24"/>
                <w:szCs w:val="24"/>
              </w:rPr>
            </w:pPr>
            <w:r w:rsidRPr="00936B94">
              <w:rPr>
                <w:sz w:val="24"/>
                <w:szCs w:val="24"/>
              </w:rPr>
              <w:t>Ministarstvo zaštite okoliša i zelene tranzicije</w:t>
            </w:r>
          </w:p>
        </w:tc>
        <w:tc>
          <w:tcPr>
            <w:tcW w:w="8224" w:type="dxa"/>
            <w:shd w:val="clear" w:color="auto" w:fill="DBE5F1" w:themeFill="accent1" w:themeFillTint="33"/>
            <w:vAlign w:val="center"/>
          </w:tcPr>
          <w:p w14:paraId="49785366" w14:textId="77777777" w:rsidR="00FB178A" w:rsidRPr="00936B94" w:rsidRDefault="00FB178A" w:rsidP="009E18ED">
            <w:pPr>
              <w:pStyle w:val="ListParagraph"/>
              <w:widowControl/>
              <w:numPr>
                <w:ilvl w:val="0"/>
                <w:numId w:val="2"/>
              </w:numPr>
              <w:autoSpaceDE/>
              <w:autoSpaceDN/>
              <w:spacing w:line="276" w:lineRule="auto"/>
              <w:ind w:left="564"/>
              <w:contextualSpacing/>
              <w:rPr>
                <w:sz w:val="24"/>
                <w:szCs w:val="24"/>
              </w:rPr>
            </w:pPr>
            <w:r w:rsidRPr="00936B94">
              <w:lastRenderedPageBreak/>
              <w:t xml:space="preserve"> </w:t>
            </w:r>
            <w:hyperlink r:id="rId27" w:history="1">
              <w:r w:rsidRPr="00936B94">
                <w:rPr>
                  <w:rStyle w:val="Hyperlink"/>
                  <w:sz w:val="24"/>
                  <w:szCs w:val="24"/>
                </w:rPr>
                <w:t xml:space="preserve">Strategija i akcijski plan </w:t>
              </w:r>
              <w:proofErr w:type="spellStart"/>
              <w:r w:rsidRPr="00936B94">
                <w:rPr>
                  <w:rStyle w:val="Hyperlink"/>
                  <w:sz w:val="24"/>
                  <w:szCs w:val="24"/>
                </w:rPr>
                <w:t>zaštite</w:t>
              </w:r>
              <w:proofErr w:type="spellEnd"/>
              <w:r w:rsidRPr="00936B94">
                <w:rPr>
                  <w:rStyle w:val="Hyperlink"/>
                  <w:sz w:val="24"/>
                  <w:szCs w:val="24"/>
                </w:rPr>
                <w:t xml:space="preserve"> prirode Republike Hrvatske za razdoblje od 2017. do 2025. godine</w:t>
              </w:r>
            </w:hyperlink>
          </w:p>
        </w:tc>
        <w:tc>
          <w:tcPr>
            <w:tcW w:w="3118" w:type="dxa"/>
            <w:vMerge w:val="restart"/>
          </w:tcPr>
          <w:p w14:paraId="28245B6E" w14:textId="77777777" w:rsidR="00FB178A" w:rsidRPr="00936B94" w:rsidRDefault="00FB178A" w:rsidP="009E18ED">
            <w:pPr>
              <w:spacing w:before="240" w:line="276" w:lineRule="auto"/>
              <w:jc w:val="center"/>
              <w:rPr>
                <w:sz w:val="24"/>
                <w:szCs w:val="24"/>
              </w:rPr>
            </w:pPr>
          </w:p>
          <w:p w14:paraId="15D4499B" w14:textId="77777777" w:rsidR="00FB178A" w:rsidRPr="00936B94" w:rsidRDefault="00FB178A" w:rsidP="009E18ED">
            <w:pPr>
              <w:spacing w:before="240" w:line="276" w:lineRule="auto"/>
              <w:jc w:val="center"/>
              <w:rPr>
                <w:sz w:val="24"/>
                <w:szCs w:val="24"/>
              </w:rPr>
            </w:pPr>
            <w:r w:rsidRPr="00936B94">
              <w:rPr>
                <w:noProof/>
                <w:sz w:val="24"/>
                <w:szCs w:val="24"/>
                <w:lang w:eastAsia="hr-HR"/>
              </w:rPr>
              <w:lastRenderedPageBreak/>
              <w:drawing>
                <wp:inline distT="0" distB="0" distL="0" distR="0" wp14:anchorId="2339F855" wp14:editId="01F8A342">
                  <wp:extent cx="581025" cy="542925"/>
                  <wp:effectExtent l="0" t="0" r="9525" b="9525"/>
                  <wp:docPr id="20026784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81025" cy="542925"/>
                          </a:xfrm>
                          <a:prstGeom prst="rect">
                            <a:avLst/>
                          </a:prstGeom>
                          <a:noFill/>
                          <a:ln>
                            <a:noFill/>
                          </a:ln>
                        </pic:spPr>
                      </pic:pic>
                    </a:graphicData>
                  </a:graphic>
                </wp:inline>
              </w:drawing>
            </w:r>
          </w:p>
          <w:p w14:paraId="0C186D18" w14:textId="77777777" w:rsidR="00FB178A" w:rsidRDefault="00FB178A" w:rsidP="009E18ED">
            <w:pPr>
              <w:spacing w:before="240" w:line="276" w:lineRule="auto"/>
              <w:jc w:val="center"/>
              <w:rPr>
                <w:sz w:val="24"/>
                <w:szCs w:val="24"/>
              </w:rPr>
            </w:pPr>
          </w:p>
          <w:p w14:paraId="201DE486" w14:textId="77777777" w:rsidR="00FB178A" w:rsidRDefault="00FB178A" w:rsidP="009E18ED">
            <w:pPr>
              <w:spacing w:before="240" w:line="276" w:lineRule="auto"/>
              <w:jc w:val="center"/>
              <w:rPr>
                <w:sz w:val="24"/>
                <w:szCs w:val="24"/>
              </w:rPr>
            </w:pPr>
          </w:p>
          <w:p w14:paraId="35D4A200" w14:textId="77777777" w:rsidR="00FB178A" w:rsidRPr="00936B94" w:rsidRDefault="00FB178A" w:rsidP="009E18ED">
            <w:pPr>
              <w:spacing w:before="240" w:line="276" w:lineRule="auto"/>
              <w:jc w:val="center"/>
              <w:rPr>
                <w:sz w:val="24"/>
                <w:szCs w:val="24"/>
              </w:rPr>
            </w:pPr>
            <w:r w:rsidRPr="00936B94">
              <w:rPr>
                <w:noProof/>
                <w:sz w:val="24"/>
                <w:szCs w:val="24"/>
                <w:lang w:eastAsia="hr-HR"/>
              </w:rPr>
              <w:drawing>
                <wp:inline distT="0" distB="0" distL="0" distR="0" wp14:anchorId="3A9BCE4E" wp14:editId="06464A14">
                  <wp:extent cx="628650" cy="542925"/>
                  <wp:effectExtent l="0" t="0" r="0" b="9525"/>
                  <wp:docPr id="9384680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28650" cy="542925"/>
                          </a:xfrm>
                          <a:prstGeom prst="rect">
                            <a:avLst/>
                          </a:prstGeom>
                          <a:noFill/>
                          <a:ln>
                            <a:noFill/>
                          </a:ln>
                        </pic:spPr>
                      </pic:pic>
                    </a:graphicData>
                  </a:graphic>
                </wp:inline>
              </w:drawing>
            </w:r>
          </w:p>
        </w:tc>
      </w:tr>
      <w:tr w:rsidR="00FB178A" w:rsidRPr="00145379" w14:paraId="303C087B" w14:textId="77777777" w:rsidTr="009E18ED">
        <w:trPr>
          <w:trHeight w:val="833"/>
          <w:jc w:val="center"/>
        </w:trPr>
        <w:tc>
          <w:tcPr>
            <w:tcW w:w="2972" w:type="dxa"/>
            <w:vMerge/>
            <w:vAlign w:val="center"/>
          </w:tcPr>
          <w:p w14:paraId="7458F3C0" w14:textId="77777777" w:rsidR="00FB178A" w:rsidRPr="00073087" w:rsidRDefault="00FB178A" w:rsidP="009E18ED">
            <w:pPr>
              <w:spacing w:line="276" w:lineRule="auto"/>
              <w:rPr>
                <w:sz w:val="24"/>
                <w:szCs w:val="24"/>
              </w:rPr>
            </w:pPr>
          </w:p>
        </w:tc>
        <w:tc>
          <w:tcPr>
            <w:tcW w:w="8224" w:type="dxa"/>
            <w:shd w:val="clear" w:color="auto" w:fill="DBE5F1" w:themeFill="accent1" w:themeFillTint="33"/>
            <w:vAlign w:val="center"/>
          </w:tcPr>
          <w:p w14:paraId="138BF833" w14:textId="77777777" w:rsidR="00FB178A" w:rsidRPr="00936B94" w:rsidRDefault="00FB178A" w:rsidP="009E18ED">
            <w:pPr>
              <w:pStyle w:val="ListParagraph"/>
              <w:widowControl/>
              <w:numPr>
                <w:ilvl w:val="0"/>
                <w:numId w:val="2"/>
              </w:numPr>
              <w:autoSpaceDE/>
              <w:autoSpaceDN/>
              <w:spacing w:line="276" w:lineRule="auto"/>
              <w:ind w:left="564"/>
              <w:contextualSpacing/>
            </w:pPr>
            <w:hyperlink r:id="rId29" w:history="1">
              <w:r w:rsidRPr="00936B94">
                <w:rPr>
                  <w:rStyle w:val="Hyperlink"/>
                  <w:sz w:val="24"/>
                  <w:szCs w:val="24"/>
                </w:rPr>
                <w:t xml:space="preserve">Strategija </w:t>
              </w:r>
              <w:proofErr w:type="spellStart"/>
              <w:r w:rsidRPr="00936B94">
                <w:rPr>
                  <w:rStyle w:val="Hyperlink"/>
                  <w:sz w:val="24"/>
                  <w:szCs w:val="24"/>
                </w:rPr>
                <w:t>niskougljičnog</w:t>
              </w:r>
              <w:proofErr w:type="spellEnd"/>
              <w:r w:rsidRPr="00936B94">
                <w:rPr>
                  <w:rStyle w:val="Hyperlink"/>
                  <w:sz w:val="24"/>
                  <w:szCs w:val="24"/>
                </w:rPr>
                <w:t xml:space="preserve"> razvoja Republike Hrvatske do 2030. s pogledom na 2050. godinu</w:t>
              </w:r>
            </w:hyperlink>
          </w:p>
        </w:tc>
        <w:tc>
          <w:tcPr>
            <w:tcW w:w="3118" w:type="dxa"/>
            <w:vMerge/>
          </w:tcPr>
          <w:p w14:paraId="7BBD8248" w14:textId="77777777" w:rsidR="00FB178A" w:rsidRPr="00936B94" w:rsidRDefault="00FB178A" w:rsidP="009E18ED">
            <w:pPr>
              <w:spacing w:before="240" w:line="276" w:lineRule="auto"/>
              <w:jc w:val="center"/>
              <w:rPr>
                <w:noProof/>
                <w:sz w:val="24"/>
                <w:szCs w:val="24"/>
              </w:rPr>
            </w:pPr>
          </w:p>
        </w:tc>
      </w:tr>
      <w:tr w:rsidR="00FB178A" w:rsidRPr="00145379" w14:paraId="73BBC781" w14:textId="77777777" w:rsidTr="009E18ED">
        <w:trPr>
          <w:trHeight w:val="704"/>
          <w:jc w:val="center"/>
        </w:trPr>
        <w:tc>
          <w:tcPr>
            <w:tcW w:w="2972" w:type="dxa"/>
            <w:vMerge/>
            <w:vAlign w:val="center"/>
          </w:tcPr>
          <w:p w14:paraId="0A1E2822" w14:textId="77777777" w:rsidR="00FB178A" w:rsidRPr="00073087" w:rsidRDefault="00FB178A" w:rsidP="009E18ED">
            <w:pPr>
              <w:spacing w:line="276" w:lineRule="auto"/>
              <w:rPr>
                <w:sz w:val="24"/>
                <w:szCs w:val="24"/>
              </w:rPr>
            </w:pPr>
          </w:p>
        </w:tc>
        <w:tc>
          <w:tcPr>
            <w:tcW w:w="8224" w:type="dxa"/>
            <w:shd w:val="clear" w:color="auto" w:fill="DBE5F1" w:themeFill="accent1" w:themeFillTint="33"/>
            <w:vAlign w:val="center"/>
          </w:tcPr>
          <w:p w14:paraId="41F664D6" w14:textId="77777777" w:rsidR="00FB178A" w:rsidRPr="00936B94" w:rsidRDefault="00FB178A" w:rsidP="009E18ED">
            <w:pPr>
              <w:pStyle w:val="ListParagraph"/>
              <w:widowControl/>
              <w:numPr>
                <w:ilvl w:val="0"/>
                <w:numId w:val="2"/>
              </w:numPr>
              <w:autoSpaceDE/>
              <w:autoSpaceDN/>
              <w:spacing w:line="276" w:lineRule="auto"/>
              <w:ind w:left="564"/>
              <w:contextualSpacing/>
            </w:pPr>
            <w:hyperlink r:id="rId30" w:history="1">
              <w:r w:rsidRPr="00936B94">
                <w:rPr>
                  <w:rStyle w:val="Hyperlink"/>
                  <w:sz w:val="24"/>
                  <w:szCs w:val="24"/>
                </w:rPr>
                <w:t>Strategija prilagodbe klimatskim promjenama u Republici Hrvatskoj za razdoblje do 2040. godine s pogledom na 2070. godinu</w:t>
              </w:r>
            </w:hyperlink>
          </w:p>
        </w:tc>
        <w:tc>
          <w:tcPr>
            <w:tcW w:w="3118" w:type="dxa"/>
            <w:vMerge/>
          </w:tcPr>
          <w:p w14:paraId="24874055" w14:textId="77777777" w:rsidR="00FB178A" w:rsidRPr="00936B94" w:rsidRDefault="00FB178A" w:rsidP="009E18ED">
            <w:pPr>
              <w:spacing w:before="240" w:line="276" w:lineRule="auto"/>
              <w:jc w:val="center"/>
              <w:rPr>
                <w:noProof/>
                <w:sz w:val="24"/>
                <w:szCs w:val="24"/>
              </w:rPr>
            </w:pPr>
          </w:p>
        </w:tc>
      </w:tr>
      <w:tr w:rsidR="00FB178A" w:rsidRPr="00145379" w14:paraId="4FCE44E7" w14:textId="77777777" w:rsidTr="009E18ED">
        <w:trPr>
          <w:trHeight w:val="855"/>
          <w:jc w:val="center"/>
        </w:trPr>
        <w:tc>
          <w:tcPr>
            <w:tcW w:w="2972" w:type="dxa"/>
            <w:vMerge/>
            <w:vAlign w:val="center"/>
          </w:tcPr>
          <w:p w14:paraId="05E19CC6" w14:textId="77777777" w:rsidR="00FB178A" w:rsidRPr="00073087" w:rsidRDefault="00FB178A" w:rsidP="009E18ED">
            <w:pPr>
              <w:spacing w:line="276" w:lineRule="auto"/>
              <w:rPr>
                <w:sz w:val="24"/>
                <w:szCs w:val="24"/>
              </w:rPr>
            </w:pPr>
          </w:p>
        </w:tc>
        <w:tc>
          <w:tcPr>
            <w:tcW w:w="8224" w:type="dxa"/>
            <w:shd w:val="clear" w:color="auto" w:fill="DBE5F1" w:themeFill="accent1" w:themeFillTint="33"/>
            <w:vAlign w:val="center"/>
          </w:tcPr>
          <w:p w14:paraId="3B48039D" w14:textId="77777777" w:rsidR="00FB178A" w:rsidRPr="00936B94" w:rsidRDefault="00FB178A" w:rsidP="009E18ED">
            <w:pPr>
              <w:pStyle w:val="ListParagraph"/>
              <w:widowControl/>
              <w:numPr>
                <w:ilvl w:val="0"/>
                <w:numId w:val="2"/>
              </w:numPr>
              <w:autoSpaceDE/>
              <w:autoSpaceDN/>
              <w:spacing w:line="276" w:lineRule="auto"/>
              <w:ind w:left="564"/>
              <w:contextualSpacing/>
            </w:pPr>
            <w:hyperlink r:id="rId31" w:history="1">
              <w:r w:rsidRPr="00936B94">
                <w:rPr>
                  <w:rStyle w:val="Hyperlink"/>
                  <w:sz w:val="24"/>
                  <w:szCs w:val="24"/>
                </w:rPr>
                <w:t xml:space="preserve">Integrirani nacionalni energetski i klimatski plan za Republiku Hrvatsku za razdoblje od 2021. do 2030. godine </w:t>
              </w:r>
            </w:hyperlink>
          </w:p>
        </w:tc>
        <w:tc>
          <w:tcPr>
            <w:tcW w:w="3118" w:type="dxa"/>
            <w:vMerge/>
          </w:tcPr>
          <w:p w14:paraId="54BF73E7" w14:textId="77777777" w:rsidR="00FB178A" w:rsidRPr="00936B94" w:rsidRDefault="00FB178A" w:rsidP="009E18ED">
            <w:pPr>
              <w:spacing w:before="240" w:line="276" w:lineRule="auto"/>
              <w:jc w:val="center"/>
              <w:rPr>
                <w:noProof/>
                <w:sz w:val="24"/>
                <w:szCs w:val="24"/>
              </w:rPr>
            </w:pPr>
          </w:p>
        </w:tc>
      </w:tr>
      <w:tr w:rsidR="00FB178A" w:rsidRPr="00145379" w14:paraId="4BBA9556" w14:textId="77777777" w:rsidTr="009E18ED">
        <w:trPr>
          <w:trHeight w:val="131"/>
          <w:jc w:val="center"/>
        </w:trPr>
        <w:tc>
          <w:tcPr>
            <w:tcW w:w="2972" w:type="dxa"/>
            <w:vMerge/>
            <w:vAlign w:val="center"/>
          </w:tcPr>
          <w:p w14:paraId="37361F8B" w14:textId="77777777" w:rsidR="00FB178A" w:rsidRPr="00073087" w:rsidRDefault="00FB178A" w:rsidP="009E18ED">
            <w:pPr>
              <w:spacing w:line="276" w:lineRule="auto"/>
              <w:rPr>
                <w:sz w:val="24"/>
                <w:szCs w:val="24"/>
              </w:rPr>
            </w:pPr>
          </w:p>
        </w:tc>
        <w:tc>
          <w:tcPr>
            <w:tcW w:w="8224" w:type="dxa"/>
            <w:shd w:val="clear" w:color="auto" w:fill="DBE5F1" w:themeFill="accent1" w:themeFillTint="33"/>
            <w:vAlign w:val="center"/>
          </w:tcPr>
          <w:p w14:paraId="3264F83B" w14:textId="77777777" w:rsidR="00FB178A" w:rsidRPr="00936B94" w:rsidRDefault="00FB178A" w:rsidP="009E18ED">
            <w:pPr>
              <w:pStyle w:val="ListParagraph"/>
              <w:widowControl/>
              <w:numPr>
                <w:ilvl w:val="0"/>
                <w:numId w:val="2"/>
              </w:numPr>
              <w:autoSpaceDE/>
              <w:autoSpaceDN/>
              <w:spacing w:line="276" w:lineRule="auto"/>
              <w:ind w:left="564"/>
              <w:contextualSpacing/>
            </w:pPr>
            <w:hyperlink r:id="rId32" w:history="1">
              <w:proofErr w:type="spellStart"/>
              <w:r w:rsidRPr="00936B94">
                <w:rPr>
                  <w:rStyle w:val="Hyperlink"/>
                  <w:sz w:val="24"/>
                  <w:szCs w:val="24"/>
                </w:rPr>
                <w:t>Višegodišnji</w:t>
              </w:r>
              <w:proofErr w:type="spellEnd"/>
              <w:r w:rsidRPr="00936B94">
                <w:rPr>
                  <w:rStyle w:val="Hyperlink"/>
                  <w:sz w:val="24"/>
                  <w:szCs w:val="24"/>
                </w:rPr>
                <w:t xml:space="preserve"> program gradnje komunalnih vodnih građevina za razdoblje do 2030. godine </w:t>
              </w:r>
            </w:hyperlink>
          </w:p>
        </w:tc>
        <w:tc>
          <w:tcPr>
            <w:tcW w:w="3118" w:type="dxa"/>
            <w:vMerge/>
          </w:tcPr>
          <w:p w14:paraId="6693B604" w14:textId="77777777" w:rsidR="00FB178A" w:rsidRPr="00936B94" w:rsidRDefault="00FB178A" w:rsidP="009E18ED">
            <w:pPr>
              <w:spacing w:before="240" w:line="276" w:lineRule="auto"/>
              <w:jc w:val="center"/>
              <w:rPr>
                <w:noProof/>
                <w:sz w:val="24"/>
                <w:szCs w:val="24"/>
              </w:rPr>
            </w:pPr>
          </w:p>
        </w:tc>
      </w:tr>
      <w:tr w:rsidR="00FB178A" w:rsidRPr="00145379" w14:paraId="40E787DB" w14:textId="77777777" w:rsidTr="009E18ED">
        <w:trPr>
          <w:trHeight w:hRule="exact" w:val="625"/>
          <w:jc w:val="center"/>
        </w:trPr>
        <w:tc>
          <w:tcPr>
            <w:tcW w:w="2972" w:type="dxa"/>
            <w:vMerge/>
            <w:vAlign w:val="center"/>
          </w:tcPr>
          <w:p w14:paraId="4FFFF4EF" w14:textId="77777777" w:rsidR="00FB178A" w:rsidRPr="00073087" w:rsidRDefault="00FB178A" w:rsidP="009E18ED">
            <w:pPr>
              <w:spacing w:line="276" w:lineRule="auto"/>
              <w:rPr>
                <w:sz w:val="24"/>
                <w:szCs w:val="24"/>
              </w:rPr>
            </w:pPr>
          </w:p>
        </w:tc>
        <w:tc>
          <w:tcPr>
            <w:tcW w:w="8224" w:type="dxa"/>
            <w:shd w:val="clear" w:color="auto" w:fill="DBE5F1" w:themeFill="accent1" w:themeFillTint="33"/>
            <w:vAlign w:val="center"/>
          </w:tcPr>
          <w:p w14:paraId="296455DC" w14:textId="77777777" w:rsidR="00FB178A" w:rsidRPr="00936B94" w:rsidRDefault="00FB178A" w:rsidP="009E18ED">
            <w:pPr>
              <w:pStyle w:val="ListParagraph"/>
              <w:widowControl/>
              <w:numPr>
                <w:ilvl w:val="0"/>
                <w:numId w:val="2"/>
              </w:numPr>
              <w:autoSpaceDE/>
              <w:autoSpaceDN/>
              <w:spacing w:line="276" w:lineRule="auto"/>
              <w:ind w:left="564"/>
              <w:contextualSpacing/>
            </w:pPr>
            <w:hyperlink r:id="rId33" w:history="1">
              <w:r w:rsidRPr="00936B94">
                <w:rPr>
                  <w:rStyle w:val="Hyperlink"/>
                  <w:sz w:val="24"/>
                  <w:szCs w:val="24"/>
                </w:rPr>
                <w:t>Plan gospodarenja otpadom Republike Hrvatske za razdoblje 2023.</w:t>
              </w:r>
              <w:r>
                <w:rPr>
                  <w:rStyle w:val="Hyperlink"/>
                  <w:sz w:val="24"/>
                  <w:szCs w:val="24"/>
                </w:rPr>
                <w:t xml:space="preserve"> </w:t>
              </w:r>
              <w:r w:rsidRPr="00936B94">
                <w:rPr>
                  <w:rStyle w:val="Hyperlink"/>
                  <w:sz w:val="24"/>
                  <w:szCs w:val="24"/>
                </w:rPr>
                <w:t>-</w:t>
              </w:r>
              <w:r>
                <w:rPr>
                  <w:rStyle w:val="Hyperlink"/>
                  <w:sz w:val="24"/>
                  <w:szCs w:val="24"/>
                </w:rPr>
                <w:t xml:space="preserve"> </w:t>
              </w:r>
              <w:r w:rsidRPr="00936B94">
                <w:rPr>
                  <w:rStyle w:val="Hyperlink"/>
                  <w:sz w:val="24"/>
                  <w:szCs w:val="24"/>
                </w:rPr>
                <w:t>2028.</w:t>
              </w:r>
            </w:hyperlink>
            <w:r>
              <w:t xml:space="preserve"> </w:t>
            </w:r>
            <w:r w:rsidRPr="00602979">
              <w:rPr>
                <w:rStyle w:val="Hyperlink"/>
                <w:sz w:val="24"/>
                <w:szCs w:val="24"/>
              </w:rPr>
              <w:t>godine</w:t>
            </w:r>
          </w:p>
        </w:tc>
        <w:tc>
          <w:tcPr>
            <w:tcW w:w="3118" w:type="dxa"/>
            <w:vMerge/>
          </w:tcPr>
          <w:p w14:paraId="093E9505" w14:textId="77777777" w:rsidR="00FB178A" w:rsidRPr="00936B94" w:rsidRDefault="00FB178A" w:rsidP="009E18ED">
            <w:pPr>
              <w:spacing w:before="240" w:line="276" w:lineRule="auto"/>
              <w:jc w:val="center"/>
              <w:rPr>
                <w:noProof/>
                <w:sz w:val="24"/>
                <w:szCs w:val="24"/>
              </w:rPr>
            </w:pPr>
          </w:p>
        </w:tc>
      </w:tr>
      <w:tr w:rsidR="00FB178A" w:rsidRPr="00145379" w14:paraId="34A2E5AD" w14:textId="77777777" w:rsidTr="009E18ED">
        <w:trPr>
          <w:trHeight w:hRule="exact" w:val="723"/>
          <w:jc w:val="center"/>
        </w:trPr>
        <w:tc>
          <w:tcPr>
            <w:tcW w:w="2972" w:type="dxa"/>
            <w:vMerge/>
            <w:vAlign w:val="center"/>
          </w:tcPr>
          <w:p w14:paraId="0D53A864" w14:textId="77777777" w:rsidR="00FB178A" w:rsidRPr="00073087" w:rsidRDefault="00FB178A" w:rsidP="009E18ED">
            <w:pPr>
              <w:spacing w:line="276" w:lineRule="auto"/>
              <w:rPr>
                <w:sz w:val="24"/>
                <w:szCs w:val="24"/>
              </w:rPr>
            </w:pPr>
          </w:p>
        </w:tc>
        <w:tc>
          <w:tcPr>
            <w:tcW w:w="8224" w:type="dxa"/>
            <w:shd w:val="clear" w:color="auto" w:fill="DBE5F1" w:themeFill="accent1" w:themeFillTint="33"/>
            <w:vAlign w:val="center"/>
          </w:tcPr>
          <w:p w14:paraId="5D6FB0E9" w14:textId="77777777" w:rsidR="00FB178A" w:rsidRDefault="00FB178A" w:rsidP="009E18ED">
            <w:pPr>
              <w:pStyle w:val="ListParagraph"/>
              <w:widowControl/>
              <w:numPr>
                <w:ilvl w:val="0"/>
                <w:numId w:val="2"/>
              </w:numPr>
              <w:autoSpaceDE/>
              <w:autoSpaceDN/>
              <w:spacing w:line="276" w:lineRule="auto"/>
              <w:ind w:left="564"/>
              <w:contextualSpacing/>
            </w:pPr>
            <w:hyperlink r:id="rId34" w:history="1">
              <w:r w:rsidRPr="00E5374D">
                <w:rPr>
                  <w:rStyle w:val="Hyperlink"/>
                  <w:sz w:val="24"/>
                  <w:szCs w:val="24"/>
                </w:rPr>
                <w:t>Višegodišnji program gradnje regulacijskih i zaštitnih vodnih građevina i građevina za melioracije za razdoblje do 2030. godine</w:t>
              </w:r>
            </w:hyperlink>
          </w:p>
        </w:tc>
        <w:tc>
          <w:tcPr>
            <w:tcW w:w="3118" w:type="dxa"/>
            <w:vMerge/>
          </w:tcPr>
          <w:p w14:paraId="20E2B768" w14:textId="77777777" w:rsidR="00FB178A" w:rsidRPr="00936B94" w:rsidRDefault="00FB178A" w:rsidP="009E18ED">
            <w:pPr>
              <w:spacing w:before="240" w:line="276" w:lineRule="auto"/>
              <w:jc w:val="center"/>
              <w:rPr>
                <w:noProof/>
                <w:sz w:val="24"/>
                <w:szCs w:val="24"/>
              </w:rPr>
            </w:pPr>
          </w:p>
        </w:tc>
      </w:tr>
      <w:tr w:rsidR="00FB178A" w:rsidRPr="00145379" w14:paraId="7BA44D26" w14:textId="77777777" w:rsidTr="009E18ED">
        <w:trPr>
          <w:trHeight w:val="421"/>
          <w:jc w:val="center"/>
        </w:trPr>
        <w:tc>
          <w:tcPr>
            <w:tcW w:w="2972" w:type="dxa"/>
            <w:vAlign w:val="center"/>
          </w:tcPr>
          <w:p w14:paraId="6851EFF8" w14:textId="77777777" w:rsidR="00FB178A" w:rsidRPr="00936B94" w:rsidRDefault="00FB178A" w:rsidP="009E18ED">
            <w:pPr>
              <w:spacing w:line="276" w:lineRule="auto"/>
              <w:rPr>
                <w:rFonts w:eastAsia="Calibri"/>
                <w:sz w:val="24"/>
                <w:szCs w:val="24"/>
              </w:rPr>
            </w:pPr>
            <w:r w:rsidRPr="00936B94">
              <w:rPr>
                <w:rFonts w:eastAsia="Calibri"/>
                <w:sz w:val="24"/>
                <w:szCs w:val="24"/>
              </w:rPr>
              <w:t>Ministarstvo kulture i medija</w:t>
            </w:r>
          </w:p>
        </w:tc>
        <w:tc>
          <w:tcPr>
            <w:tcW w:w="8224" w:type="dxa"/>
            <w:shd w:val="clear" w:color="auto" w:fill="DBE5F1" w:themeFill="accent1" w:themeFillTint="33"/>
            <w:vAlign w:val="center"/>
          </w:tcPr>
          <w:p w14:paraId="2A6FD9EE" w14:textId="77777777" w:rsidR="00FB178A" w:rsidRPr="00936B94" w:rsidRDefault="00FB178A" w:rsidP="009E18ED">
            <w:pPr>
              <w:pStyle w:val="ListParagraph"/>
              <w:widowControl/>
              <w:numPr>
                <w:ilvl w:val="0"/>
                <w:numId w:val="2"/>
              </w:numPr>
              <w:autoSpaceDE/>
              <w:autoSpaceDN/>
              <w:spacing w:line="276" w:lineRule="auto"/>
              <w:ind w:left="564"/>
              <w:contextualSpacing/>
              <w:rPr>
                <w:rFonts w:eastAsia="Calibri"/>
                <w:sz w:val="24"/>
                <w:szCs w:val="24"/>
              </w:rPr>
            </w:pPr>
            <w:hyperlink r:id="rId35" w:history="1">
              <w:r w:rsidRPr="00936B94">
                <w:rPr>
                  <w:rStyle w:val="Hyperlink"/>
                  <w:rFonts w:eastAsia="Calibri"/>
                  <w:sz w:val="24"/>
                  <w:szCs w:val="24"/>
                </w:rPr>
                <w:t>Nacionalni plan razvoja kulture i medija za razdoblje od 2023. do 2027. godine</w:t>
              </w:r>
            </w:hyperlink>
          </w:p>
        </w:tc>
        <w:tc>
          <w:tcPr>
            <w:tcW w:w="3118" w:type="dxa"/>
            <w:vAlign w:val="center"/>
          </w:tcPr>
          <w:p w14:paraId="20085B53" w14:textId="77777777" w:rsidR="00FB178A" w:rsidRPr="00936B94" w:rsidRDefault="00FB178A" w:rsidP="009E18ED">
            <w:pPr>
              <w:spacing w:line="276" w:lineRule="auto"/>
              <w:jc w:val="center"/>
              <w:rPr>
                <w:noProof/>
                <w:sz w:val="24"/>
                <w:szCs w:val="24"/>
              </w:rPr>
            </w:pPr>
            <w:r w:rsidRPr="00936B94">
              <w:rPr>
                <w:noProof/>
                <w:sz w:val="24"/>
                <w:szCs w:val="24"/>
                <w:lang w:eastAsia="hr-HR"/>
              </w:rPr>
              <w:drawing>
                <wp:inline distT="0" distB="0" distL="0" distR="0" wp14:anchorId="51948D2C" wp14:editId="4AF8BBC2">
                  <wp:extent cx="581025" cy="552450"/>
                  <wp:effectExtent l="0" t="0" r="9525" b="0"/>
                  <wp:docPr id="2100495880" name="Picture 2002009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81025" cy="552450"/>
                          </a:xfrm>
                          <a:prstGeom prst="rect">
                            <a:avLst/>
                          </a:prstGeom>
                          <a:noFill/>
                          <a:ln>
                            <a:noFill/>
                          </a:ln>
                        </pic:spPr>
                      </pic:pic>
                    </a:graphicData>
                  </a:graphic>
                </wp:inline>
              </w:drawing>
            </w:r>
          </w:p>
        </w:tc>
      </w:tr>
      <w:tr w:rsidR="00FB178A" w:rsidRPr="00145379" w14:paraId="08CA3BC4" w14:textId="77777777" w:rsidTr="009E18ED">
        <w:trPr>
          <w:trHeight w:val="479"/>
          <w:jc w:val="center"/>
        </w:trPr>
        <w:tc>
          <w:tcPr>
            <w:tcW w:w="2972" w:type="dxa"/>
            <w:vMerge w:val="restart"/>
            <w:vAlign w:val="center"/>
          </w:tcPr>
          <w:p w14:paraId="6930AE60" w14:textId="77777777" w:rsidR="00FB178A" w:rsidRPr="00936B94" w:rsidRDefault="00FB178A" w:rsidP="009E18ED">
            <w:pPr>
              <w:spacing w:line="276" w:lineRule="auto"/>
              <w:rPr>
                <w:sz w:val="24"/>
                <w:szCs w:val="24"/>
              </w:rPr>
            </w:pPr>
            <w:r w:rsidRPr="00936B94">
              <w:rPr>
                <w:rFonts w:eastAsia="Calibri"/>
                <w:sz w:val="24"/>
                <w:szCs w:val="24"/>
              </w:rPr>
              <w:t>Ministarstvo mora, prometa i infrastrukture</w:t>
            </w:r>
          </w:p>
        </w:tc>
        <w:tc>
          <w:tcPr>
            <w:tcW w:w="8224" w:type="dxa"/>
            <w:shd w:val="clear" w:color="auto" w:fill="DBE5F1" w:themeFill="accent1" w:themeFillTint="33"/>
            <w:vAlign w:val="center"/>
          </w:tcPr>
          <w:p w14:paraId="0B9E9795" w14:textId="77777777" w:rsidR="00FB178A" w:rsidRPr="00936B94" w:rsidRDefault="00FB178A" w:rsidP="009E18ED">
            <w:pPr>
              <w:pStyle w:val="ListParagraph"/>
              <w:widowControl/>
              <w:numPr>
                <w:ilvl w:val="0"/>
                <w:numId w:val="2"/>
              </w:numPr>
              <w:autoSpaceDE/>
              <w:autoSpaceDN/>
              <w:spacing w:line="276" w:lineRule="auto"/>
              <w:ind w:left="564"/>
              <w:contextualSpacing/>
              <w:rPr>
                <w:sz w:val="24"/>
                <w:szCs w:val="24"/>
              </w:rPr>
            </w:pPr>
            <w:hyperlink r:id="rId36" w:history="1">
              <w:r w:rsidRPr="00936B94">
                <w:rPr>
                  <w:rStyle w:val="Hyperlink"/>
                  <w:rFonts w:eastAsia="Calibri"/>
                  <w:sz w:val="24"/>
                  <w:szCs w:val="24"/>
                </w:rPr>
                <w:t xml:space="preserve">Strategija razvoja </w:t>
              </w:r>
              <w:r w:rsidRPr="00936B94">
                <w:rPr>
                  <w:rStyle w:val="Hyperlink"/>
                  <w:sz w:val="24"/>
                  <w:szCs w:val="24"/>
                </w:rPr>
                <w:t xml:space="preserve">željezničkog sustava </w:t>
              </w:r>
              <w:r w:rsidRPr="00936B94">
                <w:rPr>
                  <w:rStyle w:val="Hyperlink"/>
                  <w:rFonts w:eastAsia="Calibri"/>
                  <w:sz w:val="24"/>
                  <w:szCs w:val="24"/>
                </w:rPr>
                <w:t xml:space="preserve">Republike Hrvatske do </w:t>
              </w:r>
              <w:r w:rsidRPr="00936B94">
                <w:rPr>
                  <w:rStyle w:val="Hyperlink"/>
                  <w:sz w:val="24"/>
                  <w:szCs w:val="24"/>
                </w:rPr>
                <w:t>2032.</w:t>
              </w:r>
              <w:r w:rsidRPr="00936B94">
                <w:rPr>
                  <w:rStyle w:val="Hyperlink"/>
                  <w:rFonts w:eastAsia="Calibri"/>
                  <w:sz w:val="24"/>
                  <w:szCs w:val="24"/>
                </w:rPr>
                <w:t xml:space="preserve"> godine</w:t>
              </w:r>
            </w:hyperlink>
          </w:p>
        </w:tc>
        <w:tc>
          <w:tcPr>
            <w:tcW w:w="3118" w:type="dxa"/>
            <w:vMerge w:val="restart"/>
            <w:vAlign w:val="center"/>
          </w:tcPr>
          <w:p w14:paraId="5E29E886" w14:textId="77777777" w:rsidR="00FB178A" w:rsidRPr="00936B94" w:rsidRDefault="00FB178A" w:rsidP="009E18ED">
            <w:pPr>
              <w:spacing w:line="276" w:lineRule="auto"/>
              <w:jc w:val="center"/>
              <w:rPr>
                <w:sz w:val="24"/>
                <w:szCs w:val="24"/>
              </w:rPr>
            </w:pPr>
            <w:r w:rsidRPr="00936B94">
              <w:rPr>
                <w:noProof/>
                <w:sz w:val="24"/>
                <w:szCs w:val="24"/>
                <w:lang w:eastAsia="hr-HR"/>
              </w:rPr>
              <w:drawing>
                <wp:inline distT="0" distB="0" distL="0" distR="0" wp14:anchorId="4347D519" wp14:editId="35C6EED5">
                  <wp:extent cx="561975" cy="533400"/>
                  <wp:effectExtent l="0" t="0" r="9525" b="0"/>
                  <wp:docPr id="514197392" name="Picture 514197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61975" cy="533400"/>
                          </a:xfrm>
                          <a:prstGeom prst="rect">
                            <a:avLst/>
                          </a:prstGeom>
                          <a:noFill/>
                          <a:ln>
                            <a:noFill/>
                          </a:ln>
                        </pic:spPr>
                      </pic:pic>
                    </a:graphicData>
                  </a:graphic>
                </wp:inline>
              </w:drawing>
            </w:r>
          </w:p>
        </w:tc>
      </w:tr>
      <w:tr w:rsidR="00FB178A" w:rsidRPr="00145379" w14:paraId="04753843" w14:textId="77777777" w:rsidTr="009E18ED">
        <w:trPr>
          <w:trHeight w:val="415"/>
          <w:jc w:val="center"/>
        </w:trPr>
        <w:tc>
          <w:tcPr>
            <w:tcW w:w="2972" w:type="dxa"/>
            <w:vMerge/>
            <w:vAlign w:val="center"/>
          </w:tcPr>
          <w:p w14:paraId="516394EF" w14:textId="77777777" w:rsidR="00FB178A" w:rsidRPr="00073087" w:rsidRDefault="00FB178A" w:rsidP="009E18ED">
            <w:pPr>
              <w:spacing w:line="276" w:lineRule="auto"/>
              <w:rPr>
                <w:sz w:val="24"/>
                <w:szCs w:val="24"/>
              </w:rPr>
            </w:pPr>
          </w:p>
        </w:tc>
        <w:tc>
          <w:tcPr>
            <w:tcW w:w="8224" w:type="dxa"/>
            <w:shd w:val="clear" w:color="auto" w:fill="DBE5F1" w:themeFill="accent1" w:themeFillTint="33"/>
            <w:vAlign w:val="center"/>
          </w:tcPr>
          <w:p w14:paraId="745580A5" w14:textId="77777777" w:rsidR="00FB178A" w:rsidRPr="00936B94" w:rsidRDefault="00FB178A" w:rsidP="009E18ED">
            <w:pPr>
              <w:pStyle w:val="ListParagraph"/>
              <w:widowControl/>
              <w:numPr>
                <w:ilvl w:val="0"/>
                <w:numId w:val="2"/>
              </w:numPr>
              <w:autoSpaceDE/>
              <w:autoSpaceDN/>
              <w:spacing w:line="276" w:lineRule="auto"/>
              <w:ind w:left="564"/>
              <w:contextualSpacing/>
              <w:rPr>
                <w:sz w:val="24"/>
                <w:szCs w:val="24"/>
              </w:rPr>
            </w:pPr>
            <w:hyperlink r:id="rId38" w:history="1">
              <w:r w:rsidRPr="00936B94">
                <w:rPr>
                  <w:rStyle w:val="Hyperlink"/>
                  <w:sz w:val="24"/>
                  <w:szCs w:val="24"/>
                </w:rPr>
                <w:t>Nacionalni plan razvoja željezničke infrastrukture za razdoblje do 2030. godine</w:t>
              </w:r>
            </w:hyperlink>
          </w:p>
        </w:tc>
        <w:tc>
          <w:tcPr>
            <w:tcW w:w="3118" w:type="dxa"/>
            <w:vMerge/>
          </w:tcPr>
          <w:p w14:paraId="0F352265" w14:textId="77777777" w:rsidR="00FB178A" w:rsidRPr="00936B94" w:rsidRDefault="00FB178A" w:rsidP="009E18ED">
            <w:pPr>
              <w:spacing w:line="276" w:lineRule="auto"/>
              <w:rPr>
                <w:sz w:val="24"/>
                <w:szCs w:val="24"/>
              </w:rPr>
            </w:pPr>
          </w:p>
        </w:tc>
      </w:tr>
      <w:tr w:rsidR="00FB178A" w:rsidRPr="00145379" w14:paraId="591CCAA7" w14:textId="77777777" w:rsidTr="009E18ED">
        <w:trPr>
          <w:trHeight w:val="705"/>
          <w:jc w:val="center"/>
        </w:trPr>
        <w:tc>
          <w:tcPr>
            <w:tcW w:w="2972" w:type="dxa"/>
            <w:vMerge/>
            <w:vAlign w:val="center"/>
          </w:tcPr>
          <w:p w14:paraId="1FFC2554" w14:textId="77777777" w:rsidR="00FB178A" w:rsidRPr="00073087" w:rsidRDefault="00FB178A" w:rsidP="009E18ED">
            <w:pPr>
              <w:spacing w:line="276" w:lineRule="auto"/>
              <w:rPr>
                <w:sz w:val="24"/>
                <w:szCs w:val="24"/>
              </w:rPr>
            </w:pPr>
          </w:p>
        </w:tc>
        <w:tc>
          <w:tcPr>
            <w:tcW w:w="8224" w:type="dxa"/>
            <w:shd w:val="clear" w:color="auto" w:fill="DBE5F1" w:themeFill="accent1" w:themeFillTint="33"/>
            <w:vAlign w:val="center"/>
          </w:tcPr>
          <w:p w14:paraId="2730C9D4" w14:textId="77777777" w:rsidR="00FB178A" w:rsidRPr="00936B94" w:rsidRDefault="00FB178A" w:rsidP="009E18ED">
            <w:pPr>
              <w:pStyle w:val="ListParagraph"/>
              <w:widowControl/>
              <w:numPr>
                <w:ilvl w:val="0"/>
                <w:numId w:val="2"/>
              </w:numPr>
              <w:autoSpaceDE/>
              <w:autoSpaceDN/>
              <w:spacing w:line="276" w:lineRule="auto"/>
              <w:ind w:left="564"/>
              <w:contextualSpacing/>
              <w:rPr>
                <w:sz w:val="24"/>
                <w:szCs w:val="24"/>
              </w:rPr>
            </w:pPr>
            <w:hyperlink r:id="rId39" w:history="1">
              <w:r w:rsidRPr="00936B94">
                <w:rPr>
                  <w:rStyle w:val="Hyperlink"/>
                  <w:sz w:val="24"/>
                  <w:szCs w:val="24"/>
                </w:rPr>
                <w:t>Nacionalni plan upravljanja željezničkom infrastrukturom i uslužnim objektima i razvoja usluga željezničkog prijevoza za razdoblje do 2030. godine</w:t>
              </w:r>
            </w:hyperlink>
          </w:p>
        </w:tc>
        <w:tc>
          <w:tcPr>
            <w:tcW w:w="3118" w:type="dxa"/>
            <w:vMerge/>
          </w:tcPr>
          <w:p w14:paraId="15BB9A57" w14:textId="77777777" w:rsidR="00FB178A" w:rsidRPr="00936B94" w:rsidRDefault="00FB178A" w:rsidP="009E18ED">
            <w:pPr>
              <w:spacing w:line="276" w:lineRule="auto"/>
              <w:rPr>
                <w:sz w:val="24"/>
                <w:szCs w:val="24"/>
              </w:rPr>
            </w:pPr>
          </w:p>
        </w:tc>
      </w:tr>
      <w:tr w:rsidR="00FB178A" w:rsidRPr="00145379" w14:paraId="578649A2" w14:textId="77777777" w:rsidTr="009E18ED">
        <w:trPr>
          <w:trHeight w:val="559"/>
          <w:jc w:val="center"/>
        </w:trPr>
        <w:tc>
          <w:tcPr>
            <w:tcW w:w="2972" w:type="dxa"/>
            <w:vMerge/>
            <w:vAlign w:val="center"/>
          </w:tcPr>
          <w:p w14:paraId="40975AB6" w14:textId="77777777" w:rsidR="00FB178A" w:rsidRPr="00073087" w:rsidRDefault="00FB178A" w:rsidP="009E18ED">
            <w:pPr>
              <w:spacing w:line="276" w:lineRule="auto"/>
              <w:rPr>
                <w:sz w:val="24"/>
                <w:szCs w:val="24"/>
              </w:rPr>
            </w:pPr>
          </w:p>
        </w:tc>
        <w:tc>
          <w:tcPr>
            <w:tcW w:w="8224" w:type="dxa"/>
            <w:shd w:val="clear" w:color="auto" w:fill="DBE5F1" w:themeFill="accent1" w:themeFillTint="33"/>
            <w:vAlign w:val="center"/>
          </w:tcPr>
          <w:p w14:paraId="097FBD21" w14:textId="77777777" w:rsidR="00FB178A" w:rsidRPr="00936B94" w:rsidRDefault="00FB178A" w:rsidP="009E18ED">
            <w:pPr>
              <w:pStyle w:val="ListParagraph"/>
              <w:widowControl/>
              <w:numPr>
                <w:ilvl w:val="0"/>
                <w:numId w:val="2"/>
              </w:numPr>
              <w:autoSpaceDE/>
              <w:autoSpaceDN/>
              <w:spacing w:line="276" w:lineRule="auto"/>
              <w:ind w:left="564"/>
              <w:contextualSpacing/>
              <w:rPr>
                <w:sz w:val="24"/>
                <w:szCs w:val="24"/>
              </w:rPr>
            </w:pPr>
            <w:hyperlink r:id="rId40" w:history="1">
              <w:r w:rsidRPr="00936B94">
                <w:rPr>
                  <w:rStyle w:val="Hyperlink"/>
                  <w:sz w:val="24"/>
                  <w:szCs w:val="24"/>
                </w:rPr>
                <w:t xml:space="preserve">Strategija razvitka </w:t>
              </w:r>
              <w:proofErr w:type="spellStart"/>
              <w:r w:rsidRPr="00936B94">
                <w:rPr>
                  <w:rStyle w:val="Hyperlink"/>
                  <w:sz w:val="24"/>
                  <w:szCs w:val="24"/>
                </w:rPr>
                <w:t>riječnog</w:t>
              </w:r>
              <w:proofErr w:type="spellEnd"/>
              <w:r w:rsidRPr="00936B94">
                <w:rPr>
                  <w:rStyle w:val="Hyperlink"/>
                  <w:sz w:val="24"/>
                  <w:szCs w:val="24"/>
                </w:rPr>
                <w:t xml:space="preserve"> prometa u Republici </w:t>
              </w:r>
              <w:r>
                <w:rPr>
                  <w:rStyle w:val="Hyperlink"/>
                  <w:sz w:val="24"/>
                  <w:szCs w:val="24"/>
                </w:rPr>
                <w:t>H</w:t>
              </w:r>
              <w:r>
                <w:rPr>
                  <w:rStyle w:val="Hyperlink"/>
                </w:rPr>
                <w:t xml:space="preserve">rvatskoj </w:t>
              </w:r>
              <w:r w:rsidRPr="00936B94">
                <w:rPr>
                  <w:rStyle w:val="Hyperlink"/>
                  <w:sz w:val="24"/>
                  <w:szCs w:val="24"/>
                </w:rPr>
                <w:t>za razdoblje od 2022. do 2032. godine</w:t>
              </w:r>
            </w:hyperlink>
          </w:p>
        </w:tc>
        <w:tc>
          <w:tcPr>
            <w:tcW w:w="3118" w:type="dxa"/>
            <w:vMerge/>
          </w:tcPr>
          <w:p w14:paraId="048759A2" w14:textId="77777777" w:rsidR="00FB178A" w:rsidRPr="00936B94" w:rsidRDefault="00FB178A" w:rsidP="009E18ED">
            <w:pPr>
              <w:spacing w:line="276" w:lineRule="auto"/>
              <w:rPr>
                <w:sz w:val="24"/>
                <w:szCs w:val="24"/>
              </w:rPr>
            </w:pPr>
          </w:p>
        </w:tc>
      </w:tr>
      <w:tr w:rsidR="00FB178A" w:rsidRPr="00145379" w14:paraId="1BA5EE3C" w14:textId="77777777" w:rsidTr="009E18ED">
        <w:trPr>
          <w:trHeight w:val="781"/>
          <w:jc w:val="center"/>
        </w:trPr>
        <w:tc>
          <w:tcPr>
            <w:tcW w:w="2972" w:type="dxa"/>
            <w:vMerge/>
            <w:vAlign w:val="center"/>
          </w:tcPr>
          <w:p w14:paraId="55C3A504" w14:textId="77777777" w:rsidR="00FB178A" w:rsidRPr="00073087" w:rsidRDefault="00FB178A" w:rsidP="009E18ED">
            <w:pPr>
              <w:spacing w:line="276" w:lineRule="auto"/>
              <w:rPr>
                <w:sz w:val="24"/>
                <w:szCs w:val="24"/>
              </w:rPr>
            </w:pPr>
          </w:p>
        </w:tc>
        <w:tc>
          <w:tcPr>
            <w:tcW w:w="8224" w:type="dxa"/>
            <w:shd w:val="clear" w:color="auto" w:fill="DBE5F1" w:themeFill="accent1" w:themeFillTint="33"/>
            <w:vAlign w:val="center"/>
          </w:tcPr>
          <w:p w14:paraId="4D9E6A23" w14:textId="77777777" w:rsidR="00FB178A" w:rsidRPr="00936B94" w:rsidRDefault="00FB178A" w:rsidP="009E18ED">
            <w:pPr>
              <w:pStyle w:val="ListParagraph"/>
              <w:widowControl/>
              <w:numPr>
                <w:ilvl w:val="0"/>
                <w:numId w:val="2"/>
              </w:numPr>
              <w:autoSpaceDE/>
              <w:autoSpaceDN/>
              <w:spacing w:line="276" w:lineRule="auto"/>
              <w:ind w:left="564"/>
              <w:contextualSpacing/>
              <w:rPr>
                <w:sz w:val="24"/>
                <w:szCs w:val="24"/>
              </w:rPr>
            </w:pPr>
            <w:hyperlink r:id="rId41" w:history="1">
              <w:r w:rsidRPr="00936B94">
                <w:rPr>
                  <w:rStyle w:val="Hyperlink"/>
                  <w:sz w:val="24"/>
                  <w:szCs w:val="24"/>
                </w:rPr>
                <w:t>Srednjoročni plan razvitka vodnih putova, luka i pristaništa Republike Hrvatske za razdoblje od 2022. do 2031. godine</w:t>
              </w:r>
            </w:hyperlink>
            <w:r w:rsidRPr="00936B94">
              <w:rPr>
                <w:sz w:val="24"/>
                <w:szCs w:val="24"/>
              </w:rPr>
              <w:t xml:space="preserve"> </w:t>
            </w:r>
          </w:p>
        </w:tc>
        <w:tc>
          <w:tcPr>
            <w:tcW w:w="3118" w:type="dxa"/>
            <w:vMerge/>
          </w:tcPr>
          <w:p w14:paraId="515A98D4" w14:textId="77777777" w:rsidR="00FB178A" w:rsidRPr="00936B94" w:rsidRDefault="00FB178A" w:rsidP="009E18ED">
            <w:pPr>
              <w:spacing w:line="276" w:lineRule="auto"/>
              <w:rPr>
                <w:sz w:val="24"/>
                <w:szCs w:val="24"/>
              </w:rPr>
            </w:pPr>
          </w:p>
        </w:tc>
      </w:tr>
      <w:tr w:rsidR="00FB178A" w:rsidRPr="00145379" w14:paraId="51114F9E" w14:textId="77777777" w:rsidTr="009E18ED">
        <w:trPr>
          <w:trHeight w:val="415"/>
          <w:jc w:val="center"/>
        </w:trPr>
        <w:tc>
          <w:tcPr>
            <w:tcW w:w="2972" w:type="dxa"/>
            <w:vMerge/>
            <w:vAlign w:val="center"/>
          </w:tcPr>
          <w:p w14:paraId="47B138E1" w14:textId="77777777" w:rsidR="00FB178A" w:rsidRPr="00073087" w:rsidRDefault="00FB178A" w:rsidP="009E18ED">
            <w:pPr>
              <w:spacing w:line="276" w:lineRule="auto"/>
              <w:rPr>
                <w:sz w:val="24"/>
                <w:szCs w:val="24"/>
              </w:rPr>
            </w:pPr>
          </w:p>
        </w:tc>
        <w:tc>
          <w:tcPr>
            <w:tcW w:w="8224" w:type="dxa"/>
            <w:shd w:val="clear" w:color="auto" w:fill="DBE5F1" w:themeFill="accent1" w:themeFillTint="33"/>
            <w:vAlign w:val="center"/>
          </w:tcPr>
          <w:p w14:paraId="74DFFBB5" w14:textId="77777777" w:rsidR="00FB178A" w:rsidRPr="00936B94" w:rsidRDefault="00FB178A" w:rsidP="009E18ED">
            <w:pPr>
              <w:pStyle w:val="ListParagraph"/>
              <w:widowControl/>
              <w:numPr>
                <w:ilvl w:val="0"/>
                <w:numId w:val="2"/>
              </w:numPr>
              <w:autoSpaceDE/>
              <w:autoSpaceDN/>
              <w:spacing w:line="276" w:lineRule="auto"/>
              <w:ind w:left="564"/>
              <w:contextualSpacing/>
              <w:rPr>
                <w:sz w:val="24"/>
                <w:szCs w:val="24"/>
              </w:rPr>
            </w:pPr>
            <w:hyperlink r:id="rId42" w:history="1">
              <w:r w:rsidRPr="00936B94">
                <w:rPr>
                  <w:rStyle w:val="Hyperlink"/>
                  <w:sz w:val="24"/>
                  <w:szCs w:val="24"/>
                </w:rPr>
                <w:t>Nacionalni plan razvoja biciklističkog prometa za razdoblje od 2023. do 2027. godine</w:t>
              </w:r>
            </w:hyperlink>
          </w:p>
        </w:tc>
        <w:tc>
          <w:tcPr>
            <w:tcW w:w="3118" w:type="dxa"/>
            <w:vMerge/>
          </w:tcPr>
          <w:p w14:paraId="4FC84524" w14:textId="77777777" w:rsidR="00FB178A" w:rsidRPr="00936B94" w:rsidRDefault="00FB178A" w:rsidP="009E18ED">
            <w:pPr>
              <w:spacing w:line="276" w:lineRule="auto"/>
              <w:rPr>
                <w:sz w:val="24"/>
                <w:szCs w:val="24"/>
              </w:rPr>
            </w:pPr>
          </w:p>
        </w:tc>
      </w:tr>
      <w:tr w:rsidR="00FB178A" w:rsidRPr="00145379" w14:paraId="26FABD14" w14:textId="77777777" w:rsidTr="009E18ED">
        <w:trPr>
          <w:jc w:val="center"/>
        </w:trPr>
        <w:tc>
          <w:tcPr>
            <w:tcW w:w="2972" w:type="dxa"/>
            <w:vAlign w:val="center"/>
          </w:tcPr>
          <w:p w14:paraId="20283C90" w14:textId="77777777" w:rsidR="00FB178A" w:rsidRPr="00936B94" w:rsidRDefault="00FB178A" w:rsidP="009E18ED">
            <w:pPr>
              <w:spacing w:line="276" w:lineRule="auto"/>
              <w:rPr>
                <w:sz w:val="24"/>
                <w:szCs w:val="24"/>
              </w:rPr>
            </w:pPr>
            <w:r w:rsidRPr="00936B94">
              <w:rPr>
                <w:sz w:val="24"/>
                <w:szCs w:val="24"/>
              </w:rPr>
              <w:t>Ministarstvo mora, prometa i infrastrukture</w:t>
            </w:r>
          </w:p>
        </w:tc>
        <w:tc>
          <w:tcPr>
            <w:tcW w:w="8224" w:type="dxa"/>
            <w:shd w:val="clear" w:color="auto" w:fill="DBE5F1" w:themeFill="accent1" w:themeFillTint="33"/>
            <w:vAlign w:val="center"/>
          </w:tcPr>
          <w:p w14:paraId="42A823D3" w14:textId="77777777" w:rsidR="00FB178A" w:rsidRPr="00936B94" w:rsidRDefault="00FB178A" w:rsidP="009E18ED">
            <w:pPr>
              <w:pStyle w:val="ListParagraph"/>
              <w:widowControl/>
              <w:numPr>
                <w:ilvl w:val="0"/>
                <w:numId w:val="2"/>
              </w:numPr>
              <w:autoSpaceDE/>
              <w:autoSpaceDN/>
              <w:spacing w:line="276" w:lineRule="auto"/>
              <w:ind w:left="564"/>
              <w:contextualSpacing/>
              <w:rPr>
                <w:sz w:val="24"/>
                <w:szCs w:val="24"/>
              </w:rPr>
            </w:pPr>
            <w:hyperlink r:id="rId43" w:history="1">
              <w:r w:rsidRPr="00936B94">
                <w:rPr>
                  <w:rStyle w:val="Hyperlink"/>
                  <w:sz w:val="24"/>
                  <w:szCs w:val="24"/>
                </w:rPr>
                <w:t xml:space="preserve">Nacionalni plan razvoja </w:t>
              </w:r>
              <w:proofErr w:type="spellStart"/>
              <w:r w:rsidRPr="00936B94">
                <w:rPr>
                  <w:rStyle w:val="Hyperlink"/>
                  <w:sz w:val="24"/>
                  <w:szCs w:val="24"/>
                </w:rPr>
                <w:t>širokopojasnog</w:t>
              </w:r>
              <w:proofErr w:type="spellEnd"/>
              <w:r w:rsidRPr="00936B94">
                <w:rPr>
                  <w:rStyle w:val="Hyperlink"/>
                  <w:sz w:val="24"/>
                  <w:szCs w:val="24"/>
                </w:rPr>
                <w:t xml:space="preserve"> pristupa u Republici Hrvatskoj u razdoblju od 2021. do 2027. godine</w:t>
              </w:r>
            </w:hyperlink>
          </w:p>
        </w:tc>
        <w:tc>
          <w:tcPr>
            <w:tcW w:w="3118" w:type="dxa"/>
            <w:vAlign w:val="center"/>
          </w:tcPr>
          <w:p w14:paraId="47732261" w14:textId="77777777" w:rsidR="00FB178A" w:rsidRPr="00936B94" w:rsidRDefault="00FB178A" w:rsidP="009E18ED">
            <w:pPr>
              <w:spacing w:line="276" w:lineRule="auto"/>
              <w:jc w:val="center"/>
              <w:rPr>
                <w:bCs/>
                <w:sz w:val="24"/>
                <w:szCs w:val="24"/>
              </w:rPr>
            </w:pPr>
            <w:r w:rsidRPr="00936B94">
              <w:rPr>
                <w:noProof/>
                <w:sz w:val="24"/>
                <w:szCs w:val="24"/>
                <w:lang w:eastAsia="hr-HR"/>
              </w:rPr>
              <w:drawing>
                <wp:inline distT="0" distB="0" distL="0" distR="0" wp14:anchorId="2BC5378C" wp14:editId="47F0CB5A">
                  <wp:extent cx="561975" cy="5334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61975" cy="533400"/>
                          </a:xfrm>
                          <a:prstGeom prst="rect">
                            <a:avLst/>
                          </a:prstGeom>
                          <a:noFill/>
                          <a:ln>
                            <a:noFill/>
                          </a:ln>
                        </pic:spPr>
                      </pic:pic>
                    </a:graphicData>
                  </a:graphic>
                </wp:inline>
              </w:drawing>
            </w:r>
          </w:p>
        </w:tc>
      </w:tr>
      <w:tr w:rsidR="00FB178A" w:rsidRPr="00145379" w14:paraId="619E97E5" w14:textId="77777777" w:rsidTr="009E18ED">
        <w:trPr>
          <w:trHeight w:val="895"/>
          <w:jc w:val="center"/>
        </w:trPr>
        <w:tc>
          <w:tcPr>
            <w:tcW w:w="2972" w:type="dxa"/>
            <w:vAlign w:val="center"/>
          </w:tcPr>
          <w:p w14:paraId="7C3479EF" w14:textId="77777777" w:rsidR="00FB178A" w:rsidRPr="00B51DED" w:rsidRDefault="00FB178A" w:rsidP="009E18ED">
            <w:pPr>
              <w:spacing w:line="276" w:lineRule="auto"/>
              <w:rPr>
                <w:sz w:val="24"/>
                <w:szCs w:val="24"/>
              </w:rPr>
            </w:pPr>
            <w:r w:rsidRPr="00B51DED">
              <w:rPr>
                <w:color w:val="000000" w:themeColor="text1"/>
                <w:sz w:val="24"/>
                <w:szCs w:val="24"/>
              </w:rPr>
              <w:t>Ministarstvo obrane</w:t>
            </w:r>
          </w:p>
        </w:tc>
        <w:tc>
          <w:tcPr>
            <w:tcW w:w="8224" w:type="dxa"/>
            <w:shd w:val="clear" w:color="auto" w:fill="DBE5F1" w:themeFill="accent1" w:themeFillTint="33"/>
            <w:vAlign w:val="center"/>
          </w:tcPr>
          <w:p w14:paraId="0436C595" w14:textId="77777777" w:rsidR="00FB178A" w:rsidRPr="00936B94" w:rsidRDefault="00FB178A" w:rsidP="009E18ED">
            <w:pPr>
              <w:pStyle w:val="ListParagraph"/>
              <w:widowControl/>
              <w:numPr>
                <w:ilvl w:val="0"/>
                <w:numId w:val="2"/>
              </w:numPr>
              <w:autoSpaceDE/>
              <w:autoSpaceDN/>
              <w:spacing w:line="276" w:lineRule="auto"/>
              <w:ind w:left="564"/>
              <w:contextualSpacing/>
              <w:rPr>
                <w:sz w:val="24"/>
                <w:szCs w:val="24"/>
              </w:rPr>
            </w:pPr>
            <w:hyperlink r:id="rId45" w:history="1">
              <w:r w:rsidRPr="00B51DED">
                <w:rPr>
                  <w:rStyle w:val="Hyperlink"/>
                  <w:sz w:val="24"/>
                  <w:szCs w:val="24"/>
                </w:rPr>
                <w:t>Strategija nacionalne sigurnosti Republike Hrvatske</w:t>
              </w:r>
            </w:hyperlink>
          </w:p>
        </w:tc>
        <w:tc>
          <w:tcPr>
            <w:tcW w:w="3118" w:type="dxa"/>
            <w:vAlign w:val="center"/>
          </w:tcPr>
          <w:p w14:paraId="44468D11" w14:textId="77777777" w:rsidR="00FB178A" w:rsidRPr="00B51DED" w:rsidRDefault="00FB178A" w:rsidP="009E18ED">
            <w:pPr>
              <w:spacing w:line="276" w:lineRule="auto"/>
              <w:jc w:val="center"/>
              <w:rPr>
                <w:sz w:val="24"/>
                <w:szCs w:val="24"/>
              </w:rPr>
            </w:pPr>
            <w:r w:rsidRPr="00936B94">
              <w:rPr>
                <w:noProof/>
                <w:sz w:val="24"/>
                <w:szCs w:val="24"/>
                <w:lang w:eastAsia="hr-HR"/>
              </w:rPr>
              <w:drawing>
                <wp:inline distT="0" distB="0" distL="0" distR="0" wp14:anchorId="7BB61F32" wp14:editId="14D7C9C3">
                  <wp:extent cx="571500" cy="5429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71500" cy="542925"/>
                          </a:xfrm>
                          <a:prstGeom prst="rect">
                            <a:avLst/>
                          </a:prstGeom>
                          <a:noFill/>
                          <a:ln>
                            <a:noFill/>
                          </a:ln>
                        </pic:spPr>
                      </pic:pic>
                    </a:graphicData>
                  </a:graphic>
                </wp:inline>
              </w:drawing>
            </w:r>
          </w:p>
        </w:tc>
      </w:tr>
      <w:tr w:rsidR="00FB178A" w:rsidRPr="00145379" w14:paraId="719ED0E8" w14:textId="77777777" w:rsidTr="009E18ED">
        <w:trPr>
          <w:trHeight w:val="675"/>
          <w:jc w:val="center"/>
        </w:trPr>
        <w:tc>
          <w:tcPr>
            <w:tcW w:w="2972" w:type="dxa"/>
            <w:vMerge w:val="restart"/>
            <w:vAlign w:val="center"/>
          </w:tcPr>
          <w:p w14:paraId="1C361A6A" w14:textId="77777777" w:rsidR="00FB178A" w:rsidRPr="00B51DED" w:rsidRDefault="00FB178A" w:rsidP="009E18ED">
            <w:pPr>
              <w:spacing w:line="276" w:lineRule="auto"/>
              <w:rPr>
                <w:sz w:val="24"/>
                <w:szCs w:val="24"/>
              </w:rPr>
            </w:pPr>
            <w:r w:rsidRPr="00B51DED">
              <w:rPr>
                <w:sz w:val="24"/>
                <w:szCs w:val="24"/>
              </w:rPr>
              <w:t>Ministarstvo poljoprivrede, šumarstva i ribarstva</w:t>
            </w:r>
          </w:p>
        </w:tc>
        <w:tc>
          <w:tcPr>
            <w:tcW w:w="8224" w:type="dxa"/>
            <w:shd w:val="clear" w:color="auto" w:fill="DBE5F1" w:themeFill="accent1" w:themeFillTint="33"/>
            <w:vAlign w:val="center"/>
          </w:tcPr>
          <w:p w14:paraId="62A00F66" w14:textId="77777777" w:rsidR="00FB178A" w:rsidRPr="00B51DED" w:rsidRDefault="00FB178A" w:rsidP="009E18ED">
            <w:pPr>
              <w:pStyle w:val="ListParagraph"/>
              <w:widowControl/>
              <w:numPr>
                <w:ilvl w:val="0"/>
                <w:numId w:val="2"/>
              </w:numPr>
              <w:autoSpaceDE/>
              <w:autoSpaceDN/>
              <w:spacing w:line="276" w:lineRule="auto"/>
              <w:ind w:left="564"/>
              <w:contextualSpacing/>
              <w:rPr>
                <w:sz w:val="24"/>
                <w:szCs w:val="24"/>
              </w:rPr>
            </w:pPr>
            <w:hyperlink r:id="rId47" w:history="1">
              <w:r w:rsidRPr="00B51DED">
                <w:rPr>
                  <w:rStyle w:val="Hyperlink"/>
                  <w:sz w:val="24"/>
                  <w:szCs w:val="24"/>
                </w:rPr>
                <w:t>Nacionalni plan razvoja akvakulture za razdoblje do 2027. godine</w:t>
              </w:r>
            </w:hyperlink>
          </w:p>
        </w:tc>
        <w:tc>
          <w:tcPr>
            <w:tcW w:w="3118" w:type="dxa"/>
            <w:vMerge w:val="restart"/>
            <w:vAlign w:val="center"/>
          </w:tcPr>
          <w:p w14:paraId="317BB36B" w14:textId="77777777" w:rsidR="00FB178A" w:rsidRPr="00936B94" w:rsidRDefault="00FB178A" w:rsidP="009E18ED">
            <w:pPr>
              <w:spacing w:line="276" w:lineRule="auto"/>
              <w:jc w:val="center"/>
              <w:rPr>
                <w:sz w:val="24"/>
                <w:szCs w:val="24"/>
              </w:rPr>
            </w:pPr>
            <w:r w:rsidRPr="00936B94">
              <w:rPr>
                <w:noProof/>
                <w:sz w:val="24"/>
                <w:szCs w:val="24"/>
                <w:lang w:eastAsia="hr-HR"/>
              </w:rPr>
              <w:drawing>
                <wp:inline distT="0" distB="0" distL="0" distR="0" wp14:anchorId="3563F669" wp14:editId="56F0F94D">
                  <wp:extent cx="581025" cy="5524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81025" cy="552450"/>
                          </a:xfrm>
                          <a:prstGeom prst="rect">
                            <a:avLst/>
                          </a:prstGeom>
                          <a:noFill/>
                          <a:ln>
                            <a:noFill/>
                          </a:ln>
                        </pic:spPr>
                      </pic:pic>
                    </a:graphicData>
                  </a:graphic>
                </wp:inline>
              </w:drawing>
            </w:r>
          </w:p>
        </w:tc>
      </w:tr>
      <w:tr w:rsidR="00FB178A" w:rsidRPr="00145379" w14:paraId="512C28E8" w14:textId="77777777" w:rsidTr="009E18ED">
        <w:trPr>
          <w:trHeight w:val="675"/>
          <w:jc w:val="center"/>
        </w:trPr>
        <w:tc>
          <w:tcPr>
            <w:tcW w:w="2972" w:type="dxa"/>
            <w:vMerge/>
            <w:vAlign w:val="center"/>
          </w:tcPr>
          <w:p w14:paraId="74C14798" w14:textId="77777777" w:rsidR="00FB178A" w:rsidRPr="00B51DED" w:rsidRDefault="00FB178A" w:rsidP="009E18ED">
            <w:pPr>
              <w:spacing w:line="276" w:lineRule="auto"/>
              <w:rPr>
                <w:sz w:val="24"/>
                <w:szCs w:val="24"/>
              </w:rPr>
            </w:pPr>
          </w:p>
        </w:tc>
        <w:tc>
          <w:tcPr>
            <w:tcW w:w="8224" w:type="dxa"/>
            <w:shd w:val="clear" w:color="auto" w:fill="DBE5F1" w:themeFill="accent1" w:themeFillTint="33"/>
            <w:vAlign w:val="center"/>
          </w:tcPr>
          <w:p w14:paraId="35E4810A" w14:textId="77777777" w:rsidR="00FB178A" w:rsidRDefault="00FB178A" w:rsidP="009E18ED">
            <w:pPr>
              <w:pStyle w:val="ListParagraph"/>
              <w:widowControl/>
              <w:numPr>
                <w:ilvl w:val="0"/>
                <w:numId w:val="2"/>
              </w:numPr>
              <w:autoSpaceDE/>
              <w:autoSpaceDN/>
              <w:spacing w:line="276" w:lineRule="auto"/>
              <w:ind w:left="564"/>
              <w:contextualSpacing/>
            </w:pPr>
            <w:hyperlink r:id="rId49" w:history="1">
              <w:r w:rsidRPr="00931A33">
                <w:rPr>
                  <w:rStyle w:val="Hyperlink"/>
                  <w:sz w:val="24"/>
                  <w:szCs w:val="24"/>
                </w:rPr>
                <w:t>Strateški plan Zajedničke poljoprivredne politike Republike Hrvatske 2023.</w:t>
              </w:r>
              <w:r>
                <w:rPr>
                  <w:rStyle w:val="Hyperlink"/>
                  <w:sz w:val="24"/>
                  <w:szCs w:val="24"/>
                </w:rPr>
                <w:t xml:space="preserve"> </w:t>
              </w:r>
              <w:r w:rsidRPr="00931A33">
                <w:rPr>
                  <w:rStyle w:val="Hyperlink"/>
                  <w:sz w:val="24"/>
                  <w:szCs w:val="24"/>
                </w:rPr>
                <w:t>-</w:t>
              </w:r>
              <w:r>
                <w:rPr>
                  <w:rStyle w:val="Hyperlink"/>
                  <w:sz w:val="24"/>
                  <w:szCs w:val="24"/>
                </w:rPr>
                <w:t xml:space="preserve"> </w:t>
              </w:r>
              <w:r w:rsidRPr="00931A33">
                <w:rPr>
                  <w:rStyle w:val="Hyperlink"/>
                  <w:sz w:val="24"/>
                  <w:szCs w:val="24"/>
                </w:rPr>
                <w:t xml:space="preserve">2027. </w:t>
              </w:r>
            </w:hyperlink>
          </w:p>
        </w:tc>
        <w:tc>
          <w:tcPr>
            <w:tcW w:w="3118" w:type="dxa"/>
            <w:vMerge/>
            <w:vAlign w:val="center"/>
          </w:tcPr>
          <w:p w14:paraId="1A3728FD" w14:textId="77777777" w:rsidR="00FB178A" w:rsidRPr="00936B94" w:rsidRDefault="00FB178A" w:rsidP="009E18ED">
            <w:pPr>
              <w:spacing w:line="276" w:lineRule="auto"/>
              <w:jc w:val="center"/>
              <w:rPr>
                <w:noProof/>
                <w:sz w:val="24"/>
                <w:szCs w:val="24"/>
              </w:rPr>
            </w:pPr>
          </w:p>
        </w:tc>
      </w:tr>
      <w:tr w:rsidR="00FB178A" w:rsidRPr="00145379" w14:paraId="05D133DE" w14:textId="77777777" w:rsidTr="009E18ED">
        <w:trPr>
          <w:trHeight w:val="685"/>
          <w:jc w:val="center"/>
        </w:trPr>
        <w:tc>
          <w:tcPr>
            <w:tcW w:w="2972" w:type="dxa"/>
            <w:vMerge/>
            <w:vAlign w:val="center"/>
          </w:tcPr>
          <w:p w14:paraId="262A328F" w14:textId="77777777" w:rsidR="00FB178A" w:rsidRPr="00073087" w:rsidRDefault="00FB178A" w:rsidP="009E18ED">
            <w:pPr>
              <w:spacing w:line="276" w:lineRule="auto"/>
              <w:rPr>
                <w:sz w:val="24"/>
                <w:szCs w:val="24"/>
              </w:rPr>
            </w:pPr>
          </w:p>
        </w:tc>
        <w:tc>
          <w:tcPr>
            <w:tcW w:w="8224" w:type="dxa"/>
            <w:shd w:val="clear" w:color="auto" w:fill="DBE5F1" w:themeFill="accent1" w:themeFillTint="33"/>
            <w:vAlign w:val="center"/>
          </w:tcPr>
          <w:p w14:paraId="3BE26F77" w14:textId="77777777" w:rsidR="00FB178A" w:rsidRPr="00B51DED" w:rsidRDefault="00FB178A" w:rsidP="009E18ED">
            <w:pPr>
              <w:pStyle w:val="ListParagraph"/>
              <w:widowControl/>
              <w:numPr>
                <w:ilvl w:val="0"/>
                <w:numId w:val="2"/>
              </w:numPr>
              <w:autoSpaceDE/>
              <w:autoSpaceDN/>
              <w:ind w:left="564"/>
              <w:contextualSpacing/>
              <w:rPr>
                <w:sz w:val="24"/>
                <w:szCs w:val="24"/>
              </w:rPr>
            </w:pPr>
            <w:hyperlink r:id="rId50" w:history="1">
              <w:r w:rsidRPr="00B51DED">
                <w:rPr>
                  <w:rStyle w:val="Hyperlink"/>
                  <w:sz w:val="24"/>
                  <w:szCs w:val="24"/>
                </w:rPr>
                <w:t xml:space="preserve">Strategija poljoprivrede do 2030. </w:t>
              </w:r>
            </w:hyperlink>
          </w:p>
        </w:tc>
        <w:tc>
          <w:tcPr>
            <w:tcW w:w="3118" w:type="dxa"/>
            <w:vMerge/>
            <w:vAlign w:val="center"/>
          </w:tcPr>
          <w:p w14:paraId="78DB0810" w14:textId="77777777" w:rsidR="00FB178A" w:rsidRPr="00B51DED" w:rsidRDefault="00FB178A" w:rsidP="009E18ED">
            <w:pPr>
              <w:spacing w:line="276" w:lineRule="auto"/>
              <w:rPr>
                <w:sz w:val="24"/>
                <w:szCs w:val="24"/>
              </w:rPr>
            </w:pPr>
          </w:p>
        </w:tc>
      </w:tr>
      <w:tr w:rsidR="00FB178A" w:rsidRPr="00145379" w14:paraId="366BA097" w14:textId="77777777" w:rsidTr="009E18ED">
        <w:trPr>
          <w:trHeight w:val="851"/>
          <w:jc w:val="center"/>
        </w:trPr>
        <w:tc>
          <w:tcPr>
            <w:tcW w:w="2972" w:type="dxa"/>
            <w:vMerge/>
            <w:vAlign w:val="center"/>
          </w:tcPr>
          <w:p w14:paraId="45BF8E69" w14:textId="77777777" w:rsidR="00FB178A" w:rsidRPr="00073087" w:rsidRDefault="00FB178A" w:rsidP="009E18ED">
            <w:pPr>
              <w:spacing w:line="276" w:lineRule="auto"/>
              <w:rPr>
                <w:sz w:val="24"/>
                <w:szCs w:val="24"/>
              </w:rPr>
            </w:pPr>
          </w:p>
        </w:tc>
        <w:tc>
          <w:tcPr>
            <w:tcW w:w="8224" w:type="dxa"/>
            <w:shd w:val="clear" w:color="auto" w:fill="DBE5F1" w:themeFill="accent1" w:themeFillTint="33"/>
            <w:vAlign w:val="center"/>
          </w:tcPr>
          <w:p w14:paraId="60C725EA" w14:textId="77777777" w:rsidR="00FB178A" w:rsidRPr="00B51DED" w:rsidRDefault="00FB178A" w:rsidP="009E18ED">
            <w:pPr>
              <w:pStyle w:val="ListParagraph"/>
              <w:widowControl/>
              <w:numPr>
                <w:ilvl w:val="0"/>
                <w:numId w:val="2"/>
              </w:numPr>
              <w:autoSpaceDE/>
              <w:autoSpaceDN/>
              <w:spacing w:line="276" w:lineRule="auto"/>
              <w:ind w:left="564"/>
              <w:contextualSpacing/>
              <w:rPr>
                <w:sz w:val="24"/>
                <w:szCs w:val="24"/>
              </w:rPr>
            </w:pPr>
            <w:hyperlink r:id="rId51" w:history="1">
              <w:r w:rsidRPr="00B51DED">
                <w:rPr>
                  <w:rStyle w:val="Hyperlink"/>
                  <w:sz w:val="24"/>
                  <w:szCs w:val="24"/>
                </w:rPr>
                <w:t>Nacionalni plan razvoja prerade drva i proizvodnje namještaja Republike Hrvatske za razdoblje od 2023. do 2030. godine</w:t>
              </w:r>
            </w:hyperlink>
          </w:p>
        </w:tc>
        <w:tc>
          <w:tcPr>
            <w:tcW w:w="3118" w:type="dxa"/>
            <w:vMerge/>
            <w:vAlign w:val="center"/>
          </w:tcPr>
          <w:p w14:paraId="53065EB1" w14:textId="77777777" w:rsidR="00FB178A" w:rsidRPr="00B51DED" w:rsidRDefault="00FB178A" w:rsidP="009E18ED">
            <w:pPr>
              <w:spacing w:line="276" w:lineRule="auto"/>
              <w:rPr>
                <w:sz w:val="24"/>
                <w:szCs w:val="24"/>
              </w:rPr>
            </w:pPr>
          </w:p>
        </w:tc>
      </w:tr>
      <w:tr w:rsidR="00FB178A" w:rsidRPr="00145379" w14:paraId="2B5E4758" w14:textId="77777777" w:rsidTr="009E18ED">
        <w:trPr>
          <w:trHeight w:val="707"/>
          <w:jc w:val="center"/>
        </w:trPr>
        <w:tc>
          <w:tcPr>
            <w:tcW w:w="2972" w:type="dxa"/>
            <w:vMerge w:val="restart"/>
            <w:vAlign w:val="center"/>
          </w:tcPr>
          <w:p w14:paraId="59FC9719" w14:textId="77777777" w:rsidR="00FB178A" w:rsidRPr="00B51DED" w:rsidRDefault="00FB178A" w:rsidP="009E18ED">
            <w:pPr>
              <w:spacing w:line="276" w:lineRule="auto"/>
              <w:rPr>
                <w:sz w:val="24"/>
                <w:szCs w:val="24"/>
              </w:rPr>
            </w:pPr>
            <w:r w:rsidRPr="00B51DED">
              <w:rPr>
                <w:color w:val="000000" w:themeColor="text1"/>
                <w:sz w:val="24"/>
                <w:szCs w:val="24"/>
              </w:rPr>
              <w:t>Ministarstvo pravosuđa, uprave i digitalne transformacije</w:t>
            </w:r>
          </w:p>
        </w:tc>
        <w:tc>
          <w:tcPr>
            <w:tcW w:w="8224" w:type="dxa"/>
            <w:shd w:val="clear" w:color="auto" w:fill="DBE5F1" w:themeFill="accent1" w:themeFillTint="33"/>
            <w:vAlign w:val="center"/>
          </w:tcPr>
          <w:p w14:paraId="4A3D768B" w14:textId="77777777" w:rsidR="00FB178A" w:rsidRPr="00B51DED" w:rsidRDefault="00FB178A" w:rsidP="009E18ED">
            <w:pPr>
              <w:pStyle w:val="ListParagraph"/>
              <w:widowControl/>
              <w:numPr>
                <w:ilvl w:val="0"/>
                <w:numId w:val="2"/>
              </w:numPr>
              <w:autoSpaceDE/>
              <w:autoSpaceDN/>
              <w:spacing w:line="276" w:lineRule="auto"/>
              <w:ind w:left="564"/>
              <w:contextualSpacing/>
              <w:rPr>
                <w:sz w:val="24"/>
                <w:szCs w:val="24"/>
              </w:rPr>
            </w:pPr>
            <w:hyperlink r:id="rId52" w:history="1">
              <w:r w:rsidRPr="00B51DED">
                <w:rPr>
                  <w:rStyle w:val="Hyperlink"/>
                  <w:sz w:val="24"/>
                  <w:szCs w:val="24"/>
                </w:rPr>
                <w:t>Nacionalni plan razvoja pravosudnog sustava za razdoblje od 2022. do 2027. godine</w:t>
              </w:r>
            </w:hyperlink>
          </w:p>
        </w:tc>
        <w:tc>
          <w:tcPr>
            <w:tcW w:w="3118" w:type="dxa"/>
            <w:vMerge w:val="restart"/>
            <w:vAlign w:val="center"/>
          </w:tcPr>
          <w:p w14:paraId="32F991E2" w14:textId="77777777" w:rsidR="00FB178A" w:rsidRPr="00936B94" w:rsidRDefault="00FB178A" w:rsidP="009E18ED">
            <w:pPr>
              <w:spacing w:line="276" w:lineRule="auto"/>
              <w:jc w:val="center"/>
              <w:rPr>
                <w:sz w:val="24"/>
                <w:szCs w:val="24"/>
              </w:rPr>
            </w:pPr>
            <w:r w:rsidRPr="00936B94">
              <w:rPr>
                <w:noProof/>
                <w:sz w:val="24"/>
                <w:szCs w:val="24"/>
                <w:lang w:eastAsia="hr-HR"/>
              </w:rPr>
              <w:drawing>
                <wp:inline distT="0" distB="0" distL="0" distR="0" wp14:anchorId="7598F309" wp14:editId="07B087F9">
                  <wp:extent cx="581025" cy="542925"/>
                  <wp:effectExtent l="0" t="0" r="9525" b="9525"/>
                  <wp:docPr id="1722247817" name="Picture 1722247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81025" cy="542925"/>
                          </a:xfrm>
                          <a:prstGeom prst="rect">
                            <a:avLst/>
                          </a:prstGeom>
                          <a:noFill/>
                          <a:ln>
                            <a:noFill/>
                          </a:ln>
                        </pic:spPr>
                      </pic:pic>
                    </a:graphicData>
                  </a:graphic>
                </wp:inline>
              </w:drawing>
            </w:r>
            <w:r w:rsidRPr="00936B94">
              <w:rPr>
                <w:noProof/>
                <w:sz w:val="24"/>
                <w:szCs w:val="24"/>
              </w:rPr>
              <w:t xml:space="preserve"> </w:t>
            </w:r>
            <w:r w:rsidRPr="00936B94">
              <w:rPr>
                <w:noProof/>
                <w:sz w:val="24"/>
                <w:szCs w:val="24"/>
                <w:lang w:eastAsia="hr-HR"/>
              </w:rPr>
              <w:drawing>
                <wp:inline distT="0" distB="0" distL="0" distR="0" wp14:anchorId="1A5D1DEC" wp14:editId="01519EA3">
                  <wp:extent cx="561975" cy="5334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61975" cy="533400"/>
                          </a:xfrm>
                          <a:prstGeom prst="rect">
                            <a:avLst/>
                          </a:prstGeom>
                          <a:noFill/>
                          <a:ln>
                            <a:noFill/>
                          </a:ln>
                        </pic:spPr>
                      </pic:pic>
                    </a:graphicData>
                  </a:graphic>
                </wp:inline>
              </w:drawing>
            </w:r>
          </w:p>
        </w:tc>
      </w:tr>
      <w:tr w:rsidR="00FB178A" w:rsidRPr="00145379" w14:paraId="77755FC5" w14:textId="77777777" w:rsidTr="009E18ED">
        <w:trPr>
          <w:trHeight w:val="867"/>
          <w:jc w:val="center"/>
        </w:trPr>
        <w:tc>
          <w:tcPr>
            <w:tcW w:w="2972" w:type="dxa"/>
            <w:vMerge/>
            <w:vAlign w:val="center"/>
          </w:tcPr>
          <w:p w14:paraId="5AE3D64E" w14:textId="77777777" w:rsidR="00FB178A" w:rsidRPr="00073087" w:rsidRDefault="00FB178A" w:rsidP="009E18ED">
            <w:pPr>
              <w:spacing w:line="276" w:lineRule="auto"/>
              <w:rPr>
                <w:sz w:val="24"/>
                <w:szCs w:val="24"/>
              </w:rPr>
            </w:pPr>
          </w:p>
        </w:tc>
        <w:tc>
          <w:tcPr>
            <w:tcW w:w="8224" w:type="dxa"/>
            <w:shd w:val="clear" w:color="auto" w:fill="DBE5F1" w:themeFill="accent1" w:themeFillTint="33"/>
            <w:vAlign w:val="center"/>
          </w:tcPr>
          <w:p w14:paraId="71A15848" w14:textId="77777777" w:rsidR="00FB178A" w:rsidRPr="00B51DED" w:rsidRDefault="00FB178A" w:rsidP="009E18ED">
            <w:pPr>
              <w:pStyle w:val="ListParagraph"/>
              <w:widowControl/>
              <w:numPr>
                <w:ilvl w:val="0"/>
                <w:numId w:val="2"/>
              </w:numPr>
              <w:autoSpaceDE/>
              <w:autoSpaceDN/>
              <w:spacing w:line="276" w:lineRule="auto"/>
              <w:ind w:left="564"/>
              <w:contextualSpacing/>
              <w:rPr>
                <w:sz w:val="24"/>
                <w:szCs w:val="24"/>
              </w:rPr>
            </w:pPr>
            <w:hyperlink r:id="rId54" w:history="1">
              <w:r w:rsidRPr="00B51DED">
                <w:rPr>
                  <w:rStyle w:val="Hyperlink"/>
                  <w:sz w:val="24"/>
                  <w:szCs w:val="24"/>
                </w:rPr>
                <w:t>Nacionalni plan razvoja javne uprave za razdoblje od 2022. do 2027. godine</w:t>
              </w:r>
            </w:hyperlink>
          </w:p>
        </w:tc>
        <w:tc>
          <w:tcPr>
            <w:tcW w:w="3118" w:type="dxa"/>
            <w:vMerge/>
            <w:vAlign w:val="center"/>
          </w:tcPr>
          <w:p w14:paraId="55C4BC37" w14:textId="77777777" w:rsidR="00FB178A" w:rsidRPr="00B51DED" w:rsidRDefault="00FB178A" w:rsidP="009E18ED">
            <w:pPr>
              <w:spacing w:line="276" w:lineRule="auto"/>
              <w:rPr>
                <w:sz w:val="24"/>
                <w:szCs w:val="24"/>
              </w:rPr>
            </w:pPr>
          </w:p>
        </w:tc>
      </w:tr>
      <w:tr w:rsidR="00FB178A" w:rsidRPr="00145379" w14:paraId="0FA9BD17" w14:textId="77777777" w:rsidTr="009E18ED">
        <w:trPr>
          <w:trHeight w:val="867"/>
          <w:jc w:val="center"/>
        </w:trPr>
        <w:tc>
          <w:tcPr>
            <w:tcW w:w="2972" w:type="dxa"/>
            <w:vMerge/>
            <w:vAlign w:val="center"/>
          </w:tcPr>
          <w:p w14:paraId="6CE807F1" w14:textId="77777777" w:rsidR="00FB178A" w:rsidRPr="00073087" w:rsidRDefault="00FB178A" w:rsidP="009E18ED">
            <w:pPr>
              <w:spacing w:line="276" w:lineRule="auto"/>
              <w:rPr>
                <w:sz w:val="24"/>
                <w:szCs w:val="24"/>
              </w:rPr>
            </w:pPr>
          </w:p>
        </w:tc>
        <w:tc>
          <w:tcPr>
            <w:tcW w:w="8224" w:type="dxa"/>
            <w:shd w:val="clear" w:color="auto" w:fill="DBE5F1" w:themeFill="accent1" w:themeFillTint="33"/>
            <w:vAlign w:val="center"/>
          </w:tcPr>
          <w:p w14:paraId="1C85A0AA" w14:textId="77777777" w:rsidR="00FB178A" w:rsidRPr="00B51DED" w:rsidRDefault="00FB178A" w:rsidP="009E18ED">
            <w:pPr>
              <w:pStyle w:val="ListParagraph"/>
              <w:widowControl/>
              <w:numPr>
                <w:ilvl w:val="0"/>
                <w:numId w:val="2"/>
              </w:numPr>
              <w:autoSpaceDE/>
              <w:autoSpaceDN/>
              <w:spacing w:line="276" w:lineRule="auto"/>
              <w:ind w:left="564"/>
              <w:contextualSpacing/>
              <w:rPr>
                <w:color w:val="000000" w:themeColor="text1"/>
                <w:sz w:val="24"/>
                <w:szCs w:val="24"/>
              </w:rPr>
            </w:pPr>
            <w:hyperlink r:id="rId55" w:history="1">
              <w:r w:rsidRPr="00B51DED">
                <w:rPr>
                  <w:rStyle w:val="Hyperlink"/>
                  <w:sz w:val="24"/>
                  <w:szCs w:val="24"/>
                </w:rPr>
                <w:t>Strategija digitalne Hrvatske za razdoblje do 2032. godine</w:t>
              </w:r>
            </w:hyperlink>
          </w:p>
        </w:tc>
        <w:tc>
          <w:tcPr>
            <w:tcW w:w="3118" w:type="dxa"/>
            <w:vMerge/>
            <w:vAlign w:val="center"/>
          </w:tcPr>
          <w:p w14:paraId="4D7153D4" w14:textId="77777777" w:rsidR="00FB178A" w:rsidRPr="00B51DED" w:rsidRDefault="00FB178A" w:rsidP="009E18ED">
            <w:pPr>
              <w:spacing w:line="276" w:lineRule="auto"/>
              <w:rPr>
                <w:sz w:val="24"/>
                <w:szCs w:val="24"/>
              </w:rPr>
            </w:pPr>
          </w:p>
        </w:tc>
      </w:tr>
      <w:tr w:rsidR="00FB178A" w:rsidRPr="00145379" w14:paraId="61E78564" w14:textId="77777777" w:rsidTr="009E18ED">
        <w:trPr>
          <w:trHeight w:val="912"/>
          <w:jc w:val="center"/>
        </w:trPr>
        <w:tc>
          <w:tcPr>
            <w:tcW w:w="2972" w:type="dxa"/>
            <w:vMerge/>
            <w:vAlign w:val="center"/>
          </w:tcPr>
          <w:p w14:paraId="7DC7E35C" w14:textId="77777777" w:rsidR="00FB178A" w:rsidRPr="00073087" w:rsidRDefault="00FB178A" w:rsidP="009E18ED">
            <w:pPr>
              <w:spacing w:line="276" w:lineRule="auto"/>
              <w:rPr>
                <w:sz w:val="24"/>
                <w:szCs w:val="24"/>
              </w:rPr>
            </w:pPr>
          </w:p>
        </w:tc>
        <w:tc>
          <w:tcPr>
            <w:tcW w:w="8224" w:type="dxa"/>
            <w:shd w:val="clear" w:color="auto" w:fill="DBE5F1" w:themeFill="accent1" w:themeFillTint="33"/>
            <w:vAlign w:val="center"/>
          </w:tcPr>
          <w:p w14:paraId="786A2F9D" w14:textId="77777777" w:rsidR="00FB178A" w:rsidRPr="00B51DED" w:rsidRDefault="00FB178A" w:rsidP="009E18ED">
            <w:pPr>
              <w:pStyle w:val="ListParagraph"/>
              <w:widowControl/>
              <w:numPr>
                <w:ilvl w:val="0"/>
                <w:numId w:val="2"/>
              </w:numPr>
              <w:autoSpaceDE/>
              <w:autoSpaceDN/>
              <w:spacing w:line="276" w:lineRule="auto"/>
              <w:ind w:left="564"/>
              <w:contextualSpacing/>
              <w:rPr>
                <w:sz w:val="24"/>
                <w:szCs w:val="24"/>
              </w:rPr>
            </w:pPr>
            <w:hyperlink r:id="rId56" w:history="1">
              <w:r w:rsidRPr="00B51DED">
                <w:rPr>
                  <w:rStyle w:val="Hyperlink"/>
                  <w:sz w:val="24"/>
                  <w:szCs w:val="24"/>
                </w:rPr>
                <w:t>Strategija sprječavanja korupcije za razdoblje od 2021. do 2030. godine</w:t>
              </w:r>
            </w:hyperlink>
          </w:p>
        </w:tc>
        <w:tc>
          <w:tcPr>
            <w:tcW w:w="3118" w:type="dxa"/>
            <w:vAlign w:val="center"/>
          </w:tcPr>
          <w:p w14:paraId="1CB18928" w14:textId="77777777" w:rsidR="00FB178A" w:rsidRPr="00B51DED" w:rsidRDefault="00FB178A" w:rsidP="009E18ED">
            <w:pPr>
              <w:spacing w:line="276" w:lineRule="auto"/>
              <w:jc w:val="center"/>
              <w:rPr>
                <w:sz w:val="24"/>
                <w:szCs w:val="24"/>
              </w:rPr>
            </w:pPr>
            <w:r w:rsidRPr="00936B94">
              <w:rPr>
                <w:noProof/>
                <w:sz w:val="24"/>
                <w:szCs w:val="24"/>
                <w:lang w:eastAsia="hr-HR"/>
              </w:rPr>
              <w:drawing>
                <wp:inline distT="0" distB="0" distL="0" distR="0" wp14:anchorId="333F73A9" wp14:editId="2444E6D3">
                  <wp:extent cx="581025" cy="552450"/>
                  <wp:effectExtent l="0" t="0" r="9525" b="0"/>
                  <wp:docPr id="565731431" name="Picture 2002009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81025" cy="552450"/>
                          </a:xfrm>
                          <a:prstGeom prst="rect">
                            <a:avLst/>
                          </a:prstGeom>
                          <a:noFill/>
                          <a:ln>
                            <a:noFill/>
                          </a:ln>
                        </pic:spPr>
                      </pic:pic>
                    </a:graphicData>
                  </a:graphic>
                </wp:inline>
              </w:drawing>
            </w:r>
            <w:r w:rsidRPr="00936B94">
              <w:rPr>
                <w:noProof/>
                <w:sz w:val="24"/>
                <w:szCs w:val="24"/>
                <w:lang w:eastAsia="hr-HR"/>
              </w:rPr>
              <w:drawing>
                <wp:inline distT="0" distB="0" distL="0" distR="0" wp14:anchorId="0257F620" wp14:editId="0389CDB5">
                  <wp:extent cx="581025" cy="5429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81025" cy="542925"/>
                          </a:xfrm>
                          <a:prstGeom prst="rect">
                            <a:avLst/>
                          </a:prstGeom>
                          <a:noFill/>
                          <a:ln>
                            <a:noFill/>
                          </a:ln>
                        </pic:spPr>
                      </pic:pic>
                    </a:graphicData>
                  </a:graphic>
                </wp:inline>
              </w:drawing>
            </w:r>
          </w:p>
        </w:tc>
      </w:tr>
      <w:tr w:rsidR="00FB178A" w:rsidRPr="00145379" w14:paraId="4523F34B" w14:textId="77777777" w:rsidTr="009E18ED">
        <w:trPr>
          <w:trHeight w:val="640"/>
          <w:jc w:val="center"/>
        </w:trPr>
        <w:tc>
          <w:tcPr>
            <w:tcW w:w="2972" w:type="dxa"/>
            <w:vMerge w:val="restart"/>
            <w:vAlign w:val="center"/>
          </w:tcPr>
          <w:p w14:paraId="09F54092" w14:textId="77777777" w:rsidR="00FB178A" w:rsidRDefault="00FB178A" w:rsidP="009E18ED">
            <w:pPr>
              <w:spacing w:line="276" w:lineRule="auto"/>
              <w:rPr>
                <w:color w:val="000000" w:themeColor="text1"/>
                <w:sz w:val="24"/>
                <w:szCs w:val="24"/>
              </w:rPr>
            </w:pPr>
          </w:p>
          <w:p w14:paraId="20BAE274" w14:textId="77777777" w:rsidR="00FB178A" w:rsidRDefault="00FB178A" w:rsidP="009E18ED">
            <w:pPr>
              <w:spacing w:line="276" w:lineRule="auto"/>
              <w:rPr>
                <w:color w:val="000000" w:themeColor="text1"/>
                <w:sz w:val="24"/>
                <w:szCs w:val="24"/>
              </w:rPr>
            </w:pPr>
          </w:p>
          <w:p w14:paraId="3C8E4592" w14:textId="77777777" w:rsidR="00FB178A" w:rsidRDefault="00FB178A" w:rsidP="009E18ED">
            <w:pPr>
              <w:spacing w:line="276" w:lineRule="auto"/>
              <w:rPr>
                <w:color w:val="000000" w:themeColor="text1"/>
                <w:sz w:val="24"/>
                <w:szCs w:val="24"/>
              </w:rPr>
            </w:pPr>
          </w:p>
          <w:p w14:paraId="390FCC2E" w14:textId="77777777" w:rsidR="00FB178A" w:rsidRDefault="00FB178A" w:rsidP="009E18ED">
            <w:pPr>
              <w:spacing w:line="276" w:lineRule="auto"/>
              <w:rPr>
                <w:color w:val="000000" w:themeColor="text1"/>
                <w:sz w:val="24"/>
                <w:szCs w:val="24"/>
              </w:rPr>
            </w:pPr>
            <w:r w:rsidRPr="00B51DED">
              <w:rPr>
                <w:color w:val="000000" w:themeColor="text1"/>
                <w:sz w:val="24"/>
                <w:szCs w:val="24"/>
              </w:rPr>
              <w:t xml:space="preserve">Ministarstvo prostornoga uređenja, graditeljstva i </w:t>
            </w:r>
            <w:proofErr w:type="spellStart"/>
            <w:r w:rsidRPr="00B51DED">
              <w:rPr>
                <w:color w:val="000000" w:themeColor="text1"/>
                <w:sz w:val="24"/>
                <w:szCs w:val="24"/>
              </w:rPr>
              <w:t>državne</w:t>
            </w:r>
            <w:proofErr w:type="spellEnd"/>
            <w:r w:rsidRPr="00B51DED">
              <w:rPr>
                <w:color w:val="000000" w:themeColor="text1"/>
                <w:sz w:val="24"/>
                <w:szCs w:val="24"/>
              </w:rPr>
              <w:t xml:space="preserve"> imovine</w:t>
            </w:r>
          </w:p>
          <w:p w14:paraId="2E18C7E5" w14:textId="77777777" w:rsidR="00FB178A" w:rsidRDefault="00FB178A" w:rsidP="009E18ED">
            <w:pPr>
              <w:spacing w:line="276" w:lineRule="auto"/>
              <w:rPr>
                <w:color w:val="000000" w:themeColor="text1"/>
                <w:sz w:val="24"/>
                <w:szCs w:val="24"/>
              </w:rPr>
            </w:pPr>
          </w:p>
          <w:p w14:paraId="07B9651A" w14:textId="77777777" w:rsidR="00FB178A" w:rsidRDefault="00FB178A" w:rsidP="009E18ED">
            <w:pPr>
              <w:spacing w:line="276" w:lineRule="auto"/>
              <w:rPr>
                <w:color w:val="000000" w:themeColor="text1"/>
                <w:sz w:val="24"/>
                <w:szCs w:val="24"/>
              </w:rPr>
            </w:pPr>
          </w:p>
          <w:p w14:paraId="6E683FCE" w14:textId="77777777" w:rsidR="00FB178A" w:rsidRDefault="00FB178A" w:rsidP="009E18ED">
            <w:pPr>
              <w:spacing w:line="276" w:lineRule="auto"/>
              <w:rPr>
                <w:color w:val="000000" w:themeColor="text1"/>
                <w:sz w:val="24"/>
                <w:szCs w:val="24"/>
              </w:rPr>
            </w:pPr>
          </w:p>
          <w:p w14:paraId="3064A5DE" w14:textId="77777777" w:rsidR="00FB178A" w:rsidRDefault="00FB178A" w:rsidP="009E18ED">
            <w:pPr>
              <w:spacing w:line="276" w:lineRule="auto"/>
              <w:rPr>
                <w:color w:val="000000" w:themeColor="text1"/>
                <w:sz w:val="24"/>
                <w:szCs w:val="24"/>
              </w:rPr>
            </w:pPr>
          </w:p>
          <w:p w14:paraId="203BFC02" w14:textId="77777777" w:rsidR="00FB178A" w:rsidRDefault="00FB178A" w:rsidP="009E18ED">
            <w:pPr>
              <w:spacing w:line="276" w:lineRule="auto"/>
              <w:rPr>
                <w:color w:val="000000" w:themeColor="text1"/>
                <w:sz w:val="24"/>
                <w:szCs w:val="24"/>
              </w:rPr>
            </w:pPr>
          </w:p>
          <w:p w14:paraId="383FA1B5" w14:textId="77777777" w:rsidR="00FB178A" w:rsidRDefault="00FB178A" w:rsidP="009E18ED">
            <w:pPr>
              <w:spacing w:line="276" w:lineRule="auto"/>
              <w:rPr>
                <w:color w:val="000000" w:themeColor="text1"/>
                <w:sz w:val="24"/>
                <w:szCs w:val="24"/>
              </w:rPr>
            </w:pPr>
          </w:p>
          <w:p w14:paraId="7C2B7371" w14:textId="77777777" w:rsidR="00FB178A" w:rsidRDefault="00FB178A" w:rsidP="009E18ED">
            <w:pPr>
              <w:spacing w:line="276" w:lineRule="auto"/>
              <w:rPr>
                <w:color w:val="000000" w:themeColor="text1"/>
                <w:sz w:val="24"/>
                <w:szCs w:val="24"/>
              </w:rPr>
            </w:pPr>
          </w:p>
          <w:p w14:paraId="29F8BC53" w14:textId="77777777" w:rsidR="00FB178A" w:rsidRPr="00B51DED" w:rsidRDefault="00FB178A" w:rsidP="009E18ED">
            <w:pPr>
              <w:spacing w:line="276" w:lineRule="auto"/>
              <w:rPr>
                <w:sz w:val="24"/>
                <w:szCs w:val="24"/>
              </w:rPr>
            </w:pPr>
          </w:p>
        </w:tc>
        <w:tc>
          <w:tcPr>
            <w:tcW w:w="8224" w:type="dxa"/>
            <w:shd w:val="clear" w:color="auto" w:fill="DBE5F1" w:themeFill="accent1" w:themeFillTint="33"/>
            <w:vAlign w:val="center"/>
          </w:tcPr>
          <w:p w14:paraId="465D82CF" w14:textId="77777777" w:rsidR="00FB178A" w:rsidRPr="00B51DED" w:rsidRDefault="00FB178A" w:rsidP="009E18ED">
            <w:pPr>
              <w:pStyle w:val="ListParagraph"/>
              <w:widowControl/>
              <w:numPr>
                <w:ilvl w:val="0"/>
                <w:numId w:val="2"/>
              </w:numPr>
              <w:autoSpaceDE/>
              <w:autoSpaceDN/>
              <w:spacing w:line="276" w:lineRule="auto"/>
              <w:ind w:left="574" w:hanging="415"/>
              <w:contextualSpacing/>
              <w:rPr>
                <w:color w:val="000000" w:themeColor="text1"/>
                <w:sz w:val="24"/>
                <w:szCs w:val="24"/>
              </w:rPr>
            </w:pPr>
            <w:hyperlink r:id="rId57" w:history="1">
              <w:r w:rsidRPr="00B51DED">
                <w:rPr>
                  <w:rStyle w:val="Hyperlink"/>
                  <w:sz w:val="24"/>
                  <w:szCs w:val="24"/>
                </w:rPr>
                <w:t xml:space="preserve">Strategija upravljanja </w:t>
              </w:r>
              <w:proofErr w:type="spellStart"/>
              <w:r w:rsidRPr="00B51DED">
                <w:rPr>
                  <w:rStyle w:val="Hyperlink"/>
                  <w:sz w:val="24"/>
                  <w:szCs w:val="24"/>
                </w:rPr>
                <w:t>državnom</w:t>
              </w:r>
              <w:proofErr w:type="spellEnd"/>
              <w:r w:rsidRPr="00B51DED">
                <w:rPr>
                  <w:rStyle w:val="Hyperlink"/>
                  <w:sz w:val="24"/>
                  <w:szCs w:val="24"/>
                </w:rPr>
                <w:t xml:space="preserve"> imovinom za razdoblje 2019.</w:t>
              </w:r>
              <w:r>
                <w:rPr>
                  <w:rStyle w:val="Hyperlink"/>
                  <w:sz w:val="24"/>
                  <w:szCs w:val="24"/>
                </w:rPr>
                <w:t xml:space="preserve"> </w:t>
              </w:r>
              <w:r w:rsidRPr="00B51DED">
                <w:rPr>
                  <w:rStyle w:val="Hyperlink"/>
                  <w:sz w:val="24"/>
                  <w:szCs w:val="24"/>
                </w:rPr>
                <w:t>-</w:t>
              </w:r>
              <w:r>
                <w:rPr>
                  <w:rStyle w:val="Hyperlink"/>
                  <w:sz w:val="24"/>
                  <w:szCs w:val="24"/>
                </w:rPr>
                <w:t xml:space="preserve"> </w:t>
              </w:r>
              <w:r w:rsidRPr="00B51DED">
                <w:rPr>
                  <w:rStyle w:val="Hyperlink"/>
                  <w:sz w:val="24"/>
                  <w:szCs w:val="24"/>
                </w:rPr>
                <w:t>2025.</w:t>
              </w:r>
            </w:hyperlink>
          </w:p>
        </w:tc>
        <w:tc>
          <w:tcPr>
            <w:tcW w:w="3118" w:type="dxa"/>
            <w:vAlign w:val="center"/>
          </w:tcPr>
          <w:p w14:paraId="0C70240E" w14:textId="77777777" w:rsidR="00FB178A" w:rsidRPr="00B51DED" w:rsidRDefault="00FB178A" w:rsidP="009E18ED">
            <w:pPr>
              <w:spacing w:line="276" w:lineRule="auto"/>
              <w:jc w:val="center"/>
              <w:rPr>
                <w:sz w:val="24"/>
                <w:szCs w:val="24"/>
              </w:rPr>
            </w:pPr>
            <w:r w:rsidRPr="00936B94">
              <w:rPr>
                <w:noProof/>
                <w:sz w:val="24"/>
                <w:szCs w:val="24"/>
                <w:lang w:eastAsia="hr-HR"/>
              </w:rPr>
              <w:drawing>
                <wp:inline distT="0" distB="0" distL="0" distR="0" wp14:anchorId="58A54AB2" wp14:editId="582F6EC0">
                  <wp:extent cx="581025" cy="552450"/>
                  <wp:effectExtent l="0" t="0" r="9525" b="0"/>
                  <wp:docPr id="1061193441" name="Picture 2002009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81025" cy="552450"/>
                          </a:xfrm>
                          <a:prstGeom prst="rect">
                            <a:avLst/>
                          </a:prstGeom>
                          <a:noFill/>
                          <a:ln>
                            <a:noFill/>
                          </a:ln>
                        </pic:spPr>
                      </pic:pic>
                    </a:graphicData>
                  </a:graphic>
                </wp:inline>
              </w:drawing>
            </w:r>
            <w:r w:rsidRPr="00936B94">
              <w:rPr>
                <w:noProof/>
                <w:sz w:val="24"/>
                <w:szCs w:val="24"/>
                <w:lang w:eastAsia="hr-HR"/>
              </w:rPr>
              <w:drawing>
                <wp:inline distT="0" distB="0" distL="0" distR="0" wp14:anchorId="2EB897C3" wp14:editId="7AA2EFC6">
                  <wp:extent cx="581025" cy="542925"/>
                  <wp:effectExtent l="0" t="0" r="9525" b="9525"/>
                  <wp:docPr id="102692872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81025" cy="542925"/>
                          </a:xfrm>
                          <a:prstGeom prst="rect">
                            <a:avLst/>
                          </a:prstGeom>
                          <a:noFill/>
                          <a:ln>
                            <a:noFill/>
                          </a:ln>
                        </pic:spPr>
                      </pic:pic>
                    </a:graphicData>
                  </a:graphic>
                </wp:inline>
              </w:drawing>
            </w:r>
          </w:p>
        </w:tc>
      </w:tr>
      <w:tr w:rsidR="00FB178A" w:rsidRPr="00145379" w14:paraId="0E790552" w14:textId="77777777" w:rsidTr="009E18ED">
        <w:trPr>
          <w:trHeight w:val="284"/>
          <w:jc w:val="center"/>
        </w:trPr>
        <w:tc>
          <w:tcPr>
            <w:tcW w:w="2972" w:type="dxa"/>
            <w:vMerge/>
            <w:vAlign w:val="center"/>
          </w:tcPr>
          <w:p w14:paraId="0F3965A8" w14:textId="77777777" w:rsidR="00FB178A" w:rsidRPr="00073087" w:rsidRDefault="00FB178A" w:rsidP="009E18ED">
            <w:pPr>
              <w:spacing w:line="276" w:lineRule="auto"/>
              <w:rPr>
                <w:sz w:val="24"/>
                <w:szCs w:val="24"/>
              </w:rPr>
            </w:pPr>
          </w:p>
        </w:tc>
        <w:tc>
          <w:tcPr>
            <w:tcW w:w="8224" w:type="dxa"/>
            <w:shd w:val="clear" w:color="auto" w:fill="DBE5F1" w:themeFill="accent1" w:themeFillTint="33"/>
            <w:vAlign w:val="center"/>
          </w:tcPr>
          <w:p w14:paraId="27FD969B" w14:textId="77777777" w:rsidR="00FB178A" w:rsidRPr="00B51DED" w:rsidRDefault="00FB178A" w:rsidP="009E18ED">
            <w:pPr>
              <w:pStyle w:val="ListParagraph"/>
              <w:widowControl/>
              <w:numPr>
                <w:ilvl w:val="0"/>
                <w:numId w:val="2"/>
              </w:numPr>
              <w:autoSpaceDE/>
              <w:autoSpaceDN/>
              <w:spacing w:line="276" w:lineRule="auto"/>
              <w:ind w:left="564"/>
              <w:contextualSpacing/>
              <w:rPr>
                <w:sz w:val="24"/>
                <w:szCs w:val="24"/>
              </w:rPr>
            </w:pPr>
            <w:hyperlink r:id="rId58" w:history="1">
              <w:r w:rsidRPr="00B51DED">
                <w:rPr>
                  <w:rStyle w:val="Hyperlink"/>
                  <w:sz w:val="24"/>
                  <w:szCs w:val="24"/>
                </w:rPr>
                <w:t>Strategija prostornog razvoja Republike Hrvatske</w:t>
              </w:r>
            </w:hyperlink>
          </w:p>
        </w:tc>
        <w:tc>
          <w:tcPr>
            <w:tcW w:w="3118" w:type="dxa"/>
            <w:vMerge w:val="restart"/>
          </w:tcPr>
          <w:p w14:paraId="4687711B" w14:textId="77777777" w:rsidR="00FB178A" w:rsidRPr="00B51DED" w:rsidRDefault="00FB178A" w:rsidP="009E18ED">
            <w:pPr>
              <w:spacing w:line="276" w:lineRule="auto"/>
              <w:rPr>
                <w:sz w:val="24"/>
                <w:szCs w:val="24"/>
              </w:rPr>
            </w:pPr>
          </w:p>
          <w:p w14:paraId="550AE682" w14:textId="77777777" w:rsidR="00FB178A" w:rsidRPr="00B51DED" w:rsidRDefault="00FB178A" w:rsidP="009E18ED">
            <w:pPr>
              <w:spacing w:line="276" w:lineRule="auto"/>
              <w:rPr>
                <w:sz w:val="24"/>
                <w:szCs w:val="24"/>
              </w:rPr>
            </w:pPr>
          </w:p>
          <w:p w14:paraId="1E39F0EE" w14:textId="77777777" w:rsidR="00FB178A" w:rsidRDefault="00FB178A" w:rsidP="009E18ED">
            <w:pPr>
              <w:spacing w:line="276" w:lineRule="auto"/>
              <w:rPr>
                <w:sz w:val="24"/>
                <w:szCs w:val="24"/>
              </w:rPr>
            </w:pPr>
          </w:p>
          <w:p w14:paraId="2FDC9CEC" w14:textId="77777777" w:rsidR="00FB178A" w:rsidRDefault="00FB178A" w:rsidP="009E18ED">
            <w:pPr>
              <w:spacing w:line="276" w:lineRule="auto"/>
              <w:rPr>
                <w:sz w:val="24"/>
                <w:szCs w:val="24"/>
              </w:rPr>
            </w:pPr>
          </w:p>
          <w:p w14:paraId="3D7CE7FF" w14:textId="77777777" w:rsidR="00FB178A" w:rsidRDefault="00FB178A" w:rsidP="009E18ED">
            <w:pPr>
              <w:spacing w:line="276" w:lineRule="auto"/>
              <w:rPr>
                <w:sz w:val="24"/>
                <w:szCs w:val="24"/>
              </w:rPr>
            </w:pPr>
          </w:p>
          <w:p w14:paraId="7BDCE871" w14:textId="77777777" w:rsidR="00FB178A" w:rsidRDefault="00FB178A" w:rsidP="009E18ED">
            <w:pPr>
              <w:spacing w:line="276" w:lineRule="auto"/>
              <w:rPr>
                <w:sz w:val="24"/>
                <w:szCs w:val="24"/>
              </w:rPr>
            </w:pPr>
          </w:p>
          <w:p w14:paraId="64CE29D7" w14:textId="77777777" w:rsidR="00FB178A" w:rsidRPr="00B51DED" w:rsidRDefault="00FB178A" w:rsidP="009E18ED">
            <w:pPr>
              <w:spacing w:line="276" w:lineRule="auto"/>
              <w:rPr>
                <w:sz w:val="24"/>
                <w:szCs w:val="24"/>
              </w:rPr>
            </w:pPr>
          </w:p>
          <w:p w14:paraId="5428016F" w14:textId="77777777" w:rsidR="00FB178A" w:rsidRPr="00B51DED" w:rsidRDefault="00FB178A" w:rsidP="009E18ED">
            <w:pPr>
              <w:spacing w:line="276" w:lineRule="auto"/>
              <w:jc w:val="center"/>
              <w:rPr>
                <w:sz w:val="24"/>
                <w:szCs w:val="24"/>
              </w:rPr>
            </w:pPr>
            <w:r w:rsidRPr="00B51DED">
              <w:rPr>
                <w:noProof/>
                <w:sz w:val="24"/>
                <w:szCs w:val="24"/>
                <w:lang w:eastAsia="hr-HR"/>
              </w:rPr>
              <w:drawing>
                <wp:inline distT="0" distB="0" distL="0" distR="0" wp14:anchorId="57D57A43" wp14:editId="33C03595">
                  <wp:extent cx="581025" cy="542925"/>
                  <wp:effectExtent l="0" t="0" r="9525" b="9525"/>
                  <wp:docPr id="4594947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81025" cy="542925"/>
                          </a:xfrm>
                          <a:prstGeom prst="rect">
                            <a:avLst/>
                          </a:prstGeom>
                          <a:noFill/>
                          <a:ln>
                            <a:noFill/>
                          </a:ln>
                        </pic:spPr>
                      </pic:pic>
                    </a:graphicData>
                  </a:graphic>
                </wp:inline>
              </w:drawing>
            </w:r>
          </w:p>
          <w:p w14:paraId="1DCBE17C" w14:textId="77777777" w:rsidR="00FB178A" w:rsidRPr="00B51DED" w:rsidRDefault="00FB178A" w:rsidP="009E18ED">
            <w:pPr>
              <w:spacing w:line="276" w:lineRule="auto"/>
              <w:rPr>
                <w:sz w:val="24"/>
                <w:szCs w:val="24"/>
              </w:rPr>
            </w:pPr>
          </w:p>
          <w:p w14:paraId="31960393" w14:textId="77777777" w:rsidR="00FB178A" w:rsidRPr="00B51DED" w:rsidRDefault="00FB178A" w:rsidP="009E18ED">
            <w:pPr>
              <w:spacing w:line="276" w:lineRule="auto"/>
              <w:rPr>
                <w:sz w:val="24"/>
                <w:szCs w:val="24"/>
              </w:rPr>
            </w:pPr>
          </w:p>
          <w:p w14:paraId="6313FAB6" w14:textId="77777777" w:rsidR="00FB178A" w:rsidRDefault="00FB178A" w:rsidP="009E18ED">
            <w:pPr>
              <w:spacing w:line="276" w:lineRule="auto"/>
              <w:rPr>
                <w:sz w:val="24"/>
                <w:szCs w:val="24"/>
              </w:rPr>
            </w:pPr>
          </w:p>
          <w:p w14:paraId="10860FEE" w14:textId="77777777" w:rsidR="00FB178A" w:rsidRDefault="00FB178A" w:rsidP="009E18ED">
            <w:pPr>
              <w:spacing w:line="276" w:lineRule="auto"/>
              <w:rPr>
                <w:sz w:val="24"/>
                <w:szCs w:val="24"/>
              </w:rPr>
            </w:pPr>
          </w:p>
          <w:p w14:paraId="021DE1F3" w14:textId="77777777" w:rsidR="00FB178A" w:rsidRDefault="00FB178A" w:rsidP="009E18ED">
            <w:pPr>
              <w:spacing w:line="276" w:lineRule="auto"/>
              <w:rPr>
                <w:sz w:val="24"/>
                <w:szCs w:val="24"/>
              </w:rPr>
            </w:pPr>
          </w:p>
          <w:p w14:paraId="4F71DB80" w14:textId="77777777" w:rsidR="00FB178A" w:rsidRPr="00B51DED" w:rsidRDefault="00FB178A" w:rsidP="009E18ED">
            <w:pPr>
              <w:spacing w:line="276" w:lineRule="auto"/>
              <w:rPr>
                <w:sz w:val="24"/>
                <w:szCs w:val="24"/>
              </w:rPr>
            </w:pPr>
          </w:p>
          <w:p w14:paraId="5DFEAE7E" w14:textId="77777777" w:rsidR="00FB178A" w:rsidRPr="00B51DED" w:rsidRDefault="00FB178A" w:rsidP="009E18ED">
            <w:pPr>
              <w:spacing w:line="276" w:lineRule="auto"/>
              <w:jc w:val="center"/>
              <w:rPr>
                <w:sz w:val="24"/>
                <w:szCs w:val="24"/>
              </w:rPr>
            </w:pPr>
          </w:p>
        </w:tc>
      </w:tr>
      <w:tr w:rsidR="00FB178A" w:rsidRPr="00145379" w14:paraId="23A4FCEC" w14:textId="77777777" w:rsidTr="009E18ED">
        <w:trPr>
          <w:trHeight w:val="388"/>
          <w:jc w:val="center"/>
        </w:trPr>
        <w:tc>
          <w:tcPr>
            <w:tcW w:w="2972" w:type="dxa"/>
            <w:vMerge/>
            <w:vAlign w:val="center"/>
          </w:tcPr>
          <w:p w14:paraId="53CDE3B2" w14:textId="77777777" w:rsidR="00FB178A" w:rsidRPr="00073087" w:rsidRDefault="00FB178A" w:rsidP="009E18ED">
            <w:pPr>
              <w:spacing w:line="276" w:lineRule="auto"/>
              <w:rPr>
                <w:sz w:val="24"/>
                <w:szCs w:val="24"/>
              </w:rPr>
            </w:pPr>
          </w:p>
        </w:tc>
        <w:tc>
          <w:tcPr>
            <w:tcW w:w="8224" w:type="dxa"/>
            <w:shd w:val="clear" w:color="auto" w:fill="DBE5F1" w:themeFill="accent1" w:themeFillTint="33"/>
            <w:vAlign w:val="center"/>
          </w:tcPr>
          <w:p w14:paraId="1CA4F364" w14:textId="77777777" w:rsidR="00FB178A" w:rsidRPr="00B51DED" w:rsidRDefault="00FB178A" w:rsidP="009E18ED">
            <w:pPr>
              <w:pStyle w:val="ListParagraph"/>
              <w:widowControl/>
              <w:numPr>
                <w:ilvl w:val="0"/>
                <w:numId w:val="2"/>
              </w:numPr>
              <w:autoSpaceDE/>
              <w:autoSpaceDN/>
              <w:spacing w:line="276" w:lineRule="auto"/>
              <w:ind w:left="564"/>
              <w:contextualSpacing/>
              <w:rPr>
                <w:color w:val="000000" w:themeColor="text1"/>
                <w:sz w:val="24"/>
                <w:szCs w:val="24"/>
              </w:rPr>
            </w:pPr>
            <w:hyperlink r:id="rId59" w:history="1">
              <w:r w:rsidRPr="00B51DED">
                <w:rPr>
                  <w:rStyle w:val="Hyperlink"/>
                  <w:sz w:val="24"/>
                  <w:szCs w:val="24"/>
                </w:rPr>
                <w:t>Dugoročna strategija obnove nacionalnog fonda zgrada do 2050. godine</w:t>
              </w:r>
            </w:hyperlink>
          </w:p>
        </w:tc>
        <w:tc>
          <w:tcPr>
            <w:tcW w:w="3118" w:type="dxa"/>
            <w:vMerge/>
          </w:tcPr>
          <w:p w14:paraId="7F1A00FE" w14:textId="77777777" w:rsidR="00FB178A" w:rsidRPr="00B51DED" w:rsidRDefault="00FB178A" w:rsidP="009E18ED">
            <w:pPr>
              <w:spacing w:line="276" w:lineRule="auto"/>
              <w:jc w:val="center"/>
              <w:rPr>
                <w:sz w:val="24"/>
                <w:szCs w:val="24"/>
              </w:rPr>
            </w:pPr>
          </w:p>
        </w:tc>
      </w:tr>
      <w:tr w:rsidR="00FB178A" w:rsidRPr="00145379" w14:paraId="2494E579" w14:textId="77777777" w:rsidTr="009E18ED">
        <w:trPr>
          <w:trHeight w:val="563"/>
          <w:jc w:val="center"/>
        </w:trPr>
        <w:tc>
          <w:tcPr>
            <w:tcW w:w="2972" w:type="dxa"/>
            <w:vMerge/>
            <w:vAlign w:val="center"/>
          </w:tcPr>
          <w:p w14:paraId="0B87ABE6" w14:textId="77777777" w:rsidR="00FB178A" w:rsidRPr="00073087" w:rsidRDefault="00FB178A" w:rsidP="009E18ED">
            <w:pPr>
              <w:spacing w:line="276" w:lineRule="auto"/>
              <w:rPr>
                <w:sz w:val="24"/>
                <w:szCs w:val="24"/>
              </w:rPr>
            </w:pPr>
          </w:p>
        </w:tc>
        <w:tc>
          <w:tcPr>
            <w:tcW w:w="8224" w:type="dxa"/>
            <w:shd w:val="clear" w:color="auto" w:fill="DBE5F1" w:themeFill="accent1" w:themeFillTint="33"/>
            <w:vAlign w:val="center"/>
          </w:tcPr>
          <w:p w14:paraId="6EDA58F0" w14:textId="77777777" w:rsidR="00FB178A" w:rsidRPr="00B51DED" w:rsidRDefault="00FB178A" w:rsidP="009E18ED">
            <w:pPr>
              <w:pStyle w:val="ListParagraph"/>
              <w:widowControl/>
              <w:numPr>
                <w:ilvl w:val="0"/>
                <w:numId w:val="2"/>
              </w:numPr>
              <w:autoSpaceDE/>
              <w:autoSpaceDN/>
              <w:spacing w:line="276" w:lineRule="auto"/>
              <w:ind w:left="564"/>
              <w:contextualSpacing/>
              <w:rPr>
                <w:color w:val="000000" w:themeColor="text1"/>
                <w:sz w:val="24"/>
                <w:szCs w:val="24"/>
              </w:rPr>
            </w:pPr>
            <w:hyperlink r:id="rId60" w:history="1">
              <w:r w:rsidRPr="00B51DED">
                <w:rPr>
                  <w:rStyle w:val="Hyperlink"/>
                  <w:iCs/>
                  <w:sz w:val="24"/>
                  <w:szCs w:val="24"/>
                </w:rPr>
                <w:t>Program energetske obnove zgrada javnog sektora za razdoblje do 2030. godine</w:t>
              </w:r>
            </w:hyperlink>
          </w:p>
        </w:tc>
        <w:tc>
          <w:tcPr>
            <w:tcW w:w="3118" w:type="dxa"/>
            <w:vMerge/>
          </w:tcPr>
          <w:p w14:paraId="4992ECD8" w14:textId="77777777" w:rsidR="00FB178A" w:rsidRPr="00B51DED" w:rsidRDefault="00FB178A" w:rsidP="009E18ED">
            <w:pPr>
              <w:spacing w:line="276" w:lineRule="auto"/>
              <w:rPr>
                <w:sz w:val="24"/>
                <w:szCs w:val="24"/>
              </w:rPr>
            </w:pPr>
          </w:p>
        </w:tc>
      </w:tr>
      <w:tr w:rsidR="00FB178A" w:rsidRPr="00145379" w14:paraId="6537D900" w14:textId="77777777" w:rsidTr="009E18ED">
        <w:trPr>
          <w:trHeight w:val="772"/>
          <w:jc w:val="center"/>
        </w:trPr>
        <w:tc>
          <w:tcPr>
            <w:tcW w:w="2972" w:type="dxa"/>
            <w:vMerge/>
            <w:vAlign w:val="center"/>
          </w:tcPr>
          <w:p w14:paraId="7F3425F9" w14:textId="77777777" w:rsidR="00FB178A" w:rsidRPr="00073087" w:rsidRDefault="00FB178A" w:rsidP="009E18ED">
            <w:pPr>
              <w:spacing w:line="276" w:lineRule="auto"/>
              <w:rPr>
                <w:sz w:val="24"/>
                <w:szCs w:val="24"/>
              </w:rPr>
            </w:pPr>
          </w:p>
        </w:tc>
        <w:tc>
          <w:tcPr>
            <w:tcW w:w="8224" w:type="dxa"/>
            <w:shd w:val="clear" w:color="auto" w:fill="DBE5F1" w:themeFill="accent1" w:themeFillTint="33"/>
            <w:vAlign w:val="center"/>
          </w:tcPr>
          <w:p w14:paraId="0EA1CB8E" w14:textId="77777777" w:rsidR="00FB178A" w:rsidRPr="00B51DED" w:rsidRDefault="00FB178A" w:rsidP="009E18ED">
            <w:pPr>
              <w:pStyle w:val="ListParagraph"/>
              <w:widowControl/>
              <w:numPr>
                <w:ilvl w:val="0"/>
                <w:numId w:val="2"/>
              </w:numPr>
              <w:autoSpaceDE/>
              <w:autoSpaceDN/>
              <w:spacing w:line="276" w:lineRule="auto"/>
              <w:ind w:left="564"/>
              <w:contextualSpacing/>
              <w:rPr>
                <w:color w:val="000000" w:themeColor="text1"/>
                <w:sz w:val="24"/>
                <w:szCs w:val="24"/>
              </w:rPr>
            </w:pPr>
            <w:hyperlink r:id="rId61" w:history="1">
              <w:r w:rsidRPr="00B51DED">
                <w:rPr>
                  <w:rStyle w:val="Hyperlink"/>
                  <w:sz w:val="24"/>
                  <w:szCs w:val="24"/>
                </w:rPr>
                <w:t xml:space="preserve">Program razvoja zelene infrastrukture u urbanim </w:t>
              </w:r>
              <w:proofErr w:type="spellStart"/>
              <w:r w:rsidRPr="00B51DED">
                <w:rPr>
                  <w:rStyle w:val="Hyperlink"/>
                  <w:sz w:val="24"/>
                  <w:szCs w:val="24"/>
                </w:rPr>
                <w:t>područjima</w:t>
              </w:r>
              <w:proofErr w:type="spellEnd"/>
              <w:r w:rsidRPr="00B51DED">
                <w:rPr>
                  <w:rStyle w:val="Hyperlink"/>
                  <w:sz w:val="24"/>
                  <w:szCs w:val="24"/>
                </w:rPr>
                <w:t xml:space="preserve"> za razdoblje </w:t>
              </w:r>
              <w:r>
                <w:rPr>
                  <w:rStyle w:val="Hyperlink"/>
                  <w:sz w:val="24"/>
                  <w:szCs w:val="24"/>
                </w:rPr>
                <w:t xml:space="preserve">od </w:t>
              </w:r>
              <w:r w:rsidRPr="00B51DED">
                <w:rPr>
                  <w:rStyle w:val="Hyperlink"/>
                  <w:sz w:val="24"/>
                  <w:szCs w:val="24"/>
                </w:rPr>
                <w:t>2021. do 2030. godine</w:t>
              </w:r>
            </w:hyperlink>
          </w:p>
        </w:tc>
        <w:tc>
          <w:tcPr>
            <w:tcW w:w="3118" w:type="dxa"/>
            <w:vMerge/>
          </w:tcPr>
          <w:p w14:paraId="700AB111" w14:textId="77777777" w:rsidR="00FB178A" w:rsidRPr="00B51DED" w:rsidRDefault="00FB178A" w:rsidP="009E18ED">
            <w:pPr>
              <w:spacing w:line="276" w:lineRule="auto"/>
              <w:rPr>
                <w:sz w:val="24"/>
                <w:szCs w:val="24"/>
              </w:rPr>
            </w:pPr>
          </w:p>
        </w:tc>
      </w:tr>
      <w:tr w:rsidR="00FB178A" w:rsidRPr="00145379" w14:paraId="15773987" w14:textId="77777777" w:rsidTr="009E18ED">
        <w:trPr>
          <w:trHeight w:val="569"/>
          <w:jc w:val="center"/>
        </w:trPr>
        <w:tc>
          <w:tcPr>
            <w:tcW w:w="2972" w:type="dxa"/>
            <w:vMerge/>
            <w:vAlign w:val="center"/>
          </w:tcPr>
          <w:p w14:paraId="2A8CD0B5" w14:textId="77777777" w:rsidR="00FB178A" w:rsidRPr="00073087" w:rsidRDefault="00FB178A" w:rsidP="009E18ED">
            <w:pPr>
              <w:spacing w:line="276" w:lineRule="auto"/>
              <w:rPr>
                <w:sz w:val="24"/>
                <w:szCs w:val="24"/>
              </w:rPr>
            </w:pPr>
          </w:p>
        </w:tc>
        <w:tc>
          <w:tcPr>
            <w:tcW w:w="8224" w:type="dxa"/>
            <w:shd w:val="clear" w:color="auto" w:fill="DBE5F1" w:themeFill="accent1" w:themeFillTint="33"/>
            <w:vAlign w:val="center"/>
          </w:tcPr>
          <w:p w14:paraId="772F8552" w14:textId="77777777" w:rsidR="00FB178A" w:rsidRPr="00B51DED" w:rsidRDefault="00FB178A" w:rsidP="009E18ED">
            <w:pPr>
              <w:pStyle w:val="ListParagraph"/>
              <w:widowControl/>
              <w:numPr>
                <w:ilvl w:val="0"/>
                <w:numId w:val="2"/>
              </w:numPr>
              <w:autoSpaceDE/>
              <w:autoSpaceDN/>
              <w:spacing w:line="276" w:lineRule="auto"/>
              <w:ind w:left="564"/>
              <w:contextualSpacing/>
              <w:rPr>
                <w:color w:val="000000" w:themeColor="text1"/>
                <w:sz w:val="24"/>
                <w:szCs w:val="24"/>
              </w:rPr>
            </w:pPr>
            <w:hyperlink r:id="rId62" w:history="1">
              <w:r w:rsidRPr="00B51DED">
                <w:rPr>
                  <w:rStyle w:val="Hyperlink"/>
                  <w:sz w:val="24"/>
                  <w:szCs w:val="24"/>
                </w:rPr>
                <w:t xml:space="preserve">Program razvoja </w:t>
              </w:r>
              <w:proofErr w:type="spellStart"/>
              <w:r w:rsidRPr="00B51DED">
                <w:rPr>
                  <w:rStyle w:val="Hyperlink"/>
                  <w:sz w:val="24"/>
                  <w:szCs w:val="24"/>
                </w:rPr>
                <w:t>kružnog</w:t>
              </w:r>
              <w:proofErr w:type="spellEnd"/>
              <w:r w:rsidRPr="00B51DED">
                <w:rPr>
                  <w:rStyle w:val="Hyperlink"/>
                  <w:sz w:val="24"/>
                  <w:szCs w:val="24"/>
                </w:rPr>
                <w:t xml:space="preserve"> gospodarenja prostorom i zgradama za razdoblje </w:t>
              </w:r>
              <w:r>
                <w:rPr>
                  <w:rStyle w:val="Hyperlink"/>
                  <w:sz w:val="24"/>
                  <w:szCs w:val="24"/>
                </w:rPr>
                <w:t xml:space="preserve">od </w:t>
              </w:r>
              <w:r w:rsidRPr="00B51DED">
                <w:rPr>
                  <w:rStyle w:val="Hyperlink"/>
                  <w:sz w:val="24"/>
                  <w:szCs w:val="24"/>
                </w:rPr>
                <w:t>2021. do 2030. godine</w:t>
              </w:r>
            </w:hyperlink>
          </w:p>
        </w:tc>
        <w:tc>
          <w:tcPr>
            <w:tcW w:w="3118" w:type="dxa"/>
            <w:vMerge/>
          </w:tcPr>
          <w:p w14:paraId="751A8542" w14:textId="77777777" w:rsidR="00FB178A" w:rsidRPr="00B51DED" w:rsidRDefault="00FB178A" w:rsidP="009E18ED">
            <w:pPr>
              <w:spacing w:line="276" w:lineRule="auto"/>
              <w:rPr>
                <w:sz w:val="24"/>
                <w:szCs w:val="24"/>
              </w:rPr>
            </w:pPr>
          </w:p>
        </w:tc>
      </w:tr>
      <w:tr w:rsidR="00FB178A" w:rsidRPr="00145379" w14:paraId="2D8956DC" w14:textId="77777777" w:rsidTr="009E18ED">
        <w:trPr>
          <w:trHeight w:val="352"/>
          <w:jc w:val="center"/>
        </w:trPr>
        <w:tc>
          <w:tcPr>
            <w:tcW w:w="2972" w:type="dxa"/>
            <w:vMerge/>
            <w:vAlign w:val="center"/>
          </w:tcPr>
          <w:p w14:paraId="19E6AFF6" w14:textId="77777777" w:rsidR="00FB178A" w:rsidRPr="00073087" w:rsidRDefault="00FB178A" w:rsidP="009E18ED">
            <w:pPr>
              <w:spacing w:line="276" w:lineRule="auto"/>
              <w:rPr>
                <w:sz w:val="24"/>
                <w:szCs w:val="24"/>
              </w:rPr>
            </w:pPr>
          </w:p>
        </w:tc>
        <w:tc>
          <w:tcPr>
            <w:tcW w:w="8224" w:type="dxa"/>
            <w:shd w:val="clear" w:color="auto" w:fill="DBE5F1" w:themeFill="accent1" w:themeFillTint="33"/>
            <w:vAlign w:val="center"/>
          </w:tcPr>
          <w:p w14:paraId="41F92185" w14:textId="77777777" w:rsidR="00FB178A" w:rsidRPr="00B51DED" w:rsidRDefault="00FB178A" w:rsidP="009E18ED">
            <w:pPr>
              <w:pStyle w:val="ListParagraph"/>
              <w:widowControl/>
              <w:numPr>
                <w:ilvl w:val="0"/>
                <w:numId w:val="2"/>
              </w:numPr>
              <w:autoSpaceDE/>
              <w:autoSpaceDN/>
              <w:spacing w:line="276" w:lineRule="auto"/>
              <w:ind w:left="564"/>
              <w:contextualSpacing/>
              <w:rPr>
                <w:color w:val="000000" w:themeColor="text1"/>
                <w:sz w:val="24"/>
                <w:szCs w:val="24"/>
              </w:rPr>
            </w:pPr>
            <w:hyperlink r:id="rId63" w:history="1">
              <w:r w:rsidRPr="00B51DED">
                <w:rPr>
                  <w:rStyle w:val="Hyperlink"/>
                  <w:sz w:val="24"/>
                  <w:szCs w:val="24"/>
                </w:rPr>
                <w:t xml:space="preserve">Program energetske obnove </w:t>
              </w:r>
              <w:proofErr w:type="spellStart"/>
              <w:r w:rsidRPr="00B51DED">
                <w:rPr>
                  <w:rStyle w:val="Hyperlink"/>
                  <w:sz w:val="24"/>
                  <w:szCs w:val="24"/>
                </w:rPr>
                <w:t>višestambenih</w:t>
              </w:r>
              <w:proofErr w:type="spellEnd"/>
              <w:r w:rsidRPr="00B51DED">
                <w:rPr>
                  <w:rStyle w:val="Hyperlink"/>
                  <w:sz w:val="24"/>
                  <w:szCs w:val="24"/>
                </w:rPr>
                <w:t xml:space="preserve"> zgrada za razdoblje do 2030. godine</w:t>
              </w:r>
            </w:hyperlink>
          </w:p>
        </w:tc>
        <w:tc>
          <w:tcPr>
            <w:tcW w:w="3118" w:type="dxa"/>
            <w:vMerge/>
          </w:tcPr>
          <w:p w14:paraId="0D87CB27" w14:textId="77777777" w:rsidR="00FB178A" w:rsidRPr="00B51DED" w:rsidRDefault="00FB178A" w:rsidP="009E18ED">
            <w:pPr>
              <w:spacing w:line="276" w:lineRule="auto"/>
              <w:rPr>
                <w:sz w:val="24"/>
                <w:szCs w:val="24"/>
              </w:rPr>
            </w:pPr>
          </w:p>
        </w:tc>
      </w:tr>
      <w:tr w:rsidR="00FB178A" w:rsidRPr="00145379" w14:paraId="61FBC38D" w14:textId="77777777" w:rsidTr="009E18ED">
        <w:trPr>
          <w:trHeight w:val="556"/>
          <w:jc w:val="center"/>
        </w:trPr>
        <w:tc>
          <w:tcPr>
            <w:tcW w:w="2972" w:type="dxa"/>
            <w:vMerge/>
            <w:vAlign w:val="center"/>
          </w:tcPr>
          <w:p w14:paraId="08D5F889" w14:textId="77777777" w:rsidR="00FB178A" w:rsidRPr="00073087" w:rsidRDefault="00FB178A" w:rsidP="009E18ED">
            <w:pPr>
              <w:spacing w:line="276" w:lineRule="auto"/>
              <w:rPr>
                <w:sz w:val="24"/>
                <w:szCs w:val="24"/>
              </w:rPr>
            </w:pPr>
          </w:p>
        </w:tc>
        <w:tc>
          <w:tcPr>
            <w:tcW w:w="8224" w:type="dxa"/>
            <w:shd w:val="clear" w:color="auto" w:fill="DBE5F1" w:themeFill="accent1" w:themeFillTint="33"/>
            <w:vAlign w:val="center"/>
          </w:tcPr>
          <w:p w14:paraId="13AC659B" w14:textId="77777777" w:rsidR="00FB178A" w:rsidRPr="00B51DED" w:rsidRDefault="00FB178A" w:rsidP="009E18ED">
            <w:pPr>
              <w:pStyle w:val="ListParagraph"/>
              <w:widowControl/>
              <w:numPr>
                <w:ilvl w:val="0"/>
                <w:numId w:val="2"/>
              </w:numPr>
              <w:autoSpaceDE/>
              <w:autoSpaceDN/>
              <w:spacing w:line="276" w:lineRule="auto"/>
              <w:ind w:left="564"/>
              <w:contextualSpacing/>
              <w:rPr>
                <w:color w:val="000000" w:themeColor="text1"/>
                <w:sz w:val="24"/>
                <w:szCs w:val="24"/>
              </w:rPr>
            </w:pPr>
            <w:hyperlink r:id="rId64" w:history="1">
              <w:r w:rsidRPr="00B51DED">
                <w:rPr>
                  <w:rStyle w:val="Hyperlink"/>
                  <w:sz w:val="24"/>
                  <w:szCs w:val="24"/>
                </w:rPr>
                <w:t>Program energetske obnove zgrada koje imaju status kulturnog dobra za razdoblje do 2030. godine</w:t>
              </w:r>
            </w:hyperlink>
          </w:p>
        </w:tc>
        <w:tc>
          <w:tcPr>
            <w:tcW w:w="3118" w:type="dxa"/>
            <w:vMerge/>
          </w:tcPr>
          <w:p w14:paraId="57C2A9DF" w14:textId="77777777" w:rsidR="00FB178A" w:rsidRPr="00B51DED" w:rsidRDefault="00FB178A" w:rsidP="009E18ED">
            <w:pPr>
              <w:spacing w:line="276" w:lineRule="auto"/>
              <w:rPr>
                <w:sz w:val="24"/>
                <w:szCs w:val="24"/>
              </w:rPr>
            </w:pPr>
          </w:p>
        </w:tc>
      </w:tr>
      <w:tr w:rsidR="00FB178A" w:rsidRPr="00145379" w14:paraId="59E13F3D" w14:textId="77777777" w:rsidTr="009E18ED">
        <w:trPr>
          <w:trHeight w:val="1130"/>
          <w:jc w:val="center"/>
        </w:trPr>
        <w:tc>
          <w:tcPr>
            <w:tcW w:w="2972" w:type="dxa"/>
            <w:vMerge/>
            <w:vAlign w:val="center"/>
          </w:tcPr>
          <w:p w14:paraId="1289D583" w14:textId="77777777" w:rsidR="00FB178A" w:rsidRPr="00073087" w:rsidRDefault="00FB178A" w:rsidP="009E18ED">
            <w:pPr>
              <w:spacing w:line="276" w:lineRule="auto"/>
              <w:rPr>
                <w:sz w:val="24"/>
                <w:szCs w:val="24"/>
              </w:rPr>
            </w:pPr>
          </w:p>
        </w:tc>
        <w:tc>
          <w:tcPr>
            <w:tcW w:w="8224" w:type="dxa"/>
            <w:shd w:val="clear" w:color="auto" w:fill="DBE5F1" w:themeFill="accent1" w:themeFillTint="33"/>
            <w:vAlign w:val="center"/>
          </w:tcPr>
          <w:p w14:paraId="4CD0BB89" w14:textId="77777777" w:rsidR="00FB178A" w:rsidRPr="00B51DED" w:rsidRDefault="00FB178A" w:rsidP="009E18ED">
            <w:pPr>
              <w:pStyle w:val="ListParagraph"/>
              <w:widowControl/>
              <w:numPr>
                <w:ilvl w:val="0"/>
                <w:numId w:val="2"/>
              </w:numPr>
              <w:autoSpaceDE/>
              <w:autoSpaceDN/>
              <w:ind w:left="564"/>
              <w:contextualSpacing/>
              <w:rPr>
                <w:color w:val="000000" w:themeColor="text1"/>
                <w:sz w:val="24"/>
                <w:szCs w:val="24"/>
              </w:rPr>
            </w:pPr>
            <w:hyperlink r:id="rId65" w:history="1">
              <w:r w:rsidRPr="00B51DED">
                <w:rPr>
                  <w:rStyle w:val="Hyperlink"/>
                  <w:sz w:val="24"/>
                  <w:szCs w:val="24"/>
                </w:rPr>
                <w:t xml:space="preserve">Program suzbijanja energetskog </w:t>
              </w:r>
              <w:proofErr w:type="spellStart"/>
              <w:r w:rsidRPr="00B51DED">
                <w:rPr>
                  <w:rStyle w:val="Hyperlink"/>
                  <w:sz w:val="24"/>
                  <w:szCs w:val="24"/>
                </w:rPr>
                <w:t>siromaštva</w:t>
              </w:r>
              <w:proofErr w:type="spellEnd"/>
              <w:r w:rsidRPr="00B51DED">
                <w:rPr>
                  <w:rStyle w:val="Hyperlink"/>
                  <w:sz w:val="24"/>
                  <w:szCs w:val="24"/>
                </w:rPr>
                <w:t xml:space="preserve"> koji </w:t>
              </w:r>
              <w:proofErr w:type="spellStart"/>
              <w:r w:rsidRPr="00B51DED">
                <w:rPr>
                  <w:rStyle w:val="Hyperlink"/>
                  <w:sz w:val="24"/>
                  <w:szCs w:val="24"/>
                </w:rPr>
                <w:t>uključuje</w:t>
              </w:r>
              <w:proofErr w:type="spellEnd"/>
              <w:r w:rsidRPr="00B51DED">
                <w:rPr>
                  <w:rStyle w:val="Hyperlink"/>
                  <w:sz w:val="24"/>
                  <w:szCs w:val="24"/>
                </w:rPr>
                <w:t xml:space="preserve"> </w:t>
              </w:r>
              <w:proofErr w:type="spellStart"/>
              <w:r w:rsidRPr="00B51DED">
                <w:rPr>
                  <w:rStyle w:val="Hyperlink"/>
                  <w:sz w:val="24"/>
                  <w:szCs w:val="24"/>
                </w:rPr>
                <w:t>korištenje</w:t>
              </w:r>
              <w:proofErr w:type="spellEnd"/>
              <w:r w:rsidRPr="00B51DED">
                <w:rPr>
                  <w:rStyle w:val="Hyperlink"/>
                  <w:sz w:val="24"/>
                  <w:szCs w:val="24"/>
                </w:rPr>
                <w:t xml:space="preserve"> obnovljivih izvora energije u stambenim zgradama na potpomognutim </w:t>
              </w:r>
              <w:proofErr w:type="spellStart"/>
              <w:r w:rsidRPr="00B51DED">
                <w:rPr>
                  <w:rStyle w:val="Hyperlink"/>
                  <w:sz w:val="24"/>
                  <w:szCs w:val="24"/>
                </w:rPr>
                <w:t>područjima</w:t>
              </w:r>
              <w:proofErr w:type="spellEnd"/>
              <w:r w:rsidRPr="00B51DED">
                <w:rPr>
                  <w:rStyle w:val="Hyperlink"/>
                  <w:sz w:val="24"/>
                  <w:szCs w:val="24"/>
                </w:rPr>
                <w:t xml:space="preserve"> i </w:t>
              </w:r>
              <w:proofErr w:type="spellStart"/>
              <w:r w:rsidRPr="00B51DED">
                <w:rPr>
                  <w:rStyle w:val="Hyperlink"/>
                  <w:sz w:val="24"/>
                  <w:szCs w:val="24"/>
                </w:rPr>
                <w:t>područjima</w:t>
              </w:r>
              <w:proofErr w:type="spellEnd"/>
              <w:r w:rsidRPr="00B51DED">
                <w:rPr>
                  <w:rStyle w:val="Hyperlink"/>
                  <w:sz w:val="24"/>
                  <w:szCs w:val="24"/>
                </w:rPr>
                <w:t xml:space="preserve"> posebne </w:t>
              </w:r>
              <w:proofErr w:type="spellStart"/>
              <w:r w:rsidRPr="00B51DED">
                <w:rPr>
                  <w:rStyle w:val="Hyperlink"/>
                  <w:sz w:val="24"/>
                  <w:szCs w:val="24"/>
                </w:rPr>
                <w:t>državne</w:t>
              </w:r>
              <w:proofErr w:type="spellEnd"/>
              <w:r w:rsidRPr="00B51DED">
                <w:rPr>
                  <w:rStyle w:val="Hyperlink"/>
                  <w:sz w:val="24"/>
                  <w:szCs w:val="24"/>
                </w:rPr>
                <w:t xml:space="preserve"> skrbi za razdoblje do 2025. godine</w:t>
              </w:r>
            </w:hyperlink>
          </w:p>
        </w:tc>
        <w:tc>
          <w:tcPr>
            <w:tcW w:w="3118" w:type="dxa"/>
            <w:vMerge/>
          </w:tcPr>
          <w:p w14:paraId="7EB75267" w14:textId="77777777" w:rsidR="00FB178A" w:rsidRPr="00B51DED" w:rsidRDefault="00FB178A" w:rsidP="009E18ED">
            <w:pPr>
              <w:spacing w:line="276" w:lineRule="auto"/>
              <w:rPr>
                <w:sz w:val="24"/>
                <w:szCs w:val="24"/>
              </w:rPr>
            </w:pPr>
          </w:p>
        </w:tc>
      </w:tr>
      <w:tr w:rsidR="00FB178A" w:rsidRPr="00145379" w14:paraId="2C816951" w14:textId="77777777" w:rsidTr="009E18ED">
        <w:trPr>
          <w:trHeight w:val="843"/>
          <w:jc w:val="center"/>
        </w:trPr>
        <w:tc>
          <w:tcPr>
            <w:tcW w:w="2972" w:type="dxa"/>
            <w:vMerge w:val="restart"/>
            <w:vAlign w:val="center"/>
          </w:tcPr>
          <w:p w14:paraId="3143F0E3" w14:textId="77777777" w:rsidR="00FB178A" w:rsidRDefault="00FB178A" w:rsidP="009E18ED">
            <w:pPr>
              <w:spacing w:line="276" w:lineRule="auto"/>
              <w:rPr>
                <w:color w:val="000000" w:themeColor="text1"/>
                <w:sz w:val="24"/>
                <w:szCs w:val="24"/>
              </w:rPr>
            </w:pPr>
          </w:p>
          <w:p w14:paraId="167CF342" w14:textId="77777777" w:rsidR="00FB178A" w:rsidRDefault="00FB178A" w:rsidP="009E18ED">
            <w:pPr>
              <w:spacing w:line="276" w:lineRule="auto"/>
              <w:rPr>
                <w:color w:val="000000" w:themeColor="text1"/>
                <w:sz w:val="24"/>
                <w:szCs w:val="24"/>
              </w:rPr>
            </w:pPr>
          </w:p>
          <w:p w14:paraId="528CE6B2" w14:textId="77777777" w:rsidR="00FB178A" w:rsidRDefault="00FB178A" w:rsidP="009E18ED">
            <w:pPr>
              <w:spacing w:line="276" w:lineRule="auto"/>
              <w:rPr>
                <w:color w:val="000000" w:themeColor="text1"/>
                <w:sz w:val="24"/>
                <w:szCs w:val="24"/>
              </w:rPr>
            </w:pPr>
          </w:p>
          <w:p w14:paraId="027B0B97" w14:textId="77777777" w:rsidR="00FB178A" w:rsidRDefault="00FB178A" w:rsidP="009E18ED">
            <w:pPr>
              <w:spacing w:line="276" w:lineRule="auto"/>
              <w:rPr>
                <w:color w:val="000000" w:themeColor="text1"/>
                <w:sz w:val="24"/>
                <w:szCs w:val="24"/>
              </w:rPr>
            </w:pPr>
          </w:p>
          <w:p w14:paraId="457859ED" w14:textId="77777777" w:rsidR="00FB178A" w:rsidRDefault="00FB178A" w:rsidP="009E18ED">
            <w:pPr>
              <w:spacing w:line="276" w:lineRule="auto"/>
              <w:rPr>
                <w:color w:val="000000" w:themeColor="text1"/>
                <w:sz w:val="24"/>
                <w:szCs w:val="24"/>
              </w:rPr>
            </w:pPr>
          </w:p>
          <w:p w14:paraId="351EAA2C" w14:textId="77777777" w:rsidR="00FB178A" w:rsidRDefault="00FB178A" w:rsidP="009E18ED">
            <w:pPr>
              <w:spacing w:line="276" w:lineRule="auto"/>
              <w:rPr>
                <w:color w:val="000000" w:themeColor="text1"/>
                <w:sz w:val="24"/>
                <w:szCs w:val="24"/>
              </w:rPr>
            </w:pPr>
            <w:r w:rsidRPr="00B51DED">
              <w:rPr>
                <w:color w:val="000000" w:themeColor="text1"/>
                <w:sz w:val="24"/>
                <w:szCs w:val="24"/>
              </w:rPr>
              <w:t>Ministarstvo rada, mirovinskog</w:t>
            </w:r>
            <w:r>
              <w:rPr>
                <w:color w:val="000000" w:themeColor="text1"/>
                <w:sz w:val="24"/>
                <w:szCs w:val="24"/>
              </w:rPr>
              <w:t>a</w:t>
            </w:r>
            <w:r w:rsidRPr="00B51DED">
              <w:rPr>
                <w:color w:val="000000" w:themeColor="text1"/>
                <w:sz w:val="24"/>
                <w:szCs w:val="24"/>
              </w:rPr>
              <w:t xml:space="preserve"> sustava, obitelji i socijalne politike</w:t>
            </w:r>
          </w:p>
          <w:p w14:paraId="747338FE" w14:textId="77777777" w:rsidR="00FB178A" w:rsidRDefault="00FB178A" w:rsidP="009E18ED">
            <w:pPr>
              <w:spacing w:line="276" w:lineRule="auto"/>
              <w:rPr>
                <w:color w:val="000000" w:themeColor="text1"/>
                <w:sz w:val="24"/>
                <w:szCs w:val="24"/>
              </w:rPr>
            </w:pPr>
          </w:p>
          <w:p w14:paraId="035E4E68" w14:textId="77777777" w:rsidR="00FB178A" w:rsidRDefault="00FB178A" w:rsidP="009E18ED">
            <w:pPr>
              <w:spacing w:line="276" w:lineRule="auto"/>
              <w:rPr>
                <w:color w:val="000000" w:themeColor="text1"/>
                <w:sz w:val="24"/>
                <w:szCs w:val="24"/>
              </w:rPr>
            </w:pPr>
          </w:p>
          <w:p w14:paraId="53F28F12" w14:textId="77777777" w:rsidR="00FB178A" w:rsidRDefault="00FB178A" w:rsidP="009E18ED">
            <w:pPr>
              <w:spacing w:line="276" w:lineRule="auto"/>
              <w:rPr>
                <w:color w:val="000000" w:themeColor="text1"/>
                <w:sz w:val="24"/>
                <w:szCs w:val="24"/>
              </w:rPr>
            </w:pPr>
          </w:p>
          <w:p w14:paraId="1B679496" w14:textId="77777777" w:rsidR="00FB178A" w:rsidRDefault="00FB178A" w:rsidP="009E18ED">
            <w:pPr>
              <w:spacing w:line="276" w:lineRule="auto"/>
              <w:rPr>
                <w:color w:val="000000" w:themeColor="text1"/>
                <w:sz w:val="24"/>
                <w:szCs w:val="24"/>
              </w:rPr>
            </w:pPr>
          </w:p>
          <w:p w14:paraId="6FBBF94F" w14:textId="77777777" w:rsidR="00FB178A" w:rsidRPr="00B51DED" w:rsidRDefault="00FB178A" w:rsidP="009E18ED">
            <w:pPr>
              <w:spacing w:line="276" w:lineRule="auto"/>
              <w:rPr>
                <w:sz w:val="24"/>
                <w:szCs w:val="24"/>
              </w:rPr>
            </w:pPr>
          </w:p>
        </w:tc>
        <w:tc>
          <w:tcPr>
            <w:tcW w:w="8224" w:type="dxa"/>
            <w:shd w:val="clear" w:color="auto" w:fill="DBE5F1" w:themeFill="accent1" w:themeFillTint="33"/>
            <w:vAlign w:val="center"/>
          </w:tcPr>
          <w:p w14:paraId="19583C18" w14:textId="77777777" w:rsidR="00FB178A" w:rsidRPr="00B51DED" w:rsidRDefault="00FB178A" w:rsidP="009E18ED">
            <w:pPr>
              <w:pStyle w:val="ListParagraph"/>
              <w:widowControl/>
              <w:numPr>
                <w:ilvl w:val="0"/>
                <w:numId w:val="2"/>
              </w:numPr>
              <w:autoSpaceDE/>
              <w:autoSpaceDN/>
              <w:spacing w:line="276" w:lineRule="auto"/>
              <w:ind w:left="564"/>
              <w:contextualSpacing/>
              <w:rPr>
                <w:color w:val="000000" w:themeColor="text1"/>
                <w:sz w:val="24"/>
                <w:szCs w:val="24"/>
              </w:rPr>
            </w:pPr>
            <w:hyperlink r:id="rId66" w:history="1">
              <w:r w:rsidRPr="00B51DED">
                <w:rPr>
                  <w:rStyle w:val="Hyperlink"/>
                  <w:rFonts w:eastAsia="Calibri"/>
                  <w:sz w:val="24"/>
                  <w:szCs w:val="24"/>
                </w:rPr>
                <w:t xml:space="preserve">Nacionalni plan za rad, </w:t>
              </w:r>
              <w:proofErr w:type="spellStart"/>
              <w:r w:rsidRPr="00B51DED">
                <w:rPr>
                  <w:rStyle w:val="Hyperlink"/>
                  <w:rFonts w:eastAsia="Calibri"/>
                  <w:sz w:val="24"/>
                  <w:szCs w:val="24"/>
                </w:rPr>
                <w:t>zaštitu</w:t>
              </w:r>
              <w:proofErr w:type="spellEnd"/>
              <w:r w:rsidRPr="00B51DED">
                <w:rPr>
                  <w:rStyle w:val="Hyperlink"/>
                  <w:rFonts w:eastAsia="Calibri"/>
                  <w:sz w:val="24"/>
                  <w:szCs w:val="24"/>
                </w:rPr>
                <w:t xml:space="preserve"> na radu i </w:t>
              </w:r>
              <w:proofErr w:type="spellStart"/>
              <w:r w:rsidRPr="00B51DED">
                <w:rPr>
                  <w:rStyle w:val="Hyperlink"/>
                  <w:rFonts w:eastAsia="Calibri"/>
                  <w:sz w:val="24"/>
                  <w:szCs w:val="24"/>
                </w:rPr>
                <w:t>zapošljavanje</w:t>
              </w:r>
              <w:proofErr w:type="spellEnd"/>
              <w:r w:rsidRPr="00B51DED">
                <w:rPr>
                  <w:rStyle w:val="Hyperlink"/>
                  <w:rFonts w:eastAsia="Calibri"/>
                  <w:sz w:val="24"/>
                  <w:szCs w:val="24"/>
                </w:rPr>
                <w:t xml:space="preserve"> za razdoblje od 2021. do 2027. godine</w:t>
              </w:r>
            </w:hyperlink>
          </w:p>
        </w:tc>
        <w:tc>
          <w:tcPr>
            <w:tcW w:w="3118" w:type="dxa"/>
            <w:vMerge w:val="restart"/>
            <w:vAlign w:val="center"/>
          </w:tcPr>
          <w:p w14:paraId="690629E0" w14:textId="77777777" w:rsidR="00FB178A" w:rsidRPr="00B51DED" w:rsidRDefault="00FB178A" w:rsidP="009E18ED">
            <w:pPr>
              <w:spacing w:line="276" w:lineRule="auto"/>
              <w:jc w:val="center"/>
              <w:rPr>
                <w:sz w:val="24"/>
                <w:szCs w:val="24"/>
              </w:rPr>
            </w:pPr>
            <w:r w:rsidRPr="00936B94">
              <w:rPr>
                <w:noProof/>
                <w:sz w:val="24"/>
                <w:szCs w:val="24"/>
                <w:lang w:eastAsia="hr-HR"/>
              </w:rPr>
              <w:drawing>
                <wp:inline distT="0" distB="0" distL="0" distR="0" wp14:anchorId="6FD4556A" wp14:editId="3FDDBDDE">
                  <wp:extent cx="581025" cy="55245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581025" cy="552450"/>
                          </a:xfrm>
                          <a:prstGeom prst="rect">
                            <a:avLst/>
                          </a:prstGeom>
                          <a:noFill/>
                          <a:ln>
                            <a:noFill/>
                          </a:ln>
                        </pic:spPr>
                      </pic:pic>
                    </a:graphicData>
                  </a:graphic>
                </wp:inline>
              </w:drawing>
            </w:r>
            <w:r w:rsidRPr="00936B94">
              <w:rPr>
                <w:noProof/>
                <w:sz w:val="24"/>
                <w:szCs w:val="24"/>
                <w:lang w:eastAsia="hr-HR"/>
              </w:rPr>
              <w:drawing>
                <wp:inline distT="0" distB="0" distL="0" distR="0" wp14:anchorId="38C9B8F4" wp14:editId="2DC9312C">
                  <wp:extent cx="571500" cy="54292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71500" cy="542925"/>
                          </a:xfrm>
                          <a:prstGeom prst="rect">
                            <a:avLst/>
                          </a:prstGeom>
                          <a:noFill/>
                          <a:ln>
                            <a:noFill/>
                          </a:ln>
                        </pic:spPr>
                      </pic:pic>
                    </a:graphicData>
                  </a:graphic>
                </wp:inline>
              </w:drawing>
            </w:r>
          </w:p>
        </w:tc>
      </w:tr>
      <w:tr w:rsidR="00FB178A" w:rsidRPr="00145379" w14:paraId="7406C149" w14:textId="77777777" w:rsidTr="009E18ED">
        <w:trPr>
          <w:trHeight w:val="839"/>
          <w:jc w:val="center"/>
        </w:trPr>
        <w:tc>
          <w:tcPr>
            <w:tcW w:w="2972" w:type="dxa"/>
            <w:vMerge/>
            <w:vAlign w:val="center"/>
          </w:tcPr>
          <w:p w14:paraId="7BB21453" w14:textId="77777777" w:rsidR="00FB178A" w:rsidRPr="00073087" w:rsidRDefault="00FB178A" w:rsidP="009E18ED">
            <w:pPr>
              <w:spacing w:line="276" w:lineRule="auto"/>
              <w:rPr>
                <w:color w:val="000000" w:themeColor="text1"/>
                <w:sz w:val="24"/>
                <w:szCs w:val="24"/>
              </w:rPr>
            </w:pPr>
          </w:p>
        </w:tc>
        <w:tc>
          <w:tcPr>
            <w:tcW w:w="8224" w:type="dxa"/>
            <w:shd w:val="clear" w:color="auto" w:fill="DBE5F1" w:themeFill="accent1" w:themeFillTint="33"/>
            <w:vAlign w:val="center"/>
          </w:tcPr>
          <w:p w14:paraId="79C2B46D" w14:textId="77777777" w:rsidR="00FB178A" w:rsidRPr="00B51DED" w:rsidRDefault="00FB178A" w:rsidP="009E18ED">
            <w:pPr>
              <w:pStyle w:val="ListParagraph"/>
              <w:widowControl/>
              <w:numPr>
                <w:ilvl w:val="0"/>
                <w:numId w:val="2"/>
              </w:numPr>
              <w:autoSpaceDE/>
              <w:autoSpaceDN/>
              <w:spacing w:line="276" w:lineRule="auto"/>
              <w:ind w:left="564"/>
              <w:contextualSpacing/>
              <w:rPr>
                <w:color w:val="000000" w:themeColor="text1"/>
                <w:sz w:val="24"/>
                <w:szCs w:val="24"/>
              </w:rPr>
            </w:pPr>
            <w:hyperlink r:id="rId69" w:history="1">
              <w:r w:rsidRPr="00B51DED">
                <w:rPr>
                  <w:rStyle w:val="Hyperlink"/>
                  <w:sz w:val="24"/>
                  <w:szCs w:val="24"/>
                </w:rPr>
                <w:t xml:space="preserve">Nacionalni plan </w:t>
              </w:r>
              <w:proofErr w:type="spellStart"/>
              <w:r w:rsidRPr="00B51DED">
                <w:rPr>
                  <w:rStyle w:val="Hyperlink"/>
                  <w:sz w:val="24"/>
                  <w:szCs w:val="24"/>
                </w:rPr>
                <w:t>izjednačavanja</w:t>
              </w:r>
              <w:proofErr w:type="spellEnd"/>
              <w:r w:rsidRPr="00B51DED">
                <w:rPr>
                  <w:rStyle w:val="Hyperlink"/>
                  <w:sz w:val="24"/>
                  <w:szCs w:val="24"/>
                </w:rPr>
                <w:t xml:space="preserve"> </w:t>
              </w:r>
              <w:proofErr w:type="spellStart"/>
              <w:r w:rsidRPr="00B51DED">
                <w:rPr>
                  <w:rStyle w:val="Hyperlink"/>
                  <w:sz w:val="24"/>
                  <w:szCs w:val="24"/>
                </w:rPr>
                <w:t>mogućnosti</w:t>
              </w:r>
              <w:proofErr w:type="spellEnd"/>
              <w:r w:rsidRPr="00B51DED">
                <w:rPr>
                  <w:rStyle w:val="Hyperlink"/>
                  <w:sz w:val="24"/>
                  <w:szCs w:val="24"/>
                </w:rPr>
                <w:t xml:space="preserve"> za osobe s invaliditetom za razdoblje od 2021. do 2027.</w:t>
              </w:r>
            </w:hyperlink>
            <w:r w:rsidRPr="00BE17F4">
              <w:rPr>
                <w:rStyle w:val="Hyperlink"/>
                <w:sz w:val="24"/>
                <w:szCs w:val="24"/>
              </w:rPr>
              <w:t xml:space="preserve"> godine</w:t>
            </w:r>
          </w:p>
        </w:tc>
        <w:tc>
          <w:tcPr>
            <w:tcW w:w="3118" w:type="dxa"/>
            <w:vMerge/>
            <w:vAlign w:val="center"/>
          </w:tcPr>
          <w:p w14:paraId="3D90B89A" w14:textId="77777777" w:rsidR="00FB178A" w:rsidRPr="00B51DED" w:rsidRDefault="00FB178A" w:rsidP="009E18ED">
            <w:pPr>
              <w:spacing w:line="276" w:lineRule="auto"/>
              <w:jc w:val="center"/>
              <w:rPr>
                <w:sz w:val="24"/>
                <w:szCs w:val="24"/>
              </w:rPr>
            </w:pPr>
          </w:p>
        </w:tc>
      </w:tr>
      <w:tr w:rsidR="00FB178A" w:rsidRPr="00145379" w14:paraId="57EA0070" w14:textId="77777777" w:rsidTr="009E18ED">
        <w:trPr>
          <w:trHeight w:val="851"/>
          <w:jc w:val="center"/>
        </w:trPr>
        <w:tc>
          <w:tcPr>
            <w:tcW w:w="2972" w:type="dxa"/>
            <w:vMerge/>
            <w:vAlign w:val="center"/>
          </w:tcPr>
          <w:p w14:paraId="42320973" w14:textId="77777777" w:rsidR="00FB178A" w:rsidRPr="00073087" w:rsidRDefault="00FB178A" w:rsidP="009E18ED">
            <w:pPr>
              <w:spacing w:line="276" w:lineRule="auto"/>
              <w:rPr>
                <w:color w:val="000000" w:themeColor="text1"/>
                <w:sz w:val="24"/>
                <w:szCs w:val="24"/>
              </w:rPr>
            </w:pPr>
          </w:p>
        </w:tc>
        <w:tc>
          <w:tcPr>
            <w:tcW w:w="8224" w:type="dxa"/>
            <w:shd w:val="clear" w:color="auto" w:fill="DBE5F1" w:themeFill="accent1" w:themeFillTint="33"/>
            <w:vAlign w:val="center"/>
          </w:tcPr>
          <w:p w14:paraId="14A16B67" w14:textId="77777777" w:rsidR="00FB178A" w:rsidRPr="00B51DED" w:rsidRDefault="00FB178A" w:rsidP="009E18ED">
            <w:pPr>
              <w:pStyle w:val="ListParagraph"/>
              <w:widowControl/>
              <w:numPr>
                <w:ilvl w:val="0"/>
                <w:numId w:val="2"/>
              </w:numPr>
              <w:autoSpaceDE/>
              <w:autoSpaceDN/>
              <w:spacing w:line="276" w:lineRule="auto"/>
              <w:ind w:left="564"/>
              <w:contextualSpacing/>
              <w:rPr>
                <w:color w:val="000000" w:themeColor="text1"/>
                <w:sz w:val="24"/>
                <w:szCs w:val="24"/>
              </w:rPr>
            </w:pPr>
            <w:hyperlink r:id="rId70" w:history="1">
              <w:r w:rsidRPr="00B51DED">
                <w:rPr>
                  <w:rStyle w:val="Hyperlink"/>
                  <w:sz w:val="24"/>
                  <w:szCs w:val="24"/>
                </w:rPr>
                <w:t>Nacionalni plan za prava djece u Republici Hrvatskoj za razdoblje od 2022. do 2026. godine</w:t>
              </w:r>
            </w:hyperlink>
          </w:p>
        </w:tc>
        <w:tc>
          <w:tcPr>
            <w:tcW w:w="3118" w:type="dxa"/>
            <w:vMerge/>
          </w:tcPr>
          <w:p w14:paraId="0FA2141B" w14:textId="77777777" w:rsidR="00FB178A" w:rsidRPr="00B51DED" w:rsidRDefault="00FB178A" w:rsidP="009E18ED">
            <w:pPr>
              <w:spacing w:line="276" w:lineRule="auto"/>
              <w:jc w:val="center"/>
              <w:rPr>
                <w:sz w:val="24"/>
                <w:szCs w:val="24"/>
              </w:rPr>
            </w:pPr>
          </w:p>
        </w:tc>
      </w:tr>
      <w:tr w:rsidR="00FB178A" w:rsidRPr="00145379" w14:paraId="77736445" w14:textId="77777777" w:rsidTr="009E18ED">
        <w:trPr>
          <w:trHeight w:val="779"/>
          <w:jc w:val="center"/>
        </w:trPr>
        <w:tc>
          <w:tcPr>
            <w:tcW w:w="2972" w:type="dxa"/>
            <w:vMerge/>
            <w:vAlign w:val="center"/>
          </w:tcPr>
          <w:p w14:paraId="471F9E1B" w14:textId="77777777" w:rsidR="00FB178A" w:rsidRPr="00073087" w:rsidRDefault="00FB178A" w:rsidP="009E18ED">
            <w:pPr>
              <w:spacing w:line="276" w:lineRule="auto"/>
              <w:rPr>
                <w:color w:val="000000" w:themeColor="text1"/>
                <w:sz w:val="24"/>
                <w:szCs w:val="24"/>
              </w:rPr>
            </w:pPr>
          </w:p>
        </w:tc>
        <w:tc>
          <w:tcPr>
            <w:tcW w:w="8224" w:type="dxa"/>
            <w:shd w:val="clear" w:color="auto" w:fill="DBE5F1" w:themeFill="accent1" w:themeFillTint="33"/>
            <w:vAlign w:val="center"/>
          </w:tcPr>
          <w:p w14:paraId="23014E59" w14:textId="77777777" w:rsidR="00FB178A" w:rsidRPr="00B51DED" w:rsidRDefault="00FB178A" w:rsidP="009E18ED">
            <w:pPr>
              <w:pStyle w:val="ListParagraph"/>
              <w:widowControl/>
              <w:numPr>
                <w:ilvl w:val="0"/>
                <w:numId w:val="2"/>
              </w:numPr>
              <w:autoSpaceDE/>
              <w:autoSpaceDN/>
              <w:spacing w:line="276" w:lineRule="auto"/>
              <w:ind w:left="564"/>
              <w:contextualSpacing/>
              <w:rPr>
                <w:color w:val="000000" w:themeColor="text1"/>
                <w:sz w:val="24"/>
                <w:szCs w:val="24"/>
              </w:rPr>
            </w:pPr>
            <w:hyperlink r:id="rId71" w:history="1">
              <w:r w:rsidRPr="00B51DED">
                <w:rPr>
                  <w:rStyle w:val="Hyperlink"/>
                  <w:sz w:val="24"/>
                  <w:szCs w:val="24"/>
                </w:rPr>
                <w:t xml:space="preserve">Nacionalni plan borbe protiv siromaštva i socijalne isključenosti za razdoblje od 2021. </w:t>
              </w:r>
              <w:r w:rsidRPr="00B51DED">
                <w:rPr>
                  <w:rStyle w:val="Hyperlink"/>
                </w:rPr>
                <w:t>do</w:t>
              </w:r>
              <w:r>
                <w:rPr>
                  <w:rStyle w:val="Hyperlink"/>
                </w:rPr>
                <w:t xml:space="preserve"> </w:t>
              </w:r>
              <w:r w:rsidRPr="00B51DED">
                <w:rPr>
                  <w:rStyle w:val="Hyperlink"/>
                  <w:sz w:val="24"/>
                  <w:szCs w:val="24"/>
                </w:rPr>
                <w:t>2027. godine</w:t>
              </w:r>
            </w:hyperlink>
          </w:p>
        </w:tc>
        <w:tc>
          <w:tcPr>
            <w:tcW w:w="3118" w:type="dxa"/>
            <w:vMerge/>
          </w:tcPr>
          <w:p w14:paraId="04276C53" w14:textId="77777777" w:rsidR="00FB178A" w:rsidRPr="00B51DED" w:rsidRDefault="00FB178A" w:rsidP="009E18ED">
            <w:pPr>
              <w:spacing w:line="276" w:lineRule="auto"/>
              <w:rPr>
                <w:sz w:val="24"/>
                <w:szCs w:val="24"/>
              </w:rPr>
            </w:pPr>
          </w:p>
        </w:tc>
      </w:tr>
      <w:tr w:rsidR="00FB178A" w:rsidRPr="00145379" w14:paraId="08935106" w14:textId="77777777" w:rsidTr="009E18ED">
        <w:trPr>
          <w:trHeight w:val="631"/>
          <w:jc w:val="center"/>
        </w:trPr>
        <w:tc>
          <w:tcPr>
            <w:tcW w:w="2972" w:type="dxa"/>
            <w:vMerge/>
            <w:vAlign w:val="center"/>
          </w:tcPr>
          <w:p w14:paraId="20DAAD25" w14:textId="77777777" w:rsidR="00FB178A" w:rsidRPr="00073087" w:rsidRDefault="00FB178A" w:rsidP="009E18ED">
            <w:pPr>
              <w:spacing w:line="276" w:lineRule="auto"/>
              <w:rPr>
                <w:color w:val="000000" w:themeColor="text1"/>
                <w:sz w:val="24"/>
                <w:szCs w:val="24"/>
              </w:rPr>
            </w:pPr>
          </w:p>
        </w:tc>
        <w:tc>
          <w:tcPr>
            <w:tcW w:w="8224" w:type="dxa"/>
            <w:shd w:val="clear" w:color="auto" w:fill="DBE5F1" w:themeFill="accent1" w:themeFillTint="33"/>
            <w:vAlign w:val="center"/>
          </w:tcPr>
          <w:p w14:paraId="00312482" w14:textId="77777777" w:rsidR="00FB178A" w:rsidRPr="00B51DED" w:rsidRDefault="00FB178A" w:rsidP="009E18ED">
            <w:pPr>
              <w:pStyle w:val="ListParagraph"/>
              <w:widowControl/>
              <w:numPr>
                <w:ilvl w:val="0"/>
                <w:numId w:val="2"/>
              </w:numPr>
              <w:autoSpaceDE/>
              <w:autoSpaceDN/>
              <w:spacing w:line="276" w:lineRule="auto"/>
              <w:ind w:left="564"/>
              <w:contextualSpacing/>
              <w:rPr>
                <w:color w:val="000000" w:themeColor="text1"/>
                <w:sz w:val="24"/>
                <w:szCs w:val="24"/>
              </w:rPr>
            </w:pPr>
            <w:hyperlink r:id="rId72" w:history="1">
              <w:r w:rsidRPr="00B51DED">
                <w:rPr>
                  <w:rStyle w:val="Hyperlink"/>
                  <w:sz w:val="24"/>
                  <w:szCs w:val="24"/>
                </w:rPr>
                <w:t>Nacionalni plan razvoja socijalnih usluga za razdoblje od 2021. do 2027. godine</w:t>
              </w:r>
            </w:hyperlink>
          </w:p>
        </w:tc>
        <w:tc>
          <w:tcPr>
            <w:tcW w:w="3118" w:type="dxa"/>
            <w:vMerge/>
          </w:tcPr>
          <w:p w14:paraId="78524E50" w14:textId="77777777" w:rsidR="00FB178A" w:rsidRPr="00B51DED" w:rsidRDefault="00FB178A" w:rsidP="009E18ED">
            <w:pPr>
              <w:spacing w:line="276" w:lineRule="auto"/>
              <w:rPr>
                <w:sz w:val="24"/>
                <w:szCs w:val="24"/>
              </w:rPr>
            </w:pPr>
          </w:p>
        </w:tc>
      </w:tr>
      <w:tr w:rsidR="00FB178A" w:rsidRPr="00145379" w14:paraId="074ADF48" w14:textId="77777777" w:rsidTr="009E18ED">
        <w:trPr>
          <w:trHeight w:val="487"/>
          <w:jc w:val="center"/>
        </w:trPr>
        <w:tc>
          <w:tcPr>
            <w:tcW w:w="2972" w:type="dxa"/>
            <w:vMerge/>
            <w:vAlign w:val="center"/>
          </w:tcPr>
          <w:p w14:paraId="1697FBB8" w14:textId="77777777" w:rsidR="00FB178A" w:rsidRPr="00073087" w:rsidRDefault="00FB178A" w:rsidP="009E18ED">
            <w:pPr>
              <w:spacing w:line="276" w:lineRule="auto"/>
              <w:rPr>
                <w:color w:val="000000" w:themeColor="text1"/>
                <w:sz w:val="24"/>
                <w:szCs w:val="24"/>
              </w:rPr>
            </w:pPr>
          </w:p>
        </w:tc>
        <w:tc>
          <w:tcPr>
            <w:tcW w:w="8224" w:type="dxa"/>
            <w:shd w:val="clear" w:color="auto" w:fill="DBE5F1" w:themeFill="accent1" w:themeFillTint="33"/>
            <w:vAlign w:val="center"/>
          </w:tcPr>
          <w:p w14:paraId="5FA07F95" w14:textId="77777777" w:rsidR="00FB178A" w:rsidRPr="00B51DED" w:rsidRDefault="00FB178A" w:rsidP="009E18ED">
            <w:pPr>
              <w:pStyle w:val="ListParagraph"/>
              <w:widowControl/>
              <w:numPr>
                <w:ilvl w:val="0"/>
                <w:numId w:val="2"/>
              </w:numPr>
              <w:autoSpaceDE/>
              <w:autoSpaceDN/>
              <w:spacing w:line="276" w:lineRule="auto"/>
              <w:ind w:left="564"/>
              <w:contextualSpacing/>
              <w:rPr>
                <w:color w:val="231F20"/>
                <w:sz w:val="24"/>
                <w:szCs w:val="24"/>
              </w:rPr>
            </w:pPr>
            <w:hyperlink r:id="rId73" w:history="1">
              <w:r w:rsidRPr="00B51DED">
                <w:rPr>
                  <w:rStyle w:val="Hyperlink"/>
                  <w:sz w:val="24"/>
                  <w:szCs w:val="24"/>
                </w:rPr>
                <w:t>Nacionalni plan za suzbijanje seksualnog nasilja i seksualnog uznemiravanja za razdoblje do 2027. godine</w:t>
              </w:r>
            </w:hyperlink>
          </w:p>
        </w:tc>
        <w:tc>
          <w:tcPr>
            <w:tcW w:w="3118" w:type="dxa"/>
            <w:vMerge/>
          </w:tcPr>
          <w:p w14:paraId="2B4B6ABF" w14:textId="77777777" w:rsidR="00FB178A" w:rsidRPr="00B51DED" w:rsidRDefault="00FB178A" w:rsidP="009E18ED">
            <w:pPr>
              <w:spacing w:line="276" w:lineRule="auto"/>
              <w:rPr>
                <w:sz w:val="24"/>
                <w:szCs w:val="24"/>
              </w:rPr>
            </w:pPr>
          </w:p>
        </w:tc>
      </w:tr>
      <w:tr w:rsidR="00FB178A" w:rsidRPr="00145379" w14:paraId="0B85F26B" w14:textId="77777777" w:rsidTr="009E18ED">
        <w:trPr>
          <w:trHeight w:val="626"/>
          <w:jc w:val="center"/>
        </w:trPr>
        <w:tc>
          <w:tcPr>
            <w:tcW w:w="2972" w:type="dxa"/>
            <w:vAlign w:val="center"/>
          </w:tcPr>
          <w:p w14:paraId="5E6481FB" w14:textId="77777777" w:rsidR="00FB178A" w:rsidRPr="00B51DED" w:rsidRDefault="00FB178A" w:rsidP="009E18ED">
            <w:pPr>
              <w:spacing w:line="276" w:lineRule="auto"/>
              <w:rPr>
                <w:rFonts w:eastAsia="Calibri"/>
                <w:sz w:val="24"/>
                <w:szCs w:val="24"/>
              </w:rPr>
            </w:pPr>
            <w:r w:rsidRPr="00E5374D">
              <w:rPr>
                <w:color w:val="000000" w:themeColor="text1"/>
                <w:sz w:val="24"/>
                <w:szCs w:val="24"/>
              </w:rPr>
              <w:t>Ministarstvo regionalnoga razvoja i fondova Europske unije</w:t>
            </w:r>
          </w:p>
        </w:tc>
        <w:tc>
          <w:tcPr>
            <w:tcW w:w="8224" w:type="dxa"/>
            <w:shd w:val="clear" w:color="auto" w:fill="DBE5F1" w:themeFill="accent1" w:themeFillTint="33"/>
            <w:vAlign w:val="center"/>
          </w:tcPr>
          <w:p w14:paraId="50DB5632" w14:textId="77777777" w:rsidR="00FB178A" w:rsidRPr="00B51DED" w:rsidRDefault="00FB178A" w:rsidP="009E18ED">
            <w:pPr>
              <w:pStyle w:val="ListParagraph"/>
              <w:widowControl/>
              <w:numPr>
                <w:ilvl w:val="0"/>
                <w:numId w:val="2"/>
              </w:numPr>
              <w:autoSpaceDE/>
              <w:autoSpaceDN/>
              <w:spacing w:line="276" w:lineRule="auto"/>
              <w:ind w:left="564"/>
              <w:contextualSpacing/>
              <w:rPr>
                <w:rFonts w:eastAsia="Calibri"/>
                <w:sz w:val="24"/>
                <w:szCs w:val="24"/>
              </w:rPr>
            </w:pPr>
            <w:hyperlink r:id="rId74" w:history="1">
              <w:r w:rsidRPr="00B51DED">
                <w:rPr>
                  <w:rStyle w:val="Hyperlink"/>
                  <w:sz w:val="24"/>
                  <w:szCs w:val="24"/>
                </w:rPr>
                <w:t>Nacionalni plan razvoja otoka 2021.</w:t>
              </w:r>
              <w:r>
                <w:rPr>
                  <w:rStyle w:val="Hyperlink"/>
                  <w:sz w:val="24"/>
                  <w:szCs w:val="24"/>
                </w:rPr>
                <w:t xml:space="preserve"> </w:t>
              </w:r>
              <w:r w:rsidRPr="00B51DED">
                <w:rPr>
                  <w:rStyle w:val="Hyperlink"/>
                  <w:sz w:val="24"/>
                  <w:szCs w:val="24"/>
                </w:rPr>
                <w:t>-</w:t>
              </w:r>
              <w:r>
                <w:rPr>
                  <w:rStyle w:val="Hyperlink"/>
                  <w:sz w:val="24"/>
                  <w:szCs w:val="24"/>
                </w:rPr>
                <w:t xml:space="preserve"> </w:t>
              </w:r>
              <w:r w:rsidRPr="00B51DED">
                <w:rPr>
                  <w:rStyle w:val="Hyperlink"/>
                  <w:sz w:val="24"/>
                  <w:szCs w:val="24"/>
                </w:rPr>
                <w:t>2027.</w:t>
              </w:r>
            </w:hyperlink>
          </w:p>
        </w:tc>
        <w:tc>
          <w:tcPr>
            <w:tcW w:w="3118" w:type="dxa"/>
            <w:vAlign w:val="center"/>
          </w:tcPr>
          <w:p w14:paraId="0986981B" w14:textId="77777777" w:rsidR="00FB178A" w:rsidRPr="00B51DED" w:rsidRDefault="00FB178A" w:rsidP="009E18ED">
            <w:pPr>
              <w:spacing w:line="276" w:lineRule="auto"/>
              <w:jc w:val="center"/>
              <w:rPr>
                <w:bCs/>
                <w:sz w:val="24"/>
                <w:szCs w:val="24"/>
              </w:rPr>
            </w:pPr>
            <w:r w:rsidRPr="00936B94">
              <w:rPr>
                <w:noProof/>
                <w:sz w:val="24"/>
                <w:szCs w:val="24"/>
                <w:lang w:eastAsia="hr-HR"/>
              </w:rPr>
              <w:drawing>
                <wp:inline distT="0" distB="0" distL="0" distR="0" wp14:anchorId="1A70383B" wp14:editId="5E2A01B4">
                  <wp:extent cx="561975" cy="533400"/>
                  <wp:effectExtent l="0" t="0" r="9525" b="0"/>
                  <wp:docPr id="1321978752" name="Picture 1321978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561975" cy="533400"/>
                          </a:xfrm>
                          <a:prstGeom prst="rect">
                            <a:avLst/>
                          </a:prstGeom>
                          <a:noFill/>
                          <a:ln>
                            <a:noFill/>
                          </a:ln>
                        </pic:spPr>
                      </pic:pic>
                    </a:graphicData>
                  </a:graphic>
                </wp:inline>
              </w:drawing>
            </w:r>
          </w:p>
        </w:tc>
      </w:tr>
      <w:tr w:rsidR="00FB178A" w:rsidRPr="00145379" w14:paraId="25FAE150" w14:textId="77777777" w:rsidTr="009E18ED">
        <w:trPr>
          <w:trHeight w:val="512"/>
          <w:jc w:val="center"/>
        </w:trPr>
        <w:tc>
          <w:tcPr>
            <w:tcW w:w="2972" w:type="dxa"/>
            <w:vMerge w:val="restart"/>
            <w:vAlign w:val="center"/>
          </w:tcPr>
          <w:p w14:paraId="2CB1A599" w14:textId="77777777" w:rsidR="00FB178A" w:rsidRPr="00B51DED" w:rsidRDefault="00FB178A" w:rsidP="009E18ED">
            <w:pPr>
              <w:spacing w:line="276" w:lineRule="auto"/>
              <w:rPr>
                <w:color w:val="000000" w:themeColor="text1"/>
                <w:sz w:val="24"/>
                <w:szCs w:val="24"/>
              </w:rPr>
            </w:pPr>
            <w:r w:rsidRPr="00B51DED">
              <w:rPr>
                <w:rFonts w:eastAsia="Calibri"/>
                <w:sz w:val="24"/>
                <w:szCs w:val="24"/>
              </w:rPr>
              <w:t>Ministarstvo turizma i sporta</w:t>
            </w:r>
          </w:p>
        </w:tc>
        <w:tc>
          <w:tcPr>
            <w:tcW w:w="8224" w:type="dxa"/>
            <w:shd w:val="clear" w:color="auto" w:fill="DBE5F1" w:themeFill="accent1" w:themeFillTint="33"/>
            <w:vAlign w:val="center"/>
          </w:tcPr>
          <w:p w14:paraId="362AB74C" w14:textId="77777777" w:rsidR="00FB178A" w:rsidRPr="00B51DED" w:rsidRDefault="00FB178A" w:rsidP="009E18ED">
            <w:pPr>
              <w:pStyle w:val="ListParagraph"/>
              <w:widowControl/>
              <w:numPr>
                <w:ilvl w:val="0"/>
                <w:numId w:val="2"/>
              </w:numPr>
              <w:autoSpaceDE/>
              <w:autoSpaceDN/>
              <w:spacing w:line="276" w:lineRule="auto"/>
              <w:ind w:left="564"/>
              <w:contextualSpacing/>
              <w:rPr>
                <w:color w:val="000000" w:themeColor="text1"/>
                <w:sz w:val="24"/>
                <w:szCs w:val="24"/>
              </w:rPr>
            </w:pPr>
            <w:hyperlink r:id="rId76" w:history="1">
              <w:r w:rsidRPr="00B51DED">
                <w:rPr>
                  <w:rStyle w:val="Hyperlink"/>
                  <w:rFonts w:eastAsia="Calibri"/>
                  <w:sz w:val="24"/>
                  <w:szCs w:val="24"/>
                </w:rPr>
                <w:t>Strategija razvoja održivog turizma do 2030. godine</w:t>
              </w:r>
            </w:hyperlink>
          </w:p>
        </w:tc>
        <w:tc>
          <w:tcPr>
            <w:tcW w:w="3118" w:type="dxa"/>
            <w:vMerge w:val="restart"/>
            <w:vAlign w:val="center"/>
          </w:tcPr>
          <w:p w14:paraId="1FC6BAD9" w14:textId="77777777" w:rsidR="00FB178A" w:rsidRPr="00B51DED" w:rsidRDefault="00FB178A" w:rsidP="009E18ED">
            <w:pPr>
              <w:spacing w:line="276" w:lineRule="auto"/>
              <w:jc w:val="center"/>
              <w:rPr>
                <w:bCs/>
                <w:sz w:val="24"/>
                <w:szCs w:val="24"/>
              </w:rPr>
            </w:pPr>
            <w:r w:rsidRPr="00936B94">
              <w:rPr>
                <w:noProof/>
                <w:sz w:val="24"/>
                <w:szCs w:val="24"/>
                <w:lang w:eastAsia="hr-HR"/>
              </w:rPr>
              <w:drawing>
                <wp:inline distT="0" distB="0" distL="0" distR="0" wp14:anchorId="0C90412B" wp14:editId="1520BBE1">
                  <wp:extent cx="581025" cy="552450"/>
                  <wp:effectExtent l="0" t="0" r="9525" b="0"/>
                  <wp:docPr id="1850827993" name="Picture 1850827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81025" cy="552450"/>
                          </a:xfrm>
                          <a:prstGeom prst="rect">
                            <a:avLst/>
                          </a:prstGeom>
                          <a:noFill/>
                          <a:ln>
                            <a:noFill/>
                          </a:ln>
                        </pic:spPr>
                      </pic:pic>
                    </a:graphicData>
                  </a:graphic>
                </wp:inline>
              </w:drawing>
            </w:r>
          </w:p>
        </w:tc>
      </w:tr>
      <w:tr w:rsidR="00FB178A" w:rsidRPr="00145379" w14:paraId="55BB8879" w14:textId="77777777" w:rsidTr="009E18ED">
        <w:trPr>
          <w:trHeight w:val="576"/>
          <w:jc w:val="center"/>
        </w:trPr>
        <w:tc>
          <w:tcPr>
            <w:tcW w:w="2972" w:type="dxa"/>
            <w:vMerge/>
            <w:vAlign w:val="center"/>
          </w:tcPr>
          <w:p w14:paraId="24A282AC" w14:textId="77777777" w:rsidR="00FB178A" w:rsidRPr="00073087" w:rsidRDefault="00FB178A" w:rsidP="009E18ED">
            <w:pPr>
              <w:spacing w:line="276" w:lineRule="auto"/>
              <w:rPr>
                <w:rFonts w:eastAsia="Calibri"/>
                <w:sz w:val="24"/>
                <w:szCs w:val="24"/>
              </w:rPr>
            </w:pPr>
          </w:p>
        </w:tc>
        <w:tc>
          <w:tcPr>
            <w:tcW w:w="8224" w:type="dxa"/>
            <w:shd w:val="clear" w:color="auto" w:fill="DBE5F1" w:themeFill="accent1" w:themeFillTint="33"/>
            <w:vAlign w:val="center"/>
          </w:tcPr>
          <w:p w14:paraId="097BB457" w14:textId="77777777" w:rsidR="00FB178A" w:rsidRPr="00B51DED" w:rsidRDefault="00FB178A" w:rsidP="009E18ED">
            <w:pPr>
              <w:pStyle w:val="ListParagraph"/>
              <w:widowControl/>
              <w:numPr>
                <w:ilvl w:val="0"/>
                <w:numId w:val="2"/>
              </w:numPr>
              <w:autoSpaceDE/>
              <w:autoSpaceDN/>
              <w:spacing w:line="276" w:lineRule="auto"/>
              <w:ind w:left="564"/>
              <w:contextualSpacing/>
              <w:rPr>
                <w:rFonts w:eastAsia="Calibri"/>
                <w:sz w:val="24"/>
                <w:szCs w:val="24"/>
              </w:rPr>
            </w:pPr>
            <w:hyperlink r:id="rId77" w:history="1">
              <w:r w:rsidRPr="00B51DED">
                <w:rPr>
                  <w:rStyle w:val="Hyperlink"/>
                  <w:rFonts w:eastAsia="Calibri"/>
                  <w:sz w:val="24"/>
                  <w:szCs w:val="24"/>
                </w:rPr>
                <w:t>Nacionalni plan razvoja održivog turizma do 2027. godine</w:t>
              </w:r>
            </w:hyperlink>
          </w:p>
        </w:tc>
        <w:tc>
          <w:tcPr>
            <w:tcW w:w="3118" w:type="dxa"/>
            <w:vMerge/>
            <w:vAlign w:val="center"/>
          </w:tcPr>
          <w:p w14:paraId="69C21564" w14:textId="77777777" w:rsidR="00FB178A" w:rsidRPr="00936B94" w:rsidRDefault="00FB178A" w:rsidP="009E18ED">
            <w:pPr>
              <w:spacing w:line="276" w:lineRule="auto"/>
              <w:jc w:val="center"/>
              <w:rPr>
                <w:noProof/>
                <w:sz w:val="24"/>
                <w:szCs w:val="24"/>
              </w:rPr>
            </w:pPr>
          </w:p>
        </w:tc>
      </w:tr>
      <w:tr w:rsidR="00FB178A" w:rsidRPr="00145379" w14:paraId="09553C0C" w14:textId="77777777" w:rsidTr="009E18ED">
        <w:trPr>
          <w:trHeight w:val="859"/>
          <w:jc w:val="center"/>
        </w:trPr>
        <w:tc>
          <w:tcPr>
            <w:tcW w:w="2972" w:type="dxa"/>
            <w:vMerge/>
            <w:vAlign w:val="center"/>
          </w:tcPr>
          <w:p w14:paraId="166F806C" w14:textId="77777777" w:rsidR="00FB178A" w:rsidRPr="00073087" w:rsidRDefault="00FB178A" w:rsidP="009E18ED">
            <w:pPr>
              <w:spacing w:line="276" w:lineRule="auto"/>
              <w:rPr>
                <w:color w:val="000000" w:themeColor="text1"/>
                <w:sz w:val="24"/>
                <w:szCs w:val="24"/>
              </w:rPr>
            </w:pPr>
          </w:p>
        </w:tc>
        <w:tc>
          <w:tcPr>
            <w:tcW w:w="8224" w:type="dxa"/>
            <w:shd w:val="clear" w:color="auto" w:fill="DBE5F1" w:themeFill="accent1" w:themeFillTint="33"/>
            <w:vAlign w:val="center"/>
          </w:tcPr>
          <w:p w14:paraId="4E9E6961" w14:textId="77777777" w:rsidR="00FB178A" w:rsidRPr="00B51DED" w:rsidRDefault="00FB178A" w:rsidP="009E18ED">
            <w:pPr>
              <w:pStyle w:val="ListParagraph"/>
              <w:widowControl/>
              <w:numPr>
                <w:ilvl w:val="0"/>
                <w:numId w:val="2"/>
              </w:numPr>
              <w:autoSpaceDE/>
              <w:autoSpaceDN/>
              <w:spacing w:line="276" w:lineRule="auto"/>
              <w:ind w:left="564"/>
              <w:contextualSpacing/>
              <w:rPr>
                <w:color w:val="000000" w:themeColor="text1"/>
                <w:sz w:val="24"/>
                <w:szCs w:val="24"/>
              </w:rPr>
            </w:pPr>
            <w:hyperlink r:id="rId78" w:history="1">
              <w:r w:rsidRPr="00B51DED">
                <w:rPr>
                  <w:rStyle w:val="Hyperlink"/>
                  <w:sz w:val="24"/>
                  <w:szCs w:val="24"/>
                </w:rPr>
                <w:t xml:space="preserve">Nacionalni program </w:t>
              </w:r>
              <w:r>
                <w:rPr>
                  <w:rStyle w:val="Hyperlink"/>
                  <w:sz w:val="24"/>
                  <w:szCs w:val="24"/>
                </w:rPr>
                <w:t>š</w:t>
              </w:r>
              <w:r w:rsidRPr="00B51DED">
                <w:rPr>
                  <w:rStyle w:val="Hyperlink"/>
                  <w:sz w:val="24"/>
                  <w:szCs w:val="24"/>
                </w:rPr>
                <w:t>porta 2019.</w:t>
              </w:r>
              <w:r>
                <w:rPr>
                  <w:rStyle w:val="Hyperlink"/>
                  <w:sz w:val="24"/>
                  <w:szCs w:val="24"/>
                </w:rPr>
                <w:t xml:space="preserve"> </w:t>
              </w:r>
              <w:r w:rsidRPr="00B51DED">
                <w:rPr>
                  <w:rStyle w:val="Hyperlink"/>
                  <w:sz w:val="24"/>
                  <w:szCs w:val="24"/>
                </w:rPr>
                <w:t>-</w:t>
              </w:r>
              <w:r>
                <w:rPr>
                  <w:rStyle w:val="Hyperlink"/>
                  <w:sz w:val="24"/>
                  <w:szCs w:val="24"/>
                </w:rPr>
                <w:t xml:space="preserve"> </w:t>
              </w:r>
              <w:r w:rsidRPr="00B51DED">
                <w:rPr>
                  <w:rStyle w:val="Hyperlink"/>
                  <w:sz w:val="24"/>
                  <w:szCs w:val="24"/>
                </w:rPr>
                <w:t>2026.</w:t>
              </w:r>
            </w:hyperlink>
          </w:p>
        </w:tc>
        <w:tc>
          <w:tcPr>
            <w:tcW w:w="3118" w:type="dxa"/>
            <w:vAlign w:val="center"/>
          </w:tcPr>
          <w:p w14:paraId="2E3D8648" w14:textId="77777777" w:rsidR="00FB178A" w:rsidRPr="00B51DED" w:rsidRDefault="00FB178A" w:rsidP="009E18ED">
            <w:pPr>
              <w:spacing w:line="276" w:lineRule="auto"/>
              <w:jc w:val="center"/>
              <w:rPr>
                <w:sz w:val="24"/>
                <w:szCs w:val="24"/>
              </w:rPr>
            </w:pPr>
            <w:r w:rsidRPr="00936B94">
              <w:rPr>
                <w:noProof/>
                <w:sz w:val="24"/>
                <w:szCs w:val="24"/>
                <w:lang w:eastAsia="hr-HR"/>
              </w:rPr>
              <w:drawing>
                <wp:inline distT="0" distB="0" distL="0" distR="0" wp14:anchorId="23D4757D" wp14:editId="28AC1294">
                  <wp:extent cx="571500" cy="542925"/>
                  <wp:effectExtent l="0" t="0" r="0" b="9525"/>
                  <wp:docPr id="218719495" name="Picture 218719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71500" cy="542925"/>
                          </a:xfrm>
                          <a:prstGeom prst="rect">
                            <a:avLst/>
                          </a:prstGeom>
                          <a:noFill/>
                          <a:ln>
                            <a:noFill/>
                          </a:ln>
                        </pic:spPr>
                      </pic:pic>
                    </a:graphicData>
                  </a:graphic>
                </wp:inline>
              </w:drawing>
            </w:r>
          </w:p>
        </w:tc>
      </w:tr>
      <w:tr w:rsidR="00FB178A" w:rsidRPr="00145379" w14:paraId="244359C5" w14:textId="77777777" w:rsidTr="009E18ED">
        <w:trPr>
          <w:trHeight w:val="556"/>
          <w:jc w:val="center"/>
        </w:trPr>
        <w:tc>
          <w:tcPr>
            <w:tcW w:w="2972" w:type="dxa"/>
            <w:vMerge w:val="restart"/>
            <w:vAlign w:val="center"/>
          </w:tcPr>
          <w:p w14:paraId="25ED3B34" w14:textId="77777777" w:rsidR="00FB178A" w:rsidRPr="00B51DED" w:rsidRDefault="00FB178A" w:rsidP="009E18ED">
            <w:pPr>
              <w:spacing w:line="276" w:lineRule="auto"/>
              <w:rPr>
                <w:color w:val="000000" w:themeColor="text1"/>
                <w:sz w:val="24"/>
                <w:szCs w:val="24"/>
              </w:rPr>
            </w:pPr>
            <w:r w:rsidRPr="00B51DED">
              <w:rPr>
                <w:rFonts w:eastAsia="Calibri"/>
                <w:sz w:val="24"/>
                <w:szCs w:val="24"/>
              </w:rPr>
              <w:t>Ministarstvo unutarnjih poslova</w:t>
            </w:r>
          </w:p>
        </w:tc>
        <w:tc>
          <w:tcPr>
            <w:tcW w:w="8224" w:type="dxa"/>
            <w:shd w:val="clear" w:color="auto" w:fill="DBE5F1" w:themeFill="accent1" w:themeFillTint="33"/>
            <w:vAlign w:val="center"/>
          </w:tcPr>
          <w:p w14:paraId="1904FF21" w14:textId="77777777" w:rsidR="00FB178A" w:rsidRPr="00B51DED" w:rsidRDefault="00FB178A" w:rsidP="009E18ED">
            <w:pPr>
              <w:pStyle w:val="ListParagraph"/>
              <w:widowControl/>
              <w:numPr>
                <w:ilvl w:val="0"/>
                <w:numId w:val="2"/>
              </w:numPr>
              <w:autoSpaceDE/>
              <w:autoSpaceDN/>
              <w:spacing w:line="276" w:lineRule="auto"/>
              <w:ind w:left="564"/>
              <w:contextualSpacing/>
              <w:rPr>
                <w:color w:val="000000" w:themeColor="text1"/>
                <w:sz w:val="24"/>
                <w:szCs w:val="24"/>
              </w:rPr>
            </w:pPr>
            <w:hyperlink r:id="rId79" w:history="1">
              <w:r w:rsidRPr="00B51DED">
                <w:rPr>
                  <w:rStyle w:val="Hyperlink"/>
                  <w:rFonts w:eastAsia="Calibri"/>
                  <w:sz w:val="24"/>
                  <w:szCs w:val="24"/>
                </w:rPr>
                <w:t>Strategija upravljanja rizicima od katastrofa do 2030. godine</w:t>
              </w:r>
            </w:hyperlink>
            <w:r w:rsidRPr="00B51DED">
              <w:rPr>
                <w:rStyle w:val="eop"/>
                <w:sz w:val="24"/>
                <w:szCs w:val="24"/>
                <w:shd w:val="clear" w:color="auto" w:fill="F2F2F2" w:themeFill="background1" w:themeFillShade="F2"/>
              </w:rPr>
              <w:t xml:space="preserve"> </w:t>
            </w:r>
          </w:p>
        </w:tc>
        <w:tc>
          <w:tcPr>
            <w:tcW w:w="3118" w:type="dxa"/>
            <w:vMerge w:val="restart"/>
            <w:vAlign w:val="center"/>
          </w:tcPr>
          <w:p w14:paraId="6FBC422B" w14:textId="77777777" w:rsidR="00FB178A" w:rsidRPr="00B51DED" w:rsidRDefault="00FB178A" w:rsidP="009E18ED">
            <w:pPr>
              <w:spacing w:line="276" w:lineRule="auto"/>
              <w:jc w:val="center"/>
              <w:rPr>
                <w:sz w:val="24"/>
                <w:szCs w:val="24"/>
              </w:rPr>
            </w:pPr>
            <w:r w:rsidRPr="00936B94">
              <w:rPr>
                <w:noProof/>
                <w:sz w:val="24"/>
                <w:szCs w:val="24"/>
                <w:lang w:eastAsia="hr-HR"/>
              </w:rPr>
              <w:drawing>
                <wp:inline distT="0" distB="0" distL="0" distR="0" wp14:anchorId="6C518D42" wp14:editId="0FA5007C">
                  <wp:extent cx="571500" cy="542925"/>
                  <wp:effectExtent l="0" t="0" r="0" b="9525"/>
                  <wp:docPr id="2031418961" name="Picture 2031418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71500" cy="542925"/>
                          </a:xfrm>
                          <a:prstGeom prst="rect">
                            <a:avLst/>
                          </a:prstGeom>
                          <a:noFill/>
                          <a:ln>
                            <a:noFill/>
                          </a:ln>
                        </pic:spPr>
                      </pic:pic>
                    </a:graphicData>
                  </a:graphic>
                </wp:inline>
              </w:drawing>
            </w:r>
          </w:p>
        </w:tc>
      </w:tr>
      <w:tr w:rsidR="00FB178A" w:rsidRPr="00145379" w14:paraId="50CF1B70" w14:textId="77777777" w:rsidTr="009E18ED">
        <w:trPr>
          <w:trHeight w:val="768"/>
          <w:jc w:val="center"/>
        </w:trPr>
        <w:tc>
          <w:tcPr>
            <w:tcW w:w="2972" w:type="dxa"/>
            <w:vMerge/>
            <w:vAlign w:val="center"/>
          </w:tcPr>
          <w:p w14:paraId="46D78EA4" w14:textId="77777777" w:rsidR="00FB178A" w:rsidRPr="00073087" w:rsidRDefault="00FB178A" w:rsidP="009E18ED">
            <w:pPr>
              <w:spacing w:line="276" w:lineRule="auto"/>
              <w:rPr>
                <w:rFonts w:eastAsia="Calibri"/>
                <w:sz w:val="24"/>
                <w:szCs w:val="24"/>
              </w:rPr>
            </w:pPr>
          </w:p>
        </w:tc>
        <w:tc>
          <w:tcPr>
            <w:tcW w:w="8224" w:type="dxa"/>
            <w:shd w:val="clear" w:color="auto" w:fill="DBE5F1" w:themeFill="accent1" w:themeFillTint="33"/>
            <w:vAlign w:val="center"/>
          </w:tcPr>
          <w:p w14:paraId="56880CA2" w14:textId="77777777" w:rsidR="00FB178A" w:rsidRPr="00B51DED" w:rsidRDefault="00FB178A" w:rsidP="009E18ED">
            <w:pPr>
              <w:pStyle w:val="ListParagraph"/>
              <w:widowControl/>
              <w:numPr>
                <w:ilvl w:val="0"/>
                <w:numId w:val="2"/>
              </w:numPr>
              <w:autoSpaceDE/>
              <w:autoSpaceDN/>
              <w:spacing w:line="276" w:lineRule="auto"/>
              <w:ind w:left="564"/>
              <w:contextualSpacing/>
              <w:rPr>
                <w:color w:val="000000" w:themeColor="text1"/>
                <w:sz w:val="24"/>
                <w:szCs w:val="24"/>
              </w:rPr>
            </w:pPr>
            <w:hyperlink r:id="rId80" w:history="1">
              <w:r w:rsidRPr="00B51DED">
                <w:rPr>
                  <w:rStyle w:val="Hyperlink"/>
                  <w:sz w:val="24"/>
                  <w:szCs w:val="24"/>
                </w:rPr>
                <w:t xml:space="preserve">Strategija integriranog upravljanja granicom </w:t>
              </w:r>
            </w:hyperlink>
          </w:p>
        </w:tc>
        <w:tc>
          <w:tcPr>
            <w:tcW w:w="3118" w:type="dxa"/>
            <w:vMerge/>
          </w:tcPr>
          <w:p w14:paraId="3C5981A3" w14:textId="77777777" w:rsidR="00FB178A" w:rsidRPr="00B51DED" w:rsidRDefault="00FB178A" w:rsidP="009E18ED">
            <w:pPr>
              <w:spacing w:line="276" w:lineRule="auto"/>
              <w:rPr>
                <w:sz w:val="24"/>
                <w:szCs w:val="24"/>
              </w:rPr>
            </w:pPr>
          </w:p>
        </w:tc>
      </w:tr>
      <w:tr w:rsidR="00FB178A" w:rsidRPr="00145379" w14:paraId="4F71A0B1" w14:textId="77777777" w:rsidTr="009E18ED">
        <w:trPr>
          <w:trHeight w:val="557"/>
          <w:jc w:val="center"/>
        </w:trPr>
        <w:tc>
          <w:tcPr>
            <w:tcW w:w="2972" w:type="dxa"/>
            <w:vMerge/>
            <w:vAlign w:val="center"/>
          </w:tcPr>
          <w:p w14:paraId="345C6DA2" w14:textId="77777777" w:rsidR="00FB178A" w:rsidRPr="00073087" w:rsidRDefault="00FB178A" w:rsidP="009E18ED">
            <w:pPr>
              <w:spacing w:line="276" w:lineRule="auto"/>
              <w:rPr>
                <w:rFonts w:eastAsia="Calibri"/>
                <w:sz w:val="24"/>
                <w:szCs w:val="24"/>
              </w:rPr>
            </w:pPr>
          </w:p>
        </w:tc>
        <w:tc>
          <w:tcPr>
            <w:tcW w:w="8224" w:type="dxa"/>
            <w:shd w:val="clear" w:color="auto" w:fill="DBE5F1" w:themeFill="accent1" w:themeFillTint="33"/>
            <w:vAlign w:val="center"/>
          </w:tcPr>
          <w:p w14:paraId="58E6A070" w14:textId="77777777" w:rsidR="00FB178A" w:rsidRPr="00B51DED" w:rsidRDefault="00FB178A" w:rsidP="009E18ED">
            <w:pPr>
              <w:pStyle w:val="ListParagraph"/>
              <w:widowControl/>
              <w:numPr>
                <w:ilvl w:val="0"/>
                <w:numId w:val="2"/>
              </w:numPr>
              <w:autoSpaceDE/>
              <w:autoSpaceDN/>
              <w:spacing w:line="276" w:lineRule="auto"/>
              <w:ind w:left="564"/>
              <w:contextualSpacing/>
              <w:rPr>
                <w:color w:val="000000" w:themeColor="text1"/>
                <w:sz w:val="24"/>
                <w:szCs w:val="24"/>
              </w:rPr>
            </w:pPr>
            <w:hyperlink r:id="rId81" w:history="1">
              <w:r w:rsidRPr="00B51DED">
                <w:rPr>
                  <w:rStyle w:val="Hyperlink"/>
                  <w:sz w:val="24"/>
                  <w:szCs w:val="24"/>
                </w:rPr>
                <w:t>Nacionalni plan sigurnosti cestovnog prometa Republike Hrvatske za razdoblje od 2021. do 2030.</w:t>
              </w:r>
            </w:hyperlink>
          </w:p>
        </w:tc>
        <w:tc>
          <w:tcPr>
            <w:tcW w:w="3118" w:type="dxa"/>
            <w:vMerge/>
          </w:tcPr>
          <w:p w14:paraId="22A5D88F" w14:textId="77777777" w:rsidR="00FB178A" w:rsidRPr="00B51DED" w:rsidRDefault="00FB178A" w:rsidP="009E18ED">
            <w:pPr>
              <w:spacing w:line="276" w:lineRule="auto"/>
              <w:rPr>
                <w:sz w:val="24"/>
                <w:szCs w:val="24"/>
              </w:rPr>
            </w:pPr>
          </w:p>
        </w:tc>
      </w:tr>
      <w:tr w:rsidR="00FB178A" w:rsidRPr="00145379" w14:paraId="4FDF068E" w14:textId="77777777" w:rsidTr="009E18ED">
        <w:trPr>
          <w:trHeight w:val="571"/>
          <w:jc w:val="center"/>
        </w:trPr>
        <w:tc>
          <w:tcPr>
            <w:tcW w:w="2972" w:type="dxa"/>
            <w:vMerge w:val="restart"/>
            <w:vAlign w:val="center"/>
          </w:tcPr>
          <w:p w14:paraId="552E8FB9" w14:textId="77777777" w:rsidR="00FB178A" w:rsidRPr="00B51DED" w:rsidRDefault="00FB178A" w:rsidP="009E18ED">
            <w:pPr>
              <w:spacing w:line="276" w:lineRule="auto"/>
              <w:rPr>
                <w:rFonts w:eastAsia="Calibri"/>
                <w:sz w:val="24"/>
                <w:szCs w:val="24"/>
              </w:rPr>
            </w:pPr>
            <w:r w:rsidRPr="00B51DED">
              <w:rPr>
                <w:color w:val="000000" w:themeColor="text1"/>
                <w:sz w:val="24"/>
                <w:szCs w:val="24"/>
              </w:rPr>
              <w:t>Ministarstvo zdravstva</w:t>
            </w:r>
          </w:p>
        </w:tc>
        <w:tc>
          <w:tcPr>
            <w:tcW w:w="8224" w:type="dxa"/>
            <w:shd w:val="clear" w:color="auto" w:fill="DBE5F1" w:themeFill="accent1" w:themeFillTint="33"/>
            <w:vAlign w:val="center"/>
          </w:tcPr>
          <w:p w14:paraId="764C9BD9" w14:textId="77777777" w:rsidR="00FB178A" w:rsidRPr="00B51DED" w:rsidRDefault="00FB178A" w:rsidP="009E18ED">
            <w:pPr>
              <w:pStyle w:val="ListParagraph"/>
              <w:widowControl/>
              <w:numPr>
                <w:ilvl w:val="0"/>
                <w:numId w:val="2"/>
              </w:numPr>
              <w:autoSpaceDE/>
              <w:autoSpaceDN/>
              <w:spacing w:line="276" w:lineRule="auto"/>
              <w:ind w:left="564"/>
              <w:contextualSpacing/>
              <w:rPr>
                <w:color w:val="000000" w:themeColor="text1"/>
                <w:sz w:val="24"/>
                <w:szCs w:val="24"/>
              </w:rPr>
            </w:pPr>
            <w:hyperlink r:id="rId82" w:history="1">
              <w:r w:rsidRPr="00B51DED">
                <w:rPr>
                  <w:rStyle w:val="Hyperlink"/>
                  <w:sz w:val="24"/>
                  <w:szCs w:val="24"/>
                </w:rPr>
                <w:t>Nacionalni plan razvoja zdravstva za razdoblje od 2021.</w:t>
              </w:r>
              <w:r>
                <w:rPr>
                  <w:rStyle w:val="Hyperlink"/>
                  <w:sz w:val="24"/>
                  <w:szCs w:val="24"/>
                </w:rPr>
                <w:t xml:space="preserve"> do </w:t>
              </w:r>
              <w:r w:rsidRPr="00B51DED">
                <w:rPr>
                  <w:rStyle w:val="Hyperlink"/>
                  <w:sz w:val="24"/>
                  <w:szCs w:val="24"/>
                </w:rPr>
                <w:t>2027.</w:t>
              </w:r>
            </w:hyperlink>
            <w:r w:rsidRPr="00BE17F4">
              <w:rPr>
                <w:rStyle w:val="Hyperlink"/>
                <w:sz w:val="24"/>
                <w:szCs w:val="24"/>
              </w:rPr>
              <w:t xml:space="preserve"> godine</w:t>
            </w:r>
          </w:p>
        </w:tc>
        <w:tc>
          <w:tcPr>
            <w:tcW w:w="3118" w:type="dxa"/>
            <w:vMerge w:val="restart"/>
            <w:vAlign w:val="center"/>
          </w:tcPr>
          <w:p w14:paraId="7403C665" w14:textId="77777777" w:rsidR="00FB178A" w:rsidRPr="00B51DED" w:rsidRDefault="00FB178A" w:rsidP="009E18ED">
            <w:pPr>
              <w:spacing w:line="276" w:lineRule="auto"/>
              <w:jc w:val="center"/>
              <w:rPr>
                <w:sz w:val="24"/>
                <w:szCs w:val="24"/>
              </w:rPr>
            </w:pPr>
            <w:r w:rsidRPr="00936B94">
              <w:rPr>
                <w:noProof/>
                <w:sz w:val="24"/>
                <w:szCs w:val="24"/>
                <w:lang w:eastAsia="hr-HR"/>
              </w:rPr>
              <w:drawing>
                <wp:inline distT="0" distB="0" distL="0" distR="0" wp14:anchorId="481050EA" wp14:editId="34FCFFDE">
                  <wp:extent cx="571500" cy="542925"/>
                  <wp:effectExtent l="0" t="0" r="0" b="9525"/>
                  <wp:docPr id="62794090" name="Picture 62794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71500" cy="542925"/>
                          </a:xfrm>
                          <a:prstGeom prst="rect">
                            <a:avLst/>
                          </a:prstGeom>
                          <a:noFill/>
                          <a:ln>
                            <a:noFill/>
                          </a:ln>
                        </pic:spPr>
                      </pic:pic>
                    </a:graphicData>
                  </a:graphic>
                </wp:inline>
              </w:drawing>
            </w:r>
          </w:p>
        </w:tc>
      </w:tr>
      <w:tr w:rsidR="00FB178A" w:rsidRPr="00145379" w14:paraId="0CF573F1" w14:textId="77777777" w:rsidTr="009E18ED">
        <w:trPr>
          <w:trHeight w:val="547"/>
          <w:jc w:val="center"/>
        </w:trPr>
        <w:tc>
          <w:tcPr>
            <w:tcW w:w="2972" w:type="dxa"/>
            <w:vMerge/>
            <w:vAlign w:val="center"/>
          </w:tcPr>
          <w:p w14:paraId="3A0B44C9" w14:textId="77777777" w:rsidR="00FB178A" w:rsidRPr="00073087" w:rsidRDefault="00FB178A" w:rsidP="009E18ED">
            <w:pPr>
              <w:spacing w:line="276" w:lineRule="auto"/>
              <w:rPr>
                <w:color w:val="000000" w:themeColor="text1"/>
                <w:sz w:val="24"/>
                <w:szCs w:val="24"/>
              </w:rPr>
            </w:pPr>
          </w:p>
        </w:tc>
        <w:tc>
          <w:tcPr>
            <w:tcW w:w="8224" w:type="dxa"/>
            <w:shd w:val="clear" w:color="auto" w:fill="DBE5F1" w:themeFill="accent1" w:themeFillTint="33"/>
            <w:vAlign w:val="center"/>
          </w:tcPr>
          <w:p w14:paraId="5D5AACA2" w14:textId="77777777" w:rsidR="00FB178A" w:rsidRPr="00936B94" w:rsidRDefault="00FB178A" w:rsidP="009E18ED">
            <w:pPr>
              <w:pStyle w:val="ListParagraph"/>
              <w:widowControl/>
              <w:numPr>
                <w:ilvl w:val="0"/>
                <w:numId w:val="2"/>
              </w:numPr>
              <w:autoSpaceDE/>
              <w:autoSpaceDN/>
              <w:spacing w:line="276" w:lineRule="auto"/>
              <w:ind w:left="564"/>
              <w:contextualSpacing/>
            </w:pPr>
            <w:hyperlink r:id="rId83" w:history="1">
              <w:r w:rsidRPr="00B51DED">
                <w:rPr>
                  <w:rStyle w:val="Hyperlink"/>
                  <w:sz w:val="24"/>
                  <w:szCs w:val="24"/>
                </w:rPr>
                <w:t xml:space="preserve">Nacionalna strategija djelovanja na području ovisnosti za razdoblje </w:t>
              </w:r>
              <w:r>
                <w:rPr>
                  <w:rStyle w:val="Hyperlink"/>
                  <w:sz w:val="24"/>
                  <w:szCs w:val="24"/>
                </w:rPr>
                <w:t>d</w:t>
              </w:r>
              <w:r>
                <w:rPr>
                  <w:rStyle w:val="Hyperlink"/>
                </w:rPr>
                <w:t xml:space="preserve">o </w:t>
              </w:r>
              <w:r w:rsidRPr="00B51DED">
                <w:rPr>
                  <w:rStyle w:val="Hyperlink"/>
                  <w:sz w:val="24"/>
                  <w:szCs w:val="24"/>
                </w:rPr>
                <w:t>2030.</w:t>
              </w:r>
            </w:hyperlink>
            <w:r>
              <w:rPr>
                <w:rStyle w:val="Hyperlink"/>
                <w:sz w:val="24"/>
                <w:szCs w:val="24"/>
              </w:rPr>
              <w:t xml:space="preserve"> godine</w:t>
            </w:r>
          </w:p>
        </w:tc>
        <w:tc>
          <w:tcPr>
            <w:tcW w:w="3118" w:type="dxa"/>
            <w:vMerge/>
            <w:vAlign w:val="center"/>
          </w:tcPr>
          <w:p w14:paraId="7A9DA5FA" w14:textId="77777777" w:rsidR="00FB178A" w:rsidRPr="00936B94" w:rsidRDefault="00FB178A" w:rsidP="009E18ED">
            <w:pPr>
              <w:spacing w:line="276" w:lineRule="auto"/>
              <w:jc w:val="center"/>
              <w:rPr>
                <w:noProof/>
                <w:sz w:val="24"/>
                <w:szCs w:val="24"/>
              </w:rPr>
            </w:pPr>
          </w:p>
        </w:tc>
      </w:tr>
      <w:tr w:rsidR="00FB178A" w:rsidRPr="00145379" w14:paraId="29C709AC" w14:textId="77777777" w:rsidTr="009E18ED">
        <w:trPr>
          <w:trHeight w:val="703"/>
          <w:jc w:val="center"/>
        </w:trPr>
        <w:tc>
          <w:tcPr>
            <w:tcW w:w="2972" w:type="dxa"/>
            <w:vAlign w:val="center"/>
          </w:tcPr>
          <w:p w14:paraId="3F6D8B70" w14:textId="77777777" w:rsidR="00FB178A" w:rsidRPr="00B51DED" w:rsidRDefault="00FB178A" w:rsidP="009E18ED">
            <w:pPr>
              <w:spacing w:line="276" w:lineRule="auto"/>
              <w:rPr>
                <w:color w:val="000000" w:themeColor="text1"/>
                <w:sz w:val="24"/>
                <w:szCs w:val="24"/>
              </w:rPr>
            </w:pPr>
            <w:r w:rsidRPr="00B51DED">
              <w:rPr>
                <w:color w:val="000000" w:themeColor="text1"/>
                <w:sz w:val="24"/>
                <w:szCs w:val="24"/>
              </w:rPr>
              <w:t>Ministarstvo znanosti, obrazovanja i mladih</w:t>
            </w:r>
          </w:p>
        </w:tc>
        <w:tc>
          <w:tcPr>
            <w:tcW w:w="8224" w:type="dxa"/>
            <w:shd w:val="clear" w:color="auto" w:fill="DBE5F1" w:themeFill="accent1" w:themeFillTint="33"/>
            <w:vAlign w:val="center"/>
          </w:tcPr>
          <w:p w14:paraId="688B2BF0" w14:textId="77777777" w:rsidR="00FB178A" w:rsidRPr="00B51DED" w:rsidRDefault="00FB178A" w:rsidP="009E18ED">
            <w:pPr>
              <w:pStyle w:val="ListParagraph"/>
              <w:widowControl/>
              <w:numPr>
                <w:ilvl w:val="0"/>
                <w:numId w:val="2"/>
              </w:numPr>
              <w:autoSpaceDE/>
              <w:autoSpaceDN/>
              <w:spacing w:line="276" w:lineRule="auto"/>
              <w:ind w:left="564"/>
              <w:contextualSpacing/>
              <w:rPr>
                <w:color w:val="231F20"/>
                <w:sz w:val="24"/>
                <w:szCs w:val="24"/>
              </w:rPr>
            </w:pPr>
            <w:hyperlink r:id="rId84" w:history="1">
              <w:r w:rsidRPr="00B51DED">
                <w:rPr>
                  <w:rStyle w:val="Hyperlink"/>
                  <w:sz w:val="24"/>
                  <w:szCs w:val="24"/>
                </w:rPr>
                <w:t>Nacionalni plan razvoja sustava obrazovanja za razdoblje do 2027. godine</w:t>
              </w:r>
            </w:hyperlink>
          </w:p>
        </w:tc>
        <w:tc>
          <w:tcPr>
            <w:tcW w:w="3118" w:type="dxa"/>
            <w:vAlign w:val="center"/>
          </w:tcPr>
          <w:p w14:paraId="3E2197BD" w14:textId="77777777" w:rsidR="00FB178A" w:rsidRPr="00936B94" w:rsidRDefault="00FB178A" w:rsidP="009E18ED">
            <w:pPr>
              <w:spacing w:line="276" w:lineRule="auto"/>
              <w:jc w:val="center"/>
              <w:rPr>
                <w:noProof/>
                <w:sz w:val="24"/>
                <w:szCs w:val="24"/>
              </w:rPr>
            </w:pPr>
            <w:r w:rsidRPr="00936B94">
              <w:rPr>
                <w:noProof/>
                <w:sz w:val="24"/>
                <w:szCs w:val="24"/>
                <w:lang w:eastAsia="hr-HR"/>
              </w:rPr>
              <w:drawing>
                <wp:inline distT="0" distB="0" distL="0" distR="0" wp14:anchorId="68F0BFD6" wp14:editId="76FC6CED">
                  <wp:extent cx="581025" cy="552450"/>
                  <wp:effectExtent l="0" t="0" r="9525" b="0"/>
                  <wp:docPr id="149175260" name="Picture 1461923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581025" cy="552450"/>
                          </a:xfrm>
                          <a:prstGeom prst="rect">
                            <a:avLst/>
                          </a:prstGeom>
                          <a:noFill/>
                          <a:ln>
                            <a:noFill/>
                          </a:ln>
                        </pic:spPr>
                      </pic:pic>
                    </a:graphicData>
                  </a:graphic>
                </wp:inline>
              </w:drawing>
            </w:r>
          </w:p>
        </w:tc>
      </w:tr>
      <w:tr w:rsidR="00FB178A" w:rsidRPr="00145379" w14:paraId="400E53E6" w14:textId="77777777" w:rsidTr="009E18ED">
        <w:trPr>
          <w:trHeight w:val="1067"/>
          <w:jc w:val="center"/>
        </w:trPr>
        <w:tc>
          <w:tcPr>
            <w:tcW w:w="2972" w:type="dxa"/>
            <w:vAlign w:val="center"/>
          </w:tcPr>
          <w:p w14:paraId="53CAE76C" w14:textId="77777777" w:rsidR="00FB178A" w:rsidRPr="00B51DED" w:rsidRDefault="00FB178A" w:rsidP="009E18ED">
            <w:pPr>
              <w:spacing w:line="276" w:lineRule="auto"/>
              <w:rPr>
                <w:color w:val="000000" w:themeColor="text1"/>
                <w:sz w:val="24"/>
                <w:szCs w:val="24"/>
              </w:rPr>
            </w:pPr>
            <w:r w:rsidRPr="00B51DED">
              <w:rPr>
                <w:color w:val="000000" w:themeColor="text1"/>
              </w:rPr>
              <w:t>Ministarstvo znanosti, obrazovanja i mladih / Ministarstvo gospodarstva</w:t>
            </w:r>
          </w:p>
        </w:tc>
        <w:tc>
          <w:tcPr>
            <w:tcW w:w="8224" w:type="dxa"/>
            <w:shd w:val="clear" w:color="auto" w:fill="DBE5F1" w:themeFill="accent1" w:themeFillTint="33"/>
            <w:vAlign w:val="center"/>
          </w:tcPr>
          <w:p w14:paraId="2A1CEF34" w14:textId="77777777" w:rsidR="00FB178A" w:rsidRPr="00B51DED" w:rsidRDefault="00FB178A" w:rsidP="009E18ED">
            <w:pPr>
              <w:pStyle w:val="ListParagraph"/>
              <w:widowControl/>
              <w:numPr>
                <w:ilvl w:val="0"/>
                <w:numId w:val="2"/>
              </w:numPr>
              <w:autoSpaceDE/>
              <w:autoSpaceDN/>
              <w:spacing w:line="276" w:lineRule="auto"/>
              <w:ind w:left="564"/>
              <w:contextualSpacing/>
              <w:rPr>
                <w:color w:val="231F20"/>
                <w:sz w:val="24"/>
                <w:szCs w:val="24"/>
              </w:rPr>
            </w:pPr>
            <w:hyperlink r:id="rId85" w:history="1">
              <w:r w:rsidRPr="00B51DED">
                <w:rPr>
                  <w:rStyle w:val="Hyperlink"/>
                  <w:sz w:val="24"/>
                  <w:szCs w:val="24"/>
                </w:rPr>
                <w:t>Strategija pametne specijalizacije do 2029.</w:t>
              </w:r>
            </w:hyperlink>
          </w:p>
        </w:tc>
        <w:tc>
          <w:tcPr>
            <w:tcW w:w="3118" w:type="dxa"/>
            <w:vAlign w:val="center"/>
          </w:tcPr>
          <w:p w14:paraId="331176FB" w14:textId="77777777" w:rsidR="00FB178A" w:rsidRPr="00936B94" w:rsidRDefault="00FB178A" w:rsidP="009E18ED">
            <w:pPr>
              <w:spacing w:line="276" w:lineRule="auto"/>
              <w:jc w:val="center"/>
              <w:rPr>
                <w:noProof/>
                <w:sz w:val="24"/>
                <w:szCs w:val="24"/>
              </w:rPr>
            </w:pPr>
            <w:r w:rsidRPr="00936B94">
              <w:rPr>
                <w:noProof/>
                <w:sz w:val="24"/>
                <w:szCs w:val="24"/>
                <w:lang w:eastAsia="hr-HR"/>
              </w:rPr>
              <w:drawing>
                <wp:inline distT="0" distB="0" distL="0" distR="0" wp14:anchorId="4CEBA76C" wp14:editId="0782C6A9">
                  <wp:extent cx="581025" cy="552450"/>
                  <wp:effectExtent l="0" t="0" r="9525" b="0"/>
                  <wp:docPr id="1179955573" name="Picture 787021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81025" cy="552450"/>
                          </a:xfrm>
                          <a:prstGeom prst="rect">
                            <a:avLst/>
                          </a:prstGeom>
                          <a:noFill/>
                          <a:ln>
                            <a:noFill/>
                          </a:ln>
                        </pic:spPr>
                      </pic:pic>
                    </a:graphicData>
                  </a:graphic>
                </wp:inline>
              </w:drawing>
            </w:r>
            <w:r w:rsidRPr="00936B94">
              <w:rPr>
                <w:noProof/>
                <w:sz w:val="24"/>
                <w:szCs w:val="24"/>
                <w:lang w:eastAsia="hr-HR"/>
              </w:rPr>
              <w:drawing>
                <wp:inline distT="0" distB="0" distL="0" distR="0" wp14:anchorId="3F0BEE80" wp14:editId="47C98BAD">
                  <wp:extent cx="561975" cy="533400"/>
                  <wp:effectExtent l="0" t="0" r="9525" b="0"/>
                  <wp:docPr id="702415989" name="Picture 14073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61975" cy="533400"/>
                          </a:xfrm>
                          <a:prstGeom prst="rect">
                            <a:avLst/>
                          </a:prstGeom>
                          <a:noFill/>
                          <a:ln>
                            <a:noFill/>
                          </a:ln>
                        </pic:spPr>
                      </pic:pic>
                    </a:graphicData>
                  </a:graphic>
                </wp:inline>
              </w:drawing>
            </w:r>
            <w:r w:rsidRPr="00936B94">
              <w:rPr>
                <w:noProof/>
                <w:sz w:val="24"/>
                <w:szCs w:val="24"/>
                <w:lang w:eastAsia="hr-HR"/>
              </w:rPr>
              <w:drawing>
                <wp:inline distT="0" distB="0" distL="0" distR="0" wp14:anchorId="1A004A43" wp14:editId="182D9AB9">
                  <wp:extent cx="561975" cy="523875"/>
                  <wp:effectExtent l="0" t="0" r="9525" b="9525"/>
                  <wp:docPr id="1841326567" name="Picture 2012932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561975" cy="523875"/>
                          </a:xfrm>
                          <a:prstGeom prst="rect">
                            <a:avLst/>
                          </a:prstGeom>
                          <a:noFill/>
                          <a:ln>
                            <a:noFill/>
                          </a:ln>
                        </pic:spPr>
                      </pic:pic>
                    </a:graphicData>
                  </a:graphic>
                </wp:inline>
              </w:drawing>
            </w:r>
          </w:p>
        </w:tc>
      </w:tr>
      <w:tr w:rsidR="00FB178A" w:rsidRPr="00145379" w14:paraId="00908F88" w14:textId="77777777" w:rsidTr="009E18ED">
        <w:trPr>
          <w:trHeight w:val="415"/>
          <w:jc w:val="center"/>
        </w:trPr>
        <w:tc>
          <w:tcPr>
            <w:tcW w:w="2972" w:type="dxa"/>
            <w:vMerge w:val="restart"/>
            <w:vAlign w:val="center"/>
          </w:tcPr>
          <w:p w14:paraId="00B57ACC" w14:textId="77777777" w:rsidR="00FB178A" w:rsidRPr="00B51DED" w:rsidRDefault="00FB178A" w:rsidP="009E18ED">
            <w:pPr>
              <w:spacing w:line="276" w:lineRule="auto"/>
              <w:rPr>
                <w:color w:val="000000" w:themeColor="text1"/>
              </w:rPr>
            </w:pPr>
            <w:r w:rsidRPr="00B51DED">
              <w:rPr>
                <w:rFonts w:eastAsia="Calibri"/>
              </w:rPr>
              <w:t>Državni zavod za statistiku</w:t>
            </w:r>
          </w:p>
        </w:tc>
        <w:tc>
          <w:tcPr>
            <w:tcW w:w="8224" w:type="dxa"/>
            <w:shd w:val="clear" w:color="auto" w:fill="DBE5F1" w:themeFill="accent1" w:themeFillTint="33"/>
            <w:vAlign w:val="center"/>
          </w:tcPr>
          <w:p w14:paraId="4D348839" w14:textId="77777777" w:rsidR="00FB178A" w:rsidRPr="00B51DED" w:rsidRDefault="00FB178A" w:rsidP="009E18ED">
            <w:pPr>
              <w:pStyle w:val="ListParagraph"/>
              <w:widowControl/>
              <w:numPr>
                <w:ilvl w:val="0"/>
                <w:numId w:val="2"/>
              </w:numPr>
              <w:autoSpaceDE/>
              <w:autoSpaceDN/>
              <w:spacing w:line="276" w:lineRule="auto"/>
              <w:ind w:left="564"/>
              <w:contextualSpacing/>
              <w:rPr>
                <w:color w:val="231F20"/>
                <w:sz w:val="24"/>
                <w:szCs w:val="24"/>
              </w:rPr>
            </w:pPr>
            <w:hyperlink r:id="rId87" w:history="1">
              <w:r w:rsidRPr="00B51DED">
                <w:rPr>
                  <w:rStyle w:val="Hyperlink"/>
                  <w:sz w:val="24"/>
                  <w:szCs w:val="24"/>
                </w:rPr>
                <w:t>Strategija razvitka službene statistike</w:t>
              </w:r>
              <w:r>
                <w:rPr>
                  <w:rStyle w:val="Hyperlink"/>
                  <w:sz w:val="24"/>
                  <w:szCs w:val="24"/>
                </w:rPr>
                <w:t xml:space="preserve"> </w:t>
              </w:r>
              <w:r>
                <w:rPr>
                  <w:rStyle w:val="Hyperlink"/>
                </w:rPr>
                <w:t xml:space="preserve">Republike Hrvatske </w:t>
              </w:r>
              <w:r w:rsidRPr="00B51DED">
                <w:rPr>
                  <w:rStyle w:val="Hyperlink"/>
                  <w:sz w:val="24"/>
                  <w:szCs w:val="24"/>
                </w:rPr>
                <w:t>2021.</w:t>
              </w:r>
              <w:r>
                <w:rPr>
                  <w:rStyle w:val="Hyperlink"/>
                  <w:sz w:val="24"/>
                  <w:szCs w:val="24"/>
                </w:rPr>
                <w:t xml:space="preserve"> </w:t>
              </w:r>
              <w:r w:rsidRPr="00B51DED">
                <w:rPr>
                  <w:rStyle w:val="Hyperlink"/>
                  <w:sz w:val="24"/>
                  <w:szCs w:val="24"/>
                </w:rPr>
                <w:t>-</w:t>
              </w:r>
              <w:r>
                <w:rPr>
                  <w:rStyle w:val="Hyperlink"/>
                  <w:sz w:val="24"/>
                  <w:szCs w:val="24"/>
                </w:rPr>
                <w:t xml:space="preserve"> </w:t>
              </w:r>
              <w:r w:rsidRPr="00B51DED">
                <w:rPr>
                  <w:rStyle w:val="Hyperlink"/>
                  <w:sz w:val="24"/>
                  <w:szCs w:val="24"/>
                </w:rPr>
                <w:t>2030.</w:t>
              </w:r>
            </w:hyperlink>
          </w:p>
        </w:tc>
        <w:tc>
          <w:tcPr>
            <w:tcW w:w="3118" w:type="dxa"/>
            <w:vMerge w:val="restart"/>
            <w:vAlign w:val="center"/>
          </w:tcPr>
          <w:p w14:paraId="735AE1AD" w14:textId="77777777" w:rsidR="00FB178A" w:rsidRPr="00B51DED" w:rsidRDefault="00FB178A" w:rsidP="009E18ED">
            <w:pPr>
              <w:spacing w:line="276" w:lineRule="auto"/>
              <w:jc w:val="center"/>
              <w:rPr>
                <w:bCs/>
                <w:sz w:val="24"/>
                <w:szCs w:val="24"/>
              </w:rPr>
            </w:pPr>
            <w:r w:rsidRPr="00936B94">
              <w:rPr>
                <w:noProof/>
                <w:sz w:val="24"/>
                <w:szCs w:val="24"/>
                <w:lang w:eastAsia="hr-HR"/>
              </w:rPr>
              <w:drawing>
                <wp:inline distT="0" distB="0" distL="0" distR="0" wp14:anchorId="28956F65" wp14:editId="07DF3469">
                  <wp:extent cx="581025" cy="542925"/>
                  <wp:effectExtent l="0" t="0" r="9525" b="9525"/>
                  <wp:docPr id="666808286" name="Picture 666808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81025" cy="542925"/>
                          </a:xfrm>
                          <a:prstGeom prst="rect">
                            <a:avLst/>
                          </a:prstGeom>
                          <a:noFill/>
                          <a:ln>
                            <a:noFill/>
                          </a:ln>
                        </pic:spPr>
                      </pic:pic>
                    </a:graphicData>
                  </a:graphic>
                </wp:inline>
              </w:drawing>
            </w:r>
          </w:p>
        </w:tc>
      </w:tr>
      <w:tr w:rsidR="00FB178A" w:rsidRPr="00145379" w14:paraId="2594AA1B" w14:textId="77777777" w:rsidTr="009E18ED">
        <w:trPr>
          <w:trHeight w:val="435"/>
          <w:jc w:val="center"/>
        </w:trPr>
        <w:tc>
          <w:tcPr>
            <w:tcW w:w="2972" w:type="dxa"/>
            <w:vMerge/>
            <w:vAlign w:val="center"/>
          </w:tcPr>
          <w:p w14:paraId="44DEF440" w14:textId="77777777" w:rsidR="00FB178A" w:rsidRPr="00073087" w:rsidRDefault="00FB178A" w:rsidP="009E18ED">
            <w:pPr>
              <w:spacing w:line="276" w:lineRule="auto"/>
              <w:rPr>
                <w:rFonts w:eastAsia="Calibri"/>
              </w:rPr>
            </w:pPr>
          </w:p>
        </w:tc>
        <w:tc>
          <w:tcPr>
            <w:tcW w:w="8224" w:type="dxa"/>
            <w:shd w:val="clear" w:color="auto" w:fill="DBE5F1" w:themeFill="accent1" w:themeFillTint="33"/>
            <w:vAlign w:val="center"/>
          </w:tcPr>
          <w:p w14:paraId="384D1CA9" w14:textId="77777777" w:rsidR="00FB178A" w:rsidRPr="00B51DED" w:rsidRDefault="00FB178A" w:rsidP="009E18ED">
            <w:pPr>
              <w:pStyle w:val="ListParagraph"/>
              <w:widowControl/>
              <w:numPr>
                <w:ilvl w:val="0"/>
                <w:numId w:val="2"/>
              </w:numPr>
              <w:autoSpaceDE/>
              <w:autoSpaceDN/>
              <w:spacing w:line="276" w:lineRule="auto"/>
              <w:ind w:left="574"/>
              <w:contextualSpacing/>
              <w:rPr>
                <w:color w:val="000000" w:themeColor="text1"/>
                <w:sz w:val="24"/>
                <w:szCs w:val="24"/>
              </w:rPr>
            </w:pPr>
            <w:hyperlink r:id="rId88" w:history="1">
              <w:r w:rsidRPr="00B51DED">
                <w:rPr>
                  <w:rStyle w:val="Hyperlink"/>
                  <w:sz w:val="24"/>
                  <w:szCs w:val="24"/>
                </w:rPr>
                <w:t>Program statističkih aktivnosti Republike Hrvatske 2021.</w:t>
              </w:r>
              <w:r>
                <w:rPr>
                  <w:rStyle w:val="Hyperlink"/>
                  <w:sz w:val="24"/>
                  <w:szCs w:val="24"/>
                </w:rPr>
                <w:t xml:space="preserve"> </w:t>
              </w:r>
              <w:r w:rsidRPr="00B51DED">
                <w:rPr>
                  <w:rStyle w:val="Hyperlink"/>
                  <w:sz w:val="24"/>
                  <w:szCs w:val="24"/>
                </w:rPr>
                <w:t>-</w:t>
              </w:r>
              <w:r>
                <w:rPr>
                  <w:rStyle w:val="Hyperlink"/>
                  <w:sz w:val="24"/>
                  <w:szCs w:val="24"/>
                </w:rPr>
                <w:t xml:space="preserve"> </w:t>
              </w:r>
              <w:r w:rsidRPr="00B51DED">
                <w:rPr>
                  <w:rStyle w:val="Hyperlink"/>
                  <w:sz w:val="24"/>
                  <w:szCs w:val="24"/>
                </w:rPr>
                <w:t>2027.</w:t>
              </w:r>
            </w:hyperlink>
          </w:p>
        </w:tc>
        <w:tc>
          <w:tcPr>
            <w:tcW w:w="3118" w:type="dxa"/>
            <w:vMerge/>
            <w:vAlign w:val="center"/>
          </w:tcPr>
          <w:p w14:paraId="0151436F" w14:textId="77777777" w:rsidR="00FB178A" w:rsidRPr="00B51DED" w:rsidRDefault="00FB178A" w:rsidP="009E18ED">
            <w:pPr>
              <w:spacing w:line="276" w:lineRule="auto"/>
              <w:rPr>
                <w:bCs/>
                <w:sz w:val="24"/>
                <w:szCs w:val="24"/>
              </w:rPr>
            </w:pPr>
          </w:p>
        </w:tc>
      </w:tr>
      <w:tr w:rsidR="00FB178A" w:rsidRPr="00145379" w14:paraId="08F781EF" w14:textId="77777777" w:rsidTr="009E18ED">
        <w:trPr>
          <w:trHeight w:val="1125"/>
          <w:jc w:val="center"/>
        </w:trPr>
        <w:tc>
          <w:tcPr>
            <w:tcW w:w="2972" w:type="dxa"/>
            <w:vAlign w:val="center"/>
          </w:tcPr>
          <w:p w14:paraId="534E8ACD" w14:textId="77777777" w:rsidR="00FB178A" w:rsidRPr="00B51DED" w:rsidRDefault="00FB178A" w:rsidP="009E18ED">
            <w:pPr>
              <w:spacing w:line="276" w:lineRule="auto"/>
              <w:rPr>
                <w:color w:val="000000" w:themeColor="text1"/>
              </w:rPr>
            </w:pPr>
            <w:r w:rsidRPr="00B51DED">
              <w:t>Središnji državni ured za Hrvate izvan Republike Hrvatske</w:t>
            </w:r>
          </w:p>
        </w:tc>
        <w:tc>
          <w:tcPr>
            <w:tcW w:w="8224" w:type="dxa"/>
            <w:shd w:val="clear" w:color="auto" w:fill="DBE5F1" w:themeFill="accent1" w:themeFillTint="33"/>
            <w:vAlign w:val="center"/>
          </w:tcPr>
          <w:p w14:paraId="072FBA46" w14:textId="77777777" w:rsidR="00FB178A" w:rsidRPr="00B51DED" w:rsidRDefault="00FB178A" w:rsidP="009E18ED">
            <w:pPr>
              <w:pStyle w:val="ListParagraph"/>
              <w:widowControl/>
              <w:numPr>
                <w:ilvl w:val="0"/>
                <w:numId w:val="2"/>
              </w:numPr>
              <w:autoSpaceDE/>
              <w:autoSpaceDN/>
              <w:spacing w:line="276" w:lineRule="auto"/>
              <w:ind w:left="574"/>
              <w:contextualSpacing/>
              <w:rPr>
                <w:color w:val="231F20"/>
                <w:sz w:val="24"/>
                <w:szCs w:val="24"/>
              </w:rPr>
            </w:pPr>
            <w:hyperlink r:id="rId89" w:history="1">
              <w:r w:rsidRPr="00B51DED">
                <w:rPr>
                  <w:rStyle w:val="Hyperlink"/>
                  <w:rFonts w:eastAsia="Calibri"/>
                  <w:sz w:val="24"/>
                  <w:szCs w:val="24"/>
                </w:rPr>
                <w:t>Nacionalni plan razvoja odnosa Republike Hrvatske s Hrvatima izvan Republike Hrvatske do 2027.godine</w:t>
              </w:r>
            </w:hyperlink>
          </w:p>
        </w:tc>
        <w:tc>
          <w:tcPr>
            <w:tcW w:w="3118" w:type="dxa"/>
            <w:vAlign w:val="center"/>
          </w:tcPr>
          <w:p w14:paraId="4D09B87D" w14:textId="77777777" w:rsidR="00FB178A" w:rsidRPr="00B51DED" w:rsidRDefault="00FB178A" w:rsidP="009E18ED">
            <w:pPr>
              <w:spacing w:line="276" w:lineRule="auto"/>
              <w:jc w:val="center"/>
              <w:rPr>
                <w:sz w:val="24"/>
                <w:szCs w:val="24"/>
              </w:rPr>
            </w:pPr>
            <w:r w:rsidRPr="00936B94">
              <w:rPr>
                <w:noProof/>
                <w:sz w:val="24"/>
                <w:szCs w:val="24"/>
                <w:lang w:eastAsia="hr-HR"/>
              </w:rPr>
              <w:drawing>
                <wp:inline distT="0" distB="0" distL="0" distR="0" wp14:anchorId="18EA54E6" wp14:editId="70C7AA3B">
                  <wp:extent cx="581025" cy="552450"/>
                  <wp:effectExtent l="0" t="0" r="9525" b="0"/>
                  <wp:docPr id="1487525837" name="Picture 1487525837" descr="Slika na kojoj se prikazuje tekst, isječak crtež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lika na kojoj se prikazuje tekst, isječak crteža&#10;&#10;Opis je automatski generiran"/>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581025" cy="552450"/>
                          </a:xfrm>
                          <a:prstGeom prst="rect">
                            <a:avLst/>
                          </a:prstGeom>
                          <a:noFill/>
                          <a:ln>
                            <a:noFill/>
                          </a:ln>
                        </pic:spPr>
                      </pic:pic>
                    </a:graphicData>
                  </a:graphic>
                </wp:inline>
              </w:drawing>
            </w:r>
            <w:r w:rsidRPr="00936B94">
              <w:rPr>
                <w:noProof/>
                <w:sz w:val="24"/>
                <w:szCs w:val="24"/>
                <w:lang w:eastAsia="hr-HR"/>
              </w:rPr>
              <w:drawing>
                <wp:inline distT="0" distB="0" distL="0" distR="0" wp14:anchorId="36DA9FDB" wp14:editId="7C33694D">
                  <wp:extent cx="571500" cy="542925"/>
                  <wp:effectExtent l="0" t="0" r="0" b="9525"/>
                  <wp:docPr id="1016056317" name="Picture 1016056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1500" cy="542925"/>
                          </a:xfrm>
                          <a:prstGeom prst="rect">
                            <a:avLst/>
                          </a:prstGeom>
                          <a:noFill/>
                          <a:ln>
                            <a:noFill/>
                          </a:ln>
                        </pic:spPr>
                      </pic:pic>
                    </a:graphicData>
                  </a:graphic>
                </wp:inline>
              </w:drawing>
            </w:r>
          </w:p>
        </w:tc>
      </w:tr>
      <w:tr w:rsidR="00FB178A" w:rsidRPr="00145379" w14:paraId="6CB171CA" w14:textId="77777777" w:rsidTr="009E18ED">
        <w:trPr>
          <w:trHeight w:val="511"/>
          <w:jc w:val="center"/>
        </w:trPr>
        <w:tc>
          <w:tcPr>
            <w:tcW w:w="2972" w:type="dxa"/>
            <w:vMerge w:val="restart"/>
            <w:vAlign w:val="center"/>
          </w:tcPr>
          <w:p w14:paraId="1A405E3B" w14:textId="77777777" w:rsidR="00FB178A" w:rsidRPr="00B51DED" w:rsidRDefault="00FB178A" w:rsidP="009E18ED">
            <w:pPr>
              <w:spacing w:line="276" w:lineRule="auto"/>
              <w:rPr>
                <w:rFonts w:eastAsia="Calibri"/>
              </w:rPr>
            </w:pPr>
            <w:r w:rsidRPr="00B51DED">
              <w:rPr>
                <w:color w:val="000000" w:themeColor="text1"/>
              </w:rPr>
              <w:t>VRH - Ured za ljudska prava i prava nacionalnih manjina</w:t>
            </w:r>
          </w:p>
        </w:tc>
        <w:tc>
          <w:tcPr>
            <w:tcW w:w="8224" w:type="dxa"/>
            <w:shd w:val="clear" w:color="auto" w:fill="DBE5F1" w:themeFill="accent1" w:themeFillTint="33"/>
            <w:vAlign w:val="center"/>
          </w:tcPr>
          <w:p w14:paraId="326BBDF3" w14:textId="77777777" w:rsidR="00FB178A" w:rsidRPr="00B51DED" w:rsidRDefault="00FB178A" w:rsidP="009E18ED">
            <w:pPr>
              <w:pStyle w:val="ListParagraph"/>
              <w:widowControl/>
              <w:numPr>
                <w:ilvl w:val="0"/>
                <w:numId w:val="2"/>
              </w:numPr>
              <w:autoSpaceDE/>
              <w:autoSpaceDN/>
              <w:spacing w:line="276" w:lineRule="auto"/>
              <w:ind w:left="574"/>
              <w:contextualSpacing/>
              <w:rPr>
                <w:rFonts w:eastAsia="Calibri"/>
                <w:sz w:val="24"/>
                <w:szCs w:val="24"/>
              </w:rPr>
            </w:pPr>
            <w:hyperlink r:id="rId91" w:history="1">
              <w:r w:rsidRPr="00B51DED">
                <w:rPr>
                  <w:rStyle w:val="Hyperlink"/>
                  <w:sz w:val="24"/>
                  <w:szCs w:val="24"/>
                </w:rPr>
                <w:t xml:space="preserve">Nacionalni plan za </w:t>
              </w:r>
              <w:proofErr w:type="spellStart"/>
              <w:r w:rsidRPr="00B51DED">
                <w:rPr>
                  <w:rStyle w:val="Hyperlink"/>
                  <w:sz w:val="24"/>
                  <w:szCs w:val="24"/>
                </w:rPr>
                <w:t>uključivanje</w:t>
              </w:r>
              <w:proofErr w:type="spellEnd"/>
              <w:r w:rsidRPr="00B51DED">
                <w:rPr>
                  <w:rStyle w:val="Hyperlink"/>
                  <w:sz w:val="24"/>
                  <w:szCs w:val="24"/>
                </w:rPr>
                <w:t xml:space="preserve"> Roma</w:t>
              </w:r>
              <w:r>
                <w:rPr>
                  <w:rStyle w:val="Hyperlink"/>
                  <w:sz w:val="24"/>
                  <w:szCs w:val="24"/>
                </w:rPr>
                <w:t>,</w:t>
              </w:r>
              <w:r w:rsidRPr="00B51DED">
                <w:rPr>
                  <w:rStyle w:val="Hyperlink"/>
                  <w:sz w:val="24"/>
                  <w:szCs w:val="24"/>
                </w:rPr>
                <w:t xml:space="preserve"> za razdoblje od 2021.</w:t>
              </w:r>
              <w:r>
                <w:rPr>
                  <w:rStyle w:val="Hyperlink"/>
                  <w:sz w:val="24"/>
                  <w:szCs w:val="24"/>
                </w:rPr>
                <w:t xml:space="preserve"> do </w:t>
              </w:r>
              <w:r w:rsidRPr="00B51DED">
                <w:rPr>
                  <w:rStyle w:val="Hyperlink"/>
                  <w:sz w:val="24"/>
                  <w:szCs w:val="24"/>
                </w:rPr>
                <w:t>2027. godine</w:t>
              </w:r>
            </w:hyperlink>
          </w:p>
        </w:tc>
        <w:tc>
          <w:tcPr>
            <w:tcW w:w="3118" w:type="dxa"/>
            <w:vMerge w:val="restart"/>
            <w:vAlign w:val="center"/>
          </w:tcPr>
          <w:p w14:paraId="6A62D5D0" w14:textId="77777777" w:rsidR="00FB178A" w:rsidRPr="00B51DED" w:rsidRDefault="00FB178A" w:rsidP="009E18ED">
            <w:pPr>
              <w:spacing w:line="276" w:lineRule="auto"/>
              <w:jc w:val="center"/>
              <w:rPr>
                <w:bCs/>
                <w:sz w:val="24"/>
                <w:szCs w:val="24"/>
              </w:rPr>
            </w:pPr>
            <w:r w:rsidRPr="00936B94">
              <w:rPr>
                <w:noProof/>
                <w:sz w:val="24"/>
                <w:szCs w:val="24"/>
                <w:lang w:eastAsia="hr-HR"/>
              </w:rPr>
              <w:drawing>
                <wp:inline distT="0" distB="0" distL="0" distR="0" wp14:anchorId="5B5B9985" wp14:editId="641D688B">
                  <wp:extent cx="581025" cy="552450"/>
                  <wp:effectExtent l="0" t="0" r="9525" b="0"/>
                  <wp:docPr id="1461923418" name="Picture 1461923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581025" cy="552450"/>
                          </a:xfrm>
                          <a:prstGeom prst="rect">
                            <a:avLst/>
                          </a:prstGeom>
                          <a:noFill/>
                          <a:ln>
                            <a:noFill/>
                          </a:ln>
                        </pic:spPr>
                      </pic:pic>
                    </a:graphicData>
                  </a:graphic>
                </wp:inline>
              </w:drawing>
            </w:r>
            <w:r w:rsidRPr="00936B94">
              <w:rPr>
                <w:noProof/>
                <w:sz w:val="24"/>
                <w:szCs w:val="24"/>
                <w:lang w:eastAsia="hr-HR"/>
              </w:rPr>
              <w:drawing>
                <wp:inline distT="0" distB="0" distL="0" distR="0" wp14:anchorId="5740858B" wp14:editId="615018A9">
                  <wp:extent cx="571500" cy="542925"/>
                  <wp:effectExtent l="0" t="0" r="0" b="9525"/>
                  <wp:docPr id="199763480" name="Picture 199763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71500" cy="542925"/>
                          </a:xfrm>
                          <a:prstGeom prst="rect">
                            <a:avLst/>
                          </a:prstGeom>
                          <a:noFill/>
                          <a:ln>
                            <a:noFill/>
                          </a:ln>
                        </pic:spPr>
                      </pic:pic>
                    </a:graphicData>
                  </a:graphic>
                </wp:inline>
              </w:drawing>
            </w:r>
          </w:p>
        </w:tc>
      </w:tr>
      <w:tr w:rsidR="00FB178A" w:rsidRPr="00145379" w14:paraId="31CBED87" w14:textId="77777777" w:rsidTr="009E18ED">
        <w:trPr>
          <w:trHeight w:val="419"/>
          <w:jc w:val="center"/>
        </w:trPr>
        <w:tc>
          <w:tcPr>
            <w:tcW w:w="2972" w:type="dxa"/>
            <w:vMerge/>
            <w:vAlign w:val="center"/>
          </w:tcPr>
          <w:p w14:paraId="6E673B6E" w14:textId="77777777" w:rsidR="00FB178A" w:rsidRPr="00073087" w:rsidRDefault="00FB178A" w:rsidP="009E18ED">
            <w:pPr>
              <w:spacing w:line="276" w:lineRule="auto"/>
              <w:rPr>
                <w:color w:val="000000" w:themeColor="text1"/>
                <w:sz w:val="24"/>
                <w:szCs w:val="24"/>
              </w:rPr>
            </w:pPr>
          </w:p>
        </w:tc>
        <w:tc>
          <w:tcPr>
            <w:tcW w:w="8224" w:type="dxa"/>
            <w:shd w:val="clear" w:color="auto" w:fill="DBE5F1" w:themeFill="accent1" w:themeFillTint="33"/>
            <w:vAlign w:val="center"/>
          </w:tcPr>
          <w:p w14:paraId="095FDE47" w14:textId="77777777" w:rsidR="00FB178A" w:rsidRPr="00B51DED" w:rsidRDefault="00FB178A" w:rsidP="009E18ED">
            <w:pPr>
              <w:pStyle w:val="ListParagraph"/>
              <w:widowControl/>
              <w:numPr>
                <w:ilvl w:val="0"/>
                <w:numId w:val="2"/>
              </w:numPr>
              <w:autoSpaceDE/>
              <w:autoSpaceDN/>
              <w:spacing w:line="276" w:lineRule="auto"/>
              <w:ind w:left="574"/>
              <w:contextualSpacing/>
              <w:rPr>
                <w:color w:val="231F20"/>
                <w:sz w:val="24"/>
                <w:szCs w:val="24"/>
              </w:rPr>
            </w:pPr>
            <w:hyperlink r:id="rId92" w:history="1">
              <w:r w:rsidRPr="00B51DED">
                <w:rPr>
                  <w:rStyle w:val="Hyperlink"/>
                  <w:sz w:val="24"/>
                  <w:szCs w:val="24"/>
                </w:rPr>
                <w:t>Operativni program</w:t>
              </w:r>
              <w:r>
                <w:rPr>
                  <w:rStyle w:val="Hyperlink"/>
                  <w:sz w:val="24"/>
                  <w:szCs w:val="24"/>
                </w:rPr>
                <w:t>i</w:t>
              </w:r>
              <w:r w:rsidRPr="00B51DED">
                <w:rPr>
                  <w:rStyle w:val="Hyperlink"/>
                  <w:sz w:val="24"/>
                  <w:szCs w:val="24"/>
                </w:rPr>
                <w:t xml:space="preserve"> nacionaln</w:t>
              </w:r>
              <w:r>
                <w:rPr>
                  <w:rStyle w:val="Hyperlink"/>
                  <w:sz w:val="24"/>
                  <w:szCs w:val="24"/>
                </w:rPr>
                <w:t>i</w:t>
              </w:r>
              <w:r>
                <w:rPr>
                  <w:rStyle w:val="Hyperlink"/>
                </w:rPr>
                <w:t>h</w:t>
              </w:r>
              <w:r w:rsidRPr="00B51DED">
                <w:rPr>
                  <w:rStyle w:val="Hyperlink"/>
                  <w:sz w:val="24"/>
                  <w:szCs w:val="24"/>
                </w:rPr>
                <w:t xml:space="preserve"> manjin</w:t>
              </w:r>
              <w:r>
                <w:rPr>
                  <w:rStyle w:val="Hyperlink"/>
                  <w:sz w:val="24"/>
                  <w:szCs w:val="24"/>
                </w:rPr>
                <w:t>a</w:t>
              </w:r>
              <w:r w:rsidRPr="00B51DED">
                <w:rPr>
                  <w:rStyle w:val="Hyperlink"/>
                  <w:sz w:val="24"/>
                  <w:szCs w:val="24"/>
                </w:rPr>
                <w:t xml:space="preserve"> za razdoblje 2021.</w:t>
              </w:r>
              <w:r>
                <w:rPr>
                  <w:rStyle w:val="Hyperlink"/>
                  <w:sz w:val="24"/>
                  <w:szCs w:val="24"/>
                </w:rPr>
                <w:t xml:space="preserve"> </w:t>
              </w:r>
              <w:r w:rsidRPr="00B51DED">
                <w:rPr>
                  <w:rStyle w:val="Hyperlink"/>
                  <w:sz w:val="24"/>
                  <w:szCs w:val="24"/>
                </w:rPr>
                <w:t>-</w:t>
              </w:r>
              <w:r>
                <w:rPr>
                  <w:rStyle w:val="Hyperlink"/>
                  <w:sz w:val="24"/>
                  <w:szCs w:val="24"/>
                </w:rPr>
                <w:t xml:space="preserve"> </w:t>
              </w:r>
              <w:r w:rsidRPr="00B51DED">
                <w:rPr>
                  <w:rStyle w:val="Hyperlink"/>
                  <w:sz w:val="24"/>
                  <w:szCs w:val="24"/>
                </w:rPr>
                <w:t>2024.</w:t>
              </w:r>
            </w:hyperlink>
          </w:p>
        </w:tc>
        <w:tc>
          <w:tcPr>
            <w:tcW w:w="3118" w:type="dxa"/>
            <w:vMerge/>
            <w:vAlign w:val="center"/>
          </w:tcPr>
          <w:p w14:paraId="3DDF1240" w14:textId="77777777" w:rsidR="00FB178A" w:rsidRPr="00936B94" w:rsidRDefault="00FB178A" w:rsidP="009E18ED">
            <w:pPr>
              <w:spacing w:line="276" w:lineRule="auto"/>
              <w:jc w:val="center"/>
              <w:rPr>
                <w:noProof/>
                <w:sz w:val="24"/>
                <w:szCs w:val="24"/>
              </w:rPr>
            </w:pPr>
          </w:p>
        </w:tc>
      </w:tr>
      <w:tr w:rsidR="00FB178A" w:rsidRPr="00145379" w14:paraId="408A47B0" w14:textId="77777777" w:rsidTr="009E18ED">
        <w:trPr>
          <w:trHeight w:val="761"/>
          <w:jc w:val="center"/>
        </w:trPr>
        <w:tc>
          <w:tcPr>
            <w:tcW w:w="2972" w:type="dxa"/>
            <w:vMerge/>
            <w:vAlign w:val="center"/>
          </w:tcPr>
          <w:p w14:paraId="77642A6F" w14:textId="77777777" w:rsidR="00FB178A" w:rsidRPr="00073087" w:rsidRDefault="00FB178A" w:rsidP="009E18ED">
            <w:pPr>
              <w:spacing w:line="276" w:lineRule="auto"/>
              <w:rPr>
                <w:color w:val="000000" w:themeColor="text1"/>
                <w:sz w:val="24"/>
                <w:szCs w:val="24"/>
              </w:rPr>
            </w:pPr>
          </w:p>
        </w:tc>
        <w:tc>
          <w:tcPr>
            <w:tcW w:w="8224" w:type="dxa"/>
            <w:shd w:val="clear" w:color="auto" w:fill="DBE5F1" w:themeFill="accent1" w:themeFillTint="33"/>
            <w:vAlign w:val="center"/>
          </w:tcPr>
          <w:p w14:paraId="58BCCEB9" w14:textId="77777777" w:rsidR="00FB178A" w:rsidRPr="00B51DED" w:rsidRDefault="00FB178A" w:rsidP="009E18ED">
            <w:pPr>
              <w:pStyle w:val="ListParagraph"/>
              <w:widowControl/>
              <w:numPr>
                <w:ilvl w:val="0"/>
                <w:numId w:val="2"/>
              </w:numPr>
              <w:autoSpaceDE/>
              <w:autoSpaceDN/>
              <w:spacing w:line="276" w:lineRule="auto"/>
              <w:ind w:left="574"/>
              <w:contextualSpacing/>
              <w:rPr>
                <w:color w:val="231F20"/>
                <w:sz w:val="24"/>
                <w:szCs w:val="24"/>
              </w:rPr>
            </w:pPr>
            <w:hyperlink r:id="rId93" w:history="1">
              <w:r w:rsidRPr="00B51DED">
                <w:rPr>
                  <w:rStyle w:val="Hyperlink"/>
                  <w:sz w:val="24"/>
                  <w:szCs w:val="24"/>
                </w:rPr>
                <w:t>Nacionalni plan zaštite i promicanja ljudskih prava i suzbijanja diskriminacije za razdoblje do 2027. godine</w:t>
              </w:r>
            </w:hyperlink>
          </w:p>
        </w:tc>
        <w:tc>
          <w:tcPr>
            <w:tcW w:w="3118" w:type="dxa"/>
            <w:vMerge/>
            <w:vAlign w:val="center"/>
          </w:tcPr>
          <w:p w14:paraId="5E536659" w14:textId="77777777" w:rsidR="00FB178A" w:rsidRPr="00936B94" w:rsidRDefault="00FB178A" w:rsidP="009E18ED">
            <w:pPr>
              <w:spacing w:line="276" w:lineRule="auto"/>
              <w:jc w:val="center"/>
              <w:rPr>
                <w:noProof/>
                <w:sz w:val="24"/>
                <w:szCs w:val="24"/>
              </w:rPr>
            </w:pPr>
          </w:p>
        </w:tc>
      </w:tr>
      <w:tr w:rsidR="00FB178A" w:rsidRPr="00145379" w14:paraId="357F9C7C" w14:textId="77777777" w:rsidTr="009E18ED">
        <w:trPr>
          <w:trHeight w:val="761"/>
          <w:jc w:val="center"/>
        </w:trPr>
        <w:tc>
          <w:tcPr>
            <w:tcW w:w="2972" w:type="dxa"/>
            <w:vMerge/>
            <w:vAlign w:val="center"/>
          </w:tcPr>
          <w:p w14:paraId="13ECFF3C" w14:textId="77777777" w:rsidR="00FB178A" w:rsidRPr="00073087" w:rsidRDefault="00FB178A" w:rsidP="009E18ED">
            <w:pPr>
              <w:spacing w:line="276" w:lineRule="auto"/>
              <w:rPr>
                <w:color w:val="000000" w:themeColor="text1"/>
                <w:sz w:val="24"/>
                <w:szCs w:val="24"/>
              </w:rPr>
            </w:pPr>
          </w:p>
        </w:tc>
        <w:tc>
          <w:tcPr>
            <w:tcW w:w="8224" w:type="dxa"/>
            <w:shd w:val="clear" w:color="auto" w:fill="DBE5F1" w:themeFill="accent1" w:themeFillTint="33"/>
            <w:vAlign w:val="center"/>
          </w:tcPr>
          <w:p w14:paraId="0608618A" w14:textId="77777777" w:rsidR="00FB178A" w:rsidRDefault="00FB178A" w:rsidP="009E18ED">
            <w:pPr>
              <w:pStyle w:val="ListParagraph"/>
              <w:widowControl/>
              <w:numPr>
                <w:ilvl w:val="0"/>
                <w:numId w:val="2"/>
              </w:numPr>
              <w:autoSpaceDE/>
              <w:autoSpaceDN/>
              <w:spacing w:line="276" w:lineRule="auto"/>
              <w:ind w:left="574"/>
              <w:contextualSpacing/>
            </w:pPr>
            <w:hyperlink r:id="rId94" w:history="1">
              <w:r w:rsidRPr="00B774DD">
                <w:rPr>
                  <w:rStyle w:val="Hyperlink"/>
                  <w:sz w:val="24"/>
                  <w:szCs w:val="24"/>
                </w:rPr>
                <w:t>Nacionalni plan za suzbijanje trgovanja ljudima za razdoblje do 2030 godine</w:t>
              </w:r>
            </w:hyperlink>
          </w:p>
        </w:tc>
        <w:tc>
          <w:tcPr>
            <w:tcW w:w="3118" w:type="dxa"/>
            <w:vMerge/>
            <w:vAlign w:val="center"/>
          </w:tcPr>
          <w:p w14:paraId="0A929C37" w14:textId="77777777" w:rsidR="00FB178A" w:rsidRPr="00936B94" w:rsidRDefault="00FB178A" w:rsidP="009E18ED">
            <w:pPr>
              <w:spacing w:line="276" w:lineRule="auto"/>
              <w:jc w:val="center"/>
              <w:rPr>
                <w:noProof/>
                <w:sz w:val="24"/>
                <w:szCs w:val="24"/>
              </w:rPr>
            </w:pPr>
          </w:p>
        </w:tc>
      </w:tr>
      <w:tr w:rsidR="00FB178A" w:rsidRPr="00145379" w14:paraId="30D2FE6C" w14:textId="77777777" w:rsidTr="009E18ED">
        <w:trPr>
          <w:trHeight w:val="667"/>
          <w:jc w:val="center"/>
        </w:trPr>
        <w:tc>
          <w:tcPr>
            <w:tcW w:w="2972" w:type="dxa"/>
            <w:vAlign w:val="center"/>
          </w:tcPr>
          <w:p w14:paraId="7BA304DB" w14:textId="77777777" w:rsidR="00FB178A" w:rsidRPr="00B51DED" w:rsidRDefault="00FB178A" w:rsidP="009E18ED">
            <w:pPr>
              <w:spacing w:line="276" w:lineRule="auto"/>
              <w:rPr>
                <w:color w:val="000000" w:themeColor="text1"/>
                <w:sz w:val="24"/>
                <w:szCs w:val="24"/>
              </w:rPr>
            </w:pPr>
            <w:r w:rsidRPr="00B51DED">
              <w:rPr>
                <w:color w:val="000000" w:themeColor="text1"/>
              </w:rPr>
              <w:t>VRH - Ured za ravnopravnost spolova</w:t>
            </w:r>
          </w:p>
        </w:tc>
        <w:tc>
          <w:tcPr>
            <w:tcW w:w="8224" w:type="dxa"/>
            <w:shd w:val="clear" w:color="auto" w:fill="DBE5F1" w:themeFill="accent1" w:themeFillTint="33"/>
            <w:vAlign w:val="center"/>
          </w:tcPr>
          <w:p w14:paraId="37FE2E29" w14:textId="77777777" w:rsidR="00FB178A" w:rsidRPr="00B51DED" w:rsidRDefault="00FB178A" w:rsidP="009E18ED">
            <w:pPr>
              <w:pStyle w:val="ListParagraph"/>
              <w:widowControl/>
              <w:numPr>
                <w:ilvl w:val="0"/>
                <w:numId w:val="2"/>
              </w:numPr>
              <w:autoSpaceDE/>
              <w:autoSpaceDN/>
              <w:spacing w:line="276" w:lineRule="auto"/>
              <w:ind w:left="574"/>
              <w:contextualSpacing/>
              <w:rPr>
                <w:color w:val="231F20"/>
                <w:sz w:val="24"/>
                <w:szCs w:val="24"/>
              </w:rPr>
            </w:pPr>
            <w:r w:rsidRPr="00B51DED">
              <w:rPr>
                <w:color w:val="231F20"/>
                <w:sz w:val="24"/>
                <w:szCs w:val="24"/>
              </w:rPr>
              <w:t xml:space="preserve"> </w:t>
            </w:r>
            <w:hyperlink r:id="rId95" w:history="1">
              <w:r w:rsidRPr="00B51DED">
                <w:rPr>
                  <w:rStyle w:val="Hyperlink"/>
                  <w:sz w:val="24"/>
                  <w:szCs w:val="24"/>
                </w:rPr>
                <w:t>Nacionalni plan za ravnopravnost spolova za razdoblje do 2027. godine</w:t>
              </w:r>
            </w:hyperlink>
          </w:p>
        </w:tc>
        <w:tc>
          <w:tcPr>
            <w:tcW w:w="3118" w:type="dxa"/>
            <w:vAlign w:val="center"/>
          </w:tcPr>
          <w:p w14:paraId="2D3DA440" w14:textId="77777777" w:rsidR="00FB178A" w:rsidRPr="00936B94" w:rsidRDefault="00FB178A" w:rsidP="009E18ED">
            <w:pPr>
              <w:spacing w:line="276" w:lineRule="auto"/>
              <w:jc w:val="center"/>
              <w:rPr>
                <w:noProof/>
                <w:sz w:val="24"/>
                <w:szCs w:val="24"/>
              </w:rPr>
            </w:pPr>
            <w:r w:rsidRPr="00936B94">
              <w:rPr>
                <w:noProof/>
                <w:sz w:val="24"/>
                <w:szCs w:val="24"/>
                <w:lang w:eastAsia="hr-HR"/>
              </w:rPr>
              <w:drawing>
                <wp:inline distT="0" distB="0" distL="0" distR="0" wp14:anchorId="58CEEC33" wp14:editId="15485472">
                  <wp:extent cx="571500" cy="542925"/>
                  <wp:effectExtent l="0" t="0" r="0" b="9525"/>
                  <wp:docPr id="1424849498" name="Picture 199763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71500" cy="542925"/>
                          </a:xfrm>
                          <a:prstGeom prst="rect">
                            <a:avLst/>
                          </a:prstGeom>
                          <a:noFill/>
                          <a:ln>
                            <a:noFill/>
                          </a:ln>
                        </pic:spPr>
                      </pic:pic>
                    </a:graphicData>
                  </a:graphic>
                </wp:inline>
              </w:drawing>
            </w:r>
          </w:p>
        </w:tc>
      </w:tr>
    </w:tbl>
    <w:p w14:paraId="2977408A" w14:textId="77777777" w:rsidR="00FB178A" w:rsidRPr="00B93F25" w:rsidRDefault="00FB178A" w:rsidP="00FB178A">
      <w:pPr>
        <w:pStyle w:val="Heading2"/>
        <w:spacing w:before="0" w:after="240"/>
        <w:ind w:left="0" w:hanging="8"/>
        <w:rPr>
          <w:rFonts w:eastAsia="Calibri"/>
          <w:sz w:val="24"/>
          <w:szCs w:val="24"/>
        </w:rPr>
      </w:pPr>
      <w:r w:rsidRPr="00145379">
        <w:rPr>
          <w:rFonts w:eastAsia="Calibri"/>
        </w:rPr>
        <w:br w:type="page"/>
      </w:r>
      <w:bookmarkStart w:id="122" w:name="_Hlk130815336"/>
      <w:bookmarkStart w:id="123" w:name="_Toc133420991"/>
      <w:bookmarkStart w:id="124" w:name="_Toc223002967"/>
      <w:r w:rsidRPr="00B93F25">
        <w:rPr>
          <w:rFonts w:eastAsia="Calibri"/>
          <w:sz w:val="24"/>
          <w:szCs w:val="24"/>
        </w:rPr>
        <w:lastRenderedPageBreak/>
        <w:t>Prilog 4. Popis akata strateškog planiranja</w:t>
      </w:r>
      <w:r w:rsidRPr="00B93F25">
        <w:rPr>
          <w:sz w:val="24"/>
          <w:szCs w:val="24"/>
        </w:rPr>
        <w:t xml:space="preserve"> </w:t>
      </w:r>
      <w:r w:rsidRPr="00B93F25">
        <w:rPr>
          <w:rFonts w:eastAsia="Calibri"/>
          <w:sz w:val="24"/>
          <w:szCs w:val="24"/>
        </w:rPr>
        <w:t>u izradi koji izravno podupiru provedbu strateškog okvira NRS-a 2030.</w:t>
      </w:r>
      <w:bookmarkEnd w:id="122"/>
      <w:bookmarkEnd w:id="123"/>
      <w:r w:rsidRPr="00B93F25">
        <w:rPr>
          <w:rStyle w:val="FootnoteReference"/>
          <w:rFonts w:eastAsia="Calibri"/>
          <w:sz w:val="24"/>
          <w:szCs w:val="24"/>
        </w:rPr>
        <w:footnoteReference w:id="18"/>
      </w:r>
      <w:bookmarkEnd w:id="124"/>
    </w:p>
    <w:tbl>
      <w:tblPr>
        <w:tblW w:w="1430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20"/>
        <w:gridCol w:w="8363"/>
        <w:gridCol w:w="2126"/>
      </w:tblGrid>
      <w:tr w:rsidR="00FB178A" w:rsidRPr="003D487D" w14:paraId="29894CA0" w14:textId="77777777" w:rsidTr="009E18ED">
        <w:trPr>
          <w:trHeight w:val="555"/>
        </w:trPr>
        <w:tc>
          <w:tcPr>
            <w:tcW w:w="382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B6DDE8" w:themeFill="accent5" w:themeFillTint="66"/>
            <w:vAlign w:val="center"/>
            <w:hideMark/>
          </w:tcPr>
          <w:p w14:paraId="5EF3B6A9" w14:textId="77777777" w:rsidR="00FB178A" w:rsidRPr="003D487D" w:rsidRDefault="00FB178A" w:rsidP="009E18ED">
            <w:pPr>
              <w:spacing w:line="276" w:lineRule="auto"/>
              <w:jc w:val="center"/>
              <w:rPr>
                <w:rFonts w:eastAsia="Calibri"/>
                <w:sz w:val="24"/>
                <w:szCs w:val="24"/>
              </w:rPr>
            </w:pPr>
            <w:r w:rsidRPr="003D487D">
              <w:rPr>
                <w:rFonts w:eastAsia="Calibri"/>
                <w:b/>
                <w:bCs/>
                <w:sz w:val="24"/>
                <w:szCs w:val="24"/>
              </w:rPr>
              <w:t>Nositelj izrade</w:t>
            </w:r>
          </w:p>
        </w:tc>
        <w:tc>
          <w:tcPr>
            <w:tcW w:w="8363"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B6DDE8" w:themeFill="accent5" w:themeFillTint="66"/>
            <w:vAlign w:val="center"/>
            <w:hideMark/>
          </w:tcPr>
          <w:p w14:paraId="46B36B01" w14:textId="77777777" w:rsidR="00FB178A" w:rsidRPr="003D487D" w:rsidRDefault="00FB178A" w:rsidP="009E18ED">
            <w:pPr>
              <w:spacing w:line="276" w:lineRule="auto"/>
              <w:jc w:val="center"/>
              <w:rPr>
                <w:rFonts w:eastAsia="Calibri"/>
                <w:sz w:val="24"/>
                <w:szCs w:val="24"/>
              </w:rPr>
            </w:pPr>
            <w:r w:rsidRPr="003D487D">
              <w:rPr>
                <w:rFonts w:eastAsia="Calibri"/>
                <w:b/>
                <w:bCs/>
                <w:sz w:val="24"/>
                <w:szCs w:val="24"/>
              </w:rPr>
              <w:t>Naziv akta strateškog planiranja</w:t>
            </w:r>
          </w:p>
        </w:tc>
        <w:tc>
          <w:tcPr>
            <w:tcW w:w="2126"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B6DDE8" w:themeFill="accent5" w:themeFillTint="66"/>
            <w:vAlign w:val="center"/>
            <w:hideMark/>
          </w:tcPr>
          <w:p w14:paraId="6C1CD7A2" w14:textId="77777777" w:rsidR="00FB178A" w:rsidRPr="003D487D" w:rsidRDefault="00FB178A" w:rsidP="009E18ED">
            <w:pPr>
              <w:spacing w:line="276" w:lineRule="auto"/>
              <w:jc w:val="center"/>
              <w:rPr>
                <w:rFonts w:eastAsia="Calibri"/>
                <w:sz w:val="24"/>
                <w:szCs w:val="24"/>
              </w:rPr>
            </w:pPr>
            <w:r w:rsidRPr="003D487D">
              <w:rPr>
                <w:rFonts w:eastAsia="Calibri"/>
                <w:b/>
                <w:bCs/>
                <w:sz w:val="24"/>
                <w:szCs w:val="24"/>
              </w:rPr>
              <w:t>Strateški cilj NRS-a 2030.</w:t>
            </w:r>
          </w:p>
        </w:tc>
      </w:tr>
      <w:tr w:rsidR="00FB178A" w:rsidRPr="003D487D" w14:paraId="044CB2CD" w14:textId="77777777" w:rsidTr="009E18ED">
        <w:trPr>
          <w:trHeight w:val="852"/>
        </w:trPr>
        <w:tc>
          <w:tcPr>
            <w:tcW w:w="382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vAlign w:val="center"/>
            <w:hideMark/>
          </w:tcPr>
          <w:p w14:paraId="134D69D3" w14:textId="77777777" w:rsidR="00FB178A" w:rsidRPr="003D487D" w:rsidRDefault="00FB178A" w:rsidP="009E18ED">
            <w:pPr>
              <w:spacing w:line="276" w:lineRule="auto"/>
              <w:ind w:left="269"/>
              <w:rPr>
                <w:rFonts w:eastAsia="Calibri"/>
                <w:sz w:val="24"/>
                <w:szCs w:val="24"/>
              </w:rPr>
            </w:pPr>
            <w:r>
              <w:rPr>
                <w:rFonts w:eastAsia="Calibri"/>
                <w:sz w:val="24"/>
                <w:szCs w:val="24"/>
              </w:rPr>
              <w:t>Ministarstvo obrane</w:t>
            </w:r>
          </w:p>
        </w:tc>
        <w:tc>
          <w:tcPr>
            <w:tcW w:w="8363"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DBE5F1" w:themeFill="accent1" w:themeFillTint="33"/>
            <w:vAlign w:val="center"/>
            <w:hideMark/>
          </w:tcPr>
          <w:p w14:paraId="1BE17302" w14:textId="77777777" w:rsidR="00FB178A" w:rsidRPr="003D487D" w:rsidRDefault="00FB178A" w:rsidP="009E18ED">
            <w:pPr>
              <w:numPr>
                <w:ilvl w:val="0"/>
                <w:numId w:val="105"/>
              </w:numPr>
              <w:spacing w:line="276" w:lineRule="auto"/>
              <w:ind w:left="417" w:hanging="303"/>
              <w:rPr>
                <w:rFonts w:eastAsia="Calibri"/>
                <w:sz w:val="24"/>
                <w:szCs w:val="24"/>
              </w:rPr>
            </w:pPr>
            <w:r w:rsidRPr="003D487D">
              <w:rPr>
                <w:rFonts w:eastAsia="Calibri"/>
                <w:sz w:val="24"/>
                <w:szCs w:val="24"/>
              </w:rPr>
              <w:t>Dugoročni plan razvoja Oružanih snaga Republike Hrvatske 2024.-2035.</w:t>
            </w:r>
          </w:p>
        </w:tc>
        <w:tc>
          <w:tcPr>
            <w:tcW w:w="2126"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vAlign w:val="center"/>
            <w:hideMark/>
          </w:tcPr>
          <w:p w14:paraId="3305E5C6" w14:textId="77777777" w:rsidR="00FB178A" w:rsidRPr="003D487D" w:rsidRDefault="00FB178A" w:rsidP="009E18ED">
            <w:pPr>
              <w:spacing w:line="276" w:lineRule="auto"/>
              <w:jc w:val="center"/>
              <w:rPr>
                <w:rFonts w:eastAsia="Calibri"/>
                <w:sz w:val="24"/>
                <w:szCs w:val="24"/>
              </w:rPr>
            </w:pPr>
            <w:r w:rsidRPr="003D487D">
              <w:rPr>
                <w:rFonts w:eastAsia="Calibri"/>
                <w:noProof/>
                <w:sz w:val="24"/>
                <w:szCs w:val="24"/>
                <w:lang w:eastAsia="hr-HR"/>
              </w:rPr>
              <w:drawing>
                <wp:inline distT="0" distB="0" distL="0" distR="0" wp14:anchorId="12DC4CD1" wp14:editId="287BB8A2">
                  <wp:extent cx="571500" cy="556260"/>
                  <wp:effectExtent l="0" t="0" r="0" b="0"/>
                  <wp:docPr id="15" name="Slika 22" descr="Slika na kojoj se prikazuje snimka zaslona, grafika, simbol, logotip&#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lika 22" descr="Slika na kojoj se prikazuje snimka zaslona, grafika, simbol, logotip&#10;&#10;Sadržaj generiran uz AI možda nije točan."/>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571500" cy="556260"/>
                          </a:xfrm>
                          <a:prstGeom prst="rect">
                            <a:avLst/>
                          </a:prstGeom>
                          <a:noFill/>
                          <a:ln>
                            <a:noFill/>
                          </a:ln>
                        </pic:spPr>
                      </pic:pic>
                    </a:graphicData>
                  </a:graphic>
                </wp:inline>
              </w:drawing>
            </w:r>
          </w:p>
        </w:tc>
      </w:tr>
      <w:tr w:rsidR="00FB178A" w:rsidRPr="003D487D" w14:paraId="545231F9" w14:textId="77777777" w:rsidTr="009E18ED">
        <w:trPr>
          <w:trHeight w:val="719"/>
        </w:trPr>
        <w:tc>
          <w:tcPr>
            <w:tcW w:w="382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vAlign w:val="center"/>
            <w:hideMark/>
          </w:tcPr>
          <w:p w14:paraId="0D741C19" w14:textId="77777777" w:rsidR="00FB178A" w:rsidRPr="003D487D" w:rsidRDefault="00FB178A" w:rsidP="009E18ED">
            <w:pPr>
              <w:spacing w:line="276" w:lineRule="auto"/>
              <w:ind w:left="269"/>
              <w:rPr>
                <w:rFonts w:eastAsia="Calibri"/>
                <w:sz w:val="24"/>
                <w:szCs w:val="24"/>
              </w:rPr>
            </w:pPr>
            <w:r w:rsidRPr="003D487D">
              <w:rPr>
                <w:rFonts w:eastAsia="Calibri"/>
                <w:sz w:val="24"/>
                <w:szCs w:val="24"/>
              </w:rPr>
              <w:t>Ministarstvo poljo</w:t>
            </w:r>
            <w:r>
              <w:rPr>
                <w:rFonts w:eastAsia="Calibri"/>
                <w:sz w:val="24"/>
                <w:szCs w:val="24"/>
              </w:rPr>
              <w:t>privrede, šumarstva i ribarstva</w:t>
            </w:r>
          </w:p>
        </w:tc>
        <w:tc>
          <w:tcPr>
            <w:tcW w:w="8363"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DBE5F1" w:themeFill="accent1" w:themeFillTint="33"/>
            <w:vAlign w:val="center"/>
            <w:hideMark/>
          </w:tcPr>
          <w:p w14:paraId="3A669258" w14:textId="77777777" w:rsidR="00FB178A" w:rsidRPr="003D487D" w:rsidRDefault="00FB178A" w:rsidP="009E18ED">
            <w:pPr>
              <w:numPr>
                <w:ilvl w:val="0"/>
                <w:numId w:val="105"/>
              </w:numPr>
              <w:spacing w:line="276" w:lineRule="auto"/>
              <w:ind w:left="417" w:hanging="303"/>
              <w:rPr>
                <w:rFonts w:eastAsia="Calibri"/>
                <w:sz w:val="24"/>
                <w:szCs w:val="24"/>
              </w:rPr>
            </w:pPr>
            <w:r>
              <w:rPr>
                <w:rFonts w:eastAsia="Calibri"/>
                <w:sz w:val="24"/>
                <w:szCs w:val="24"/>
              </w:rPr>
              <w:t xml:space="preserve">Strategija </w:t>
            </w:r>
            <w:proofErr w:type="spellStart"/>
            <w:r>
              <w:rPr>
                <w:rFonts w:eastAsia="Calibri"/>
                <w:sz w:val="24"/>
                <w:szCs w:val="24"/>
              </w:rPr>
              <w:t>biogospodarstva</w:t>
            </w:r>
            <w:proofErr w:type="spellEnd"/>
            <w:r>
              <w:rPr>
                <w:rFonts w:eastAsia="Calibri"/>
                <w:sz w:val="24"/>
                <w:szCs w:val="24"/>
              </w:rPr>
              <w:t xml:space="preserve"> do 2035.</w:t>
            </w:r>
          </w:p>
        </w:tc>
        <w:tc>
          <w:tcPr>
            <w:tcW w:w="2126"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vAlign w:val="center"/>
            <w:hideMark/>
          </w:tcPr>
          <w:p w14:paraId="0C091AB4" w14:textId="77777777" w:rsidR="00FB178A" w:rsidRPr="003D487D" w:rsidRDefault="00FB178A" w:rsidP="009E18ED">
            <w:pPr>
              <w:spacing w:line="276" w:lineRule="auto"/>
              <w:jc w:val="center"/>
              <w:rPr>
                <w:rFonts w:eastAsia="Calibri"/>
                <w:sz w:val="24"/>
                <w:szCs w:val="24"/>
              </w:rPr>
            </w:pPr>
            <w:r w:rsidRPr="003D487D">
              <w:rPr>
                <w:rFonts w:eastAsia="Calibri"/>
                <w:noProof/>
                <w:sz w:val="24"/>
                <w:szCs w:val="24"/>
                <w:lang w:eastAsia="hr-HR"/>
              </w:rPr>
              <w:drawing>
                <wp:inline distT="0" distB="0" distL="0" distR="0" wp14:anchorId="2D66D600" wp14:editId="5D2C8BD9">
                  <wp:extent cx="579120" cy="556260"/>
                  <wp:effectExtent l="0" t="0" r="0" b="0"/>
                  <wp:docPr id="16" name="Slika 21" descr="Slika na kojoj se prikazuje snimka zaslona, zeleno, grafika&#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lika 21" descr="Slika na kojoj se prikazuje snimka zaslona, zeleno, grafika&#10;&#10;Sadržaj generiran uz AI možda nije točan."/>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579120" cy="556260"/>
                          </a:xfrm>
                          <a:prstGeom prst="rect">
                            <a:avLst/>
                          </a:prstGeom>
                          <a:noFill/>
                          <a:ln>
                            <a:noFill/>
                          </a:ln>
                        </pic:spPr>
                      </pic:pic>
                    </a:graphicData>
                  </a:graphic>
                </wp:inline>
              </w:drawing>
            </w:r>
          </w:p>
        </w:tc>
      </w:tr>
      <w:tr w:rsidR="00FB178A" w:rsidRPr="003D487D" w14:paraId="36C15B09" w14:textId="77777777" w:rsidTr="009E18ED">
        <w:trPr>
          <w:trHeight w:val="537"/>
        </w:trPr>
        <w:tc>
          <w:tcPr>
            <w:tcW w:w="3820" w:type="dxa"/>
            <w:vMerge w:val="restart"/>
            <w:tcBorders>
              <w:top w:val="single" w:sz="6" w:space="0" w:color="7F7F7F" w:themeColor="text1" w:themeTint="80"/>
              <w:left w:val="single" w:sz="6" w:space="0" w:color="7F7F7F" w:themeColor="text1" w:themeTint="80"/>
              <w:right w:val="single" w:sz="6" w:space="0" w:color="7F7F7F" w:themeColor="text1" w:themeTint="80"/>
            </w:tcBorders>
            <w:vAlign w:val="center"/>
            <w:hideMark/>
          </w:tcPr>
          <w:p w14:paraId="7053FB57" w14:textId="77777777" w:rsidR="00FB178A" w:rsidRPr="003D487D" w:rsidRDefault="00FB178A" w:rsidP="009E18ED">
            <w:pPr>
              <w:spacing w:line="276" w:lineRule="auto"/>
              <w:ind w:left="269"/>
              <w:rPr>
                <w:rFonts w:eastAsia="Calibri"/>
                <w:sz w:val="24"/>
                <w:szCs w:val="24"/>
              </w:rPr>
            </w:pPr>
            <w:r w:rsidRPr="003D487D">
              <w:rPr>
                <w:rFonts w:eastAsia="Calibri"/>
                <w:sz w:val="24"/>
                <w:szCs w:val="24"/>
              </w:rPr>
              <w:t>Ministarstvo prosto</w:t>
            </w:r>
            <w:r>
              <w:rPr>
                <w:rFonts w:eastAsia="Calibri"/>
                <w:sz w:val="24"/>
                <w:szCs w:val="24"/>
              </w:rPr>
              <w:t xml:space="preserve">rnoga uređenja, graditeljstva i </w:t>
            </w:r>
            <w:proofErr w:type="spellStart"/>
            <w:r w:rsidRPr="003D487D">
              <w:rPr>
                <w:rFonts w:eastAsia="Calibri"/>
                <w:sz w:val="24"/>
                <w:szCs w:val="24"/>
              </w:rPr>
              <w:t>državne</w:t>
            </w:r>
            <w:proofErr w:type="spellEnd"/>
            <w:r>
              <w:rPr>
                <w:rFonts w:eastAsia="Calibri"/>
                <w:sz w:val="24"/>
                <w:szCs w:val="24"/>
              </w:rPr>
              <w:t xml:space="preserve"> imovine</w:t>
            </w:r>
          </w:p>
        </w:tc>
        <w:tc>
          <w:tcPr>
            <w:tcW w:w="8363"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DBE5F1" w:themeFill="accent1" w:themeFillTint="33"/>
            <w:vAlign w:val="center"/>
            <w:hideMark/>
          </w:tcPr>
          <w:p w14:paraId="60DE294C" w14:textId="77777777" w:rsidR="00FB178A" w:rsidRPr="003D487D" w:rsidRDefault="00FB178A" w:rsidP="009E18ED">
            <w:pPr>
              <w:numPr>
                <w:ilvl w:val="0"/>
                <w:numId w:val="105"/>
              </w:numPr>
              <w:spacing w:line="276" w:lineRule="auto"/>
              <w:ind w:left="417" w:hanging="303"/>
              <w:rPr>
                <w:rFonts w:eastAsia="Calibri"/>
                <w:sz w:val="24"/>
                <w:szCs w:val="24"/>
              </w:rPr>
            </w:pPr>
            <w:r w:rsidRPr="003D487D">
              <w:rPr>
                <w:rFonts w:eastAsia="Calibri"/>
                <w:sz w:val="24"/>
                <w:szCs w:val="24"/>
              </w:rPr>
              <w:t>Program energetske obnove obiteljskih ku</w:t>
            </w:r>
            <w:r>
              <w:rPr>
                <w:rFonts w:eastAsia="Calibri"/>
                <w:sz w:val="24"/>
                <w:szCs w:val="24"/>
              </w:rPr>
              <w:t>ća za razdoblje do 2030. godine</w:t>
            </w:r>
          </w:p>
        </w:tc>
        <w:tc>
          <w:tcPr>
            <w:tcW w:w="2126" w:type="dxa"/>
            <w:vMerge w:val="restart"/>
            <w:tcBorders>
              <w:top w:val="single" w:sz="6" w:space="0" w:color="7F7F7F" w:themeColor="text1" w:themeTint="80"/>
              <w:left w:val="single" w:sz="6" w:space="0" w:color="7F7F7F" w:themeColor="text1" w:themeTint="80"/>
              <w:right w:val="single" w:sz="6" w:space="0" w:color="7F7F7F" w:themeColor="text1" w:themeTint="80"/>
            </w:tcBorders>
            <w:vAlign w:val="center"/>
            <w:hideMark/>
          </w:tcPr>
          <w:p w14:paraId="45E329A4" w14:textId="77777777" w:rsidR="00FB178A" w:rsidRPr="003D487D" w:rsidRDefault="00FB178A" w:rsidP="009E18ED">
            <w:pPr>
              <w:spacing w:line="276" w:lineRule="auto"/>
              <w:jc w:val="center"/>
              <w:rPr>
                <w:rFonts w:eastAsia="Calibri"/>
                <w:sz w:val="24"/>
                <w:szCs w:val="24"/>
              </w:rPr>
            </w:pPr>
            <w:r w:rsidRPr="003D487D">
              <w:rPr>
                <w:rFonts w:eastAsia="Calibri"/>
                <w:noProof/>
                <w:sz w:val="24"/>
                <w:szCs w:val="24"/>
                <w:lang w:eastAsia="hr-HR"/>
              </w:rPr>
              <w:drawing>
                <wp:inline distT="0" distB="0" distL="0" distR="0" wp14:anchorId="10FDF979" wp14:editId="7A58512C">
                  <wp:extent cx="571500" cy="556260"/>
                  <wp:effectExtent l="0" t="0" r="0" b="0"/>
                  <wp:docPr id="17" name="Slika 20" descr="Slika na kojoj se prikazuje snimka zaslona, logotip, grafika, simbol&#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Slika 20" descr="Slika na kojoj se prikazuje snimka zaslona, logotip, grafika, simbol&#10;&#10;Sadržaj generiran uz AI možda nije točan."/>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571500" cy="556260"/>
                          </a:xfrm>
                          <a:prstGeom prst="rect">
                            <a:avLst/>
                          </a:prstGeom>
                          <a:noFill/>
                          <a:ln>
                            <a:noFill/>
                          </a:ln>
                        </pic:spPr>
                      </pic:pic>
                    </a:graphicData>
                  </a:graphic>
                </wp:inline>
              </w:drawing>
            </w:r>
            <w:r w:rsidRPr="003D487D">
              <w:rPr>
                <w:rFonts w:eastAsia="Calibri"/>
                <w:noProof/>
                <w:sz w:val="24"/>
                <w:szCs w:val="24"/>
                <w:lang w:eastAsia="hr-HR"/>
              </w:rPr>
              <w:drawing>
                <wp:inline distT="0" distB="0" distL="0" distR="0" wp14:anchorId="292F0A5C" wp14:editId="0CAD2B30">
                  <wp:extent cx="579120" cy="556260"/>
                  <wp:effectExtent l="0" t="0" r="0" b="0"/>
                  <wp:docPr id="18" name="Slika 19" descr="Slika na kojoj se prikazuje simbol, Font&#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Slika 19" descr="Slika na kojoj se prikazuje simbol, Font&#10;&#10;Sadržaj generiran uz AI možda nije točan."/>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579120" cy="556260"/>
                          </a:xfrm>
                          <a:prstGeom prst="rect">
                            <a:avLst/>
                          </a:prstGeom>
                          <a:noFill/>
                          <a:ln>
                            <a:noFill/>
                          </a:ln>
                        </pic:spPr>
                      </pic:pic>
                    </a:graphicData>
                  </a:graphic>
                </wp:inline>
              </w:drawing>
            </w:r>
          </w:p>
        </w:tc>
      </w:tr>
      <w:tr w:rsidR="00FB178A" w:rsidRPr="003D487D" w14:paraId="2172647D" w14:textId="77777777" w:rsidTr="009E18ED">
        <w:trPr>
          <w:trHeight w:val="480"/>
        </w:trPr>
        <w:tc>
          <w:tcPr>
            <w:tcW w:w="3820" w:type="dxa"/>
            <w:vMerge/>
            <w:vAlign w:val="center"/>
            <w:hideMark/>
          </w:tcPr>
          <w:p w14:paraId="32CE35AC" w14:textId="77777777" w:rsidR="00FB178A" w:rsidRPr="003D487D" w:rsidRDefault="00FB178A" w:rsidP="009E18ED">
            <w:pPr>
              <w:spacing w:line="276" w:lineRule="auto"/>
              <w:ind w:left="269"/>
              <w:rPr>
                <w:rFonts w:eastAsia="Calibri"/>
                <w:sz w:val="24"/>
                <w:szCs w:val="24"/>
              </w:rPr>
            </w:pPr>
          </w:p>
        </w:tc>
        <w:tc>
          <w:tcPr>
            <w:tcW w:w="8363"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DBE5F1" w:themeFill="accent1" w:themeFillTint="33"/>
            <w:vAlign w:val="center"/>
            <w:hideMark/>
          </w:tcPr>
          <w:p w14:paraId="2BEDD350" w14:textId="77777777" w:rsidR="00FB178A" w:rsidRPr="003D487D" w:rsidRDefault="00FB178A" w:rsidP="009E18ED">
            <w:pPr>
              <w:numPr>
                <w:ilvl w:val="0"/>
                <w:numId w:val="105"/>
              </w:numPr>
              <w:spacing w:line="276" w:lineRule="auto"/>
              <w:ind w:left="417" w:hanging="303"/>
              <w:rPr>
                <w:rFonts w:eastAsia="Calibri"/>
                <w:sz w:val="24"/>
                <w:szCs w:val="24"/>
              </w:rPr>
            </w:pPr>
            <w:r w:rsidRPr="003D487D">
              <w:rPr>
                <w:rFonts w:eastAsia="Calibri"/>
                <w:sz w:val="24"/>
                <w:szCs w:val="24"/>
              </w:rPr>
              <w:t>Nacionalni plan stambene polit</w:t>
            </w:r>
            <w:r>
              <w:rPr>
                <w:rFonts w:eastAsia="Calibri"/>
                <w:sz w:val="24"/>
                <w:szCs w:val="24"/>
              </w:rPr>
              <w:t>ike Republike Hrvatske do 2030.</w:t>
            </w:r>
          </w:p>
        </w:tc>
        <w:tc>
          <w:tcPr>
            <w:tcW w:w="2126" w:type="dxa"/>
            <w:vMerge/>
            <w:vAlign w:val="center"/>
            <w:hideMark/>
          </w:tcPr>
          <w:p w14:paraId="5DD07702" w14:textId="77777777" w:rsidR="00FB178A" w:rsidRPr="003D487D" w:rsidRDefault="00FB178A" w:rsidP="009E18ED">
            <w:pPr>
              <w:spacing w:line="276" w:lineRule="auto"/>
              <w:jc w:val="center"/>
              <w:rPr>
                <w:rFonts w:eastAsia="Calibri"/>
                <w:sz w:val="24"/>
                <w:szCs w:val="24"/>
              </w:rPr>
            </w:pPr>
          </w:p>
        </w:tc>
      </w:tr>
      <w:tr w:rsidR="00FB178A" w:rsidRPr="003D487D" w14:paraId="09181C8C" w14:textId="77777777" w:rsidTr="009E18ED">
        <w:trPr>
          <w:trHeight w:val="480"/>
        </w:trPr>
        <w:tc>
          <w:tcPr>
            <w:tcW w:w="3820" w:type="dxa"/>
            <w:vMerge/>
            <w:vAlign w:val="center"/>
          </w:tcPr>
          <w:p w14:paraId="3C85E44E" w14:textId="77777777" w:rsidR="00FB178A" w:rsidRPr="003D487D" w:rsidRDefault="00FB178A" w:rsidP="009E18ED">
            <w:pPr>
              <w:spacing w:line="276" w:lineRule="auto"/>
              <w:ind w:left="269"/>
              <w:rPr>
                <w:rFonts w:eastAsia="Calibri"/>
                <w:sz w:val="24"/>
                <w:szCs w:val="24"/>
              </w:rPr>
            </w:pPr>
          </w:p>
        </w:tc>
        <w:tc>
          <w:tcPr>
            <w:tcW w:w="8363"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DBE5F1" w:themeFill="accent1" w:themeFillTint="33"/>
            <w:vAlign w:val="center"/>
          </w:tcPr>
          <w:p w14:paraId="77945674" w14:textId="77777777" w:rsidR="00FB178A" w:rsidRPr="003D487D" w:rsidRDefault="00FB178A" w:rsidP="009E18ED">
            <w:pPr>
              <w:numPr>
                <w:ilvl w:val="0"/>
                <w:numId w:val="105"/>
              </w:numPr>
              <w:spacing w:line="276" w:lineRule="auto"/>
              <w:ind w:left="417" w:hanging="303"/>
              <w:rPr>
                <w:rFonts w:eastAsia="Calibri"/>
                <w:sz w:val="24"/>
                <w:szCs w:val="24"/>
              </w:rPr>
            </w:pPr>
            <w:r w:rsidRPr="003D487D">
              <w:rPr>
                <w:rFonts w:eastAsia="Calibri"/>
                <w:sz w:val="24"/>
                <w:szCs w:val="24"/>
              </w:rPr>
              <w:t>Strategij</w:t>
            </w:r>
            <w:r>
              <w:rPr>
                <w:rFonts w:eastAsia="Calibri"/>
                <w:sz w:val="24"/>
                <w:szCs w:val="24"/>
              </w:rPr>
              <w:t>a</w:t>
            </w:r>
            <w:r w:rsidRPr="003D487D">
              <w:rPr>
                <w:rFonts w:eastAsia="Calibri"/>
                <w:sz w:val="24"/>
                <w:szCs w:val="24"/>
              </w:rPr>
              <w:t xml:space="preserve"> upravljanja nekretninama i pokretninama u vlasništvu Republike Hrvatske za razdoblje 2026. – 2035.</w:t>
            </w:r>
          </w:p>
        </w:tc>
        <w:tc>
          <w:tcPr>
            <w:tcW w:w="2126" w:type="dxa"/>
            <w:vMerge/>
            <w:vAlign w:val="center"/>
          </w:tcPr>
          <w:p w14:paraId="10C5A358" w14:textId="77777777" w:rsidR="00FB178A" w:rsidRPr="003D487D" w:rsidRDefault="00FB178A" w:rsidP="009E18ED">
            <w:pPr>
              <w:spacing w:line="276" w:lineRule="auto"/>
              <w:jc w:val="center"/>
              <w:rPr>
                <w:rFonts w:eastAsia="Calibri"/>
                <w:sz w:val="24"/>
                <w:szCs w:val="24"/>
              </w:rPr>
            </w:pPr>
          </w:p>
        </w:tc>
      </w:tr>
      <w:tr w:rsidR="00FB178A" w:rsidRPr="003D487D" w14:paraId="308031F9" w14:textId="77777777" w:rsidTr="009E18ED">
        <w:trPr>
          <w:trHeight w:val="747"/>
        </w:trPr>
        <w:tc>
          <w:tcPr>
            <w:tcW w:w="382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vAlign w:val="center"/>
            <w:hideMark/>
          </w:tcPr>
          <w:p w14:paraId="7D0BD576" w14:textId="77777777" w:rsidR="00FB178A" w:rsidRPr="003D487D" w:rsidRDefault="00FB178A" w:rsidP="009E18ED">
            <w:pPr>
              <w:spacing w:line="276" w:lineRule="auto"/>
              <w:ind w:left="269"/>
              <w:rPr>
                <w:rFonts w:eastAsia="Calibri"/>
                <w:sz w:val="24"/>
                <w:szCs w:val="24"/>
              </w:rPr>
            </w:pPr>
            <w:r w:rsidRPr="003D487D">
              <w:rPr>
                <w:rFonts w:eastAsia="Calibri"/>
                <w:sz w:val="24"/>
                <w:szCs w:val="24"/>
              </w:rPr>
              <w:t>Ministarstvo rada, mirovinskog</w:t>
            </w:r>
            <w:r>
              <w:rPr>
                <w:rFonts w:eastAsia="Calibri"/>
                <w:sz w:val="24"/>
                <w:szCs w:val="24"/>
              </w:rPr>
              <w:t>a</w:t>
            </w:r>
            <w:r w:rsidRPr="003D487D">
              <w:rPr>
                <w:rFonts w:eastAsia="Calibri"/>
                <w:sz w:val="24"/>
                <w:szCs w:val="24"/>
              </w:rPr>
              <w:t xml:space="preserve"> sustava</w:t>
            </w:r>
            <w:r>
              <w:rPr>
                <w:rFonts w:eastAsia="Calibri"/>
                <w:sz w:val="24"/>
                <w:szCs w:val="24"/>
              </w:rPr>
              <w:t>, obitelji i socijalne politike</w:t>
            </w:r>
          </w:p>
        </w:tc>
        <w:tc>
          <w:tcPr>
            <w:tcW w:w="8363"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DBE5F1" w:themeFill="accent1" w:themeFillTint="33"/>
            <w:vAlign w:val="center"/>
            <w:hideMark/>
          </w:tcPr>
          <w:p w14:paraId="4A090F52" w14:textId="77777777" w:rsidR="00FB178A" w:rsidRPr="003D487D" w:rsidRDefault="00FB178A" w:rsidP="009E18ED">
            <w:pPr>
              <w:numPr>
                <w:ilvl w:val="0"/>
                <w:numId w:val="105"/>
              </w:numPr>
              <w:spacing w:line="276" w:lineRule="auto"/>
              <w:ind w:left="417" w:hanging="303"/>
              <w:rPr>
                <w:rFonts w:eastAsia="Calibri"/>
                <w:sz w:val="24"/>
                <w:szCs w:val="24"/>
              </w:rPr>
            </w:pPr>
            <w:r w:rsidRPr="003D487D">
              <w:rPr>
                <w:rFonts w:eastAsia="Calibri"/>
                <w:sz w:val="24"/>
                <w:szCs w:val="24"/>
              </w:rPr>
              <w:t>Nacionalni plan zaštite od nasilja nad ženama i nasilja u obitelji</w:t>
            </w:r>
            <w:r>
              <w:rPr>
                <w:rFonts w:eastAsia="Calibri"/>
                <w:sz w:val="24"/>
                <w:szCs w:val="24"/>
              </w:rPr>
              <w:t>,</w:t>
            </w:r>
            <w:r w:rsidRPr="003D487D">
              <w:rPr>
                <w:rFonts w:eastAsia="Calibri"/>
                <w:sz w:val="24"/>
                <w:szCs w:val="24"/>
              </w:rPr>
              <w:t xml:space="preserve"> za razdoblje do </w:t>
            </w:r>
            <w:r>
              <w:rPr>
                <w:rFonts w:eastAsia="Calibri"/>
                <w:sz w:val="24"/>
                <w:szCs w:val="24"/>
              </w:rPr>
              <w:t>2028. godine</w:t>
            </w:r>
          </w:p>
        </w:tc>
        <w:tc>
          <w:tcPr>
            <w:tcW w:w="2126"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vAlign w:val="center"/>
            <w:hideMark/>
          </w:tcPr>
          <w:p w14:paraId="589D9594" w14:textId="77777777" w:rsidR="00FB178A" w:rsidRPr="003D487D" w:rsidRDefault="00FB178A" w:rsidP="009E18ED">
            <w:pPr>
              <w:spacing w:line="276" w:lineRule="auto"/>
              <w:jc w:val="center"/>
              <w:rPr>
                <w:rFonts w:eastAsia="Calibri"/>
                <w:sz w:val="24"/>
                <w:szCs w:val="24"/>
              </w:rPr>
            </w:pPr>
            <w:r w:rsidRPr="003D487D">
              <w:rPr>
                <w:rFonts w:eastAsia="Calibri"/>
                <w:noProof/>
                <w:sz w:val="24"/>
                <w:szCs w:val="24"/>
                <w:lang w:eastAsia="hr-HR"/>
              </w:rPr>
              <w:drawing>
                <wp:inline distT="0" distB="0" distL="0" distR="0" wp14:anchorId="6A5E9A04" wp14:editId="4A477387">
                  <wp:extent cx="571500" cy="556260"/>
                  <wp:effectExtent l="0" t="0" r="0" b="0"/>
                  <wp:docPr id="19" name="Slika 18" descr="Slika na kojoj se prikazuje snimka zaslona, logotip, grafika, simbol&#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Slika 18" descr="Slika na kojoj se prikazuje snimka zaslona, logotip, grafika, simbol&#10;&#10;Sadržaj generiran uz AI možda nije točan."/>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571500" cy="556260"/>
                          </a:xfrm>
                          <a:prstGeom prst="rect">
                            <a:avLst/>
                          </a:prstGeom>
                          <a:noFill/>
                          <a:ln>
                            <a:noFill/>
                          </a:ln>
                        </pic:spPr>
                      </pic:pic>
                    </a:graphicData>
                  </a:graphic>
                </wp:inline>
              </w:drawing>
            </w:r>
          </w:p>
        </w:tc>
      </w:tr>
      <w:tr w:rsidR="00FB178A" w:rsidRPr="003D487D" w14:paraId="6EB4FB5D" w14:textId="77777777" w:rsidTr="009E18ED">
        <w:trPr>
          <w:trHeight w:val="775"/>
        </w:trPr>
        <w:tc>
          <w:tcPr>
            <w:tcW w:w="382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vAlign w:val="center"/>
            <w:hideMark/>
          </w:tcPr>
          <w:p w14:paraId="4109E3D1" w14:textId="77777777" w:rsidR="00FB178A" w:rsidRPr="003D487D" w:rsidRDefault="00FB178A" w:rsidP="009E18ED">
            <w:pPr>
              <w:spacing w:line="276" w:lineRule="auto"/>
              <w:ind w:left="269"/>
              <w:rPr>
                <w:rFonts w:eastAsia="Calibri"/>
                <w:sz w:val="24"/>
                <w:szCs w:val="24"/>
              </w:rPr>
            </w:pPr>
            <w:r w:rsidRPr="003D487D">
              <w:rPr>
                <w:rFonts w:eastAsia="Calibri"/>
                <w:sz w:val="24"/>
                <w:szCs w:val="24"/>
              </w:rPr>
              <w:t>Ministarst</w:t>
            </w:r>
            <w:r>
              <w:rPr>
                <w:rFonts w:eastAsia="Calibri"/>
                <w:sz w:val="24"/>
                <w:szCs w:val="24"/>
              </w:rPr>
              <w:t>vo vanjskih i europskih poslova</w:t>
            </w:r>
          </w:p>
        </w:tc>
        <w:tc>
          <w:tcPr>
            <w:tcW w:w="8363"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DBE5F1" w:themeFill="accent1" w:themeFillTint="33"/>
            <w:vAlign w:val="center"/>
            <w:hideMark/>
          </w:tcPr>
          <w:p w14:paraId="337591E8" w14:textId="77777777" w:rsidR="00FB178A" w:rsidRPr="003D487D" w:rsidRDefault="00FB178A" w:rsidP="009E18ED">
            <w:pPr>
              <w:numPr>
                <w:ilvl w:val="0"/>
                <w:numId w:val="105"/>
              </w:numPr>
              <w:spacing w:line="276" w:lineRule="auto"/>
              <w:ind w:left="417" w:hanging="303"/>
              <w:rPr>
                <w:rFonts w:eastAsia="Calibri"/>
                <w:sz w:val="24"/>
                <w:szCs w:val="24"/>
              </w:rPr>
            </w:pPr>
            <w:r w:rsidRPr="003D487D">
              <w:rPr>
                <w:rFonts w:eastAsia="Calibri"/>
                <w:sz w:val="24"/>
                <w:szCs w:val="24"/>
              </w:rPr>
              <w:t xml:space="preserve">Nacionalni program međunarodne razvojne suradnje i humanitarne pomoći inozemstvu </w:t>
            </w:r>
            <w:r>
              <w:rPr>
                <w:rFonts w:eastAsia="Calibri"/>
                <w:sz w:val="24"/>
                <w:szCs w:val="24"/>
              </w:rPr>
              <w:t>za razdoblje 2022.-2026. godine</w:t>
            </w:r>
          </w:p>
        </w:tc>
        <w:tc>
          <w:tcPr>
            <w:tcW w:w="2126"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vAlign w:val="center"/>
            <w:hideMark/>
          </w:tcPr>
          <w:p w14:paraId="406B47F9" w14:textId="77777777" w:rsidR="00FB178A" w:rsidRPr="003D487D" w:rsidRDefault="00FB178A" w:rsidP="009E18ED">
            <w:pPr>
              <w:spacing w:line="276" w:lineRule="auto"/>
              <w:jc w:val="center"/>
              <w:rPr>
                <w:rFonts w:eastAsia="Calibri"/>
                <w:sz w:val="24"/>
                <w:szCs w:val="24"/>
              </w:rPr>
            </w:pPr>
            <w:r w:rsidRPr="003D487D">
              <w:rPr>
                <w:rFonts w:eastAsia="Calibri"/>
                <w:noProof/>
                <w:sz w:val="24"/>
                <w:szCs w:val="24"/>
                <w:lang w:eastAsia="hr-HR"/>
              </w:rPr>
              <w:drawing>
                <wp:inline distT="0" distB="0" distL="0" distR="0" wp14:anchorId="3227E759" wp14:editId="3FE30AFD">
                  <wp:extent cx="579120" cy="556260"/>
                  <wp:effectExtent l="0" t="0" r="0" b="0"/>
                  <wp:docPr id="21" name="Slika 16" descr="Slika na kojoj se prikazuje tekst, isječak crtež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lika na kojoj se prikazuje tekst, isječak crteža&#10;&#10;Opis je automatski generiran"/>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579120" cy="556260"/>
                          </a:xfrm>
                          <a:prstGeom prst="rect">
                            <a:avLst/>
                          </a:prstGeom>
                          <a:noFill/>
                          <a:ln>
                            <a:noFill/>
                          </a:ln>
                        </pic:spPr>
                      </pic:pic>
                    </a:graphicData>
                  </a:graphic>
                </wp:inline>
              </w:drawing>
            </w:r>
          </w:p>
        </w:tc>
      </w:tr>
      <w:tr w:rsidR="00FB178A" w:rsidRPr="003D487D" w14:paraId="476CB486" w14:textId="77777777" w:rsidTr="009E18ED">
        <w:trPr>
          <w:trHeight w:val="555"/>
        </w:trPr>
        <w:tc>
          <w:tcPr>
            <w:tcW w:w="382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vAlign w:val="center"/>
            <w:hideMark/>
          </w:tcPr>
          <w:p w14:paraId="301C0BCF" w14:textId="77777777" w:rsidR="00FB178A" w:rsidRPr="003D487D" w:rsidRDefault="00FB178A" w:rsidP="009E18ED">
            <w:pPr>
              <w:spacing w:line="276" w:lineRule="auto"/>
              <w:ind w:left="269"/>
              <w:rPr>
                <w:rFonts w:eastAsia="Calibri"/>
                <w:sz w:val="24"/>
                <w:szCs w:val="24"/>
              </w:rPr>
            </w:pPr>
            <w:r w:rsidRPr="003D487D">
              <w:rPr>
                <w:rFonts w:eastAsia="Calibri"/>
                <w:sz w:val="24"/>
                <w:szCs w:val="24"/>
              </w:rPr>
              <w:t>Hrvatska vatrogasna zajednica</w:t>
            </w:r>
          </w:p>
        </w:tc>
        <w:tc>
          <w:tcPr>
            <w:tcW w:w="8363"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DBE5F1" w:themeFill="accent1" w:themeFillTint="33"/>
            <w:vAlign w:val="center"/>
            <w:hideMark/>
          </w:tcPr>
          <w:p w14:paraId="3EFDC2C4" w14:textId="77777777" w:rsidR="00FB178A" w:rsidRPr="003D487D" w:rsidRDefault="00FB178A" w:rsidP="009E18ED">
            <w:pPr>
              <w:numPr>
                <w:ilvl w:val="0"/>
                <w:numId w:val="105"/>
              </w:numPr>
              <w:spacing w:line="276" w:lineRule="auto"/>
              <w:ind w:left="417" w:hanging="303"/>
              <w:rPr>
                <w:rFonts w:eastAsia="Calibri"/>
                <w:sz w:val="24"/>
                <w:szCs w:val="24"/>
              </w:rPr>
            </w:pPr>
            <w:r w:rsidRPr="003D487D">
              <w:rPr>
                <w:rFonts w:eastAsia="Calibri"/>
                <w:sz w:val="24"/>
                <w:szCs w:val="24"/>
              </w:rPr>
              <w:t xml:space="preserve">Nacionalna strategija razvoja vatrogastva za </w:t>
            </w:r>
            <w:r>
              <w:rPr>
                <w:rFonts w:eastAsia="Calibri"/>
                <w:sz w:val="24"/>
                <w:szCs w:val="24"/>
              </w:rPr>
              <w:t>razdoblje do 2030.</w:t>
            </w:r>
          </w:p>
        </w:tc>
        <w:tc>
          <w:tcPr>
            <w:tcW w:w="2126"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vAlign w:val="center"/>
            <w:hideMark/>
          </w:tcPr>
          <w:p w14:paraId="2825A662" w14:textId="77777777" w:rsidR="00FB178A" w:rsidRPr="003D487D" w:rsidRDefault="00FB178A" w:rsidP="009E18ED">
            <w:pPr>
              <w:spacing w:line="276" w:lineRule="auto"/>
              <w:jc w:val="center"/>
              <w:rPr>
                <w:rFonts w:eastAsia="Calibri"/>
                <w:sz w:val="24"/>
                <w:szCs w:val="24"/>
              </w:rPr>
            </w:pPr>
            <w:r w:rsidRPr="003D487D">
              <w:rPr>
                <w:rFonts w:eastAsia="Calibri"/>
                <w:noProof/>
                <w:sz w:val="24"/>
                <w:szCs w:val="24"/>
                <w:lang w:eastAsia="hr-HR"/>
              </w:rPr>
              <w:drawing>
                <wp:inline distT="0" distB="0" distL="0" distR="0" wp14:anchorId="04295498" wp14:editId="409F060A">
                  <wp:extent cx="571500" cy="556260"/>
                  <wp:effectExtent l="0" t="0" r="0" b="0"/>
                  <wp:docPr id="22" name="Slika 15" descr="Slika na kojoj se prikazuje snimka zaslona, grafika, simbol, logotip&#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lika 15" descr="Slika na kojoj se prikazuje snimka zaslona, grafika, simbol, logotip&#10;&#10;Sadržaj generiran uz AI možda nije točan."/>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571500" cy="556260"/>
                          </a:xfrm>
                          <a:prstGeom prst="rect">
                            <a:avLst/>
                          </a:prstGeom>
                          <a:noFill/>
                          <a:ln>
                            <a:noFill/>
                          </a:ln>
                        </pic:spPr>
                      </pic:pic>
                    </a:graphicData>
                  </a:graphic>
                </wp:inline>
              </w:drawing>
            </w:r>
          </w:p>
        </w:tc>
      </w:tr>
      <w:tr w:rsidR="00FB178A" w:rsidRPr="003D487D" w14:paraId="68B69F26" w14:textId="77777777" w:rsidTr="009E18ED">
        <w:trPr>
          <w:trHeight w:val="694"/>
        </w:trPr>
        <w:tc>
          <w:tcPr>
            <w:tcW w:w="382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vAlign w:val="center"/>
            <w:hideMark/>
          </w:tcPr>
          <w:p w14:paraId="305657FD" w14:textId="77777777" w:rsidR="00FB178A" w:rsidRPr="003D487D" w:rsidRDefault="00FB178A" w:rsidP="009E18ED">
            <w:pPr>
              <w:spacing w:line="276" w:lineRule="auto"/>
              <w:rPr>
                <w:rFonts w:eastAsia="Calibri"/>
                <w:sz w:val="24"/>
                <w:szCs w:val="24"/>
              </w:rPr>
            </w:pPr>
            <w:r w:rsidRPr="003D487D">
              <w:rPr>
                <w:rFonts w:eastAsia="Calibri"/>
                <w:sz w:val="24"/>
                <w:szCs w:val="24"/>
              </w:rPr>
              <w:lastRenderedPageBreak/>
              <w:t>Ured za u</w:t>
            </w:r>
            <w:r>
              <w:rPr>
                <w:rFonts w:eastAsia="Calibri"/>
                <w:sz w:val="24"/>
                <w:szCs w:val="24"/>
              </w:rPr>
              <w:t>druge Vlade Republike Hrvatske</w:t>
            </w:r>
          </w:p>
        </w:tc>
        <w:tc>
          <w:tcPr>
            <w:tcW w:w="8363"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DBE5F1" w:themeFill="accent1" w:themeFillTint="33"/>
            <w:vAlign w:val="center"/>
            <w:hideMark/>
          </w:tcPr>
          <w:p w14:paraId="7B7A608B" w14:textId="77777777" w:rsidR="00FB178A" w:rsidRPr="003D487D" w:rsidRDefault="00FB178A" w:rsidP="009E18ED">
            <w:pPr>
              <w:numPr>
                <w:ilvl w:val="0"/>
                <w:numId w:val="105"/>
              </w:numPr>
              <w:spacing w:line="276" w:lineRule="auto"/>
              <w:ind w:left="417" w:hanging="303"/>
              <w:rPr>
                <w:rFonts w:eastAsia="Calibri"/>
                <w:sz w:val="24"/>
                <w:szCs w:val="24"/>
              </w:rPr>
            </w:pPr>
            <w:r w:rsidRPr="003D487D">
              <w:rPr>
                <w:rFonts w:eastAsia="Calibri"/>
                <w:sz w:val="24"/>
                <w:szCs w:val="24"/>
              </w:rPr>
              <w:t>Nacionalni plan stvaranja poticajnog okruženja za razvoj civilnoga društva od 2021. do 2027.</w:t>
            </w:r>
          </w:p>
        </w:tc>
        <w:tc>
          <w:tcPr>
            <w:tcW w:w="2126"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vAlign w:val="center"/>
            <w:hideMark/>
          </w:tcPr>
          <w:p w14:paraId="20D6BA52" w14:textId="77777777" w:rsidR="00FB178A" w:rsidRPr="003D487D" w:rsidRDefault="00FB178A" w:rsidP="009E18ED">
            <w:pPr>
              <w:spacing w:line="276" w:lineRule="auto"/>
              <w:jc w:val="center"/>
              <w:rPr>
                <w:rFonts w:eastAsia="Calibri"/>
                <w:sz w:val="24"/>
                <w:szCs w:val="24"/>
              </w:rPr>
            </w:pPr>
            <w:r w:rsidRPr="003D487D">
              <w:rPr>
                <w:rFonts w:eastAsia="Calibri"/>
                <w:noProof/>
                <w:sz w:val="24"/>
                <w:szCs w:val="24"/>
                <w:lang w:eastAsia="hr-HR"/>
              </w:rPr>
              <w:drawing>
                <wp:inline distT="0" distB="0" distL="0" distR="0" wp14:anchorId="2FB777AA" wp14:editId="2C7679EB">
                  <wp:extent cx="571500" cy="556260"/>
                  <wp:effectExtent l="0" t="0" r="0" b="0"/>
                  <wp:docPr id="699087464" name="Slika 18" descr="Slika na kojoj se prikazuje snimka zaslona, logotip, grafika, simbol&#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Slika 18" descr="Slika na kojoj se prikazuje snimka zaslona, logotip, grafika, simbol&#10;&#10;Sadržaj generiran uz AI možda nije točan."/>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571500" cy="556260"/>
                          </a:xfrm>
                          <a:prstGeom prst="rect">
                            <a:avLst/>
                          </a:prstGeom>
                          <a:noFill/>
                          <a:ln>
                            <a:noFill/>
                          </a:ln>
                        </pic:spPr>
                      </pic:pic>
                    </a:graphicData>
                  </a:graphic>
                </wp:inline>
              </w:drawing>
            </w:r>
          </w:p>
        </w:tc>
      </w:tr>
    </w:tbl>
    <w:p w14:paraId="410459F5" w14:textId="77777777" w:rsidR="00FB178A" w:rsidRPr="00145379" w:rsidRDefault="00FB178A" w:rsidP="00FB178A">
      <w:pPr>
        <w:spacing w:line="276" w:lineRule="auto"/>
        <w:rPr>
          <w:rFonts w:eastAsia="Calibri"/>
          <w:sz w:val="24"/>
          <w:szCs w:val="24"/>
        </w:rPr>
        <w:sectPr w:rsidR="00FB178A" w:rsidRPr="00145379" w:rsidSect="0096172D">
          <w:pgSz w:w="16840" w:h="11910" w:orient="landscape"/>
          <w:pgMar w:top="1440" w:right="1080" w:bottom="1440" w:left="1080" w:header="0" w:footer="757" w:gutter="0"/>
          <w:cols w:space="720"/>
          <w:docGrid w:linePitch="299"/>
        </w:sectPr>
      </w:pPr>
    </w:p>
    <w:p w14:paraId="5EFBEE15" w14:textId="77777777" w:rsidR="00FB178A" w:rsidRDefault="00FB178A" w:rsidP="00FB178A">
      <w:pPr>
        <w:pStyle w:val="Heading2"/>
        <w:ind w:left="0" w:hanging="8"/>
        <w:rPr>
          <w:rFonts w:eastAsia="Calibri"/>
          <w:sz w:val="24"/>
          <w:szCs w:val="24"/>
        </w:rPr>
      </w:pPr>
      <w:bookmarkStart w:id="125" w:name="_Toc223002968"/>
      <w:r w:rsidRPr="007218B6">
        <w:rPr>
          <w:rFonts w:eastAsia="Calibri"/>
          <w:sz w:val="24"/>
          <w:szCs w:val="24"/>
        </w:rPr>
        <w:lastRenderedPageBreak/>
        <w:t xml:space="preserve">Prilog 5. – Doprinos provedbi ciljeva održivog razvoja Programa UN-a za održiv razvoj 2030 (UN </w:t>
      </w:r>
      <w:proofErr w:type="spellStart"/>
      <w:r w:rsidRPr="007218B6">
        <w:rPr>
          <w:rFonts w:eastAsia="Calibri"/>
          <w:sz w:val="24"/>
          <w:szCs w:val="24"/>
        </w:rPr>
        <w:t>Agenda</w:t>
      </w:r>
      <w:proofErr w:type="spellEnd"/>
      <w:r w:rsidRPr="007218B6">
        <w:rPr>
          <w:rFonts w:eastAsia="Calibri"/>
          <w:sz w:val="24"/>
          <w:szCs w:val="24"/>
        </w:rPr>
        <w:t xml:space="preserve"> 2030)</w:t>
      </w:r>
      <w:bookmarkEnd w:id="125"/>
    </w:p>
    <w:p w14:paraId="01E992EB" w14:textId="77777777" w:rsidR="00FB178A" w:rsidRPr="007218B6" w:rsidRDefault="00FB178A" w:rsidP="00FB178A">
      <w:pPr>
        <w:pStyle w:val="Heading2"/>
        <w:ind w:left="0" w:hanging="8"/>
        <w:rPr>
          <w:rFonts w:eastAsia="Calibri"/>
          <w:sz w:val="24"/>
          <w:szCs w:val="24"/>
        </w:rPr>
      </w:pPr>
    </w:p>
    <w:p w14:paraId="78B5FB70" w14:textId="77777777" w:rsidR="00FB178A" w:rsidRDefault="00FB178A" w:rsidP="00FB178A">
      <w:pPr>
        <w:spacing w:line="276" w:lineRule="auto"/>
        <w:ind w:firstLine="720"/>
        <w:jc w:val="both"/>
        <w:rPr>
          <w:sz w:val="24"/>
          <w:szCs w:val="24"/>
        </w:rPr>
      </w:pPr>
      <w:r w:rsidRPr="00417E35">
        <w:rPr>
          <w:sz w:val="24"/>
          <w:szCs w:val="24"/>
        </w:rPr>
        <w:t xml:space="preserve">U kontekstu složenih globalnih izazova, Hrvatska je tijekom 2024. godine potvrdila predanost izgradnji otpornog društva utemeljenog na načelima održivosti, koristeći </w:t>
      </w:r>
      <w:r w:rsidRPr="25020D61">
        <w:rPr>
          <w:sz w:val="24"/>
          <w:szCs w:val="24"/>
        </w:rPr>
        <w:t>NRS</w:t>
      </w:r>
      <w:r w:rsidRPr="5D1585D7">
        <w:rPr>
          <w:sz w:val="24"/>
          <w:szCs w:val="24"/>
        </w:rPr>
        <w:t xml:space="preserve"> </w:t>
      </w:r>
      <w:r w:rsidRPr="00417E35">
        <w:rPr>
          <w:sz w:val="24"/>
          <w:szCs w:val="24"/>
        </w:rPr>
        <w:t xml:space="preserve">kao temeljni okvir za operacionalizaciju 17 ciljeva održivog razvoja (COR). </w:t>
      </w:r>
      <w:r w:rsidRPr="02FDC0BB">
        <w:rPr>
          <w:sz w:val="24"/>
          <w:szCs w:val="24"/>
        </w:rPr>
        <w:t xml:space="preserve">Provedba </w:t>
      </w:r>
      <w:r w:rsidRPr="78DD3350">
        <w:rPr>
          <w:sz w:val="24"/>
          <w:szCs w:val="24"/>
        </w:rPr>
        <w:t>NRS</w:t>
      </w:r>
      <w:r>
        <w:rPr>
          <w:sz w:val="24"/>
          <w:szCs w:val="24"/>
        </w:rPr>
        <w:t>-a</w:t>
      </w:r>
      <w:r w:rsidRPr="78DD3350">
        <w:rPr>
          <w:sz w:val="24"/>
          <w:szCs w:val="24"/>
        </w:rPr>
        <w:t xml:space="preserve"> izravno</w:t>
      </w:r>
      <w:r w:rsidRPr="00417E35">
        <w:rPr>
          <w:sz w:val="24"/>
          <w:szCs w:val="24"/>
        </w:rPr>
        <w:t xml:space="preserve"> doprinosi </w:t>
      </w:r>
      <w:r>
        <w:rPr>
          <w:sz w:val="24"/>
          <w:szCs w:val="24"/>
        </w:rPr>
        <w:t>postizanju</w:t>
      </w:r>
      <w:r w:rsidRPr="00417E35">
        <w:rPr>
          <w:sz w:val="24"/>
          <w:szCs w:val="24"/>
        </w:rPr>
        <w:t xml:space="preserve"> </w:t>
      </w:r>
      <w:r>
        <w:rPr>
          <w:sz w:val="24"/>
          <w:szCs w:val="24"/>
        </w:rPr>
        <w:t xml:space="preserve">ciljeva </w:t>
      </w:r>
      <w:r w:rsidRPr="00417E35">
        <w:rPr>
          <w:sz w:val="24"/>
          <w:szCs w:val="24"/>
        </w:rPr>
        <w:t xml:space="preserve">UN-ova Programa </w:t>
      </w:r>
      <w:r w:rsidRPr="41FA9DD2">
        <w:rPr>
          <w:sz w:val="24"/>
          <w:szCs w:val="24"/>
        </w:rPr>
        <w:t xml:space="preserve">za održivi </w:t>
      </w:r>
      <w:r w:rsidRPr="4C9F6BE8">
        <w:rPr>
          <w:sz w:val="24"/>
          <w:szCs w:val="24"/>
        </w:rPr>
        <w:t xml:space="preserve">razvoj </w:t>
      </w:r>
      <w:r w:rsidRPr="5A1FB473">
        <w:rPr>
          <w:sz w:val="24"/>
          <w:szCs w:val="24"/>
        </w:rPr>
        <w:t xml:space="preserve">do </w:t>
      </w:r>
      <w:r w:rsidRPr="4C9F6BE8">
        <w:rPr>
          <w:sz w:val="24"/>
          <w:szCs w:val="24"/>
        </w:rPr>
        <w:t>2030</w:t>
      </w:r>
      <w:r w:rsidRPr="00417E35">
        <w:rPr>
          <w:sz w:val="24"/>
          <w:szCs w:val="24"/>
        </w:rPr>
        <w:t xml:space="preserve">., uz </w:t>
      </w:r>
      <w:r>
        <w:rPr>
          <w:sz w:val="24"/>
          <w:szCs w:val="24"/>
        </w:rPr>
        <w:t xml:space="preserve">jasan </w:t>
      </w:r>
      <w:r w:rsidRPr="00417E35">
        <w:rPr>
          <w:sz w:val="24"/>
          <w:szCs w:val="24"/>
        </w:rPr>
        <w:t>naglasak na postizanju ravnoteže između gospodarske, društvene i okolišne dimenzije razvoja. Ovakvim pristupom</w:t>
      </w:r>
      <w:r>
        <w:rPr>
          <w:sz w:val="24"/>
          <w:szCs w:val="24"/>
        </w:rPr>
        <w:t>,</w:t>
      </w:r>
      <w:r w:rsidRPr="00417E35">
        <w:rPr>
          <w:sz w:val="24"/>
          <w:szCs w:val="24"/>
        </w:rPr>
        <w:t xml:space="preserve"> vizija održivosti se</w:t>
      </w:r>
      <w:r>
        <w:rPr>
          <w:sz w:val="24"/>
          <w:szCs w:val="24"/>
        </w:rPr>
        <w:t xml:space="preserve"> prelijeva</w:t>
      </w:r>
      <w:r w:rsidRPr="00417E35">
        <w:rPr>
          <w:sz w:val="24"/>
          <w:szCs w:val="24"/>
        </w:rPr>
        <w:t xml:space="preserve"> iz </w:t>
      </w:r>
      <w:r w:rsidRPr="7161D150">
        <w:rPr>
          <w:sz w:val="24"/>
          <w:szCs w:val="24"/>
        </w:rPr>
        <w:t xml:space="preserve">akata </w:t>
      </w:r>
      <w:r w:rsidRPr="37C88D97">
        <w:rPr>
          <w:sz w:val="24"/>
          <w:szCs w:val="24"/>
        </w:rPr>
        <w:t xml:space="preserve">strateškog planiranja </w:t>
      </w:r>
      <w:r w:rsidRPr="00417E35">
        <w:rPr>
          <w:sz w:val="24"/>
          <w:szCs w:val="24"/>
        </w:rPr>
        <w:t xml:space="preserve">u konkretne mjere usmjerene na </w:t>
      </w:r>
      <w:r w:rsidRPr="4049352C">
        <w:rPr>
          <w:sz w:val="24"/>
          <w:szCs w:val="24"/>
        </w:rPr>
        <w:t>unaprjeđenje</w:t>
      </w:r>
      <w:r w:rsidRPr="00417E35">
        <w:rPr>
          <w:sz w:val="24"/>
          <w:szCs w:val="24"/>
        </w:rPr>
        <w:t xml:space="preserve"> kvalitete života građana. Integriranjem prioriteta, poput smanjenja nejednakosti i ublažavanja klimatskih promjena, u sve javne politike, Hrvatska aktivno odgovara na ključne izazove, a </w:t>
      </w:r>
      <w:r>
        <w:rPr>
          <w:sz w:val="24"/>
          <w:szCs w:val="24"/>
        </w:rPr>
        <w:t>osiguravanjem uvjeta za kontinuirano praćenje relevantnih pokazatelja</w:t>
      </w:r>
      <w:r w:rsidRPr="441AE46D">
        <w:rPr>
          <w:sz w:val="24"/>
          <w:szCs w:val="24"/>
        </w:rPr>
        <w:t>,</w:t>
      </w:r>
      <w:r w:rsidRPr="00417E35">
        <w:rPr>
          <w:sz w:val="24"/>
          <w:szCs w:val="24"/>
        </w:rPr>
        <w:t xml:space="preserve"> </w:t>
      </w:r>
      <w:r>
        <w:rPr>
          <w:sz w:val="24"/>
          <w:szCs w:val="24"/>
        </w:rPr>
        <w:t xml:space="preserve">omogućava se pouzdano </w:t>
      </w:r>
      <w:r w:rsidRPr="00417E35">
        <w:rPr>
          <w:sz w:val="24"/>
          <w:szCs w:val="24"/>
        </w:rPr>
        <w:t>vredn</w:t>
      </w:r>
      <w:r>
        <w:rPr>
          <w:sz w:val="24"/>
          <w:szCs w:val="24"/>
        </w:rPr>
        <w:t xml:space="preserve">ovanje napretka u provedbi. </w:t>
      </w:r>
      <w:r w:rsidRPr="00FA5E9E">
        <w:rPr>
          <w:sz w:val="24"/>
          <w:szCs w:val="24"/>
        </w:rPr>
        <w:t xml:space="preserve">Upravo se sustav strateškog planiranja i upravljanja razvojem </w:t>
      </w:r>
      <w:r w:rsidRPr="4B316456">
        <w:rPr>
          <w:sz w:val="24"/>
          <w:szCs w:val="24"/>
        </w:rPr>
        <w:t xml:space="preserve">Republike </w:t>
      </w:r>
      <w:r w:rsidRPr="55E60D5A">
        <w:rPr>
          <w:sz w:val="24"/>
          <w:szCs w:val="24"/>
        </w:rPr>
        <w:t>Hrvatske pritom</w:t>
      </w:r>
      <w:r w:rsidRPr="00FA5E9E">
        <w:rPr>
          <w:sz w:val="24"/>
          <w:szCs w:val="24"/>
        </w:rPr>
        <w:t xml:space="preserve"> potvr</w:t>
      </w:r>
      <w:r>
        <w:rPr>
          <w:sz w:val="24"/>
          <w:szCs w:val="24"/>
        </w:rPr>
        <w:t>đuje</w:t>
      </w:r>
      <w:r w:rsidRPr="00FA5E9E">
        <w:rPr>
          <w:sz w:val="24"/>
          <w:szCs w:val="24"/>
        </w:rPr>
        <w:t xml:space="preserve"> kao </w:t>
      </w:r>
      <w:r>
        <w:rPr>
          <w:sz w:val="24"/>
          <w:szCs w:val="24"/>
        </w:rPr>
        <w:t>koristan</w:t>
      </w:r>
      <w:r w:rsidRPr="00FA5E9E">
        <w:rPr>
          <w:sz w:val="24"/>
          <w:szCs w:val="24"/>
        </w:rPr>
        <w:t xml:space="preserve"> mehanizam </w:t>
      </w:r>
      <w:r w:rsidRPr="0CD7FCED">
        <w:rPr>
          <w:sz w:val="24"/>
          <w:szCs w:val="24"/>
        </w:rPr>
        <w:t>za osiguravanje</w:t>
      </w:r>
      <w:r w:rsidRPr="00FA5E9E">
        <w:rPr>
          <w:sz w:val="24"/>
          <w:szCs w:val="24"/>
        </w:rPr>
        <w:t xml:space="preserve"> </w:t>
      </w:r>
      <w:r w:rsidRPr="38EAE462">
        <w:rPr>
          <w:sz w:val="24"/>
          <w:szCs w:val="24"/>
        </w:rPr>
        <w:t>usklađenosti</w:t>
      </w:r>
      <w:r w:rsidRPr="00FA5E9E">
        <w:rPr>
          <w:sz w:val="24"/>
          <w:szCs w:val="24"/>
        </w:rPr>
        <w:t xml:space="preserve"> </w:t>
      </w:r>
      <w:r>
        <w:rPr>
          <w:sz w:val="24"/>
          <w:szCs w:val="24"/>
        </w:rPr>
        <w:t xml:space="preserve">javnih </w:t>
      </w:r>
      <w:r w:rsidRPr="00FA5E9E">
        <w:rPr>
          <w:sz w:val="24"/>
          <w:szCs w:val="24"/>
        </w:rPr>
        <w:t xml:space="preserve">politika i povezivanje strateških prioriteta s proračunskim sredstvima, čime se stvaraju nužni institucionalni i financijski preduvjeti za učinkovitu operacionalizaciju </w:t>
      </w:r>
      <w:r w:rsidRPr="32ED8771">
        <w:rPr>
          <w:sz w:val="24"/>
          <w:szCs w:val="24"/>
        </w:rPr>
        <w:t>Ciljeva</w:t>
      </w:r>
      <w:r w:rsidRPr="00FA5E9E">
        <w:rPr>
          <w:sz w:val="24"/>
          <w:szCs w:val="24"/>
        </w:rPr>
        <w:t xml:space="preserve"> održivog razvoja.</w:t>
      </w:r>
    </w:p>
    <w:p w14:paraId="787BEF1F" w14:textId="77777777" w:rsidR="00FB178A" w:rsidRDefault="00FB178A" w:rsidP="00FB178A">
      <w:pPr>
        <w:spacing w:line="276" w:lineRule="auto"/>
        <w:jc w:val="both"/>
        <w:rPr>
          <w:sz w:val="24"/>
          <w:szCs w:val="24"/>
        </w:rPr>
      </w:pPr>
    </w:p>
    <w:p w14:paraId="45917DB6" w14:textId="77777777" w:rsidR="00FB178A" w:rsidRPr="00E01901" w:rsidRDefault="00FB178A" w:rsidP="00FB178A">
      <w:pPr>
        <w:spacing w:line="276" w:lineRule="auto"/>
        <w:jc w:val="both"/>
        <w:rPr>
          <w:sz w:val="24"/>
          <w:szCs w:val="24"/>
        </w:rPr>
      </w:pPr>
      <w:r w:rsidRPr="00E01901">
        <w:rPr>
          <w:sz w:val="24"/>
          <w:szCs w:val="24"/>
        </w:rPr>
        <w:t>Hrvatska je</w:t>
      </w:r>
      <w:r>
        <w:rPr>
          <w:sz w:val="24"/>
          <w:szCs w:val="24"/>
        </w:rPr>
        <w:t xml:space="preserve"> tijekom 2024.</w:t>
      </w:r>
      <w:r w:rsidRPr="00E01901">
        <w:rPr>
          <w:sz w:val="24"/>
          <w:szCs w:val="24"/>
        </w:rPr>
        <w:t xml:space="preserve"> potvrdila status jedne od globalnih predvodnica u području održivog razvoja. Prema Izvješću o održivom razvoju za 2024. godinu (</w:t>
      </w:r>
      <w:proofErr w:type="spellStart"/>
      <w:r w:rsidRPr="00E01901">
        <w:rPr>
          <w:i/>
          <w:iCs/>
          <w:sz w:val="24"/>
          <w:szCs w:val="24"/>
        </w:rPr>
        <w:t>Sustainable</w:t>
      </w:r>
      <w:proofErr w:type="spellEnd"/>
      <w:r w:rsidRPr="00E01901">
        <w:rPr>
          <w:i/>
          <w:iCs/>
          <w:sz w:val="24"/>
          <w:szCs w:val="24"/>
        </w:rPr>
        <w:t xml:space="preserve"> Development </w:t>
      </w:r>
      <w:proofErr w:type="spellStart"/>
      <w:r w:rsidRPr="00E01901">
        <w:rPr>
          <w:i/>
          <w:iCs/>
          <w:sz w:val="24"/>
          <w:szCs w:val="24"/>
        </w:rPr>
        <w:t>Report</w:t>
      </w:r>
      <w:proofErr w:type="spellEnd"/>
      <w:r w:rsidRPr="00E01901">
        <w:rPr>
          <w:sz w:val="24"/>
          <w:szCs w:val="24"/>
        </w:rPr>
        <w:t xml:space="preserve"> </w:t>
      </w:r>
      <w:r w:rsidRPr="00E01901">
        <w:rPr>
          <w:i/>
          <w:iCs/>
          <w:sz w:val="24"/>
          <w:szCs w:val="24"/>
        </w:rPr>
        <w:t>2024</w:t>
      </w:r>
      <w:r>
        <w:rPr>
          <w:rStyle w:val="FootnoteReference"/>
          <w:i/>
          <w:iCs/>
          <w:sz w:val="24"/>
          <w:szCs w:val="24"/>
        </w:rPr>
        <w:footnoteReference w:id="19"/>
      </w:r>
      <w:r w:rsidRPr="00E01901">
        <w:rPr>
          <w:sz w:val="24"/>
          <w:szCs w:val="24"/>
        </w:rPr>
        <w:t>), Hrvatska je ostvarila izniman napredak pozicioniravši se na visoko 8. mjesto od ukupno 167 zemalja obuhvaćenih izvješćem, s</w:t>
      </w:r>
      <w:r>
        <w:rPr>
          <w:sz w:val="24"/>
          <w:szCs w:val="24"/>
        </w:rPr>
        <w:t>a zabilježenim</w:t>
      </w:r>
      <w:r w:rsidRPr="00E01901">
        <w:rPr>
          <w:sz w:val="24"/>
          <w:szCs w:val="24"/>
        </w:rPr>
        <w:t xml:space="preserve"> ukupnim indeksom od 82,2. Ovaj rezultat predstavlja značajan skok u odnosu na prethodna razdoblja i </w:t>
      </w:r>
      <w:r>
        <w:rPr>
          <w:sz w:val="24"/>
          <w:szCs w:val="24"/>
        </w:rPr>
        <w:t xml:space="preserve">istodobno </w:t>
      </w:r>
      <w:r w:rsidRPr="00E01901">
        <w:rPr>
          <w:sz w:val="24"/>
          <w:szCs w:val="24"/>
        </w:rPr>
        <w:t>potvrđuje da Hrvatska uspješno usklađuje svoj gospodarski rast s visokim socijalnim i ekološkim standardima.</w:t>
      </w:r>
      <w:r>
        <w:rPr>
          <w:sz w:val="24"/>
          <w:szCs w:val="24"/>
        </w:rPr>
        <w:t xml:space="preserve"> </w:t>
      </w:r>
      <w:r w:rsidRPr="00E01901">
        <w:rPr>
          <w:sz w:val="24"/>
          <w:szCs w:val="24"/>
        </w:rPr>
        <w:t xml:space="preserve">Ovakvo visoko pozicioniranje ima dodatnu težinu u kontekstu procesa pristupanja Hrvatske Organizaciji za ekonomsku suradnju i razvoj (OECD), koji je intenziviran tijekom 2024. godine. Činjenica da se Hrvatska nalazi u samom svjetskom vrhu prema Indeksu </w:t>
      </w:r>
      <w:r>
        <w:rPr>
          <w:sz w:val="24"/>
          <w:szCs w:val="24"/>
        </w:rPr>
        <w:t xml:space="preserve">napretka u provedbi </w:t>
      </w:r>
      <w:r w:rsidRPr="00E01901">
        <w:rPr>
          <w:sz w:val="24"/>
          <w:szCs w:val="24"/>
        </w:rPr>
        <w:t>ciljeva održivog razvoja</w:t>
      </w:r>
      <w:r>
        <w:rPr>
          <w:sz w:val="24"/>
          <w:szCs w:val="24"/>
        </w:rPr>
        <w:t>,</w:t>
      </w:r>
      <w:r w:rsidRPr="00E01901">
        <w:rPr>
          <w:sz w:val="24"/>
          <w:szCs w:val="24"/>
        </w:rPr>
        <w:t xml:space="preserve"> jasno ukazuje na spremnost i usklađenost hrvatskih politika s najboljim globalnim praksama i standardima koje zagovara OECD.</w:t>
      </w:r>
    </w:p>
    <w:p w14:paraId="799075EC" w14:textId="77777777" w:rsidR="00FB178A" w:rsidRPr="00E01901" w:rsidRDefault="00FB178A" w:rsidP="00FB178A">
      <w:pPr>
        <w:spacing w:line="276" w:lineRule="auto"/>
        <w:jc w:val="both"/>
        <w:rPr>
          <w:sz w:val="24"/>
          <w:szCs w:val="24"/>
        </w:rPr>
      </w:pPr>
    </w:p>
    <w:p w14:paraId="3608D187" w14:textId="77777777" w:rsidR="00FB178A" w:rsidRPr="00E01901" w:rsidRDefault="00FB178A" w:rsidP="00FB178A">
      <w:pPr>
        <w:spacing w:line="276" w:lineRule="auto"/>
        <w:jc w:val="both"/>
        <w:rPr>
          <w:sz w:val="24"/>
          <w:szCs w:val="24"/>
        </w:rPr>
      </w:pPr>
      <w:r>
        <w:rPr>
          <w:sz w:val="24"/>
          <w:szCs w:val="24"/>
        </w:rPr>
        <w:t>NRS nastavlja</w:t>
      </w:r>
      <w:r w:rsidRPr="00E01901">
        <w:rPr>
          <w:sz w:val="24"/>
          <w:szCs w:val="24"/>
        </w:rPr>
        <w:t xml:space="preserve"> i dalje služi</w:t>
      </w:r>
      <w:r>
        <w:rPr>
          <w:sz w:val="24"/>
          <w:szCs w:val="24"/>
        </w:rPr>
        <w:t>ti</w:t>
      </w:r>
      <w:r w:rsidRPr="00E01901">
        <w:rPr>
          <w:sz w:val="24"/>
          <w:szCs w:val="24"/>
        </w:rPr>
        <w:t xml:space="preserve"> kao ključna poluga za </w:t>
      </w:r>
      <w:r>
        <w:rPr>
          <w:sz w:val="24"/>
          <w:szCs w:val="24"/>
        </w:rPr>
        <w:t xml:space="preserve">uspješnu </w:t>
      </w:r>
      <w:r w:rsidRPr="00E01901">
        <w:rPr>
          <w:sz w:val="24"/>
          <w:szCs w:val="24"/>
        </w:rPr>
        <w:t xml:space="preserve">integraciju </w:t>
      </w:r>
      <w:r>
        <w:rPr>
          <w:sz w:val="24"/>
          <w:szCs w:val="24"/>
        </w:rPr>
        <w:t>C</w:t>
      </w:r>
      <w:r w:rsidRPr="00E01901">
        <w:rPr>
          <w:sz w:val="24"/>
          <w:szCs w:val="24"/>
        </w:rPr>
        <w:t xml:space="preserve">iljeva održivog razvoja u nacionalni strateški okvir. </w:t>
      </w:r>
      <w:r>
        <w:rPr>
          <w:sz w:val="24"/>
          <w:szCs w:val="24"/>
        </w:rPr>
        <w:t>Tijekom</w:t>
      </w:r>
      <w:r w:rsidRPr="00E01901">
        <w:rPr>
          <w:sz w:val="24"/>
          <w:szCs w:val="24"/>
        </w:rPr>
        <w:t xml:space="preserve"> 2024. naglasak je bio na sinergiji NRS-a i NPOO</w:t>
      </w:r>
      <w:r>
        <w:rPr>
          <w:sz w:val="24"/>
          <w:szCs w:val="24"/>
        </w:rPr>
        <w:t>-a</w:t>
      </w:r>
      <w:r w:rsidRPr="00E01901">
        <w:rPr>
          <w:sz w:val="24"/>
          <w:szCs w:val="24"/>
        </w:rPr>
        <w:t xml:space="preserve">, posebice u </w:t>
      </w:r>
      <w:r w:rsidRPr="45DB2B18">
        <w:rPr>
          <w:sz w:val="24"/>
          <w:szCs w:val="24"/>
        </w:rPr>
        <w:t>području</w:t>
      </w:r>
      <w:r w:rsidRPr="00E01901">
        <w:rPr>
          <w:sz w:val="24"/>
          <w:szCs w:val="24"/>
        </w:rPr>
        <w:t xml:space="preserve"> zelene i digitalne tranzicije. Iako Hrvatska bilježi </w:t>
      </w:r>
      <w:r>
        <w:rPr>
          <w:sz w:val="24"/>
          <w:szCs w:val="24"/>
        </w:rPr>
        <w:t>dobre</w:t>
      </w:r>
      <w:r w:rsidRPr="00E01901">
        <w:rPr>
          <w:sz w:val="24"/>
          <w:szCs w:val="24"/>
        </w:rPr>
        <w:t xml:space="preserve"> rezultate u područjima poput smanjenja siromaštva (COR 1) i dostupnosti čiste energije (COR 7), </w:t>
      </w:r>
      <w:r>
        <w:rPr>
          <w:sz w:val="24"/>
          <w:szCs w:val="24"/>
        </w:rPr>
        <w:t xml:space="preserve">podaci za </w:t>
      </w:r>
      <w:r w:rsidRPr="00E01901">
        <w:rPr>
          <w:sz w:val="24"/>
          <w:szCs w:val="24"/>
        </w:rPr>
        <w:t>izvještajno razdoblje ukazuj</w:t>
      </w:r>
      <w:r>
        <w:rPr>
          <w:sz w:val="24"/>
          <w:szCs w:val="24"/>
        </w:rPr>
        <w:t>u</w:t>
      </w:r>
      <w:r w:rsidRPr="00E01901">
        <w:rPr>
          <w:sz w:val="24"/>
          <w:szCs w:val="24"/>
        </w:rPr>
        <w:t xml:space="preserve"> na potrebu za daljnjim naporima u područjima odgovorne potrošnje i proizvodnje (COR 12) te jačanju klimatskih akcija (COR 13), što se rješava kroz provedbu usvojenih nacionalnih planova i </w:t>
      </w:r>
      <w:r>
        <w:rPr>
          <w:sz w:val="24"/>
          <w:szCs w:val="24"/>
        </w:rPr>
        <w:t xml:space="preserve">pravnog </w:t>
      </w:r>
      <w:r w:rsidRPr="00E01901">
        <w:rPr>
          <w:sz w:val="24"/>
          <w:szCs w:val="24"/>
        </w:rPr>
        <w:t xml:space="preserve">okvira </w:t>
      </w:r>
      <w:r>
        <w:rPr>
          <w:sz w:val="24"/>
          <w:szCs w:val="24"/>
        </w:rPr>
        <w:t>ažurira</w:t>
      </w:r>
      <w:r w:rsidRPr="00E01901">
        <w:rPr>
          <w:sz w:val="24"/>
          <w:szCs w:val="24"/>
        </w:rPr>
        <w:t>n</w:t>
      </w:r>
      <w:r>
        <w:rPr>
          <w:sz w:val="24"/>
          <w:szCs w:val="24"/>
        </w:rPr>
        <w:t>og</w:t>
      </w:r>
      <w:r w:rsidRPr="00E01901">
        <w:rPr>
          <w:sz w:val="24"/>
          <w:szCs w:val="24"/>
        </w:rPr>
        <w:t xml:space="preserve"> tijekom 2024. godine. Nastavak provedbe akata strateškog planiranja povezanih sa strateškim ciljem „Zdrav, aktivan i kvalitetan život“ te </w:t>
      </w:r>
      <w:r w:rsidRPr="15E91591">
        <w:rPr>
          <w:sz w:val="24"/>
          <w:szCs w:val="24"/>
        </w:rPr>
        <w:t>nastavak ulaganja</w:t>
      </w:r>
      <w:r w:rsidRPr="00E01901">
        <w:rPr>
          <w:sz w:val="24"/>
          <w:szCs w:val="24"/>
        </w:rPr>
        <w:t xml:space="preserve"> u </w:t>
      </w:r>
      <w:proofErr w:type="spellStart"/>
      <w:r w:rsidRPr="00E01901">
        <w:rPr>
          <w:sz w:val="24"/>
          <w:szCs w:val="24"/>
        </w:rPr>
        <w:t>dekarbonizaciju</w:t>
      </w:r>
      <w:proofErr w:type="spellEnd"/>
      <w:r w:rsidRPr="00E01901">
        <w:rPr>
          <w:sz w:val="24"/>
          <w:szCs w:val="24"/>
        </w:rPr>
        <w:t xml:space="preserve"> gospodarstva</w:t>
      </w:r>
      <w:r>
        <w:rPr>
          <w:sz w:val="24"/>
          <w:szCs w:val="24"/>
        </w:rPr>
        <w:t>, zgradarstva i prometa</w:t>
      </w:r>
      <w:r w:rsidRPr="5D216BFD">
        <w:rPr>
          <w:sz w:val="24"/>
          <w:szCs w:val="24"/>
        </w:rPr>
        <w:t>,</w:t>
      </w:r>
      <w:r w:rsidRPr="00E01901">
        <w:rPr>
          <w:sz w:val="24"/>
          <w:szCs w:val="24"/>
        </w:rPr>
        <w:t xml:space="preserve"> ostaju ključni prioriteti kojima Hrvatska izravno doprinosi ostvarenju Programa UN-a za održiv razvoj 2030.</w:t>
      </w:r>
    </w:p>
    <w:p w14:paraId="4B876139" w14:textId="77777777" w:rsidR="00FB178A" w:rsidRPr="00222278" w:rsidRDefault="00FB178A" w:rsidP="00222278"/>
    <w:sectPr w:rsidR="00FB178A" w:rsidRPr="00222278" w:rsidSect="00FB178A">
      <w:pgSz w:w="11910" w:h="16840"/>
      <w:pgMar w:top="1418" w:right="1134" w:bottom="1418" w:left="1418" w:header="0" w:footer="76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50AD5E" w14:textId="77777777" w:rsidR="00214243" w:rsidRPr="00C10E64" w:rsidRDefault="00214243">
      <w:r w:rsidRPr="00C10E64">
        <w:separator/>
      </w:r>
    </w:p>
  </w:endnote>
  <w:endnote w:type="continuationSeparator" w:id="0">
    <w:p w14:paraId="60EC2FA0" w14:textId="77777777" w:rsidR="00214243" w:rsidRPr="00C10E64" w:rsidRDefault="00214243">
      <w:r w:rsidRPr="00C10E64">
        <w:continuationSeparator/>
      </w:r>
    </w:p>
  </w:endnote>
  <w:endnote w:type="continuationNotice" w:id="1">
    <w:p w14:paraId="7C5DF17B" w14:textId="77777777" w:rsidR="00214243" w:rsidRPr="00C10E64" w:rsidRDefault="002142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GlyphLessFont">
    <w:altName w:val="Calibri"/>
    <w:panose1 w:val="00000000000000000000"/>
    <w:charset w:val="EE"/>
    <w:family w:val="auto"/>
    <w:notTrueType/>
    <w:pitch w:val="default"/>
    <w:sig w:usb0="00000005" w:usb1="00000000" w:usb2="00000000" w:usb3="00000000" w:csb0="00000002"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0892226"/>
      <w:docPartObj>
        <w:docPartGallery w:val="Page Numbers (Bottom of Page)"/>
        <w:docPartUnique/>
      </w:docPartObj>
    </w:sdtPr>
    <w:sdtContent>
      <w:p w14:paraId="3F571C84" w14:textId="7950D380" w:rsidR="00FB178A" w:rsidRPr="00C10E64" w:rsidRDefault="00FB178A">
        <w:pPr>
          <w:pStyle w:val="Footer"/>
          <w:jc w:val="right"/>
        </w:pPr>
        <w:r w:rsidRPr="00C10E64">
          <w:fldChar w:fldCharType="begin"/>
        </w:r>
        <w:r w:rsidRPr="00C10E64">
          <w:instrText>PAGE   \* MERGEFORMAT</w:instrText>
        </w:r>
        <w:r w:rsidRPr="00C10E64">
          <w:fldChar w:fldCharType="separate"/>
        </w:r>
        <w:r>
          <w:rPr>
            <w:noProof/>
          </w:rPr>
          <w:t>130</w:t>
        </w:r>
        <w:r w:rsidRPr="00C10E64">
          <w:fldChar w:fldCharType="end"/>
        </w:r>
      </w:p>
    </w:sdtContent>
  </w:sdt>
  <w:p w14:paraId="0BEDBEA9" w14:textId="77777777" w:rsidR="00FB178A" w:rsidRPr="00C10E64" w:rsidRDefault="00FB178A">
    <w:pPr>
      <w:pStyle w:val="Footer"/>
    </w:pPr>
  </w:p>
  <w:p w14:paraId="3AB8108B" w14:textId="77777777" w:rsidR="00FB178A" w:rsidRPr="00C10E64" w:rsidRDefault="00FB178A"/>
  <w:p w14:paraId="425F7259" w14:textId="77777777" w:rsidR="00FB178A" w:rsidRPr="00C10E64" w:rsidRDefault="00FB178A"/>
  <w:p w14:paraId="62B28F9B" w14:textId="77777777" w:rsidR="00FB178A" w:rsidRPr="00C10E64" w:rsidRDefault="00FB178A"/>
  <w:p w14:paraId="773C0DE3" w14:textId="77777777" w:rsidR="00FB178A" w:rsidRPr="00C10E64" w:rsidRDefault="00FB178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871DF" w14:textId="77777777" w:rsidR="00FB178A" w:rsidRPr="00C10E64" w:rsidRDefault="00FB178A" w:rsidP="00824C19">
    <w:pPr>
      <w:pStyle w:val="Footer"/>
      <w:tabs>
        <w:tab w:val="clear" w:pos="4536"/>
        <w:tab w:val="clear" w:pos="9072"/>
        <w:tab w:val="left" w:pos="5274"/>
      </w:tabs>
    </w:pPr>
    <w:r w:rsidRPr="00C10E64">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275758" w14:textId="77777777" w:rsidR="00214243" w:rsidRPr="00C10E64" w:rsidRDefault="00214243">
      <w:r w:rsidRPr="00C10E64">
        <w:separator/>
      </w:r>
    </w:p>
  </w:footnote>
  <w:footnote w:type="continuationSeparator" w:id="0">
    <w:p w14:paraId="7F689B9B" w14:textId="77777777" w:rsidR="00214243" w:rsidRPr="00C10E64" w:rsidRDefault="00214243">
      <w:r w:rsidRPr="00C10E64">
        <w:continuationSeparator/>
      </w:r>
    </w:p>
  </w:footnote>
  <w:footnote w:type="continuationNotice" w:id="1">
    <w:p w14:paraId="424223A5" w14:textId="77777777" w:rsidR="00214243" w:rsidRPr="00C10E64" w:rsidRDefault="00214243"/>
  </w:footnote>
  <w:footnote w:id="2">
    <w:p w14:paraId="582FF8F2" w14:textId="77777777" w:rsidR="00FB178A" w:rsidRPr="004A6B57" w:rsidRDefault="00FB178A" w:rsidP="00FB178A">
      <w:pPr>
        <w:pStyle w:val="FootnoteText"/>
        <w:jc w:val="both"/>
        <w:rPr>
          <w:rFonts w:ascii="Times New Roman" w:hAnsi="Times New Roman"/>
        </w:rPr>
      </w:pPr>
      <w:r>
        <w:rPr>
          <w:rStyle w:val="FootnoteReference"/>
        </w:rPr>
        <w:footnoteRef/>
      </w:r>
      <w:r w:rsidRPr="004A6B57">
        <w:rPr>
          <w:rFonts w:ascii="Times New Roman" w:hAnsi="Times New Roman"/>
        </w:rPr>
        <w:t>Iako je u Godišnjem izvješću o napretku u provedbi Nacionalne razvojne strategije Republike Hrvatske do 2030. godine za 2023. godinu navedeno da je, prema preliminarnim podacima, vrijednost BDP-a po stanovniku prema paritetu kupovne moći iznosila 76% prosjeka EU-a, revidirani podaci pokazuju da je stvarna vrijednost u 2023. godini dosegla 78% prosjeka EU-a.</w:t>
      </w:r>
    </w:p>
  </w:footnote>
  <w:footnote w:id="3">
    <w:p w14:paraId="436E4E2E" w14:textId="77777777" w:rsidR="00FB178A" w:rsidRPr="00B01E2C" w:rsidRDefault="00FB178A" w:rsidP="00FB178A">
      <w:pPr>
        <w:pStyle w:val="FootnoteText"/>
        <w:jc w:val="both"/>
        <w:rPr>
          <w:rFonts w:ascii="Times New Roman" w:hAnsi="Times New Roman"/>
        </w:rPr>
      </w:pPr>
      <w:r w:rsidRPr="00C10E64">
        <w:rPr>
          <w:rStyle w:val="FootnoteReference"/>
        </w:rPr>
        <w:footnoteRef/>
      </w:r>
      <w:r w:rsidRPr="00C10E64">
        <w:t xml:space="preserve"> </w:t>
      </w:r>
      <w:proofErr w:type="spellStart"/>
      <w:r w:rsidRPr="00B01E2C">
        <w:rPr>
          <w:rFonts w:ascii="Times New Roman" w:hAnsi="Times New Roman"/>
        </w:rPr>
        <w:t>CoE</w:t>
      </w:r>
      <w:proofErr w:type="spellEnd"/>
      <w:r w:rsidRPr="00B01E2C">
        <w:rPr>
          <w:rFonts w:ascii="Times New Roman" w:hAnsi="Times New Roman"/>
        </w:rPr>
        <w:t xml:space="preserve"> MARBLE - kratica za Centre </w:t>
      </w:r>
      <w:proofErr w:type="spellStart"/>
      <w:r w:rsidRPr="00B01E2C">
        <w:rPr>
          <w:rFonts w:ascii="Times New Roman" w:hAnsi="Times New Roman"/>
        </w:rPr>
        <w:t>of</w:t>
      </w:r>
      <w:proofErr w:type="spellEnd"/>
      <w:r w:rsidRPr="00B01E2C">
        <w:rPr>
          <w:rFonts w:ascii="Times New Roman" w:hAnsi="Times New Roman"/>
        </w:rPr>
        <w:t xml:space="preserve"> </w:t>
      </w:r>
      <w:proofErr w:type="spellStart"/>
      <w:r w:rsidRPr="00B01E2C">
        <w:rPr>
          <w:rFonts w:ascii="Times New Roman" w:hAnsi="Times New Roman"/>
        </w:rPr>
        <w:t>Excellence</w:t>
      </w:r>
      <w:proofErr w:type="spellEnd"/>
      <w:r w:rsidRPr="00B01E2C">
        <w:rPr>
          <w:rFonts w:ascii="Times New Roman" w:hAnsi="Times New Roman"/>
        </w:rPr>
        <w:t xml:space="preserve"> </w:t>
      </w:r>
      <w:proofErr w:type="spellStart"/>
      <w:r w:rsidRPr="00B01E2C">
        <w:rPr>
          <w:rFonts w:ascii="Times New Roman" w:hAnsi="Times New Roman"/>
        </w:rPr>
        <w:t>in</w:t>
      </w:r>
      <w:proofErr w:type="spellEnd"/>
      <w:r w:rsidRPr="00B01E2C">
        <w:rPr>
          <w:rFonts w:ascii="Times New Roman" w:hAnsi="Times New Roman"/>
        </w:rPr>
        <w:t xml:space="preserve"> </w:t>
      </w:r>
      <w:proofErr w:type="spellStart"/>
      <w:r w:rsidRPr="00B01E2C">
        <w:rPr>
          <w:rFonts w:ascii="Times New Roman" w:hAnsi="Times New Roman"/>
        </w:rPr>
        <w:t>Maritime</w:t>
      </w:r>
      <w:proofErr w:type="spellEnd"/>
      <w:r w:rsidRPr="00B01E2C">
        <w:rPr>
          <w:rFonts w:ascii="Times New Roman" w:hAnsi="Times New Roman"/>
        </w:rPr>
        <w:t xml:space="preserve"> </w:t>
      </w:r>
      <w:proofErr w:type="spellStart"/>
      <w:r w:rsidRPr="00B01E2C">
        <w:rPr>
          <w:rFonts w:ascii="Times New Roman" w:hAnsi="Times New Roman"/>
        </w:rPr>
        <w:t>Robotics</w:t>
      </w:r>
      <w:proofErr w:type="spellEnd"/>
      <w:r w:rsidRPr="00B01E2C">
        <w:rPr>
          <w:rFonts w:ascii="Times New Roman" w:hAnsi="Times New Roman"/>
        </w:rPr>
        <w:t xml:space="preserve"> </w:t>
      </w:r>
      <w:proofErr w:type="spellStart"/>
      <w:r w:rsidRPr="00B01E2C">
        <w:rPr>
          <w:rFonts w:ascii="Times New Roman" w:hAnsi="Times New Roman"/>
        </w:rPr>
        <w:t>and</w:t>
      </w:r>
      <w:proofErr w:type="spellEnd"/>
      <w:r w:rsidRPr="00B01E2C">
        <w:rPr>
          <w:rFonts w:ascii="Times New Roman" w:hAnsi="Times New Roman"/>
        </w:rPr>
        <w:t xml:space="preserve"> Technologies for </w:t>
      </w:r>
      <w:proofErr w:type="spellStart"/>
      <w:r w:rsidRPr="00B01E2C">
        <w:rPr>
          <w:rFonts w:ascii="Times New Roman" w:hAnsi="Times New Roman"/>
        </w:rPr>
        <w:t>Sustainable</w:t>
      </w:r>
      <w:proofErr w:type="spellEnd"/>
      <w:r w:rsidRPr="00B01E2C">
        <w:rPr>
          <w:rFonts w:ascii="Times New Roman" w:hAnsi="Times New Roman"/>
        </w:rPr>
        <w:t xml:space="preserve"> Blue </w:t>
      </w:r>
      <w:proofErr w:type="spellStart"/>
      <w:r w:rsidRPr="00B01E2C">
        <w:rPr>
          <w:rFonts w:ascii="Times New Roman" w:hAnsi="Times New Roman"/>
        </w:rPr>
        <w:t>Economy</w:t>
      </w:r>
      <w:proofErr w:type="spellEnd"/>
    </w:p>
  </w:footnote>
  <w:footnote w:id="4">
    <w:p w14:paraId="79BA149F" w14:textId="77777777" w:rsidR="00FB178A" w:rsidRPr="003E5135" w:rsidRDefault="00FB178A" w:rsidP="00FB178A">
      <w:pPr>
        <w:pStyle w:val="FootnoteText"/>
        <w:jc w:val="both"/>
        <w:rPr>
          <w:rFonts w:ascii="Times New Roman" w:hAnsi="Times New Roman"/>
        </w:rPr>
      </w:pPr>
      <w:r w:rsidRPr="003E5135">
        <w:rPr>
          <w:rStyle w:val="FootnoteReference"/>
          <w:rFonts w:ascii="Times New Roman" w:hAnsi="Times New Roman"/>
        </w:rPr>
        <w:footnoteRef/>
      </w:r>
      <w:r w:rsidRPr="003E5135">
        <w:rPr>
          <w:rFonts w:ascii="Times New Roman" w:hAnsi="Times New Roman"/>
        </w:rPr>
        <w:t xml:space="preserve"> </w:t>
      </w:r>
      <w:r w:rsidRPr="003E5135">
        <w:rPr>
          <w:rFonts w:ascii="Times New Roman" w:hAnsi="Times New Roman"/>
        </w:rPr>
        <w:t xml:space="preserve">Sustav kojim se prati promet putnika ostvaren u charter djelatnosti u Republici Hrvatskoj </w:t>
      </w:r>
    </w:p>
  </w:footnote>
  <w:footnote w:id="5">
    <w:p w14:paraId="72B616C3" w14:textId="77777777" w:rsidR="00FB178A" w:rsidRPr="00C10E64" w:rsidRDefault="00FB178A" w:rsidP="00FB178A">
      <w:pPr>
        <w:pStyle w:val="FootnoteText"/>
        <w:jc w:val="both"/>
      </w:pPr>
      <w:r w:rsidRPr="00C10E64">
        <w:rPr>
          <w:rStyle w:val="FootnoteReference"/>
        </w:rPr>
        <w:footnoteRef/>
      </w:r>
      <w:r w:rsidRPr="00C10E64">
        <w:t xml:space="preserve"> </w:t>
      </w:r>
      <w:hyperlink r:id="rId1" w:history="1">
        <w:r w:rsidRPr="00336A59">
          <w:rPr>
            <w:rStyle w:val="Hyperlink"/>
            <w:rFonts w:ascii="Times New Roman" w:hAnsi="Times New Roman"/>
          </w:rPr>
          <w:t>https://www.tocnotako.hr/</w:t>
        </w:r>
      </w:hyperlink>
      <w:r>
        <w:rPr>
          <w:rFonts w:ascii="Times New Roman" w:hAnsi="Times New Roman"/>
        </w:rPr>
        <w:t xml:space="preserve"> </w:t>
      </w:r>
    </w:p>
  </w:footnote>
  <w:footnote w:id="6">
    <w:p w14:paraId="4E94328C" w14:textId="77777777" w:rsidR="00FB178A" w:rsidRPr="005D4070" w:rsidRDefault="00FB178A" w:rsidP="00FB178A">
      <w:pPr>
        <w:pStyle w:val="FootnoteText"/>
        <w:rPr>
          <w:rFonts w:ascii="Times New Roman" w:hAnsi="Times New Roman"/>
        </w:rPr>
      </w:pPr>
      <w:r w:rsidRPr="00C10E64">
        <w:rPr>
          <w:rStyle w:val="FootnoteReference"/>
        </w:rPr>
        <w:footnoteRef/>
      </w:r>
      <w:r w:rsidRPr="00C10E64">
        <w:t xml:space="preserve"> </w:t>
      </w:r>
      <w:hyperlink r:id="rId2" w:history="1">
        <w:r w:rsidRPr="005D4070">
          <w:rPr>
            <w:rStyle w:val="Hyperlink"/>
            <w:rFonts w:ascii="Times New Roman" w:hAnsi="Times New Roman"/>
          </w:rPr>
          <w:t>https://emediji.aem.hr/</w:t>
        </w:r>
      </w:hyperlink>
      <w:r w:rsidRPr="005D4070">
        <w:rPr>
          <w:rFonts w:ascii="Times New Roman" w:hAnsi="Times New Roman"/>
        </w:rPr>
        <w:t xml:space="preserve"> </w:t>
      </w:r>
    </w:p>
  </w:footnote>
  <w:footnote w:id="7">
    <w:p w14:paraId="2663FA81" w14:textId="77777777" w:rsidR="00FB178A" w:rsidRPr="005D4070" w:rsidRDefault="00FB178A" w:rsidP="00FB178A">
      <w:pPr>
        <w:pStyle w:val="FootnoteText"/>
        <w:rPr>
          <w:rFonts w:ascii="Times New Roman" w:hAnsi="Times New Roman"/>
        </w:rPr>
      </w:pPr>
      <w:r w:rsidRPr="005D4070">
        <w:rPr>
          <w:rStyle w:val="FootnoteReference"/>
          <w:rFonts w:ascii="Times New Roman" w:hAnsi="Times New Roman"/>
        </w:rPr>
        <w:footnoteRef/>
      </w:r>
      <w:r w:rsidRPr="005D4070">
        <w:rPr>
          <w:rFonts w:ascii="Times New Roman" w:hAnsi="Times New Roman"/>
        </w:rPr>
        <w:t xml:space="preserve"> </w:t>
      </w:r>
      <w:hyperlink r:id="rId3" w:history="1">
        <w:r w:rsidRPr="005D4070">
          <w:rPr>
            <w:rStyle w:val="Hyperlink"/>
            <w:rFonts w:ascii="Times New Roman" w:hAnsi="Times New Roman"/>
          </w:rPr>
          <w:t>https://gov.hr/hr/e-konzervatorska-lokacijska-informacija-2507/2507</w:t>
        </w:r>
      </w:hyperlink>
    </w:p>
  </w:footnote>
  <w:footnote w:id="8">
    <w:p w14:paraId="648DF1F1" w14:textId="77777777" w:rsidR="00FB178A" w:rsidRPr="00C10E64" w:rsidRDefault="00FB178A" w:rsidP="00FB178A">
      <w:pPr>
        <w:pStyle w:val="FootnoteText"/>
      </w:pPr>
      <w:r w:rsidRPr="005D4070">
        <w:rPr>
          <w:rStyle w:val="FootnoteReference"/>
          <w:rFonts w:ascii="Times New Roman" w:hAnsi="Times New Roman"/>
        </w:rPr>
        <w:footnoteRef/>
      </w:r>
      <w:r w:rsidRPr="005D4070">
        <w:rPr>
          <w:rFonts w:ascii="Times New Roman" w:hAnsi="Times New Roman"/>
        </w:rPr>
        <w:t xml:space="preserve"> </w:t>
      </w:r>
      <w:hyperlink r:id="rId4" w:history="1">
        <w:r w:rsidRPr="005D4070">
          <w:rPr>
            <w:rStyle w:val="Hyperlink"/>
            <w:rFonts w:ascii="Times New Roman" w:hAnsi="Times New Roman"/>
          </w:rPr>
          <w:t>https://ekultura.hr/</w:t>
        </w:r>
      </w:hyperlink>
    </w:p>
  </w:footnote>
  <w:footnote w:id="9">
    <w:p w14:paraId="3487848A" w14:textId="77777777" w:rsidR="00FB178A" w:rsidRPr="00C10E64" w:rsidRDefault="00FB178A" w:rsidP="00FB178A">
      <w:pPr>
        <w:spacing w:line="276" w:lineRule="auto"/>
        <w:jc w:val="both"/>
        <w:rPr>
          <w:sz w:val="16"/>
          <w:szCs w:val="16"/>
        </w:rPr>
      </w:pPr>
      <w:r w:rsidRPr="00C10E64">
        <w:rPr>
          <w:rStyle w:val="FootnoteReference"/>
        </w:rPr>
        <w:footnoteRef/>
      </w:r>
      <w:r w:rsidRPr="00C10E64">
        <w:t xml:space="preserve"> </w:t>
      </w:r>
      <w:r w:rsidRPr="00C10E64">
        <w:rPr>
          <w:bCs/>
          <w:sz w:val="16"/>
          <w:szCs w:val="16"/>
        </w:rPr>
        <w:t xml:space="preserve">U skladu s </w:t>
      </w:r>
      <w:hyperlink r:id="rId5" w:history="1">
        <w:r w:rsidRPr="00C10E64">
          <w:rPr>
            <w:rStyle w:val="Hyperlink"/>
            <w:bCs/>
            <w:sz w:val="16"/>
            <w:szCs w:val="16"/>
          </w:rPr>
          <w:t>Rezolucijom</w:t>
        </w:r>
      </w:hyperlink>
      <w:r w:rsidRPr="00C10E64">
        <w:rPr>
          <w:bCs/>
          <w:sz w:val="16"/>
          <w:szCs w:val="16"/>
        </w:rPr>
        <w:t xml:space="preserve"> Vijeća o strateškom okviru za europsku suradnju u području obrazovanja i osposobljavanja u smjeru europskog prostora obrazovanja i šire (2021.-2030.) (SL C 66, 26.2.2021., str. 1.-21.), </w:t>
      </w:r>
      <w:hyperlink r:id="rId6" w:history="1">
        <w:r w:rsidRPr="00C10E64">
          <w:rPr>
            <w:rStyle w:val="Hyperlink"/>
            <w:bCs/>
            <w:sz w:val="16"/>
            <w:szCs w:val="16"/>
          </w:rPr>
          <w:t>Preporukom</w:t>
        </w:r>
      </w:hyperlink>
      <w:r w:rsidRPr="00C10E64">
        <w:rPr>
          <w:bCs/>
          <w:sz w:val="16"/>
          <w:szCs w:val="16"/>
        </w:rPr>
        <w:t xml:space="preserve"> Vijeća o ranom i predškolskom odgoju i obrazovanju: ciljevi iz Barcelone za 2030. (2022/C 484/01) i ciljevima </w:t>
      </w:r>
      <w:hyperlink r:id="rId7" w:history="1">
        <w:r w:rsidRPr="00C10E64">
          <w:rPr>
            <w:rStyle w:val="Hyperlink"/>
            <w:bCs/>
            <w:sz w:val="16"/>
            <w:szCs w:val="16"/>
          </w:rPr>
          <w:t xml:space="preserve">Strateškog okvira </w:t>
        </w:r>
      </w:hyperlink>
      <w:r w:rsidRPr="00C10E64">
        <w:rPr>
          <w:bCs/>
          <w:sz w:val="16"/>
          <w:szCs w:val="16"/>
        </w:rPr>
        <w:t xml:space="preserve">za europsku suradnju u području obrazovanja i osposobljavanja u smjeru europskog prostora obrazovanja i šire (LEGISSUM : 4617909, </w:t>
      </w:r>
      <w:proofErr w:type="spellStart"/>
      <w:r w:rsidRPr="00C10E64">
        <w:rPr>
          <w:bCs/>
          <w:sz w:val="16"/>
          <w:szCs w:val="16"/>
        </w:rPr>
        <w:t>Released</w:t>
      </w:r>
      <w:proofErr w:type="spellEnd"/>
      <w:r w:rsidRPr="00C10E64">
        <w:rPr>
          <w:bCs/>
          <w:sz w:val="16"/>
          <w:szCs w:val="16"/>
        </w:rPr>
        <w:t xml:space="preserve"> on EU </w:t>
      </w:r>
      <w:proofErr w:type="spellStart"/>
      <w:r w:rsidRPr="00C10E64">
        <w:rPr>
          <w:bCs/>
          <w:sz w:val="16"/>
          <w:szCs w:val="16"/>
        </w:rPr>
        <w:t>Publications</w:t>
      </w:r>
      <w:proofErr w:type="spellEnd"/>
      <w:r w:rsidRPr="00C10E64">
        <w:rPr>
          <w:bCs/>
          <w:sz w:val="16"/>
          <w:szCs w:val="16"/>
        </w:rPr>
        <w:t xml:space="preserve">: 2023-01-31), napredak u </w:t>
      </w:r>
    </w:p>
    <w:p w14:paraId="4DF481BE" w14:textId="77777777" w:rsidR="00FB178A" w:rsidRPr="00C10E64" w:rsidRDefault="00FB178A" w:rsidP="00FB178A">
      <w:pPr>
        <w:spacing w:line="276" w:lineRule="auto"/>
        <w:jc w:val="both"/>
        <w:rPr>
          <w:sz w:val="16"/>
          <w:szCs w:val="16"/>
        </w:rPr>
      </w:pPr>
      <w:r w:rsidRPr="00C10E64">
        <w:rPr>
          <w:bCs/>
          <w:sz w:val="16"/>
          <w:szCs w:val="16"/>
        </w:rPr>
        <w:t xml:space="preserve">ostvarenju cilja „Do 2030. najmanje 96% djece u dobi od tri godine do uključivanja u obvezno osnovnoškolsko obrazovanje trebalo bi sudjelovati u ranom predškolskom odgoju i obrazovanju“ prati se podatcima koji se odnose na obuhvat djece od 3 godine do početka obveznog obrazovanja. </w:t>
      </w:r>
      <w:r w:rsidRPr="00C10E64">
        <w:rPr>
          <w:sz w:val="16"/>
          <w:szCs w:val="16"/>
        </w:rPr>
        <w:t xml:space="preserve">Za potrebe praćenja napretka u uspješnosti provedbe navedena je početna vrijednost pokazatelja </w:t>
      </w:r>
      <w:proofErr w:type="spellStart"/>
      <w:r w:rsidRPr="00C10E64">
        <w:rPr>
          <w:sz w:val="16"/>
          <w:szCs w:val="16"/>
        </w:rPr>
        <w:t>Eurostat-a</w:t>
      </w:r>
      <w:proofErr w:type="spellEnd"/>
      <w:r w:rsidRPr="00C10E64">
        <w:rPr>
          <w:sz w:val="16"/>
          <w:szCs w:val="16"/>
        </w:rPr>
        <w:t xml:space="preserve"> </w:t>
      </w:r>
      <w:hyperlink r:id="rId8" w:history="1">
        <w:r w:rsidRPr="00C10E64">
          <w:rPr>
            <w:rStyle w:val="Hyperlink"/>
            <w:sz w:val="16"/>
            <w:szCs w:val="16"/>
          </w:rPr>
          <w:t>„</w:t>
        </w:r>
        <w:proofErr w:type="spellStart"/>
        <w:r w:rsidRPr="00C10E64">
          <w:rPr>
            <w:rStyle w:val="Hyperlink"/>
            <w:sz w:val="16"/>
            <w:szCs w:val="16"/>
          </w:rPr>
          <w:t>Pupils</w:t>
        </w:r>
        <w:proofErr w:type="spellEnd"/>
        <w:r w:rsidRPr="00C10E64">
          <w:rPr>
            <w:rStyle w:val="Hyperlink"/>
            <w:sz w:val="16"/>
            <w:szCs w:val="16"/>
          </w:rPr>
          <w:t xml:space="preserve"> </w:t>
        </w:r>
        <w:proofErr w:type="spellStart"/>
        <w:r w:rsidRPr="00C10E64">
          <w:rPr>
            <w:rStyle w:val="Hyperlink"/>
            <w:sz w:val="16"/>
            <w:szCs w:val="16"/>
          </w:rPr>
          <w:t>from</w:t>
        </w:r>
        <w:proofErr w:type="spellEnd"/>
        <w:r w:rsidRPr="00C10E64">
          <w:rPr>
            <w:rStyle w:val="Hyperlink"/>
            <w:sz w:val="16"/>
            <w:szCs w:val="16"/>
          </w:rPr>
          <w:t xml:space="preserve"> age 3 to </w:t>
        </w:r>
        <w:proofErr w:type="spellStart"/>
        <w:r w:rsidRPr="00C10E64">
          <w:rPr>
            <w:rStyle w:val="Hyperlink"/>
            <w:sz w:val="16"/>
            <w:szCs w:val="16"/>
          </w:rPr>
          <w:t>the</w:t>
        </w:r>
        <w:proofErr w:type="spellEnd"/>
        <w:r w:rsidRPr="00C10E64">
          <w:rPr>
            <w:rStyle w:val="Hyperlink"/>
            <w:sz w:val="16"/>
            <w:szCs w:val="16"/>
          </w:rPr>
          <w:t xml:space="preserve"> </w:t>
        </w:r>
        <w:proofErr w:type="spellStart"/>
        <w:r w:rsidRPr="00C10E64">
          <w:rPr>
            <w:rStyle w:val="Hyperlink"/>
            <w:sz w:val="16"/>
            <w:szCs w:val="16"/>
          </w:rPr>
          <w:t>starting</w:t>
        </w:r>
        <w:proofErr w:type="spellEnd"/>
        <w:r w:rsidRPr="00C10E64">
          <w:rPr>
            <w:rStyle w:val="Hyperlink"/>
            <w:sz w:val="16"/>
            <w:szCs w:val="16"/>
          </w:rPr>
          <w:t xml:space="preserve"> age </w:t>
        </w:r>
        <w:proofErr w:type="spellStart"/>
        <w:r w:rsidRPr="00C10E64">
          <w:rPr>
            <w:rStyle w:val="Hyperlink"/>
            <w:sz w:val="16"/>
            <w:szCs w:val="16"/>
          </w:rPr>
          <w:t>of</w:t>
        </w:r>
        <w:proofErr w:type="spellEnd"/>
        <w:r w:rsidRPr="00C10E64">
          <w:rPr>
            <w:rStyle w:val="Hyperlink"/>
            <w:sz w:val="16"/>
            <w:szCs w:val="16"/>
          </w:rPr>
          <w:t xml:space="preserve"> </w:t>
        </w:r>
        <w:proofErr w:type="spellStart"/>
        <w:r w:rsidRPr="00C10E64">
          <w:rPr>
            <w:rStyle w:val="Hyperlink"/>
            <w:sz w:val="16"/>
            <w:szCs w:val="16"/>
          </w:rPr>
          <w:t>compulsory</w:t>
        </w:r>
        <w:proofErr w:type="spellEnd"/>
        <w:r w:rsidRPr="00C10E64">
          <w:rPr>
            <w:rStyle w:val="Hyperlink"/>
            <w:sz w:val="16"/>
            <w:szCs w:val="16"/>
          </w:rPr>
          <w:t xml:space="preserve"> </w:t>
        </w:r>
        <w:proofErr w:type="spellStart"/>
        <w:r w:rsidRPr="00C10E64">
          <w:rPr>
            <w:rStyle w:val="Hyperlink"/>
            <w:sz w:val="16"/>
            <w:szCs w:val="16"/>
          </w:rPr>
          <w:t>education</w:t>
        </w:r>
        <w:proofErr w:type="spellEnd"/>
        <w:r w:rsidRPr="00C10E64">
          <w:rPr>
            <w:rStyle w:val="Hyperlink"/>
            <w:sz w:val="16"/>
            <w:szCs w:val="16"/>
          </w:rPr>
          <w:t xml:space="preserve"> at </w:t>
        </w:r>
        <w:proofErr w:type="spellStart"/>
        <w:r w:rsidRPr="00C10E64">
          <w:rPr>
            <w:rStyle w:val="Hyperlink"/>
            <w:sz w:val="16"/>
            <w:szCs w:val="16"/>
          </w:rPr>
          <w:t>primary</w:t>
        </w:r>
        <w:proofErr w:type="spellEnd"/>
        <w:r w:rsidRPr="00C10E64">
          <w:rPr>
            <w:rStyle w:val="Hyperlink"/>
            <w:sz w:val="16"/>
            <w:szCs w:val="16"/>
          </w:rPr>
          <w:t xml:space="preserve"> </w:t>
        </w:r>
        <w:proofErr w:type="spellStart"/>
        <w:r w:rsidRPr="00C10E64">
          <w:rPr>
            <w:rStyle w:val="Hyperlink"/>
            <w:sz w:val="16"/>
            <w:szCs w:val="16"/>
          </w:rPr>
          <w:t>level</w:t>
        </w:r>
        <w:proofErr w:type="spellEnd"/>
        <w:r w:rsidRPr="00C10E64">
          <w:rPr>
            <w:rStyle w:val="Hyperlink"/>
            <w:sz w:val="16"/>
            <w:szCs w:val="16"/>
          </w:rPr>
          <w:t xml:space="preserve"> </w:t>
        </w:r>
        <w:proofErr w:type="spellStart"/>
        <w:r w:rsidRPr="00C10E64">
          <w:rPr>
            <w:rStyle w:val="Hyperlink"/>
            <w:sz w:val="16"/>
            <w:szCs w:val="16"/>
          </w:rPr>
          <w:t>by</w:t>
        </w:r>
        <w:proofErr w:type="spellEnd"/>
        <w:r w:rsidRPr="00C10E64">
          <w:rPr>
            <w:rStyle w:val="Hyperlink"/>
            <w:sz w:val="16"/>
            <w:szCs w:val="16"/>
          </w:rPr>
          <w:t xml:space="preserve"> sex - % </w:t>
        </w:r>
        <w:proofErr w:type="spellStart"/>
        <w:r w:rsidRPr="00C10E64">
          <w:rPr>
            <w:rStyle w:val="Hyperlink"/>
            <w:sz w:val="16"/>
            <w:szCs w:val="16"/>
          </w:rPr>
          <w:t>of</w:t>
        </w:r>
        <w:proofErr w:type="spellEnd"/>
        <w:r w:rsidRPr="00C10E64">
          <w:rPr>
            <w:rStyle w:val="Hyperlink"/>
            <w:sz w:val="16"/>
            <w:szCs w:val="16"/>
          </w:rPr>
          <w:t xml:space="preserve"> </w:t>
        </w:r>
        <w:proofErr w:type="spellStart"/>
        <w:r w:rsidRPr="00C10E64">
          <w:rPr>
            <w:rStyle w:val="Hyperlink"/>
            <w:sz w:val="16"/>
            <w:szCs w:val="16"/>
          </w:rPr>
          <w:t>the</w:t>
        </w:r>
        <w:proofErr w:type="spellEnd"/>
        <w:r w:rsidRPr="00C10E64">
          <w:rPr>
            <w:rStyle w:val="Hyperlink"/>
            <w:sz w:val="16"/>
            <w:szCs w:val="16"/>
          </w:rPr>
          <w:t xml:space="preserve"> </w:t>
        </w:r>
        <w:proofErr w:type="spellStart"/>
        <w:r w:rsidRPr="00C10E64">
          <w:rPr>
            <w:rStyle w:val="Hyperlink"/>
            <w:sz w:val="16"/>
            <w:szCs w:val="16"/>
          </w:rPr>
          <w:t>population</w:t>
        </w:r>
        <w:proofErr w:type="spellEnd"/>
        <w:r w:rsidRPr="00C10E64">
          <w:rPr>
            <w:rStyle w:val="Hyperlink"/>
            <w:sz w:val="16"/>
            <w:szCs w:val="16"/>
          </w:rPr>
          <w:t xml:space="preserve"> </w:t>
        </w:r>
        <w:proofErr w:type="spellStart"/>
        <w:r w:rsidRPr="00C10E64">
          <w:rPr>
            <w:rStyle w:val="Hyperlink"/>
            <w:sz w:val="16"/>
            <w:szCs w:val="16"/>
          </w:rPr>
          <w:t>of</w:t>
        </w:r>
        <w:proofErr w:type="spellEnd"/>
        <w:r w:rsidRPr="00C10E64">
          <w:rPr>
            <w:rStyle w:val="Hyperlink"/>
            <w:sz w:val="16"/>
            <w:szCs w:val="16"/>
          </w:rPr>
          <w:t xml:space="preserve"> </w:t>
        </w:r>
        <w:proofErr w:type="spellStart"/>
        <w:r w:rsidRPr="00C10E64">
          <w:rPr>
            <w:rStyle w:val="Hyperlink"/>
            <w:sz w:val="16"/>
            <w:szCs w:val="16"/>
          </w:rPr>
          <w:t>the</w:t>
        </w:r>
        <w:proofErr w:type="spellEnd"/>
        <w:r w:rsidRPr="00C10E64">
          <w:rPr>
            <w:rStyle w:val="Hyperlink"/>
            <w:sz w:val="16"/>
            <w:szCs w:val="16"/>
          </w:rPr>
          <w:t xml:space="preserve"> </w:t>
        </w:r>
        <w:proofErr w:type="spellStart"/>
        <w:r w:rsidRPr="00C10E64">
          <w:rPr>
            <w:rStyle w:val="Hyperlink"/>
            <w:sz w:val="16"/>
            <w:szCs w:val="16"/>
          </w:rPr>
          <w:t>corresponding</w:t>
        </w:r>
        <w:proofErr w:type="spellEnd"/>
        <w:r w:rsidRPr="00C10E64">
          <w:rPr>
            <w:rStyle w:val="Hyperlink"/>
            <w:sz w:val="16"/>
            <w:szCs w:val="16"/>
          </w:rPr>
          <w:t xml:space="preserve"> age“</w:t>
        </w:r>
      </w:hyperlink>
      <w:r w:rsidRPr="00C10E64">
        <w:rPr>
          <w:sz w:val="16"/>
          <w:szCs w:val="16"/>
        </w:rPr>
        <w:t xml:space="preserve">. </w:t>
      </w:r>
    </w:p>
    <w:p w14:paraId="3822272C" w14:textId="77777777" w:rsidR="00FB178A" w:rsidRPr="00C10E64" w:rsidRDefault="00FB178A" w:rsidP="00FB178A">
      <w:pPr>
        <w:pStyle w:val="FootnoteText"/>
        <w:rPr>
          <w:rFonts w:ascii="Times New Roman" w:hAnsi="Times New Roman"/>
        </w:rPr>
      </w:pPr>
    </w:p>
  </w:footnote>
  <w:footnote w:id="10">
    <w:p w14:paraId="114591F6" w14:textId="77777777" w:rsidR="00FB178A" w:rsidRPr="005D40B2" w:rsidRDefault="00FB178A" w:rsidP="00FB178A">
      <w:pPr>
        <w:pStyle w:val="FootnoteText"/>
        <w:rPr>
          <w:rFonts w:ascii="Times New Roman" w:hAnsi="Times New Roman"/>
        </w:rPr>
      </w:pPr>
      <w:r w:rsidRPr="00C10E64">
        <w:rPr>
          <w:rStyle w:val="FootnoteReference"/>
        </w:rPr>
        <w:footnoteRef/>
      </w:r>
      <w:r w:rsidRPr="00C10E64">
        <w:t xml:space="preserve"> </w:t>
      </w:r>
      <w:hyperlink r:id="rId9" w:history="1">
        <w:r w:rsidRPr="005D40B2">
          <w:rPr>
            <w:rStyle w:val="Hyperlink"/>
            <w:rFonts w:ascii="Times New Roman" w:hAnsi="Times New Roman"/>
          </w:rPr>
          <w:t>https://visokoobrazovanje.hr/</w:t>
        </w:r>
      </w:hyperlink>
      <w:r w:rsidRPr="005D40B2">
        <w:rPr>
          <w:rFonts w:ascii="Times New Roman" w:hAnsi="Times New Roman"/>
        </w:rPr>
        <w:t xml:space="preserve"> </w:t>
      </w:r>
    </w:p>
  </w:footnote>
  <w:footnote w:id="11">
    <w:p w14:paraId="34FD4F14" w14:textId="77777777" w:rsidR="00FB178A" w:rsidRPr="00C10E64" w:rsidRDefault="00FB178A" w:rsidP="00FB178A">
      <w:pPr>
        <w:pStyle w:val="FootnoteText"/>
      </w:pPr>
      <w:r w:rsidRPr="00C10E64">
        <w:rPr>
          <w:rStyle w:val="FootnoteReference"/>
        </w:rPr>
        <w:footnoteRef/>
      </w:r>
      <w:r w:rsidRPr="00C10E64">
        <w:t xml:space="preserve"> </w:t>
      </w:r>
      <w:hyperlink r:id="rId10" w:history="1">
        <w:r w:rsidRPr="005B773E">
          <w:rPr>
            <w:rStyle w:val="Hyperlink"/>
            <w:rFonts w:ascii="Times New Roman" w:hAnsi="Times New Roman"/>
          </w:rPr>
          <w:t>https://www.certilia.com/</w:t>
        </w:r>
      </w:hyperlink>
      <w:r w:rsidRPr="005B773E">
        <w:rPr>
          <w:rFonts w:ascii="Times New Roman" w:hAnsi="Times New Roman"/>
        </w:rPr>
        <w:t xml:space="preserve"> </w:t>
      </w:r>
    </w:p>
  </w:footnote>
  <w:footnote w:id="12">
    <w:p w14:paraId="74CF7B65" w14:textId="77777777" w:rsidR="00FB178A" w:rsidRPr="00A111C7" w:rsidRDefault="00FB178A" w:rsidP="00FB178A">
      <w:pPr>
        <w:pStyle w:val="FootnoteText"/>
        <w:jc w:val="both"/>
        <w:rPr>
          <w:rFonts w:ascii="Times New Roman" w:hAnsi="Times New Roman"/>
        </w:rPr>
      </w:pPr>
      <w:r w:rsidRPr="00A111C7">
        <w:rPr>
          <w:rStyle w:val="FootnoteReference"/>
          <w:rFonts w:ascii="Times New Roman" w:hAnsi="Times New Roman"/>
        </w:rPr>
        <w:footnoteRef/>
      </w:r>
      <w:r w:rsidRPr="00A111C7">
        <w:rPr>
          <w:rFonts w:ascii="Times New Roman" w:hAnsi="Times New Roman"/>
        </w:rPr>
        <w:t xml:space="preserve"> </w:t>
      </w:r>
      <w:r w:rsidRPr="00A111C7">
        <w:rPr>
          <w:rFonts w:ascii="Times New Roman" w:hAnsi="Times New Roman"/>
        </w:rPr>
        <w:t xml:space="preserve">European Student </w:t>
      </w:r>
      <w:proofErr w:type="spellStart"/>
      <w:r w:rsidRPr="00A111C7">
        <w:rPr>
          <w:rFonts w:ascii="Times New Roman" w:hAnsi="Times New Roman"/>
        </w:rPr>
        <w:t>Card</w:t>
      </w:r>
      <w:proofErr w:type="spellEnd"/>
      <w:r w:rsidRPr="00A111C7">
        <w:rPr>
          <w:rFonts w:ascii="Times New Roman" w:hAnsi="Times New Roman"/>
        </w:rPr>
        <w:t xml:space="preserve"> </w:t>
      </w:r>
      <w:proofErr w:type="spellStart"/>
      <w:r w:rsidRPr="00A111C7">
        <w:rPr>
          <w:rFonts w:ascii="Times New Roman" w:hAnsi="Times New Roman"/>
        </w:rPr>
        <w:t>Router</w:t>
      </w:r>
      <w:proofErr w:type="spellEnd"/>
      <w:r w:rsidRPr="00A111C7">
        <w:rPr>
          <w:rFonts w:ascii="Times New Roman" w:hAnsi="Times New Roman"/>
        </w:rPr>
        <w:t xml:space="preserve"> - portal Europske komisije koji omogućuje organizacijama upravljanje europskim studentskim iskaznicama i pregled dokumentacije</w:t>
      </w:r>
    </w:p>
  </w:footnote>
  <w:footnote w:id="13">
    <w:p w14:paraId="56BDB652" w14:textId="77777777" w:rsidR="00FB178A" w:rsidRPr="002963DA" w:rsidRDefault="00FB178A" w:rsidP="00FB178A">
      <w:pPr>
        <w:pStyle w:val="FootnoteText"/>
        <w:jc w:val="both"/>
        <w:rPr>
          <w:rFonts w:ascii="Times New Roman" w:hAnsi="Times New Roman"/>
        </w:rPr>
      </w:pPr>
      <w:r w:rsidRPr="00C10E64">
        <w:rPr>
          <w:rStyle w:val="FootnoteReference"/>
        </w:rPr>
        <w:footnoteRef/>
      </w:r>
      <w:r w:rsidRPr="00C10E64">
        <w:t xml:space="preserve"> </w:t>
      </w:r>
      <w:r w:rsidRPr="002963DA">
        <w:rPr>
          <w:rFonts w:ascii="Times New Roman" w:hAnsi="Times New Roman"/>
        </w:rPr>
        <w:t xml:space="preserve">PIAAC - </w:t>
      </w:r>
      <w:proofErr w:type="spellStart"/>
      <w:r w:rsidRPr="002963DA">
        <w:rPr>
          <w:rFonts w:ascii="Times New Roman" w:hAnsi="Times New Roman"/>
        </w:rPr>
        <w:t>eng</w:t>
      </w:r>
      <w:proofErr w:type="spellEnd"/>
      <w:r w:rsidRPr="002963DA">
        <w:rPr>
          <w:rFonts w:ascii="Times New Roman" w:hAnsi="Times New Roman"/>
        </w:rPr>
        <w:t xml:space="preserve">. </w:t>
      </w:r>
      <w:proofErr w:type="spellStart"/>
      <w:r w:rsidRPr="002963DA">
        <w:rPr>
          <w:rFonts w:ascii="Times New Roman" w:hAnsi="Times New Roman"/>
        </w:rPr>
        <w:t>Programme</w:t>
      </w:r>
      <w:proofErr w:type="spellEnd"/>
      <w:r w:rsidRPr="002963DA">
        <w:rPr>
          <w:rFonts w:ascii="Times New Roman" w:hAnsi="Times New Roman"/>
        </w:rPr>
        <w:t xml:space="preserve"> for </w:t>
      </w:r>
      <w:proofErr w:type="spellStart"/>
      <w:r w:rsidRPr="002963DA">
        <w:rPr>
          <w:rFonts w:ascii="Times New Roman" w:hAnsi="Times New Roman"/>
        </w:rPr>
        <w:t>the</w:t>
      </w:r>
      <w:proofErr w:type="spellEnd"/>
      <w:r w:rsidRPr="002963DA">
        <w:rPr>
          <w:rFonts w:ascii="Times New Roman" w:hAnsi="Times New Roman"/>
        </w:rPr>
        <w:t xml:space="preserve"> International </w:t>
      </w:r>
      <w:proofErr w:type="spellStart"/>
      <w:r w:rsidRPr="002963DA">
        <w:rPr>
          <w:rFonts w:ascii="Times New Roman" w:hAnsi="Times New Roman"/>
        </w:rPr>
        <w:t>Assessment</w:t>
      </w:r>
      <w:proofErr w:type="spellEnd"/>
      <w:r w:rsidRPr="002963DA">
        <w:rPr>
          <w:rFonts w:ascii="Times New Roman" w:hAnsi="Times New Roman"/>
        </w:rPr>
        <w:t xml:space="preserve"> </w:t>
      </w:r>
      <w:proofErr w:type="spellStart"/>
      <w:r w:rsidRPr="002963DA">
        <w:rPr>
          <w:rFonts w:ascii="Times New Roman" w:hAnsi="Times New Roman"/>
        </w:rPr>
        <w:t>of</w:t>
      </w:r>
      <w:proofErr w:type="spellEnd"/>
      <w:r w:rsidRPr="002963DA">
        <w:rPr>
          <w:rFonts w:ascii="Times New Roman" w:hAnsi="Times New Roman"/>
        </w:rPr>
        <w:t xml:space="preserve"> </w:t>
      </w:r>
      <w:proofErr w:type="spellStart"/>
      <w:r w:rsidRPr="002963DA">
        <w:rPr>
          <w:rFonts w:ascii="Times New Roman" w:hAnsi="Times New Roman"/>
        </w:rPr>
        <w:t>Adult</w:t>
      </w:r>
      <w:proofErr w:type="spellEnd"/>
      <w:r w:rsidRPr="002963DA">
        <w:rPr>
          <w:rFonts w:ascii="Times New Roman" w:hAnsi="Times New Roman"/>
        </w:rPr>
        <w:t xml:space="preserve"> </w:t>
      </w:r>
      <w:proofErr w:type="spellStart"/>
      <w:r w:rsidRPr="002963DA">
        <w:rPr>
          <w:rFonts w:ascii="Times New Roman" w:hAnsi="Times New Roman"/>
        </w:rPr>
        <w:t>Competencies</w:t>
      </w:r>
      <w:proofErr w:type="spellEnd"/>
      <w:r w:rsidRPr="002963DA">
        <w:rPr>
          <w:rFonts w:ascii="Times New Roman" w:hAnsi="Times New Roman"/>
        </w:rPr>
        <w:t xml:space="preserve"> - Međunarodni program OECD-a za procjenu kompetencija odrasle populacije</w:t>
      </w:r>
    </w:p>
  </w:footnote>
  <w:footnote w:id="14">
    <w:p w14:paraId="47083F88" w14:textId="77777777" w:rsidR="00FB178A" w:rsidRPr="00E96EEF" w:rsidRDefault="00FB178A" w:rsidP="00FB178A">
      <w:pPr>
        <w:pStyle w:val="FootnoteText"/>
        <w:rPr>
          <w:rFonts w:ascii="Times New Roman" w:hAnsi="Times New Roman"/>
        </w:rPr>
      </w:pPr>
      <w:r w:rsidRPr="00C10E64">
        <w:rPr>
          <w:rStyle w:val="FootnoteReference"/>
        </w:rPr>
        <w:footnoteRef/>
      </w:r>
      <w:r w:rsidRPr="00C10E64">
        <w:t xml:space="preserve"> </w:t>
      </w:r>
      <w:r w:rsidRPr="00E96EEF">
        <w:rPr>
          <w:rFonts w:ascii="Times New Roman" w:hAnsi="Times New Roman"/>
        </w:rPr>
        <w:t>EU MED - 9 skupinu čini devet mediteranskih i južnih zemalja članica Europske unije - Cipar, Francuska, Grčka, Hrvatska, Italija, Malta, Portugal, Slovenija i Španjolska</w:t>
      </w:r>
    </w:p>
  </w:footnote>
  <w:footnote w:id="15">
    <w:p w14:paraId="227A12C9" w14:textId="77777777" w:rsidR="00FB178A" w:rsidRPr="00EF649C" w:rsidRDefault="00FB178A" w:rsidP="00FB178A">
      <w:pPr>
        <w:pStyle w:val="FootnoteText"/>
        <w:rPr>
          <w:rFonts w:ascii="Times New Roman" w:hAnsi="Times New Roman"/>
        </w:rPr>
      </w:pPr>
      <w:r w:rsidRPr="00C10E64">
        <w:rPr>
          <w:rStyle w:val="FootnoteReference"/>
        </w:rPr>
        <w:footnoteRef/>
      </w:r>
      <w:r w:rsidRPr="00C10E64">
        <w:t xml:space="preserve"> </w:t>
      </w:r>
      <w:r w:rsidRPr="00EF649C">
        <w:rPr>
          <w:rFonts w:ascii="Times New Roman" w:hAnsi="Times New Roman"/>
        </w:rPr>
        <w:t xml:space="preserve">YP CORE - kratica za </w:t>
      </w:r>
      <w:r w:rsidRPr="00EF649C">
        <w:rPr>
          <w:rFonts w:ascii="Times New Roman" w:hAnsi="Times New Roman"/>
          <w:i/>
          <w:iCs/>
        </w:rPr>
        <w:t xml:space="preserve">Young </w:t>
      </w:r>
      <w:proofErr w:type="spellStart"/>
      <w:r w:rsidRPr="00EF649C">
        <w:rPr>
          <w:rFonts w:ascii="Times New Roman" w:hAnsi="Times New Roman"/>
          <w:i/>
          <w:iCs/>
        </w:rPr>
        <w:t>Person</w:t>
      </w:r>
      <w:proofErr w:type="spellEnd"/>
      <w:r w:rsidRPr="00EF649C">
        <w:rPr>
          <w:rFonts w:ascii="Times New Roman" w:hAnsi="Times New Roman"/>
          <w:i/>
          <w:iCs/>
        </w:rPr>
        <w:t xml:space="preserve"> </w:t>
      </w:r>
      <w:proofErr w:type="spellStart"/>
      <w:r w:rsidRPr="00EF649C">
        <w:rPr>
          <w:rFonts w:ascii="Times New Roman" w:hAnsi="Times New Roman"/>
          <w:i/>
          <w:iCs/>
        </w:rPr>
        <w:t>Clinical</w:t>
      </w:r>
      <w:proofErr w:type="spellEnd"/>
      <w:r w:rsidRPr="00EF649C">
        <w:rPr>
          <w:rFonts w:ascii="Times New Roman" w:hAnsi="Times New Roman"/>
          <w:i/>
          <w:iCs/>
        </w:rPr>
        <w:t xml:space="preserve"> </w:t>
      </w:r>
      <w:proofErr w:type="spellStart"/>
      <w:r w:rsidRPr="00EF649C">
        <w:rPr>
          <w:rFonts w:ascii="Times New Roman" w:hAnsi="Times New Roman"/>
          <w:i/>
          <w:iCs/>
        </w:rPr>
        <w:t>Outcomes</w:t>
      </w:r>
      <w:proofErr w:type="spellEnd"/>
      <w:r w:rsidRPr="00EF649C">
        <w:rPr>
          <w:rFonts w:ascii="Times New Roman" w:hAnsi="Times New Roman"/>
          <w:i/>
          <w:iCs/>
        </w:rPr>
        <w:t xml:space="preserve"> </w:t>
      </w:r>
      <w:proofErr w:type="spellStart"/>
      <w:r w:rsidRPr="00EF649C">
        <w:rPr>
          <w:rFonts w:ascii="Times New Roman" w:hAnsi="Times New Roman"/>
          <w:i/>
          <w:iCs/>
        </w:rPr>
        <w:t>in</w:t>
      </w:r>
      <w:proofErr w:type="spellEnd"/>
      <w:r w:rsidRPr="00EF649C">
        <w:rPr>
          <w:rFonts w:ascii="Times New Roman" w:hAnsi="Times New Roman"/>
          <w:i/>
          <w:iCs/>
        </w:rPr>
        <w:t xml:space="preserve"> </w:t>
      </w:r>
      <w:proofErr w:type="spellStart"/>
      <w:r w:rsidRPr="00EF649C">
        <w:rPr>
          <w:rFonts w:ascii="Times New Roman" w:hAnsi="Times New Roman"/>
          <w:i/>
          <w:iCs/>
        </w:rPr>
        <w:t>Routine</w:t>
      </w:r>
      <w:proofErr w:type="spellEnd"/>
      <w:r w:rsidRPr="00EF649C">
        <w:rPr>
          <w:rFonts w:ascii="Times New Roman" w:hAnsi="Times New Roman"/>
          <w:i/>
          <w:iCs/>
        </w:rPr>
        <w:t xml:space="preserve"> </w:t>
      </w:r>
      <w:proofErr w:type="spellStart"/>
      <w:r w:rsidRPr="00EF649C">
        <w:rPr>
          <w:rFonts w:ascii="Times New Roman" w:hAnsi="Times New Roman"/>
          <w:i/>
          <w:iCs/>
        </w:rPr>
        <w:t>Evaluation</w:t>
      </w:r>
      <w:proofErr w:type="spellEnd"/>
      <w:r w:rsidRPr="00EF649C">
        <w:rPr>
          <w:rFonts w:ascii="Times New Roman" w:hAnsi="Times New Roman"/>
        </w:rPr>
        <w:t xml:space="preserve"> - standardizirani upitnik za mlade koji se koristi za ranu procjenu mentalnog zdravlja adolescenata</w:t>
      </w:r>
    </w:p>
  </w:footnote>
  <w:footnote w:id="16">
    <w:p w14:paraId="402F5C59" w14:textId="77777777" w:rsidR="00FB178A" w:rsidRPr="0013335C" w:rsidRDefault="00FB178A" w:rsidP="00FB178A">
      <w:pPr>
        <w:pStyle w:val="FootnoteText"/>
        <w:jc w:val="both"/>
        <w:rPr>
          <w:rFonts w:ascii="Times New Roman" w:hAnsi="Times New Roman"/>
        </w:rPr>
      </w:pPr>
      <w:r w:rsidRPr="00C10E64">
        <w:rPr>
          <w:rStyle w:val="FootnoteReference"/>
          <w:rFonts w:asciiTheme="minorHAnsi" w:hAnsiTheme="minorHAnsi" w:cstheme="minorHAnsi"/>
        </w:rPr>
        <w:footnoteRef/>
      </w:r>
      <w:r w:rsidRPr="00C10E64">
        <w:rPr>
          <w:rFonts w:asciiTheme="minorHAnsi" w:hAnsiTheme="minorHAnsi" w:cstheme="minorHAnsi"/>
        </w:rPr>
        <w:t xml:space="preserve"> </w:t>
      </w:r>
      <w:r w:rsidRPr="0013335C">
        <w:rPr>
          <w:rFonts w:ascii="Times New Roman" w:hAnsi="Times New Roman"/>
        </w:rPr>
        <w:t>DESI indeks je tijekom 2023. zamijenjen sa sustavom praćenja Digitalnog desetljeća Europske unije, koji se temelji na godišnjem Izvješću o stanju digitalnog desetljeća do 2030. Novi sustav praćenja usmjeren je na četiri ključna područja: digitalne vještine, digitalnu infrastrukturu, digitalnu transformaciju poslovanja i digitalizaciju javnih usluga. Iako novi sustav praćenja u napretku digitalnog desetljeća nije izravna zamjena za DESI indeks, izvješće omogućuje uvid u ostvarene vrijednosti pokazatelja koji su bili uključeni u izračun kumulativne vrijednosti DESI indeksa, odnosno procjenu napretka u ostvarivanju ciljeva pojedinih država članica EU-a</w:t>
      </w:r>
    </w:p>
  </w:footnote>
  <w:footnote w:id="17">
    <w:p w14:paraId="73F68610" w14:textId="77777777" w:rsidR="00FB178A" w:rsidRPr="00C10E64" w:rsidRDefault="00FB178A" w:rsidP="00FB178A">
      <w:pPr>
        <w:pStyle w:val="FootnoteText"/>
        <w:ind w:left="709" w:hanging="142"/>
        <w:jc w:val="both"/>
      </w:pPr>
      <w:r w:rsidRPr="00C10E64">
        <w:rPr>
          <w:rStyle w:val="FootnoteReference"/>
        </w:rPr>
        <w:footnoteRef/>
      </w:r>
      <w:r>
        <w:t xml:space="preserve"> </w:t>
      </w:r>
      <w:r w:rsidRPr="00C10E64">
        <w:rPr>
          <w:rFonts w:ascii="Times New Roman" w:hAnsi="Times New Roman"/>
          <w:i/>
          <w:iCs/>
        </w:rPr>
        <w:t>Popis sadrži važeće akte strateškog planiranja od nacionalnog značaja koji su doneseni zaključno s danom 31. prosinca 2024.</w:t>
      </w:r>
      <w:r>
        <w:rPr>
          <w:rFonts w:ascii="Times New Roman" w:hAnsi="Times New Roman"/>
          <w:i/>
          <w:iCs/>
        </w:rPr>
        <w:t xml:space="preserve"> Korišteni su nazivi tijela državne uprave na snazi na kraju 2024. godine</w:t>
      </w:r>
    </w:p>
  </w:footnote>
  <w:footnote w:id="18">
    <w:p w14:paraId="53821BCE" w14:textId="77777777" w:rsidR="00FB178A" w:rsidRDefault="00FB178A" w:rsidP="00FB178A">
      <w:pPr>
        <w:pStyle w:val="FootnoteText"/>
      </w:pPr>
      <w:r w:rsidRPr="00C10E64">
        <w:rPr>
          <w:rStyle w:val="FootnoteReference"/>
        </w:rPr>
        <w:footnoteRef/>
      </w:r>
      <w:r w:rsidRPr="00C10E64">
        <w:t xml:space="preserve"> </w:t>
      </w:r>
      <w:r w:rsidRPr="00C10E64">
        <w:rPr>
          <w:rFonts w:ascii="Times New Roman" w:hAnsi="Times New Roman"/>
          <w:i/>
          <w:iCs/>
        </w:rPr>
        <w:t xml:space="preserve">Popis sadrži akte strateškog planiranja od nacionalnog značaja koji su bili u postupku izrade zaključno s danom 31. prosinca 2024. </w:t>
      </w:r>
    </w:p>
  </w:footnote>
  <w:footnote w:id="19">
    <w:p w14:paraId="4171A1C0" w14:textId="77777777" w:rsidR="00FB178A" w:rsidRDefault="00FB178A" w:rsidP="00FB178A">
      <w:pPr>
        <w:pStyle w:val="FootnoteText"/>
      </w:pPr>
      <w:r>
        <w:rPr>
          <w:rStyle w:val="FootnoteReference"/>
        </w:rPr>
        <w:footnoteRef/>
      </w:r>
      <w:r>
        <w:t xml:space="preserve"> </w:t>
      </w:r>
      <w:hyperlink r:id="rId11" w:history="1">
        <w:r w:rsidRPr="007218B6">
          <w:rPr>
            <w:rStyle w:val="Hyperlink"/>
            <w:rFonts w:ascii="Times New Roman" w:hAnsi="Times New Roman"/>
          </w:rPr>
          <w:t>https://dashboards.sdgindex.org/rankings/</w:t>
        </w:r>
      </w:hyperlink>
    </w:p>
  </w:footnote>
</w:footnotes>
</file>

<file path=word/intelligence2.xml><?xml version="1.0" encoding="utf-8"?>
<int2:intelligence xmlns:int2="http://schemas.microsoft.com/office/intelligence/2020/intelligence" xmlns:oel="http://schemas.microsoft.com/office/2019/extlst">
  <int2:observations>
    <int2:textHash int2:hashCode="j0Nvv56RW2hFLa" int2:id="RYqV7kGA">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30" style="width:11.25pt;height:12pt" coordsize="" o:spt="100" o:bullet="t" adj="0,,0" path="" stroked="f">
        <v:stroke joinstyle="miter"/>
        <v:imagedata r:id="rId1" o:title="image10"/>
        <v:formulas/>
        <v:path o:connecttype="segments"/>
      </v:shape>
    </w:pict>
  </w:numPicBullet>
  <w:numPicBullet w:numPicBulletId="1">
    <w:pict>
      <v:shape id="_x0000_i1031" style="width:12.75pt;height:12pt" coordsize="" o:spt="100" o:bullet="t" adj="0,,0" path="" stroked="f">
        <v:stroke joinstyle="miter"/>
        <v:imagedata r:id="rId2" o:title="image11"/>
        <v:formulas/>
        <v:path o:connecttype="segments"/>
      </v:shape>
    </w:pict>
  </w:numPicBullet>
  <w:abstractNum w:abstractNumId="0" w15:restartNumberingAfterBreak="0">
    <w:nsid w:val="004872F5"/>
    <w:multiLevelType w:val="multilevel"/>
    <w:tmpl w:val="D03AF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A9712C"/>
    <w:multiLevelType w:val="multilevel"/>
    <w:tmpl w:val="F95C0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082C3D"/>
    <w:multiLevelType w:val="hybridMultilevel"/>
    <w:tmpl w:val="BE566844"/>
    <w:lvl w:ilvl="0" w:tplc="EAC08D1E">
      <w:numFmt w:val="bullet"/>
      <w:lvlText w:val="-"/>
      <w:lvlJc w:val="left"/>
      <w:pPr>
        <w:ind w:left="4974" w:hanging="360"/>
      </w:pPr>
      <w:rPr>
        <w:rFonts w:ascii="Times New Roman" w:eastAsia="Times New Roman" w:hAnsi="Times New Roman" w:cs="Times New Roman" w:hint="default"/>
      </w:rPr>
    </w:lvl>
    <w:lvl w:ilvl="1" w:tplc="08090003" w:tentative="1">
      <w:start w:val="1"/>
      <w:numFmt w:val="bullet"/>
      <w:lvlText w:val="o"/>
      <w:lvlJc w:val="left"/>
      <w:pPr>
        <w:ind w:left="5694" w:hanging="360"/>
      </w:pPr>
      <w:rPr>
        <w:rFonts w:ascii="Courier New" w:hAnsi="Courier New" w:cs="Courier New" w:hint="default"/>
      </w:rPr>
    </w:lvl>
    <w:lvl w:ilvl="2" w:tplc="08090005" w:tentative="1">
      <w:start w:val="1"/>
      <w:numFmt w:val="bullet"/>
      <w:lvlText w:val=""/>
      <w:lvlJc w:val="left"/>
      <w:pPr>
        <w:ind w:left="6414" w:hanging="360"/>
      </w:pPr>
      <w:rPr>
        <w:rFonts w:ascii="Wingdings" w:hAnsi="Wingdings" w:hint="default"/>
      </w:rPr>
    </w:lvl>
    <w:lvl w:ilvl="3" w:tplc="08090001" w:tentative="1">
      <w:start w:val="1"/>
      <w:numFmt w:val="bullet"/>
      <w:lvlText w:val=""/>
      <w:lvlJc w:val="left"/>
      <w:pPr>
        <w:ind w:left="7134" w:hanging="360"/>
      </w:pPr>
      <w:rPr>
        <w:rFonts w:ascii="Symbol" w:hAnsi="Symbol" w:hint="default"/>
      </w:rPr>
    </w:lvl>
    <w:lvl w:ilvl="4" w:tplc="08090003" w:tentative="1">
      <w:start w:val="1"/>
      <w:numFmt w:val="bullet"/>
      <w:lvlText w:val="o"/>
      <w:lvlJc w:val="left"/>
      <w:pPr>
        <w:ind w:left="7854" w:hanging="360"/>
      </w:pPr>
      <w:rPr>
        <w:rFonts w:ascii="Courier New" w:hAnsi="Courier New" w:cs="Courier New" w:hint="default"/>
      </w:rPr>
    </w:lvl>
    <w:lvl w:ilvl="5" w:tplc="08090005" w:tentative="1">
      <w:start w:val="1"/>
      <w:numFmt w:val="bullet"/>
      <w:lvlText w:val=""/>
      <w:lvlJc w:val="left"/>
      <w:pPr>
        <w:ind w:left="8574" w:hanging="360"/>
      </w:pPr>
      <w:rPr>
        <w:rFonts w:ascii="Wingdings" w:hAnsi="Wingdings" w:hint="default"/>
      </w:rPr>
    </w:lvl>
    <w:lvl w:ilvl="6" w:tplc="08090001" w:tentative="1">
      <w:start w:val="1"/>
      <w:numFmt w:val="bullet"/>
      <w:lvlText w:val=""/>
      <w:lvlJc w:val="left"/>
      <w:pPr>
        <w:ind w:left="9294" w:hanging="360"/>
      </w:pPr>
      <w:rPr>
        <w:rFonts w:ascii="Symbol" w:hAnsi="Symbol" w:hint="default"/>
      </w:rPr>
    </w:lvl>
    <w:lvl w:ilvl="7" w:tplc="08090003" w:tentative="1">
      <w:start w:val="1"/>
      <w:numFmt w:val="bullet"/>
      <w:lvlText w:val="o"/>
      <w:lvlJc w:val="left"/>
      <w:pPr>
        <w:ind w:left="10014" w:hanging="360"/>
      </w:pPr>
      <w:rPr>
        <w:rFonts w:ascii="Courier New" w:hAnsi="Courier New" w:cs="Courier New" w:hint="default"/>
      </w:rPr>
    </w:lvl>
    <w:lvl w:ilvl="8" w:tplc="08090005" w:tentative="1">
      <w:start w:val="1"/>
      <w:numFmt w:val="bullet"/>
      <w:lvlText w:val=""/>
      <w:lvlJc w:val="left"/>
      <w:pPr>
        <w:ind w:left="10734" w:hanging="360"/>
      </w:pPr>
      <w:rPr>
        <w:rFonts w:ascii="Wingdings" w:hAnsi="Wingdings" w:hint="default"/>
      </w:rPr>
    </w:lvl>
  </w:abstractNum>
  <w:abstractNum w:abstractNumId="3" w15:restartNumberingAfterBreak="0">
    <w:nsid w:val="02273D3E"/>
    <w:multiLevelType w:val="multilevel"/>
    <w:tmpl w:val="662C23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9467FC"/>
    <w:multiLevelType w:val="multilevel"/>
    <w:tmpl w:val="EAE2A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4096DA7"/>
    <w:multiLevelType w:val="multilevel"/>
    <w:tmpl w:val="F2288D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4684601"/>
    <w:multiLevelType w:val="hybridMultilevel"/>
    <w:tmpl w:val="A1ACDAAE"/>
    <w:lvl w:ilvl="0" w:tplc="C120694A">
      <w:start w:val="1"/>
      <w:numFmt w:val="decimal"/>
      <w:lvlText w:val="%1."/>
      <w:lvlJc w:val="left"/>
      <w:pPr>
        <w:ind w:left="494" w:hanging="360"/>
      </w:pPr>
      <w:rPr>
        <w:rFonts w:hint="default"/>
      </w:rPr>
    </w:lvl>
    <w:lvl w:ilvl="1" w:tplc="041A0019" w:tentative="1">
      <w:start w:val="1"/>
      <w:numFmt w:val="lowerLetter"/>
      <w:lvlText w:val="%2."/>
      <w:lvlJc w:val="left"/>
      <w:pPr>
        <w:ind w:left="1214" w:hanging="360"/>
      </w:pPr>
    </w:lvl>
    <w:lvl w:ilvl="2" w:tplc="041A001B" w:tentative="1">
      <w:start w:val="1"/>
      <w:numFmt w:val="lowerRoman"/>
      <w:lvlText w:val="%3."/>
      <w:lvlJc w:val="right"/>
      <w:pPr>
        <w:ind w:left="1934" w:hanging="180"/>
      </w:pPr>
    </w:lvl>
    <w:lvl w:ilvl="3" w:tplc="041A000F" w:tentative="1">
      <w:start w:val="1"/>
      <w:numFmt w:val="decimal"/>
      <w:lvlText w:val="%4."/>
      <w:lvlJc w:val="left"/>
      <w:pPr>
        <w:ind w:left="2654" w:hanging="360"/>
      </w:pPr>
    </w:lvl>
    <w:lvl w:ilvl="4" w:tplc="041A0019" w:tentative="1">
      <w:start w:val="1"/>
      <w:numFmt w:val="lowerLetter"/>
      <w:lvlText w:val="%5."/>
      <w:lvlJc w:val="left"/>
      <w:pPr>
        <w:ind w:left="3374" w:hanging="360"/>
      </w:pPr>
    </w:lvl>
    <w:lvl w:ilvl="5" w:tplc="041A001B" w:tentative="1">
      <w:start w:val="1"/>
      <w:numFmt w:val="lowerRoman"/>
      <w:lvlText w:val="%6."/>
      <w:lvlJc w:val="right"/>
      <w:pPr>
        <w:ind w:left="4094" w:hanging="180"/>
      </w:pPr>
    </w:lvl>
    <w:lvl w:ilvl="6" w:tplc="041A000F" w:tentative="1">
      <w:start w:val="1"/>
      <w:numFmt w:val="decimal"/>
      <w:lvlText w:val="%7."/>
      <w:lvlJc w:val="left"/>
      <w:pPr>
        <w:ind w:left="4814" w:hanging="360"/>
      </w:pPr>
    </w:lvl>
    <w:lvl w:ilvl="7" w:tplc="041A0019" w:tentative="1">
      <w:start w:val="1"/>
      <w:numFmt w:val="lowerLetter"/>
      <w:lvlText w:val="%8."/>
      <w:lvlJc w:val="left"/>
      <w:pPr>
        <w:ind w:left="5534" w:hanging="360"/>
      </w:pPr>
    </w:lvl>
    <w:lvl w:ilvl="8" w:tplc="041A001B" w:tentative="1">
      <w:start w:val="1"/>
      <w:numFmt w:val="lowerRoman"/>
      <w:lvlText w:val="%9."/>
      <w:lvlJc w:val="right"/>
      <w:pPr>
        <w:ind w:left="6254" w:hanging="180"/>
      </w:pPr>
    </w:lvl>
  </w:abstractNum>
  <w:abstractNum w:abstractNumId="7" w15:restartNumberingAfterBreak="0">
    <w:nsid w:val="04A133DA"/>
    <w:multiLevelType w:val="multilevel"/>
    <w:tmpl w:val="ED243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6046C48"/>
    <w:multiLevelType w:val="hybridMultilevel"/>
    <w:tmpl w:val="CF8CBBEC"/>
    <w:lvl w:ilvl="0" w:tplc="EAC08D1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6273CC1"/>
    <w:multiLevelType w:val="multilevel"/>
    <w:tmpl w:val="FEE8A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63E1DFD"/>
    <w:multiLevelType w:val="multilevel"/>
    <w:tmpl w:val="79065F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64361A7"/>
    <w:multiLevelType w:val="multilevel"/>
    <w:tmpl w:val="081A0940"/>
    <w:lvl w:ilvl="0">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Restart w:val="0"/>
      <w:lvlText w:val="%1.%2."/>
      <w:lvlJc w:val="left"/>
      <w:pPr>
        <w:ind w:left="7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5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2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9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7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4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072D0900"/>
    <w:multiLevelType w:val="hybridMultilevel"/>
    <w:tmpl w:val="EC96E26C"/>
    <w:lvl w:ilvl="0" w:tplc="041A000B">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3" w15:restartNumberingAfterBreak="0">
    <w:nsid w:val="08BE0EA9"/>
    <w:multiLevelType w:val="multilevel"/>
    <w:tmpl w:val="43A81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AA212F5"/>
    <w:multiLevelType w:val="hybridMultilevel"/>
    <w:tmpl w:val="EAAC54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0B6D0368"/>
    <w:multiLevelType w:val="multilevel"/>
    <w:tmpl w:val="C1CE809C"/>
    <w:lvl w:ilvl="0">
      <w:start w:val="1"/>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hr-HR" w:eastAsia="hr-HR" w:bidi="hr-H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C1249A4"/>
    <w:multiLevelType w:val="multilevel"/>
    <w:tmpl w:val="BE267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F975661"/>
    <w:multiLevelType w:val="hybridMultilevel"/>
    <w:tmpl w:val="3C1E9D14"/>
    <w:lvl w:ilvl="0" w:tplc="A050CAA0">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EAC4BA8">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E28C906">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8E2DDB0">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1CC9040">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0BE19E8">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A1E1934">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4FA7F7C">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1201B4C">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112A27F8"/>
    <w:multiLevelType w:val="hybridMultilevel"/>
    <w:tmpl w:val="39EC6068"/>
    <w:lvl w:ilvl="0" w:tplc="EE1C2E74">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9A8C6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E8105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74799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DA0F7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1A308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8A0DE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A2B9D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98B23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117F62DC"/>
    <w:multiLevelType w:val="multilevel"/>
    <w:tmpl w:val="C14E6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24C197E"/>
    <w:multiLevelType w:val="multilevel"/>
    <w:tmpl w:val="40C4FD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4DC60DC"/>
    <w:multiLevelType w:val="hybridMultilevel"/>
    <w:tmpl w:val="3D649B4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15E52D13"/>
    <w:multiLevelType w:val="multilevel"/>
    <w:tmpl w:val="D08627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67B1D1B"/>
    <w:multiLevelType w:val="multilevel"/>
    <w:tmpl w:val="6636AAE0"/>
    <w:lvl w:ilvl="0">
      <w:start w:val="1"/>
      <w:numFmt w:val="decimal"/>
      <w:lvlText w:val="%1."/>
      <w:lvlJc w:val="left"/>
      <w:pPr>
        <w:ind w:left="360" w:hanging="360"/>
      </w:pPr>
      <w:rPr>
        <w:b/>
        <w:bCs w:val="0"/>
        <w:i w:val="0"/>
        <w:iCs w:val="0"/>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16881FCE"/>
    <w:multiLevelType w:val="hybridMultilevel"/>
    <w:tmpl w:val="905A4EA4"/>
    <w:lvl w:ilvl="0" w:tplc="2D405F74">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5" w15:restartNumberingAfterBreak="0">
    <w:nsid w:val="16F72BDE"/>
    <w:multiLevelType w:val="multilevel"/>
    <w:tmpl w:val="4B649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7913EE7"/>
    <w:multiLevelType w:val="multilevel"/>
    <w:tmpl w:val="D3DEA1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A1C6221"/>
    <w:multiLevelType w:val="multilevel"/>
    <w:tmpl w:val="A858D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B8C0D8C"/>
    <w:multiLevelType w:val="hybridMultilevel"/>
    <w:tmpl w:val="B9489286"/>
    <w:lvl w:ilvl="0" w:tplc="A2BCA9E0">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BA6928">
      <w:start w:val="1"/>
      <w:numFmt w:val="bullet"/>
      <w:lvlRestart w:val="0"/>
      <w:lvlText w:val="•"/>
      <w:lvlPicBulletId w:val="0"/>
      <w:lvlJc w:val="left"/>
      <w:pPr>
        <w:ind w:left="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460BF4">
      <w:start w:val="1"/>
      <w:numFmt w:val="bullet"/>
      <w:lvlText w:val="▪"/>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A6873A">
      <w:start w:val="1"/>
      <w:numFmt w:val="bullet"/>
      <w:lvlText w:val="•"/>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8A9D9C">
      <w:start w:val="1"/>
      <w:numFmt w:val="bullet"/>
      <w:lvlText w:val="o"/>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60DC1A">
      <w:start w:val="1"/>
      <w:numFmt w:val="bullet"/>
      <w:lvlText w:val="▪"/>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AAE256">
      <w:start w:val="1"/>
      <w:numFmt w:val="bullet"/>
      <w:lvlText w:val="•"/>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A0DD76">
      <w:start w:val="1"/>
      <w:numFmt w:val="bullet"/>
      <w:lvlText w:val="o"/>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38E520">
      <w:start w:val="1"/>
      <w:numFmt w:val="bullet"/>
      <w:lvlText w:val="▪"/>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1C4D6378"/>
    <w:multiLevelType w:val="multilevel"/>
    <w:tmpl w:val="67CA2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CDC9A07"/>
    <w:multiLevelType w:val="hybridMultilevel"/>
    <w:tmpl w:val="FFFFFFFF"/>
    <w:lvl w:ilvl="0" w:tplc="449A366C">
      <w:start w:val="1"/>
      <w:numFmt w:val="decimal"/>
      <w:lvlText w:val="%1."/>
      <w:lvlJc w:val="left"/>
      <w:pPr>
        <w:ind w:left="720" w:hanging="360"/>
      </w:pPr>
    </w:lvl>
    <w:lvl w:ilvl="1" w:tplc="16FE7EF0">
      <w:start w:val="1"/>
      <w:numFmt w:val="lowerLetter"/>
      <w:lvlText w:val="%2."/>
      <w:lvlJc w:val="left"/>
      <w:pPr>
        <w:ind w:left="1440" w:hanging="360"/>
      </w:pPr>
    </w:lvl>
    <w:lvl w:ilvl="2" w:tplc="4EAC823E">
      <w:start w:val="1"/>
      <w:numFmt w:val="lowerRoman"/>
      <w:lvlText w:val="%3."/>
      <w:lvlJc w:val="right"/>
      <w:pPr>
        <w:ind w:left="2160" w:hanging="180"/>
      </w:pPr>
    </w:lvl>
    <w:lvl w:ilvl="3" w:tplc="F9CCAFEA">
      <w:start w:val="1"/>
      <w:numFmt w:val="decimal"/>
      <w:lvlText w:val="%4."/>
      <w:lvlJc w:val="left"/>
      <w:pPr>
        <w:ind w:left="2880" w:hanging="360"/>
      </w:pPr>
    </w:lvl>
    <w:lvl w:ilvl="4" w:tplc="577ECE14">
      <w:start w:val="1"/>
      <w:numFmt w:val="lowerLetter"/>
      <w:lvlText w:val="%5."/>
      <w:lvlJc w:val="left"/>
      <w:pPr>
        <w:ind w:left="3600" w:hanging="360"/>
      </w:pPr>
    </w:lvl>
    <w:lvl w:ilvl="5" w:tplc="583C7FBE">
      <w:start w:val="1"/>
      <w:numFmt w:val="lowerRoman"/>
      <w:lvlText w:val="%6."/>
      <w:lvlJc w:val="right"/>
      <w:pPr>
        <w:ind w:left="4320" w:hanging="180"/>
      </w:pPr>
    </w:lvl>
    <w:lvl w:ilvl="6" w:tplc="17D818D2">
      <w:start w:val="1"/>
      <w:numFmt w:val="decimal"/>
      <w:lvlText w:val="%7."/>
      <w:lvlJc w:val="left"/>
      <w:pPr>
        <w:ind w:left="5040" w:hanging="360"/>
      </w:pPr>
    </w:lvl>
    <w:lvl w:ilvl="7" w:tplc="ABA20944">
      <w:start w:val="1"/>
      <w:numFmt w:val="lowerLetter"/>
      <w:lvlText w:val="%8."/>
      <w:lvlJc w:val="left"/>
      <w:pPr>
        <w:ind w:left="5760" w:hanging="360"/>
      </w:pPr>
    </w:lvl>
    <w:lvl w:ilvl="8" w:tplc="CB0C1A56">
      <w:start w:val="1"/>
      <w:numFmt w:val="lowerRoman"/>
      <w:lvlText w:val="%9."/>
      <w:lvlJc w:val="right"/>
      <w:pPr>
        <w:ind w:left="6480" w:hanging="180"/>
      </w:pPr>
    </w:lvl>
  </w:abstractNum>
  <w:abstractNum w:abstractNumId="31" w15:restartNumberingAfterBreak="0">
    <w:nsid w:val="1D41725F"/>
    <w:multiLevelType w:val="multilevel"/>
    <w:tmpl w:val="F3A0C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D7546FE"/>
    <w:multiLevelType w:val="multilevel"/>
    <w:tmpl w:val="9348D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EE150B4"/>
    <w:multiLevelType w:val="hybridMultilevel"/>
    <w:tmpl w:val="5EDE09A4"/>
    <w:lvl w:ilvl="0" w:tplc="37D4074E">
      <w:start w:val="1"/>
      <w:numFmt w:val="decimal"/>
      <w:lvlText w:val="%1."/>
      <w:lvlJc w:val="left"/>
      <w:pPr>
        <w:ind w:left="720" w:hanging="360"/>
      </w:pPr>
      <w:rPr>
        <w:rFonts w:ascii="Times New Roman" w:hAnsi="Times New Roman" w:cs="Times New Roman"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1F9B267D"/>
    <w:multiLevelType w:val="multilevel"/>
    <w:tmpl w:val="77E63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6985290"/>
    <w:multiLevelType w:val="multilevel"/>
    <w:tmpl w:val="2752D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85B5B4C"/>
    <w:multiLevelType w:val="multilevel"/>
    <w:tmpl w:val="9A40F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96B3091"/>
    <w:multiLevelType w:val="multilevel"/>
    <w:tmpl w:val="E2485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B6A4419"/>
    <w:multiLevelType w:val="hybridMultilevel"/>
    <w:tmpl w:val="91701F8C"/>
    <w:lvl w:ilvl="0" w:tplc="041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2C38105A"/>
    <w:multiLevelType w:val="multilevel"/>
    <w:tmpl w:val="EFA2D0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CF6162A"/>
    <w:multiLevelType w:val="multilevel"/>
    <w:tmpl w:val="064A8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2E680E8F"/>
    <w:multiLevelType w:val="multilevel"/>
    <w:tmpl w:val="6F3E2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2EF64E36"/>
    <w:multiLevelType w:val="multilevel"/>
    <w:tmpl w:val="6A56D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F4E021E"/>
    <w:multiLevelType w:val="multilevel"/>
    <w:tmpl w:val="CF8E0A2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2F800556"/>
    <w:multiLevelType w:val="multilevel"/>
    <w:tmpl w:val="CDD61B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0876D0C"/>
    <w:multiLevelType w:val="hybridMultilevel"/>
    <w:tmpl w:val="A596E70C"/>
    <w:lvl w:ilvl="0" w:tplc="EAC08D1E">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30D475CB"/>
    <w:multiLevelType w:val="multilevel"/>
    <w:tmpl w:val="8D50A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16C2AA6"/>
    <w:multiLevelType w:val="multilevel"/>
    <w:tmpl w:val="C11E5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2DB34C8"/>
    <w:multiLevelType w:val="multilevel"/>
    <w:tmpl w:val="15385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33A6207F"/>
    <w:multiLevelType w:val="hybridMultilevel"/>
    <w:tmpl w:val="D80CF6CA"/>
    <w:lvl w:ilvl="0" w:tplc="270A1A8E">
      <w:start w:val="1"/>
      <w:numFmt w:val="decimal"/>
      <w:lvlText w:val="%1"/>
      <w:lvlJc w:val="left"/>
      <w:pPr>
        <w:ind w:left="134"/>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1" w:tplc="316C8254">
      <w:start w:val="1"/>
      <w:numFmt w:val="lowerLetter"/>
      <w:lvlText w:val="%2"/>
      <w:lvlJc w:val="left"/>
      <w:pPr>
        <w:ind w:left="1109"/>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2" w:tplc="4CB87D7A">
      <w:start w:val="1"/>
      <w:numFmt w:val="lowerRoman"/>
      <w:lvlText w:val="%3"/>
      <w:lvlJc w:val="left"/>
      <w:pPr>
        <w:ind w:left="1829"/>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3" w:tplc="3A46F560">
      <w:start w:val="1"/>
      <w:numFmt w:val="decimal"/>
      <w:lvlText w:val="%4"/>
      <w:lvlJc w:val="left"/>
      <w:pPr>
        <w:ind w:left="2549"/>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4" w:tplc="0B9CADA6">
      <w:start w:val="1"/>
      <w:numFmt w:val="lowerLetter"/>
      <w:lvlText w:val="%5"/>
      <w:lvlJc w:val="left"/>
      <w:pPr>
        <w:ind w:left="3269"/>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5" w:tplc="56E2838E">
      <w:start w:val="1"/>
      <w:numFmt w:val="lowerRoman"/>
      <w:lvlText w:val="%6"/>
      <w:lvlJc w:val="left"/>
      <w:pPr>
        <w:ind w:left="3989"/>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6" w:tplc="79ECD37C">
      <w:start w:val="1"/>
      <w:numFmt w:val="decimal"/>
      <w:lvlText w:val="%7"/>
      <w:lvlJc w:val="left"/>
      <w:pPr>
        <w:ind w:left="4709"/>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7" w:tplc="B4383750">
      <w:start w:val="1"/>
      <w:numFmt w:val="lowerLetter"/>
      <w:lvlText w:val="%8"/>
      <w:lvlJc w:val="left"/>
      <w:pPr>
        <w:ind w:left="5429"/>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8" w:tplc="651A217A">
      <w:start w:val="1"/>
      <w:numFmt w:val="lowerRoman"/>
      <w:lvlText w:val="%9"/>
      <w:lvlJc w:val="left"/>
      <w:pPr>
        <w:ind w:left="6149"/>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abstractNum>
  <w:abstractNum w:abstractNumId="50" w15:restartNumberingAfterBreak="0">
    <w:nsid w:val="3432100F"/>
    <w:multiLevelType w:val="multilevel"/>
    <w:tmpl w:val="789A1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34E27AC5"/>
    <w:multiLevelType w:val="multilevel"/>
    <w:tmpl w:val="62CEE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5541DBE"/>
    <w:multiLevelType w:val="hybridMultilevel"/>
    <w:tmpl w:val="7C5EA0E4"/>
    <w:lvl w:ilvl="0" w:tplc="E5FEC6C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E36792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1225B7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4A6C67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D4EBC0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F421E4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B3E83F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33C0F7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C60F50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35C63284"/>
    <w:multiLevelType w:val="multilevel"/>
    <w:tmpl w:val="49A4A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7125A60"/>
    <w:multiLevelType w:val="hybridMultilevel"/>
    <w:tmpl w:val="DED416A8"/>
    <w:lvl w:ilvl="0" w:tplc="041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5" w15:restartNumberingAfterBreak="0">
    <w:nsid w:val="392458A4"/>
    <w:multiLevelType w:val="multilevel"/>
    <w:tmpl w:val="C3202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39553075"/>
    <w:multiLevelType w:val="multilevel"/>
    <w:tmpl w:val="5B7C14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395F30E7"/>
    <w:multiLevelType w:val="hybridMultilevel"/>
    <w:tmpl w:val="ACF009AA"/>
    <w:lvl w:ilvl="0" w:tplc="32567B16">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DF0E580">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0F6BB9C">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BC8498E">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E4C1C00">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9BC3752">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02072B6">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1FE79E2">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320C436">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397D3E7C"/>
    <w:multiLevelType w:val="hybridMultilevel"/>
    <w:tmpl w:val="C848FBE8"/>
    <w:lvl w:ilvl="0" w:tplc="A03C9D56">
      <w:start w:val="1"/>
      <w:numFmt w:val="decimal"/>
      <w:lvlText w:val="%1."/>
      <w:lvlJc w:val="left"/>
      <w:pPr>
        <w:ind w:left="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B2CB9A">
      <w:start w:val="1"/>
      <w:numFmt w:val="lowerLetter"/>
      <w:lvlText w:val="%2"/>
      <w:lvlJc w:val="left"/>
      <w:pPr>
        <w:ind w:left="1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C4590E">
      <w:start w:val="1"/>
      <w:numFmt w:val="lowerRoman"/>
      <w:lvlText w:val="%3"/>
      <w:lvlJc w:val="left"/>
      <w:pPr>
        <w:ind w:left="1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5CCCF2">
      <w:start w:val="1"/>
      <w:numFmt w:val="decimal"/>
      <w:lvlText w:val="%4"/>
      <w:lvlJc w:val="left"/>
      <w:pPr>
        <w:ind w:left="2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E28C9A">
      <w:start w:val="1"/>
      <w:numFmt w:val="lowerLetter"/>
      <w:lvlText w:val="%5"/>
      <w:lvlJc w:val="left"/>
      <w:pPr>
        <w:ind w:left="3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3CF41A">
      <w:start w:val="1"/>
      <w:numFmt w:val="lowerRoman"/>
      <w:lvlText w:val="%6"/>
      <w:lvlJc w:val="left"/>
      <w:pPr>
        <w:ind w:left="3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FCF5DA">
      <w:start w:val="1"/>
      <w:numFmt w:val="decimal"/>
      <w:lvlText w:val="%7"/>
      <w:lvlJc w:val="left"/>
      <w:pPr>
        <w:ind w:left="4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98256C">
      <w:start w:val="1"/>
      <w:numFmt w:val="lowerLetter"/>
      <w:lvlText w:val="%8"/>
      <w:lvlJc w:val="left"/>
      <w:pPr>
        <w:ind w:left="5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FC2974">
      <w:start w:val="1"/>
      <w:numFmt w:val="lowerRoman"/>
      <w:lvlText w:val="%9"/>
      <w:lvlJc w:val="left"/>
      <w:pPr>
        <w:ind w:left="6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3B711620"/>
    <w:multiLevelType w:val="multilevel"/>
    <w:tmpl w:val="1638C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3C442ACB"/>
    <w:multiLevelType w:val="hybridMultilevel"/>
    <w:tmpl w:val="767857B4"/>
    <w:lvl w:ilvl="0" w:tplc="041A0001">
      <w:start w:val="1"/>
      <w:numFmt w:val="bullet"/>
      <w:lvlText w:val=""/>
      <w:lvlJc w:val="left"/>
      <w:pPr>
        <w:ind w:left="936" w:hanging="360"/>
      </w:pPr>
      <w:rPr>
        <w:rFonts w:ascii="Symbol" w:hAnsi="Symbol" w:hint="default"/>
      </w:rPr>
    </w:lvl>
    <w:lvl w:ilvl="1" w:tplc="7A06A662">
      <w:numFmt w:val="bullet"/>
      <w:lvlText w:val="-"/>
      <w:lvlJc w:val="left"/>
      <w:pPr>
        <w:ind w:left="1656" w:hanging="360"/>
      </w:pPr>
      <w:rPr>
        <w:rFonts w:ascii="Times New Roman" w:eastAsia="Times New Roman" w:hAnsi="Times New Roman" w:cs="Times New Roman" w:hint="default"/>
      </w:rPr>
    </w:lvl>
    <w:lvl w:ilvl="2" w:tplc="041A0005" w:tentative="1">
      <w:start w:val="1"/>
      <w:numFmt w:val="bullet"/>
      <w:lvlText w:val=""/>
      <w:lvlJc w:val="left"/>
      <w:pPr>
        <w:ind w:left="2376" w:hanging="360"/>
      </w:pPr>
      <w:rPr>
        <w:rFonts w:ascii="Wingdings" w:hAnsi="Wingdings" w:hint="default"/>
      </w:rPr>
    </w:lvl>
    <w:lvl w:ilvl="3" w:tplc="041A0001" w:tentative="1">
      <w:start w:val="1"/>
      <w:numFmt w:val="bullet"/>
      <w:lvlText w:val=""/>
      <w:lvlJc w:val="left"/>
      <w:pPr>
        <w:ind w:left="3096" w:hanging="360"/>
      </w:pPr>
      <w:rPr>
        <w:rFonts w:ascii="Symbol" w:hAnsi="Symbol" w:hint="default"/>
      </w:rPr>
    </w:lvl>
    <w:lvl w:ilvl="4" w:tplc="041A0003" w:tentative="1">
      <w:start w:val="1"/>
      <w:numFmt w:val="bullet"/>
      <w:lvlText w:val="o"/>
      <w:lvlJc w:val="left"/>
      <w:pPr>
        <w:ind w:left="3816" w:hanging="360"/>
      </w:pPr>
      <w:rPr>
        <w:rFonts w:ascii="Courier New" w:hAnsi="Courier New" w:cs="Courier New" w:hint="default"/>
      </w:rPr>
    </w:lvl>
    <w:lvl w:ilvl="5" w:tplc="041A0005" w:tentative="1">
      <w:start w:val="1"/>
      <w:numFmt w:val="bullet"/>
      <w:lvlText w:val=""/>
      <w:lvlJc w:val="left"/>
      <w:pPr>
        <w:ind w:left="4536" w:hanging="360"/>
      </w:pPr>
      <w:rPr>
        <w:rFonts w:ascii="Wingdings" w:hAnsi="Wingdings" w:hint="default"/>
      </w:rPr>
    </w:lvl>
    <w:lvl w:ilvl="6" w:tplc="041A0001" w:tentative="1">
      <w:start w:val="1"/>
      <w:numFmt w:val="bullet"/>
      <w:lvlText w:val=""/>
      <w:lvlJc w:val="left"/>
      <w:pPr>
        <w:ind w:left="5256" w:hanging="360"/>
      </w:pPr>
      <w:rPr>
        <w:rFonts w:ascii="Symbol" w:hAnsi="Symbol" w:hint="default"/>
      </w:rPr>
    </w:lvl>
    <w:lvl w:ilvl="7" w:tplc="041A0003" w:tentative="1">
      <w:start w:val="1"/>
      <w:numFmt w:val="bullet"/>
      <w:lvlText w:val="o"/>
      <w:lvlJc w:val="left"/>
      <w:pPr>
        <w:ind w:left="5976" w:hanging="360"/>
      </w:pPr>
      <w:rPr>
        <w:rFonts w:ascii="Courier New" w:hAnsi="Courier New" w:cs="Courier New" w:hint="default"/>
      </w:rPr>
    </w:lvl>
    <w:lvl w:ilvl="8" w:tplc="041A0005" w:tentative="1">
      <w:start w:val="1"/>
      <w:numFmt w:val="bullet"/>
      <w:lvlText w:val=""/>
      <w:lvlJc w:val="left"/>
      <w:pPr>
        <w:ind w:left="6696" w:hanging="360"/>
      </w:pPr>
      <w:rPr>
        <w:rFonts w:ascii="Wingdings" w:hAnsi="Wingdings" w:hint="default"/>
      </w:rPr>
    </w:lvl>
  </w:abstractNum>
  <w:abstractNum w:abstractNumId="61" w15:restartNumberingAfterBreak="0">
    <w:nsid w:val="3CA139CF"/>
    <w:multiLevelType w:val="hybridMultilevel"/>
    <w:tmpl w:val="01C409C0"/>
    <w:lvl w:ilvl="0" w:tplc="724AE0F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2" w15:restartNumberingAfterBreak="0">
    <w:nsid w:val="3E2438EE"/>
    <w:multiLevelType w:val="multilevel"/>
    <w:tmpl w:val="60C00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3EA921F5"/>
    <w:multiLevelType w:val="multilevel"/>
    <w:tmpl w:val="DA20ABE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438E5861"/>
    <w:multiLevelType w:val="multilevel"/>
    <w:tmpl w:val="7E642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6736ACB"/>
    <w:multiLevelType w:val="hybridMultilevel"/>
    <w:tmpl w:val="68CE3930"/>
    <w:lvl w:ilvl="0" w:tplc="724AE0F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6" w15:restartNumberingAfterBreak="0">
    <w:nsid w:val="46B420D4"/>
    <w:multiLevelType w:val="multilevel"/>
    <w:tmpl w:val="580EA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46CF362A"/>
    <w:multiLevelType w:val="multilevel"/>
    <w:tmpl w:val="532407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485945C3"/>
    <w:multiLevelType w:val="multilevel"/>
    <w:tmpl w:val="3758AD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4A556808"/>
    <w:multiLevelType w:val="multilevel"/>
    <w:tmpl w:val="6EC4F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4A765E0B"/>
    <w:multiLevelType w:val="multilevel"/>
    <w:tmpl w:val="48BA6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4B0534A2"/>
    <w:multiLevelType w:val="hybridMultilevel"/>
    <w:tmpl w:val="ECE242C4"/>
    <w:lvl w:ilvl="0" w:tplc="EAC08D1E">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15:restartNumberingAfterBreak="0">
    <w:nsid w:val="4B426056"/>
    <w:multiLevelType w:val="multilevel"/>
    <w:tmpl w:val="0826D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4D3C4E3A"/>
    <w:multiLevelType w:val="multilevel"/>
    <w:tmpl w:val="9F9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4E485D17"/>
    <w:multiLevelType w:val="multilevel"/>
    <w:tmpl w:val="1AA6C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4E880DBF"/>
    <w:multiLevelType w:val="multilevel"/>
    <w:tmpl w:val="192AC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502148D5"/>
    <w:multiLevelType w:val="multilevel"/>
    <w:tmpl w:val="AB685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2E26E52"/>
    <w:multiLevelType w:val="multilevel"/>
    <w:tmpl w:val="37AE9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53E368E5"/>
    <w:multiLevelType w:val="hybridMultilevel"/>
    <w:tmpl w:val="F244E2D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9" w15:restartNumberingAfterBreak="0">
    <w:nsid w:val="56A837CE"/>
    <w:multiLevelType w:val="multilevel"/>
    <w:tmpl w:val="26ACD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59846B45"/>
    <w:multiLevelType w:val="hybridMultilevel"/>
    <w:tmpl w:val="938A78E0"/>
    <w:lvl w:ilvl="0" w:tplc="35901B9C">
      <w:numFmt w:val="bullet"/>
      <w:lvlText w:val="-"/>
      <w:lvlJc w:val="left"/>
      <w:pPr>
        <w:ind w:left="1080" w:hanging="360"/>
      </w:pPr>
      <w:rPr>
        <w:rFonts w:ascii="Times New Roman" w:eastAsia="Courier New"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81" w15:restartNumberingAfterBreak="0">
    <w:nsid w:val="59F72756"/>
    <w:multiLevelType w:val="multilevel"/>
    <w:tmpl w:val="A0881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5B9F1B3B"/>
    <w:multiLevelType w:val="multilevel"/>
    <w:tmpl w:val="BC246B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5C574F23"/>
    <w:multiLevelType w:val="multilevel"/>
    <w:tmpl w:val="61FA0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5E582DD6"/>
    <w:multiLevelType w:val="hybridMultilevel"/>
    <w:tmpl w:val="489852EA"/>
    <w:lvl w:ilvl="0" w:tplc="724AE0F4">
      <w:numFmt w:val="bullet"/>
      <w:lvlText w:val="•"/>
      <w:lvlJc w:val="left"/>
      <w:pPr>
        <w:ind w:left="1080" w:hanging="360"/>
      </w:pPr>
      <w:rPr>
        <w:rFonts w:ascii="Times New Roman" w:eastAsiaTheme="minorHAns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85" w15:restartNumberingAfterBreak="0">
    <w:nsid w:val="5E965E7F"/>
    <w:multiLevelType w:val="hybridMultilevel"/>
    <w:tmpl w:val="05586C6C"/>
    <w:lvl w:ilvl="0" w:tplc="D46497A6">
      <w:start w:val="1"/>
      <w:numFmt w:val="bullet"/>
      <w:lvlText w:val="•"/>
      <w:lvlJc w:val="left"/>
      <w:pPr>
        <w:ind w:left="9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566FD56">
      <w:start w:val="1"/>
      <w:numFmt w:val="bullet"/>
      <w:lvlText w:val="o"/>
      <w:lvlJc w:val="left"/>
      <w:pPr>
        <w:ind w:left="1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465EC6">
      <w:start w:val="1"/>
      <w:numFmt w:val="bullet"/>
      <w:lvlText w:val="▪"/>
      <w:lvlJc w:val="left"/>
      <w:pPr>
        <w:ind w:left="2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B2801A">
      <w:start w:val="1"/>
      <w:numFmt w:val="bullet"/>
      <w:lvlText w:val="•"/>
      <w:lvlJc w:val="left"/>
      <w:pPr>
        <w:ind w:left="3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D80C84">
      <w:start w:val="1"/>
      <w:numFmt w:val="bullet"/>
      <w:lvlText w:val="o"/>
      <w:lvlJc w:val="left"/>
      <w:pPr>
        <w:ind w:left="3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38AD26">
      <w:start w:val="1"/>
      <w:numFmt w:val="bullet"/>
      <w:lvlText w:val="▪"/>
      <w:lvlJc w:val="left"/>
      <w:pPr>
        <w:ind w:left="4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30164E">
      <w:start w:val="1"/>
      <w:numFmt w:val="bullet"/>
      <w:lvlText w:val="•"/>
      <w:lvlJc w:val="left"/>
      <w:pPr>
        <w:ind w:left="5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467620">
      <w:start w:val="1"/>
      <w:numFmt w:val="bullet"/>
      <w:lvlText w:val="o"/>
      <w:lvlJc w:val="left"/>
      <w:pPr>
        <w:ind w:left="6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B4263C">
      <w:start w:val="1"/>
      <w:numFmt w:val="bullet"/>
      <w:lvlText w:val="▪"/>
      <w:lvlJc w:val="left"/>
      <w:pPr>
        <w:ind w:left="6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6" w15:restartNumberingAfterBreak="0">
    <w:nsid w:val="68943838"/>
    <w:multiLevelType w:val="multilevel"/>
    <w:tmpl w:val="E3A4A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6A04764F"/>
    <w:multiLevelType w:val="hybridMultilevel"/>
    <w:tmpl w:val="EBEC4C8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8" w15:restartNumberingAfterBreak="0">
    <w:nsid w:val="6BFB3ABF"/>
    <w:multiLevelType w:val="multilevel"/>
    <w:tmpl w:val="D0389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6D2D2ABA"/>
    <w:multiLevelType w:val="multilevel"/>
    <w:tmpl w:val="AA9CA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6D4548EA"/>
    <w:multiLevelType w:val="hybridMultilevel"/>
    <w:tmpl w:val="46D6E866"/>
    <w:lvl w:ilvl="0" w:tplc="8C4256F4">
      <w:start w:val="1"/>
      <w:numFmt w:val="upperLetter"/>
      <w:lvlText w:val="%1."/>
      <w:lvlJc w:val="left"/>
      <w:pPr>
        <w:ind w:left="1068" w:hanging="360"/>
      </w:pPr>
      <w:rPr>
        <w:rFonts w:eastAsia="Times New Roman" w:hint="default"/>
        <w:b/>
        <w:i w:val="0"/>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91" w15:restartNumberingAfterBreak="0">
    <w:nsid w:val="6E0633E1"/>
    <w:multiLevelType w:val="hybridMultilevel"/>
    <w:tmpl w:val="F87A270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2" w15:restartNumberingAfterBreak="0">
    <w:nsid w:val="6EB30DB2"/>
    <w:multiLevelType w:val="multilevel"/>
    <w:tmpl w:val="35568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F2078FA"/>
    <w:multiLevelType w:val="multilevel"/>
    <w:tmpl w:val="E7E83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6F8B7BFD"/>
    <w:multiLevelType w:val="multilevel"/>
    <w:tmpl w:val="B50AF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6F9338B7"/>
    <w:multiLevelType w:val="multilevel"/>
    <w:tmpl w:val="E400731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723F2588"/>
    <w:multiLevelType w:val="multilevel"/>
    <w:tmpl w:val="09E4C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28F1AF1"/>
    <w:multiLevelType w:val="hybridMultilevel"/>
    <w:tmpl w:val="90EAC49A"/>
    <w:lvl w:ilvl="0" w:tplc="2D405F7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8" w15:restartNumberingAfterBreak="0">
    <w:nsid w:val="741177D7"/>
    <w:multiLevelType w:val="hybridMultilevel"/>
    <w:tmpl w:val="9BE89E88"/>
    <w:lvl w:ilvl="0" w:tplc="2D405F74">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99" w15:restartNumberingAfterBreak="0">
    <w:nsid w:val="74A823C7"/>
    <w:multiLevelType w:val="hybridMultilevel"/>
    <w:tmpl w:val="941C866E"/>
    <w:lvl w:ilvl="0" w:tplc="2D405F74">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00" w15:restartNumberingAfterBreak="0">
    <w:nsid w:val="7A172530"/>
    <w:multiLevelType w:val="hybridMultilevel"/>
    <w:tmpl w:val="D064498C"/>
    <w:lvl w:ilvl="0" w:tplc="EAC08D1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7EE02B88"/>
    <w:multiLevelType w:val="hybridMultilevel"/>
    <w:tmpl w:val="52947414"/>
    <w:lvl w:ilvl="0" w:tplc="A8B0D27A">
      <w:start w:val="1"/>
      <w:numFmt w:val="decimal"/>
      <w:lvlText w:val="%1."/>
      <w:lvlJc w:val="left"/>
      <w:pPr>
        <w:ind w:left="1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AE1946">
      <w:start w:val="1"/>
      <w:numFmt w:val="bullet"/>
      <w:lvlText w:val="•"/>
      <w:lvlPicBulletId w:val="1"/>
      <w:lvlJc w:val="left"/>
      <w:pPr>
        <w:ind w:left="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0C41EE">
      <w:start w:val="1"/>
      <w:numFmt w:val="bullet"/>
      <w:lvlText w:val="▪"/>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5AAEC4">
      <w:start w:val="1"/>
      <w:numFmt w:val="bullet"/>
      <w:lvlText w:val="•"/>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CAA176">
      <w:start w:val="1"/>
      <w:numFmt w:val="bullet"/>
      <w:lvlText w:val="o"/>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C4A9F4">
      <w:start w:val="1"/>
      <w:numFmt w:val="bullet"/>
      <w:lvlText w:val="▪"/>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06494C">
      <w:start w:val="1"/>
      <w:numFmt w:val="bullet"/>
      <w:lvlText w:val="•"/>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12A466">
      <w:start w:val="1"/>
      <w:numFmt w:val="bullet"/>
      <w:lvlText w:val="o"/>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7AA752">
      <w:start w:val="1"/>
      <w:numFmt w:val="bullet"/>
      <w:lvlText w:val="▪"/>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2" w15:restartNumberingAfterBreak="0">
    <w:nsid w:val="7EF004DE"/>
    <w:multiLevelType w:val="hybridMultilevel"/>
    <w:tmpl w:val="B116140A"/>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abstractNumId w:val="54"/>
  </w:num>
  <w:num w:numId="2">
    <w:abstractNumId w:val="33"/>
  </w:num>
  <w:num w:numId="3">
    <w:abstractNumId w:val="102"/>
  </w:num>
  <w:num w:numId="4">
    <w:abstractNumId w:val="24"/>
  </w:num>
  <w:num w:numId="5">
    <w:abstractNumId w:val="7"/>
  </w:num>
  <w:num w:numId="6">
    <w:abstractNumId w:val="56"/>
  </w:num>
  <w:num w:numId="7">
    <w:abstractNumId w:val="21"/>
  </w:num>
  <w:num w:numId="8">
    <w:abstractNumId w:val="91"/>
  </w:num>
  <w:num w:numId="9">
    <w:abstractNumId w:val="84"/>
  </w:num>
  <w:num w:numId="10">
    <w:abstractNumId w:val="61"/>
  </w:num>
  <w:num w:numId="11">
    <w:abstractNumId w:val="38"/>
  </w:num>
  <w:num w:numId="12">
    <w:abstractNumId w:val="65"/>
  </w:num>
  <w:num w:numId="13">
    <w:abstractNumId w:val="78"/>
  </w:num>
  <w:num w:numId="14">
    <w:abstractNumId w:val="14"/>
  </w:num>
  <w:num w:numId="15">
    <w:abstractNumId w:val="13"/>
  </w:num>
  <w:num w:numId="16">
    <w:abstractNumId w:val="62"/>
  </w:num>
  <w:num w:numId="17">
    <w:abstractNumId w:val="29"/>
  </w:num>
  <w:num w:numId="18">
    <w:abstractNumId w:val="1"/>
  </w:num>
  <w:num w:numId="19">
    <w:abstractNumId w:val="94"/>
  </w:num>
  <w:num w:numId="20">
    <w:abstractNumId w:val="40"/>
  </w:num>
  <w:num w:numId="21">
    <w:abstractNumId w:val="77"/>
  </w:num>
  <w:num w:numId="22">
    <w:abstractNumId w:val="19"/>
  </w:num>
  <w:num w:numId="23">
    <w:abstractNumId w:val="48"/>
  </w:num>
  <w:num w:numId="24">
    <w:abstractNumId w:val="41"/>
  </w:num>
  <w:num w:numId="25">
    <w:abstractNumId w:val="74"/>
  </w:num>
  <w:num w:numId="26">
    <w:abstractNumId w:val="69"/>
  </w:num>
  <w:num w:numId="27">
    <w:abstractNumId w:val="16"/>
  </w:num>
  <w:num w:numId="28">
    <w:abstractNumId w:val="75"/>
  </w:num>
  <w:num w:numId="29">
    <w:abstractNumId w:val="59"/>
  </w:num>
  <w:num w:numId="30">
    <w:abstractNumId w:val="55"/>
  </w:num>
  <w:num w:numId="31">
    <w:abstractNumId w:val="93"/>
  </w:num>
  <w:num w:numId="32">
    <w:abstractNumId w:val="67"/>
  </w:num>
  <w:num w:numId="33">
    <w:abstractNumId w:val="39"/>
  </w:num>
  <w:num w:numId="34">
    <w:abstractNumId w:val="82"/>
  </w:num>
  <w:num w:numId="35">
    <w:abstractNumId w:val="63"/>
  </w:num>
  <w:num w:numId="36">
    <w:abstractNumId w:val="95"/>
  </w:num>
  <w:num w:numId="37">
    <w:abstractNumId w:val="86"/>
  </w:num>
  <w:num w:numId="38">
    <w:abstractNumId w:val="37"/>
  </w:num>
  <w:num w:numId="39">
    <w:abstractNumId w:val="12"/>
  </w:num>
  <w:num w:numId="40">
    <w:abstractNumId w:val="73"/>
  </w:num>
  <w:num w:numId="41">
    <w:abstractNumId w:val="89"/>
  </w:num>
  <w:num w:numId="42">
    <w:abstractNumId w:val="25"/>
  </w:num>
  <w:num w:numId="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9"/>
  </w:num>
  <w:num w:numId="45">
    <w:abstractNumId w:val="15"/>
  </w:num>
  <w:num w:numId="46">
    <w:abstractNumId w:val="8"/>
  </w:num>
  <w:num w:numId="47">
    <w:abstractNumId w:val="80"/>
  </w:num>
  <w:num w:numId="48">
    <w:abstractNumId w:val="100"/>
  </w:num>
  <w:num w:numId="49">
    <w:abstractNumId w:val="90"/>
  </w:num>
  <w:num w:numId="50">
    <w:abstractNumId w:val="68"/>
  </w:num>
  <w:num w:numId="51">
    <w:abstractNumId w:val="46"/>
  </w:num>
  <w:num w:numId="52">
    <w:abstractNumId w:val="26"/>
  </w:num>
  <w:num w:numId="53">
    <w:abstractNumId w:val="92"/>
  </w:num>
  <w:num w:numId="54">
    <w:abstractNumId w:val="96"/>
  </w:num>
  <w:num w:numId="55">
    <w:abstractNumId w:val="64"/>
  </w:num>
  <w:num w:numId="56">
    <w:abstractNumId w:val="51"/>
  </w:num>
  <w:num w:numId="57">
    <w:abstractNumId w:val="53"/>
  </w:num>
  <w:num w:numId="58">
    <w:abstractNumId w:val="9"/>
  </w:num>
  <w:num w:numId="59">
    <w:abstractNumId w:val="10"/>
  </w:num>
  <w:num w:numId="60">
    <w:abstractNumId w:val="66"/>
  </w:num>
  <w:num w:numId="61">
    <w:abstractNumId w:val="85"/>
  </w:num>
  <w:num w:numId="62">
    <w:abstractNumId w:val="3"/>
  </w:num>
  <w:num w:numId="63">
    <w:abstractNumId w:val="57"/>
  </w:num>
  <w:num w:numId="64">
    <w:abstractNumId w:val="17"/>
  </w:num>
  <w:num w:numId="65">
    <w:abstractNumId w:val="52"/>
  </w:num>
  <w:num w:numId="66">
    <w:abstractNumId w:val="18"/>
  </w:num>
  <w:num w:numId="67">
    <w:abstractNumId w:val="42"/>
  </w:num>
  <w:num w:numId="68">
    <w:abstractNumId w:val="81"/>
  </w:num>
  <w:num w:numId="69">
    <w:abstractNumId w:val="79"/>
  </w:num>
  <w:num w:numId="70">
    <w:abstractNumId w:val="50"/>
  </w:num>
  <w:num w:numId="71">
    <w:abstractNumId w:val="27"/>
  </w:num>
  <w:num w:numId="72">
    <w:abstractNumId w:val="4"/>
  </w:num>
  <w:num w:numId="73">
    <w:abstractNumId w:val="32"/>
  </w:num>
  <w:num w:numId="74">
    <w:abstractNumId w:val="47"/>
  </w:num>
  <w:num w:numId="75">
    <w:abstractNumId w:val="72"/>
  </w:num>
  <w:num w:numId="76">
    <w:abstractNumId w:val="83"/>
  </w:num>
  <w:num w:numId="77">
    <w:abstractNumId w:val="70"/>
  </w:num>
  <w:num w:numId="78">
    <w:abstractNumId w:val="35"/>
  </w:num>
  <w:num w:numId="79">
    <w:abstractNumId w:val="5"/>
  </w:num>
  <w:num w:numId="80">
    <w:abstractNumId w:val="44"/>
  </w:num>
  <w:num w:numId="81">
    <w:abstractNumId w:val="22"/>
  </w:num>
  <w:num w:numId="82">
    <w:abstractNumId w:val="20"/>
  </w:num>
  <w:num w:numId="83">
    <w:abstractNumId w:val="43"/>
  </w:num>
  <w:num w:numId="84">
    <w:abstractNumId w:val="88"/>
  </w:num>
  <w:num w:numId="85">
    <w:abstractNumId w:val="24"/>
  </w:num>
  <w:num w:numId="86">
    <w:abstractNumId w:val="23"/>
  </w:num>
  <w:num w:numId="87">
    <w:abstractNumId w:val="97"/>
  </w:num>
  <w:num w:numId="88">
    <w:abstractNumId w:val="98"/>
  </w:num>
  <w:num w:numId="89">
    <w:abstractNumId w:val="2"/>
  </w:num>
  <w:num w:numId="90">
    <w:abstractNumId w:val="71"/>
  </w:num>
  <w:num w:numId="91">
    <w:abstractNumId w:val="45"/>
  </w:num>
  <w:num w:numId="92">
    <w:abstractNumId w:val="11"/>
  </w:num>
  <w:num w:numId="93">
    <w:abstractNumId w:val="28"/>
  </w:num>
  <w:num w:numId="94">
    <w:abstractNumId w:val="101"/>
  </w:num>
  <w:num w:numId="95">
    <w:abstractNumId w:val="60"/>
  </w:num>
  <w:num w:numId="96">
    <w:abstractNumId w:val="49"/>
  </w:num>
  <w:num w:numId="97">
    <w:abstractNumId w:val="58"/>
  </w:num>
  <w:num w:numId="98">
    <w:abstractNumId w:val="36"/>
  </w:num>
  <w:num w:numId="99">
    <w:abstractNumId w:val="0"/>
  </w:num>
  <w:num w:numId="100">
    <w:abstractNumId w:val="76"/>
  </w:num>
  <w:num w:numId="101">
    <w:abstractNumId w:val="30"/>
  </w:num>
  <w:num w:numId="102">
    <w:abstractNumId w:val="31"/>
  </w:num>
  <w:num w:numId="103">
    <w:abstractNumId w:val="34"/>
  </w:num>
  <w:num w:numId="104">
    <w:abstractNumId w:val="6"/>
  </w:num>
  <w:num w:numId="105">
    <w:abstractNumId w:val="87"/>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F07"/>
    <w:rsid w:val="00000061"/>
    <w:rsid w:val="0000006E"/>
    <w:rsid w:val="00000099"/>
    <w:rsid w:val="000000C8"/>
    <w:rsid w:val="000000CE"/>
    <w:rsid w:val="00000105"/>
    <w:rsid w:val="000001E0"/>
    <w:rsid w:val="000001FA"/>
    <w:rsid w:val="000002DE"/>
    <w:rsid w:val="00000306"/>
    <w:rsid w:val="0000031C"/>
    <w:rsid w:val="00000341"/>
    <w:rsid w:val="00000407"/>
    <w:rsid w:val="00000456"/>
    <w:rsid w:val="00000476"/>
    <w:rsid w:val="0000047F"/>
    <w:rsid w:val="00000483"/>
    <w:rsid w:val="00000699"/>
    <w:rsid w:val="0000069A"/>
    <w:rsid w:val="000006D8"/>
    <w:rsid w:val="000006FE"/>
    <w:rsid w:val="00000713"/>
    <w:rsid w:val="00000740"/>
    <w:rsid w:val="0000083E"/>
    <w:rsid w:val="000008AE"/>
    <w:rsid w:val="000008B5"/>
    <w:rsid w:val="000008F5"/>
    <w:rsid w:val="00000902"/>
    <w:rsid w:val="000009EA"/>
    <w:rsid w:val="000009EC"/>
    <w:rsid w:val="00000AA9"/>
    <w:rsid w:val="00000AE5"/>
    <w:rsid w:val="00000B27"/>
    <w:rsid w:val="00000B68"/>
    <w:rsid w:val="00000C38"/>
    <w:rsid w:val="00000C75"/>
    <w:rsid w:val="00000C7B"/>
    <w:rsid w:val="00000C85"/>
    <w:rsid w:val="00000CE9"/>
    <w:rsid w:val="00000DA5"/>
    <w:rsid w:val="00000DEA"/>
    <w:rsid w:val="00000E1C"/>
    <w:rsid w:val="00000ECE"/>
    <w:rsid w:val="00000F3E"/>
    <w:rsid w:val="0000109C"/>
    <w:rsid w:val="000010D9"/>
    <w:rsid w:val="00001179"/>
    <w:rsid w:val="0000119A"/>
    <w:rsid w:val="000011FF"/>
    <w:rsid w:val="0000123D"/>
    <w:rsid w:val="000012E2"/>
    <w:rsid w:val="000012EF"/>
    <w:rsid w:val="0000132C"/>
    <w:rsid w:val="0000134A"/>
    <w:rsid w:val="0000139D"/>
    <w:rsid w:val="000013CD"/>
    <w:rsid w:val="0000143A"/>
    <w:rsid w:val="000015E7"/>
    <w:rsid w:val="000015EF"/>
    <w:rsid w:val="000015FE"/>
    <w:rsid w:val="0000166D"/>
    <w:rsid w:val="00001677"/>
    <w:rsid w:val="000016A0"/>
    <w:rsid w:val="00001724"/>
    <w:rsid w:val="00001762"/>
    <w:rsid w:val="0000179B"/>
    <w:rsid w:val="000018AB"/>
    <w:rsid w:val="000018E6"/>
    <w:rsid w:val="00001919"/>
    <w:rsid w:val="0000196F"/>
    <w:rsid w:val="000019AE"/>
    <w:rsid w:val="00001A38"/>
    <w:rsid w:val="00001A3F"/>
    <w:rsid w:val="00001AC8"/>
    <w:rsid w:val="00001B12"/>
    <w:rsid w:val="00001B7D"/>
    <w:rsid w:val="00001BDC"/>
    <w:rsid w:val="00001C38"/>
    <w:rsid w:val="00001C73"/>
    <w:rsid w:val="00001D52"/>
    <w:rsid w:val="00001E99"/>
    <w:rsid w:val="00001EAC"/>
    <w:rsid w:val="00001F5F"/>
    <w:rsid w:val="00001F7A"/>
    <w:rsid w:val="00001FA1"/>
    <w:rsid w:val="00001FF3"/>
    <w:rsid w:val="0000206C"/>
    <w:rsid w:val="00002075"/>
    <w:rsid w:val="000021A0"/>
    <w:rsid w:val="0000220E"/>
    <w:rsid w:val="00002289"/>
    <w:rsid w:val="0000231B"/>
    <w:rsid w:val="0000233B"/>
    <w:rsid w:val="00002349"/>
    <w:rsid w:val="00002359"/>
    <w:rsid w:val="000023D8"/>
    <w:rsid w:val="000023E6"/>
    <w:rsid w:val="00002485"/>
    <w:rsid w:val="000024BC"/>
    <w:rsid w:val="000025BB"/>
    <w:rsid w:val="00002638"/>
    <w:rsid w:val="00002719"/>
    <w:rsid w:val="000027AD"/>
    <w:rsid w:val="0000287B"/>
    <w:rsid w:val="000028D1"/>
    <w:rsid w:val="000028E5"/>
    <w:rsid w:val="00002901"/>
    <w:rsid w:val="0000293B"/>
    <w:rsid w:val="00002A67"/>
    <w:rsid w:val="00002A6D"/>
    <w:rsid w:val="00002AEF"/>
    <w:rsid w:val="00002B54"/>
    <w:rsid w:val="00002B86"/>
    <w:rsid w:val="00002B93"/>
    <w:rsid w:val="00002CA1"/>
    <w:rsid w:val="00002CB2"/>
    <w:rsid w:val="00002CE3"/>
    <w:rsid w:val="00002D1F"/>
    <w:rsid w:val="00002D34"/>
    <w:rsid w:val="00002DE2"/>
    <w:rsid w:val="00002DF4"/>
    <w:rsid w:val="00002E05"/>
    <w:rsid w:val="00002E50"/>
    <w:rsid w:val="00002F62"/>
    <w:rsid w:val="00003073"/>
    <w:rsid w:val="00003074"/>
    <w:rsid w:val="0000308D"/>
    <w:rsid w:val="000030E6"/>
    <w:rsid w:val="000030F8"/>
    <w:rsid w:val="000031E3"/>
    <w:rsid w:val="0000320B"/>
    <w:rsid w:val="00003213"/>
    <w:rsid w:val="0000322E"/>
    <w:rsid w:val="000032AA"/>
    <w:rsid w:val="000032B1"/>
    <w:rsid w:val="000032EE"/>
    <w:rsid w:val="00003324"/>
    <w:rsid w:val="00003386"/>
    <w:rsid w:val="000033BF"/>
    <w:rsid w:val="000033C1"/>
    <w:rsid w:val="00003577"/>
    <w:rsid w:val="00003587"/>
    <w:rsid w:val="000035B2"/>
    <w:rsid w:val="00003630"/>
    <w:rsid w:val="00003671"/>
    <w:rsid w:val="000036C1"/>
    <w:rsid w:val="0000372F"/>
    <w:rsid w:val="000038D5"/>
    <w:rsid w:val="000039A3"/>
    <w:rsid w:val="00003A02"/>
    <w:rsid w:val="00003A05"/>
    <w:rsid w:val="00003AA4"/>
    <w:rsid w:val="00003ACE"/>
    <w:rsid w:val="00003AD9"/>
    <w:rsid w:val="00003BF4"/>
    <w:rsid w:val="00003BFB"/>
    <w:rsid w:val="00003D3D"/>
    <w:rsid w:val="00003D5D"/>
    <w:rsid w:val="00003D94"/>
    <w:rsid w:val="00003E0B"/>
    <w:rsid w:val="00003E3E"/>
    <w:rsid w:val="00003E42"/>
    <w:rsid w:val="00003E9F"/>
    <w:rsid w:val="00003EA2"/>
    <w:rsid w:val="00003EEA"/>
    <w:rsid w:val="00003F1A"/>
    <w:rsid w:val="00003F3B"/>
    <w:rsid w:val="00003F44"/>
    <w:rsid w:val="00003F94"/>
    <w:rsid w:val="00003FCB"/>
    <w:rsid w:val="00004004"/>
    <w:rsid w:val="0000402B"/>
    <w:rsid w:val="0000409D"/>
    <w:rsid w:val="000040F0"/>
    <w:rsid w:val="000041C9"/>
    <w:rsid w:val="000041E9"/>
    <w:rsid w:val="000042B1"/>
    <w:rsid w:val="00004315"/>
    <w:rsid w:val="0000442D"/>
    <w:rsid w:val="0000453E"/>
    <w:rsid w:val="00004611"/>
    <w:rsid w:val="00004614"/>
    <w:rsid w:val="000046B2"/>
    <w:rsid w:val="000046C9"/>
    <w:rsid w:val="000046FE"/>
    <w:rsid w:val="00004736"/>
    <w:rsid w:val="00004754"/>
    <w:rsid w:val="0000482D"/>
    <w:rsid w:val="0000488F"/>
    <w:rsid w:val="000048F4"/>
    <w:rsid w:val="00004900"/>
    <w:rsid w:val="00004972"/>
    <w:rsid w:val="000049C5"/>
    <w:rsid w:val="00004A9A"/>
    <w:rsid w:val="00004AD6"/>
    <w:rsid w:val="00004B69"/>
    <w:rsid w:val="00004BFD"/>
    <w:rsid w:val="00004C6D"/>
    <w:rsid w:val="00004CBB"/>
    <w:rsid w:val="00004D22"/>
    <w:rsid w:val="00004E32"/>
    <w:rsid w:val="00004FF3"/>
    <w:rsid w:val="0000500E"/>
    <w:rsid w:val="00005026"/>
    <w:rsid w:val="000050F4"/>
    <w:rsid w:val="000050F9"/>
    <w:rsid w:val="000050FC"/>
    <w:rsid w:val="0000511A"/>
    <w:rsid w:val="000051AD"/>
    <w:rsid w:val="000051FF"/>
    <w:rsid w:val="000052AF"/>
    <w:rsid w:val="00005353"/>
    <w:rsid w:val="0000536A"/>
    <w:rsid w:val="00005455"/>
    <w:rsid w:val="000054F8"/>
    <w:rsid w:val="0000552B"/>
    <w:rsid w:val="0000555A"/>
    <w:rsid w:val="000055A7"/>
    <w:rsid w:val="00005633"/>
    <w:rsid w:val="00005751"/>
    <w:rsid w:val="00005792"/>
    <w:rsid w:val="000057FE"/>
    <w:rsid w:val="0000586A"/>
    <w:rsid w:val="00005871"/>
    <w:rsid w:val="000058BE"/>
    <w:rsid w:val="00005910"/>
    <w:rsid w:val="00005A22"/>
    <w:rsid w:val="00005A58"/>
    <w:rsid w:val="00005ACC"/>
    <w:rsid w:val="00005B22"/>
    <w:rsid w:val="00005C0E"/>
    <w:rsid w:val="00005C3C"/>
    <w:rsid w:val="00005CE5"/>
    <w:rsid w:val="00005CF5"/>
    <w:rsid w:val="00005D38"/>
    <w:rsid w:val="00005D3A"/>
    <w:rsid w:val="00005D5C"/>
    <w:rsid w:val="00005D89"/>
    <w:rsid w:val="00005E35"/>
    <w:rsid w:val="00005F0D"/>
    <w:rsid w:val="00005F40"/>
    <w:rsid w:val="00005F47"/>
    <w:rsid w:val="00005F93"/>
    <w:rsid w:val="00005FB2"/>
    <w:rsid w:val="00006056"/>
    <w:rsid w:val="0000614C"/>
    <w:rsid w:val="000061DF"/>
    <w:rsid w:val="000061EF"/>
    <w:rsid w:val="00006225"/>
    <w:rsid w:val="00006256"/>
    <w:rsid w:val="000062BD"/>
    <w:rsid w:val="0000633E"/>
    <w:rsid w:val="0000636D"/>
    <w:rsid w:val="0000637E"/>
    <w:rsid w:val="00006534"/>
    <w:rsid w:val="0000658E"/>
    <w:rsid w:val="000065BA"/>
    <w:rsid w:val="000065D7"/>
    <w:rsid w:val="00006689"/>
    <w:rsid w:val="0000673B"/>
    <w:rsid w:val="0000679B"/>
    <w:rsid w:val="00006827"/>
    <w:rsid w:val="0000684B"/>
    <w:rsid w:val="00006862"/>
    <w:rsid w:val="00006870"/>
    <w:rsid w:val="0000687C"/>
    <w:rsid w:val="000068A1"/>
    <w:rsid w:val="00006A88"/>
    <w:rsid w:val="00006B05"/>
    <w:rsid w:val="00006B2B"/>
    <w:rsid w:val="00006B3B"/>
    <w:rsid w:val="00006B3D"/>
    <w:rsid w:val="00006C18"/>
    <w:rsid w:val="00006C91"/>
    <w:rsid w:val="00006CF4"/>
    <w:rsid w:val="00006DB3"/>
    <w:rsid w:val="00006DCD"/>
    <w:rsid w:val="00006E6B"/>
    <w:rsid w:val="00006EBA"/>
    <w:rsid w:val="00006EE6"/>
    <w:rsid w:val="00006F22"/>
    <w:rsid w:val="00007072"/>
    <w:rsid w:val="000070C4"/>
    <w:rsid w:val="00007118"/>
    <w:rsid w:val="00007364"/>
    <w:rsid w:val="000073B0"/>
    <w:rsid w:val="0000743C"/>
    <w:rsid w:val="0000747F"/>
    <w:rsid w:val="000075CC"/>
    <w:rsid w:val="00007646"/>
    <w:rsid w:val="000076FB"/>
    <w:rsid w:val="00007850"/>
    <w:rsid w:val="00007853"/>
    <w:rsid w:val="00007878"/>
    <w:rsid w:val="000078E8"/>
    <w:rsid w:val="00007936"/>
    <w:rsid w:val="00007968"/>
    <w:rsid w:val="00007986"/>
    <w:rsid w:val="000079C1"/>
    <w:rsid w:val="000079CC"/>
    <w:rsid w:val="00007A13"/>
    <w:rsid w:val="00007A92"/>
    <w:rsid w:val="00007B67"/>
    <w:rsid w:val="00007B9E"/>
    <w:rsid w:val="00007D42"/>
    <w:rsid w:val="00007D7B"/>
    <w:rsid w:val="00007D7D"/>
    <w:rsid w:val="00007DB4"/>
    <w:rsid w:val="00007DD4"/>
    <w:rsid w:val="00007EF2"/>
    <w:rsid w:val="00007F08"/>
    <w:rsid w:val="00007F0D"/>
    <w:rsid w:val="00007F6B"/>
    <w:rsid w:val="00007F71"/>
    <w:rsid w:val="00007FA1"/>
    <w:rsid w:val="00010000"/>
    <w:rsid w:val="00010070"/>
    <w:rsid w:val="000102C1"/>
    <w:rsid w:val="000103A0"/>
    <w:rsid w:val="000103C0"/>
    <w:rsid w:val="00010549"/>
    <w:rsid w:val="00010588"/>
    <w:rsid w:val="0001064B"/>
    <w:rsid w:val="00010651"/>
    <w:rsid w:val="00010676"/>
    <w:rsid w:val="00010737"/>
    <w:rsid w:val="0001073D"/>
    <w:rsid w:val="000107A6"/>
    <w:rsid w:val="00010808"/>
    <w:rsid w:val="00010882"/>
    <w:rsid w:val="00010933"/>
    <w:rsid w:val="00010A65"/>
    <w:rsid w:val="00010B60"/>
    <w:rsid w:val="00010BE6"/>
    <w:rsid w:val="00010C79"/>
    <w:rsid w:val="00010CD3"/>
    <w:rsid w:val="00010D55"/>
    <w:rsid w:val="00010D9B"/>
    <w:rsid w:val="00010DA6"/>
    <w:rsid w:val="00010E2A"/>
    <w:rsid w:val="00010E8F"/>
    <w:rsid w:val="00010F10"/>
    <w:rsid w:val="00010FCD"/>
    <w:rsid w:val="0001102C"/>
    <w:rsid w:val="0001103F"/>
    <w:rsid w:val="0001110C"/>
    <w:rsid w:val="0001111B"/>
    <w:rsid w:val="0001116C"/>
    <w:rsid w:val="000111CA"/>
    <w:rsid w:val="000111FA"/>
    <w:rsid w:val="00011263"/>
    <w:rsid w:val="00011301"/>
    <w:rsid w:val="00011312"/>
    <w:rsid w:val="0001135E"/>
    <w:rsid w:val="0001147C"/>
    <w:rsid w:val="0001152E"/>
    <w:rsid w:val="000115D3"/>
    <w:rsid w:val="00011620"/>
    <w:rsid w:val="0001164A"/>
    <w:rsid w:val="00011701"/>
    <w:rsid w:val="00011702"/>
    <w:rsid w:val="00011707"/>
    <w:rsid w:val="00011766"/>
    <w:rsid w:val="0001186F"/>
    <w:rsid w:val="00011872"/>
    <w:rsid w:val="0001188C"/>
    <w:rsid w:val="0001189B"/>
    <w:rsid w:val="000118CE"/>
    <w:rsid w:val="000118E8"/>
    <w:rsid w:val="00011911"/>
    <w:rsid w:val="00011A50"/>
    <w:rsid w:val="00011A68"/>
    <w:rsid w:val="00011AD9"/>
    <w:rsid w:val="00011ADC"/>
    <w:rsid w:val="00011B4F"/>
    <w:rsid w:val="00011B57"/>
    <w:rsid w:val="00011B62"/>
    <w:rsid w:val="00011B6D"/>
    <w:rsid w:val="00011BF2"/>
    <w:rsid w:val="00011CA7"/>
    <w:rsid w:val="00011D2B"/>
    <w:rsid w:val="00011D4E"/>
    <w:rsid w:val="00011D60"/>
    <w:rsid w:val="00011E0A"/>
    <w:rsid w:val="00011E1F"/>
    <w:rsid w:val="00011E39"/>
    <w:rsid w:val="00011E9A"/>
    <w:rsid w:val="00011FBA"/>
    <w:rsid w:val="00012002"/>
    <w:rsid w:val="00012014"/>
    <w:rsid w:val="0001203F"/>
    <w:rsid w:val="0001207E"/>
    <w:rsid w:val="00012095"/>
    <w:rsid w:val="000120CC"/>
    <w:rsid w:val="000121FE"/>
    <w:rsid w:val="000122C5"/>
    <w:rsid w:val="00012337"/>
    <w:rsid w:val="00012373"/>
    <w:rsid w:val="000123CB"/>
    <w:rsid w:val="00012406"/>
    <w:rsid w:val="0001244D"/>
    <w:rsid w:val="00012451"/>
    <w:rsid w:val="0001258D"/>
    <w:rsid w:val="000125BF"/>
    <w:rsid w:val="00012604"/>
    <w:rsid w:val="00012632"/>
    <w:rsid w:val="000126C0"/>
    <w:rsid w:val="00012838"/>
    <w:rsid w:val="00012868"/>
    <w:rsid w:val="00012871"/>
    <w:rsid w:val="00012888"/>
    <w:rsid w:val="000128BF"/>
    <w:rsid w:val="00012914"/>
    <w:rsid w:val="00012948"/>
    <w:rsid w:val="00012A38"/>
    <w:rsid w:val="00012A76"/>
    <w:rsid w:val="00012AA7"/>
    <w:rsid w:val="00012B04"/>
    <w:rsid w:val="00012B1E"/>
    <w:rsid w:val="00012B71"/>
    <w:rsid w:val="00012B98"/>
    <w:rsid w:val="00012BB5"/>
    <w:rsid w:val="00012BBA"/>
    <w:rsid w:val="00012BC2"/>
    <w:rsid w:val="00012BED"/>
    <w:rsid w:val="00012C3F"/>
    <w:rsid w:val="00012C63"/>
    <w:rsid w:val="00012C69"/>
    <w:rsid w:val="00012D9D"/>
    <w:rsid w:val="00012E53"/>
    <w:rsid w:val="00012EB8"/>
    <w:rsid w:val="00012F80"/>
    <w:rsid w:val="00012F88"/>
    <w:rsid w:val="00013029"/>
    <w:rsid w:val="00013167"/>
    <w:rsid w:val="000131AE"/>
    <w:rsid w:val="00013205"/>
    <w:rsid w:val="0001327A"/>
    <w:rsid w:val="00013357"/>
    <w:rsid w:val="0001338F"/>
    <w:rsid w:val="000133C9"/>
    <w:rsid w:val="000133F8"/>
    <w:rsid w:val="00013402"/>
    <w:rsid w:val="00013475"/>
    <w:rsid w:val="00013479"/>
    <w:rsid w:val="000134A4"/>
    <w:rsid w:val="000134B0"/>
    <w:rsid w:val="00013567"/>
    <w:rsid w:val="00013601"/>
    <w:rsid w:val="00013658"/>
    <w:rsid w:val="00013718"/>
    <w:rsid w:val="00013719"/>
    <w:rsid w:val="00013855"/>
    <w:rsid w:val="000138A5"/>
    <w:rsid w:val="000139DB"/>
    <w:rsid w:val="00013A26"/>
    <w:rsid w:val="00013A67"/>
    <w:rsid w:val="00013AA9"/>
    <w:rsid w:val="00013BB8"/>
    <w:rsid w:val="00013C1F"/>
    <w:rsid w:val="00013C9D"/>
    <w:rsid w:val="00013CB3"/>
    <w:rsid w:val="00013DC8"/>
    <w:rsid w:val="00013FA6"/>
    <w:rsid w:val="00013FEB"/>
    <w:rsid w:val="00013FF5"/>
    <w:rsid w:val="00013FF9"/>
    <w:rsid w:val="000140B4"/>
    <w:rsid w:val="00014183"/>
    <w:rsid w:val="00014262"/>
    <w:rsid w:val="000142E3"/>
    <w:rsid w:val="000142E4"/>
    <w:rsid w:val="000142F0"/>
    <w:rsid w:val="0001432E"/>
    <w:rsid w:val="00014429"/>
    <w:rsid w:val="0001445B"/>
    <w:rsid w:val="00014460"/>
    <w:rsid w:val="000144B7"/>
    <w:rsid w:val="000144C9"/>
    <w:rsid w:val="000144D3"/>
    <w:rsid w:val="000144DC"/>
    <w:rsid w:val="000144F6"/>
    <w:rsid w:val="000145B7"/>
    <w:rsid w:val="000145F7"/>
    <w:rsid w:val="000146E1"/>
    <w:rsid w:val="0001473D"/>
    <w:rsid w:val="0001476C"/>
    <w:rsid w:val="0001489E"/>
    <w:rsid w:val="000149A6"/>
    <w:rsid w:val="000149A7"/>
    <w:rsid w:val="00014AB2"/>
    <w:rsid w:val="00014AD5"/>
    <w:rsid w:val="00014B21"/>
    <w:rsid w:val="00014B37"/>
    <w:rsid w:val="00014BA9"/>
    <w:rsid w:val="00014BBE"/>
    <w:rsid w:val="00014C2C"/>
    <w:rsid w:val="00014C53"/>
    <w:rsid w:val="00014C63"/>
    <w:rsid w:val="00014CEC"/>
    <w:rsid w:val="00014DF1"/>
    <w:rsid w:val="00014EAC"/>
    <w:rsid w:val="00014EF5"/>
    <w:rsid w:val="00014F6F"/>
    <w:rsid w:val="00014FC8"/>
    <w:rsid w:val="000150B7"/>
    <w:rsid w:val="00015144"/>
    <w:rsid w:val="00015165"/>
    <w:rsid w:val="000151B9"/>
    <w:rsid w:val="00015218"/>
    <w:rsid w:val="00015253"/>
    <w:rsid w:val="0001532B"/>
    <w:rsid w:val="00015385"/>
    <w:rsid w:val="0001539F"/>
    <w:rsid w:val="00015405"/>
    <w:rsid w:val="00015417"/>
    <w:rsid w:val="00015462"/>
    <w:rsid w:val="00015485"/>
    <w:rsid w:val="00015489"/>
    <w:rsid w:val="000154CC"/>
    <w:rsid w:val="000154EE"/>
    <w:rsid w:val="00015506"/>
    <w:rsid w:val="0001553A"/>
    <w:rsid w:val="0001559E"/>
    <w:rsid w:val="000156EC"/>
    <w:rsid w:val="00015714"/>
    <w:rsid w:val="000157C1"/>
    <w:rsid w:val="0001581F"/>
    <w:rsid w:val="00015820"/>
    <w:rsid w:val="00015825"/>
    <w:rsid w:val="00015847"/>
    <w:rsid w:val="0001587F"/>
    <w:rsid w:val="00015904"/>
    <w:rsid w:val="00015947"/>
    <w:rsid w:val="00015986"/>
    <w:rsid w:val="00015B28"/>
    <w:rsid w:val="00015B8F"/>
    <w:rsid w:val="00015BEF"/>
    <w:rsid w:val="00015D5F"/>
    <w:rsid w:val="00015DCD"/>
    <w:rsid w:val="00015E1B"/>
    <w:rsid w:val="00015E7D"/>
    <w:rsid w:val="00015FEB"/>
    <w:rsid w:val="0001600B"/>
    <w:rsid w:val="0001603C"/>
    <w:rsid w:val="000160E9"/>
    <w:rsid w:val="00016169"/>
    <w:rsid w:val="000161E0"/>
    <w:rsid w:val="00016219"/>
    <w:rsid w:val="00016227"/>
    <w:rsid w:val="00016233"/>
    <w:rsid w:val="00016277"/>
    <w:rsid w:val="000162CE"/>
    <w:rsid w:val="00016372"/>
    <w:rsid w:val="000163CB"/>
    <w:rsid w:val="000163EC"/>
    <w:rsid w:val="0001640A"/>
    <w:rsid w:val="0001644D"/>
    <w:rsid w:val="00016488"/>
    <w:rsid w:val="000164EA"/>
    <w:rsid w:val="00016592"/>
    <w:rsid w:val="000165B9"/>
    <w:rsid w:val="00016669"/>
    <w:rsid w:val="000166A3"/>
    <w:rsid w:val="000166BE"/>
    <w:rsid w:val="000167C9"/>
    <w:rsid w:val="00016822"/>
    <w:rsid w:val="0001686F"/>
    <w:rsid w:val="0001689F"/>
    <w:rsid w:val="000168A0"/>
    <w:rsid w:val="000168C8"/>
    <w:rsid w:val="000168E6"/>
    <w:rsid w:val="00016925"/>
    <w:rsid w:val="000169CD"/>
    <w:rsid w:val="00016A1F"/>
    <w:rsid w:val="00016B86"/>
    <w:rsid w:val="00016BC1"/>
    <w:rsid w:val="00016C7A"/>
    <w:rsid w:val="00016DAF"/>
    <w:rsid w:val="00016EE6"/>
    <w:rsid w:val="00016F2A"/>
    <w:rsid w:val="00016F54"/>
    <w:rsid w:val="00016FA2"/>
    <w:rsid w:val="00016FA4"/>
    <w:rsid w:val="0001707B"/>
    <w:rsid w:val="0001712A"/>
    <w:rsid w:val="000171D0"/>
    <w:rsid w:val="0001736A"/>
    <w:rsid w:val="000173F6"/>
    <w:rsid w:val="00017499"/>
    <w:rsid w:val="000174B4"/>
    <w:rsid w:val="00017507"/>
    <w:rsid w:val="00017516"/>
    <w:rsid w:val="00017649"/>
    <w:rsid w:val="00017680"/>
    <w:rsid w:val="000176DB"/>
    <w:rsid w:val="00017867"/>
    <w:rsid w:val="00017889"/>
    <w:rsid w:val="000178CE"/>
    <w:rsid w:val="000178D3"/>
    <w:rsid w:val="00017A71"/>
    <w:rsid w:val="00017A89"/>
    <w:rsid w:val="00017AFA"/>
    <w:rsid w:val="00017B1E"/>
    <w:rsid w:val="00017B8A"/>
    <w:rsid w:val="00017BA8"/>
    <w:rsid w:val="00017BD0"/>
    <w:rsid w:val="00017D84"/>
    <w:rsid w:val="00017E9B"/>
    <w:rsid w:val="00017EA7"/>
    <w:rsid w:val="00017F3E"/>
    <w:rsid w:val="0001D627"/>
    <w:rsid w:val="00020008"/>
    <w:rsid w:val="00020026"/>
    <w:rsid w:val="00020122"/>
    <w:rsid w:val="0002012F"/>
    <w:rsid w:val="0002013E"/>
    <w:rsid w:val="000201D9"/>
    <w:rsid w:val="000202D4"/>
    <w:rsid w:val="00020319"/>
    <w:rsid w:val="00020338"/>
    <w:rsid w:val="0002033E"/>
    <w:rsid w:val="0002042B"/>
    <w:rsid w:val="00020449"/>
    <w:rsid w:val="00020471"/>
    <w:rsid w:val="00020535"/>
    <w:rsid w:val="00020560"/>
    <w:rsid w:val="000205E7"/>
    <w:rsid w:val="00020606"/>
    <w:rsid w:val="00020622"/>
    <w:rsid w:val="00020629"/>
    <w:rsid w:val="0002068D"/>
    <w:rsid w:val="0002071E"/>
    <w:rsid w:val="00020762"/>
    <w:rsid w:val="000207E6"/>
    <w:rsid w:val="0002085A"/>
    <w:rsid w:val="00020922"/>
    <w:rsid w:val="00020927"/>
    <w:rsid w:val="00020984"/>
    <w:rsid w:val="000209B6"/>
    <w:rsid w:val="000209E0"/>
    <w:rsid w:val="00020A57"/>
    <w:rsid w:val="00020AED"/>
    <w:rsid w:val="00020B88"/>
    <w:rsid w:val="00020BB2"/>
    <w:rsid w:val="00020BFD"/>
    <w:rsid w:val="00020C54"/>
    <w:rsid w:val="00020CC0"/>
    <w:rsid w:val="00020CC6"/>
    <w:rsid w:val="00020E2D"/>
    <w:rsid w:val="00020E9F"/>
    <w:rsid w:val="00020F2C"/>
    <w:rsid w:val="00020F79"/>
    <w:rsid w:val="00020FB0"/>
    <w:rsid w:val="00020FCE"/>
    <w:rsid w:val="00021083"/>
    <w:rsid w:val="0002113B"/>
    <w:rsid w:val="00021182"/>
    <w:rsid w:val="000211D5"/>
    <w:rsid w:val="000211E6"/>
    <w:rsid w:val="000211FF"/>
    <w:rsid w:val="00021202"/>
    <w:rsid w:val="0002121B"/>
    <w:rsid w:val="00021235"/>
    <w:rsid w:val="000212BF"/>
    <w:rsid w:val="0002130A"/>
    <w:rsid w:val="000213F9"/>
    <w:rsid w:val="00021513"/>
    <w:rsid w:val="000215AA"/>
    <w:rsid w:val="000215BC"/>
    <w:rsid w:val="000215E6"/>
    <w:rsid w:val="00021631"/>
    <w:rsid w:val="000218A9"/>
    <w:rsid w:val="000218DE"/>
    <w:rsid w:val="00021906"/>
    <w:rsid w:val="0002196C"/>
    <w:rsid w:val="0002197B"/>
    <w:rsid w:val="00021A57"/>
    <w:rsid w:val="00021A67"/>
    <w:rsid w:val="00021A71"/>
    <w:rsid w:val="00021C0D"/>
    <w:rsid w:val="00021D15"/>
    <w:rsid w:val="00021D23"/>
    <w:rsid w:val="00021D38"/>
    <w:rsid w:val="00021DA9"/>
    <w:rsid w:val="00021EE6"/>
    <w:rsid w:val="00021F99"/>
    <w:rsid w:val="00021FC1"/>
    <w:rsid w:val="00022031"/>
    <w:rsid w:val="00022065"/>
    <w:rsid w:val="0002212B"/>
    <w:rsid w:val="000221FD"/>
    <w:rsid w:val="0002227D"/>
    <w:rsid w:val="0002227E"/>
    <w:rsid w:val="000222A0"/>
    <w:rsid w:val="00022339"/>
    <w:rsid w:val="000223A7"/>
    <w:rsid w:val="00022511"/>
    <w:rsid w:val="00022518"/>
    <w:rsid w:val="00022605"/>
    <w:rsid w:val="00022657"/>
    <w:rsid w:val="00022664"/>
    <w:rsid w:val="000226CF"/>
    <w:rsid w:val="00022702"/>
    <w:rsid w:val="00022741"/>
    <w:rsid w:val="000227EF"/>
    <w:rsid w:val="00022857"/>
    <w:rsid w:val="000228D6"/>
    <w:rsid w:val="00022A44"/>
    <w:rsid w:val="00022AFB"/>
    <w:rsid w:val="00022C82"/>
    <w:rsid w:val="00022E4D"/>
    <w:rsid w:val="00022E5E"/>
    <w:rsid w:val="00022E67"/>
    <w:rsid w:val="00022E6D"/>
    <w:rsid w:val="00022F3E"/>
    <w:rsid w:val="00022FAC"/>
    <w:rsid w:val="00022FB8"/>
    <w:rsid w:val="00023080"/>
    <w:rsid w:val="000230B2"/>
    <w:rsid w:val="0002314E"/>
    <w:rsid w:val="00023163"/>
    <w:rsid w:val="00023362"/>
    <w:rsid w:val="00023375"/>
    <w:rsid w:val="000233A4"/>
    <w:rsid w:val="000234B5"/>
    <w:rsid w:val="00023546"/>
    <w:rsid w:val="000235D4"/>
    <w:rsid w:val="00023627"/>
    <w:rsid w:val="00023684"/>
    <w:rsid w:val="000236BB"/>
    <w:rsid w:val="00023700"/>
    <w:rsid w:val="0002371A"/>
    <w:rsid w:val="0002376E"/>
    <w:rsid w:val="000237E8"/>
    <w:rsid w:val="000238DA"/>
    <w:rsid w:val="00023987"/>
    <w:rsid w:val="00023B16"/>
    <w:rsid w:val="00023B28"/>
    <w:rsid w:val="00023BCB"/>
    <w:rsid w:val="00023BD9"/>
    <w:rsid w:val="00023BE5"/>
    <w:rsid w:val="00023C81"/>
    <w:rsid w:val="00023CC0"/>
    <w:rsid w:val="00023CE9"/>
    <w:rsid w:val="00023D91"/>
    <w:rsid w:val="00023DAA"/>
    <w:rsid w:val="00023DBF"/>
    <w:rsid w:val="00023DCA"/>
    <w:rsid w:val="00023E86"/>
    <w:rsid w:val="00023EDF"/>
    <w:rsid w:val="00023F5B"/>
    <w:rsid w:val="000240B4"/>
    <w:rsid w:val="000240D9"/>
    <w:rsid w:val="0002410F"/>
    <w:rsid w:val="00024153"/>
    <w:rsid w:val="000241B7"/>
    <w:rsid w:val="000241C2"/>
    <w:rsid w:val="000241CF"/>
    <w:rsid w:val="000241D3"/>
    <w:rsid w:val="0002422A"/>
    <w:rsid w:val="000242C0"/>
    <w:rsid w:val="000243B8"/>
    <w:rsid w:val="00024424"/>
    <w:rsid w:val="000244EB"/>
    <w:rsid w:val="0002450B"/>
    <w:rsid w:val="0002451C"/>
    <w:rsid w:val="0002452D"/>
    <w:rsid w:val="0002455E"/>
    <w:rsid w:val="0002456A"/>
    <w:rsid w:val="000245C8"/>
    <w:rsid w:val="00024654"/>
    <w:rsid w:val="000246FF"/>
    <w:rsid w:val="00024707"/>
    <w:rsid w:val="0002474C"/>
    <w:rsid w:val="00024750"/>
    <w:rsid w:val="0002478D"/>
    <w:rsid w:val="0002479F"/>
    <w:rsid w:val="000247FF"/>
    <w:rsid w:val="00024817"/>
    <w:rsid w:val="00024877"/>
    <w:rsid w:val="00024881"/>
    <w:rsid w:val="0002488A"/>
    <w:rsid w:val="000248DA"/>
    <w:rsid w:val="000248FF"/>
    <w:rsid w:val="0002497E"/>
    <w:rsid w:val="00024AFE"/>
    <w:rsid w:val="00024B5C"/>
    <w:rsid w:val="00024BDD"/>
    <w:rsid w:val="00024C3B"/>
    <w:rsid w:val="00024CA0"/>
    <w:rsid w:val="00024CEB"/>
    <w:rsid w:val="00024D68"/>
    <w:rsid w:val="00024DBC"/>
    <w:rsid w:val="00024DE7"/>
    <w:rsid w:val="00024E18"/>
    <w:rsid w:val="00024E52"/>
    <w:rsid w:val="00024EE7"/>
    <w:rsid w:val="00024EFD"/>
    <w:rsid w:val="00024F4A"/>
    <w:rsid w:val="00024FEE"/>
    <w:rsid w:val="000250DE"/>
    <w:rsid w:val="00025121"/>
    <w:rsid w:val="00025124"/>
    <w:rsid w:val="0002540B"/>
    <w:rsid w:val="00025474"/>
    <w:rsid w:val="000254F2"/>
    <w:rsid w:val="00025550"/>
    <w:rsid w:val="000255D5"/>
    <w:rsid w:val="000255E1"/>
    <w:rsid w:val="0002563F"/>
    <w:rsid w:val="0002575B"/>
    <w:rsid w:val="000257A7"/>
    <w:rsid w:val="000257FD"/>
    <w:rsid w:val="0002580F"/>
    <w:rsid w:val="00025850"/>
    <w:rsid w:val="00025874"/>
    <w:rsid w:val="00025A5A"/>
    <w:rsid w:val="00025B8A"/>
    <w:rsid w:val="00025BD8"/>
    <w:rsid w:val="00025C52"/>
    <w:rsid w:val="00025C57"/>
    <w:rsid w:val="00025D02"/>
    <w:rsid w:val="00025D0A"/>
    <w:rsid w:val="00025D29"/>
    <w:rsid w:val="00025DF8"/>
    <w:rsid w:val="00025E20"/>
    <w:rsid w:val="00025E50"/>
    <w:rsid w:val="00025F1C"/>
    <w:rsid w:val="00025F48"/>
    <w:rsid w:val="00025FAC"/>
    <w:rsid w:val="00026084"/>
    <w:rsid w:val="000260F3"/>
    <w:rsid w:val="000261B0"/>
    <w:rsid w:val="000261B1"/>
    <w:rsid w:val="0002622E"/>
    <w:rsid w:val="0002624A"/>
    <w:rsid w:val="000262D6"/>
    <w:rsid w:val="00026338"/>
    <w:rsid w:val="0002636A"/>
    <w:rsid w:val="000263E6"/>
    <w:rsid w:val="00026428"/>
    <w:rsid w:val="0002645E"/>
    <w:rsid w:val="00026483"/>
    <w:rsid w:val="000264DF"/>
    <w:rsid w:val="00026555"/>
    <w:rsid w:val="000265D1"/>
    <w:rsid w:val="000265E3"/>
    <w:rsid w:val="0002679D"/>
    <w:rsid w:val="000267A7"/>
    <w:rsid w:val="000267F5"/>
    <w:rsid w:val="0002686A"/>
    <w:rsid w:val="0002693A"/>
    <w:rsid w:val="00026976"/>
    <w:rsid w:val="00026990"/>
    <w:rsid w:val="000269A0"/>
    <w:rsid w:val="00026A10"/>
    <w:rsid w:val="00026A3D"/>
    <w:rsid w:val="00026A7E"/>
    <w:rsid w:val="00026AC2"/>
    <w:rsid w:val="00026B51"/>
    <w:rsid w:val="00026B55"/>
    <w:rsid w:val="00026C27"/>
    <w:rsid w:val="00026D54"/>
    <w:rsid w:val="00026D6E"/>
    <w:rsid w:val="00026D77"/>
    <w:rsid w:val="00026E5F"/>
    <w:rsid w:val="00026E6C"/>
    <w:rsid w:val="00026E86"/>
    <w:rsid w:val="00026EB2"/>
    <w:rsid w:val="00026F0D"/>
    <w:rsid w:val="0002700F"/>
    <w:rsid w:val="000270B4"/>
    <w:rsid w:val="000270D6"/>
    <w:rsid w:val="0002725C"/>
    <w:rsid w:val="0002735B"/>
    <w:rsid w:val="000273EA"/>
    <w:rsid w:val="00027414"/>
    <w:rsid w:val="00027476"/>
    <w:rsid w:val="000274CE"/>
    <w:rsid w:val="000274D4"/>
    <w:rsid w:val="000274EE"/>
    <w:rsid w:val="00027514"/>
    <w:rsid w:val="0002752C"/>
    <w:rsid w:val="000275D4"/>
    <w:rsid w:val="000275E7"/>
    <w:rsid w:val="000276A0"/>
    <w:rsid w:val="000276B6"/>
    <w:rsid w:val="00027720"/>
    <w:rsid w:val="000277AC"/>
    <w:rsid w:val="00027888"/>
    <w:rsid w:val="0002798D"/>
    <w:rsid w:val="000279D0"/>
    <w:rsid w:val="00027AFC"/>
    <w:rsid w:val="00027B22"/>
    <w:rsid w:val="00027C00"/>
    <w:rsid w:val="00027C92"/>
    <w:rsid w:val="00027CED"/>
    <w:rsid w:val="00027D07"/>
    <w:rsid w:val="00027D08"/>
    <w:rsid w:val="00027D41"/>
    <w:rsid w:val="00027D5F"/>
    <w:rsid w:val="00027D81"/>
    <w:rsid w:val="00027D8B"/>
    <w:rsid w:val="00027DCD"/>
    <w:rsid w:val="00027E34"/>
    <w:rsid w:val="00027E8D"/>
    <w:rsid w:val="00027E9B"/>
    <w:rsid w:val="00027ECC"/>
    <w:rsid w:val="00027FFA"/>
    <w:rsid w:val="00030107"/>
    <w:rsid w:val="00030136"/>
    <w:rsid w:val="00030200"/>
    <w:rsid w:val="00030267"/>
    <w:rsid w:val="0003029A"/>
    <w:rsid w:val="000302EC"/>
    <w:rsid w:val="00030309"/>
    <w:rsid w:val="00030325"/>
    <w:rsid w:val="000304A2"/>
    <w:rsid w:val="000304DE"/>
    <w:rsid w:val="0003061E"/>
    <w:rsid w:val="00030622"/>
    <w:rsid w:val="00030625"/>
    <w:rsid w:val="00030648"/>
    <w:rsid w:val="00030769"/>
    <w:rsid w:val="000308AB"/>
    <w:rsid w:val="000308E0"/>
    <w:rsid w:val="000308E1"/>
    <w:rsid w:val="000308FA"/>
    <w:rsid w:val="00030962"/>
    <w:rsid w:val="00030A9A"/>
    <w:rsid w:val="00030A9F"/>
    <w:rsid w:val="00030AC4"/>
    <w:rsid w:val="00030AF5"/>
    <w:rsid w:val="00030B5D"/>
    <w:rsid w:val="00030BFC"/>
    <w:rsid w:val="00030C80"/>
    <w:rsid w:val="00030D3C"/>
    <w:rsid w:val="00030D44"/>
    <w:rsid w:val="00030E01"/>
    <w:rsid w:val="00030E22"/>
    <w:rsid w:val="00030E72"/>
    <w:rsid w:val="00030ECD"/>
    <w:rsid w:val="00030ED0"/>
    <w:rsid w:val="00030F10"/>
    <w:rsid w:val="00030F19"/>
    <w:rsid w:val="00030F26"/>
    <w:rsid w:val="00030F2A"/>
    <w:rsid w:val="00030F39"/>
    <w:rsid w:val="00031000"/>
    <w:rsid w:val="00031009"/>
    <w:rsid w:val="00031043"/>
    <w:rsid w:val="00031111"/>
    <w:rsid w:val="00031115"/>
    <w:rsid w:val="0003121D"/>
    <w:rsid w:val="00031243"/>
    <w:rsid w:val="000312A5"/>
    <w:rsid w:val="000312EA"/>
    <w:rsid w:val="00031341"/>
    <w:rsid w:val="00031368"/>
    <w:rsid w:val="00031370"/>
    <w:rsid w:val="000313CD"/>
    <w:rsid w:val="0003140F"/>
    <w:rsid w:val="0003158B"/>
    <w:rsid w:val="000315AE"/>
    <w:rsid w:val="000315C2"/>
    <w:rsid w:val="0003162A"/>
    <w:rsid w:val="00031798"/>
    <w:rsid w:val="00031846"/>
    <w:rsid w:val="0003186E"/>
    <w:rsid w:val="00031A52"/>
    <w:rsid w:val="00031B78"/>
    <w:rsid w:val="00031C62"/>
    <w:rsid w:val="00031CDE"/>
    <w:rsid w:val="00031D58"/>
    <w:rsid w:val="00031DF9"/>
    <w:rsid w:val="00031E0A"/>
    <w:rsid w:val="00031E19"/>
    <w:rsid w:val="00031E52"/>
    <w:rsid w:val="00031ECA"/>
    <w:rsid w:val="00031F27"/>
    <w:rsid w:val="0003201E"/>
    <w:rsid w:val="00032026"/>
    <w:rsid w:val="000320D0"/>
    <w:rsid w:val="00032106"/>
    <w:rsid w:val="00032107"/>
    <w:rsid w:val="00032132"/>
    <w:rsid w:val="00032168"/>
    <w:rsid w:val="000321AD"/>
    <w:rsid w:val="0003223D"/>
    <w:rsid w:val="000322ED"/>
    <w:rsid w:val="000322FF"/>
    <w:rsid w:val="000323E6"/>
    <w:rsid w:val="00032407"/>
    <w:rsid w:val="00032562"/>
    <w:rsid w:val="000325A0"/>
    <w:rsid w:val="000325C6"/>
    <w:rsid w:val="0003261F"/>
    <w:rsid w:val="0003265B"/>
    <w:rsid w:val="000326D5"/>
    <w:rsid w:val="00032721"/>
    <w:rsid w:val="000327DC"/>
    <w:rsid w:val="0003289E"/>
    <w:rsid w:val="0003289F"/>
    <w:rsid w:val="00032936"/>
    <w:rsid w:val="000329DE"/>
    <w:rsid w:val="00032A0E"/>
    <w:rsid w:val="00032A2E"/>
    <w:rsid w:val="00032A3C"/>
    <w:rsid w:val="00032A51"/>
    <w:rsid w:val="00032AF7"/>
    <w:rsid w:val="00032B07"/>
    <w:rsid w:val="00032B1C"/>
    <w:rsid w:val="00032B5D"/>
    <w:rsid w:val="00032B97"/>
    <w:rsid w:val="00032BA9"/>
    <w:rsid w:val="00032BF3"/>
    <w:rsid w:val="00032BFB"/>
    <w:rsid w:val="00032C3B"/>
    <w:rsid w:val="00032D8A"/>
    <w:rsid w:val="00032D8B"/>
    <w:rsid w:val="00032E34"/>
    <w:rsid w:val="00032E9B"/>
    <w:rsid w:val="00032F42"/>
    <w:rsid w:val="00032FB6"/>
    <w:rsid w:val="00033034"/>
    <w:rsid w:val="0003305C"/>
    <w:rsid w:val="000330C4"/>
    <w:rsid w:val="000331F2"/>
    <w:rsid w:val="0003321F"/>
    <w:rsid w:val="00033249"/>
    <w:rsid w:val="00033351"/>
    <w:rsid w:val="00033360"/>
    <w:rsid w:val="000333AD"/>
    <w:rsid w:val="00033409"/>
    <w:rsid w:val="0003342F"/>
    <w:rsid w:val="000334CA"/>
    <w:rsid w:val="000335FA"/>
    <w:rsid w:val="000336C2"/>
    <w:rsid w:val="0003378E"/>
    <w:rsid w:val="0003380E"/>
    <w:rsid w:val="00033839"/>
    <w:rsid w:val="00033842"/>
    <w:rsid w:val="0003387A"/>
    <w:rsid w:val="000338B1"/>
    <w:rsid w:val="00033933"/>
    <w:rsid w:val="000339E9"/>
    <w:rsid w:val="00033A14"/>
    <w:rsid w:val="00033A86"/>
    <w:rsid w:val="00033B01"/>
    <w:rsid w:val="00033C2A"/>
    <w:rsid w:val="00033CC0"/>
    <w:rsid w:val="00033D1D"/>
    <w:rsid w:val="00033D5C"/>
    <w:rsid w:val="00033D84"/>
    <w:rsid w:val="00033DDD"/>
    <w:rsid w:val="00033E44"/>
    <w:rsid w:val="00033E6A"/>
    <w:rsid w:val="00033EA8"/>
    <w:rsid w:val="00033F02"/>
    <w:rsid w:val="00033F11"/>
    <w:rsid w:val="00033FBC"/>
    <w:rsid w:val="00033FE4"/>
    <w:rsid w:val="0003402B"/>
    <w:rsid w:val="00034091"/>
    <w:rsid w:val="0003409A"/>
    <w:rsid w:val="000340AF"/>
    <w:rsid w:val="000340BB"/>
    <w:rsid w:val="0003411A"/>
    <w:rsid w:val="00034152"/>
    <w:rsid w:val="000342BE"/>
    <w:rsid w:val="00034377"/>
    <w:rsid w:val="00034403"/>
    <w:rsid w:val="0003448A"/>
    <w:rsid w:val="00034497"/>
    <w:rsid w:val="000344B8"/>
    <w:rsid w:val="00034522"/>
    <w:rsid w:val="0003459F"/>
    <w:rsid w:val="000345BD"/>
    <w:rsid w:val="000345E5"/>
    <w:rsid w:val="00034631"/>
    <w:rsid w:val="00034639"/>
    <w:rsid w:val="0003467B"/>
    <w:rsid w:val="000346DC"/>
    <w:rsid w:val="000347AD"/>
    <w:rsid w:val="000347D2"/>
    <w:rsid w:val="00034824"/>
    <w:rsid w:val="0003486A"/>
    <w:rsid w:val="0003494F"/>
    <w:rsid w:val="0003495D"/>
    <w:rsid w:val="0003499D"/>
    <w:rsid w:val="000349D7"/>
    <w:rsid w:val="000349E6"/>
    <w:rsid w:val="00034A33"/>
    <w:rsid w:val="00034A56"/>
    <w:rsid w:val="00034B55"/>
    <w:rsid w:val="00034C83"/>
    <w:rsid w:val="00034D5A"/>
    <w:rsid w:val="00034EAB"/>
    <w:rsid w:val="00034F21"/>
    <w:rsid w:val="00034F33"/>
    <w:rsid w:val="00034FE1"/>
    <w:rsid w:val="000350F4"/>
    <w:rsid w:val="00035110"/>
    <w:rsid w:val="00035152"/>
    <w:rsid w:val="000351EE"/>
    <w:rsid w:val="000352B0"/>
    <w:rsid w:val="0003530F"/>
    <w:rsid w:val="00035343"/>
    <w:rsid w:val="000353B6"/>
    <w:rsid w:val="000353EB"/>
    <w:rsid w:val="0003546D"/>
    <w:rsid w:val="0003548A"/>
    <w:rsid w:val="00035576"/>
    <w:rsid w:val="00035587"/>
    <w:rsid w:val="00035596"/>
    <w:rsid w:val="0003582E"/>
    <w:rsid w:val="0003583F"/>
    <w:rsid w:val="00035900"/>
    <w:rsid w:val="0003590A"/>
    <w:rsid w:val="00035961"/>
    <w:rsid w:val="0003596E"/>
    <w:rsid w:val="000359BA"/>
    <w:rsid w:val="000359BC"/>
    <w:rsid w:val="000359C2"/>
    <w:rsid w:val="000359FA"/>
    <w:rsid w:val="00035A44"/>
    <w:rsid w:val="00035ABE"/>
    <w:rsid w:val="00035B4B"/>
    <w:rsid w:val="00035B71"/>
    <w:rsid w:val="00035D62"/>
    <w:rsid w:val="00035D74"/>
    <w:rsid w:val="00035D8F"/>
    <w:rsid w:val="00035DB9"/>
    <w:rsid w:val="00035EE1"/>
    <w:rsid w:val="00036091"/>
    <w:rsid w:val="000361A1"/>
    <w:rsid w:val="00036204"/>
    <w:rsid w:val="00036292"/>
    <w:rsid w:val="000363F3"/>
    <w:rsid w:val="00036437"/>
    <w:rsid w:val="00036457"/>
    <w:rsid w:val="00036477"/>
    <w:rsid w:val="000364BD"/>
    <w:rsid w:val="00036511"/>
    <w:rsid w:val="00036542"/>
    <w:rsid w:val="000365C7"/>
    <w:rsid w:val="00036679"/>
    <w:rsid w:val="00036815"/>
    <w:rsid w:val="00036826"/>
    <w:rsid w:val="00036842"/>
    <w:rsid w:val="00036854"/>
    <w:rsid w:val="00036858"/>
    <w:rsid w:val="00036953"/>
    <w:rsid w:val="000369EB"/>
    <w:rsid w:val="00036A45"/>
    <w:rsid w:val="00036A59"/>
    <w:rsid w:val="00036A7D"/>
    <w:rsid w:val="00036A90"/>
    <w:rsid w:val="00036AEE"/>
    <w:rsid w:val="00036B2A"/>
    <w:rsid w:val="00036B33"/>
    <w:rsid w:val="00036C14"/>
    <w:rsid w:val="00036C9B"/>
    <w:rsid w:val="00036CD9"/>
    <w:rsid w:val="00036CDC"/>
    <w:rsid w:val="00036D25"/>
    <w:rsid w:val="00036D7C"/>
    <w:rsid w:val="00036EB1"/>
    <w:rsid w:val="00036F91"/>
    <w:rsid w:val="00037014"/>
    <w:rsid w:val="00037015"/>
    <w:rsid w:val="0003701A"/>
    <w:rsid w:val="000370C0"/>
    <w:rsid w:val="00037124"/>
    <w:rsid w:val="00037210"/>
    <w:rsid w:val="000372B3"/>
    <w:rsid w:val="00037334"/>
    <w:rsid w:val="00037347"/>
    <w:rsid w:val="00037428"/>
    <w:rsid w:val="0003743F"/>
    <w:rsid w:val="000374A5"/>
    <w:rsid w:val="000374D7"/>
    <w:rsid w:val="000374FF"/>
    <w:rsid w:val="0003753E"/>
    <w:rsid w:val="00037561"/>
    <w:rsid w:val="00037668"/>
    <w:rsid w:val="0003771F"/>
    <w:rsid w:val="00037796"/>
    <w:rsid w:val="000377DB"/>
    <w:rsid w:val="00037875"/>
    <w:rsid w:val="000378C7"/>
    <w:rsid w:val="000378EF"/>
    <w:rsid w:val="000378FD"/>
    <w:rsid w:val="00037969"/>
    <w:rsid w:val="00037A9A"/>
    <w:rsid w:val="00037B03"/>
    <w:rsid w:val="00037B4E"/>
    <w:rsid w:val="00037CC3"/>
    <w:rsid w:val="00037CC9"/>
    <w:rsid w:val="00037D3A"/>
    <w:rsid w:val="00037D6A"/>
    <w:rsid w:val="00037DDF"/>
    <w:rsid w:val="00037DE1"/>
    <w:rsid w:val="00037DED"/>
    <w:rsid w:val="00037DF2"/>
    <w:rsid w:val="00037E3B"/>
    <w:rsid w:val="00037E4F"/>
    <w:rsid w:val="00037EB3"/>
    <w:rsid w:val="00037EBB"/>
    <w:rsid w:val="00037EC6"/>
    <w:rsid w:val="000400D3"/>
    <w:rsid w:val="00040193"/>
    <w:rsid w:val="000401C7"/>
    <w:rsid w:val="000401EF"/>
    <w:rsid w:val="000402BE"/>
    <w:rsid w:val="00040419"/>
    <w:rsid w:val="00040422"/>
    <w:rsid w:val="0004045D"/>
    <w:rsid w:val="000404DB"/>
    <w:rsid w:val="000404E5"/>
    <w:rsid w:val="0004059C"/>
    <w:rsid w:val="000406A7"/>
    <w:rsid w:val="000406B6"/>
    <w:rsid w:val="0004072B"/>
    <w:rsid w:val="00040746"/>
    <w:rsid w:val="000407ED"/>
    <w:rsid w:val="0004081B"/>
    <w:rsid w:val="00040842"/>
    <w:rsid w:val="0004086F"/>
    <w:rsid w:val="0004089D"/>
    <w:rsid w:val="000408E4"/>
    <w:rsid w:val="000408E6"/>
    <w:rsid w:val="00040964"/>
    <w:rsid w:val="00040AA3"/>
    <w:rsid w:val="00040AAC"/>
    <w:rsid w:val="00040BB8"/>
    <w:rsid w:val="00040C36"/>
    <w:rsid w:val="00040D49"/>
    <w:rsid w:val="00040D4E"/>
    <w:rsid w:val="00040D72"/>
    <w:rsid w:val="00040EB9"/>
    <w:rsid w:val="0004102A"/>
    <w:rsid w:val="00041032"/>
    <w:rsid w:val="000410BC"/>
    <w:rsid w:val="000410C8"/>
    <w:rsid w:val="000410E7"/>
    <w:rsid w:val="000410EE"/>
    <w:rsid w:val="000411A4"/>
    <w:rsid w:val="00041252"/>
    <w:rsid w:val="00041288"/>
    <w:rsid w:val="00041295"/>
    <w:rsid w:val="000412DB"/>
    <w:rsid w:val="00041322"/>
    <w:rsid w:val="00041381"/>
    <w:rsid w:val="000413E1"/>
    <w:rsid w:val="00041482"/>
    <w:rsid w:val="000414E6"/>
    <w:rsid w:val="00041567"/>
    <w:rsid w:val="0004158A"/>
    <w:rsid w:val="000415A5"/>
    <w:rsid w:val="000415F9"/>
    <w:rsid w:val="000417FC"/>
    <w:rsid w:val="000419D0"/>
    <w:rsid w:val="00041C67"/>
    <w:rsid w:val="00041C72"/>
    <w:rsid w:val="00041CEF"/>
    <w:rsid w:val="00041D67"/>
    <w:rsid w:val="00041ED1"/>
    <w:rsid w:val="0004200B"/>
    <w:rsid w:val="0004215A"/>
    <w:rsid w:val="000421B1"/>
    <w:rsid w:val="000421C2"/>
    <w:rsid w:val="0004221B"/>
    <w:rsid w:val="00042231"/>
    <w:rsid w:val="00042254"/>
    <w:rsid w:val="00042296"/>
    <w:rsid w:val="0004231B"/>
    <w:rsid w:val="000423AC"/>
    <w:rsid w:val="000423CF"/>
    <w:rsid w:val="0004244A"/>
    <w:rsid w:val="00042534"/>
    <w:rsid w:val="00042544"/>
    <w:rsid w:val="0004266A"/>
    <w:rsid w:val="000426BA"/>
    <w:rsid w:val="0004273E"/>
    <w:rsid w:val="00042788"/>
    <w:rsid w:val="000427CE"/>
    <w:rsid w:val="000427F0"/>
    <w:rsid w:val="00042880"/>
    <w:rsid w:val="00042899"/>
    <w:rsid w:val="0004291E"/>
    <w:rsid w:val="00042954"/>
    <w:rsid w:val="00042A22"/>
    <w:rsid w:val="00042A58"/>
    <w:rsid w:val="00042A90"/>
    <w:rsid w:val="00042B2D"/>
    <w:rsid w:val="00042C03"/>
    <w:rsid w:val="00042C0B"/>
    <w:rsid w:val="00042D33"/>
    <w:rsid w:val="00042D40"/>
    <w:rsid w:val="00042D8C"/>
    <w:rsid w:val="00042D90"/>
    <w:rsid w:val="00042DEC"/>
    <w:rsid w:val="00042EA1"/>
    <w:rsid w:val="00042F03"/>
    <w:rsid w:val="00042FC6"/>
    <w:rsid w:val="00042FCB"/>
    <w:rsid w:val="00042FEB"/>
    <w:rsid w:val="00043028"/>
    <w:rsid w:val="0004306D"/>
    <w:rsid w:val="0004316E"/>
    <w:rsid w:val="0004317A"/>
    <w:rsid w:val="00043194"/>
    <w:rsid w:val="00043279"/>
    <w:rsid w:val="000432ED"/>
    <w:rsid w:val="0004337A"/>
    <w:rsid w:val="0004338E"/>
    <w:rsid w:val="000433B1"/>
    <w:rsid w:val="00043503"/>
    <w:rsid w:val="000435F7"/>
    <w:rsid w:val="00043722"/>
    <w:rsid w:val="00043772"/>
    <w:rsid w:val="000437AF"/>
    <w:rsid w:val="000437D3"/>
    <w:rsid w:val="000437F0"/>
    <w:rsid w:val="0004387C"/>
    <w:rsid w:val="000438BE"/>
    <w:rsid w:val="000439AE"/>
    <w:rsid w:val="000439E8"/>
    <w:rsid w:val="00043A36"/>
    <w:rsid w:val="00043A85"/>
    <w:rsid w:val="00043AB4"/>
    <w:rsid w:val="00043B17"/>
    <w:rsid w:val="00043CE2"/>
    <w:rsid w:val="00043CFD"/>
    <w:rsid w:val="00043D0F"/>
    <w:rsid w:val="00043D5A"/>
    <w:rsid w:val="00043DA5"/>
    <w:rsid w:val="00043E17"/>
    <w:rsid w:val="00043F34"/>
    <w:rsid w:val="00043FB2"/>
    <w:rsid w:val="00044036"/>
    <w:rsid w:val="000440B9"/>
    <w:rsid w:val="0004412E"/>
    <w:rsid w:val="00044252"/>
    <w:rsid w:val="000442AA"/>
    <w:rsid w:val="000442C0"/>
    <w:rsid w:val="00044338"/>
    <w:rsid w:val="000443AE"/>
    <w:rsid w:val="000443EE"/>
    <w:rsid w:val="0004441D"/>
    <w:rsid w:val="00044422"/>
    <w:rsid w:val="00044428"/>
    <w:rsid w:val="00044429"/>
    <w:rsid w:val="0004442D"/>
    <w:rsid w:val="00044527"/>
    <w:rsid w:val="000445F3"/>
    <w:rsid w:val="00044625"/>
    <w:rsid w:val="00044695"/>
    <w:rsid w:val="00044736"/>
    <w:rsid w:val="00044764"/>
    <w:rsid w:val="000447C2"/>
    <w:rsid w:val="00044808"/>
    <w:rsid w:val="000448A9"/>
    <w:rsid w:val="00044A34"/>
    <w:rsid w:val="00044A3B"/>
    <w:rsid w:val="00044ACE"/>
    <w:rsid w:val="00044B5E"/>
    <w:rsid w:val="00044BA0"/>
    <w:rsid w:val="00044C17"/>
    <w:rsid w:val="00044C7A"/>
    <w:rsid w:val="00044CBA"/>
    <w:rsid w:val="00044D1F"/>
    <w:rsid w:val="00044DAA"/>
    <w:rsid w:val="00044DAE"/>
    <w:rsid w:val="00044DB6"/>
    <w:rsid w:val="00044DD0"/>
    <w:rsid w:val="00044DFC"/>
    <w:rsid w:val="00044FBB"/>
    <w:rsid w:val="00044FC6"/>
    <w:rsid w:val="00045031"/>
    <w:rsid w:val="0004506B"/>
    <w:rsid w:val="00045169"/>
    <w:rsid w:val="000454B7"/>
    <w:rsid w:val="000454DA"/>
    <w:rsid w:val="0004562C"/>
    <w:rsid w:val="00045656"/>
    <w:rsid w:val="000456CD"/>
    <w:rsid w:val="000456EA"/>
    <w:rsid w:val="000456ED"/>
    <w:rsid w:val="00045709"/>
    <w:rsid w:val="000457C8"/>
    <w:rsid w:val="00045907"/>
    <w:rsid w:val="00045985"/>
    <w:rsid w:val="00045986"/>
    <w:rsid w:val="00045AD7"/>
    <w:rsid w:val="00045AE8"/>
    <w:rsid w:val="00045AF7"/>
    <w:rsid w:val="00045B05"/>
    <w:rsid w:val="00045B3C"/>
    <w:rsid w:val="00045B41"/>
    <w:rsid w:val="00045B67"/>
    <w:rsid w:val="00045B89"/>
    <w:rsid w:val="00045C1F"/>
    <w:rsid w:val="00045C48"/>
    <w:rsid w:val="00045C92"/>
    <w:rsid w:val="00045CA1"/>
    <w:rsid w:val="00045CEF"/>
    <w:rsid w:val="00045D03"/>
    <w:rsid w:val="00045D91"/>
    <w:rsid w:val="00045E08"/>
    <w:rsid w:val="00045E45"/>
    <w:rsid w:val="00045EBC"/>
    <w:rsid w:val="00045ED7"/>
    <w:rsid w:val="00045F78"/>
    <w:rsid w:val="00045FFA"/>
    <w:rsid w:val="00046027"/>
    <w:rsid w:val="00046040"/>
    <w:rsid w:val="0004605E"/>
    <w:rsid w:val="000460EA"/>
    <w:rsid w:val="000460FF"/>
    <w:rsid w:val="0004611A"/>
    <w:rsid w:val="0004615D"/>
    <w:rsid w:val="0004616A"/>
    <w:rsid w:val="00046195"/>
    <w:rsid w:val="00046224"/>
    <w:rsid w:val="0004628E"/>
    <w:rsid w:val="00046347"/>
    <w:rsid w:val="000463AD"/>
    <w:rsid w:val="000463BD"/>
    <w:rsid w:val="000463E5"/>
    <w:rsid w:val="000463FA"/>
    <w:rsid w:val="000464AE"/>
    <w:rsid w:val="000464B4"/>
    <w:rsid w:val="000465C5"/>
    <w:rsid w:val="000465E7"/>
    <w:rsid w:val="00046804"/>
    <w:rsid w:val="00046806"/>
    <w:rsid w:val="00046871"/>
    <w:rsid w:val="000468D7"/>
    <w:rsid w:val="000468E8"/>
    <w:rsid w:val="00046915"/>
    <w:rsid w:val="0004696F"/>
    <w:rsid w:val="000469B0"/>
    <w:rsid w:val="000469C8"/>
    <w:rsid w:val="000469E6"/>
    <w:rsid w:val="00046A49"/>
    <w:rsid w:val="00046AD6"/>
    <w:rsid w:val="00046AE1"/>
    <w:rsid w:val="00046B7E"/>
    <w:rsid w:val="00046C71"/>
    <w:rsid w:val="00046CBB"/>
    <w:rsid w:val="00046CCF"/>
    <w:rsid w:val="00046D66"/>
    <w:rsid w:val="00046EB3"/>
    <w:rsid w:val="00046ED7"/>
    <w:rsid w:val="00046F1E"/>
    <w:rsid w:val="00046F38"/>
    <w:rsid w:val="00046F90"/>
    <w:rsid w:val="00046FAC"/>
    <w:rsid w:val="00046FBA"/>
    <w:rsid w:val="00046FCC"/>
    <w:rsid w:val="00047028"/>
    <w:rsid w:val="0004702D"/>
    <w:rsid w:val="000471A9"/>
    <w:rsid w:val="000471BC"/>
    <w:rsid w:val="00047221"/>
    <w:rsid w:val="00047236"/>
    <w:rsid w:val="00047304"/>
    <w:rsid w:val="0004735E"/>
    <w:rsid w:val="0004774A"/>
    <w:rsid w:val="0004778E"/>
    <w:rsid w:val="000477AB"/>
    <w:rsid w:val="00047814"/>
    <w:rsid w:val="000478A4"/>
    <w:rsid w:val="000478A5"/>
    <w:rsid w:val="000478B3"/>
    <w:rsid w:val="000479EA"/>
    <w:rsid w:val="00047AB5"/>
    <w:rsid w:val="00047B00"/>
    <w:rsid w:val="00047B1F"/>
    <w:rsid w:val="00047BEF"/>
    <w:rsid w:val="00047C1A"/>
    <w:rsid w:val="00047CA9"/>
    <w:rsid w:val="00047CD3"/>
    <w:rsid w:val="00047D25"/>
    <w:rsid w:val="00047DE2"/>
    <w:rsid w:val="00047EC4"/>
    <w:rsid w:val="00047EDE"/>
    <w:rsid w:val="00047F22"/>
    <w:rsid w:val="00047F70"/>
    <w:rsid w:val="00047FDD"/>
    <w:rsid w:val="00047FEB"/>
    <w:rsid w:val="0005007D"/>
    <w:rsid w:val="00050089"/>
    <w:rsid w:val="000500DD"/>
    <w:rsid w:val="000501D7"/>
    <w:rsid w:val="000503CE"/>
    <w:rsid w:val="00050433"/>
    <w:rsid w:val="0005047E"/>
    <w:rsid w:val="0005049A"/>
    <w:rsid w:val="000504FB"/>
    <w:rsid w:val="00050505"/>
    <w:rsid w:val="000505C2"/>
    <w:rsid w:val="00050646"/>
    <w:rsid w:val="00050648"/>
    <w:rsid w:val="000506D5"/>
    <w:rsid w:val="0005071C"/>
    <w:rsid w:val="0005074D"/>
    <w:rsid w:val="000507A2"/>
    <w:rsid w:val="000507BE"/>
    <w:rsid w:val="000508E1"/>
    <w:rsid w:val="000509F8"/>
    <w:rsid w:val="00050A5D"/>
    <w:rsid w:val="00050A69"/>
    <w:rsid w:val="00050B57"/>
    <w:rsid w:val="00050BC1"/>
    <w:rsid w:val="00050C30"/>
    <w:rsid w:val="00050C49"/>
    <w:rsid w:val="00050CCD"/>
    <w:rsid w:val="00050CFD"/>
    <w:rsid w:val="00050D96"/>
    <w:rsid w:val="00050E0A"/>
    <w:rsid w:val="00050E6B"/>
    <w:rsid w:val="00050EC7"/>
    <w:rsid w:val="00050F3E"/>
    <w:rsid w:val="00050FA2"/>
    <w:rsid w:val="00050FC7"/>
    <w:rsid w:val="00050FE1"/>
    <w:rsid w:val="0005104E"/>
    <w:rsid w:val="00051086"/>
    <w:rsid w:val="00051168"/>
    <w:rsid w:val="00051198"/>
    <w:rsid w:val="00051291"/>
    <w:rsid w:val="0005129D"/>
    <w:rsid w:val="000512BD"/>
    <w:rsid w:val="000512E4"/>
    <w:rsid w:val="00051351"/>
    <w:rsid w:val="00051378"/>
    <w:rsid w:val="000513AA"/>
    <w:rsid w:val="0005142E"/>
    <w:rsid w:val="0005145A"/>
    <w:rsid w:val="00051512"/>
    <w:rsid w:val="00051513"/>
    <w:rsid w:val="0005154F"/>
    <w:rsid w:val="00051552"/>
    <w:rsid w:val="000515FE"/>
    <w:rsid w:val="0005163D"/>
    <w:rsid w:val="00051654"/>
    <w:rsid w:val="00051768"/>
    <w:rsid w:val="000517CB"/>
    <w:rsid w:val="000517CD"/>
    <w:rsid w:val="0005186B"/>
    <w:rsid w:val="00051909"/>
    <w:rsid w:val="0005199B"/>
    <w:rsid w:val="00051A7B"/>
    <w:rsid w:val="00051A98"/>
    <w:rsid w:val="00051AFF"/>
    <w:rsid w:val="00051BBE"/>
    <w:rsid w:val="00051BD0"/>
    <w:rsid w:val="00051C4E"/>
    <w:rsid w:val="00051C50"/>
    <w:rsid w:val="00051CA9"/>
    <w:rsid w:val="00051CB8"/>
    <w:rsid w:val="00051CD5"/>
    <w:rsid w:val="00051D18"/>
    <w:rsid w:val="00051DC3"/>
    <w:rsid w:val="00051DCE"/>
    <w:rsid w:val="00051E03"/>
    <w:rsid w:val="00051E32"/>
    <w:rsid w:val="00051E68"/>
    <w:rsid w:val="00051F13"/>
    <w:rsid w:val="00051F2B"/>
    <w:rsid w:val="00051F9E"/>
    <w:rsid w:val="00051FBA"/>
    <w:rsid w:val="0005205F"/>
    <w:rsid w:val="000521EF"/>
    <w:rsid w:val="000522A4"/>
    <w:rsid w:val="000522B5"/>
    <w:rsid w:val="000522BA"/>
    <w:rsid w:val="0005232D"/>
    <w:rsid w:val="00052374"/>
    <w:rsid w:val="00052388"/>
    <w:rsid w:val="00052454"/>
    <w:rsid w:val="00052498"/>
    <w:rsid w:val="00052643"/>
    <w:rsid w:val="00052645"/>
    <w:rsid w:val="00052763"/>
    <w:rsid w:val="00052779"/>
    <w:rsid w:val="0005290D"/>
    <w:rsid w:val="00052921"/>
    <w:rsid w:val="00052942"/>
    <w:rsid w:val="00052A73"/>
    <w:rsid w:val="00052B42"/>
    <w:rsid w:val="00052BA1"/>
    <w:rsid w:val="00052C7B"/>
    <w:rsid w:val="00052D1C"/>
    <w:rsid w:val="00052DD6"/>
    <w:rsid w:val="00052E45"/>
    <w:rsid w:val="00052E49"/>
    <w:rsid w:val="00052E90"/>
    <w:rsid w:val="00052EBD"/>
    <w:rsid w:val="00052FB7"/>
    <w:rsid w:val="000530E3"/>
    <w:rsid w:val="00053131"/>
    <w:rsid w:val="00053277"/>
    <w:rsid w:val="000532BA"/>
    <w:rsid w:val="0005333B"/>
    <w:rsid w:val="0005336B"/>
    <w:rsid w:val="0005367F"/>
    <w:rsid w:val="0005370B"/>
    <w:rsid w:val="00053711"/>
    <w:rsid w:val="00053766"/>
    <w:rsid w:val="000537A1"/>
    <w:rsid w:val="0005388C"/>
    <w:rsid w:val="000538D2"/>
    <w:rsid w:val="000538E0"/>
    <w:rsid w:val="000538F9"/>
    <w:rsid w:val="00053900"/>
    <w:rsid w:val="00053904"/>
    <w:rsid w:val="000539D0"/>
    <w:rsid w:val="000539EA"/>
    <w:rsid w:val="000539FC"/>
    <w:rsid w:val="00053A5A"/>
    <w:rsid w:val="00053AF3"/>
    <w:rsid w:val="00053C59"/>
    <w:rsid w:val="00053C98"/>
    <w:rsid w:val="00053CA8"/>
    <w:rsid w:val="00053D0F"/>
    <w:rsid w:val="00053D9E"/>
    <w:rsid w:val="00053DA8"/>
    <w:rsid w:val="00053DC2"/>
    <w:rsid w:val="00053E02"/>
    <w:rsid w:val="00053EAA"/>
    <w:rsid w:val="00053F74"/>
    <w:rsid w:val="00053F8A"/>
    <w:rsid w:val="00053F94"/>
    <w:rsid w:val="00053FB3"/>
    <w:rsid w:val="00053FE5"/>
    <w:rsid w:val="00054073"/>
    <w:rsid w:val="000540D0"/>
    <w:rsid w:val="000540E4"/>
    <w:rsid w:val="0005412A"/>
    <w:rsid w:val="0005429C"/>
    <w:rsid w:val="000542CE"/>
    <w:rsid w:val="00054321"/>
    <w:rsid w:val="00054332"/>
    <w:rsid w:val="0005440F"/>
    <w:rsid w:val="000544A2"/>
    <w:rsid w:val="0005476E"/>
    <w:rsid w:val="000547AA"/>
    <w:rsid w:val="000548BA"/>
    <w:rsid w:val="00054911"/>
    <w:rsid w:val="00054965"/>
    <w:rsid w:val="0005499B"/>
    <w:rsid w:val="000549FE"/>
    <w:rsid w:val="00054A05"/>
    <w:rsid w:val="00054A43"/>
    <w:rsid w:val="00054A5D"/>
    <w:rsid w:val="00054A6E"/>
    <w:rsid w:val="00054BCA"/>
    <w:rsid w:val="00054BD3"/>
    <w:rsid w:val="00054BF5"/>
    <w:rsid w:val="00054C18"/>
    <w:rsid w:val="00054CC9"/>
    <w:rsid w:val="00054CDA"/>
    <w:rsid w:val="00054D34"/>
    <w:rsid w:val="00054DEF"/>
    <w:rsid w:val="00054E55"/>
    <w:rsid w:val="00054E6B"/>
    <w:rsid w:val="00054E7F"/>
    <w:rsid w:val="00054EDE"/>
    <w:rsid w:val="00054F55"/>
    <w:rsid w:val="0005504B"/>
    <w:rsid w:val="00055051"/>
    <w:rsid w:val="00055090"/>
    <w:rsid w:val="000550A8"/>
    <w:rsid w:val="00055167"/>
    <w:rsid w:val="000551B8"/>
    <w:rsid w:val="000551FF"/>
    <w:rsid w:val="00055218"/>
    <w:rsid w:val="00055237"/>
    <w:rsid w:val="00055359"/>
    <w:rsid w:val="000553A8"/>
    <w:rsid w:val="00055425"/>
    <w:rsid w:val="00055432"/>
    <w:rsid w:val="0005543A"/>
    <w:rsid w:val="0005551E"/>
    <w:rsid w:val="000555D3"/>
    <w:rsid w:val="00055609"/>
    <w:rsid w:val="00055699"/>
    <w:rsid w:val="0005575F"/>
    <w:rsid w:val="0005582C"/>
    <w:rsid w:val="0005582E"/>
    <w:rsid w:val="00055863"/>
    <w:rsid w:val="00055895"/>
    <w:rsid w:val="000558BC"/>
    <w:rsid w:val="000559DA"/>
    <w:rsid w:val="00055B52"/>
    <w:rsid w:val="00055C73"/>
    <w:rsid w:val="00055CB8"/>
    <w:rsid w:val="00055DC8"/>
    <w:rsid w:val="00055DCB"/>
    <w:rsid w:val="00055DDA"/>
    <w:rsid w:val="00055E2B"/>
    <w:rsid w:val="00055E5A"/>
    <w:rsid w:val="00055E9B"/>
    <w:rsid w:val="00055ED2"/>
    <w:rsid w:val="00055EE7"/>
    <w:rsid w:val="00055F5D"/>
    <w:rsid w:val="00055FA5"/>
    <w:rsid w:val="00055FBA"/>
    <w:rsid w:val="000560D9"/>
    <w:rsid w:val="00056148"/>
    <w:rsid w:val="000562CE"/>
    <w:rsid w:val="000562EB"/>
    <w:rsid w:val="00056340"/>
    <w:rsid w:val="000564AD"/>
    <w:rsid w:val="000564C9"/>
    <w:rsid w:val="000566A6"/>
    <w:rsid w:val="00056721"/>
    <w:rsid w:val="000567F1"/>
    <w:rsid w:val="000567F6"/>
    <w:rsid w:val="0005688E"/>
    <w:rsid w:val="000569E0"/>
    <w:rsid w:val="00056A51"/>
    <w:rsid w:val="00056B65"/>
    <w:rsid w:val="00056BA7"/>
    <w:rsid w:val="00056BE7"/>
    <w:rsid w:val="00056C5C"/>
    <w:rsid w:val="00056D72"/>
    <w:rsid w:val="00056DA8"/>
    <w:rsid w:val="00056DD2"/>
    <w:rsid w:val="00056DFB"/>
    <w:rsid w:val="00056E48"/>
    <w:rsid w:val="00056E86"/>
    <w:rsid w:val="00056E8D"/>
    <w:rsid w:val="0005709B"/>
    <w:rsid w:val="000570AD"/>
    <w:rsid w:val="00057248"/>
    <w:rsid w:val="0005727A"/>
    <w:rsid w:val="000574C4"/>
    <w:rsid w:val="000574E4"/>
    <w:rsid w:val="00057566"/>
    <w:rsid w:val="00057592"/>
    <w:rsid w:val="000575BB"/>
    <w:rsid w:val="000575DE"/>
    <w:rsid w:val="000575F2"/>
    <w:rsid w:val="00057601"/>
    <w:rsid w:val="0005760D"/>
    <w:rsid w:val="000576B6"/>
    <w:rsid w:val="000576C8"/>
    <w:rsid w:val="0005774F"/>
    <w:rsid w:val="00057780"/>
    <w:rsid w:val="000577C2"/>
    <w:rsid w:val="0005786D"/>
    <w:rsid w:val="00057905"/>
    <w:rsid w:val="0005794E"/>
    <w:rsid w:val="0005797C"/>
    <w:rsid w:val="000579A6"/>
    <w:rsid w:val="000579D6"/>
    <w:rsid w:val="00057A25"/>
    <w:rsid w:val="00057AF2"/>
    <w:rsid w:val="00057B8B"/>
    <w:rsid w:val="00057C11"/>
    <w:rsid w:val="00057C1B"/>
    <w:rsid w:val="00057C93"/>
    <w:rsid w:val="00057D21"/>
    <w:rsid w:val="00057E16"/>
    <w:rsid w:val="00057E5B"/>
    <w:rsid w:val="00057F08"/>
    <w:rsid w:val="00057FFA"/>
    <w:rsid w:val="00060045"/>
    <w:rsid w:val="00060099"/>
    <w:rsid w:val="000600B8"/>
    <w:rsid w:val="000601A6"/>
    <w:rsid w:val="000601B0"/>
    <w:rsid w:val="0006022A"/>
    <w:rsid w:val="000602A0"/>
    <w:rsid w:val="0006030D"/>
    <w:rsid w:val="00060335"/>
    <w:rsid w:val="00060344"/>
    <w:rsid w:val="00060384"/>
    <w:rsid w:val="000603F6"/>
    <w:rsid w:val="0006042E"/>
    <w:rsid w:val="00060445"/>
    <w:rsid w:val="0006057E"/>
    <w:rsid w:val="00060639"/>
    <w:rsid w:val="00060770"/>
    <w:rsid w:val="0006078A"/>
    <w:rsid w:val="000607CB"/>
    <w:rsid w:val="000607CC"/>
    <w:rsid w:val="000607FB"/>
    <w:rsid w:val="00060865"/>
    <w:rsid w:val="000608E6"/>
    <w:rsid w:val="0006090E"/>
    <w:rsid w:val="0006096D"/>
    <w:rsid w:val="00060A34"/>
    <w:rsid w:val="00060A72"/>
    <w:rsid w:val="00060AE4"/>
    <w:rsid w:val="00060B32"/>
    <w:rsid w:val="00060BE5"/>
    <w:rsid w:val="00060BE6"/>
    <w:rsid w:val="00060C43"/>
    <w:rsid w:val="00060CA5"/>
    <w:rsid w:val="00060D83"/>
    <w:rsid w:val="00060D8E"/>
    <w:rsid w:val="00060ED9"/>
    <w:rsid w:val="00060F1F"/>
    <w:rsid w:val="00060F2E"/>
    <w:rsid w:val="00060F43"/>
    <w:rsid w:val="0006102D"/>
    <w:rsid w:val="00061082"/>
    <w:rsid w:val="000612A9"/>
    <w:rsid w:val="0006144C"/>
    <w:rsid w:val="00061556"/>
    <w:rsid w:val="00061559"/>
    <w:rsid w:val="00061570"/>
    <w:rsid w:val="00061647"/>
    <w:rsid w:val="000616A5"/>
    <w:rsid w:val="000616C7"/>
    <w:rsid w:val="000616F9"/>
    <w:rsid w:val="000617AF"/>
    <w:rsid w:val="00061832"/>
    <w:rsid w:val="0006183E"/>
    <w:rsid w:val="0006187E"/>
    <w:rsid w:val="0006191D"/>
    <w:rsid w:val="0006198F"/>
    <w:rsid w:val="000619CF"/>
    <w:rsid w:val="00061A28"/>
    <w:rsid w:val="00061A38"/>
    <w:rsid w:val="00061AB7"/>
    <w:rsid w:val="00061B57"/>
    <w:rsid w:val="00061B66"/>
    <w:rsid w:val="00061BAA"/>
    <w:rsid w:val="00061BD0"/>
    <w:rsid w:val="00061C03"/>
    <w:rsid w:val="00061D3A"/>
    <w:rsid w:val="00061D57"/>
    <w:rsid w:val="00061DA2"/>
    <w:rsid w:val="00061DF9"/>
    <w:rsid w:val="00061E9C"/>
    <w:rsid w:val="00061E9F"/>
    <w:rsid w:val="00061F0A"/>
    <w:rsid w:val="00061F27"/>
    <w:rsid w:val="00061F59"/>
    <w:rsid w:val="00061F9A"/>
    <w:rsid w:val="0006204F"/>
    <w:rsid w:val="00062066"/>
    <w:rsid w:val="0006208B"/>
    <w:rsid w:val="000620D3"/>
    <w:rsid w:val="00062189"/>
    <w:rsid w:val="000621C2"/>
    <w:rsid w:val="000621DC"/>
    <w:rsid w:val="000621FA"/>
    <w:rsid w:val="00062275"/>
    <w:rsid w:val="000622E6"/>
    <w:rsid w:val="00062303"/>
    <w:rsid w:val="00062333"/>
    <w:rsid w:val="00062343"/>
    <w:rsid w:val="00062391"/>
    <w:rsid w:val="00062413"/>
    <w:rsid w:val="00062521"/>
    <w:rsid w:val="00062541"/>
    <w:rsid w:val="00062543"/>
    <w:rsid w:val="00062570"/>
    <w:rsid w:val="00062623"/>
    <w:rsid w:val="00062715"/>
    <w:rsid w:val="000628F2"/>
    <w:rsid w:val="0006294D"/>
    <w:rsid w:val="00062A0A"/>
    <w:rsid w:val="00062A15"/>
    <w:rsid w:val="00062A1A"/>
    <w:rsid w:val="00062A4A"/>
    <w:rsid w:val="00062A64"/>
    <w:rsid w:val="00062AD7"/>
    <w:rsid w:val="00062BA6"/>
    <w:rsid w:val="00062CB6"/>
    <w:rsid w:val="00062D01"/>
    <w:rsid w:val="00062D39"/>
    <w:rsid w:val="00062D9C"/>
    <w:rsid w:val="00062EA3"/>
    <w:rsid w:val="00062EA8"/>
    <w:rsid w:val="00062F07"/>
    <w:rsid w:val="0006306E"/>
    <w:rsid w:val="000630B4"/>
    <w:rsid w:val="000630BF"/>
    <w:rsid w:val="000630CD"/>
    <w:rsid w:val="000631B4"/>
    <w:rsid w:val="000631E6"/>
    <w:rsid w:val="00063362"/>
    <w:rsid w:val="000633DA"/>
    <w:rsid w:val="00063454"/>
    <w:rsid w:val="00063598"/>
    <w:rsid w:val="000635CF"/>
    <w:rsid w:val="0006361B"/>
    <w:rsid w:val="00063621"/>
    <w:rsid w:val="0006365A"/>
    <w:rsid w:val="0006365D"/>
    <w:rsid w:val="00063734"/>
    <w:rsid w:val="00063805"/>
    <w:rsid w:val="000638E6"/>
    <w:rsid w:val="00063986"/>
    <w:rsid w:val="00063A07"/>
    <w:rsid w:val="00063A90"/>
    <w:rsid w:val="00063AA8"/>
    <w:rsid w:val="00063B21"/>
    <w:rsid w:val="00063B98"/>
    <w:rsid w:val="00063C9B"/>
    <w:rsid w:val="00063CA3"/>
    <w:rsid w:val="00063CB7"/>
    <w:rsid w:val="00063CC1"/>
    <w:rsid w:val="00063CE7"/>
    <w:rsid w:val="00063D19"/>
    <w:rsid w:val="00063D8A"/>
    <w:rsid w:val="00063D9F"/>
    <w:rsid w:val="00063E79"/>
    <w:rsid w:val="00063F42"/>
    <w:rsid w:val="0006403D"/>
    <w:rsid w:val="0006404E"/>
    <w:rsid w:val="0006423C"/>
    <w:rsid w:val="00064269"/>
    <w:rsid w:val="00064331"/>
    <w:rsid w:val="00064427"/>
    <w:rsid w:val="0006442C"/>
    <w:rsid w:val="0006443A"/>
    <w:rsid w:val="00064442"/>
    <w:rsid w:val="000644E2"/>
    <w:rsid w:val="00064513"/>
    <w:rsid w:val="0006460E"/>
    <w:rsid w:val="000646B9"/>
    <w:rsid w:val="000646F7"/>
    <w:rsid w:val="00064825"/>
    <w:rsid w:val="000648C2"/>
    <w:rsid w:val="000649E9"/>
    <w:rsid w:val="00064ABA"/>
    <w:rsid w:val="00064AE4"/>
    <w:rsid w:val="00064AF1"/>
    <w:rsid w:val="00064C34"/>
    <w:rsid w:val="00064DC1"/>
    <w:rsid w:val="00064E13"/>
    <w:rsid w:val="00064F47"/>
    <w:rsid w:val="0006505B"/>
    <w:rsid w:val="00065077"/>
    <w:rsid w:val="000650A0"/>
    <w:rsid w:val="000650C2"/>
    <w:rsid w:val="00065204"/>
    <w:rsid w:val="00065238"/>
    <w:rsid w:val="0006525A"/>
    <w:rsid w:val="000652B8"/>
    <w:rsid w:val="00065308"/>
    <w:rsid w:val="0006539A"/>
    <w:rsid w:val="0006541D"/>
    <w:rsid w:val="0006542A"/>
    <w:rsid w:val="0006542E"/>
    <w:rsid w:val="0006547C"/>
    <w:rsid w:val="000654B0"/>
    <w:rsid w:val="000654B6"/>
    <w:rsid w:val="000654CC"/>
    <w:rsid w:val="000654E8"/>
    <w:rsid w:val="00065505"/>
    <w:rsid w:val="00065563"/>
    <w:rsid w:val="00065564"/>
    <w:rsid w:val="000656EF"/>
    <w:rsid w:val="00065739"/>
    <w:rsid w:val="000657AA"/>
    <w:rsid w:val="000657C1"/>
    <w:rsid w:val="00065822"/>
    <w:rsid w:val="0006582D"/>
    <w:rsid w:val="000658FC"/>
    <w:rsid w:val="00065930"/>
    <w:rsid w:val="00065AD7"/>
    <w:rsid w:val="00065ADC"/>
    <w:rsid w:val="00065B10"/>
    <w:rsid w:val="00065C0C"/>
    <w:rsid w:val="00065C4E"/>
    <w:rsid w:val="00065C5F"/>
    <w:rsid w:val="00065CAB"/>
    <w:rsid w:val="00065D19"/>
    <w:rsid w:val="00065D80"/>
    <w:rsid w:val="00065DAB"/>
    <w:rsid w:val="00065E4B"/>
    <w:rsid w:val="00065E73"/>
    <w:rsid w:val="00065EB3"/>
    <w:rsid w:val="00066004"/>
    <w:rsid w:val="000660A7"/>
    <w:rsid w:val="0006610A"/>
    <w:rsid w:val="00066228"/>
    <w:rsid w:val="0006624C"/>
    <w:rsid w:val="00066349"/>
    <w:rsid w:val="0006634D"/>
    <w:rsid w:val="00066366"/>
    <w:rsid w:val="0006639F"/>
    <w:rsid w:val="0006647B"/>
    <w:rsid w:val="000664B4"/>
    <w:rsid w:val="000664EB"/>
    <w:rsid w:val="0006655A"/>
    <w:rsid w:val="000665D3"/>
    <w:rsid w:val="00066613"/>
    <w:rsid w:val="000666B1"/>
    <w:rsid w:val="00066743"/>
    <w:rsid w:val="00066769"/>
    <w:rsid w:val="0006684C"/>
    <w:rsid w:val="00066869"/>
    <w:rsid w:val="0006687B"/>
    <w:rsid w:val="00066918"/>
    <w:rsid w:val="00066979"/>
    <w:rsid w:val="0006697E"/>
    <w:rsid w:val="00066AEC"/>
    <w:rsid w:val="00066C08"/>
    <w:rsid w:val="00066CA0"/>
    <w:rsid w:val="00066CB4"/>
    <w:rsid w:val="00066D7D"/>
    <w:rsid w:val="00066E26"/>
    <w:rsid w:val="00066E5A"/>
    <w:rsid w:val="00066E89"/>
    <w:rsid w:val="00066F0F"/>
    <w:rsid w:val="00067043"/>
    <w:rsid w:val="000670AA"/>
    <w:rsid w:val="0006714B"/>
    <w:rsid w:val="00067208"/>
    <w:rsid w:val="00067314"/>
    <w:rsid w:val="00067370"/>
    <w:rsid w:val="0006740D"/>
    <w:rsid w:val="000674C0"/>
    <w:rsid w:val="00067542"/>
    <w:rsid w:val="0006766B"/>
    <w:rsid w:val="00067690"/>
    <w:rsid w:val="000676D9"/>
    <w:rsid w:val="000677CB"/>
    <w:rsid w:val="000677F9"/>
    <w:rsid w:val="0006782F"/>
    <w:rsid w:val="00067858"/>
    <w:rsid w:val="00067937"/>
    <w:rsid w:val="00067952"/>
    <w:rsid w:val="000679D8"/>
    <w:rsid w:val="00067A44"/>
    <w:rsid w:val="00067ABC"/>
    <w:rsid w:val="00067D7D"/>
    <w:rsid w:val="00067D8B"/>
    <w:rsid w:val="00067D90"/>
    <w:rsid w:val="00067D92"/>
    <w:rsid w:val="00067DE8"/>
    <w:rsid w:val="00067E66"/>
    <w:rsid w:val="00067F0F"/>
    <w:rsid w:val="0007007C"/>
    <w:rsid w:val="00070099"/>
    <w:rsid w:val="000700A6"/>
    <w:rsid w:val="000700D5"/>
    <w:rsid w:val="00070208"/>
    <w:rsid w:val="00070274"/>
    <w:rsid w:val="000702D7"/>
    <w:rsid w:val="00070308"/>
    <w:rsid w:val="0007035A"/>
    <w:rsid w:val="0007035F"/>
    <w:rsid w:val="000703B1"/>
    <w:rsid w:val="000703C1"/>
    <w:rsid w:val="000703C3"/>
    <w:rsid w:val="00070433"/>
    <w:rsid w:val="0007049B"/>
    <w:rsid w:val="000704BD"/>
    <w:rsid w:val="000704D3"/>
    <w:rsid w:val="0007057B"/>
    <w:rsid w:val="0007057F"/>
    <w:rsid w:val="0007060A"/>
    <w:rsid w:val="00070614"/>
    <w:rsid w:val="00070687"/>
    <w:rsid w:val="0007072F"/>
    <w:rsid w:val="00070754"/>
    <w:rsid w:val="00070783"/>
    <w:rsid w:val="000707D3"/>
    <w:rsid w:val="000708CB"/>
    <w:rsid w:val="000708CC"/>
    <w:rsid w:val="000709C8"/>
    <w:rsid w:val="00070A0A"/>
    <w:rsid w:val="00070A4A"/>
    <w:rsid w:val="00070AE0"/>
    <w:rsid w:val="00070AFE"/>
    <w:rsid w:val="00070B31"/>
    <w:rsid w:val="00070B91"/>
    <w:rsid w:val="00070BA2"/>
    <w:rsid w:val="00070BF3"/>
    <w:rsid w:val="00070C1A"/>
    <w:rsid w:val="00070C60"/>
    <w:rsid w:val="00070CC5"/>
    <w:rsid w:val="00070F14"/>
    <w:rsid w:val="00070F21"/>
    <w:rsid w:val="00070F92"/>
    <w:rsid w:val="00071023"/>
    <w:rsid w:val="0007103B"/>
    <w:rsid w:val="000710B9"/>
    <w:rsid w:val="000710D3"/>
    <w:rsid w:val="000710DA"/>
    <w:rsid w:val="00071109"/>
    <w:rsid w:val="000711FF"/>
    <w:rsid w:val="0007129A"/>
    <w:rsid w:val="000712F5"/>
    <w:rsid w:val="0007131D"/>
    <w:rsid w:val="0007138F"/>
    <w:rsid w:val="000713B9"/>
    <w:rsid w:val="00071467"/>
    <w:rsid w:val="000714B7"/>
    <w:rsid w:val="0007154C"/>
    <w:rsid w:val="000715C4"/>
    <w:rsid w:val="0007165E"/>
    <w:rsid w:val="000716B1"/>
    <w:rsid w:val="000716E3"/>
    <w:rsid w:val="00071751"/>
    <w:rsid w:val="00071760"/>
    <w:rsid w:val="000717E0"/>
    <w:rsid w:val="000717EC"/>
    <w:rsid w:val="0007184F"/>
    <w:rsid w:val="0007186A"/>
    <w:rsid w:val="000718C2"/>
    <w:rsid w:val="00071918"/>
    <w:rsid w:val="00071920"/>
    <w:rsid w:val="0007192D"/>
    <w:rsid w:val="00071A16"/>
    <w:rsid w:val="00071A1C"/>
    <w:rsid w:val="00071A3C"/>
    <w:rsid w:val="00071A55"/>
    <w:rsid w:val="00071A88"/>
    <w:rsid w:val="00071B11"/>
    <w:rsid w:val="00071B68"/>
    <w:rsid w:val="00071BE0"/>
    <w:rsid w:val="00071C50"/>
    <w:rsid w:val="00071D11"/>
    <w:rsid w:val="00071D60"/>
    <w:rsid w:val="00071D6A"/>
    <w:rsid w:val="00071DA8"/>
    <w:rsid w:val="00071DD6"/>
    <w:rsid w:val="00071FF4"/>
    <w:rsid w:val="000720F0"/>
    <w:rsid w:val="00072145"/>
    <w:rsid w:val="000721F0"/>
    <w:rsid w:val="00072240"/>
    <w:rsid w:val="000722C7"/>
    <w:rsid w:val="00072452"/>
    <w:rsid w:val="0007248C"/>
    <w:rsid w:val="0007260D"/>
    <w:rsid w:val="00072686"/>
    <w:rsid w:val="00072715"/>
    <w:rsid w:val="0007274E"/>
    <w:rsid w:val="0007281F"/>
    <w:rsid w:val="00072882"/>
    <w:rsid w:val="00072973"/>
    <w:rsid w:val="0007299C"/>
    <w:rsid w:val="00072B1E"/>
    <w:rsid w:val="00072B83"/>
    <w:rsid w:val="00072B89"/>
    <w:rsid w:val="00072BD9"/>
    <w:rsid w:val="00072C0B"/>
    <w:rsid w:val="00072C9C"/>
    <w:rsid w:val="00072CEB"/>
    <w:rsid w:val="00072CFC"/>
    <w:rsid w:val="00072D21"/>
    <w:rsid w:val="00072DDA"/>
    <w:rsid w:val="00072E19"/>
    <w:rsid w:val="00072E4F"/>
    <w:rsid w:val="00072E83"/>
    <w:rsid w:val="00073087"/>
    <w:rsid w:val="00073136"/>
    <w:rsid w:val="00073173"/>
    <w:rsid w:val="0007319D"/>
    <w:rsid w:val="00073291"/>
    <w:rsid w:val="00073296"/>
    <w:rsid w:val="000732E9"/>
    <w:rsid w:val="00073312"/>
    <w:rsid w:val="00073332"/>
    <w:rsid w:val="000733CE"/>
    <w:rsid w:val="000734C7"/>
    <w:rsid w:val="00073532"/>
    <w:rsid w:val="000736AD"/>
    <w:rsid w:val="0007374F"/>
    <w:rsid w:val="000737A4"/>
    <w:rsid w:val="0007380A"/>
    <w:rsid w:val="00073817"/>
    <w:rsid w:val="0007385E"/>
    <w:rsid w:val="00073890"/>
    <w:rsid w:val="0007392D"/>
    <w:rsid w:val="00073A3C"/>
    <w:rsid w:val="00073A46"/>
    <w:rsid w:val="00073B62"/>
    <w:rsid w:val="00073BAC"/>
    <w:rsid w:val="00073BBF"/>
    <w:rsid w:val="00073C0B"/>
    <w:rsid w:val="00073D38"/>
    <w:rsid w:val="00073DF1"/>
    <w:rsid w:val="00073F64"/>
    <w:rsid w:val="00073FBB"/>
    <w:rsid w:val="00073FC2"/>
    <w:rsid w:val="00074016"/>
    <w:rsid w:val="00074098"/>
    <w:rsid w:val="000743DF"/>
    <w:rsid w:val="000744C6"/>
    <w:rsid w:val="000744D1"/>
    <w:rsid w:val="000744F7"/>
    <w:rsid w:val="00074570"/>
    <w:rsid w:val="000745F7"/>
    <w:rsid w:val="00074681"/>
    <w:rsid w:val="000746B3"/>
    <w:rsid w:val="000746BC"/>
    <w:rsid w:val="000746E8"/>
    <w:rsid w:val="000746F9"/>
    <w:rsid w:val="0007471B"/>
    <w:rsid w:val="0007477E"/>
    <w:rsid w:val="00074791"/>
    <w:rsid w:val="00074907"/>
    <w:rsid w:val="0007490D"/>
    <w:rsid w:val="00074997"/>
    <w:rsid w:val="000749F8"/>
    <w:rsid w:val="00074A32"/>
    <w:rsid w:val="00074AA1"/>
    <w:rsid w:val="00074B4B"/>
    <w:rsid w:val="00074C18"/>
    <w:rsid w:val="00074DAF"/>
    <w:rsid w:val="00074E49"/>
    <w:rsid w:val="00074E78"/>
    <w:rsid w:val="00074EB5"/>
    <w:rsid w:val="00074F2C"/>
    <w:rsid w:val="00074F2D"/>
    <w:rsid w:val="00074F52"/>
    <w:rsid w:val="00075052"/>
    <w:rsid w:val="00075154"/>
    <w:rsid w:val="00075172"/>
    <w:rsid w:val="0007527D"/>
    <w:rsid w:val="000752FD"/>
    <w:rsid w:val="000753DC"/>
    <w:rsid w:val="00075452"/>
    <w:rsid w:val="000755AD"/>
    <w:rsid w:val="00075608"/>
    <w:rsid w:val="00075695"/>
    <w:rsid w:val="00075713"/>
    <w:rsid w:val="00075745"/>
    <w:rsid w:val="00075771"/>
    <w:rsid w:val="0007579B"/>
    <w:rsid w:val="0007587F"/>
    <w:rsid w:val="000758F0"/>
    <w:rsid w:val="000759C0"/>
    <w:rsid w:val="00075A33"/>
    <w:rsid w:val="00075A64"/>
    <w:rsid w:val="00075B39"/>
    <w:rsid w:val="00075BB9"/>
    <w:rsid w:val="00075BD9"/>
    <w:rsid w:val="00075C16"/>
    <w:rsid w:val="00075C30"/>
    <w:rsid w:val="00075CD7"/>
    <w:rsid w:val="00075E1E"/>
    <w:rsid w:val="00075E74"/>
    <w:rsid w:val="00075E7E"/>
    <w:rsid w:val="00075F0F"/>
    <w:rsid w:val="00075F87"/>
    <w:rsid w:val="00075FAE"/>
    <w:rsid w:val="0007601B"/>
    <w:rsid w:val="00076088"/>
    <w:rsid w:val="000760B8"/>
    <w:rsid w:val="00076178"/>
    <w:rsid w:val="00076182"/>
    <w:rsid w:val="0007619B"/>
    <w:rsid w:val="000761CB"/>
    <w:rsid w:val="000761E5"/>
    <w:rsid w:val="00076204"/>
    <w:rsid w:val="00076224"/>
    <w:rsid w:val="000762CB"/>
    <w:rsid w:val="00076396"/>
    <w:rsid w:val="000763EB"/>
    <w:rsid w:val="0007642B"/>
    <w:rsid w:val="000764B3"/>
    <w:rsid w:val="00076584"/>
    <w:rsid w:val="00076760"/>
    <w:rsid w:val="0007683E"/>
    <w:rsid w:val="00076842"/>
    <w:rsid w:val="000768CA"/>
    <w:rsid w:val="000768F5"/>
    <w:rsid w:val="000768F9"/>
    <w:rsid w:val="00076946"/>
    <w:rsid w:val="00076984"/>
    <w:rsid w:val="00076987"/>
    <w:rsid w:val="00076A0A"/>
    <w:rsid w:val="00076A53"/>
    <w:rsid w:val="00076A8E"/>
    <w:rsid w:val="00076AC9"/>
    <w:rsid w:val="00076ADA"/>
    <w:rsid w:val="00076B1E"/>
    <w:rsid w:val="00076B26"/>
    <w:rsid w:val="00076B71"/>
    <w:rsid w:val="00076C16"/>
    <w:rsid w:val="00076CA7"/>
    <w:rsid w:val="00076CEF"/>
    <w:rsid w:val="00076D6F"/>
    <w:rsid w:val="00076DAC"/>
    <w:rsid w:val="00076DAE"/>
    <w:rsid w:val="00076DBB"/>
    <w:rsid w:val="00076DC0"/>
    <w:rsid w:val="00076DDD"/>
    <w:rsid w:val="00076E95"/>
    <w:rsid w:val="00076EA0"/>
    <w:rsid w:val="00076FD1"/>
    <w:rsid w:val="00077017"/>
    <w:rsid w:val="000770DD"/>
    <w:rsid w:val="0007719F"/>
    <w:rsid w:val="000771CF"/>
    <w:rsid w:val="000771EB"/>
    <w:rsid w:val="0007725D"/>
    <w:rsid w:val="0007729C"/>
    <w:rsid w:val="000772DD"/>
    <w:rsid w:val="0007732C"/>
    <w:rsid w:val="000774E8"/>
    <w:rsid w:val="000774F3"/>
    <w:rsid w:val="000775BD"/>
    <w:rsid w:val="000775D9"/>
    <w:rsid w:val="000775F9"/>
    <w:rsid w:val="00077698"/>
    <w:rsid w:val="000776A0"/>
    <w:rsid w:val="000776E5"/>
    <w:rsid w:val="000776F0"/>
    <w:rsid w:val="00077717"/>
    <w:rsid w:val="000777A5"/>
    <w:rsid w:val="0007780D"/>
    <w:rsid w:val="0007783C"/>
    <w:rsid w:val="0007788C"/>
    <w:rsid w:val="0007797E"/>
    <w:rsid w:val="00077982"/>
    <w:rsid w:val="00077A10"/>
    <w:rsid w:val="00077A18"/>
    <w:rsid w:val="00077A19"/>
    <w:rsid w:val="00077A1E"/>
    <w:rsid w:val="00077BD6"/>
    <w:rsid w:val="00077BEE"/>
    <w:rsid w:val="00077C45"/>
    <w:rsid w:val="00077C4A"/>
    <w:rsid w:val="00077D3C"/>
    <w:rsid w:val="00077D63"/>
    <w:rsid w:val="00077E37"/>
    <w:rsid w:val="00077F3A"/>
    <w:rsid w:val="00077F72"/>
    <w:rsid w:val="00077FD8"/>
    <w:rsid w:val="00080052"/>
    <w:rsid w:val="00080101"/>
    <w:rsid w:val="000801D6"/>
    <w:rsid w:val="00080262"/>
    <w:rsid w:val="000802A6"/>
    <w:rsid w:val="000802BA"/>
    <w:rsid w:val="0008030C"/>
    <w:rsid w:val="000803CC"/>
    <w:rsid w:val="0008043C"/>
    <w:rsid w:val="00080448"/>
    <w:rsid w:val="0008047C"/>
    <w:rsid w:val="000804FA"/>
    <w:rsid w:val="0008056A"/>
    <w:rsid w:val="000805BD"/>
    <w:rsid w:val="000805F7"/>
    <w:rsid w:val="00080611"/>
    <w:rsid w:val="00080681"/>
    <w:rsid w:val="000806A2"/>
    <w:rsid w:val="000808DF"/>
    <w:rsid w:val="000808E1"/>
    <w:rsid w:val="00080934"/>
    <w:rsid w:val="0008097D"/>
    <w:rsid w:val="000809BF"/>
    <w:rsid w:val="000809D7"/>
    <w:rsid w:val="00080A11"/>
    <w:rsid w:val="00080A24"/>
    <w:rsid w:val="00080B15"/>
    <w:rsid w:val="00080B83"/>
    <w:rsid w:val="00080B93"/>
    <w:rsid w:val="00080B99"/>
    <w:rsid w:val="00080BB4"/>
    <w:rsid w:val="00080C7C"/>
    <w:rsid w:val="00080CDC"/>
    <w:rsid w:val="00080D0F"/>
    <w:rsid w:val="00080DB9"/>
    <w:rsid w:val="00080FB5"/>
    <w:rsid w:val="00080FDC"/>
    <w:rsid w:val="0008102A"/>
    <w:rsid w:val="00081065"/>
    <w:rsid w:val="00081100"/>
    <w:rsid w:val="00081112"/>
    <w:rsid w:val="00081142"/>
    <w:rsid w:val="0008115E"/>
    <w:rsid w:val="0008118E"/>
    <w:rsid w:val="000811F4"/>
    <w:rsid w:val="00081266"/>
    <w:rsid w:val="000812E6"/>
    <w:rsid w:val="000813AD"/>
    <w:rsid w:val="00081414"/>
    <w:rsid w:val="00081545"/>
    <w:rsid w:val="00081672"/>
    <w:rsid w:val="00081712"/>
    <w:rsid w:val="00081714"/>
    <w:rsid w:val="00081747"/>
    <w:rsid w:val="00081807"/>
    <w:rsid w:val="0008181F"/>
    <w:rsid w:val="000819A9"/>
    <w:rsid w:val="000819BE"/>
    <w:rsid w:val="000819D9"/>
    <w:rsid w:val="00081A42"/>
    <w:rsid w:val="00081A70"/>
    <w:rsid w:val="00081B73"/>
    <w:rsid w:val="00081BA5"/>
    <w:rsid w:val="00081BB8"/>
    <w:rsid w:val="00081BF1"/>
    <w:rsid w:val="00081C0D"/>
    <w:rsid w:val="00081C30"/>
    <w:rsid w:val="00081C63"/>
    <w:rsid w:val="00081D9F"/>
    <w:rsid w:val="00081E17"/>
    <w:rsid w:val="00081E25"/>
    <w:rsid w:val="00081E5E"/>
    <w:rsid w:val="00081EB7"/>
    <w:rsid w:val="00081F2F"/>
    <w:rsid w:val="00081FAD"/>
    <w:rsid w:val="00082010"/>
    <w:rsid w:val="0008215B"/>
    <w:rsid w:val="000821F4"/>
    <w:rsid w:val="000821F5"/>
    <w:rsid w:val="00082208"/>
    <w:rsid w:val="000822D5"/>
    <w:rsid w:val="0008230D"/>
    <w:rsid w:val="0008232F"/>
    <w:rsid w:val="000823C0"/>
    <w:rsid w:val="000823CA"/>
    <w:rsid w:val="000823E6"/>
    <w:rsid w:val="0008247A"/>
    <w:rsid w:val="0008260A"/>
    <w:rsid w:val="0008266A"/>
    <w:rsid w:val="00082814"/>
    <w:rsid w:val="0008290E"/>
    <w:rsid w:val="00082957"/>
    <w:rsid w:val="00082A8D"/>
    <w:rsid w:val="00082ADD"/>
    <w:rsid w:val="00082B06"/>
    <w:rsid w:val="00082B0D"/>
    <w:rsid w:val="00082B19"/>
    <w:rsid w:val="00082C0B"/>
    <w:rsid w:val="00082C26"/>
    <w:rsid w:val="00082C75"/>
    <w:rsid w:val="00082CF7"/>
    <w:rsid w:val="00082DCB"/>
    <w:rsid w:val="00082DDA"/>
    <w:rsid w:val="00082F85"/>
    <w:rsid w:val="00082FFB"/>
    <w:rsid w:val="00083033"/>
    <w:rsid w:val="0008304C"/>
    <w:rsid w:val="0008306D"/>
    <w:rsid w:val="0008309B"/>
    <w:rsid w:val="000830EE"/>
    <w:rsid w:val="00083130"/>
    <w:rsid w:val="00083136"/>
    <w:rsid w:val="00083140"/>
    <w:rsid w:val="00083146"/>
    <w:rsid w:val="0008314B"/>
    <w:rsid w:val="000832E1"/>
    <w:rsid w:val="0008333A"/>
    <w:rsid w:val="00083400"/>
    <w:rsid w:val="00083485"/>
    <w:rsid w:val="000834C2"/>
    <w:rsid w:val="00083518"/>
    <w:rsid w:val="00083591"/>
    <w:rsid w:val="00083595"/>
    <w:rsid w:val="0008362A"/>
    <w:rsid w:val="000836C8"/>
    <w:rsid w:val="00083875"/>
    <w:rsid w:val="000838BC"/>
    <w:rsid w:val="00083933"/>
    <w:rsid w:val="000839C7"/>
    <w:rsid w:val="00083B5C"/>
    <w:rsid w:val="00083C4F"/>
    <w:rsid w:val="00083CA9"/>
    <w:rsid w:val="00083CFD"/>
    <w:rsid w:val="00083D55"/>
    <w:rsid w:val="00083D72"/>
    <w:rsid w:val="00083DF9"/>
    <w:rsid w:val="00083E77"/>
    <w:rsid w:val="00083E94"/>
    <w:rsid w:val="00083F8A"/>
    <w:rsid w:val="00083FF0"/>
    <w:rsid w:val="0008400D"/>
    <w:rsid w:val="00084017"/>
    <w:rsid w:val="00084127"/>
    <w:rsid w:val="0008417F"/>
    <w:rsid w:val="00084225"/>
    <w:rsid w:val="0008425F"/>
    <w:rsid w:val="00084281"/>
    <w:rsid w:val="000842BF"/>
    <w:rsid w:val="000842DD"/>
    <w:rsid w:val="00084404"/>
    <w:rsid w:val="000844C0"/>
    <w:rsid w:val="000844DB"/>
    <w:rsid w:val="00084575"/>
    <w:rsid w:val="000845E0"/>
    <w:rsid w:val="0008460F"/>
    <w:rsid w:val="00084629"/>
    <w:rsid w:val="0008465F"/>
    <w:rsid w:val="0008469E"/>
    <w:rsid w:val="000846A7"/>
    <w:rsid w:val="000846B0"/>
    <w:rsid w:val="0008470A"/>
    <w:rsid w:val="00084714"/>
    <w:rsid w:val="0008472D"/>
    <w:rsid w:val="000847AB"/>
    <w:rsid w:val="000847CA"/>
    <w:rsid w:val="000847EC"/>
    <w:rsid w:val="0008485A"/>
    <w:rsid w:val="000848A8"/>
    <w:rsid w:val="000848B4"/>
    <w:rsid w:val="000849A6"/>
    <w:rsid w:val="00084A31"/>
    <w:rsid w:val="00084B6E"/>
    <w:rsid w:val="00084B76"/>
    <w:rsid w:val="00084C65"/>
    <w:rsid w:val="00084CD3"/>
    <w:rsid w:val="00084D11"/>
    <w:rsid w:val="00084DD0"/>
    <w:rsid w:val="00084E01"/>
    <w:rsid w:val="00084E96"/>
    <w:rsid w:val="00084EF3"/>
    <w:rsid w:val="00084F3A"/>
    <w:rsid w:val="00084FBB"/>
    <w:rsid w:val="00084FF7"/>
    <w:rsid w:val="0008500B"/>
    <w:rsid w:val="00085067"/>
    <w:rsid w:val="0008511A"/>
    <w:rsid w:val="00085126"/>
    <w:rsid w:val="00085142"/>
    <w:rsid w:val="0008517A"/>
    <w:rsid w:val="00085199"/>
    <w:rsid w:val="0008532E"/>
    <w:rsid w:val="00085366"/>
    <w:rsid w:val="0008539A"/>
    <w:rsid w:val="0008540A"/>
    <w:rsid w:val="000854C5"/>
    <w:rsid w:val="000854D5"/>
    <w:rsid w:val="000854EC"/>
    <w:rsid w:val="00085698"/>
    <w:rsid w:val="000856B6"/>
    <w:rsid w:val="000856DB"/>
    <w:rsid w:val="0008574B"/>
    <w:rsid w:val="000857B8"/>
    <w:rsid w:val="000858FB"/>
    <w:rsid w:val="00085957"/>
    <w:rsid w:val="000859AD"/>
    <w:rsid w:val="00085A23"/>
    <w:rsid w:val="00085A31"/>
    <w:rsid w:val="00085ACD"/>
    <w:rsid w:val="00085B47"/>
    <w:rsid w:val="00085B80"/>
    <w:rsid w:val="00085B82"/>
    <w:rsid w:val="00085BAE"/>
    <w:rsid w:val="00085BCD"/>
    <w:rsid w:val="00085BDF"/>
    <w:rsid w:val="00085BE9"/>
    <w:rsid w:val="00085C73"/>
    <w:rsid w:val="00085D1D"/>
    <w:rsid w:val="00085EC7"/>
    <w:rsid w:val="00085F1D"/>
    <w:rsid w:val="00085F4B"/>
    <w:rsid w:val="00085F6C"/>
    <w:rsid w:val="00085F8D"/>
    <w:rsid w:val="0008600E"/>
    <w:rsid w:val="000860AD"/>
    <w:rsid w:val="000860E9"/>
    <w:rsid w:val="0008610F"/>
    <w:rsid w:val="00086123"/>
    <w:rsid w:val="000862C4"/>
    <w:rsid w:val="000862F9"/>
    <w:rsid w:val="0008636F"/>
    <w:rsid w:val="0008643C"/>
    <w:rsid w:val="00086463"/>
    <w:rsid w:val="0008655A"/>
    <w:rsid w:val="000865DD"/>
    <w:rsid w:val="000865F2"/>
    <w:rsid w:val="0008667B"/>
    <w:rsid w:val="00086690"/>
    <w:rsid w:val="000867FF"/>
    <w:rsid w:val="00086880"/>
    <w:rsid w:val="000868B3"/>
    <w:rsid w:val="000868D9"/>
    <w:rsid w:val="00086980"/>
    <w:rsid w:val="00086992"/>
    <w:rsid w:val="000869FA"/>
    <w:rsid w:val="00086A44"/>
    <w:rsid w:val="00086C84"/>
    <w:rsid w:val="00086CCA"/>
    <w:rsid w:val="00086D6E"/>
    <w:rsid w:val="00086E2B"/>
    <w:rsid w:val="00086EB4"/>
    <w:rsid w:val="00086F49"/>
    <w:rsid w:val="00086FD6"/>
    <w:rsid w:val="000870BC"/>
    <w:rsid w:val="000870FA"/>
    <w:rsid w:val="000871F4"/>
    <w:rsid w:val="00087272"/>
    <w:rsid w:val="000872C6"/>
    <w:rsid w:val="00087342"/>
    <w:rsid w:val="0008739A"/>
    <w:rsid w:val="000873D4"/>
    <w:rsid w:val="00087473"/>
    <w:rsid w:val="00087480"/>
    <w:rsid w:val="0008758B"/>
    <w:rsid w:val="000875A7"/>
    <w:rsid w:val="000875F3"/>
    <w:rsid w:val="0008766E"/>
    <w:rsid w:val="000876C5"/>
    <w:rsid w:val="000876DB"/>
    <w:rsid w:val="000876DC"/>
    <w:rsid w:val="00087711"/>
    <w:rsid w:val="0008776A"/>
    <w:rsid w:val="00087783"/>
    <w:rsid w:val="000877C7"/>
    <w:rsid w:val="00087830"/>
    <w:rsid w:val="000878FF"/>
    <w:rsid w:val="0008796D"/>
    <w:rsid w:val="00087991"/>
    <w:rsid w:val="000879A2"/>
    <w:rsid w:val="00087B26"/>
    <w:rsid w:val="00087B30"/>
    <w:rsid w:val="00087EAC"/>
    <w:rsid w:val="00087F32"/>
    <w:rsid w:val="00087F7A"/>
    <w:rsid w:val="00087FE7"/>
    <w:rsid w:val="000901CA"/>
    <w:rsid w:val="000901CF"/>
    <w:rsid w:val="00090297"/>
    <w:rsid w:val="00090326"/>
    <w:rsid w:val="0009032D"/>
    <w:rsid w:val="00090536"/>
    <w:rsid w:val="0009053A"/>
    <w:rsid w:val="0009056E"/>
    <w:rsid w:val="0009067C"/>
    <w:rsid w:val="00090715"/>
    <w:rsid w:val="00090775"/>
    <w:rsid w:val="0009077F"/>
    <w:rsid w:val="000908A8"/>
    <w:rsid w:val="000909E1"/>
    <w:rsid w:val="00090A07"/>
    <w:rsid w:val="00090AE5"/>
    <w:rsid w:val="00090B88"/>
    <w:rsid w:val="00090B9B"/>
    <w:rsid w:val="00090BEB"/>
    <w:rsid w:val="00090CE2"/>
    <w:rsid w:val="00090D5E"/>
    <w:rsid w:val="00090D70"/>
    <w:rsid w:val="00090DF3"/>
    <w:rsid w:val="00090E22"/>
    <w:rsid w:val="00090F1A"/>
    <w:rsid w:val="00090F2F"/>
    <w:rsid w:val="00090F54"/>
    <w:rsid w:val="00090F55"/>
    <w:rsid w:val="00091052"/>
    <w:rsid w:val="000910DD"/>
    <w:rsid w:val="0009116E"/>
    <w:rsid w:val="00091200"/>
    <w:rsid w:val="000912CB"/>
    <w:rsid w:val="000912F2"/>
    <w:rsid w:val="0009137E"/>
    <w:rsid w:val="00091426"/>
    <w:rsid w:val="000914AA"/>
    <w:rsid w:val="00091502"/>
    <w:rsid w:val="0009159C"/>
    <w:rsid w:val="000915A2"/>
    <w:rsid w:val="00091612"/>
    <w:rsid w:val="0009170C"/>
    <w:rsid w:val="00091782"/>
    <w:rsid w:val="000917FA"/>
    <w:rsid w:val="0009184B"/>
    <w:rsid w:val="00091859"/>
    <w:rsid w:val="0009188B"/>
    <w:rsid w:val="00091904"/>
    <w:rsid w:val="0009193A"/>
    <w:rsid w:val="00091958"/>
    <w:rsid w:val="0009196B"/>
    <w:rsid w:val="000919F6"/>
    <w:rsid w:val="00091A03"/>
    <w:rsid w:val="00091A4B"/>
    <w:rsid w:val="00091AF6"/>
    <w:rsid w:val="00091B31"/>
    <w:rsid w:val="00091B37"/>
    <w:rsid w:val="00091B40"/>
    <w:rsid w:val="00091BAE"/>
    <w:rsid w:val="00091BCF"/>
    <w:rsid w:val="00091C85"/>
    <w:rsid w:val="00091CAD"/>
    <w:rsid w:val="00091DDB"/>
    <w:rsid w:val="00091DDD"/>
    <w:rsid w:val="00091DFA"/>
    <w:rsid w:val="00091E49"/>
    <w:rsid w:val="000921A0"/>
    <w:rsid w:val="00092251"/>
    <w:rsid w:val="000922A2"/>
    <w:rsid w:val="000922D5"/>
    <w:rsid w:val="0009233E"/>
    <w:rsid w:val="00092344"/>
    <w:rsid w:val="00092400"/>
    <w:rsid w:val="00092435"/>
    <w:rsid w:val="0009248A"/>
    <w:rsid w:val="000924AC"/>
    <w:rsid w:val="000925C9"/>
    <w:rsid w:val="00092814"/>
    <w:rsid w:val="000928E3"/>
    <w:rsid w:val="000929C0"/>
    <w:rsid w:val="000929CF"/>
    <w:rsid w:val="00092A4C"/>
    <w:rsid w:val="00092A89"/>
    <w:rsid w:val="00092AF5"/>
    <w:rsid w:val="00092B0D"/>
    <w:rsid w:val="00092B3B"/>
    <w:rsid w:val="00092B4C"/>
    <w:rsid w:val="00092B78"/>
    <w:rsid w:val="00092C2C"/>
    <w:rsid w:val="00092C9B"/>
    <w:rsid w:val="00092CD7"/>
    <w:rsid w:val="00092D3A"/>
    <w:rsid w:val="00092E06"/>
    <w:rsid w:val="00092E56"/>
    <w:rsid w:val="00092F46"/>
    <w:rsid w:val="00092F9B"/>
    <w:rsid w:val="00093082"/>
    <w:rsid w:val="000930C3"/>
    <w:rsid w:val="000930DD"/>
    <w:rsid w:val="00093117"/>
    <w:rsid w:val="000931C1"/>
    <w:rsid w:val="00093321"/>
    <w:rsid w:val="000933E8"/>
    <w:rsid w:val="00093433"/>
    <w:rsid w:val="0009357D"/>
    <w:rsid w:val="000935A2"/>
    <w:rsid w:val="00093619"/>
    <w:rsid w:val="00093625"/>
    <w:rsid w:val="0009366B"/>
    <w:rsid w:val="0009370A"/>
    <w:rsid w:val="0009377B"/>
    <w:rsid w:val="00093793"/>
    <w:rsid w:val="0009383E"/>
    <w:rsid w:val="000938A9"/>
    <w:rsid w:val="00093960"/>
    <w:rsid w:val="000939CD"/>
    <w:rsid w:val="000939D5"/>
    <w:rsid w:val="00093A0E"/>
    <w:rsid w:val="00093AC3"/>
    <w:rsid w:val="00093ACE"/>
    <w:rsid w:val="00093B34"/>
    <w:rsid w:val="00093B4A"/>
    <w:rsid w:val="00093BFC"/>
    <w:rsid w:val="00093C8E"/>
    <w:rsid w:val="00093CAA"/>
    <w:rsid w:val="00093D04"/>
    <w:rsid w:val="00093D34"/>
    <w:rsid w:val="00093D75"/>
    <w:rsid w:val="00093DE7"/>
    <w:rsid w:val="00093E9F"/>
    <w:rsid w:val="00093EF4"/>
    <w:rsid w:val="00094048"/>
    <w:rsid w:val="0009411C"/>
    <w:rsid w:val="000941A6"/>
    <w:rsid w:val="00094227"/>
    <w:rsid w:val="00094271"/>
    <w:rsid w:val="000942DD"/>
    <w:rsid w:val="00094301"/>
    <w:rsid w:val="00094315"/>
    <w:rsid w:val="0009447B"/>
    <w:rsid w:val="00094607"/>
    <w:rsid w:val="00094704"/>
    <w:rsid w:val="00094717"/>
    <w:rsid w:val="000948B1"/>
    <w:rsid w:val="000948B7"/>
    <w:rsid w:val="00094943"/>
    <w:rsid w:val="000949B0"/>
    <w:rsid w:val="00094A13"/>
    <w:rsid w:val="00094A94"/>
    <w:rsid w:val="00094BE6"/>
    <w:rsid w:val="00094C57"/>
    <w:rsid w:val="00094C86"/>
    <w:rsid w:val="00094D7F"/>
    <w:rsid w:val="00094D86"/>
    <w:rsid w:val="00094DCE"/>
    <w:rsid w:val="00094E13"/>
    <w:rsid w:val="00094E2B"/>
    <w:rsid w:val="00094F3C"/>
    <w:rsid w:val="00095032"/>
    <w:rsid w:val="0009504C"/>
    <w:rsid w:val="000950BB"/>
    <w:rsid w:val="0009517E"/>
    <w:rsid w:val="00095214"/>
    <w:rsid w:val="000952A9"/>
    <w:rsid w:val="00095321"/>
    <w:rsid w:val="0009532E"/>
    <w:rsid w:val="0009538F"/>
    <w:rsid w:val="000953A5"/>
    <w:rsid w:val="000953D0"/>
    <w:rsid w:val="00095412"/>
    <w:rsid w:val="000954CA"/>
    <w:rsid w:val="000954F6"/>
    <w:rsid w:val="00095589"/>
    <w:rsid w:val="000955BB"/>
    <w:rsid w:val="000955D3"/>
    <w:rsid w:val="00095619"/>
    <w:rsid w:val="000956FE"/>
    <w:rsid w:val="000957E9"/>
    <w:rsid w:val="0009594C"/>
    <w:rsid w:val="000959B9"/>
    <w:rsid w:val="00095A54"/>
    <w:rsid w:val="00095A93"/>
    <w:rsid w:val="00095AB5"/>
    <w:rsid w:val="00095ADE"/>
    <w:rsid w:val="00095AE5"/>
    <w:rsid w:val="00095B8C"/>
    <w:rsid w:val="00095C5B"/>
    <w:rsid w:val="00095C9D"/>
    <w:rsid w:val="00095CC4"/>
    <w:rsid w:val="00095D15"/>
    <w:rsid w:val="00095D1D"/>
    <w:rsid w:val="00095D95"/>
    <w:rsid w:val="00095E62"/>
    <w:rsid w:val="00095F30"/>
    <w:rsid w:val="00095FCF"/>
    <w:rsid w:val="00096014"/>
    <w:rsid w:val="0009602D"/>
    <w:rsid w:val="0009603E"/>
    <w:rsid w:val="00096050"/>
    <w:rsid w:val="0009608F"/>
    <w:rsid w:val="000960A4"/>
    <w:rsid w:val="0009613E"/>
    <w:rsid w:val="00096216"/>
    <w:rsid w:val="0009642C"/>
    <w:rsid w:val="00096539"/>
    <w:rsid w:val="00096559"/>
    <w:rsid w:val="0009656B"/>
    <w:rsid w:val="00096590"/>
    <w:rsid w:val="000965A1"/>
    <w:rsid w:val="00096614"/>
    <w:rsid w:val="0009666A"/>
    <w:rsid w:val="00096671"/>
    <w:rsid w:val="000966AE"/>
    <w:rsid w:val="000966CC"/>
    <w:rsid w:val="000966DC"/>
    <w:rsid w:val="00096811"/>
    <w:rsid w:val="000968F5"/>
    <w:rsid w:val="00096945"/>
    <w:rsid w:val="0009697A"/>
    <w:rsid w:val="00096A04"/>
    <w:rsid w:val="00096A20"/>
    <w:rsid w:val="00096A33"/>
    <w:rsid w:val="00096A5F"/>
    <w:rsid w:val="00096B60"/>
    <w:rsid w:val="00096B69"/>
    <w:rsid w:val="00096C21"/>
    <w:rsid w:val="00096C69"/>
    <w:rsid w:val="00096DEA"/>
    <w:rsid w:val="00096E71"/>
    <w:rsid w:val="00096EB6"/>
    <w:rsid w:val="00096F62"/>
    <w:rsid w:val="00096F65"/>
    <w:rsid w:val="00096FC0"/>
    <w:rsid w:val="00096FE0"/>
    <w:rsid w:val="000970F5"/>
    <w:rsid w:val="000971AD"/>
    <w:rsid w:val="000971C3"/>
    <w:rsid w:val="000971DB"/>
    <w:rsid w:val="000971F0"/>
    <w:rsid w:val="0009727A"/>
    <w:rsid w:val="0009728C"/>
    <w:rsid w:val="00097297"/>
    <w:rsid w:val="000972A6"/>
    <w:rsid w:val="000972C0"/>
    <w:rsid w:val="0009747A"/>
    <w:rsid w:val="00097602"/>
    <w:rsid w:val="000976A3"/>
    <w:rsid w:val="000976C7"/>
    <w:rsid w:val="000976DE"/>
    <w:rsid w:val="000976E3"/>
    <w:rsid w:val="00097721"/>
    <w:rsid w:val="0009773B"/>
    <w:rsid w:val="00097859"/>
    <w:rsid w:val="000978C3"/>
    <w:rsid w:val="00097974"/>
    <w:rsid w:val="00097A6A"/>
    <w:rsid w:val="00097BEE"/>
    <w:rsid w:val="00097C25"/>
    <w:rsid w:val="00097CD1"/>
    <w:rsid w:val="00097CF3"/>
    <w:rsid w:val="00097D0C"/>
    <w:rsid w:val="00097EC7"/>
    <w:rsid w:val="00097EC8"/>
    <w:rsid w:val="00097F1F"/>
    <w:rsid w:val="00097F29"/>
    <w:rsid w:val="00097F2D"/>
    <w:rsid w:val="00097F44"/>
    <w:rsid w:val="00097F5B"/>
    <w:rsid w:val="00097FF5"/>
    <w:rsid w:val="000A007A"/>
    <w:rsid w:val="000A0152"/>
    <w:rsid w:val="000A01F5"/>
    <w:rsid w:val="000A0204"/>
    <w:rsid w:val="000A0215"/>
    <w:rsid w:val="000A04D1"/>
    <w:rsid w:val="000A04FA"/>
    <w:rsid w:val="000A05C5"/>
    <w:rsid w:val="000A05CD"/>
    <w:rsid w:val="000A05E6"/>
    <w:rsid w:val="000A067F"/>
    <w:rsid w:val="000A06CF"/>
    <w:rsid w:val="000A06F6"/>
    <w:rsid w:val="000A0722"/>
    <w:rsid w:val="000A0874"/>
    <w:rsid w:val="000A0944"/>
    <w:rsid w:val="000A0961"/>
    <w:rsid w:val="000A09E9"/>
    <w:rsid w:val="000A0A8B"/>
    <w:rsid w:val="000A0AF6"/>
    <w:rsid w:val="000A0B71"/>
    <w:rsid w:val="000A0C17"/>
    <w:rsid w:val="000A0D3D"/>
    <w:rsid w:val="000A0DEC"/>
    <w:rsid w:val="000A0EA3"/>
    <w:rsid w:val="000A0ECD"/>
    <w:rsid w:val="000A0ED4"/>
    <w:rsid w:val="000A0F3F"/>
    <w:rsid w:val="000A0F4E"/>
    <w:rsid w:val="000A1035"/>
    <w:rsid w:val="000A108B"/>
    <w:rsid w:val="000A12C6"/>
    <w:rsid w:val="000A1316"/>
    <w:rsid w:val="000A135C"/>
    <w:rsid w:val="000A13A1"/>
    <w:rsid w:val="000A14C2"/>
    <w:rsid w:val="000A151A"/>
    <w:rsid w:val="000A155E"/>
    <w:rsid w:val="000A15AE"/>
    <w:rsid w:val="000A1727"/>
    <w:rsid w:val="000A175F"/>
    <w:rsid w:val="000A1786"/>
    <w:rsid w:val="000A181C"/>
    <w:rsid w:val="000A1886"/>
    <w:rsid w:val="000A18A6"/>
    <w:rsid w:val="000A18D0"/>
    <w:rsid w:val="000A1984"/>
    <w:rsid w:val="000A19C3"/>
    <w:rsid w:val="000A1A45"/>
    <w:rsid w:val="000A1AAF"/>
    <w:rsid w:val="000A1ADD"/>
    <w:rsid w:val="000A1B03"/>
    <w:rsid w:val="000A1B49"/>
    <w:rsid w:val="000A1B76"/>
    <w:rsid w:val="000A1C5E"/>
    <w:rsid w:val="000A1C73"/>
    <w:rsid w:val="000A1C9D"/>
    <w:rsid w:val="000A1CDB"/>
    <w:rsid w:val="000A1CF5"/>
    <w:rsid w:val="000A1D1A"/>
    <w:rsid w:val="000A1DE1"/>
    <w:rsid w:val="000A1E81"/>
    <w:rsid w:val="000A1EB8"/>
    <w:rsid w:val="000A1F3D"/>
    <w:rsid w:val="000A202C"/>
    <w:rsid w:val="000A2035"/>
    <w:rsid w:val="000A20EF"/>
    <w:rsid w:val="000A20F3"/>
    <w:rsid w:val="000A2104"/>
    <w:rsid w:val="000A2183"/>
    <w:rsid w:val="000A2187"/>
    <w:rsid w:val="000A21DE"/>
    <w:rsid w:val="000A2236"/>
    <w:rsid w:val="000A2294"/>
    <w:rsid w:val="000A22A7"/>
    <w:rsid w:val="000A22F0"/>
    <w:rsid w:val="000A2379"/>
    <w:rsid w:val="000A23D1"/>
    <w:rsid w:val="000A23DE"/>
    <w:rsid w:val="000A23E3"/>
    <w:rsid w:val="000A2409"/>
    <w:rsid w:val="000A2461"/>
    <w:rsid w:val="000A2598"/>
    <w:rsid w:val="000A262D"/>
    <w:rsid w:val="000A263A"/>
    <w:rsid w:val="000A265E"/>
    <w:rsid w:val="000A26C1"/>
    <w:rsid w:val="000A2813"/>
    <w:rsid w:val="000A2966"/>
    <w:rsid w:val="000A29BF"/>
    <w:rsid w:val="000A29C0"/>
    <w:rsid w:val="000A2A82"/>
    <w:rsid w:val="000A2AD3"/>
    <w:rsid w:val="000A2ADF"/>
    <w:rsid w:val="000A2B1A"/>
    <w:rsid w:val="000A2C04"/>
    <w:rsid w:val="000A2C58"/>
    <w:rsid w:val="000A2CB4"/>
    <w:rsid w:val="000A2CBC"/>
    <w:rsid w:val="000A2CE8"/>
    <w:rsid w:val="000A2D4D"/>
    <w:rsid w:val="000A2D50"/>
    <w:rsid w:val="000A2DFE"/>
    <w:rsid w:val="000A2E66"/>
    <w:rsid w:val="000A2E88"/>
    <w:rsid w:val="000A2F08"/>
    <w:rsid w:val="000A2F0B"/>
    <w:rsid w:val="000A2F86"/>
    <w:rsid w:val="000A30DD"/>
    <w:rsid w:val="000A30DE"/>
    <w:rsid w:val="000A31F7"/>
    <w:rsid w:val="000A32E6"/>
    <w:rsid w:val="000A32F2"/>
    <w:rsid w:val="000A350A"/>
    <w:rsid w:val="000A3515"/>
    <w:rsid w:val="000A35D6"/>
    <w:rsid w:val="000A366D"/>
    <w:rsid w:val="000A36FC"/>
    <w:rsid w:val="000A378C"/>
    <w:rsid w:val="000A3792"/>
    <w:rsid w:val="000A37BD"/>
    <w:rsid w:val="000A37DC"/>
    <w:rsid w:val="000A39AC"/>
    <w:rsid w:val="000A3ABF"/>
    <w:rsid w:val="000A3C0D"/>
    <w:rsid w:val="000A3C89"/>
    <w:rsid w:val="000A3CB7"/>
    <w:rsid w:val="000A3CFF"/>
    <w:rsid w:val="000A3D70"/>
    <w:rsid w:val="000A3DEA"/>
    <w:rsid w:val="000A3E01"/>
    <w:rsid w:val="000A3EAC"/>
    <w:rsid w:val="000A3F5F"/>
    <w:rsid w:val="000A3F82"/>
    <w:rsid w:val="000A3FF2"/>
    <w:rsid w:val="000A4017"/>
    <w:rsid w:val="000A4199"/>
    <w:rsid w:val="000A4223"/>
    <w:rsid w:val="000A4284"/>
    <w:rsid w:val="000A429A"/>
    <w:rsid w:val="000A43CE"/>
    <w:rsid w:val="000A44B9"/>
    <w:rsid w:val="000A44E7"/>
    <w:rsid w:val="000A452B"/>
    <w:rsid w:val="000A4549"/>
    <w:rsid w:val="000A4667"/>
    <w:rsid w:val="000A469B"/>
    <w:rsid w:val="000A46C3"/>
    <w:rsid w:val="000A46D3"/>
    <w:rsid w:val="000A46EB"/>
    <w:rsid w:val="000A49E8"/>
    <w:rsid w:val="000A4A26"/>
    <w:rsid w:val="000A4A8A"/>
    <w:rsid w:val="000A4AC1"/>
    <w:rsid w:val="000A4AEC"/>
    <w:rsid w:val="000A4BAD"/>
    <w:rsid w:val="000A4BBD"/>
    <w:rsid w:val="000A4BBF"/>
    <w:rsid w:val="000A4D63"/>
    <w:rsid w:val="000A4E5B"/>
    <w:rsid w:val="000A4FD3"/>
    <w:rsid w:val="000A4FE4"/>
    <w:rsid w:val="000A504D"/>
    <w:rsid w:val="000A505D"/>
    <w:rsid w:val="000A50B7"/>
    <w:rsid w:val="000A513A"/>
    <w:rsid w:val="000A51B9"/>
    <w:rsid w:val="000A52D8"/>
    <w:rsid w:val="000A5379"/>
    <w:rsid w:val="000A538B"/>
    <w:rsid w:val="000A53D6"/>
    <w:rsid w:val="000A5441"/>
    <w:rsid w:val="000A5459"/>
    <w:rsid w:val="000A54C8"/>
    <w:rsid w:val="000A5518"/>
    <w:rsid w:val="000A55FD"/>
    <w:rsid w:val="000A5645"/>
    <w:rsid w:val="000A573D"/>
    <w:rsid w:val="000A578A"/>
    <w:rsid w:val="000A57EB"/>
    <w:rsid w:val="000A583E"/>
    <w:rsid w:val="000A58D8"/>
    <w:rsid w:val="000A58F8"/>
    <w:rsid w:val="000A5B17"/>
    <w:rsid w:val="000A5B20"/>
    <w:rsid w:val="000A5BE9"/>
    <w:rsid w:val="000A5BEE"/>
    <w:rsid w:val="000A5C41"/>
    <w:rsid w:val="000A5CFD"/>
    <w:rsid w:val="000A5D14"/>
    <w:rsid w:val="000A5D62"/>
    <w:rsid w:val="000A5D72"/>
    <w:rsid w:val="000A5DF4"/>
    <w:rsid w:val="000A5E46"/>
    <w:rsid w:val="000A5F76"/>
    <w:rsid w:val="000A5F8F"/>
    <w:rsid w:val="000A5FA2"/>
    <w:rsid w:val="000A6075"/>
    <w:rsid w:val="000A609E"/>
    <w:rsid w:val="000A613A"/>
    <w:rsid w:val="000A61AE"/>
    <w:rsid w:val="000A61C1"/>
    <w:rsid w:val="000A6229"/>
    <w:rsid w:val="000A6242"/>
    <w:rsid w:val="000A624A"/>
    <w:rsid w:val="000A62DC"/>
    <w:rsid w:val="000A6344"/>
    <w:rsid w:val="000A6361"/>
    <w:rsid w:val="000A6406"/>
    <w:rsid w:val="000A6411"/>
    <w:rsid w:val="000A6431"/>
    <w:rsid w:val="000A65C4"/>
    <w:rsid w:val="000A6642"/>
    <w:rsid w:val="000A66AC"/>
    <w:rsid w:val="000A6712"/>
    <w:rsid w:val="000A6739"/>
    <w:rsid w:val="000A6745"/>
    <w:rsid w:val="000A6815"/>
    <w:rsid w:val="000A68B7"/>
    <w:rsid w:val="000A69A5"/>
    <w:rsid w:val="000A6A6A"/>
    <w:rsid w:val="000A6AB3"/>
    <w:rsid w:val="000A6BF5"/>
    <w:rsid w:val="000A6CA8"/>
    <w:rsid w:val="000A6D62"/>
    <w:rsid w:val="000A6EC9"/>
    <w:rsid w:val="000A6F49"/>
    <w:rsid w:val="000A6F4A"/>
    <w:rsid w:val="000A6F4F"/>
    <w:rsid w:val="000A6F83"/>
    <w:rsid w:val="000A6FAD"/>
    <w:rsid w:val="000A6FEE"/>
    <w:rsid w:val="000A7023"/>
    <w:rsid w:val="000A708F"/>
    <w:rsid w:val="000A71BE"/>
    <w:rsid w:val="000A7225"/>
    <w:rsid w:val="000A72A4"/>
    <w:rsid w:val="000A72CF"/>
    <w:rsid w:val="000A72FF"/>
    <w:rsid w:val="000A737D"/>
    <w:rsid w:val="000A73E4"/>
    <w:rsid w:val="000A7464"/>
    <w:rsid w:val="000A7520"/>
    <w:rsid w:val="000A7537"/>
    <w:rsid w:val="000A759A"/>
    <w:rsid w:val="000A7622"/>
    <w:rsid w:val="000A76D8"/>
    <w:rsid w:val="000A7785"/>
    <w:rsid w:val="000A778F"/>
    <w:rsid w:val="000A7798"/>
    <w:rsid w:val="000A782B"/>
    <w:rsid w:val="000A784A"/>
    <w:rsid w:val="000A78AC"/>
    <w:rsid w:val="000A78B7"/>
    <w:rsid w:val="000A7913"/>
    <w:rsid w:val="000A7938"/>
    <w:rsid w:val="000A7965"/>
    <w:rsid w:val="000A7981"/>
    <w:rsid w:val="000A7A43"/>
    <w:rsid w:val="000A7B5B"/>
    <w:rsid w:val="000A7C89"/>
    <w:rsid w:val="000A7D09"/>
    <w:rsid w:val="000A7D7B"/>
    <w:rsid w:val="000A7D90"/>
    <w:rsid w:val="000A7DA2"/>
    <w:rsid w:val="000A7E91"/>
    <w:rsid w:val="000A7EA3"/>
    <w:rsid w:val="000A7F1A"/>
    <w:rsid w:val="000A7F91"/>
    <w:rsid w:val="000A7F9F"/>
    <w:rsid w:val="000B0029"/>
    <w:rsid w:val="000B0055"/>
    <w:rsid w:val="000B0154"/>
    <w:rsid w:val="000B017B"/>
    <w:rsid w:val="000B0208"/>
    <w:rsid w:val="000B02BA"/>
    <w:rsid w:val="000B02C4"/>
    <w:rsid w:val="000B02F1"/>
    <w:rsid w:val="000B0358"/>
    <w:rsid w:val="000B0388"/>
    <w:rsid w:val="000B04C4"/>
    <w:rsid w:val="000B067A"/>
    <w:rsid w:val="000B068D"/>
    <w:rsid w:val="000B06B6"/>
    <w:rsid w:val="000B06B9"/>
    <w:rsid w:val="000B0717"/>
    <w:rsid w:val="000B07DB"/>
    <w:rsid w:val="000B0A4E"/>
    <w:rsid w:val="000B0AF0"/>
    <w:rsid w:val="000B0B13"/>
    <w:rsid w:val="000B0B54"/>
    <w:rsid w:val="000B0B8D"/>
    <w:rsid w:val="000B0C1A"/>
    <w:rsid w:val="000B0C93"/>
    <w:rsid w:val="000B0CEC"/>
    <w:rsid w:val="000B0DAC"/>
    <w:rsid w:val="000B0DF5"/>
    <w:rsid w:val="000B0EAD"/>
    <w:rsid w:val="000B0EE7"/>
    <w:rsid w:val="000B0FA4"/>
    <w:rsid w:val="000B0FB8"/>
    <w:rsid w:val="000B0FD1"/>
    <w:rsid w:val="000B0FE9"/>
    <w:rsid w:val="000B1058"/>
    <w:rsid w:val="000B1088"/>
    <w:rsid w:val="000B10AF"/>
    <w:rsid w:val="000B10B5"/>
    <w:rsid w:val="000B1169"/>
    <w:rsid w:val="000B116A"/>
    <w:rsid w:val="000B11DE"/>
    <w:rsid w:val="000B1220"/>
    <w:rsid w:val="000B123E"/>
    <w:rsid w:val="000B150A"/>
    <w:rsid w:val="000B156B"/>
    <w:rsid w:val="000B15B0"/>
    <w:rsid w:val="000B1600"/>
    <w:rsid w:val="000B1623"/>
    <w:rsid w:val="000B1686"/>
    <w:rsid w:val="000B16DE"/>
    <w:rsid w:val="000B16E6"/>
    <w:rsid w:val="000B1709"/>
    <w:rsid w:val="000B180C"/>
    <w:rsid w:val="000B189E"/>
    <w:rsid w:val="000B1947"/>
    <w:rsid w:val="000B19A7"/>
    <w:rsid w:val="000B19D4"/>
    <w:rsid w:val="000B19F6"/>
    <w:rsid w:val="000B1A0B"/>
    <w:rsid w:val="000B1AD0"/>
    <w:rsid w:val="000B1B08"/>
    <w:rsid w:val="000B1C1F"/>
    <w:rsid w:val="000B1C26"/>
    <w:rsid w:val="000B1CB9"/>
    <w:rsid w:val="000B1D97"/>
    <w:rsid w:val="000B1DB6"/>
    <w:rsid w:val="000B1E66"/>
    <w:rsid w:val="000B1F2F"/>
    <w:rsid w:val="000B1F71"/>
    <w:rsid w:val="000B1F79"/>
    <w:rsid w:val="000B1FA5"/>
    <w:rsid w:val="000B2002"/>
    <w:rsid w:val="000B2076"/>
    <w:rsid w:val="000B20D7"/>
    <w:rsid w:val="000B2161"/>
    <w:rsid w:val="000B21A0"/>
    <w:rsid w:val="000B2202"/>
    <w:rsid w:val="000B2203"/>
    <w:rsid w:val="000B2316"/>
    <w:rsid w:val="000B232C"/>
    <w:rsid w:val="000B2343"/>
    <w:rsid w:val="000B2380"/>
    <w:rsid w:val="000B23AC"/>
    <w:rsid w:val="000B244A"/>
    <w:rsid w:val="000B24BB"/>
    <w:rsid w:val="000B24CE"/>
    <w:rsid w:val="000B2586"/>
    <w:rsid w:val="000B2588"/>
    <w:rsid w:val="000B25FB"/>
    <w:rsid w:val="000B269B"/>
    <w:rsid w:val="000B272A"/>
    <w:rsid w:val="000B28A2"/>
    <w:rsid w:val="000B291F"/>
    <w:rsid w:val="000B2AA0"/>
    <w:rsid w:val="000B2AAD"/>
    <w:rsid w:val="000B2B21"/>
    <w:rsid w:val="000B2B79"/>
    <w:rsid w:val="000B2B80"/>
    <w:rsid w:val="000B2B97"/>
    <w:rsid w:val="000B2BBF"/>
    <w:rsid w:val="000B2C35"/>
    <w:rsid w:val="000B2C65"/>
    <w:rsid w:val="000B2C73"/>
    <w:rsid w:val="000B2D38"/>
    <w:rsid w:val="000B2D3B"/>
    <w:rsid w:val="000B2E21"/>
    <w:rsid w:val="000B2F0C"/>
    <w:rsid w:val="000B2F9D"/>
    <w:rsid w:val="000B3029"/>
    <w:rsid w:val="000B3041"/>
    <w:rsid w:val="000B30C7"/>
    <w:rsid w:val="000B30F6"/>
    <w:rsid w:val="000B3115"/>
    <w:rsid w:val="000B3153"/>
    <w:rsid w:val="000B3187"/>
    <w:rsid w:val="000B31C8"/>
    <w:rsid w:val="000B3241"/>
    <w:rsid w:val="000B3294"/>
    <w:rsid w:val="000B3368"/>
    <w:rsid w:val="000B33CE"/>
    <w:rsid w:val="000B341B"/>
    <w:rsid w:val="000B347A"/>
    <w:rsid w:val="000B34EF"/>
    <w:rsid w:val="000B359A"/>
    <w:rsid w:val="000B35E2"/>
    <w:rsid w:val="000B365A"/>
    <w:rsid w:val="000B367E"/>
    <w:rsid w:val="000B3717"/>
    <w:rsid w:val="000B371D"/>
    <w:rsid w:val="000B3803"/>
    <w:rsid w:val="000B382D"/>
    <w:rsid w:val="000B3889"/>
    <w:rsid w:val="000B38EA"/>
    <w:rsid w:val="000B38FB"/>
    <w:rsid w:val="000B3954"/>
    <w:rsid w:val="000B39AF"/>
    <w:rsid w:val="000B39CF"/>
    <w:rsid w:val="000B39EC"/>
    <w:rsid w:val="000B3A1E"/>
    <w:rsid w:val="000B3A46"/>
    <w:rsid w:val="000B3A74"/>
    <w:rsid w:val="000B3AA3"/>
    <w:rsid w:val="000B3B7D"/>
    <w:rsid w:val="000B3C2C"/>
    <w:rsid w:val="000B3D51"/>
    <w:rsid w:val="000B3D84"/>
    <w:rsid w:val="000B3E65"/>
    <w:rsid w:val="000B3F71"/>
    <w:rsid w:val="000B3FF5"/>
    <w:rsid w:val="000B4049"/>
    <w:rsid w:val="000B40B5"/>
    <w:rsid w:val="000B4143"/>
    <w:rsid w:val="000B414D"/>
    <w:rsid w:val="000B41BD"/>
    <w:rsid w:val="000B41F7"/>
    <w:rsid w:val="000B42CB"/>
    <w:rsid w:val="000B42CF"/>
    <w:rsid w:val="000B42DF"/>
    <w:rsid w:val="000B43D3"/>
    <w:rsid w:val="000B451F"/>
    <w:rsid w:val="000B454E"/>
    <w:rsid w:val="000B45D7"/>
    <w:rsid w:val="000B466D"/>
    <w:rsid w:val="000B46AF"/>
    <w:rsid w:val="000B46B1"/>
    <w:rsid w:val="000B46F8"/>
    <w:rsid w:val="000B47C3"/>
    <w:rsid w:val="000B4997"/>
    <w:rsid w:val="000B4A20"/>
    <w:rsid w:val="000B4AA2"/>
    <w:rsid w:val="000B4AFD"/>
    <w:rsid w:val="000B4B16"/>
    <w:rsid w:val="000B4B53"/>
    <w:rsid w:val="000B4B6D"/>
    <w:rsid w:val="000B4B73"/>
    <w:rsid w:val="000B4B82"/>
    <w:rsid w:val="000B4C4E"/>
    <w:rsid w:val="000B4C87"/>
    <w:rsid w:val="000B4CAA"/>
    <w:rsid w:val="000B4CB1"/>
    <w:rsid w:val="000B4CE9"/>
    <w:rsid w:val="000B4D21"/>
    <w:rsid w:val="000B4D27"/>
    <w:rsid w:val="000B4D45"/>
    <w:rsid w:val="000B4DA1"/>
    <w:rsid w:val="000B4E11"/>
    <w:rsid w:val="000B4E5F"/>
    <w:rsid w:val="000B4EF6"/>
    <w:rsid w:val="000B4FB5"/>
    <w:rsid w:val="000B5011"/>
    <w:rsid w:val="000B501B"/>
    <w:rsid w:val="000B506D"/>
    <w:rsid w:val="000B510D"/>
    <w:rsid w:val="000B527B"/>
    <w:rsid w:val="000B5299"/>
    <w:rsid w:val="000B52BB"/>
    <w:rsid w:val="000B5397"/>
    <w:rsid w:val="000B5467"/>
    <w:rsid w:val="000B5490"/>
    <w:rsid w:val="000B54FB"/>
    <w:rsid w:val="000B5606"/>
    <w:rsid w:val="000B56B5"/>
    <w:rsid w:val="000B56EE"/>
    <w:rsid w:val="000B5708"/>
    <w:rsid w:val="000B579F"/>
    <w:rsid w:val="000B57E3"/>
    <w:rsid w:val="000B5807"/>
    <w:rsid w:val="000B5955"/>
    <w:rsid w:val="000B59B2"/>
    <w:rsid w:val="000B59DB"/>
    <w:rsid w:val="000B5A05"/>
    <w:rsid w:val="000B5AE6"/>
    <w:rsid w:val="000B5AEE"/>
    <w:rsid w:val="000B5B0E"/>
    <w:rsid w:val="000B5B22"/>
    <w:rsid w:val="000B5B56"/>
    <w:rsid w:val="000B5C22"/>
    <w:rsid w:val="000B5C46"/>
    <w:rsid w:val="000B5CAD"/>
    <w:rsid w:val="000B5D46"/>
    <w:rsid w:val="000B5DE3"/>
    <w:rsid w:val="000B5E58"/>
    <w:rsid w:val="000B5E8D"/>
    <w:rsid w:val="000B5EA8"/>
    <w:rsid w:val="000B5EBF"/>
    <w:rsid w:val="000B5EE6"/>
    <w:rsid w:val="000B5FE2"/>
    <w:rsid w:val="000B5FED"/>
    <w:rsid w:val="000B60CA"/>
    <w:rsid w:val="000B616E"/>
    <w:rsid w:val="000B61CA"/>
    <w:rsid w:val="000B622D"/>
    <w:rsid w:val="000B6237"/>
    <w:rsid w:val="000B62AE"/>
    <w:rsid w:val="000B62C9"/>
    <w:rsid w:val="000B62EB"/>
    <w:rsid w:val="000B633A"/>
    <w:rsid w:val="000B647D"/>
    <w:rsid w:val="000B64AE"/>
    <w:rsid w:val="000B6535"/>
    <w:rsid w:val="000B6538"/>
    <w:rsid w:val="000B6557"/>
    <w:rsid w:val="000B65F6"/>
    <w:rsid w:val="000B6658"/>
    <w:rsid w:val="000B66C4"/>
    <w:rsid w:val="000B6756"/>
    <w:rsid w:val="000B67FA"/>
    <w:rsid w:val="000B680F"/>
    <w:rsid w:val="000B683F"/>
    <w:rsid w:val="000B68C1"/>
    <w:rsid w:val="000B697D"/>
    <w:rsid w:val="000B69C5"/>
    <w:rsid w:val="000B6A07"/>
    <w:rsid w:val="000B6A26"/>
    <w:rsid w:val="000B6A6F"/>
    <w:rsid w:val="000B6AA2"/>
    <w:rsid w:val="000B6B48"/>
    <w:rsid w:val="000B6B81"/>
    <w:rsid w:val="000B6B9B"/>
    <w:rsid w:val="000B6C40"/>
    <w:rsid w:val="000B6C54"/>
    <w:rsid w:val="000B6C76"/>
    <w:rsid w:val="000B6CDD"/>
    <w:rsid w:val="000B6D2B"/>
    <w:rsid w:val="000B6DC1"/>
    <w:rsid w:val="000B6EBE"/>
    <w:rsid w:val="000B6EE6"/>
    <w:rsid w:val="000B6F04"/>
    <w:rsid w:val="000B7007"/>
    <w:rsid w:val="000B7022"/>
    <w:rsid w:val="000B702D"/>
    <w:rsid w:val="000B7051"/>
    <w:rsid w:val="000B70AD"/>
    <w:rsid w:val="000B70EB"/>
    <w:rsid w:val="000B71C3"/>
    <w:rsid w:val="000B71CE"/>
    <w:rsid w:val="000B72AE"/>
    <w:rsid w:val="000B72EB"/>
    <w:rsid w:val="000B7340"/>
    <w:rsid w:val="000B7393"/>
    <w:rsid w:val="000B73B4"/>
    <w:rsid w:val="000B7444"/>
    <w:rsid w:val="000B7497"/>
    <w:rsid w:val="000B750F"/>
    <w:rsid w:val="000B7557"/>
    <w:rsid w:val="000B7589"/>
    <w:rsid w:val="000B758C"/>
    <w:rsid w:val="000B761F"/>
    <w:rsid w:val="000B763B"/>
    <w:rsid w:val="000B765A"/>
    <w:rsid w:val="000B7678"/>
    <w:rsid w:val="000B76E7"/>
    <w:rsid w:val="000B7704"/>
    <w:rsid w:val="000B774A"/>
    <w:rsid w:val="000B77D7"/>
    <w:rsid w:val="000B780F"/>
    <w:rsid w:val="000B7816"/>
    <w:rsid w:val="000B783B"/>
    <w:rsid w:val="000B78EF"/>
    <w:rsid w:val="000B79D2"/>
    <w:rsid w:val="000B79E7"/>
    <w:rsid w:val="000B7B7C"/>
    <w:rsid w:val="000B7BE7"/>
    <w:rsid w:val="000B7CCD"/>
    <w:rsid w:val="000B7D71"/>
    <w:rsid w:val="000B7D88"/>
    <w:rsid w:val="000B7DA5"/>
    <w:rsid w:val="000B7F09"/>
    <w:rsid w:val="000B7F85"/>
    <w:rsid w:val="000B7FB9"/>
    <w:rsid w:val="000C003F"/>
    <w:rsid w:val="000C0095"/>
    <w:rsid w:val="000C00D5"/>
    <w:rsid w:val="000C00E9"/>
    <w:rsid w:val="000C012E"/>
    <w:rsid w:val="000C0292"/>
    <w:rsid w:val="000C02E2"/>
    <w:rsid w:val="000C0334"/>
    <w:rsid w:val="000C0335"/>
    <w:rsid w:val="000C0525"/>
    <w:rsid w:val="000C05EA"/>
    <w:rsid w:val="000C05FE"/>
    <w:rsid w:val="000C0625"/>
    <w:rsid w:val="000C06CD"/>
    <w:rsid w:val="000C06EC"/>
    <w:rsid w:val="000C0712"/>
    <w:rsid w:val="000C0714"/>
    <w:rsid w:val="000C07AC"/>
    <w:rsid w:val="000C0840"/>
    <w:rsid w:val="000C08AE"/>
    <w:rsid w:val="000C092F"/>
    <w:rsid w:val="000C098E"/>
    <w:rsid w:val="000C09A9"/>
    <w:rsid w:val="000C09E2"/>
    <w:rsid w:val="000C0B10"/>
    <w:rsid w:val="000C0B1F"/>
    <w:rsid w:val="000C0BB9"/>
    <w:rsid w:val="000C0CFE"/>
    <w:rsid w:val="000C0D1F"/>
    <w:rsid w:val="000C0D3F"/>
    <w:rsid w:val="000C0E71"/>
    <w:rsid w:val="000C0F5F"/>
    <w:rsid w:val="000C0F8B"/>
    <w:rsid w:val="000C0FAA"/>
    <w:rsid w:val="000C1008"/>
    <w:rsid w:val="000C100B"/>
    <w:rsid w:val="000C1087"/>
    <w:rsid w:val="000C10C6"/>
    <w:rsid w:val="000C1100"/>
    <w:rsid w:val="000C1146"/>
    <w:rsid w:val="000C1236"/>
    <w:rsid w:val="000C12A7"/>
    <w:rsid w:val="000C131E"/>
    <w:rsid w:val="000C1329"/>
    <w:rsid w:val="000C1332"/>
    <w:rsid w:val="000C1339"/>
    <w:rsid w:val="000C1439"/>
    <w:rsid w:val="000C14CA"/>
    <w:rsid w:val="000C14E7"/>
    <w:rsid w:val="000C155A"/>
    <w:rsid w:val="000C155B"/>
    <w:rsid w:val="000C157D"/>
    <w:rsid w:val="000C15E7"/>
    <w:rsid w:val="000C1770"/>
    <w:rsid w:val="000C1789"/>
    <w:rsid w:val="000C181C"/>
    <w:rsid w:val="000C1852"/>
    <w:rsid w:val="000C1B1F"/>
    <w:rsid w:val="000C1B70"/>
    <w:rsid w:val="000C1C05"/>
    <w:rsid w:val="000C1C1A"/>
    <w:rsid w:val="000C1C56"/>
    <w:rsid w:val="000C1CB4"/>
    <w:rsid w:val="000C1D06"/>
    <w:rsid w:val="000C1D68"/>
    <w:rsid w:val="000C1DB7"/>
    <w:rsid w:val="000C1E97"/>
    <w:rsid w:val="000C1F81"/>
    <w:rsid w:val="000C1FC1"/>
    <w:rsid w:val="000C2020"/>
    <w:rsid w:val="000C202A"/>
    <w:rsid w:val="000C2056"/>
    <w:rsid w:val="000C205E"/>
    <w:rsid w:val="000C214A"/>
    <w:rsid w:val="000C21CB"/>
    <w:rsid w:val="000C21F8"/>
    <w:rsid w:val="000C2206"/>
    <w:rsid w:val="000C2246"/>
    <w:rsid w:val="000C224C"/>
    <w:rsid w:val="000C224F"/>
    <w:rsid w:val="000C2323"/>
    <w:rsid w:val="000C23D3"/>
    <w:rsid w:val="000C2423"/>
    <w:rsid w:val="000C2439"/>
    <w:rsid w:val="000C24D9"/>
    <w:rsid w:val="000C2508"/>
    <w:rsid w:val="000C2515"/>
    <w:rsid w:val="000C251F"/>
    <w:rsid w:val="000C2758"/>
    <w:rsid w:val="000C27D7"/>
    <w:rsid w:val="000C2836"/>
    <w:rsid w:val="000C2864"/>
    <w:rsid w:val="000C2921"/>
    <w:rsid w:val="000C2971"/>
    <w:rsid w:val="000C29BA"/>
    <w:rsid w:val="000C2A3E"/>
    <w:rsid w:val="000C2A63"/>
    <w:rsid w:val="000C2B02"/>
    <w:rsid w:val="000C2B9C"/>
    <w:rsid w:val="000C2C2E"/>
    <w:rsid w:val="000C2C3E"/>
    <w:rsid w:val="000C2CA5"/>
    <w:rsid w:val="000C2DC5"/>
    <w:rsid w:val="000C2DCE"/>
    <w:rsid w:val="000C2DEC"/>
    <w:rsid w:val="000C2F04"/>
    <w:rsid w:val="000C2F9A"/>
    <w:rsid w:val="000C2FBB"/>
    <w:rsid w:val="000C2FEF"/>
    <w:rsid w:val="000C2FF2"/>
    <w:rsid w:val="000C3004"/>
    <w:rsid w:val="000C3108"/>
    <w:rsid w:val="000C31FF"/>
    <w:rsid w:val="000C324F"/>
    <w:rsid w:val="000C3313"/>
    <w:rsid w:val="000C34F0"/>
    <w:rsid w:val="000C351B"/>
    <w:rsid w:val="000C3584"/>
    <w:rsid w:val="000C35DF"/>
    <w:rsid w:val="000C35EA"/>
    <w:rsid w:val="000C35F9"/>
    <w:rsid w:val="000C374E"/>
    <w:rsid w:val="000C37D9"/>
    <w:rsid w:val="000C3811"/>
    <w:rsid w:val="000C3829"/>
    <w:rsid w:val="000C38AA"/>
    <w:rsid w:val="000C38AE"/>
    <w:rsid w:val="000C38D8"/>
    <w:rsid w:val="000C3A11"/>
    <w:rsid w:val="000C3A12"/>
    <w:rsid w:val="000C3A2D"/>
    <w:rsid w:val="000C3A58"/>
    <w:rsid w:val="000C3A87"/>
    <w:rsid w:val="000C3AD3"/>
    <w:rsid w:val="000C3AE7"/>
    <w:rsid w:val="000C3B88"/>
    <w:rsid w:val="000C3BB7"/>
    <w:rsid w:val="000C3BDC"/>
    <w:rsid w:val="000C3C77"/>
    <w:rsid w:val="000C3CB2"/>
    <w:rsid w:val="000C3DA9"/>
    <w:rsid w:val="000C3DCB"/>
    <w:rsid w:val="000C3E0D"/>
    <w:rsid w:val="000C3E13"/>
    <w:rsid w:val="000C3F00"/>
    <w:rsid w:val="000C3F53"/>
    <w:rsid w:val="000C3F87"/>
    <w:rsid w:val="000C3FAD"/>
    <w:rsid w:val="000C40D4"/>
    <w:rsid w:val="000C4260"/>
    <w:rsid w:val="000C4329"/>
    <w:rsid w:val="000C432E"/>
    <w:rsid w:val="000C43D7"/>
    <w:rsid w:val="000C43F8"/>
    <w:rsid w:val="000C4428"/>
    <w:rsid w:val="000C44C3"/>
    <w:rsid w:val="000C44DC"/>
    <w:rsid w:val="000C45D6"/>
    <w:rsid w:val="000C461D"/>
    <w:rsid w:val="000C467E"/>
    <w:rsid w:val="000C4788"/>
    <w:rsid w:val="000C47C4"/>
    <w:rsid w:val="000C47DD"/>
    <w:rsid w:val="000C4845"/>
    <w:rsid w:val="000C4847"/>
    <w:rsid w:val="000C48E2"/>
    <w:rsid w:val="000C48EC"/>
    <w:rsid w:val="000C496E"/>
    <w:rsid w:val="000C4982"/>
    <w:rsid w:val="000C49CE"/>
    <w:rsid w:val="000C4A94"/>
    <w:rsid w:val="000C4AF8"/>
    <w:rsid w:val="000C4B00"/>
    <w:rsid w:val="000C4B97"/>
    <w:rsid w:val="000C4BEE"/>
    <w:rsid w:val="000C4CD5"/>
    <w:rsid w:val="000C4D90"/>
    <w:rsid w:val="000C4DF8"/>
    <w:rsid w:val="000C50BD"/>
    <w:rsid w:val="000C50CD"/>
    <w:rsid w:val="000C50DE"/>
    <w:rsid w:val="000C511F"/>
    <w:rsid w:val="000C5161"/>
    <w:rsid w:val="000C528C"/>
    <w:rsid w:val="000C52F6"/>
    <w:rsid w:val="000C53D9"/>
    <w:rsid w:val="000C5409"/>
    <w:rsid w:val="000C5419"/>
    <w:rsid w:val="000C549B"/>
    <w:rsid w:val="000C54C6"/>
    <w:rsid w:val="000C54C7"/>
    <w:rsid w:val="000C554C"/>
    <w:rsid w:val="000C5584"/>
    <w:rsid w:val="000C55BB"/>
    <w:rsid w:val="000C5639"/>
    <w:rsid w:val="000C5665"/>
    <w:rsid w:val="000C567E"/>
    <w:rsid w:val="000C573D"/>
    <w:rsid w:val="000C5830"/>
    <w:rsid w:val="000C58F6"/>
    <w:rsid w:val="000C59F2"/>
    <w:rsid w:val="000C59F3"/>
    <w:rsid w:val="000C5A3E"/>
    <w:rsid w:val="000C5A77"/>
    <w:rsid w:val="000C5AA3"/>
    <w:rsid w:val="000C5B63"/>
    <w:rsid w:val="000C5BFE"/>
    <w:rsid w:val="000C5D15"/>
    <w:rsid w:val="000C5D1E"/>
    <w:rsid w:val="000C5DA8"/>
    <w:rsid w:val="000C5DAD"/>
    <w:rsid w:val="000C5DE1"/>
    <w:rsid w:val="000C5DEF"/>
    <w:rsid w:val="000C5DF0"/>
    <w:rsid w:val="000C5E42"/>
    <w:rsid w:val="000C5E94"/>
    <w:rsid w:val="000C5ECB"/>
    <w:rsid w:val="000C5F92"/>
    <w:rsid w:val="000C5FAD"/>
    <w:rsid w:val="000C5FC8"/>
    <w:rsid w:val="000C5FDD"/>
    <w:rsid w:val="000C6049"/>
    <w:rsid w:val="000C6128"/>
    <w:rsid w:val="000C6183"/>
    <w:rsid w:val="000C6293"/>
    <w:rsid w:val="000C649C"/>
    <w:rsid w:val="000C64A5"/>
    <w:rsid w:val="000C6511"/>
    <w:rsid w:val="000C651C"/>
    <w:rsid w:val="000C657E"/>
    <w:rsid w:val="000C660B"/>
    <w:rsid w:val="000C661F"/>
    <w:rsid w:val="000C66F8"/>
    <w:rsid w:val="000C677D"/>
    <w:rsid w:val="000C6810"/>
    <w:rsid w:val="000C683E"/>
    <w:rsid w:val="000C69A0"/>
    <w:rsid w:val="000C6A39"/>
    <w:rsid w:val="000C6B1A"/>
    <w:rsid w:val="000C6B1F"/>
    <w:rsid w:val="000C6B33"/>
    <w:rsid w:val="000C6B6E"/>
    <w:rsid w:val="000C6B7D"/>
    <w:rsid w:val="000C6BA9"/>
    <w:rsid w:val="000C6C20"/>
    <w:rsid w:val="000C6CCB"/>
    <w:rsid w:val="000C6D63"/>
    <w:rsid w:val="000C6D82"/>
    <w:rsid w:val="000C6DE3"/>
    <w:rsid w:val="000C6E03"/>
    <w:rsid w:val="000C6EFB"/>
    <w:rsid w:val="000C6F9E"/>
    <w:rsid w:val="000C701D"/>
    <w:rsid w:val="000C709A"/>
    <w:rsid w:val="000C70A3"/>
    <w:rsid w:val="000C70B9"/>
    <w:rsid w:val="000C70D0"/>
    <w:rsid w:val="000C70D3"/>
    <w:rsid w:val="000C713A"/>
    <w:rsid w:val="000C7163"/>
    <w:rsid w:val="000C716D"/>
    <w:rsid w:val="000C7183"/>
    <w:rsid w:val="000C71A0"/>
    <w:rsid w:val="000C71B7"/>
    <w:rsid w:val="000C71D4"/>
    <w:rsid w:val="000C71F1"/>
    <w:rsid w:val="000C7205"/>
    <w:rsid w:val="000C7283"/>
    <w:rsid w:val="000C72BB"/>
    <w:rsid w:val="000C72CE"/>
    <w:rsid w:val="000C72F4"/>
    <w:rsid w:val="000C7324"/>
    <w:rsid w:val="000C7469"/>
    <w:rsid w:val="000C74C6"/>
    <w:rsid w:val="000C756C"/>
    <w:rsid w:val="000C75BB"/>
    <w:rsid w:val="000C761C"/>
    <w:rsid w:val="000C7668"/>
    <w:rsid w:val="000C7674"/>
    <w:rsid w:val="000C76D3"/>
    <w:rsid w:val="000C7718"/>
    <w:rsid w:val="000C774E"/>
    <w:rsid w:val="000C77FB"/>
    <w:rsid w:val="000C7880"/>
    <w:rsid w:val="000C79F5"/>
    <w:rsid w:val="000C7AB3"/>
    <w:rsid w:val="000C7B48"/>
    <w:rsid w:val="000C7B4B"/>
    <w:rsid w:val="000C7B68"/>
    <w:rsid w:val="000C7BB7"/>
    <w:rsid w:val="000C7BC9"/>
    <w:rsid w:val="000C7BDA"/>
    <w:rsid w:val="000C7BE6"/>
    <w:rsid w:val="000C7C38"/>
    <w:rsid w:val="000C7CAE"/>
    <w:rsid w:val="000C7CBB"/>
    <w:rsid w:val="000C7D20"/>
    <w:rsid w:val="000C7DBA"/>
    <w:rsid w:val="000C7DF4"/>
    <w:rsid w:val="000C7EA1"/>
    <w:rsid w:val="000C7F0E"/>
    <w:rsid w:val="000C7F61"/>
    <w:rsid w:val="000C7F8A"/>
    <w:rsid w:val="000C7F9E"/>
    <w:rsid w:val="000C7FED"/>
    <w:rsid w:val="000D0005"/>
    <w:rsid w:val="000D021E"/>
    <w:rsid w:val="000D030B"/>
    <w:rsid w:val="000D0334"/>
    <w:rsid w:val="000D03FA"/>
    <w:rsid w:val="000D0405"/>
    <w:rsid w:val="000D0415"/>
    <w:rsid w:val="000D043B"/>
    <w:rsid w:val="000D0459"/>
    <w:rsid w:val="000D0474"/>
    <w:rsid w:val="000D04A3"/>
    <w:rsid w:val="000D04DC"/>
    <w:rsid w:val="000D04F5"/>
    <w:rsid w:val="000D0504"/>
    <w:rsid w:val="000D055A"/>
    <w:rsid w:val="000D0580"/>
    <w:rsid w:val="000D05A9"/>
    <w:rsid w:val="000D05F2"/>
    <w:rsid w:val="000D0626"/>
    <w:rsid w:val="000D074A"/>
    <w:rsid w:val="000D0755"/>
    <w:rsid w:val="000D0769"/>
    <w:rsid w:val="000D080B"/>
    <w:rsid w:val="000D08DD"/>
    <w:rsid w:val="000D096A"/>
    <w:rsid w:val="000D0983"/>
    <w:rsid w:val="000D098C"/>
    <w:rsid w:val="000D0A5C"/>
    <w:rsid w:val="000D0A5D"/>
    <w:rsid w:val="000D0AFC"/>
    <w:rsid w:val="000D0B27"/>
    <w:rsid w:val="000D0B58"/>
    <w:rsid w:val="000D0B78"/>
    <w:rsid w:val="000D0C5B"/>
    <w:rsid w:val="000D0CAF"/>
    <w:rsid w:val="000D0CD6"/>
    <w:rsid w:val="000D0CFC"/>
    <w:rsid w:val="000D0D64"/>
    <w:rsid w:val="000D0D94"/>
    <w:rsid w:val="000D0E27"/>
    <w:rsid w:val="000D0E9B"/>
    <w:rsid w:val="000D0F2E"/>
    <w:rsid w:val="000D0F94"/>
    <w:rsid w:val="000D0FC7"/>
    <w:rsid w:val="000D1039"/>
    <w:rsid w:val="000D1063"/>
    <w:rsid w:val="000D10EB"/>
    <w:rsid w:val="000D11A8"/>
    <w:rsid w:val="000D120F"/>
    <w:rsid w:val="000D12CD"/>
    <w:rsid w:val="000D1477"/>
    <w:rsid w:val="000D14B8"/>
    <w:rsid w:val="000D1539"/>
    <w:rsid w:val="000D156F"/>
    <w:rsid w:val="000D15D4"/>
    <w:rsid w:val="000D1614"/>
    <w:rsid w:val="000D1696"/>
    <w:rsid w:val="000D1735"/>
    <w:rsid w:val="000D17A0"/>
    <w:rsid w:val="000D181B"/>
    <w:rsid w:val="000D1822"/>
    <w:rsid w:val="000D18A8"/>
    <w:rsid w:val="000D18BF"/>
    <w:rsid w:val="000D19A0"/>
    <w:rsid w:val="000D19CC"/>
    <w:rsid w:val="000D1ACD"/>
    <w:rsid w:val="000D1AEF"/>
    <w:rsid w:val="000D1BAF"/>
    <w:rsid w:val="000D1BFE"/>
    <w:rsid w:val="000D1C03"/>
    <w:rsid w:val="000D1C6E"/>
    <w:rsid w:val="000D1CBC"/>
    <w:rsid w:val="000D1E1F"/>
    <w:rsid w:val="000D1E24"/>
    <w:rsid w:val="000D1E64"/>
    <w:rsid w:val="000D1E94"/>
    <w:rsid w:val="000D1EB4"/>
    <w:rsid w:val="000D1FAE"/>
    <w:rsid w:val="000D1FC6"/>
    <w:rsid w:val="000D1FEB"/>
    <w:rsid w:val="000D206A"/>
    <w:rsid w:val="000D21A3"/>
    <w:rsid w:val="000D21DF"/>
    <w:rsid w:val="000D2221"/>
    <w:rsid w:val="000D2242"/>
    <w:rsid w:val="000D2454"/>
    <w:rsid w:val="000D249E"/>
    <w:rsid w:val="000D25D6"/>
    <w:rsid w:val="000D264F"/>
    <w:rsid w:val="000D2694"/>
    <w:rsid w:val="000D26DC"/>
    <w:rsid w:val="000D2866"/>
    <w:rsid w:val="000D2A19"/>
    <w:rsid w:val="000D2A7F"/>
    <w:rsid w:val="000D2ABE"/>
    <w:rsid w:val="000D2B50"/>
    <w:rsid w:val="000D2C16"/>
    <w:rsid w:val="000D2C92"/>
    <w:rsid w:val="000D2CEA"/>
    <w:rsid w:val="000D2D1D"/>
    <w:rsid w:val="000D2D60"/>
    <w:rsid w:val="000D2DD6"/>
    <w:rsid w:val="000D2EC0"/>
    <w:rsid w:val="000D2EC8"/>
    <w:rsid w:val="000D2F1D"/>
    <w:rsid w:val="000D2F68"/>
    <w:rsid w:val="000D3012"/>
    <w:rsid w:val="000D3035"/>
    <w:rsid w:val="000D307F"/>
    <w:rsid w:val="000D30CB"/>
    <w:rsid w:val="000D3161"/>
    <w:rsid w:val="000D327F"/>
    <w:rsid w:val="000D3295"/>
    <w:rsid w:val="000D32B2"/>
    <w:rsid w:val="000D3345"/>
    <w:rsid w:val="000D33BB"/>
    <w:rsid w:val="000D341A"/>
    <w:rsid w:val="000D343A"/>
    <w:rsid w:val="000D3441"/>
    <w:rsid w:val="000D349B"/>
    <w:rsid w:val="000D3559"/>
    <w:rsid w:val="000D35BF"/>
    <w:rsid w:val="000D366A"/>
    <w:rsid w:val="000D3687"/>
    <w:rsid w:val="000D3692"/>
    <w:rsid w:val="000D3693"/>
    <w:rsid w:val="000D36B1"/>
    <w:rsid w:val="000D370A"/>
    <w:rsid w:val="000D3827"/>
    <w:rsid w:val="000D3876"/>
    <w:rsid w:val="000D3914"/>
    <w:rsid w:val="000D3929"/>
    <w:rsid w:val="000D3947"/>
    <w:rsid w:val="000D3960"/>
    <w:rsid w:val="000D39CA"/>
    <w:rsid w:val="000D39F3"/>
    <w:rsid w:val="000D3BA7"/>
    <w:rsid w:val="000D3C97"/>
    <w:rsid w:val="000D3CBD"/>
    <w:rsid w:val="000D3EDF"/>
    <w:rsid w:val="000D3F0E"/>
    <w:rsid w:val="000D3F34"/>
    <w:rsid w:val="000D4060"/>
    <w:rsid w:val="000D40D2"/>
    <w:rsid w:val="000D40DF"/>
    <w:rsid w:val="000D4211"/>
    <w:rsid w:val="000D423A"/>
    <w:rsid w:val="000D427F"/>
    <w:rsid w:val="000D429D"/>
    <w:rsid w:val="000D42A4"/>
    <w:rsid w:val="000D42D1"/>
    <w:rsid w:val="000D42D4"/>
    <w:rsid w:val="000D42F3"/>
    <w:rsid w:val="000D4305"/>
    <w:rsid w:val="000D4367"/>
    <w:rsid w:val="000D4458"/>
    <w:rsid w:val="000D4471"/>
    <w:rsid w:val="000D447A"/>
    <w:rsid w:val="000D4485"/>
    <w:rsid w:val="000D459A"/>
    <w:rsid w:val="000D45C6"/>
    <w:rsid w:val="000D45C9"/>
    <w:rsid w:val="000D45E6"/>
    <w:rsid w:val="000D460C"/>
    <w:rsid w:val="000D465F"/>
    <w:rsid w:val="000D4670"/>
    <w:rsid w:val="000D4794"/>
    <w:rsid w:val="000D47B5"/>
    <w:rsid w:val="000D48B4"/>
    <w:rsid w:val="000D48C7"/>
    <w:rsid w:val="000D4903"/>
    <w:rsid w:val="000D490F"/>
    <w:rsid w:val="000D4925"/>
    <w:rsid w:val="000D4950"/>
    <w:rsid w:val="000D4981"/>
    <w:rsid w:val="000D4AA0"/>
    <w:rsid w:val="000D4ADB"/>
    <w:rsid w:val="000D4B3E"/>
    <w:rsid w:val="000D4C3B"/>
    <w:rsid w:val="000D4CF4"/>
    <w:rsid w:val="000D4D53"/>
    <w:rsid w:val="000D4E26"/>
    <w:rsid w:val="000D4E77"/>
    <w:rsid w:val="000D4E7A"/>
    <w:rsid w:val="000D4E92"/>
    <w:rsid w:val="000D4ED0"/>
    <w:rsid w:val="000D4EDF"/>
    <w:rsid w:val="000D4EF0"/>
    <w:rsid w:val="000D4FBB"/>
    <w:rsid w:val="000D4FCE"/>
    <w:rsid w:val="000D4FD4"/>
    <w:rsid w:val="000D4FFB"/>
    <w:rsid w:val="000D52FA"/>
    <w:rsid w:val="000D5381"/>
    <w:rsid w:val="000D542A"/>
    <w:rsid w:val="000D5464"/>
    <w:rsid w:val="000D5468"/>
    <w:rsid w:val="000D54F2"/>
    <w:rsid w:val="000D552C"/>
    <w:rsid w:val="000D5640"/>
    <w:rsid w:val="000D5702"/>
    <w:rsid w:val="000D5739"/>
    <w:rsid w:val="000D5744"/>
    <w:rsid w:val="000D5780"/>
    <w:rsid w:val="000D579B"/>
    <w:rsid w:val="000D5870"/>
    <w:rsid w:val="000D5904"/>
    <w:rsid w:val="000D5933"/>
    <w:rsid w:val="000D59B4"/>
    <w:rsid w:val="000D5B87"/>
    <w:rsid w:val="000D5D34"/>
    <w:rsid w:val="000D5D8A"/>
    <w:rsid w:val="000D5DDC"/>
    <w:rsid w:val="000D5F80"/>
    <w:rsid w:val="000D5F8F"/>
    <w:rsid w:val="000D5FBA"/>
    <w:rsid w:val="000D5FC5"/>
    <w:rsid w:val="000D6095"/>
    <w:rsid w:val="000D6129"/>
    <w:rsid w:val="000D6148"/>
    <w:rsid w:val="000D619D"/>
    <w:rsid w:val="000D61C3"/>
    <w:rsid w:val="000D61FB"/>
    <w:rsid w:val="000D6245"/>
    <w:rsid w:val="000D6272"/>
    <w:rsid w:val="000D62C3"/>
    <w:rsid w:val="000D62C6"/>
    <w:rsid w:val="000D62CD"/>
    <w:rsid w:val="000D631E"/>
    <w:rsid w:val="000D63F0"/>
    <w:rsid w:val="000D64FC"/>
    <w:rsid w:val="000D651E"/>
    <w:rsid w:val="000D653F"/>
    <w:rsid w:val="000D6540"/>
    <w:rsid w:val="000D6574"/>
    <w:rsid w:val="000D6651"/>
    <w:rsid w:val="000D66B8"/>
    <w:rsid w:val="000D68A0"/>
    <w:rsid w:val="000D68FF"/>
    <w:rsid w:val="000D6933"/>
    <w:rsid w:val="000D696F"/>
    <w:rsid w:val="000D69DB"/>
    <w:rsid w:val="000D6A37"/>
    <w:rsid w:val="000D6A47"/>
    <w:rsid w:val="000D6AEB"/>
    <w:rsid w:val="000D6B3D"/>
    <w:rsid w:val="000D6B57"/>
    <w:rsid w:val="000D6B74"/>
    <w:rsid w:val="000D6CB8"/>
    <w:rsid w:val="000D6CE3"/>
    <w:rsid w:val="000D6D1D"/>
    <w:rsid w:val="000D6DA6"/>
    <w:rsid w:val="000D6E30"/>
    <w:rsid w:val="000D6E59"/>
    <w:rsid w:val="000D6EC2"/>
    <w:rsid w:val="000D6F1B"/>
    <w:rsid w:val="000D7078"/>
    <w:rsid w:val="000D7087"/>
    <w:rsid w:val="000D70AC"/>
    <w:rsid w:val="000D70EC"/>
    <w:rsid w:val="000D711F"/>
    <w:rsid w:val="000D7131"/>
    <w:rsid w:val="000D7157"/>
    <w:rsid w:val="000D7167"/>
    <w:rsid w:val="000D7198"/>
    <w:rsid w:val="000D71B3"/>
    <w:rsid w:val="000D7228"/>
    <w:rsid w:val="000D7248"/>
    <w:rsid w:val="000D727D"/>
    <w:rsid w:val="000D7285"/>
    <w:rsid w:val="000D72AD"/>
    <w:rsid w:val="000D72C6"/>
    <w:rsid w:val="000D7363"/>
    <w:rsid w:val="000D7396"/>
    <w:rsid w:val="000D73FF"/>
    <w:rsid w:val="000D7497"/>
    <w:rsid w:val="000D74B4"/>
    <w:rsid w:val="000D74C1"/>
    <w:rsid w:val="000D7505"/>
    <w:rsid w:val="000D7506"/>
    <w:rsid w:val="000D7557"/>
    <w:rsid w:val="000D757A"/>
    <w:rsid w:val="000D75A1"/>
    <w:rsid w:val="000D75AB"/>
    <w:rsid w:val="000D7862"/>
    <w:rsid w:val="000D791A"/>
    <w:rsid w:val="000D7935"/>
    <w:rsid w:val="000D79BF"/>
    <w:rsid w:val="000D7A09"/>
    <w:rsid w:val="000D7A18"/>
    <w:rsid w:val="000D7A22"/>
    <w:rsid w:val="000D7AC8"/>
    <w:rsid w:val="000D7ADA"/>
    <w:rsid w:val="000D7BC3"/>
    <w:rsid w:val="000D7D12"/>
    <w:rsid w:val="000D7D2E"/>
    <w:rsid w:val="000D7D62"/>
    <w:rsid w:val="000D7D83"/>
    <w:rsid w:val="000D7D9E"/>
    <w:rsid w:val="000D7DDC"/>
    <w:rsid w:val="000E0007"/>
    <w:rsid w:val="000E000B"/>
    <w:rsid w:val="000E00A2"/>
    <w:rsid w:val="000E0139"/>
    <w:rsid w:val="000E013C"/>
    <w:rsid w:val="000E0149"/>
    <w:rsid w:val="000E0153"/>
    <w:rsid w:val="000E0154"/>
    <w:rsid w:val="000E0186"/>
    <w:rsid w:val="000E01EB"/>
    <w:rsid w:val="000E0205"/>
    <w:rsid w:val="000E022D"/>
    <w:rsid w:val="000E026C"/>
    <w:rsid w:val="000E0445"/>
    <w:rsid w:val="000E0454"/>
    <w:rsid w:val="000E0477"/>
    <w:rsid w:val="000E04EA"/>
    <w:rsid w:val="000E0555"/>
    <w:rsid w:val="000E065E"/>
    <w:rsid w:val="000E067E"/>
    <w:rsid w:val="000E06FA"/>
    <w:rsid w:val="000E070D"/>
    <w:rsid w:val="000E0731"/>
    <w:rsid w:val="000E074D"/>
    <w:rsid w:val="000E08A1"/>
    <w:rsid w:val="000E08B6"/>
    <w:rsid w:val="000E08BA"/>
    <w:rsid w:val="000E0904"/>
    <w:rsid w:val="000E0918"/>
    <w:rsid w:val="000E09AB"/>
    <w:rsid w:val="000E09EC"/>
    <w:rsid w:val="000E0A39"/>
    <w:rsid w:val="000E0AB7"/>
    <w:rsid w:val="000E0AF1"/>
    <w:rsid w:val="000E0AFD"/>
    <w:rsid w:val="000E0B41"/>
    <w:rsid w:val="000E0BA9"/>
    <w:rsid w:val="000E0C8C"/>
    <w:rsid w:val="000E0C9D"/>
    <w:rsid w:val="000E0CA2"/>
    <w:rsid w:val="000E0CD3"/>
    <w:rsid w:val="000E0CE2"/>
    <w:rsid w:val="000E0D53"/>
    <w:rsid w:val="000E0DD1"/>
    <w:rsid w:val="000E0DD4"/>
    <w:rsid w:val="000E0E33"/>
    <w:rsid w:val="000E0EE5"/>
    <w:rsid w:val="000E0F0D"/>
    <w:rsid w:val="000E1076"/>
    <w:rsid w:val="000E1081"/>
    <w:rsid w:val="000E10AF"/>
    <w:rsid w:val="000E1139"/>
    <w:rsid w:val="000E120A"/>
    <w:rsid w:val="000E125A"/>
    <w:rsid w:val="000E127E"/>
    <w:rsid w:val="000E14CA"/>
    <w:rsid w:val="000E14FB"/>
    <w:rsid w:val="000E1579"/>
    <w:rsid w:val="000E1594"/>
    <w:rsid w:val="000E15BA"/>
    <w:rsid w:val="000E15D0"/>
    <w:rsid w:val="000E16C7"/>
    <w:rsid w:val="000E16DD"/>
    <w:rsid w:val="000E1751"/>
    <w:rsid w:val="000E17E0"/>
    <w:rsid w:val="000E1803"/>
    <w:rsid w:val="000E1808"/>
    <w:rsid w:val="000E1822"/>
    <w:rsid w:val="000E18D3"/>
    <w:rsid w:val="000E19B0"/>
    <w:rsid w:val="000E19DA"/>
    <w:rsid w:val="000E1A23"/>
    <w:rsid w:val="000E1A7A"/>
    <w:rsid w:val="000E1AC0"/>
    <w:rsid w:val="000E1B31"/>
    <w:rsid w:val="000E1B91"/>
    <w:rsid w:val="000E1BE8"/>
    <w:rsid w:val="000E1C1F"/>
    <w:rsid w:val="000E1C80"/>
    <w:rsid w:val="000E1CD0"/>
    <w:rsid w:val="000E1D00"/>
    <w:rsid w:val="000E1D2A"/>
    <w:rsid w:val="000E1D71"/>
    <w:rsid w:val="000E1E83"/>
    <w:rsid w:val="000E1EF9"/>
    <w:rsid w:val="000E1F08"/>
    <w:rsid w:val="000E1F23"/>
    <w:rsid w:val="000E1FC6"/>
    <w:rsid w:val="000E20F3"/>
    <w:rsid w:val="000E2127"/>
    <w:rsid w:val="000E2165"/>
    <w:rsid w:val="000E2167"/>
    <w:rsid w:val="000E21B9"/>
    <w:rsid w:val="000E21EC"/>
    <w:rsid w:val="000E2205"/>
    <w:rsid w:val="000E22CC"/>
    <w:rsid w:val="000E22FF"/>
    <w:rsid w:val="000E2358"/>
    <w:rsid w:val="000E23AD"/>
    <w:rsid w:val="000E2403"/>
    <w:rsid w:val="000E2443"/>
    <w:rsid w:val="000E2444"/>
    <w:rsid w:val="000E24CB"/>
    <w:rsid w:val="000E2528"/>
    <w:rsid w:val="000E254E"/>
    <w:rsid w:val="000E2629"/>
    <w:rsid w:val="000E2643"/>
    <w:rsid w:val="000E2670"/>
    <w:rsid w:val="000E2757"/>
    <w:rsid w:val="000E275D"/>
    <w:rsid w:val="000E27AC"/>
    <w:rsid w:val="000E2891"/>
    <w:rsid w:val="000E289D"/>
    <w:rsid w:val="000E28AC"/>
    <w:rsid w:val="000E2922"/>
    <w:rsid w:val="000E2957"/>
    <w:rsid w:val="000E299C"/>
    <w:rsid w:val="000E29E9"/>
    <w:rsid w:val="000E29F2"/>
    <w:rsid w:val="000E2A03"/>
    <w:rsid w:val="000E2A29"/>
    <w:rsid w:val="000E2ACC"/>
    <w:rsid w:val="000E2B3F"/>
    <w:rsid w:val="000E2B49"/>
    <w:rsid w:val="000E2B69"/>
    <w:rsid w:val="000E2B75"/>
    <w:rsid w:val="000E2B9E"/>
    <w:rsid w:val="000E2BCC"/>
    <w:rsid w:val="000E2C78"/>
    <w:rsid w:val="000E2D8D"/>
    <w:rsid w:val="000E2DA4"/>
    <w:rsid w:val="000E2E16"/>
    <w:rsid w:val="000E2E56"/>
    <w:rsid w:val="000E2E5F"/>
    <w:rsid w:val="000E2EA2"/>
    <w:rsid w:val="000E2ED7"/>
    <w:rsid w:val="000E2F1E"/>
    <w:rsid w:val="000E2F28"/>
    <w:rsid w:val="000E2F2F"/>
    <w:rsid w:val="000E2F60"/>
    <w:rsid w:val="000E304E"/>
    <w:rsid w:val="000E3170"/>
    <w:rsid w:val="000E317C"/>
    <w:rsid w:val="000E3199"/>
    <w:rsid w:val="000E31C1"/>
    <w:rsid w:val="000E31F1"/>
    <w:rsid w:val="000E31F5"/>
    <w:rsid w:val="000E3255"/>
    <w:rsid w:val="000E3273"/>
    <w:rsid w:val="000E34C8"/>
    <w:rsid w:val="000E357F"/>
    <w:rsid w:val="000E35C6"/>
    <w:rsid w:val="000E3647"/>
    <w:rsid w:val="000E36B8"/>
    <w:rsid w:val="000E3778"/>
    <w:rsid w:val="000E3792"/>
    <w:rsid w:val="000E37AE"/>
    <w:rsid w:val="000E37D8"/>
    <w:rsid w:val="000E38EF"/>
    <w:rsid w:val="000E3975"/>
    <w:rsid w:val="000E39BA"/>
    <w:rsid w:val="000E3A50"/>
    <w:rsid w:val="000E3A55"/>
    <w:rsid w:val="000E3A69"/>
    <w:rsid w:val="000E3A83"/>
    <w:rsid w:val="000E3AF5"/>
    <w:rsid w:val="000E3BD7"/>
    <w:rsid w:val="000E3CA9"/>
    <w:rsid w:val="000E3CFF"/>
    <w:rsid w:val="000E3D1B"/>
    <w:rsid w:val="000E3D3C"/>
    <w:rsid w:val="000E3E69"/>
    <w:rsid w:val="000E3E9E"/>
    <w:rsid w:val="000E3EDD"/>
    <w:rsid w:val="000E3FC1"/>
    <w:rsid w:val="000E401E"/>
    <w:rsid w:val="000E4083"/>
    <w:rsid w:val="000E40B4"/>
    <w:rsid w:val="000E4115"/>
    <w:rsid w:val="000E4117"/>
    <w:rsid w:val="000E4182"/>
    <w:rsid w:val="000E41AF"/>
    <w:rsid w:val="000E4201"/>
    <w:rsid w:val="000E420D"/>
    <w:rsid w:val="000E4289"/>
    <w:rsid w:val="000E4348"/>
    <w:rsid w:val="000E434A"/>
    <w:rsid w:val="000E44F2"/>
    <w:rsid w:val="000E4502"/>
    <w:rsid w:val="000E4515"/>
    <w:rsid w:val="000E4585"/>
    <w:rsid w:val="000E4593"/>
    <w:rsid w:val="000E45A9"/>
    <w:rsid w:val="000E45AC"/>
    <w:rsid w:val="000E4688"/>
    <w:rsid w:val="000E4714"/>
    <w:rsid w:val="000E478B"/>
    <w:rsid w:val="000E4792"/>
    <w:rsid w:val="000E47BC"/>
    <w:rsid w:val="000E48AD"/>
    <w:rsid w:val="000E48B0"/>
    <w:rsid w:val="000E498D"/>
    <w:rsid w:val="000E498E"/>
    <w:rsid w:val="000E49D2"/>
    <w:rsid w:val="000E49FD"/>
    <w:rsid w:val="000E4A7E"/>
    <w:rsid w:val="000E4AA2"/>
    <w:rsid w:val="000E4AE2"/>
    <w:rsid w:val="000E4B67"/>
    <w:rsid w:val="000E4B90"/>
    <w:rsid w:val="000E4BBA"/>
    <w:rsid w:val="000E4BF1"/>
    <w:rsid w:val="000E4C7E"/>
    <w:rsid w:val="000E4D74"/>
    <w:rsid w:val="000E4E70"/>
    <w:rsid w:val="000E4E7A"/>
    <w:rsid w:val="000E4E8B"/>
    <w:rsid w:val="000E4EA0"/>
    <w:rsid w:val="000E4F03"/>
    <w:rsid w:val="000E50F0"/>
    <w:rsid w:val="000E5149"/>
    <w:rsid w:val="000E520A"/>
    <w:rsid w:val="000E5248"/>
    <w:rsid w:val="000E52C8"/>
    <w:rsid w:val="000E5366"/>
    <w:rsid w:val="000E539D"/>
    <w:rsid w:val="000E539E"/>
    <w:rsid w:val="000E53AC"/>
    <w:rsid w:val="000E53F6"/>
    <w:rsid w:val="000E5409"/>
    <w:rsid w:val="000E5421"/>
    <w:rsid w:val="000E54AF"/>
    <w:rsid w:val="000E558A"/>
    <w:rsid w:val="000E559C"/>
    <w:rsid w:val="000E562A"/>
    <w:rsid w:val="000E5684"/>
    <w:rsid w:val="000E5724"/>
    <w:rsid w:val="000E57D9"/>
    <w:rsid w:val="000E5907"/>
    <w:rsid w:val="000E599B"/>
    <w:rsid w:val="000E59CA"/>
    <w:rsid w:val="000E59F7"/>
    <w:rsid w:val="000E5A07"/>
    <w:rsid w:val="000E5A30"/>
    <w:rsid w:val="000E5AB8"/>
    <w:rsid w:val="000E5AC1"/>
    <w:rsid w:val="000E5ADF"/>
    <w:rsid w:val="000E5B04"/>
    <w:rsid w:val="000E5B0E"/>
    <w:rsid w:val="000E5DB9"/>
    <w:rsid w:val="000E5E6B"/>
    <w:rsid w:val="000E5F0A"/>
    <w:rsid w:val="000E60B2"/>
    <w:rsid w:val="000E6159"/>
    <w:rsid w:val="000E6312"/>
    <w:rsid w:val="000E633E"/>
    <w:rsid w:val="000E639F"/>
    <w:rsid w:val="000E63FF"/>
    <w:rsid w:val="000E641F"/>
    <w:rsid w:val="000E6442"/>
    <w:rsid w:val="000E6456"/>
    <w:rsid w:val="000E64DE"/>
    <w:rsid w:val="000E657C"/>
    <w:rsid w:val="000E6589"/>
    <w:rsid w:val="000E662C"/>
    <w:rsid w:val="000E66DE"/>
    <w:rsid w:val="000E66F8"/>
    <w:rsid w:val="000E66FE"/>
    <w:rsid w:val="000E670A"/>
    <w:rsid w:val="000E6726"/>
    <w:rsid w:val="000E67B4"/>
    <w:rsid w:val="000E67C5"/>
    <w:rsid w:val="000E68C7"/>
    <w:rsid w:val="000E68E3"/>
    <w:rsid w:val="000E6990"/>
    <w:rsid w:val="000E69AD"/>
    <w:rsid w:val="000E69BB"/>
    <w:rsid w:val="000E6A2C"/>
    <w:rsid w:val="000E6BB3"/>
    <w:rsid w:val="000E6BC4"/>
    <w:rsid w:val="000E6C01"/>
    <w:rsid w:val="000E6C28"/>
    <w:rsid w:val="000E6CC7"/>
    <w:rsid w:val="000E6D0A"/>
    <w:rsid w:val="000E6D16"/>
    <w:rsid w:val="000E6D8E"/>
    <w:rsid w:val="000E6D9B"/>
    <w:rsid w:val="000E6E0C"/>
    <w:rsid w:val="000E6EA8"/>
    <w:rsid w:val="000E6F9B"/>
    <w:rsid w:val="000E6FB3"/>
    <w:rsid w:val="000E6FD3"/>
    <w:rsid w:val="000E7035"/>
    <w:rsid w:val="000E7046"/>
    <w:rsid w:val="000E7120"/>
    <w:rsid w:val="000E71AD"/>
    <w:rsid w:val="000E71D4"/>
    <w:rsid w:val="000E72FE"/>
    <w:rsid w:val="000E730C"/>
    <w:rsid w:val="000E7421"/>
    <w:rsid w:val="000E74BB"/>
    <w:rsid w:val="000E74CA"/>
    <w:rsid w:val="000E7630"/>
    <w:rsid w:val="000E763C"/>
    <w:rsid w:val="000E7683"/>
    <w:rsid w:val="000E76FE"/>
    <w:rsid w:val="000E774F"/>
    <w:rsid w:val="000E7756"/>
    <w:rsid w:val="000E77A8"/>
    <w:rsid w:val="000E77F4"/>
    <w:rsid w:val="000E7806"/>
    <w:rsid w:val="000E7823"/>
    <w:rsid w:val="000E78BC"/>
    <w:rsid w:val="000E7915"/>
    <w:rsid w:val="000E7971"/>
    <w:rsid w:val="000E79B6"/>
    <w:rsid w:val="000E7A6B"/>
    <w:rsid w:val="000E7B84"/>
    <w:rsid w:val="000E7C6F"/>
    <w:rsid w:val="000E7E55"/>
    <w:rsid w:val="000E7E79"/>
    <w:rsid w:val="000E7F60"/>
    <w:rsid w:val="000E7F79"/>
    <w:rsid w:val="000E7F88"/>
    <w:rsid w:val="000F00A0"/>
    <w:rsid w:val="000F00D9"/>
    <w:rsid w:val="000F0102"/>
    <w:rsid w:val="000F017F"/>
    <w:rsid w:val="000F0221"/>
    <w:rsid w:val="000F0281"/>
    <w:rsid w:val="000F028E"/>
    <w:rsid w:val="000F02CC"/>
    <w:rsid w:val="000F02E4"/>
    <w:rsid w:val="000F034C"/>
    <w:rsid w:val="000F035D"/>
    <w:rsid w:val="000F0399"/>
    <w:rsid w:val="000F03B5"/>
    <w:rsid w:val="000F0437"/>
    <w:rsid w:val="000F0454"/>
    <w:rsid w:val="000F0476"/>
    <w:rsid w:val="000F0497"/>
    <w:rsid w:val="000F04E2"/>
    <w:rsid w:val="000F0739"/>
    <w:rsid w:val="000F07B7"/>
    <w:rsid w:val="000F08AF"/>
    <w:rsid w:val="000F0939"/>
    <w:rsid w:val="000F09A9"/>
    <w:rsid w:val="000F0A58"/>
    <w:rsid w:val="000F0A5E"/>
    <w:rsid w:val="000F0A8D"/>
    <w:rsid w:val="000F0AC1"/>
    <w:rsid w:val="000F0B27"/>
    <w:rsid w:val="000F0B88"/>
    <w:rsid w:val="000F0BCC"/>
    <w:rsid w:val="000F0CA2"/>
    <w:rsid w:val="000F0CE7"/>
    <w:rsid w:val="000F0CF6"/>
    <w:rsid w:val="000F0D0F"/>
    <w:rsid w:val="000F0EE2"/>
    <w:rsid w:val="000F0FBD"/>
    <w:rsid w:val="000F101E"/>
    <w:rsid w:val="000F107A"/>
    <w:rsid w:val="000F1287"/>
    <w:rsid w:val="000F12E7"/>
    <w:rsid w:val="000F13A1"/>
    <w:rsid w:val="000F13F6"/>
    <w:rsid w:val="000F147F"/>
    <w:rsid w:val="000F14F0"/>
    <w:rsid w:val="000F1515"/>
    <w:rsid w:val="000F1580"/>
    <w:rsid w:val="000F15F9"/>
    <w:rsid w:val="000F167A"/>
    <w:rsid w:val="000F168A"/>
    <w:rsid w:val="000F17A5"/>
    <w:rsid w:val="000F17B9"/>
    <w:rsid w:val="000F17E3"/>
    <w:rsid w:val="000F183D"/>
    <w:rsid w:val="000F1927"/>
    <w:rsid w:val="000F19F0"/>
    <w:rsid w:val="000F1A41"/>
    <w:rsid w:val="000F1AC9"/>
    <w:rsid w:val="000F1D9D"/>
    <w:rsid w:val="000F1E0F"/>
    <w:rsid w:val="000F1E37"/>
    <w:rsid w:val="000F1E79"/>
    <w:rsid w:val="000F1E83"/>
    <w:rsid w:val="000F1EF0"/>
    <w:rsid w:val="000F21EF"/>
    <w:rsid w:val="000F227C"/>
    <w:rsid w:val="000F2280"/>
    <w:rsid w:val="000F229D"/>
    <w:rsid w:val="000F22DA"/>
    <w:rsid w:val="000F2321"/>
    <w:rsid w:val="000F2339"/>
    <w:rsid w:val="000F2344"/>
    <w:rsid w:val="000F246C"/>
    <w:rsid w:val="000F252B"/>
    <w:rsid w:val="000F2547"/>
    <w:rsid w:val="000F25BD"/>
    <w:rsid w:val="000F2698"/>
    <w:rsid w:val="000F26A5"/>
    <w:rsid w:val="000F2723"/>
    <w:rsid w:val="000F2740"/>
    <w:rsid w:val="000F2741"/>
    <w:rsid w:val="000F27B7"/>
    <w:rsid w:val="000F27D9"/>
    <w:rsid w:val="000F284B"/>
    <w:rsid w:val="000F28A7"/>
    <w:rsid w:val="000F28DD"/>
    <w:rsid w:val="000F2948"/>
    <w:rsid w:val="000F2A1C"/>
    <w:rsid w:val="000F2A2E"/>
    <w:rsid w:val="000F2A36"/>
    <w:rsid w:val="000F2A5F"/>
    <w:rsid w:val="000F2BA1"/>
    <w:rsid w:val="000F2D8A"/>
    <w:rsid w:val="000F2DE6"/>
    <w:rsid w:val="000F2E27"/>
    <w:rsid w:val="000F2EA6"/>
    <w:rsid w:val="000F2FFA"/>
    <w:rsid w:val="000F3051"/>
    <w:rsid w:val="000F3080"/>
    <w:rsid w:val="000F30D7"/>
    <w:rsid w:val="000F30E4"/>
    <w:rsid w:val="000F310E"/>
    <w:rsid w:val="000F3156"/>
    <w:rsid w:val="000F315A"/>
    <w:rsid w:val="000F31D7"/>
    <w:rsid w:val="000F32C3"/>
    <w:rsid w:val="000F3342"/>
    <w:rsid w:val="000F33E7"/>
    <w:rsid w:val="000F3410"/>
    <w:rsid w:val="000F34EF"/>
    <w:rsid w:val="000F3529"/>
    <w:rsid w:val="000F3543"/>
    <w:rsid w:val="000F354F"/>
    <w:rsid w:val="000F3558"/>
    <w:rsid w:val="000F3559"/>
    <w:rsid w:val="000F35BD"/>
    <w:rsid w:val="000F35DC"/>
    <w:rsid w:val="000F3651"/>
    <w:rsid w:val="000F3697"/>
    <w:rsid w:val="000F36D6"/>
    <w:rsid w:val="000F36FB"/>
    <w:rsid w:val="000F373B"/>
    <w:rsid w:val="000F381F"/>
    <w:rsid w:val="000F3849"/>
    <w:rsid w:val="000F388A"/>
    <w:rsid w:val="000F38D9"/>
    <w:rsid w:val="000F3923"/>
    <w:rsid w:val="000F392C"/>
    <w:rsid w:val="000F394F"/>
    <w:rsid w:val="000F395C"/>
    <w:rsid w:val="000F3A01"/>
    <w:rsid w:val="000F3A2F"/>
    <w:rsid w:val="000F3AA9"/>
    <w:rsid w:val="000F3B09"/>
    <w:rsid w:val="000F3B37"/>
    <w:rsid w:val="000F3D82"/>
    <w:rsid w:val="000F3DA2"/>
    <w:rsid w:val="000F3DE6"/>
    <w:rsid w:val="000F3DF8"/>
    <w:rsid w:val="000F3E7C"/>
    <w:rsid w:val="000F3EBC"/>
    <w:rsid w:val="000F3F33"/>
    <w:rsid w:val="000F3F3C"/>
    <w:rsid w:val="000F3F3E"/>
    <w:rsid w:val="000F3F7B"/>
    <w:rsid w:val="000F401F"/>
    <w:rsid w:val="000F4024"/>
    <w:rsid w:val="000F4029"/>
    <w:rsid w:val="000F409B"/>
    <w:rsid w:val="000F40B5"/>
    <w:rsid w:val="000F4197"/>
    <w:rsid w:val="000F4199"/>
    <w:rsid w:val="000F41A5"/>
    <w:rsid w:val="000F4273"/>
    <w:rsid w:val="000F43A4"/>
    <w:rsid w:val="000F43ED"/>
    <w:rsid w:val="000F4483"/>
    <w:rsid w:val="000F4608"/>
    <w:rsid w:val="000F4648"/>
    <w:rsid w:val="000F473B"/>
    <w:rsid w:val="000F47FF"/>
    <w:rsid w:val="000F483F"/>
    <w:rsid w:val="000F4845"/>
    <w:rsid w:val="000F4873"/>
    <w:rsid w:val="000F48A1"/>
    <w:rsid w:val="000F48E2"/>
    <w:rsid w:val="000F493B"/>
    <w:rsid w:val="000F4959"/>
    <w:rsid w:val="000F49DA"/>
    <w:rsid w:val="000F49EC"/>
    <w:rsid w:val="000F4A32"/>
    <w:rsid w:val="000F4A35"/>
    <w:rsid w:val="000F4A71"/>
    <w:rsid w:val="000F4AD0"/>
    <w:rsid w:val="000F4AD8"/>
    <w:rsid w:val="000F4B46"/>
    <w:rsid w:val="000F4C35"/>
    <w:rsid w:val="000F4C73"/>
    <w:rsid w:val="000F4C9C"/>
    <w:rsid w:val="000F4CAA"/>
    <w:rsid w:val="000F4CBF"/>
    <w:rsid w:val="000F4CE2"/>
    <w:rsid w:val="000F4DD0"/>
    <w:rsid w:val="000F4DE5"/>
    <w:rsid w:val="000F4E6E"/>
    <w:rsid w:val="000F4EC0"/>
    <w:rsid w:val="000F4F0B"/>
    <w:rsid w:val="000F4F45"/>
    <w:rsid w:val="000F4F93"/>
    <w:rsid w:val="000F4FC1"/>
    <w:rsid w:val="000F4FD1"/>
    <w:rsid w:val="000F4FEB"/>
    <w:rsid w:val="000F5011"/>
    <w:rsid w:val="000F50A7"/>
    <w:rsid w:val="000F512C"/>
    <w:rsid w:val="000F5193"/>
    <w:rsid w:val="000F51F7"/>
    <w:rsid w:val="000F527B"/>
    <w:rsid w:val="000F5285"/>
    <w:rsid w:val="000F529C"/>
    <w:rsid w:val="000F52AC"/>
    <w:rsid w:val="000F52BD"/>
    <w:rsid w:val="000F52E1"/>
    <w:rsid w:val="000F533F"/>
    <w:rsid w:val="000F538A"/>
    <w:rsid w:val="000F544E"/>
    <w:rsid w:val="000F5499"/>
    <w:rsid w:val="000F54B7"/>
    <w:rsid w:val="000F558E"/>
    <w:rsid w:val="000F569A"/>
    <w:rsid w:val="000F56D3"/>
    <w:rsid w:val="000F56D4"/>
    <w:rsid w:val="000F56F8"/>
    <w:rsid w:val="000F580A"/>
    <w:rsid w:val="000F5836"/>
    <w:rsid w:val="000F5890"/>
    <w:rsid w:val="000F5947"/>
    <w:rsid w:val="000F59AB"/>
    <w:rsid w:val="000F59D7"/>
    <w:rsid w:val="000F59EA"/>
    <w:rsid w:val="000F5B0D"/>
    <w:rsid w:val="000F5B72"/>
    <w:rsid w:val="000F5B93"/>
    <w:rsid w:val="000F5BF2"/>
    <w:rsid w:val="000F5BF6"/>
    <w:rsid w:val="000F5C05"/>
    <w:rsid w:val="000F5C47"/>
    <w:rsid w:val="000F5C76"/>
    <w:rsid w:val="000F5D52"/>
    <w:rsid w:val="000F5D6A"/>
    <w:rsid w:val="000F5D75"/>
    <w:rsid w:val="000F5D83"/>
    <w:rsid w:val="000F5D90"/>
    <w:rsid w:val="000F5DF7"/>
    <w:rsid w:val="000F5E13"/>
    <w:rsid w:val="000F5E6D"/>
    <w:rsid w:val="000F5E9B"/>
    <w:rsid w:val="000F5ED6"/>
    <w:rsid w:val="000F5F02"/>
    <w:rsid w:val="000F5FA8"/>
    <w:rsid w:val="000F611A"/>
    <w:rsid w:val="000F6121"/>
    <w:rsid w:val="000F6179"/>
    <w:rsid w:val="000F61FD"/>
    <w:rsid w:val="000F6211"/>
    <w:rsid w:val="000F624F"/>
    <w:rsid w:val="000F6261"/>
    <w:rsid w:val="000F6296"/>
    <w:rsid w:val="000F62A8"/>
    <w:rsid w:val="000F634A"/>
    <w:rsid w:val="000F6410"/>
    <w:rsid w:val="000F6463"/>
    <w:rsid w:val="000F6532"/>
    <w:rsid w:val="000F66A6"/>
    <w:rsid w:val="000F66EC"/>
    <w:rsid w:val="000F66F2"/>
    <w:rsid w:val="000F670E"/>
    <w:rsid w:val="000F673A"/>
    <w:rsid w:val="000F6753"/>
    <w:rsid w:val="000F689C"/>
    <w:rsid w:val="000F68D8"/>
    <w:rsid w:val="000F6B51"/>
    <w:rsid w:val="000F6BB5"/>
    <w:rsid w:val="000F6BC1"/>
    <w:rsid w:val="000F6BF9"/>
    <w:rsid w:val="000F6C10"/>
    <w:rsid w:val="000F6C70"/>
    <w:rsid w:val="000F6DA0"/>
    <w:rsid w:val="000F6DAD"/>
    <w:rsid w:val="000F6DDF"/>
    <w:rsid w:val="000F6E00"/>
    <w:rsid w:val="000F6FD1"/>
    <w:rsid w:val="000F701A"/>
    <w:rsid w:val="000F707C"/>
    <w:rsid w:val="000F7121"/>
    <w:rsid w:val="000F7171"/>
    <w:rsid w:val="000F71C1"/>
    <w:rsid w:val="000F7295"/>
    <w:rsid w:val="000F72FA"/>
    <w:rsid w:val="000F7345"/>
    <w:rsid w:val="000F7488"/>
    <w:rsid w:val="000F74A6"/>
    <w:rsid w:val="000F75E4"/>
    <w:rsid w:val="000F76D1"/>
    <w:rsid w:val="000F7702"/>
    <w:rsid w:val="000F7771"/>
    <w:rsid w:val="000F7779"/>
    <w:rsid w:val="000F77B1"/>
    <w:rsid w:val="000F792C"/>
    <w:rsid w:val="000F79B9"/>
    <w:rsid w:val="000F7A7D"/>
    <w:rsid w:val="000F7B2F"/>
    <w:rsid w:val="000F7C96"/>
    <w:rsid w:val="000F7CD7"/>
    <w:rsid w:val="000F7CF8"/>
    <w:rsid w:val="000F7D10"/>
    <w:rsid w:val="000F7D60"/>
    <w:rsid w:val="000F7D8A"/>
    <w:rsid w:val="000F7DC9"/>
    <w:rsid w:val="000F7ECF"/>
    <w:rsid w:val="000F7FC3"/>
    <w:rsid w:val="000F7FFA"/>
    <w:rsid w:val="00100195"/>
    <w:rsid w:val="001001D6"/>
    <w:rsid w:val="001001F1"/>
    <w:rsid w:val="001002C0"/>
    <w:rsid w:val="0010033C"/>
    <w:rsid w:val="00100389"/>
    <w:rsid w:val="001003E4"/>
    <w:rsid w:val="001003E5"/>
    <w:rsid w:val="00100425"/>
    <w:rsid w:val="00100484"/>
    <w:rsid w:val="001004D7"/>
    <w:rsid w:val="0010054B"/>
    <w:rsid w:val="0010055F"/>
    <w:rsid w:val="001005AB"/>
    <w:rsid w:val="0010061F"/>
    <w:rsid w:val="00100681"/>
    <w:rsid w:val="0010072F"/>
    <w:rsid w:val="00100767"/>
    <w:rsid w:val="001007F0"/>
    <w:rsid w:val="0010080E"/>
    <w:rsid w:val="0010081E"/>
    <w:rsid w:val="0010084C"/>
    <w:rsid w:val="00100854"/>
    <w:rsid w:val="0010085C"/>
    <w:rsid w:val="001008CF"/>
    <w:rsid w:val="0010090C"/>
    <w:rsid w:val="00100938"/>
    <w:rsid w:val="001009AF"/>
    <w:rsid w:val="001009D3"/>
    <w:rsid w:val="00100A40"/>
    <w:rsid w:val="00100A98"/>
    <w:rsid w:val="00100B14"/>
    <w:rsid w:val="00100B9A"/>
    <w:rsid w:val="00100BBF"/>
    <w:rsid w:val="00100BEC"/>
    <w:rsid w:val="00100C24"/>
    <w:rsid w:val="00100C6F"/>
    <w:rsid w:val="00100CAA"/>
    <w:rsid w:val="00100CC4"/>
    <w:rsid w:val="00100D79"/>
    <w:rsid w:val="00100D96"/>
    <w:rsid w:val="00100E40"/>
    <w:rsid w:val="00100EEA"/>
    <w:rsid w:val="00100EEF"/>
    <w:rsid w:val="00100F4B"/>
    <w:rsid w:val="00100F74"/>
    <w:rsid w:val="00100FF3"/>
    <w:rsid w:val="0010101B"/>
    <w:rsid w:val="0010102E"/>
    <w:rsid w:val="00101043"/>
    <w:rsid w:val="00101112"/>
    <w:rsid w:val="00101202"/>
    <w:rsid w:val="001012D2"/>
    <w:rsid w:val="001012E0"/>
    <w:rsid w:val="001012EE"/>
    <w:rsid w:val="00101392"/>
    <w:rsid w:val="001013F1"/>
    <w:rsid w:val="001014E4"/>
    <w:rsid w:val="00101847"/>
    <w:rsid w:val="00101931"/>
    <w:rsid w:val="00101961"/>
    <w:rsid w:val="001019D1"/>
    <w:rsid w:val="001019DF"/>
    <w:rsid w:val="00101A1D"/>
    <w:rsid w:val="00101AEF"/>
    <w:rsid w:val="00101BC7"/>
    <w:rsid w:val="00101BD8"/>
    <w:rsid w:val="00101BE0"/>
    <w:rsid w:val="00101C35"/>
    <w:rsid w:val="00101C93"/>
    <w:rsid w:val="00101D72"/>
    <w:rsid w:val="00101DB5"/>
    <w:rsid w:val="00101DCC"/>
    <w:rsid w:val="00101DDF"/>
    <w:rsid w:val="00101E1B"/>
    <w:rsid w:val="00101EA4"/>
    <w:rsid w:val="00101F29"/>
    <w:rsid w:val="00101F38"/>
    <w:rsid w:val="001020A2"/>
    <w:rsid w:val="00102144"/>
    <w:rsid w:val="00102187"/>
    <w:rsid w:val="001021F0"/>
    <w:rsid w:val="0010230B"/>
    <w:rsid w:val="00102363"/>
    <w:rsid w:val="00102430"/>
    <w:rsid w:val="00102480"/>
    <w:rsid w:val="001024C0"/>
    <w:rsid w:val="001024FF"/>
    <w:rsid w:val="001025DF"/>
    <w:rsid w:val="001025E9"/>
    <w:rsid w:val="00102719"/>
    <w:rsid w:val="0010279B"/>
    <w:rsid w:val="001027A5"/>
    <w:rsid w:val="001027CC"/>
    <w:rsid w:val="0010283A"/>
    <w:rsid w:val="001028D6"/>
    <w:rsid w:val="001029D5"/>
    <w:rsid w:val="001029E1"/>
    <w:rsid w:val="001029ED"/>
    <w:rsid w:val="00102A25"/>
    <w:rsid w:val="00102B35"/>
    <w:rsid w:val="00102B47"/>
    <w:rsid w:val="00102C57"/>
    <w:rsid w:val="00102C73"/>
    <w:rsid w:val="00102CC0"/>
    <w:rsid w:val="00102E61"/>
    <w:rsid w:val="00102E9C"/>
    <w:rsid w:val="00102EA5"/>
    <w:rsid w:val="00102EC1"/>
    <w:rsid w:val="00102EDE"/>
    <w:rsid w:val="00102FCC"/>
    <w:rsid w:val="00103023"/>
    <w:rsid w:val="0010309E"/>
    <w:rsid w:val="00103181"/>
    <w:rsid w:val="001031C7"/>
    <w:rsid w:val="001031DC"/>
    <w:rsid w:val="00103201"/>
    <w:rsid w:val="00103211"/>
    <w:rsid w:val="00103324"/>
    <w:rsid w:val="001033A7"/>
    <w:rsid w:val="0010340E"/>
    <w:rsid w:val="0010353F"/>
    <w:rsid w:val="00103586"/>
    <w:rsid w:val="0010365F"/>
    <w:rsid w:val="00103685"/>
    <w:rsid w:val="00103775"/>
    <w:rsid w:val="00103787"/>
    <w:rsid w:val="001037D0"/>
    <w:rsid w:val="001037D9"/>
    <w:rsid w:val="001037E9"/>
    <w:rsid w:val="00103886"/>
    <w:rsid w:val="00103925"/>
    <w:rsid w:val="001039AE"/>
    <w:rsid w:val="00103A34"/>
    <w:rsid w:val="00103B16"/>
    <w:rsid w:val="00103B5D"/>
    <w:rsid w:val="00103C0C"/>
    <w:rsid w:val="00103CDD"/>
    <w:rsid w:val="00103D58"/>
    <w:rsid w:val="00103D64"/>
    <w:rsid w:val="00103DB7"/>
    <w:rsid w:val="00103E39"/>
    <w:rsid w:val="00103E58"/>
    <w:rsid w:val="00103E6D"/>
    <w:rsid w:val="00103EEF"/>
    <w:rsid w:val="00103EFA"/>
    <w:rsid w:val="00103F00"/>
    <w:rsid w:val="00103F1D"/>
    <w:rsid w:val="00103FBB"/>
    <w:rsid w:val="00104035"/>
    <w:rsid w:val="0010405C"/>
    <w:rsid w:val="0010411A"/>
    <w:rsid w:val="0010411F"/>
    <w:rsid w:val="00104152"/>
    <w:rsid w:val="0010419B"/>
    <w:rsid w:val="001041B6"/>
    <w:rsid w:val="001041F5"/>
    <w:rsid w:val="0010425D"/>
    <w:rsid w:val="001042BF"/>
    <w:rsid w:val="001042D3"/>
    <w:rsid w:val="001043CF"/>
    <w:rsid w:val="001043D3"/>
    <w:rsid w:val="001044B9"/>
    <w:rsid w:val="001044D5"/>
    <w:rsid w:val="00104505"/>
    <w:rsid w:val="0010454C"/>
    <w:rsid w:val="001045B6"/>
    <w:rsid w:val="0010462E"/>
    <w:rsid w:val="00104632"/>
    <w:rsid w:val="0010465F"/>
    <w:rsid w:val="00104666"/>
    <w:rsid w:val="0010472C"/>
    <w:rsid w:val="00104838"/>
    <w:rsid w:val="00104858"/>
    <w:rsid w:val="00104863"/>
    <w:rsid w:val="00104897"/>
    <w:rsid w:val="001048C7"/>
    <w:rsid w:val="00104912"/>
    <w:rsid w:val="001049BE"/>
    <w:rsid w:val="001049D6"/>
    <w:rsid w:val="001049E2"/>
    <w:rsid w:val="001049F3"/>
    <w:rsid w:val="00104A04"/>
    <w:rsid w:val="00104A27"/>
    <w:rsid w:val="00104A36"/>
    <w:rsid w:val="00104A7D"/>
    <w:rsid w:val="00104B35"/>
    <w:rsid w:val="00104C5C"/>
    <w:rsid w:val="00104D49"/>
    <w:rsid w:val="00104E59"/>
    <w:rsid w:val="00104EBC"/>
    <w:rsid w:val="00104F08"/>
    <w:rsid w:val="00104FBE"/>
    <w:rsid w:val="001050AC"/>
    <w:rsid w:val="00105153"/>
    <w:rsid w:val="00105218"/>
    <w:rsid w:val="00105246"/>
    <w:rsid w:val="00105248"/>
    <w:rsid w:val="001052A5"/>
    <w:rsid w:val="001052BB"/>
    <w:rsid w:val="001052F7"/>
    <w:rsid w:val="0010539B"/>
    <w:rsid w:val="001053D2"/>
    <w:rsid w:val="0010545A"/>
    <w:rsid w:val="0010549A"/>
    <w:rsid w:val="00105526"/>
    <w:rsid w:val="0010557D"/>
    <w:rsid w:val="001055A8"/>
    <w:rsid w:val="00105647"/>
    <w:rsid w:val="00105654"/>
    <w:rsid w:val="001056D3"/>
    <w:rsid w:val="0010576E"/>
    <w:rsid w:val="001058DE"/>
    <w:rsid w:val="00105926"/>
    <w:rsid w:val="00105944"/>
    <w:rsid w:val="0010594E"/>
    <w:rsid w:val="00105973"/>
    <w:rsid w:val="00105A50"/>
    <w:rsid w:val="00105A70"/>
    <w:rsid w:val="00105AAB"/>
    <w:rsid w:val="00105AF0"/>
    <w:rsid w:val="00105B51"/>
    <w:rsid w:val="00105BD6"/>
    <w:rsid w:val="00105C55"/>
    <w:rsid w:val="00105CC8"/>
    <w:rsid w:val="00105CE4"/>
    <w:rsid w:val="00105DBD"/>
    <w:rsid w:val="00105DFD"/>
    <w:rsid w:val="00105E59"/>
    <w:rsid w:val="00105F04"/>
    <w:rsid w:val="00105F29"/>
    <w:rsid w:val="00105F40"/>
    <w:rsid w:val="00105F57"/>
    <w:rsid w:val="00105FD6"/>
    <w:rsid w:val="00105FFA"/>
    <w:rsid w:val="00106054"/>
    <w:rsid w:val="001060D8"/>
    <w:rsid w:val="00106163"/>
    <w:rsid w:val="00106167"/>
    <w:rsid w:val="0010618C"/>
    <w:rsid w:val="001061F1"/>
    <w:rsid w:val="00106286"/>
    <w:rsid w:val="00106297"/>
    <w:rsid w:val="0010632F"/>
    <w:rsid w:val="0010634A"/>
    <w:rsid w:val="00106396"/>
    <w:rsid w:val="001063EC"/>
    <w:rsid w:val="0010640C"/>
    <w:rsid w:val="001064B4"/>
    <w:rsid w:val="00106522"/>
    <w:rsid w:val="00106531"/>
    <w:rsid w:val="0010655D"/>
    <w:rsid w:val="0010663E"/>
    <w:rsid w:val="00106870"/>
    <w:rsid w:val="001068DE"/>
    <w:rsid w:val="00106935"/>
    <w:rsid w:val="001069D3"/>
    <w:rsid w:val="00106A7E"/>
    <w:rsid w:val="00106AD1"/>
    <w:rsid w:val="00106B7B"/>
    <w:rsid w:val="00106CD1"/>
    <w:rsid w:val="00106D85"/>
    <w:rsid w:val="00106E56"/>
    <w:rsid w:val="00106E86"/>
    <w:rsid w:val="00106F36"/>
    <w:rsid w:val="00106F56"/>
    <w:rsid w:val="00106F99"/>
    <w:rsid w:val="00107080"/>
    <w:rsid w:val="001070E3"/>
    <w:rsid w:val="00107222"/>
    <w:rsid w:val="0010723F"/>
    <w:rsid w:val="001072CA"/>
    <w:rsid w:val="00107344"/>
    <w:rsid w:val="001073B7"/>
    <w:rsid w:val="00107402"/>
    <w:rsid w:val="001074E8"/>
    <w:rsid w:val="0010751D"/>
    <w:rsid w:val="001075AB"/>
    <w:rsid w:val="001075AE"/>
    <w:rsid w:val="001075B4"/>
    <w:rsid w:val="001075DB"/>
    <w:rsid w:val="0010766C"/>
    <w:rsid w:val="001076CC"/>
    <w:rsid w:val="001076EC"/>
    <w:rsid w:val="00107780"/>
    <w:rsid w:val="001077C9"/>
    <w:rsid w:val="001077D9"/>
    <w:rsid w:val="001077E2"/>
    <w:rsid w:val="00107922"/>
    <w:rsid w:val="00107923"/>
    <w:rsid w:val="00107947"/>
    <w:rsid w:val="001079A8"/>
    <w:rsid w:val="001079DC"/>
    <w:rsid w:val="00107B25"/>
    <w:rsid w:val="00107B36"/>
    <w:rsid w:val="00107B46"/>
    <w:rsid w:val="00107B66"/>
    <w:rsid w:val="00107C8E"/>
    <w:rsid w:val="00107CB9"/>
    <w:rsid w:val="00107CF1"/>
    <w:rsid w:val="00107D21"/>
    <w:rsid w:val="00107D6A"/>
    <w:rsid w:val="00107E1E"/>
    <w:rsid w:val="00107FBB"/>
    <w:rsid w:val="00107FFC"/>
    <w:rsid w:val="001100AC"/>
    <w:rsid w:val="001100FC"/>
    <w:rsid w:val="00110122"/>
    <w:rsid w:val="0011014C"/>
    <w:rsid w:val="0011016F"/>
    <w:rsid w:val="001101BC"/>
    <w:rsid w:val="00110364"/>
    <w:rsid w:val="00110395"/>
    <w:rsid w:val="0011039E"/>
    <w:rsid w:val="001103B6"/>
    <w:rsid w:val="001103BA"/>
    <w:rsid w:val="00110433"/>
    <w:rsid w:val="00110444"/>
    <w:rsid w:val="0011060A"/>
    <w:rsid w:val="0011065F"/>
    <w:rsid w:val="001106A5"/>
    <w:rsid w:val="001106AA"/>
    <w:rsid w:val="001106BE"/>
    <w:rsid w:val="001106D9"/>
    <w:rsid w:val="0011070E"/>
    <w:rsid w:val="00110714"/>
    <w:rsid w:val="001107A2"/>
    <w:rsid w:val="001108FB"/>
    <w:rsid w:val="00110A3A"/>
    <w:rsid w:val="00110B19"/>
    <w:rsid w:val="00110BDD"/>
    <w:rsid w:val="00110C0F"/>
    <w:rsid w:val="00110CF0"/>
    <w:rsid w:val="00110DD5"/>
    <w:rsid w:val="00110DDB"/>
    <w:rsid w:val="00110DDC"/>
    <w:rsid w:val="00110DFE"/>
    <w:rsid w:val="00110DFF"/>
    <w:rsid w:val="00110E2E"/>
    <w:rsid w:val="00110FC7"/>
    <w:rsid w:val="00111055"/>
    <w:rsid w:val="0011108C"/>
    <w:rsid w:val="001110A6"/>
    <w:rsid w:val="00111116"/>
    <w:rsid w:val="0011116F"/>
    <w:rsid w:val="0011122C"/>
    <w:rsid w:val="0011129B"/>
    <w:rsid w:val="0011135F"/>
    <w:rsid w:val="001113C0"/>
    <w:rsid w:val="0011141B"/>
    <w:rsid w:val="001114EC"/>
    <w:rsid w:val="001114EF"/>
    <w:rsid w:val="00111503"/>
    <w:rsid w:val="00111524"/>
    <w:rsid w:val="00111572"/>
    <w:rsid w:val="0011158A"/>
    <w:rsid w:val="0011166C"/>
    <w:rsid w:val="00111672"/>
    <w:rsid w:val="00111699"/>
    <w:rsid w:val="001116A9"/>
    <w:rsid w:val="001116B0"/>
    <w:rsid w:val="001116C4"/>
    <w:rsid w:val="0011178B"/>
    <w:rsid w:val="001117B2"/>
    <w:rsid w:val="001117BD"/>
    <w:rsid w:val="001117C5"/>
    <w:rsid w:val="001117C6"/>
    <w:rsid w:val="00111999"/>
    <w:rsid w:val="00111A5E"/>
    <w:rsid w:val="00111AAC"/>
    <w:rsid w:val="00111BB8"/>
    <w:rsid w:val="00111BC6"/>
    <w:rsid w:val="00111CD6"/>
    <w:rsid w:val="00111D31"/>
    <w:rsid w:val="00111D33"/>
    <w:rsid w:val="00111D98"/>
    <w:rsid w:val="00111DB3"/>
    <w:rsid w:val="00111E4C"/>
    <w:rsid w:val="00111E5C"/>
    <w:rsid w:val="00111EAB"/>
    <w:rsid w:val="00111F7D"/>
    <w:rsid w:val="00111F7E"/>
    <w:rsid w:val="00111FE6"/>
    <w:rsid w:val="001120B4"/>
    <w:rsid w:val="001120CF"/>
    <w:rsid w:val="001120D6"/>
    <w:rsid w:val="00112102"/>
    <w:rsid w:val="0011210A"/>
    <w:rsid w:val="00112215"/>
    <w:rsid w:val="001122D1"/>
    <w:rsid w:val="001122E6"/>
    <w:rsid w:val="001122F2"/>
    <w:rsid w:val="0011237B"/>
    <w:rsid w:val="00112384"/>
    <w:rsid w:val="0011239B"/>
    <w:rsid w:val="001123A6"/>
    <w:rsid w:val="001124D2"/>
    <w:rsid w:val="001124E7"/>
    <w:rsid w:val="001125FE"/>
    <w:rsid w:val="00112708"/>
    <w:rsid w:val="0011274F"/>
    <w:rsid w:val="001127D5"/>
    <w:rsid w:val="001129E3"/>
    <w:rsid w:val="00112A01"/>
    <w:rsid w:val="00112AE6"/>
    <w:rsid w:val="00112D6D"/>
    <w:rsid w:val="00112DBB"/>
    <w:rsid w:val="00112E9F"/>
    <w:rsid w:val="00112F46"/>
    <w:rsid w:val="00112F51"/>
    <w:rsid w:val="00112F6A"/>
    <w:rsid w:val="00112FFE"/>
    <w:rsid w:val="00113119"/>
    <w:rsid w:val="00113141"/>
    <w:rsid w:val="001131AF"/>
    <w:rsid w:val="001132A6"/>
    <w:rsid w:val="00113350"/>
    <w:rsid w:val="001133B0"/>
    <w:rsid w:val="001133D1"/>
    <w:rsid w:val="0011343B"/>
    <w:rsid w:val="001134BD"/>
    <w:rsid w:val="001134C2"/>
    <w:rsid w:val="001134DD"/>
    <w:rsid w:val="00113570"/>
    <w:rsid w:val="001135A1"/>
    <w:rsid w:val="001135A2"/>
    <w:rsid w:val="001135AB"/>
    <w:rsid w:val="00113629"/>
    <w:rsid w:val="0011363B"/>
    <w:rsid w:val="0011369D"/>
    <w:rsid w:val="0011369F"/>
    <w:rsid w:val="001136C6"/>
    <w:rsid w:val="001136D8"/>
    <w:rsid w:val="00113753"/>
    <w:rsid w:val="00113759"/>
    <w:rsid w:val="00113768"/>
    <w:rsid w:val="00113790"/>
    <w:rsid w:val="0011379C"/>
    <w:rsid w:val="001137E6"/>
    <w:rsid w:val="001137F2"/>
    <w:rsid w:val="001137F3"/>
    <w:rsid w:val="00113876"/>
    <w:rsid w:val="00113879"/>
    <w:rsid w:val="00113881"/>
    <w:rsid w:val="00113955"/>
    <w:rsid w:val="00113999"/>
    <w:rsid w:val="001139A7"/>
    <w:rsid w:val="00113A4E"/>
    <w:rsid w:val="00113A92"/>
    <w:rsid w:val="00113ADF"/>
    <w:rsid w:val="00113B27"/>
    <w:rsid w:val="00113B45"/>
    <w:rsid w:val="00113B59"/>
    <w:rsid w:val="00113B7D"/>
    <w:rsid w:val="00113BA5"/>
    <w:rsid w:val="00113C05"/>
    <w:rsid w:val="00113CBB"/>
    <w:rsid w:val="00113CBF"/>
    <w:rsid w:val="00113D53"/>
    <w:rsid w:val="00113D6E"/>
    <w:rsid w:val="00113D76"/>
    <w:rsid w:val="00113DA8"/>
    <w:rsid w:val="00113DCA"/>
    <w:rsid w:val="00113DDD"/>
    <w:rsid w:val="00113E53"/>
    <w:rsid w:val="00113F95"/>
    <w:rsid w:val="00113FED"/>
    <w:rsid w:val="00114008"/>
    <w:rsid w:val="0011402C"/>
    <w:rsid w:val="00114083"/>
    <w:rsid w:val="00114094"/>
    <w:rsid w:val="00114136"/>
    <w:rsid w:val="00114165"/>
    <w:rsid w:val="001141BA"/>
    <w:rsid w:val="00114259"/>
    <w:rsid w:val="00114280"/>
    <w:rsid w:val="001142BE"/>
    <w:rsid w:val="0011430E"/>
    <w:rsid w:val="001143E6"/>
    <w:rsid w:val="00114452"/>
    <w:rsid w:val="001144D1"/>
    <w:rsid w:val="001144E0"/>
    <w:rsid w:val="00114500"/>
    <w:rsid w:val="0011459A"/>
    <w:rsid w:val="00114644"/>
    <w:rsid w:val="0011466B"/>
    <w:rsid w:val="00114697"/>
    <w:rsid w:val="001146BD"/>
    <w:rsid w:val="001147B8"/>
    <w:rsid w:val="001147DE"/>
    <w:rsid w:val="001148C3"/>
    <w:rsid w:val="0011495B"/>
    <w:rsid w:val="00114AB0"/>
    <w:rsid w:val="00114B9D"/>
    <w:rsid w:val="00114D6F"/>
    <w:rsid w:val="00114DAD"/>
    <w:rsid w:val="00114DC1"/>
    <w:rsid w:val="00114E4D"/>
    <w:rsid w:val="00114ED8"/>
    <w:rsid w:val="00114F65"/>
    <w:rsid w:val="00114F7E"/>
    <w:rsid w:val="00114F89"/>
    <w:rsid w:val="00115080"/>
    <w:rsid w:val="0011517C"/>
    <w:rsid w:val="001151B0"/>
    <w:rsid w:val="00115219"/>
    <w:rsid w:val="00115234"/>
    <w:rsid w:val="001152C7"/>
    <w:rsid w:val="001152F6"/>
    <w:rsid w:val="001153E0"/>
    <w:rsid w:val="001154B4"/>
    <w:rsid w:val="001154E8"/>
    <w:rsid w:val="0011551C"/>
    <w:rsid w:val="00115558"/>
    <w:rsid w:val="00115575"/>
    <w:rsid w:val="001155E9"/>
    <w:rsid w:val="00115626"/>
    <w:rsid w:val="00115676"/>
    <w:rsid w:val="001156E8"/>
    <w:rsid w:val="0011586D"/>
    <w:rsid w:val="00115884"/>
    <w:rsid w:val="00115897"/>
    <w:rsid w:val="001158C1"/>
    <w:rsid w:val="0011597E"/>
    <w:rsid w:val="001159C6"/>
    <w:rsid w:val="001159DD"/>
    <w:rsid w:val="00115A4C"/>
    <w:rsid w:val="00115AB6"/>
    <w:rsid w:val="00115BCE"/>
    <w:rsid w:val="00115BF1"/>
    <w:rsid w:val="00115C37"/>
    <w:rsid w:val="00115C92"/>
    <w:rsid w:val="00115C95"/>
    <w:rsid w:val="00115D41"/>
    <w:rsid w:val="00115D94"/>
    <w:rsid w:val="00115DB0"/>
    <w:rsid w:val="00115E27"/>
    <w:rsid w:val="00115E31"/>
    <w:rsid w:val="00115E45"/>
    <w:rsid w:val="00115E96"/>
    <w:rsid w:val="00115F43"/>
    <w:rsid w:val="00115F98"/>
    <w:rsid w:val="00116097"/>
    <w:rsid w:val="001160D3"/>
    <w:rsid w:val="00116118"/>
    <w:rsid w:val="001161A7"/>
    <w:rsid w:val="001161DC"/>
    <w:rsid w:val="00116201"/>
    <w:rsid w:val="0011622F"/>
    <w:rsid w:val="001162AD"/>
    <w:rsid w:val="0011636F"/>
    <w:rsid w:val="00116466"/>
    <w:rsid w:val="00116573"/>
    <w:rsid w:val="00116624"/>
    <w:rsid w:val="001166D5"/>
    <w:rsid w:val="001166FA"/>
    <w:rsid w:val="0011673F"/>
    <w:rsid w:val="00116767"/>
    <w:rsid w:val="001167D6"/>
    <w:rsid w:val="0011682D"/>
    <w:rsid w:val="00116872"/>
    <w:rsid w:val="00116936"/>
    <w:rsid w:val="001169BB"/>
    <w:rsid w:val="00116A0F"/>
    <w:rsid w:val="00116A32"/>
    <w:rsid w:val="00116C42"/>
    <w:rsid w:val="00116D0D"/>
    <w:rsid w:val="00116E3B"/>
    <w:rsid w:val="00116EAE"/>
    <w:rsid w:val="00116FAD"/>
    <w:rsid w:val="001170B8"/>
    <w:rsid w:val="001170E6"/>
    <w:rsid w:val="0011710E"/>
    <w:rsid w:val="0011713E"/>
    <w:rsid w:val="001172FD"/>
    <w:rsid w:val="0011735A"/>
    <w:rsid w:val="0011740C"/>
    <w:rsid w:val="00117452"/>
    <w:rsid w:val="0011752B"/>
    <w:rsid w:val="001175C4"/>
    <w:rsid w:val="001176D5"/>
    <w:rsid w:val="001178DE"/>
    <w:rsid w:val="001179EC"/>
    <w:rsid w:val="00117AEE"/>
    <w:rsid w:val="00117B73"/>
    <w:rsid w:val="00117BF6"/>
    <w:rsid w:val="00117C1F"/>
    <w:rsid w:val="00117C54"/>
    <w:rsid w:val="00117C66"/>
    <w:rsid w:val="00117CB1"/>
    <w:rsid w:val="00117CCB"/>
    <w:rsid w:val="00117DB8"/>
    <w:rsid w:val="00117E07"/>
    <w:rsid w:val="00117EA9"/>
    <w:rsid w:val="00117F1E"/>
    <w:rsid w:val="00117F2B"/>
    <w:rsid w:val="0012003A"/>
    <w:rsid w:val="0012008F"/>
    <w:rsid w:val="001200B8"/>
    <w:rsid w:val="0012012B"/>
    <w:rsid w:val="0012020B"/>
    <w:rsid w:val="00120222"/>
    <w:rsid w:val="001202C2"/>
    <w:rsid w:val="001203A3"/>
    <w:rsid w:val="001203A6"/>
    <w:rsid w:val="001203E4"/>
    <w:rsid w:val="00120427"/>
    <w:rsid w:val="001204D2"/>
    <w:rsid w:val="00120547"/>
    <w:rsid w:val="001205F2"/>
    <w:rsid w:val="001206A1"/>
    <w:rsid w:val="001206E6"/>
    <w:rsid w:val="0012071A"/>
    <w:rsid w:val="00120803"/>
    <w:rsid w:val="00120814"/>
    <w:rsid w:val="0012087C"/>
    <w:rsid w:val="001208EB"/>
    <w:rsid w:val="00120942"/>
    <w:rsid w:val="0012094F"/>
    <w:rsid w:val="001209C8"/>
    <w:rsid w:val="00120B16"/>
    <w:rsid w:val="00120B97"/>
    <w:rsid w:val="00120BF5"/>
    <w:rsid w:val="00120C07"/>
    <w:rsid w:val="00120C59"/>
    <w:rsid w:val="00120C7D"/>
    <w:rsid w:val="00120C81"/>
    <w:rsid w:val="00120CF6"/>
    <w:rsid w:val="00120D1D"/>
    <w:rsid w:val="00120DDA"/>
    <w:rsid w:val="00120DFF"/>
    <w:rsid w:val="00120E3A"/>
    <w:rsid w:val="00120ECB"/>
    <w:rsid w:val="00120F37"/>
    <w:rsid w:val="00120F3B"/>
    <w:rsid w:val="00120FEE"/>
    <w:rsid w:val="0012100B"/>
    <w:rsid w:val="00121054"/>
    <w:rsid w:val="00121097"/>
    <w:rsid w:val="0012123F"/>
    <w:rsid w:val="0012124F"/>
    <w:rsid w:val="00121332"/>
    <w:rsid w:val="001213CA"/>
    <w:rsid w:val="001213CF"/>
    <w:rsid w:val="0012141F"/>
    <w:rsid w:val="0012148B"/>
    <w:rsid w:val="0012154C"/>
    <w:rsid w:val="001215BD"/>
    <w:rsid w:val="001215D0"/>
    <w:rsid w:val="001215D6"/>
    <w:rsid w:val="001215F0"/>
    <w:rsid w:val="00121612"/>
    <w:rsid w:val="001216DD"/>
    <w:rsid w:val="00121741"/>
    <w:rsid w:val="001217C6"/>
    <w:rsid w:val="001217CE"/>
    <w:rsid w:val="001217D3"/>
    <w:rsid w:val="00121806"/>
    <w:rsid w:val="0012188F"/>
    <w:rsid w:val="001218A9"/>
    <w:rsid w:val="00121A18"/>
    <w:rsid w:val="00121A1B"/>
    <w:rsid w:val="00121AA4"/>
    <w:rsid w:val="00121B14"/>
    <w:rsid w:val="00121C32"/>
    <w:rsid w:val="00121D27"/>
    <w:rsid w:val="00121D87"/>
    <w:rsid w:val="00121DE3"/>
    <w:rsid w:val="00121E2F"/>
    <w:rsid w:val="00121E47"/>
    <w:rsid w:val="00121E70"/>
    <w:rsid w:val="00121EB0"/>
    <w:rsid w:val="00121F74"/>
    <w:rsid w:val="00121F8D"/>
    <w:rsid w:val="0012201E"/>
    <w:rsid w:val="001220A8"/>
    <w:rsid w:val="001221FA"/>
    <w:rsid w:val="0012221A"/>
    <w:rsid w:val="0012222E"/>
    <w:rsid w:val="0012232E"/>
    <w:rsid w:val="0012235A"/>
    <w:rsid w:val="0012238D"/>
    <w:rsid w:val="0012245D"/>
    <w:rsid w:val="00122461"/>
    <w:rsid w:val="001224C8"/>
    <w:rsid w:val="001224D9"/>
    <w:rsid w:val="001224FD"/>
    <w:rsid w:val="0012261E"/>
    <w:rsid w:val="00122628"/>
    <w:rsid w:val="0012263D"/>
    <w:rsid w:val="00122660"/>
    <w:rsid w:val="001226C5"/>
    <w:rsid w:val="001226F6"/>
    <w:rsid w:val="0012273D"/>
    <w:rsid w:val="00122746"/>
    <w:rsid w:val="00122924"/>
    <w:rsid w:val="00122971"/>
    <w:rsid w:val="00122A8A"/>
    <w:rsid w:val="00122A9F"/>
    <w:rsid w:val="00122C7E"/>
    <w:rsid w:val="00122CAE"/>
    <w:rsid w:val="00122CD7"/>
    <w:rsid w:val="00122DB2"/>
    <w:rsid w:val="00122F43"/>
    <w:rsid w:val="00122FAF"/>
    <w:rsid w:val="00122FD0"/>
    <w:rsid w:val="00122FE3"/>
    <w:rsid w:val="001230DE"/>
    <w:rsid w:val="001231B2"/>
    <w:rsid w:val="001231CF"/>
    <w:rsid w:val="0012326D"/>
    <w:rsid w:val="0012327A"/>
    <w:rsid w:val="0012336C"/>
    <w:rsid w:val="00123410"/>
    <w:rsid w:val="00123589"/>
    <w:rsid w:val="0012361C"/>
    <w:rsid w:val="00123636"/>
    <w:rsid w:val="0012367A"/>
    <w:rsid w:val="00123810"/>
    <w:rsid w:val="00123814"/>
    <w:rsid w:val="0012382A"/>
    <w:rsid w:val="00123883"/>
    <w:rsid w:val="0012388D"/>
    <w:rsid w:val="001238A1"/>
    <w:rsid w:val="001238D4"/>
    <w:rsid w:val="00123905"/>
    <w:rsid w:val="0012390B"/>
    <w:rsid w:val="0012393B"/>
    <w:rsid w:val="00123A50"/>
    <w:rsid w:val="00123AA2"/>
    <w:rsid w:val="00123AE2"/>
    <w:rsid w:val="00123AFD"/>
    <w:rsid w:val="00123B6C"/>
    <w:rsid w:val="00123C1C"/>
    <w:rsid w:val="00123D04"/>
    <w:rsid w:val="00123E68"/>
    <w:rsid w:val="00123F3D"/>
    <w:rsid w:val="00123F44"/>
    <w:rsid w:val="00123FDA"/>
    <w:rsid w:val="0012403F"/>
    <w:rsid w:val="001240B0"/>
    <w:rsid w:val="00124113"/>
    <w:rsid w:val="0012416C"/>
    <w:rsid w:val="00124185"/>
    <w:rsid w:val="0012425B"/>
    <w:rsid w:val="00124300"/>
    <w:rsid w:val="0012433B"/>
    <w:rsid w:val="001243A1"/>
    <w:rsid w:val="001243A8"/>
    <w:rsid w:val="00124451"/>
    <w:rsid w:val="00124453"/>
    <w:rsid w:val="00124555"/>
    <w:rsid w:val="00124582"/>
    <w:rsid w:val="001245AD"/>
    <w:rsid w:val="0012463F"/>
    <w:rsid w:val="001246A9"/>
    <w:rsid w:val="001246FC"/>
    <w:rsid w:val="0012471B"/>
    <w:rsid w:val="00124814"/>
    <w:rsid w:val="001248F7"/>
    <w:rsid w:val="0012492A"/>
    <w:rsid w:val="0012494D"/>
    <w:rsid w:val="00124990"/>
    <w:rsid w:val="001249A1"/>
    <w:rsid w:val="00124B1E"/>
    <w:rsid w:val="00124B7C"/>
    <w:rsid w:val="00124B7E"/>
    <w:rsid w:val="00124B87"/>
    <w:rsid w:val="00124BB7"/>
    <w:rsid w:val="00124BE4"/>
    <w:rsid w:val="00124BF4"/>
    <w:rsid w:val="00124C36"/>
    <w:rsid w:val="00124DA6"/>
    <w:rsid w:val="00124EA7"/>
    <w:rsid w:val="00124EC1"/>
    <w:rsid w:val="00125088"/>
    <w:rsid w:val="0012516F"/>
    <w:rsid w:val="001254E8"/>
    <w:rsid w:val="001254F8"/>
    <w:rsid w:val="00125579"/>
    <w:rsid w:val="001256E4"/>
    <w:rsid w:val="001257AE"/>
    <w:rsid w:val="00125A19"/>
    <w:rsid w:val="00125A43"/>
    <w:rsid w:val="00125A8A"/>
    <w:rsid w:val="00125A91"/>
    <w:rsid w:val="00125AE6"/>
    <w:rsid w:val="00125B1E"/>
    <w:rsid w:val="00125B39"/>
    <w:rsid w:val="00125BB3"/>
    <w:rsid w:val="00125BB7"/>
    <w:rsid w:val="00125C1A"/>
    <w:rsid w:val="00125C50"/>
    <w:rsid w:val="00125C76"/>
    <w:rsid w:val="00125C9E"/>
    <w:rsid w:val="00125CDA"/>
    <w:rsid w:val="00125D7A"/>
    <w:rsid w:val="00125F2F"/>
    <w:rsid w:val="00126025"/>
    <w:rsid w:val="0012607A"/>
    <w:rsid w:val="00126186"/>
    <w:rsid w:val="0012619C"/>
    <w:rsid w:val="001261AD"/>
    <w:rsid w:val="00126203"/>
    <w:rsid w:val="00126268"/>
    <w:rsid w:val="00126280"/>
    <w:rsid w:val="0012640A"/>
    <w:rsid w:val="00126461"/>
    <w:rsid w:val="001265D9"/>
    <w:rsid w:val="00126646"/>
    <w:rsid w:val="00126651"/>
    <w:rsid w:val="0012672B"/>
    <w:rsid w:val="00126766"/>
    <w:rsid w:val="00126774"/>
    <w:rsid w:val="001267A5"/>
    <w:rsid w:val="001267D3"/>
    <w:rsid w:val="0012686E"/>
    <w:rsid w:val="001268C9"/>
    <w:rsid w:val="00126926"/>
    <w:rsid w:val="001269C0"/>
    <w:rsid w:val="001269EB"/>
    <w:rsid w:val="00126A41"/>
    <w:rsid w:val="00126B72"/>
    <w:rsid w:val="00126B98"/>
    <w:rsid w:val="00126C45"/>
    <w:rsid w:val="00126C4F"/>
    <w:rsid w:val="00126D0C"/>
    <w:rsid w:val="00126D19"/>
    <w:rsid w:val="00126D21"/>
    <w:rsid w:val="00126D66"/>
    <w:rsid w:val="00126D67"/>
    <w:rsid w:val="00126E48"/>
    <w:rsid w:val="00126F20"/>
    <w:rsid w:val="00126F40"/>
    <w:rsid w:val="00126F4B"/>
    <w:rsid w:val="001270CF"/>
    <w:rsid w:val="0012712A"/>
    <w:rsid w:val="00127198"/>
    <w:rsid w:val="001271A0"/>
    <w:rsid w:val="001271F1"/>
    <w:rsid w:val="00127206"/>
    <w:rsid w:val="0012724E"/>
    <w:rsid w:val="001272DB"/>
    <w:rsid w:val="00127355"/>
    <w:rsid w:val="001273EF"/>
    <w:rsid w:val="001274DC"/>
    <w:rsid w:val="0012751D"/>
    <w:rsid w:val="00127596"/>
    <w:rsid w:val="001275E6"/>
    <w:rsid w:val="0012763B"/>
    <w:rsid w:val="0012765F"/>
    <w:rsid w:val="00127668"/>
    <w:rsid w:val="0012779B"/>
    <w:rsid w:val="001277B2"/>
    <w:rsid w:val="001277ED"/>
    <w:rsid w:val="001277FB"/>
    <w:rsid w:val="00127947"/>
    <w:rsid w:val="00127957"/>
    <w:rsid w:val="001279B1"/>
    <w:rsid w:val="00127A49"/>
    <w:rsid w:val="00127A9A"/>
    <w:rsid w:val="00127AAB"/>
    <w:rsid w:val="00127ADB"/>
    <w:rsid w:val="00127B00"/>
    <w:rsid w:val="00127D84"/>
    <w:rsid w:val="00127E07"/>
    <w:rsid w:val="00127E2B"/>
    <w:rsid w:val="00127FB9"/>
    <w:rsid w:val="00127FFE"/>
    <w:rsid w:val="00130073"/>
    <w:rsid w:val="001300C1"/>
    <w:rsid w:val="00130100"/>
    <w:rsid w:val="00130101"/>
    <w:rsid w:val="0013016B"/>
    <w:rsid w:val="001301A8"/>
    <w:rsid w:val="00130213"/>
    <w:rsid w:val="00130267"/>
    <w:rsid w:val="001302D9"/>
    <w:rsid w:val="001303AF"/>
    <w:rsid w:val="001303B9"/>
    <w:rsid w:val="0013045E"/>
    <w:rsid w:val="00130473"/>
    <w:rsid w:val="0013047B"/>
    <w:rsid w:val="001304B9"/>
    <w:rsid w:val="001304CD"/>
    <w:rsid w:val="001304CF"/>
    <w:rsid w:val="00130502"/>
    <w:rsid w:val="0013055B"/>
    <w:rsid w:val="001305FE"/>
    <w:rsid w:val="00130640"/>
    <w:rsid w:val="00130652"/>
    <w:rsid w:val="0013069A"/>
    <w:rsid w:val="001306A5"/>
    <w:rsid w:val="001306BB"/>
    <w:rsid w:val="001307BE"/>
    <w:rsid w:val="001307DF"/>
    <w:rsid w:val="001308BE"/>
    <w:rsid w:val="00130920"/>
    <w:rsid w:val="001309B0"/>
    <w:rsid w:val="001309B1"/>
    <w:rsid w:val="001309B2"/>
    <w:rsid w:val="00130A22"/>
    <w:rsid w:val="00130B9F"/>
    <w:rsid w:val="00130C66"/>
    <w:rsid w:val="00130C6A"/>
    <w:rsid w:val="00130CDF"/>
    <w:rsid w:val="00130D60"/>
    <w:rsid w:val="00130DAA"/>
    <w:rsid w:val="00130DAB"/>
    <w:rsid w:val="00130DC3"/>
    <w:rsid w:val="00130E0E"/>
    <w:rsid w:val="00130E39"/>
    <w:rsid w:val="00130E96"/>
    <w:rsid w:val="00130EA5"/>
    <w:rsid w:val="00130EB0"/>
    <w:rsid w:val="00130F0F"/>
    <w:rsid w:val="00130F5A"/>
    <w:rsid w:val="00130F8A"/>
    <w:rsid w:val="00130FA6"/>
    <w:rsid w:val="0013117C"/>
    <w:rsid w:val="0013124B"/>
    <w:rsid w:val="00131439"/>
    <w:rsid w:val="00131533"/>
    <w:rsid w:val="0013154D"/>
    <w:rsid w:val="001315D2"/>
    <w:rsid w:val="001315F0"/>
    <w:rsid w:val="0013166D"/>
    <w:rsid w:val="0013167A"/>
    <w:rsid w:val="001316B6"/>
    <w:rsid w:val="00131753"/>
    <w:rsid w:val="00131796"/>
    <w:rsid w:val="001317C3"/>
    <w:rsid w:val="0013189A"/>
    <w:rsid w:val="00131934"/>
    <w:rsid w:val="00131A4D"/>
    <w:rsid w:val="00131A5E"/>
    <w:rsid w:val="00131AA7"/>
    <w:rsid w:val="00131AAD"/>
    <w:rsid w:val="00131B27"/>
    <w:rsid w:val="00131B66"/>
    <w:rsid w:val="00131B8A"/>
    <w:rsid w:val="00131B97"/>
    <w:rsid w:val="00131C1C"/>
    <w:rsid w:val="00131C69"/>
    <w:rsid w:val="00131C7E"/>
    <w:rsid w:val="00131CCF"/>
    <w:rsid w:val="00131CD9"/>
    <w:rsid w:val="00131D8D"/>
    <w:rsid w:val="00131DC8"/>
    <w:rsid w:val="00131DFB"/>
    <w:rsid w:val="00131E25"/>
    <w:rsid w:val="00131E33"/>
    <w:rsid w:val="00131EAC"/>
    <w:rsid w:val="0013204D"/>
    <w:rsid w:val="00132083"/>
    <w:rsid w:val="00132140"/>
    <w:rsid w:val="0013215C"/>
    <w:rsid w:val="001321F0"/>
    <w:rsid w:val="0013220B"/>
    <w:rsid w:val="00132348"/>
    <w:rsid w:val="0013238B"/>
    <w:rsid w:val="00132456"/>
    <w:rsid w:val="00132467"/>
    <w:rsid w:val="001324CD"/>
    <w:rsid w:val="00132565"/>
    <w:rsid w:val="001325F4"/>
    <w:rsid w:val="00132709"/>
    <w:rsid w:val="00132829"/>
    <w:rsid w:val="0013282B"/>
    <w:rsid w:val="001328AB"/>
    <w:rsid w:val="0013294C"/>
    <w:rsid w:val="00132A94"/>
    <w:rsid w:val="00132AA8"/>
    <w:rsid w:val="00132AFE"/>
    <w:rsid w:val="00132AFF"/>
    <w:rsid w:val="00132BFD"/>
    <w:rsid w:val="00132C06"/>
    <w:rsid w:val="00132D47"/>
    <w:rsid w:val="00132DC9"/>
    <w:rsid w:val="00132E67"/>
    <w:rsid w:val="00132EF5"/>
    <w:rsid w:val="00132F13"/>
    <w:rsid w:val="00132F4A"/>
    <w:rsid w:val="00132F6A"/>
    <w:rsid w:val="00132F9E"/>
    <w:rsid w:val="001330DA"/>
    <w:rsid w:val="001330E8"/>
    <w:rsid w:val="0013310E"/>
    <w:rsid w:val="0013317D"/>
    <w:rsid w:val="001331D1"/>
    <w:rsid w:val="001331ED"/>
    <w:rsid w:val="00133202"/>
    <w:rsid w:val="00133280"/>
    <w:rsid w:val="00133297"/>
    <w:rsid w:val="001332B4"/>
    <w:rsid w:val="00133323"/>
    <w:rsid w:val="0013335C"/>
    <w:rsid w:val="001333B1"/>
    <w:rsid w:val="001333BD"/>
    <w:rsid w:val="001333D7"/>
    <w:rsid w:val="001333DC"/>
    <w:rsid w:val="0013344D"/>
    <w:rsid w:val="00133453"/>
    <w:rsid w:val="0013348B"/>
    <w:rsid w:val="001334A1"/>
    <w:rsid w:val="0013355A"/>
    <w:rsid w:val="00133627"/>
    <w:rsid w:val="001336FC"/>
    <w:rsid w:val="00133771"/>
    <w:rsid w:val="00133774"/>
    <w:rsid w:val="001337EB"/>
    <w:rsid w:val="00133888"/>
    <w:rsid w:val="00133974"/>
    <w:rsid w:val="001339BC"/>
    <w:rsid w:val="00133A9B"/>
    <w:rsid w:val="00133A9D"/>
    <w:rsid w:val="00133B1B"/>
    <w:rsid w:val="00133B62"/>
    <w:rsid w:val="00133B85"/>
    <w:rsid w:val="00133B8B"/>
    <w:rsid w:val="00133C17"/>
    <w:rsid w:val="00133C93"/>
    <w:rsid w:val="00133E27"/>
    <w:rsid w:val="00133E28"/>
    <w:rsid w:val="00133EBD"/>
    <w:rsid w:val="00133EDE"/>
    <w:rsid w:val="00133EE7"/>
    <w:rsid w:val="00133F2D"/>
    <w:rsid w:val="00133FF3"/>
    <w:rsid w:val="0013405C"/>
    <w:rsid w:val="0013407B"/>
    <w:rsid w:val="0013413E"/>
    <w:rsid w:val="001341C0"/>
    <w:rsid w:val="001341D2"/>
    <w:rsid w:val="00134222"/>
    <w:rsid w:val="00134339"/>
    <w:rsid w:val="00134376"/>
    <w:rsid w:val="001343E8"/>
    <w:rsid w:val="001343F4"/>
    <w:rsid w:val="00134403"/>
    <w:rsid w:val="0013445A"/>
    <w:rsid w:val="0013450D"/>
    <w:rsid w:val="0013454E"/>
    <w:rsid w:val="00134595"/>
    <w:rsid w:val="001345A0"/>
    <w:rsid w:val="001345CA"/>
    <w:rsid w:val="001345E1"/>
    <w:rsid w:val="001346A6"/>
    <w:rsid w:val="001346BF"/>
    <w:rsid w:val="0013473D"/>
    <w:rsid w:val="001347FA"/>
    <w:rsid w:val="0013488B"/>
    <w:rsid w:val="001349E7"/>
    <w:rsid w:val="00134AD1"/>
    <w:rsid w:val="00134BD1"/>
    <w:rsid w:val="00134C2D"/>
    <w:rsid w:val="00134C40"/>
    <w:rsid w:val="00134CDB"/>
    <w:rsid w:val="00134CDF"/>
    <w:rsid w:val="00134E49"/>
    <w:rsid w:val="00134E4C"/>
    <w:rsid w:val="00134EEA"/>
    <w:rsid w:val="00134EF2"/>
    <w:rsid w:val="00134F87"/>
    <w:rsid w:val="00134F93"/>
    <w:rsid w:val="00134FC4"/>
    <w:rsid w:val="00135072"/>
    <w:rsid w:val="00135155"/>
    <w:rsid w:val="00135165"/>
    <w:rsid w:val="0013518E"/>
    <w:rsid w:val="001351FC"/>
    <w:rsid w:val="0013520A"/>
    <w:rsid w:val="0013522B"/>
    <w:rsid w:val="0013526B"/>
    <w:rsid w:val="00135298"/>
    <w:rsid w:val="001352A2"/>
    <w:rsid w:val="001352FD"/>
    <w:rsid w:val="00135341"/>
    <w:rsid w:val="001353BC"/>
    <w:rsid w:val="001354CA"/>
    <w:rsid w:val="00135528"/>
    <w:rsid w:val="001355E4"/>
    <w:rsid w:val="0013568B"/>
    <w:rsid w:val="001356BA"/>
    <w:rsid w:val="001356EB"/>
    <w:rsid w:val="00135776"/>
    <w:rsid w:val="001357B3"/>
    <w:rsid w:val="00135847"/>
    <w:rsid w:val="001358FC"/>
    <w:rsid w:val="00135927"/>
    <w:rsid w:val="00135934"/>
    <w:rsid w:val="001359BA"/>
    <w:rsid w:val="001359F7"/>
    <w:rsid w:val="00135A55"/>
    <w:rsid w:val="00135AD8"/>
    <w:rsid w:val="00135DB8"/>
    <w:rsid w:val="00135EC0"/>
    <w:rsid w:val="00135ECE"/>
    <w:rsid w:val="00135EF8"/>
    <w:rsid w:val="00135F48"/>
    <w:rsid w:val="00135F7B"/>
    <w:rsid w:val="00136018"/>
    <w:rsid w:val="00136029"/>
    <w:rsid w:val="00136169"/>
    <w:rsid w:val="001362E2"/>
    <w:rsid w:val="00136321"/>
    <w:rsid w:val="0013634D"/>
    <w:rsid w:val="001363CB"/>
    <w:rsid w:val="00136515"/>
    <w:rsid w:val="00136562"/>
    <w:rsid w:val="00136568"/>
    <w:rsid w:val="0013656C"/>
    <w:rsid w:val="001365F3"/>
    <w:rsid w:val="00136679"/>
    <w:rsid w:val="0013668C"/>
    <w:rsid w:val="0013678E"/>
    <w:rsid w:val="001367F0"/>
    <w:rsid w:val="00136848"/>
    <w:rsid w:val="00136856"/>
    <w:rsid w:val="0013688D"/>
    <w:rsid w:val="001368ED"/>
    <w:rsid w:val="001368F4"/>
    <w:rsid w:val="00136949"/>
    <w:rsid w:val="0013696A"/>
    <w:rsid w:val="001369ED"/>
    <w:rsid w:val="00136A74"/>
    <w:rsid w:val="00136ADC"/>
    <w:rsid w:val="00136BA3"/>
    <w:rsid w:val="00136C51"/>
    <w:rsid w:val="00136C65"/>
    <w:rsid w:val="00136D22"/>
    <w:rsid w:val="00136DEF"/>
    <w:rsid w:val="00136E03"/>
    <w:rsid w:val="00136EDF"/>
    <w:rsid w:val="00136F3D"/>
    <w:rsid w:val="00136FFB"/>
    <w:rsid w:val="0013700C"/>
    <w:rsid w:val="00137177"/>
    <w:rsid w:val="001371E7"/>
    <w:rsid w:val="001372AD"/>
    <w:rsid w:val="001372EF"/>
    <w:rsid w:val="001373D3"/>
    <w:rsid w:val="001373EB"/>
    <w:rsid w:val="00137438"/>
    <w:rsid w:val="00137458"/>
    <w:rsid w:val="001374D4"/>
    <w:rsid w:val="0013753D"/>
    <w:rsid w:val="00137564"/>
    <w:rsid w:val="00137597"/>
    <w:rsid w:val="00137633"/>
    <w:rsid w:val="0013766F"/>
    <w:rsid w:val="0013767C"/>
    <w:rsid w:val="0013773B"/>
    <w:rsid w:val="0013783B"/>
    <w:rsid w:val="0013783C"/>
    <w:rsid w:val="0013783E"/>
    <w:rsid w:val="00137921"/>
    <w:rsid w:val="001379E1"/>
    <w:rsid w:val="00137A87"/>
    <w:rsid w:val="00137A89"/>
    <w:rsid w:val="00137ADA"/>
    <w:rsid w:val="00137B4F"/>
    <w:rsid w:val="00137BC4"/>
    <w:rsid w:val="00137BEC"/>
    <w:rsid w:val="00137C3F"/>
    <w:rsid w:val="00137E46"/>
    <w:rsid w:val="0014005A"/>
    <w:rsid w:val="0014008C"/>
    <w:rsid w:val="001400AA"/>
    <w:rsid w:val="00140199"/>
    <w:rsid w:val="001401D2"/>
    <w:rsid w:val="00140278"/>
    <w:rsid w:val="00140375"/>
    <w:rsid w:val="0014046A"/>
    <w:rsid w:val="0014049F"/>
    <w:rsid w:val="001404FC"/>
    <w:rsid w:val="001405EF"/>
    <w:rsid w:val="0014068C"/>
    <w:rsid w:val="00140706"/>
    <w:rsid w:val="00140720"/>
    <w:rsid w:val="00140721"/>
    <w:rsid w:val="00140880"/>
    <w:rsid w:val="00140898"/>
    <w:rsid w:val="001408F0"/>
    <w:rsid w:val="001408FF"/>
    <w:rsid w:val="00140926"/>
    <w:rsid w:val="0014098D"/>
    <w:rsid w:val="001409BD"/>
    <w:rsid w:val="001409DF"/>
    <w:rsid w:val="00140A3F"/>
    <w:rsid w:val="00140A55"/>
    <w:rsid w:val="00140A5B"/>
    <w:rsid w:val="00140ABD"/>
    <w:rsid w:val="00140B44"/>
    <w:rsid w:val="00140BB5"/>
    <w:rsid w:val="00140F89"/>
    <w:rsid w:val="00140FB5"/>
    <w:rsid w:val="00141075"/>
    <w:rsid w:val="001410D4"/>
    <w:rsid w:val="00141153"/>
    <w:rsid w:val="00141162"/>
    <w:rsid w:val="00141191"/>
    <w:rsid w:val="0014119F"/>
    <w:rsid w:val="001412B1"/>
    <w:rsid w:val="001412D6"/>
    <w:rsid w:val="00141323"/>
    <w:rsid w:val="0014132A"/>
    <w:rsid w:val="0014133D"/>
    <w:rsid w:val="0014134B"/>
    <w:rsid w:val="001413B3"/>
    <w:rsid w:val="001414E0"/>
    <w:rsid w:val="001414FB"/>
    <w:rsid w:val="00141570"/>
    <w:rsid w:val="001415CF"/>
    <w:rsid w:val="001415D6"/>
    <w:rsid w:val="001415E3"/>
    <w:rsid w:val="00141643"/>
    <w:rsid w:val="001416B3"/>
    <w:rsid w:val="00141718"/>
    <w:rsid w:val="00141855"/>
    <w:rsid w:val="001418D1"/>
    <w:rsid w:val="00141936"/>
    <w:rsid w:val="001419B6"/>
    <w:rsid w:val="001419CD"/>
    <w:rsid w:val="00141A52"/>
    <w:rsid w:val="00141AD9"/>
    <w:rsid w:val="00141B37"/>
    <w:rsid w:val="00141B89"/>
    <w:rsid w:val="00141BB0"/>
    <w:rsid w:val="00141BEA"/>
    <w:rsid w:val="00141C5A"/>
    <w:rsid w:val="00141E71"/>
    <w:rsid w:val="00141E72"/>
    <w:rsid w:val="00141E7D"/>
    <w:rsid w:val="00141E9E"/>
    <w:rsid w:val="00141EFD"/>
    <w:rsid w:val="00141F3D"/>
    <w:rsid w:val="00141F46"/>
    <w:rsid w:val="00141FD4"/>
    <w:rsid w:val="00142039"/>
    <w:rsid w:val="0014208B"/>
    <w:rsid w:val="00142123"/>
    <w:rsid w:val="00142166"/>
    <w:rsid w:val="0014217F"/>
    <w:rsid w:val="001421A0"/>
    <w:rsid w:val="00142207"/>
    <w:rsid w:val="0014223B"/>
    <w:rsid w:val="00142388"/>
    <w:rsid w:val="001423DC"/>
    <w:rsid w:val="00142436"/>
    <w:rsid w:val="001424B2"/>
    <w:rsid w:val="00142500"/>
    <w:rsid w:val="00142508"/>
    <w:rsid w:val="00142512"/>
    <w:rsid w:val="001425C2"/>
    <w:rsid w:val="00142606"/>
    <w:rsid w:val="001426C6"/>
    <w:rsid w:val="00142744"/>
    <w:rsid w:val="0014274B"/>
    <w:rsid w:val="001427E9"/>
    <w:rsid w:val="00142848"/>
    <w:rsid w:val="0014289A"/>
    <w:rsid w:val="0014294D"/>
    <w:rsid w:val="001429D6"/>
    <w:rsid w:val="001429F9"/>
    <w:rsid w:val="00142BE9"/>
    <w:rsid w:val="00142BF9"/>
    <w:rsid w:val="00142CC2"/>
    <w:rsid w:val="00142D60"/>
    <w:rsid w:val="00142D70"/>
    <w:rsid w:val="00142F34"/>
    <w:rsid w:val="00142F56"/>
    <w:rsid w:val="00142F7A"/>
    <w:rsid w:val="00143033"/>
    <w:rsid w:val="0014315E"/>
    <w:rsid w:val="001431D9"/>
    <w:rsid w:val="00143312"/>
    <w:rsid w:val="00143368"/>
    <w:rsid w:val="0014341D"/>
    <w:rsid w:val="0014355A"/>
    <w:rsid w:val="0014357B"/>
    <w:rsid w:val="00143596"/>
    <w:rsid w:val="0014366B"/>
    <w:rsid w:val="001436B8"/>
    <w:rsid w:val="001436FD"/>
    <w:rsid w:val="00143749"/>
    <w:rsid w:val="001437BD"/>
    <w:rsid w:val="001437F8"/>
    <w:rsid w:val="00143807"/>
    <w:rsid w:val="00143829"/>
    <w:rsid w:val="0014385B"/>
    <w:rsid w:val="001438EC"/>
    <w:rsid w:val="00143AB1"/>
    <w:rsid w:val="00143AB7"/>
    <w:rsid w:val="00143B71"/>
    <w:rsid w:val="00143BD4"/>
    <w:rsid w:val="00143C62"/>
    <w:rsid w:val="00143D24"/>
    <w:rsid w:val="00143D86"/>
    <w:rsid w:val="00143E02"/>
    <w:rsid w:val="00143EC5"/>
    <w:rsid w:val="00143F28"/>
    <w:rsid w:val="00144013"/>
    <w:rsid w:val="001440D0"/>
    <w:rsid w:val="001440FC"/>
    <w:rsid w:val="0014420A"/>
    <w:rsid w:val="00144248"/>
    <w:rsid w:val="001442FE"/>
    <w:rsid w:val="0014430B"/>
    <w:rsid w:val="00144333"/>
    <w:rsid w:val="00144348"/>
    <w:rsid w:val="00144379"/>
    <w:rsid w:val="0014437A"/>
    <w:rsid w:val="0014437C"/>
    <w:rsid w:val="00144466"/>
    <w:rsid w:val="001444D5"/>
    <w:rsid w:val="0014451B"/>
    <w:rsid w:val="00144565"/>
    <w:rsid w:val="00144576"/>
    <w:rsid w:val="00144594"/>
    <w:rsid w:val="001445F5"/>
    <w:rsid w:val="001446E7"/>
    <w:rsid w:val="00144746"/>
    <w:rsid w:val="00144769"/>
    <w:rsid w:val="001447C0"/>
    <w:rsid w:val="00144832"/>
    <w:rsid w:val="001448D9"/>
    <w:rsid w:val="001448E9"/>
    <w:rsid w:val="00144908"/>
    <w:rsid w:val="001449BA"/>
    <w:rsid w:val="00144AA4"/>
    <w:rsid w:val="00144B04"/>
    <w:rsid w:val="00144C07"/>
    <w:rsid w:val="00144C27"/>
    <w:rsid w:val="00144C42"/>
    <w:rsid w:val="00144E7C"/>
    <w:rsid w:val="00144E7D"/>
    <w:rsid w:val="00144E98"/>
    <w:rsid w:val="00144FB8"/>
    <w:rsid w:val="00144FCD"/>
    <w:rsid w:val="00145094"/>
    <w:rsid w:val="0014510A"/>
    <w:rsid w:val="001451AA"/>
    <w:rsid w:val="001451EF"/>
    <w:rsid w:val="00145201"/>
    <w:rsid w:val="0014526C"/>
    <w:rsid w:val="00145274"/>
    <w:rsid w:val="001452E9"/>
    <w:rsid w:val="00145379"/>
    <w:rsid w:val="001453B8"/>
    <w:rsid w:val="001454CC"/>
    <w:rsid w:val="001455B7"/>
    <w:rsid w:val="001455D8"/>
    <w:rsid w:val="001456A1"/>
    <w:rsid w:val="001456A5"/>
    <w:rsid w:val="001456AE"/>
    <w:rsid w:val="001457BA"/>
    <w:rsid w:val="0014581D"/>
    <w:rsid w:val="0014589C"/>
    <w:rsid w:val="001458C9"/>
    <w:rsid w:val="001458E7"/>
    <w:rsid w:val="00145994"/>
    <w:rsid w:val="001459F1"/>
    <w:rsid w:val="00145A58"/>
    <w:rsid w:val="00145A81"/>
    <w:rsid w:val="00145A8D"/>
    <w:rsid w:val="00145ABA"/>
    <w:rsid w:val="00145AEE"/>
    <w:rsid w:val="00145B65"/>
    <w:rsid w:val="00145BED"/>
    <w:rsid w:val="00145BF1"/>
    <w:rsid w:val="00145BF8"/>
    <w:rsid w:val="00145D86"/>
    <w:rsid w:val="00145DD1"/>
    <w:rsid w:val="00145E4B"/>
    <w:rsid w:val="00145E84"/>
    <w:rsid w:val="00145F08"/>
    <w:rsid w:val="00145F58"/>
    <w:rsid w:val="00145F84"/>
    <w:rsid w:val="00145FC6"/>
    <w:rsid w:val="00146076"/>
    <w:rsid w:val="0014608A"/>
    <w:rsid w:val="001461E1"/>
    <w:rsid w:val="001461FD"/>
    <w:rsid w:val="00146288"/>
    <w:rsid w:val="001462E4"/>
    <w:rsid w:val="001463A6"/>
    <w:rsid w:val="001464AE"/>
    <w:rsid w:val="00146512"/>
    <w:rsid w:val="00146526"/>
    <w:rsid w:val="0014657F"/>
    <w:rsid w:val="00146588"/>
    <w:rsid w:val="0014659A"/>
    <w:rsid w:val="00146662"/>
    <w:rsid w:val="001466AB"/>
    <w:rsid w:val="001466D8"/>
    <w:rsid w:val="001466EA"/>
    <w:rsid w:val="00146731"/>
    <w:rsid w:val="00146753"/>
    <w:rsid w:val="001468D6"/>
    <w:rsid w:val="00146A47"/>
    <w:rsid w:val="00146A58"/>
    <w:rsid w:val="00146B31"/>
    <w:rsid w:val="00146B3A"/>
    <w:rsid w:val="00146B7C"/>
    <w:rsid w:val="00146B92"/>
    <w:rsid w:val="00146BCE"/>
    <w:rsid w:val="00146BD5"/>
    <w:rsid w:val="00146C25"/>
    <w:rsid w:val="00146CD3"/>
    <w:rsid w:val="00146DC6"/>
    <w:rsid w:val="00146E13"/>
    <w:rsid w:val="00146E22"/>
    <w:rsid w:val="00146E36"/>
    <w:rsid w:val="00146E7A"/>
    <w:rsid w:val="00146EEB"/>
    <w:rsid w:val="00146F05"/>
    <w:rsid w:val="0014700E"/>
    <w:rsid w:val="00147013"/>
    <w:rsid w:val="00147033"/>
    <w:rsid w:val="0014719D"/>
    <w:rsid w:val="00147222"/>
    <w:rsid w:val="0014723C"/>
    <w:rsid w:val="00147247"/>
    <w:rsid w:val="0014724C"/>
    <w:rsid w:val="00147250"/>
    <w:rsid w:val="00147317"/>
    <w:rsid w:val="0014739D"/>
    <w:rsid w:val="001473F9"/>
    <w:rsid w:val="0014740E"/>
    <w:rsid w:val="001474C9"/>
    <w:rsid w:val="001475A0"/>
    <w:rsid w:val="001475C1"/>
    <w:rsid w:val="001475D7"/>
    <w:rsid w:val="0014760C"/>
    <w:rsid w:val="00147613"/>
    <w:rsid w:val="0014766D"/>
    <w:rsid w:val="00147702"/>
    <w:rsid w:val="0014774A"/>
    <w:rsid w:val="00147793"/>
    <w:rsid w:val="00147825"/>
    <w:rsid w:val="001478A5"/>
    <w:rsid w:val="0014790C"/>
    <w:rsid w:val="00147925"/>
    <w:rsid w:val="00147951"/>
    <w:rsid w:val="0014798C"/>
    <w:rsid w:val="001479DA"/>
    <w:rsid w:val="00147A2F"/>
    <w:rsid w:val="00147A3D"/>
    <w:rsid w:val="00147A46"/>
    <w:rsid w:val="00147A5F"/>
    <w:rsid w:val="00147A66"/>
    <w:rsid w:val="00147A79"/>
    <w:rsid w:val="00147AA9"/>
    <w:rsid w:val="00147ACB"/>
    <w:rsid w:val="00147AED"/>
    <w:rsid w:val="00147B3D"/>
    <w:rsid w:val="00147B6F"/>
    <w:rsid w:val="00147C42"/>
    <w:rsid w:val="00147CD4"/>
    <w:rsid w:val="00147CD9"/>
    <w:rsid w:val="00147D5B"/>
    <w:rsid w:val="00147DF9"/>
    <w:rsid w:val="00147E06"/>
    <w:rsid w:val="00147E2B"/>
    <w:rsid w:val="00147E4C"/>
    <w:rsid w:val="00147E68"/>
    <w:rsid w:val="00147F0C"/>
    <w:rsid w:val="00147F86"/>
    <w:rsid w:val="00147FC0"/>
    <w:rsid w:val="001500EE"/>
    <w:rsid w:val="00150108"/>
    <w:rsid w:val="0015017C"/>
    <w:rsid w:val="001501D6"/>
    <w:rsid w:val="0015039F"/>
    <w:rsid w:val="001503BB"/>
    <w:rsid w:val="001503E4"/>
    <w:rsid w:val="00150416"/>
    <w:rsid w:val="00150529"/>
    <w:rsid w:val="0015054B"/>
    <w:rsid w:val="001505EA"/>
    <w:rsid w:val="0015070A"/>
    <w:rsid w:val="001507EC"/>
    <w:rsid w:val="0015083B"/>
    <w:rsid w:val="00150863"/>
    <w:rsid w:val="001508E5"/>
    <w:rsid w:val="00150A3A"/>
    <w:rsid w:val="00150BBE"/>
    <w:rsid w:val="00150BF8"/>
    <w:rsid w:val="00150C76"/>
    <w:rsid w:val="00150CAB"/>
    <w:rsid w:val="00150CCC"/>
    <w:rsid w:val="00150CCF"/>
    <w:rsid w:val="00150D81"/>
    <w:rsid w:val="00150E11"/>
    <w:rsid w:val="00150E75"/>
    <w:rsid w:val="00150F2D"/>
    <w:rsid w:val="00151003"/>
    <w:rsid w:val="00151018"/>
    <w:rsid w:val="00151120"/>
    <w:rsid w:val="0015115F"/>
    <w:rsid w:val="001511BC"/>
    <w:rsid w:val="001511E4"/>
    <w:rsid w:val="0015126D"/>
    <w:rsid w:val="0015130D"/>
    <w:rsid w:val="00151334"/>
    <w:rsid w:val="00151359"/>
    <w:rsid w:val="0015135D"/>
    <w:rsid w:val="001514EA"/>
    <w:rsid w:val="001515E3"/>
    <w:rsid w:val="001515EE"/>
    <w:rsid w:val="00151637"/>
    <w:rsid w:val="00151716"/>
    <w:rsid w:val="001517F7"/>
    <w:rsid w:val="00151828"/>
    <w:rsid w:val="00151895"/>
    <w:rsid w:val="001518AF"/>
    <w:rsid w:val="0015193A"/>
    <w:rsid w:val="0015193B"/>
    <w:rsid w:val="001519A4"/>
    <w:rsid w:val="001519CB"/>
    <w:rsid w:val="001519D7"/>
    <w:rsid w:val="00151A2A"/>
    <w:rsid w:val="00151AEB"/>
    <w:rsid w:val="00151B3E"/>
    <w:rsid w:val="00151B9B"/>
    <w:rsid w:val="00151C35"/>
    <w:rsid w:val="00151CA3"/>
    <w:rsid w:val="00151CEE"/>
    <w:rsid w:val="00151D5F"/>
    <w:rsid w:val="00151D7B"/>
    <w:rsid w:val="00151E65"/>
    <w:rsid w:val="00151EED"/>
    <w:rsid w:val="00151F1E"/>
    <w:rsid w:val="00151F9B"/>
    <w:rsid w:val="00151FDA"/>
    <w:rsid w:val="001520C1"/>
    <w:rsid w:val="001520CB"/>
    <w:rsid w:val="00152170"/>
    <w:rsid w:val="00152175"/>
    <w:rsid w:val="0015220A"/>
    <w:rsid w:val="00152241"/>
    <w:rsid w:val="0015224B"/>
    <w:rsid w:val="001522A6"/>
    <w:rsid w:val="001522EF"/>
    <w:rsid w:val="00152336"/>
    <w:rsid w:val="001523A9"/>
    <w:rsid w:val="0015245B"/>
    <w:rsid w:val="001525DB"/>
    <w:rsid w:val="0015262E"/>
    <w:rsid w:val="001526DD"/>
    <w:rsid w:val="00152706"/>
    <w:rsid w:val="001527AC"/>
    <w:rsid w:val="001527D9"/>
    <w:rsid w:val="0015288D"/>
    <w:rsid w:val="001528FA"/>
    <w:rsid w:val="00152A10"/>
    <w:rsid w:val="00152A25"/>
    <w:rsid w:val="00152ADB"/>
    <w:rsid w:val="00152B26"/>
    <w:rsid w:val="00152BC6"/>
    <w:rsid w:val="00152C6E"/>
    <w:rsid w:val="00152CC0"/>
    <w:rsid w:val="00152D0F"/>
    <w:rsid w:val="00152D3E"/>
    <w:rsid w:val="00152D60"/>
    <w:rsid w:val="00152DB7"/>
    <w:rsid w:val="00152E0F"/>
    <w:rsid w:val="00152E16"/>
    <w:rsid w:val="00152E22"/>
    <w:rsid w:val="00152E6E"/>
    <w:rsid w:val="00152F1F"/>
    <w:rsid w:val="00152F32"/>
    <w:rsid w:val="00152F66"/>
    <w:rsid w:val="00152F95"/>
    <w:rsid w:val="00152FA9"/>
    <w:rsid w:val="00152FB3"/>
    <w:rsid w:val="00152FBB"/>
    <w:rsid w:val="00152FC0"/>
    <w:rsid w:val="00152FC8"/>
    <w:rsid w:val="00153015"/>
    <w:rsid w:val="0015301E"/>
    <w:rsid w:val="00153040"/>
    <w:rsid w:val="0015310B"/>
    <w:rsid w:val="00153241"/>
    <w:rsid w:val="00153268"/>
    <w:rsid w:val="001532D4"/>
    <w:rsid w:val="0015332B"/>
    <w:rsid w:val="00153352"/>
    <w:rsid w:val="001533AA"/>
    <w:rsid w:val="001533DE"/>
    <w:rsid w:val="00153456"/>
    <w:rsid w:val="0015346D"/>
    <w:rsid w:val="0015347A"/>
    <w:rsid w:val="0015355C"/>
    <w:rsid w:val="00153675"/>
    <w:rsid w:val="001536C7"/>
    <w:rsid w:val="001536F8"/>
    <w:rsid w:val="0015371B"/>
    <w:rsid w:val="00153771"/>
    <w:rsid w:val="00153784"/>
    <w:rsid w:val="001537A1"/>
    <w:rsid w:val="00153816"/>
    <w:rsid w:val="001538C7"/>
    <w:rsid w:val="00153975"/>
    <w:rsid w:val="001539A2"/>
    <w:rsid w:val="00153B1B"/>
    <w:rsid w:val="00153B3F"/>
    <w:rsid w:val="00153B7E"/>
    <w:rsid w:val="00153BB6"/>
    <w:rsid w:val="00153BF6"/>
    <w:rsid w:val="00153CFE"/>
    <w:rsid w:val="00153D80"/>
    <w:rsid w:val="00153D9E"/>
    <w:rsid w:val="00153E18"/>
    <w:rsid w:val="00153EA3"/>
    <w:rsid w:val="00153EFF"/>
    <w:rsid w:val="00153F0B"/>
    <w:rsid w:val="0015413C"/>
    <w:rsid w:val="0015413F"/>
    <w:rsid w:val="001541DC"/>
    <w:rsid w:val="00154206"/>
    <w:rsid w:val="00154239"/>
    <w:rsid w:val="00154267"/>
    <w:rsid w:val="001542BA"/>
    <w:rsid w:val="0015437E"/>
    <w:rsid w:val="00154433"/>
    <w:rsid w:val="00154504"/>
    <w:rsid w:val="001545FE"/>
    <w:rsid w:val="0015467D"/>
    <w:rsid w:val="001546C6"/>
    <w:rsid w:val="001547A5"/>
    <w:rsid w:val="001547DC"/>
    <w:rsid w:val="00154820"/>
    <w:rsid w:val="00154838"/>
    <w:rsid w:val="00154858"/>
    <w:rsid w:val="0015486F"/>
    <w:rsid w:val="00154956"/>
    <w:rsid w:val="0015497D"/>
    <w:rsid w:val="001549DF"/>
    <w:rsid w:val="00154A1F"/>
    <w:rsid w:val="00154A42"/>
    <w:rsid w:val="00154A55"/>
    <w:rsid w:val="00154AB3"/>
    <w:rsid w:val="00154C0C"/>
    <w:rsid w:val="00154C46"/>
    <w:rsid w:val="00154CCC"/>
    <w:rsid w:val="00154CEE"/>
    <w:rsid w:val="00154CF6"/>
    <w:rsid w:val="00154D13"/>
    <w:rsid w:val="00154D62"/>
    <w:rsid w:val="00154D69"/>
    <w:rsid w:val="00154D76"/>
    <w:rsid w:val="00154E6E"/>
    <w:rsid w:val="00154E6F"/>
    <w:rsid w:val="00154E81"/>
    <w:rsid w:val="00154FF7"/>
    <w:rsid w:val="001550AC"/>
    <w:rsid w:val="001550EE"/>
    <w:rsid w:val="00155121"/>
    <w:rsid w:val="00155187"/>
    <w:rsid w:val="001551B3"/>
    <w:rsid w:val="001551B9"/>
    <w:rsid w:val="00155211"/>
    <w:rsid w:val="0015521D"/>
    <w:rsid w:val="00155262"/>
    <w:rsid w:val="0015529B"/>
    <w:rsid w:val="001552CA"/>
    <w:rsid w:val="001552E2"/>
    <w:rsid w:val="0015531C"/>
    <w:rsid w:val="0015534B"/>
    <w:rsid w:val="001553F4"/>
    <w:rsid w:val="001554D2"/>
    <w:rsid w:val="00155506"/>
    <w:rsid w:val="001555FA"/>
    <w:rsid w:val="0015567A"/>
    <w:rsid w:val="001556D2"/>
    <w:rsid w:val="0015581C"/>
    <w:rsid w:val="00155860"/>
    <w:rsid w:val="001558C1"/>
    <w:rsid w:val="00155949"/>
    <w:rsid w:val="00155A51"/>
    <w:rsid w:val="00155A98"/>
    <w:rsid w:val="00155AB0"/>
    <w:rsid w:val="00155C41"/>
    <w:rsid w:val="00155C8C"/>
    <w:rsid w:val="00155C96"/>
    <w:rsid w:val="00155CFB"/>
    <w:rsid w:val="00155D1D"/>
    <w:rsid w:val="00155E64"/>
    <w:rsid w:val="00155E8B"/>
    <w:rsid w:val="00155E9A"/>
    <w:rsid w:val="00155E9E"/>
    <w:rsid w:val="00155EA0"/>
    <w:rsid w:val="00155EF5"/>
    <w:rsid w:val="00155FBD"/>
    <w:rsid w:val="00155FEC"/>
    <w:rsid w:val="00156051"/>
    <w:rsid w:val="00156076"/>
    <w:rsid w:val="001560CB"/>
    <w:rsid w:val="001560DC"/>
    <w:rsid w:val="00156124"/>
    <w:rsid w:val="001561B9"/>
    <w:rsid w:val="001561F6"/>
    <w:rsid w:val="00156216"/>
    <w:rsid w:val="00156245"/>
    <w:rsid w:val="001562A6"/>
    <w:rsid w:val="00156303"/>
    <w:rsid w:val="001563B2"/>
    <w:rsid w:val="00156439"/>
    <w:rsid w:val="00156445"/>
    <w:rsid w:val="001564CE"/>
    <w:rsid w:val="00156593"/>
    <w:rsid w:val="001565FC"/>
    <w:rsid w:val="001566AA"/>
    <w:rsid w:val="00156734"/>
    <w:rsid w:val="001568D5"/>
    <w:rsid w:val="00156992"/>
    <w:rsid w:val="001569F7"/>
    <w:rsid w:val="00156B60"/>
    <w:rsid w:val="00156B95"/>
    <w:rsid w:val="00156BDA"/>
    <w:rsid w:val="00156C7B"/>
    <w:rsid w:val="00156CB7"/>
    <w:rsid w:val="00156D1C"/>
    <w:rsid w:val="00156DD7"/>
    <w:rsid w:val="00156F5D"/>
    <w:rsid w:val="00156F62"/>
    <w:rsid w:val="0015701F"/>
    <w:rsid w:val="00157083"/>
    <w:rsid w:val="00157101"/>
    <w:rsid w:val="001571C9"/>
    <w:rsid w:val="001571EF"/>
    <w:rsid w:val="00157226"/>
    <w:rsid w:val="0015722A"/>
    <w:rsid w:val="00157263"/>
    <w:rsid w:val="00157277"/>
    <w:rsid w:val="001572F5"/>
    <w:rsid w:val="00157362"/>
    <w:rsid w:val="00157366"/>
    <w:rsid w:val="001575E3"/>
    <w:rsid w:val="001575E5"/>
    <w:rsid w:val="001576F1"/>
    <w:rsid w:val="0015774F"/>
    <w:rsid w:val="0015778D"/>
    <w:rsid w:val="001577EA"/>
    <w:rsid w:val="001577F1"/>
    <w:rsid w:val="001578CB"/>
    <w:rsid w:val="001579F9"/>
    <w:rsid w:val="00157A84"/>
    <w:rsid w:val="00157BB8"/>
    <w:rsid w:val="00157C43"/>
    <w:rsid w:val="00157C57"/>
    <w:rsid w:val="00157C59"/>
    <w:rsid w:val="00157CFE"/>
    <w:rsid w:val="00157D30"/>
    <w:rsid w:val="00157D9D"/>
    <w:rsid w:val="00157DA7"/>
    <w:rsid w:val="00157DBD"/>
    <w:rsid w:val="00157DDD"/>
    <w:rsid w:val="00157EBD"/>
    <w:rsid w:val="00157F03"/>
    <w:rsid w:val="0016001A"/>
    <w:rsid w:val="00160100"/>
    <w:rsid w:val="001601DB"/>
    <w:rsid w:val="001601EE"/>
    <w:rsid w:val="00160255"/>
    <w:rsid w:val="001602AE"/>
    <w:rsid w:val="001602B5"/>
    <w:rsid w:val="00160324"/>
    <w:rsid w:val="00160405"/>
    <w:rsid w:val="001604FF"/>
    <w:rsid w:val="001605EF"/>
    <w:rsid w:val="0016060B"/>
    <w:rsid w:val="00160685"/>
    <w:rsid w:val="0016069A"/>
    <w:rsid w:val="001606BB"/>
    <w:rsid w:val="00160707"/>
    <w:rsid w:val="0016075F"/>
    <w:rsid w:val="001607D0"/>
    <w:rsid w:val="00160848"/>
    <w:rsid w:val="00160900"/>
    <w:rsid w:val="00160A9F"/>
    <w:rsid w:val="00160B1D"/>
    <w:rsid w:val="00160BAB"/>
    <w:rsid w:val="00160BD4"/>
    <w:rsid w:val="00160C52"/>
    <w:rsid w:val="00160C67"/>
    <w:rsid w:val="00160C70"/>
    <w:rsid w:val="00160CB8"/>
    <w:rsid w:val="00160D1B"/>
    <w:rsid w:val="00160D53"/>
    <w:rsid w:val="00160D6E"/>
    <w:rsid w:val="00160F2B"/>
    <w:rsid w:val="00161052"/>
    <w:rsid w:val="0016108A"/>
    <w:rsid w:val="001610DA"/>
    <w:rsid w:val="00161111"/>
    <w:rsid w:val="0016114A"/>
    <w:rsid w:val="00161184"/>
    <w:rsid w:val="0016118F"/>
    <w:rsid w:val="0016138F"/>
    <w:rsid w:val="001613BA"/>
    <w:rsid w:val="001613F4"/>
    <w:rsid w:val="0016151F"/>
    <w:rsid w:val="00161521"/>
    <w:rsid w:val="0016152D"/>
    <w:rsid w:val="00161638"/>
    <w:rsid w:val="00161642"/>
    <w:rsid w:val="00161696"/>
    <w:rsid w:val="001616CE"/>
    <w:rsid w:val="00161708"/>
    <w:rsid w:val="001617DA"/>
    <w:rsid w:val="0016184C"/>
    <w:rsid w:val="0016189A"/>
    <w:rsid w:val="001618D1"/>
    <w:rsid w:val="001618D4"/>
    <w:rsid w:val="001619DE"/>
    <w:rsid w:val="00161B5E"/>
    <w:rsid w:val="00161BD3"/>
    <w:rsid w:val="00161C36"/>
    <w:rsid w:val="00161C58"/>
    <w:rsid w:val="00161C9C"/>
    <w:rsid w:val="00161CFE"/>
    <w:rsid w:val="00161D2D"/>
    <w:rsid w:val="00161E2E"/>
    <w:rsid w:val="00161E43"/>
    <w:rsid w:val="00161F2D"/>
    <w:rsid w:val="0016203F"/>
    <w:rsid w:val="0016204C"/>
    <w:rsid w:val="00162143"/>
    <w:rsid w:val="00162156"/>
    <w:rsid w:val="00162165"/>
    <w:rsid w:val="001621B3"/>
    <w:rsid w:val="0016221D"/>
    <w:rsid w:val="001622A7"/>
    <w:rsid w:val="001622D8"/>
    <w:rsid w:val="00162326"/>
    <w:rsid w:val="001623D3"/>
    <w:rsid w:val="001623D4"/>
    <w:rsid w:val="001623E3"/>
    <w:rsid w:val="00162506"/>
    <w:rsid w:val="00162591"/>
    <w:rsid w:val="001626CC"/>
    <w:rsid w:val="00162702"/>
    <w:rsid w:val="00162956"/>
    <w:rsid w:val="0016297B"/>
    <w:rsid w:val="0016299F"/>
    <w:rsid w:val="00162B6D"/>
    <w:rsid w:val="00162C10"/>
    <w:rsid w:val="00162CFC"/>
    <w:rsid w:val="00162DB1"/>
    <w:rsid w:val="00162E5F"/>
    <w:rsid w:val="00162EA7"/>
    <w:rsid w:val="00162EC3"/>
    <w:rsid w:val="00162F18"/>
    <w:rsid w:val="00162F60"/>
    <w:rsid w:val="00162FBC"/>
    <w:rsid w:val="00163019"/>
    <w:rsid w:val="0016317E"/>
    <w:rsid w:val="0016333E"/>
    <w:rsid w:val="001633AA"/>
    <w:rsid w:val="00163445"/>
    <w:rsid w:val="0016345D"/>
    <w:rsid w:val="001634BC"/>
    <w:rsid w:val="00163562"/>
    <w:rsid w:val="00163653"/>
    <w:rsid w:val="001636D6"/>
    <w:rsid w:val="001637D9"/>
    <w:rsid w:val="001638E9"/>
    <w:rsid w:val="00163904"/>
    <w:rsid w:val="001639CE"/>
    <w:rsid w:val="00163AC4"/>
    <w:rsid w:val="00163B4D"/>
    <w:rsid w:val="00163B89"/>
    <w:rsid w:val="00163BEA"/>
    <w:rsid w:val="00163C00"/>
    <w:rsid w:val="00163C20"/>
    <w:rsid w:val="00163C30"/>
    <w:rsid w:val="00163C53"/>
    <w:rsid w:val="00163C72"/>
    <w:rsid w:val="00163C77"/>
    <w:rsid w:val="00163CCF"/>
    <w:rsid w:val="00163CD1"/>
    <w:rsid w:val="00163DE1"/>
    <w:rsid w:val="00163EDE"/>
    <w:rsid w:val="00163F0A"/>
    <w:rsid w:val="00163F76"/>
    <w:rsid w:val="00163F8C"/>
    <w:rsid w:val="00163FCE"/>
    <w:rsid w:val="00163FE4"/>
    <w:rsid w:val="0016405B"/>
    <w:rsid w:val="001640E0"/>
    <w:rsid w:val="0016425D"/>
    <w:rsid w:val="0016434D"/>
    <w:rsid w:val="0016437C"/>
    <w:rsid w:val="00164407"/>
    <w:rsid w:val="0016443F"/>
    <w:rsid w:val="001644B9"/>
    <w:rsid w:val="001644FA"/>
    <w:rsid w:val="00164528"/>
    <w:rsid w:val="001645E6"/>
    <w:rsid w:val="00164608"/>
    <w:rsid w:val="00164625"/>
    <w:rsid w:val="001646EE"/>
    <w:rsid w:val="00164966"/>
    <w:rsid w:val="00164995"/>
    <w:rsid w:val="001649BF"/>
    <w:rsid w:val="001649C1"/>
    <w:rsid w:val="00164AFE"/>
    <w:rsid w:val="00164B56"/>
    <w:rsid w:val="00164B65"/>
    <w:rsid w:val="00164C03"/>
    <w:rsid w:val="00164CAE"/>
    <w:rsid w:val="00164CD0"/>
    <w:rsid w:val="00164D1B"/>
    <w:rsid w:val="00164D1D"/>
    <w:rsid w:val="00164DE2"/>
    <w:rsid w:val="00164F70"/>
    <w:rsid w:val="00164FC5"/>
    <w:rsid w:val="00164FCD"/>
    <w:rsid w:val="00164FFE"/>
    <w:rsid w:val="00165019"/>
    <w:rsid w:val="0016501B"/>
    <w:rsid w:val="0016507E"/>
    <w:rsid w:val="001650CC"/>
    <w:rsid w:val="00165109"/>
    <w:rsid w:val="0016515B"/>
    <w:rsid w:val="00165163"/>
    <w:rsid w:val="00165239"/>
    <w:rsid w:val="00165253"/>
    <w:rsid w:val="00165294"/>
    <w:rsid w:val="0016533D"/>
    <w:rsid w:val="0016534E"/>
    <w:rsid w:val="00165371"/>
    <w:rsid w:val="001653E2"/>
    <w:rsid w:val="00165441"/>
    <w:rsid w:val="0016545F"/>
    <w:rsid w:val="0016549A"/>
    <w:rsid w:val="001654E4"/>
    <w:rsid w:val="00165603"/>
    <w:rsid w:val="0016565A"/>
    <w:rsid w:val="00165674"/>
    <w:rsid w:val="001656CE"/>
    <w:rsid w:val="001657E1"/>
    <w:rsid w:val="001657F4"/>
    <w:rsid w:val="00165960"/>
    <w:rsid w:val="001659AC"/>
    <w:rsid w:val="001659CA"/>
    <w:rsid w:val="001659D1"/>
    <w:rsid w:val="001659D4"/>
    <w:rsid w:val="00165AD1"/>
    <w:rsid w:val="00165BBE"/>
    <w:rsid w:val="00165BDF"/>
    <w:rsid w:val="00165C65"/>
    <w:rsid w:val="00165C9B"/>
    <w:rsid w:val="00165CD0"/>
    <w:rsid w:val="00165CD5"/>
    <w:rsid w:val="00165D1C"/>
    <w:rsid w:val="00165D54"/>
    <w:rsid w:val="00165E0F"/>
    <w:rsid w:val="00165E32"/>
    <w:rsid w:val="00165E8A"/>
    <w:rsid w:val="00165EB3"/>
    <w:rsid w:val="00165EC6"/>
    <w:rsid w:val="00165EE5"/>
    <w:rsid w:val="00165F12"/>
    <w:rsid w:val="00165F5C"/>
    <w:rsid w:val="00165FB1"/>
    <w:rsid w:val="00165FE5"/>
    <w:rsid w:val="0016602E"/>
    <w:rsid w:val="00166098"/>
    <w:rsid w:val="00166184"/>
    <w:rsid w:val="001662CB"/>
    <w:rsid w:val="001662D7"/>
    <w:rsid w:val="001663DA"/>
    <w:rsid w:val="0016644E"/>
    <w:rsid w:val="0016645D"/>
    <w:rsid w:val="0016656A"/>
    <w:rsid w:val="001665F8"/>
    <w:rsid w:val="0016669E"/>
    <w:rsid w:val="00166706"/>
    <w:rsid w:val="0016670E"/>
    <w:rsid w:val="00166733"/>
    <w:rsid w:val="00166777"/>
    <w:rsid w:val="001667F1"/>
    <w:rsid w:val="001669C4"/>
    <w:rsid w:val="00166A94"/>
    <w:rsid w:val="00166ACE"/>
    <w:rsid w:val="00166B24"/>
    <w:rsid w:val="00166B26"/>
    <w:rsid w:val="00166BD7"/>
    <w:rsid w:val="00166C85"/>
    <w:rsid w:val="00166C9F"/>
    <w:rsid w:val="00166CFC"/>
    <w:rsid w:val="00166D1E"/>
    <w:rsid w:val="00166DFC"/>
    <w:rsid w:val="00166E8A"/>
    <w:rsid w:val="00166F91"/>
    <w:rsid w:val="00167082"/>
    <w:rsid w:val="00167206"/>
    <w:rsid w:val="001672D6"/>
    <w:rsid w:val="00167370"/>
    <w:rsid w:val="0016739E"/>
    <w:rsid w:val="001673B8"/>
    <w:rsid w:val="00167401"/>
    <w:rsid w:val="0016748D"/>
    <w:rsid w:val="0016752F"/>
    <w:rsid w:val="0016758F"/>
    <w:rsid w:val="001675E7"/>
    <w:rsid w:val="00167619"/>
    <w:rsid w:val="0016778B"/>
    <w:rsid w:val="00167882"/>
    <w:rsid w:val="001679F8"/>
    <w:rsid w:val="00167ADC"/>
    <w:rsid w:val="00167B40"/>
    <w:rsid w:val="00167B51"/>
    <w:rsid w:val="00167B63"/>
    <w:rsid w:val="00167BE4"/>
    <w:rsid w:val="00167BFB"/>
    <w:rsid w:val="00167C1C"/>
    <w:rsid w:val="00167C76"/>
    <w:rsid w:val="00167DEF"/>
    <w:rsid w:val="00167E27"/>
    <w:rsid w:val="00167E2C"/>
    <w:rsid w:val="00167E5C"/>
    <w:rsid w:val="00167E71"/>
    <w:rsid w:val="00167EDC"/>
    <w:rsid w:val="0017027C"/>
    <w:rsid w:val="00170299"/>
    <w:rsid w:val="001702AC"/>
    <w:rsid w:val="00170389"/>
    <w:rsid w:val="0017038C"/>
    <w:rsid w:val="001703AE"/>
    <w:rsid w:val="001703B3"/>
    <w:rsid w:val="001704AE"/>
    <w:rsid w:val="001704C5"/>
    <w:rsid w:val="001704C9"/>
    <w:rsid w:val="00170560"/>
    <w:rsid w:val="00170639"/>
    <w:rsid w:val="0017073E"/>
    <w:rsid w:val="001707AB"/>
    <w:rsid w:val="001707F8"/>
    <w:rsid w:val="0017084B"/>
    <w:rsid w:val="00170926"/>
    <w:rsid w:val="001709DB"/>
    <w:rsid w:val="00170A97"/>
    <w:rsid w:val="00170BD8"/>
    <w:rsid w:val="00170BF7"/>
    <w:rsid w:val="00170C12"/>
    <w:rsid w:val="00170C13"/>
    <w:rsid w:val="00170C19"/>
    <w:rsid w:val="00170C43"/>
    <w:rsid w:val="00170C84"/>
    <w:rsid w:val="00170CEA"/>
    <w:rsid w:val="00170DCC"/>
    <w:rsid w:val="00170DF6"/>
    <w:rsid w:val="00170EAC"/>
    <w:rsid w:val="00171028"/>
    <w:rsid w:val="0017109D"/>
    <w:rsid w:val="001711E1"/>
    <w:rsid w:val="001712C0"/>
    <w:rsid w:val="001712FE"/>
    <w:rsid w:val="00171319"/>
    <w:rsid w:val="0017131E"/>
    <w:rsid w:val="001713C8"/>
    <w:rsid w:val="0017162E"/>
    <w:rsid w:val="0017166A"/>
    <w:rsid w:val="0017175E"/>
    <w:rsid w:val="00171781"/>
    <w:rsid w:val="001717F2"/>
    <w:rsid w:val="001718B1"/>
    <w:rsid w:val="001718EA"/>
    <w:rsid w:val="0017193D"/>
    <w:rsid w:val="00171967"/>
    <w:rsid w:val="0017198A"/>
    <w:rsid w:val="00171A65"/>
    <w:rsid w:val="00171A7A"/>
    <w:rsid w:val="00171A8D"/>
    <w:rsid w:val="00171A9A"/>
    <w:rsid w:val="00171ABE"/>
    <w:rsid w:val="00171AE7"/>
    <w:rsid w:val="00171AF9"/>
    <w:rsid w:val="00171BBB"/>
    <w:rsid w:val="00171BE2"/>
    <w:rsid w:val="00171C8A"/>
    <w:rsid w:val="00171CD9"/>
    <w:rsid w:val="00171D4A"/>
    <w:rsid w:val="00171D67"/>
    <w:rsid w:val="00171DC6"/>
    <w:rsid w:val="00171E29"/>
    <w:rsid w:val="00171EAF"/>
    <w:rsid w:val="00171F05"/>
    <w:rsid w:val="00171FC1"/>
    <w:rsid w:val="00172001"/>
    <w:rsid w:val="0017203C"/>
    <w:rsid w:val="00172211"/>
    <w:rsid w:val="00172298"/>
    <w:rsid w:val="0017238A"/>
    <w:rsid w:val="0017238D"/>
    <w:rsid w:val="001723E4"/>
    <w:rsid w:val="00172420"/>
    <w:rsid w:val="0017256A"/>
    <w:rsid w:val="0017262B"/>
    <w:rsid w:val="00172709"/>
    <w:rsid w:val="00172777"/>
    <w:rsid w:val="0017281E"/>
    <w:rsid w:val="001728A5"/>
    <w:rsid w:val="001728D6"/>
    <w:rsid w:val="00172954"/>
    <w:rsid w:val="001729A7"/>
    <w:rsid w:val="001729C1"/>
    <w:rsid w:val="00172A70"/>
    <w:rsid w:val="00172AEC"/>
    <w:rsid w:val="00172BE4"/>
    <w:rsid w:val="00172BF7"/>
    <w:rsid w:val="00172C21"/>
    <w:rsid w:val="00172C22"/>
    <w:rsid w:val="00172C39"/>
    <w:rsid w:val="00172CDC"/>
    <w:rsid w:val="00172CE1"/>
    <w:rsid w:val="00172CFE"/>
    <w:rsid w:val="00172D30"/>
    <w:rsid w:val="00172D32"/>
    <w:rsid w:val="00172D3C"/>
    <w:rsid w:val="00172D4D"/>
    <w:rsid w:val="001731D9"/>
    <w:rsid w:val="00173304"/>
    <w:rsid w:val="0017334D"/>
    <w:rsid w:val="0017334E"/>
    <w:rsid w:val="001733B4"/>
    <w:rsid w:val="00173435"/>
    <w:rsid w:val="0017352C"/>
    <w:rsid w:val="0017356C"/>
    <w:rsid w:val="00173591"/>
    <w:rsid w:val="001735E2"/>
    <w:rsid w:val="00173627"/>
    <w:rsid w:val="0017362B"/>
    <w:rsid w:val="00173639"/>
    <w:rsid w:val="0017363A"/>
    <w:rsid w:val="00173660"/>
    <w:rsid w:val="0017368F"/>
    <w:rsid w:val="0017371B"/>
    <w:rsid w:val="001738FD"/>
    <w:rsid w:val="00173943"/>
    <w:rsid w:val="00173A61"/>
    <w:rsid w:val="00173AD2"/>
    <w:rsid w:val="00173AED"/>
    <w:rsid w:val="00173B3C"/>
    <w:rsid w:val="00173BC2"/>
    <w:rsid w:val="00173C0E"/>
    <w:rsid w:val="00173C79"/>
    <w:rsid w:val="00173D39"/>
    <w:rsid w:val="00173E38"/>
    <w:rsid w:val="00173E44"/>
    <w:rsid w:val="00173E82"/>
    <w:rsid w:val="00173F11"/>
    <w:rsid w:val="00173F1B"/>
    <w:rsid w:val="00173F2A"/>
    <w:rsid w:val="00173F9E"/>
    <w:rsid w:val="00173FA3"/>
    <w:rsid w:val="00174095"/>
    <w:rsid w:val="001740F9"/>
    <w:rsid w:val="0017413E"/>
    <w:rsid w:val="00174245"/>
    <w:rsid w:val="001742C5"/>
    <w:rsid w:val="001742D0"/>
    <w:rsid w:val="001742F1"/>
    <w:rsid w:val="00174369"/>
    <w:rsid w:val="001743AA"/>
    <w:rsid w:val="001744A4"/>
    <w:rsid w:val="001744DF"/>
    <w:rsid w:val="00174561"/>
    <w:rsid w:val="0017456D"/>
    <w:rsid w:val="001745D0"/>
    <w:rsid w:val="001745D3"/>
    <w:rsid w:val="00174625"/>
    <w:rsid w:val="00174653"/>
    <w:rsid w:val="0017465C"/>
    <w:rsid w:val="00174674"/>
    <w:rsid w:val="00174684"/>
    <w:rsid w:val="001746AC"/>
    <w:rsid w:val="0017473F"/>
    <w:rsid w:val="001747A5"/>
    <w:rsid w:val="001747AB"/>
    <w:rsid w:val="001748F3"/>
    <w:rsid w:val="0017490B"/>
    <w:rsid w:val="00174912"/>
    <w:rsid w:val="00174974"/>
    <w:rsid w:val="00174994"/>
    <w:rsid w:val="001749A2"/>
    <w:rsid w:val="00174A48"/>
    <w:rsid w:val="00174AB9"/>
    <w:rsid w:val="00174AF2"/>
    <w:rsid w:val="00174B9B"/>
    <w:rsid w:val="00174BF1"/>
    <w:rsid w:val="00174C04"/>
    <w:rsid w:val="00174C05"/>
    <w:rsid w:val="00174C13"/>
    <w:rsid w:val="00174D5C"/>
    <w:rsid w:val="00174D68"/>
    <w:rsid w:val="00174D83"/>
    <w:rsid w:val="00174DAB"/>
    <w:rsid w:val="00174DD1"/>
    <w:rsid w:val="00174DD6"/>
    <w:rsid w:val="00174E30"/>
    <w:rsid w:val="00174F1E"/>
    <w:rsid w:val="00174F35"/>
    <w:rsid w:val="00174F49"/>
    <w:rsid w:val="00174FDF"/>
    <w:rsid w:val="00174FE3"/>
    <w:rsid w:val="001750DB"/>
    <w:rsid w:val="001750FD"/>
    <w:rsid w:val="00175110"/>
    <w:rsid w:val="00175179"/>
    <w:rsid w:val="00175207"/>
    <w:rsid w:val="001752AB"/>
    <w:rsid w:val="001752E7"/>
    <w:rsid w:val="0017533E"/>
    <w:rsid w:val="001753A7"/>
    <w:rsid w:val="00175445"/>
    <w:rsid w:val="00175459"/>
    <w:rsid w:val="00175481"/>
    <w:rsid w:val="00175482"/>
    <w:rsid w:val="00175572"/>
    <w:rsid w:val="00175669"/>
    <w:rsid w:val="00175679"/>
    <w:rsid w:val="001757A6"/>
    <w:rsid w:val="0017589A"/>
    <w:rsid w:val="001758DB"/>
    <w:rsid w:val="001758E2"/>
    <w:rsid w:val="00175920"/>
    <w:rsid w:val="00175A1B"/>
    <w:rsid w:val="00175A41"/>
    <w:rsid w:val="00175AA2"/>
    <w:rsid w:val="00175B0B"/>
    <w:rsid w:val="00175B14"/>
    <w:rsid w:val="00175B1B"/>
    <w:rsid w:val="00175B73"/>
    <w:rsid w:val="00175BEB"/>
    <w:rsid w:val="00175C0A"/>
    <w:rsid w:val="00175C3E"/>
    <w:rsid w:val="00175C6B"/>
    <w:rsid w:val="00175C78"/>
    <w:rsid w:val="00175CB3"/>
    <w:rsid w:val="00175D39"/>
    <w:rsid w:val="00175E94"/>
    <w:rsid w:val="00175E9A"/>
    <w:rsid w:val="00175EA0"/>
    <w:rsid w:val="00175EE6"/>
    <w:rsid w:val="00175F4D"/>
    <w:rsid w:val="00175F7C"/>
    <w:rsid w:val="00175FE3"/>
    <w:rsid w:val="00176068"/>
    <w:rsid w:val="001760D3"/>
    <w:rsid w:val="00176211"/>
    <w:rsid w:val="001763C8"/>
    <w:rsid w:val="001763CA"/>
    <w:rsid w:val="001763ED"/>
    <w:rsid w:val="001763F4"/>
    <w:rsid w:val="00176402"/>
    <w:rsid w:val="00176422"/>
    <w:rsid w:val="00176506"/>
    <w:rsid w:val="00176539"/>
    <w:rsid w:val="00176552"/>
    <w:rsid w:val="001765E2"/>
    <w:rsid w:val="00176781"/>
    <w:rsid w:val="001767FC"/>
    <w:rsid w:val="001768CA"/>
    <w:rsid w:val="0017691C"/>
    <w:rsid w:val="00176959"/>
    <w:rsid w:val="001769FE"/>
    <w:rsid w:val="00176ABF"/>
    <w:rsid w:val="00176ADC"/>
    <w:rsid w:val="00176BE2"/>
    <w:rsid w:val="00176C54"/>
    <w:rsid w:val="00176D06"/>
    <w:rsid w:val="00176D17"/>
    <w:rsid w:val="00176D95"/>
    <w:rsid w:val="00176F59"/>
    <w:rsid w:val="00176FEA"/>
    <w:rsid w:val="001770AD"/>
    <w:rsid w:val="001770F2"/>
    <w:rsid w:val="0017711E"/>
    <w:rsid w:val="001771C3"/>
    <w:rsid w:val="0017721F"/>
    <w:rsid w:val="00177410"/>
    <w:rsid w:val="00177431"/>
    <w:rsid w:val="001774B9"/>
    <w:rsid w:val="00177583"/>
    <w:rsid w:val="001775AA"/>
    <w:rsid w:val="0017760E"/>
    <w:rsid w:val="001776C0"/>
    <w:rsid w:val="001776F2"/>
    <w:rsid w:val="0017770D"/>
    <w:rsid w:val="00177728"/>
    <w:rsid w:val="001777A9"/>
    <w:rsid w:val="00177822"/>
    <w:rsid w:val="0017784C"/>
    <w:rsid w:val="00177854"/>
    <w:rsid w:val="00177890"/>
    <w:rsid w:val="00177968"/>
    <w:rsid w:val="001779F5"/>
    <w:rsid w:val="00177A0D"/>
    <w:rsid w:val="00177BCC"/>
    <w:rsid w:val="00177C3C"/>
    <w:rsid w:val="00177D00"/>
    <w:rsid w:val="00177DCB"/>
    <w:rsid w:val="00177DDB"/>
    <w:rsid w:val="00177E25"/>
    <w:rsid w:val="00177FA4"/>
    <w:rsid w:val="0018015C"/>
    <w:rsid w:val="00180168"/>
    <w:rsid w:val="00180190"/>
    <w:rsid w:val="00180274"/>
    <w:rsid w:val="00180286"/>
    <w:rsid w:val="001802CF"/>
    <w:rsid w:val="00180312"/>
    <w:rsid w:val="001803F4"/>
    <w:rsid w:val="00180400"/>
    <w:rsid w:val="00180573"/>
    <w:rsid w:val="001805F4"/>
    <w:rsid w:val="0018061C"/>
    <w:rsid w:val="0018066A"/>
    <w:rsid w:val="0018067D"/>
    <w:rsid w:val="00180730"/>
    <w:rsid w:val="001807A6"/>
    <w:rsid w:val="00180818"/>
    <w:rsid w:val="00180888"/>
    <w:rsid w:val="0018092F"/>
    <w:rsid w:val="00180993"/>
    <w:rsid w:val="001809C1"/>
    <w:rsid w:val="001809CF"/>
    <w:rsid w:val="00180A21"/>
    <w:rsid w:val="00180A29"/>
    <w:rsid w:val="00180AAF"/>
    <w:rsid w:val="00180B07"/>
    <w:rsid w:val="00180C19"/>
    <w:rsid w:val="00180CB6"/>
    <w:rsid w:val="00180CD2"/>
    <w:rsid w:val="00180D0D"/>
    <w:rsid w:val="00180D4A"/>
    <w:rsid w:val="00180D6A"/>
    <w:rsid w:val="00180D9E"/>
    <w:rsid w:val="00180DAC"/>
    <w:rsid w:val="00180E55"/>
    <w:rsid w:val="00180E8E"/>
    <w:rsid w:val="00180EC9"/>
    <w:rsid w:val="00181019"/>
    <w:rsid w:val="0018102E"/>
    <w:rsid w:val="0018104F"/>
    <w:rsid w:val="0018105F"/>
    <w:rsid w:val="0018108B"/>
    <w:rsid w:val="001810AE"/>
    <w:rsid w:val="001811C7"/>
    <w:rsid w:val="0018125E"/>
    <w:rsid w:val="0018126A"/>
    <w:rsid w:val="001812C1"/>
    <w:rsid w:val="0018130B"/>
    <w:rsid w:val="00181321"/>
    <w:rsid w:val="00181357"/>
    <w:rsid w:val="00181367"/>
    <w:rsid w:val="001813EA"/>
    <w:rsid w:val="0018149C"/>
    <w:rsid w:val="001814D2"/>
    <w:rsid w:val="0018164A"/>
    <w:rsid w:val="00181651"/>
    <w:rsid w:val="00181691"/>
    <w:rsid w:val="00181715"/>
    <w:rsid w:val="00181716"/>
    <w:rsid w:val="0018182F"/>
    <w:rsid w:val="001818BF"/>
    <w:rsid w:val="001818FE"/>
    <w:rsid w:val="00181990"/>
    <w:rsid w:val="001819AA"/>
    <w:rsid w:val="00181A04"/>
    <w:rsid w:val="00181A23"/>
    <w:rsid w:val="00181B34"/>
    <w:rsid w:val="00181B6F"/>
    <w:rsid w:val="00181BC3"/>
    <w:rsid w:val="00181C61"/>
    <w:rsid w:val="00181CBC"/>
    <w:rsid w:val="00181D2C"/>
    <w:rsid w:val="00181D4C"/>
    <w:rsid w:val="00181D7D"/>
    <w:rsid w:val="00181E82"/>
    <w:rsid w:val="00181F53"/>
    <w:rsid w:val="00181FAF"/>
    <w:rsid w:val="00181FB2"/>
    <w:rsid w:val="00181FCD"/>
    <w:rsid w:val="00182102"/>
    <w:rsid w:val="0018219D"/>
    <w:rsid w:val="00182240"/>
    <w:rsid w:val="001822B7"/>
    <w:rsid w:val="001822F3"/>
    <w:rsid w:val="00182379"/>
    <w:rsid w:val="00182447"/>
    <w:rsid w:val="00182453"/>
    <w:rsid w:val="001824C2"/>
    <w:rsid w:val="00182547"/>
    <w:rsid w:val="00182636"/>
    <w:rsid w:val="00182665"/>
    <w:rsid w:val="001826A7"/>
    <w:rsid w:val="001826DF"/>
    <w:rsid w:val="0018276D"/>
    <w:rsid w:val="001827EA"/>
    <w:rsid w:val="00182817"/>
    <w:rsid w:val="0018282F"/>
    <w:rsid w:val="0018287A"/>
    <w:rsid w:val="00182889"/>
    <w:rsid w:val="00182893"/>
    <w:rsid w:val="00182943"/>
    <w:rsid w:val="0018297B"/>
    <w:rsid w:val="00182996"/>
    <w:rsid w:val="00182A09"/>
    <w:rsid w:val="00182A18"/>
    <w:rsid w:val="00182A7A"/>
    <w:rsid w:val="00182AEE"/>
    <w:rsid w:val="00182B1D"/>
    <w:rsid w:val="00182B71"/>
    <w:rsid w:val="00182C46"/>
    <w:rsid w:val="00182C84"/>
    <w:rsid w:val="00182CDC"/>
    <w:rsid w:val="00182D18"/>
    <w:rsid w:val="00182D1E"/>
    <w:rsid w:val="00182DC9"/>
    <w:rsid w:val="00182E66"/>
    <w:rsid w:val="00182E9B"/>
    <w:rsid w:val="00182F43"/>
    <w:rsid w:val="00182FB1"/>
    <w:rsid w:val="00183082"/>
    <w:rsid w:val="001830AE"/>
    <w:rsid w:val="0018318C"/>
    <w:rsid w:val="001831D8"/>
    <w:rsid w:val="001832E0"/>
    <w:rsid w:val="00183320"/>
    <w:rsid w:val="0018332E"/>
    <w:rsid w:val="00183455"/>
    <w:rsid w:val="001834AF"/>
    <w:rsid w:val="001834C3"/>
    <w:rsid w:val="00183576"/>
    <w:rsid w:val="00183692"/>
    <w:rsid w:val="0018379B"/>
    <w:rsid w:val="0018379E"/>
    <w:rsid w:val="001837DE"/>
    <w:rsid w:val="00183801"/>
    <w:rsid w:val="0018384B"/>
    <w:rsid w:val="0018387A"/>
    <w:rsid w:val="001838F7"/>
    <w:rsid w:val="001839FF"/>
    <w:rsid w:val="00183A13"/>
    <w:rsid w:val="00183A55"/>
    <w:rsid w:val="00183BB8"/>
    <w:rsid w:val="00183BF3"/>
    <w:rsid w:val="00183BF5"/>
    <w:rsid w:val="00183C36"/>
    <w:rsid w:val="00183CF9"/>
    <w:rsid w:val="00183D56"/>
    <w:rsid w:val="00183D7D"/>
    <w:rsid w:val="00183F75"/>
    <w:rsid w:val="00183FFF"/>
    <w:rsid w:val="00184019"/>
    <w:rsid w:val="0018404B"/>
    <w:rsid w:val="001840E1"/>
    <w:rsid w:val="00184103"/>
    <w:rsid w:val="001841FF"/>
    <w:rsid w:val="00184215"/>
    <w:rsid w:val="001842BA"/>
    <w:rsid w:val="001842D3"/>
    <w:rsid w:val="001842E3"/>
    <w:rsid w:val="001842E8"/>
    <w:rsid w:val="00184387"/>
    <w:rsid w:val="001844D4"/>
    <w:rsid w:val="00184583"/>
    <w:rsid w:val="001845BA"/>
    <w:rsid w:val="001846F2"/>
    <w:rsid w:val="00184719"/>
    <w:rsid w:val="00184732"/>
    <w:rsid w:val="001847EC"/>
    <w:rsid w:val="0018493C"/>
    <w:rsid w:val="0018496B"/>
    <w:rsid w:val="001849F5"/>
    <w:rsid w:val="001849FD"/>
    <w:rsid w:val="00184ADF"/>
    <w:rsid w:val="00184AF1"/>
    <w:rsid w:val="00184B75"/>
    <w:rsid w:val="00184BCF"/>
    <w:rsid w:val="00184BDE"/>
    <w:rsid w:val="00184BF6"/>
    <w:rsid w:val="00184C14"/>
    <w:rsid w:val="00184C24"/>
    <w:rsid w:val="00184D2F"/>
    <w:rsid w:val="00184D88"/>
    <w:rsid w:val="00184DA2"/>
    <w:rsid w:val="00184DAC"/>
    <w:rsid w:val="00184DEC"/>
    <w:rsid w:val="00184EA2"/>
    <w:rsid w:val="00184EAC"/>
    <w:rsid w:val="00184FA1"/>
    <w:rsid w:val="00184FC8"/>
    <w:rsid w:val="00184FD8"/>
    <w:rsid w:val="00185014"/>
    <w:rsid w:val="0018502C"/>
    <w:rsid w:val="00185051"/>
    <w:rsid w:val="00185156"/>
    <w:rsid w:val="0018515A"/>
    <w:rsid w:val="00185185"/>
    <w:rsid w:val="00185187"/>
    <w:rsid w:val="001851C0"/>
    <w:rsid w:val="001851F0"/>
    <w:rsid w:val="001851F7"/>
    <w:rsid w:val="00185234"/>
    <w:rsid w:val="00185306"/>
    <w:rsid w:val="0018532C"/>
    <w:rsid w:val="00185363"/>
    <w:rsid w:val="0018537D"/>
    <w:rsid w:val="001853B6"/>
    <w:rsid w:val="0018547B"/>
    <w:rsid w:val="001854A9"/>
    <w:rsid w:val="001854DB"/>
    <w:rsid w:val="001854DF"/>
    <w:rsid w:val="001855A8"/>
    <w:rsid w:val="00185626"/>
    <w:rsid w:val="00185698"/>
    <w:rsid w:val="00185769"/>
    <w:rsid w:val="001857C5"/>
    <w:rsid w:val="001857F9"/>
    <w:rsid w:val="0018580E"/>
    <w:rsid w:val="001859F6"/>
    <w:rsid w:val="00185A4C"/>
    <w:rsid w:val="00185B42"/>
    <w:rsid w:val="00185BC0"/>
    <w:rsid w:val="00185BD1"/>
    <w:rsid w:val="00185CB6"/>
    <w:rsid w:val="00185DC9"/>
    <w:rsid w:val="00185DCF"/>
    <w:rsid w:val="00185EB5"/>
    <w:rsid w:val="00185EC3"/>
    <w:rsid w:val="00185EC8"/>
    <w:rsid w:val="00185F52"/>
    <w:rsid w:val="0018600B"/>
    <w:rsid w:val="001860AC"/>
    <w:rsid w:val="001860DE"/>
    <w:rsid w:val="00186145"/>
    <w:rsid w:val="001861C4"/>
    <w:rsid w:val="00186218"/>
    <w:rsid w:val="00186254"/>
    <w:rsid w:val="001864B1"/>
    <w:rsid w:val="001864F1"/>
    <w:rsid w:val="001864FE"/>
    <w:rsid w:val="0018650F"/>
    <w:rsid w:val="0018651A"/>
    <w:rsid w:val="001865EB"/>
    <w:rsid w:val="00186629"/>
    <w:rsid w:val="0018663F"/>
    <w:rsid w:val="00186676"/>
    <w:rsid w:val="0018669F"/>
    <w:rsid w:val="001866BE"/>
    <w:rsid w:val="001866EC"/>
    <w:rsid w:val="001867E1"/>
    <w:rsid w:val="00186830"/>
    <w:rsid w:val="00186844"/>
    <w:rsid w:val="00186857"/>
    <w:rsid w:val="00186931"/>
    <w:rsid w:val="00186983"/>
    <w:rsid w:val="00186A00"/>
    <w:rsid w:val="00186CBE"/>
    <w:rsid w:val="00186CD3"/>
    <w:rsid w:val="00186E3B"/>
    <w:rsid w:val="00186ECD"/>
    <w:rsid w:val="00186EE8"/>
    <w:rsid w:val="00186F72"/>
    <w:rsid w:val="00186F73"/>
    <w:rsid w:val="00186FC6"/>
    <w:rsid w:val="00187029"/>
    <w:rsid w:val="00187076"/>
    <w:rsid w:val="001870DC"/>
    <w:rsid w:val="0018710B"/>
    <w:rsid w:val="001871BE"/>
    <w:rsid w:val="001871E0"/>
    <w:rsid w:val="00187369"/>
    <w:rsid w:val="00187381"/>
    <w:rsid w:val="00187491"/>
    <w:rsid w:val="001874F8"/>
    <w:rsid w:val="00187547"/>
    <w:rsid w:val="0018756C"/>
    <w:rsid w:val="001875B4"/>
    <w:rsid w:val="0018768B"/>
    <w:rsid w:val="0018769C"/>
    <w:rsid w:val="001876CF"/>
    <w:rsid w:val="001876E5"/>
    <w:rsid w:val="0018772D"/>
    <w:rsid w:val="00187810"/>
    <w:rsid w:val="00187816"/>
    <w:rsid w:val="00187895"/>
    <w:rsid w:val="001878CC"/>
    <w:rsid w:val="001878CE"/>
    <w:rsid w:val="001878FF"/>
    <w:rsid w:val="00187A74"/>
    <w:rsid w:val="00187A80"/>
    <w:rsid w:val="00187B20"/>
    <w:rsid w:val="00187B25"/>
    <w:rsid w:val="00187B62"/>
    <w:rsid w:val="00187BB2"/>
    <w:rsid w:val="00187BD6"/>
    <w:rsid w:val="00187C46"/>
    <w:rsid w:val="00187CB1"/>
    <w:rsid w:val="00187D36"/>
    <w:rsid w:val="00187D73"/>
    <w:rsid w:val="00187E66"/>
    <w:rsid w:val="00187E87"/>
    <w:rsid w:val="00187E9F"/>
    <w:rsid w:val="00187F86"/>
    <w:rsid w:val="00187FAF"/>
    <w:rsid w:val="00187FE6"/>
    <w:rsid w:val="00190178"/>
    <w:rsid w:val="0019017B"/>
    <w:rsid w:val="001901D6"/>
    <w:rsid w:val="00190238"/>
    <w:rsid w:val="00190248"/>
    <w:rsid w:val="00190293"/>
    <w:rsid w:val="0019029E"/>
    <w:rsid w:val="001902B5"/>
    <w:rsid w:val="001902BE"/>
    <w:rsid w:val="001902EE"/>
    <w:rsid w:val="00190315"/>
    <w:rsid w:val="0019047C"/>
    <w:rsid w:val="00190483"/>
    <w:rsid w:val="001904A7"/>
    <w:rsid w:val="001904E1"/>
    <w:rsid w:val="0019056C"/>
    <w:rsid w:val="00190706"/>
    <w:rsid w:val="001907F8"/>
    <w:rsid w:val="00190859"/>
    <w:rsid w:val="001908B3"/>
    <w:rsid w:val="001909F5"/>
    <w:rsid w:val="00190A29"/>
    <w:rsid w:val="00190A82"/>
    <w:rsid w:val="00190AD4"/>
    <w:rsid w:val="00190AE3"/>
    <w:rsid w:val="00190B4B"/>
    <w:rsid w:val="00190C28"/>
    <w:rsid w:val="00190C91"/>
    <w:rsid w:val="00190D26"/>
    <w:rsid w:val="00190D32"/>
    <w:rsid w:val="00190D3A"/>
    <w:rsid w:val="00190D61"/>
    <w:rsid w:val="00190DB7"/>
    <w:rsid w:val="00190DD1"/>
    <w:rsid w:val="00190E49"/>
    <w:rsid w:val="00190F91"/>
    <w:rsid w:val="001910F4"/>
    <w:rsid w:val="001910F8"/>
    <w:rsid w:val="00191103"/>
    <w:rsid w:val="00191210"/>
    <w:rsid w:val="0019129E"/>
    <w:rsid w:val="001912A4"/>
    <w:rsid w:val="001912BD"/>
    <w:rsid w:val="00191310"/>
    <w:rsid w:val="001913BC"/>
    <w:rsid w:val="00191484"/>
    <w:rsid w:val="00191548"/>
    <w:rsid w:val="001915D3"/>
    <w:rsid w:val="00191638"/>
    <w:rsid w:val="0019186E"/>
    <w:rsid w:val="00191871"/>
    <w:rsid w:val="001918C8"/>
    <w:rsid w:val="00191A3F"/>
    <w:rsid w:val="00191AA5"/>
    <w:rsid w:val="00191AC0"/>
    <w:rsid w:val="00191ACB"/>
    <w:rsid w:val="00191B90"/>
    <w:rsid w:val="00191BB1"/>
    <w:rsid w:val="00191BF9"/>
    <w:rsid w:val="00191C5B"/>
    <w:rsid w:val="00191C82"/>
    <w:rsid w:val="00191CDF"/>
    <w:rsid w:val="00191D0C"/>
    <w:rsid w:val="00191EB0"/>
    <w:rsid w:val="00191ECD"/>
    <w:rsid w:val="00191FD9"/>
    <w:rsid w:val="001920C3"/>
    <w:rsid w:val="0019210B"/>
    <w:rsid w:val="00192241"/>
    <w:rsid w:val="00192272"/>
    <w:rsid w:val="00192339"/>
    <w:rsid w:val="0019234B"/>
    <w:rsid w:val="00192386"/>
    <w:rsid w:val="00192468"/>
    <w:rsid w:val="00192476"/>
    <w:rsid w:val="00192486"/>
    <w:rsid w:val="00192595"/>
    <w:rsid w:val="00192652"/>
    <w:rsid w:val="001926B6"/>
    <w:rsid w:val="00192712"/>
    <w:rsid w:val="001927CB"/>
    <w:rsid w:val="0019292B"/>
    <w:rsid w:val="0019292C"/>
    <w:rsid w:val="0019295A"/>
    <w:rsid w:val="001929D7"/>
    <w:rsid w:val="00192A68"/>
    <w:rsid w:val="00192B2E"/>
    <w:rsid w:val="00192BA4"/>
    <w:rsid w:val="00192C61"/>
    <w:rsid w:val="00192D8F"/>
    <w:rsid w:val="00192DD1"/>
    <w:rsid w:val="00192DEC"/>
    <w:rsid w:val="00192F00"/>
    <w:rsid w:val="00192F1F"/>
    <w:rsid w:val="00192FF6"/>
    <w:rsid w:val="00193001"/>
    <w:rsid w:val="00193007"/>
    <w:rsid w:val="0019303B"/>
    <w:rsid w:val="00193040"/>
    <w:rsid w:val="0019305D"/>
    <w:rsid w:val="001930E8"/>
    <w:rsid w:val="00193181"/>
    <w:rsid w:val="001931D3"/>
    <w:rsid w:val="00193245"/>
    <w:rsid w:val="00193260"/>
    <w:rsid w:val="001932B2"/>
    <w:rsid w:val="001932F6"/>
    <w:rsid w:val="00193336"/>
    <w:rsid w:val="00193373"/>
    <w:rsid w:val="001933DC"/>
    <w:rsid w:val="001933EA"/>
    <w:rsid w:val="0019343A"/>
    <w:rsid w:val="001934BF"/>
    <w:rsid w:val="001934CF"/>
    <w:rsid w:val="0019357D"/>
    <w:rsid w:val="0019364B"/>
    <w:rsid w:val="001936BB"/>
    <w:rsid w:val="001936C0"/>
    <w:rsid w:val="00193736"/>
    <w:rsid w:val="001937F3"/>
    <w:rsid w:val="00193851"/>
    <w:rsid w:val="001938A1"/>
    <w:rsid w:val="001938BE"/>
    <w:rsid w:val="001938FE"/>
    <w:rsid w:val="00193949"/>
    <w:rsid w:val="00193965"/>
    <w:rsid w:val="001939C3"/>
    <w:rsid w:val="00193A11"/>
    <w:rsid w:val="00193AFF"/>
    <w:rsid w:val="00193B58"/>
    <w:rsid w:val="00193B70"/>
    <w:rsid w:val="00193B99"/>
    <w:rsid w:val="00193BD5"/>
    <w:rsid w:val="00193BE8"/>
    <w:rsid w:val="00193C3C"/>
    <w:rsid w:val="00193C78"/>
    <w:rsid w:val="00193D1D"/>
    <w:rsid w:val="00193D66"/>
    <w:rsid w:val="00193DBE"/>
    <w:rsid w:val="00193DEB"/>
    <w:rsid w:val="00193E6E"/>
    <w:rsid w:val="00193EDD"/>
    <w:rsid w:val="00193EF2"/>
    <w:rsid w:val="00193F3A"/>
    <w:rsid w:val="00193F43"/>
    <w:rsid w:val="00193FFB"/>
    <w:rsid w:val="00194066"/>
    <w:rsid w:val="0019409E"/>
    <w:rsid w:val="001940AA"/>
    <w:rsid w:val="001940B1"/>
    <w:rsid w:val="00194179"/>
    <w:rsid w:val="001941AA"/>
    <w:rsid w:val="001941AE"/>
    <w:rsid w:val="001942E2"/>
    <w:rsid w:val="00194304"/>
    <w:rsid w:val="00194424"/>
    <w:rsid w:val="0019457E"/>
    <w:rsid w:val="001945DB"/>
    <w:rsid w:val="0019460B"/>
    <w:rsid w:val="00194663"/>
    <w:rsid w:val="00194692"/>
    <w:rsid w:val="0019473C"/>
    <w:rsid w:val="0019476A"/>
    <w:rsid w:val="001948AB"/>
    <w:rsid w:val="0019493B"/>
    <w:rsid w:val="001949B6"/>
    <w:rsid w:val="001949D3"/>
    <w:rsid w:val="001949F9"/>
    <w:rsid w:val="00194AB9"/>
    <w:rsid w:val="00194BC7"/>
    <w:rsid w:val="00194BE0"/>
    <w:rsid w:val="00194C0C"/>
    <w:rsid w:val="00194C79"/>
    <w:rsid w:val="00194D96"/>
    <w:rsid w:val="00194DDE"/>
    <w:rsid w:val="00194E4B"/>
    <w:rsid w:val="00194E82"/>
    <w:rsid w:val="00194EFC"/>
    <w:rsid w:val="00194F10"/>
    <w:rsid w:val="00194F24"/>
    <w:rsid w:val="00194F9C"/>
    <w:rsid w:val="00195083"/>
    <w:rsid w:val="00195084"/>
    <w:rsid w:val="001950DA"/>
    <w:rsid w:val="00195161"/>
    <w:rsid w:val="001951EC"/>
    <w:rsid w:val="00195226"/>
    <w:rsid w:val="00195241"/>
    <w:rsid w:val="00195245"/>
    <w:rsid w:val="0019526B"/>
    <w:rsid w:val="00195274"/>
    <w:rsid w:val="00195278"/>
    <w:rsid w:val="0019556C"/>
    <w:rsid w:val="001955BE"/>
    <w:rsid w:val="001955DC"/>
    <w:rsid w:val="00195657"/>
    <w:rsid w:val="001956A9"/>
    <w:rsid w:val="001956AF"/>
    <w:rsid w:val="00195757"/>
    <w:rsid w:val="001957EE"/>
    <w:rsid w:val="0019580B"/>
    <w:rsid w:val="001959AD"/>
    <w:rsid w:val="001959D1"/>
    <w:rsid w:val="00195A28"/>
    <w:rsid w:val="00195AC3"/>
    <w:rsid w:val="00195B49"/>
    <w:rsid w:val="00195B58"/>
    <w:rsid w:val="00195C25"/>
    <w:rsid w:val="00195C35"/>
    <w:rsid w:val="00195D20"/>
    <w:rsid w:val="00195D2E"/>
    <w:rsid w:val="00195D9E"/>
    <w:rsid w:val="00195DE9"/>
    <w:rsid w:val="00195E5B"/>
    <w:rsid w:val="00195F19"/>
    <w:rsid w:val="0019619A"/>
    <w:rsid w:val="001961B1"/>
    <w:rsid w:val="001961DD"/>
    <w:rsid w:val="0019625A"/>
    <w:rsid w:val="001962B8"/>
    <w:rsid w:val="0019644B"/>
    <w:rsid w:val="0019651B"/>
    <w:rsid w:val="00196563"/>
    <w:rsid w:val="001965E9"/>
    <w:rsid w:val="0019662A"/>
    <w:rsid w:val="0019665C"/>
    <w:rsid w:val="001967C0"/>
    <w:rsid w:val="001967DB"/>
    <w:rsid w:val="0019687C"/>
    <w:rsid w:val="00196888"/>
    <w:rsid w:val="001968D8"/>
    <w:rsid w:val="00196923"/>
    <w:rsid w:val="0019694A"/>
    <w:rsid w:val="001969BA"/>
    <w:rsid w:val="00196A39"/>
    <w:rsid w:val="00196BE3"/>
    <w:rsid w:val="00196C2A"/>
    <w:rsid w:val="00196C53"/>
    <w:rsid w:val="00196D13"/>
    <w:rsid w:val="00196DB6"/>
    <w:rsid w:val="00196E0F"/>
    <w:rsid w:val="00196EC2"/>
    <w:rsid w:val="00196F46"/>
    <w:rsid w:val="00196FDC"/>
    <w:rsid w:val="0019703C"/>
    <w:rsid w:val="001970BA"/>
    <w:rsid w:val="001970D9"/>
    <w:rsid w:val="001970FE"/>
    <w:rsid w:val="0019711A"/>
    <w:rsid w:val="00197160"/>
    <w:rsid w:val="0019731C"/>
    <w:rsid w:val="0019736C"/>
    <w:rsid w:val="00197381"/>
    <w:rsid w:val="0019741B"/>
    <w:rsid w:val="00197462"/>
    <w:rsid w:val="001974C6"/>
    <w:rsid w:val="00197562"/>
    <w:rsid w:val="00197729"/>
    <w:rsid w:val="0019772A"/>
    <w:rsid w:val="00197795"/>
    <w:rsid w:val="001978D9"/>
    <w:rsid w:val="00197959"/>
    <w:rsid w:val="001979D4"/>
    <w:rsid w:val="00197A4B"/>
    <w:rsid w:val="00197A5F"/>
    <w:rsid w:val="00197AEC"/>
    <w:rsid w:val="00197B3D"/>
    <w:rsid w:val="00197B76"/>
    <w:rsid w:val="00197B78"/>
    <w:rsid w:val="00197BD0"/>
    <w:rsid w:val="00197BD3"/>
    <w:rsid w:val="00197BE4"/>
    <w:rsid w:val="00197C00"/>
    <w:rsid w:val="00197C8C"/>
    <w:rsid w:val="00197DD8"/>
    <w:rsid w:val="00197E12"/>
    <w:rsid w:val="001A0022"/>
    <w:rsid w:val="001A005D"/>
    <w:rsid w:val="001A006D"/>
    <w:rsid w:val="001A00E6"/>
    <w:rsid w:val="001A00ED"/>
    <w:rsid w:val="001A00F0"/>
    <w:rsid w:val="001A017A"/>
    <w:rsid w:val="001A0207"/>
    <w:rsid w:val="001A0264"/>
    <w:rsid w:val="001A0306"/>
    <w:rsid w:val="001A031C"/>
    <w:rsid w:val="001A03BC"/>
    <w:rsid w:val="001A0428"/>
    <w:rsid w:val="001A0451"/>
    <w:rsid w:val="001A04AC"/>
    <w:rsid w:val="001A05A5"/>
    <w:rsid w:val="001A05F7"/>
    <w:rsid w:val="001A06A8"/>
    <w:rsid w:val="001A0721"/>
    <w:rsid w:val="001A07F4"/>
    <w:rsid w:val="001A0966"/>
    <w:rsid w:val="001A09C5"/>
    <w:rsid w:val="001A0AD6"/>
    <w:rsid w:val="001A0AEB"/>
    <w:rsid w:val="001A0B77"/>
    <w:rsid w:val="001A0BD2"/>
    <w:rsid w:val="001A0C2B"/>
    <w:rsid w:val="001A0DD8"/>
    <w:rsid w:val="001A0DDD"/>
    <w:rsid w:val="001A0DE4"/>
    <w:rsid w:val="001A0E29"/>
    <w:rsid w:val="001A0E4B"/>
    <w:rsid w:val="001A0E71"/>
    <w:rsid w:val="001A0F5F"/>
    <w:rsid w:val="001A0F69"/>
    <w:rsid w:val="001A0F94"/>
    <w:rsid w:val="001A0F9F"/>
    <w:rsid w:val="001A0FAA"/>
    <w:rsid w:val="001A104E"/>
    <w:rsid w:val="001A106D"/>
    <w:rsid w:val="001A10A6"/>
    <w:rsid w:val="001A119B"/>
    <w:rsid w:val="001A11A3"/>
    <w:rsid w:val="001A11A9"/>
    <w:rsid w:val="001A11AB"/>
    <w:rsid w:val="001A11F4"/>
    <w:rsid w:val="001A122B"/>
    <w:rsid w:val="001A132D"/>
    <w:rsid w:val="001A13A5"/>
    <w:rsid w:val="001A1454"/>
    <w:rsid w:val="001A15AA"/>
    <w:rsid w:val="001A163D"/>
    <w:rsid w:val="001A171A"/>
    <w:rsid w:val="001A173A"/>
    <w:rsid w:val="001A175B"/>
    <w:rsid w:val="001A176A"/>
    <w:rsid w:val="001A1772"/>
    <w:rsid w:val="001A17B2"/>
    <w:rsid w:val="001A17B9"/>
    <w:rsid w:val="001A17BE"/>
    <w:rsid w:val="001A1840"/>
    <w:rsid w:val="001A185B"/>
    <w:rsid w:val="001A18DC"/>
    <w:rsid w:val="001A1925"/>
    <w:rsid w:val="001A19CE"/>
    <w:rsid w:val="001A19E6"/>
    <w:rsid w:val="001A1A09"/>
    <w:rsid w:val="001A1A10"/>
    <w:rsid w:val="001A1AB7"/>
    <w:rsid w:val="001A1AF6"/>
    <w:rsid w:val="001A1B1F"/>
    <w:rsid w:val="001A1B79"/>
    <w:rsid w:val="001A1BC4"/>
    <w:rsid w:val="001A1BF1"/>
    <w:rsid w:val="001A1C51"/>
    <w:rsid w:val="001A1C56"/>
    <w:rsid w:val="001A1C8F"/>
    <w:rsid w:val="001A1D3C"/>
    <w:rsid w:val="001A1D4C"/>
    <w:rsid w:val="001A1DAC"/>
    <w:rsid w:val="001A1DDF"/>
    <w:rsid w:val="001A1E56"/>
    <w:rsid w:val="001A1E79"/>
    <w:rsid w:val="001A1ECA"/>
    <w:rsid w:val="001A1EEA"/>
    <w:rsid w:val="001A1EFD"/>
    <w:rsid w:val="001A1FF7"/>
    <w:rsid w:val="001A201C"/>
    <w:rsid w:val="001A209B"/>
    <w:rsid w:val="001A2207"/>
    <w:rsid w:val="001A2238"/>
    <w:rsid w:val="001A2247"/>
    <w:rsid w:val="001A2297"/>
    <w:rsid w:val="001A22D6"/>
    <w:rsid w:val="001A22F7"/>
    <w:rsid w:val="001A2328"/>
    <w:rsid w:val="001A232E"/>
    <w:rsid w:val="001A234D"/>
    <w:rsid w:val="001A2363"/>
    <w:rsid w:val="001A23D3"/>
    <w:rsid w:val="001A2449"/>
    <w:rsid w:val="001A2453"/>
    <w:rsid w:val="001A24A8"/>
    <w:rsid w:val="001A24CE"/>
    <w:rsid w:val="001A2553"/>
    <w:rsid w:val="001A2656"/>
    <w:rsid w:val="001A2746"/>
    <w:rsid w:val="001A278B"/>
    <w:rsid w:val="001A283E"/>
    <w:rsid w:val="001A28D4"/>
    <w:rsid w:val="001A28F1"/>
    <w:rsid w:val="001A2912"/>
    <w:rsid w:val="001A29B6"/>
    <w:rsid w:val="001A29E3"/>
    <w:rsid w:val="001A29FE"/>
    <w:rsid w:val="001A2AC3"/>
    <w:rsid w:val="001A2B79"/>
    <w:rsid w:val="001A2BA1"/>
    <w:rsid w:val="001A2BC8"/>
    <w:rsid w:val="001A2C17"/>
    <w:rsid w:val="001A2D22"/>
    <w:rsid w:val="001A2DC1"/>
    <w:rsid w:val="001A2DD1"/>
    <w:rsid w:val="001A2ECB"/>
    <w:rsid w:val="001A2F53"/>
    <w:rsid w:val="001A2FC4"/>
    <w:rsid w:val="001A2FE1"/>
    <w:rsid w:val="001A2FFC"/>
    <w:rsid w:val="001A3046"/>
    <w:rsid w:val="001A3047"/>
    <w:rsid w:val="001A30F2"/>
    <w:rsid w:val="001A315B"/>
    <w:rsid w:val="001A31B0"/>
    <w:rsid w:val="001A31EC"/>
    <w:rsid w:val="001A3240"/>
    <w:rsid w:val="001A3268"/>
    <w:rsid w:val="001A3290"/>
    <w:rsid w:val="001A32AB"/>
    <w:rsid w:val="001A3319"/>
    <w:rsid w:val="001A3422"/>
    <w:rsid w:val="001A355A"/>
    <w:rsid w:val="001A356A"/>
    <w:rsid w:val="001A36D1"/>
    <w:rsid w:val="001A37B1"/>
    <w:rsid w:val="001A382B"/>
    <w:rsid w:val="001A394B"/>
    <w:rsid w:val="001A3A4C"/>
    <w:rsid w:val="001A3AB4"/>
    <w:rsid w:val="001A3B17"/>
    <w:rsid w:val="001A3BE8"/>
    <w:rsid w:val="001A3C41"/>
    <w:rsid w:val="001A3C78"/>
    <w:rsid w:val="001A3C9C"/>
    <w:rsid w:val="001A3D04"/>
    <w:rsid w:val="001A3D2C"/>
    <w:rsid w:val="001A3E19"/>
    <w:rsid w:val="001A3E89"/>
    <w:rsid w:val="001A3ED4"/>
    <w:rsid w:val="001A3F1A"/>
    <w:rsid w:val="001A3F88"/>
    <w:rsid w:val="001A3FDF"/>
    <w:rsid w:val="001A402B"/>
    <w:rsid w:val="001A406B"/>
    <w:rsid w:val="001A4119"/>
    <w:rsid w:val="001A416C"/>
    <w:rsid w:val="001A419B"/>
    <w:rsid w:val="001A429B"/>
    <w:rsid w:val="001A4373"/>
    <w:rsid w:val="001A437E"/>
    <w:rsid w:val="001A438E"/>
    <w:rsid w:val="001A4395"/>
    <w:rsid w:val="001A4431"/>
    <w:rsid w:val="001A4468"/>
    <w:rsid w:val="001A44AE"/>
    <w:rsid w:val="001A44D0"/>
    <w:rsid w:val="001A4524"/>
    <w:rsid w:val="001A45BA"/>
    <w:rsid w:val="001A46A7"/>
    <w:rsid w:val="001A46BF"/>
    <w:rsid w:val="001A46FA"/>
    <w:rsid w:val="001A4710"/>
    <w:rsid w:val="001A474E"/>
    <w:rsid w:val="001A4772"/>
    <w:rsid w:val="001A47C4"/>
    <w:rsid w:val="001A495B"/>
    <w:rsid w:val="001A49A6"/>
    <w:rsid w:val="001A4A17"/>
    <w:rsid w:val="001A4AAA"/>
    <w:rsid w:val="001A4BB8"/>
    <w:rsid w:val="001A4BE1"/>
    <w:rsid w:val="001A4BE6"/>
    <w:rsid w:val="001A4D00"/>
    <w:rsid w:val="001A4D06"/>
    <w:rsid w:val="001A4D09"/>
    <w:rsid w:val="001A4D65"/>
    <w:rsid w:val="001A4DB8"/>
    <w:rsid w:val="001A4E06"/>
    <w:rsid w:val="001A4EE8"/>
    <w:rsid w:val="001A4F64"/>
    <w:rsid w:val="001A4F83"/>
    <w:rsid w:val="001A5004"/>
    <w:rsid w:val="001A502A"/>
    <w:rsid w:val="001A50C5"/>
    <w:rsid w:val="001A50D1"/>
    <w:rsid w:val="001A5155"/>
    <w:rsid w:val="001A5213"/>
    <w:rsid w:val="001A52A0"/>
    <w:rsid w:val="001A52A7"/>
    <w:rsid w:val="001A533C"/>
    <w:rsid w:val="001A535A"/>
    <w:rsid w:val="001A5401"/>
    <w:rsid w:val="001A5416"/>
    <w:rsid w:val="001A54EF"/>
    <w:rsid w:val="001A5617"/>
    <w:rsid w:val="001A5635"/>
    <w:rsid w:val="001A569D"/>
    <w:rsid w:val="001A5914"/>
    <w:rsid w:val="001A59EC"/>
    <w:rsid w:val="001A5AD7"/>
    <w:rsid w:val="001A5B58"/>
    <w:rsid w:val="001A5BE6"/>
    <w:rsid w:val="001A5C50"/>
    <w:rsid w:val="001A5C72"/>
    <w:rsid w:val="001A5CAD"/>
    <w:rsid w:val="001A5CCC"/>
    <w:rsid w:val="001A5CFB"/>
    <w:rsid w:val="001A5D04"/>
    <w:rsid w:val="001A5E34"/>
    <w:rsid w:val="001A5E64"/>
    <w:rsid w:val="001A5F51"/>
    <w:rsid w:val="001A5F55"/>
    <w:rsid w:val="001A6055"/>
    <w:rsid w:val="001A634D"/>
    <w:rsid w:val="001A637F"/>
    <w:rsid w:val="001A639C"/>
    <w:rsid w:val="001A6487"/>
    <w:rsid w:val="001A64EB"/>
    <w:rsid w:val="001A650F"/>
    <w:rsid w:val="001A6579"/>
    <w:rsid w:val="001A6644"/>
    <w:rsid w:val="001A666E"/>
    <w:rsid w:val="001A66F0"/>
    <w:rsid w:val="001A6797"/>
    <w:rsid w:val="001A6809"/>
    <w:rsid w:val="001A6868"/>
    <w:rsid w:val="001A68FF"/>
    <w:rsid w:val="001A6BFD"/>
    <w:rsid w:val="001A6C23"/>
    <w:rsid w:val="001A6C57"/>
    <w:rsid w:val="001A6CED"/>
    <w:rsid w:val="001A6D25"/>
    <w:rsid w:val="001A6E6C"/>
    <w:rsid w:val="001A7010"/>
    <w:rsid w:val="001A70E1"/>
    <w:rsid w:val="001A710F"/>
    <w:rsid w:val="001A7204"/>
    <w:rsid w:val="001A720B"/>
    <w:rsid w:val="001A727E"/>
    <w:rsid w:val="001A7305"/>
    <w:rsid w:val="001A7322"/>
    <w:rsid w:val="001A7340"/>
    <w:rsid w:val="001A7595"/>
    <w:rsid w:val="001A75A6"/>
    <w:rsid w:val="001A75CD"/>
    <w:rsid w:val="001A763E"/>
    <w:rsid w:val="001A7663"/>
    <w:rsid w:val="001A76D5"/>
    <w:rsid w:val="001A7798"/>
    <w:rsid w:val="001A77A9"/>
    <w:rsid w:val="001A7844"/>
    <w:rsid w:val="001A784C"/>
    <w:rsid w:val="001A78EB"/>
    <w:rsid w:val="001A796D"/>
    <w:rsid w:val="001A7A34"/>
    <w:rsid w:val="001A7A3A"/>
    <w:rsid w:val="001A7B6E"/>
    <w:rsid w:val="001A7BCE"/>
    <w:rsid w:val="001A7C2F"/>
    <w:rsid w:val="001A7C34"/>
    <w:rsid w:val="001A7C7D"/>
    <w:rsid w:val="001A7D48"/>
    <w:rsid w:val="001A7D7F"/>
    <w:rsid w:val="001A7F47"/>
    <w:rsid w:val="001A7FF9"/>
    <w:rsid w:val="001B0025"/>
    <w:rsid w:val="001B0026"/>
    <w:rsid w:val="001B0044"/>
    <w:rsid w:val="001B00E7"/>
    <w:rsid w:val="001B0146"/>
    <w:rsid w:val="001B0168"/>
    <w:rsid w:val="001B024D"/>
    <w:rsid w:val="001B0385"/>
    <w:rsid w:val="001B048C"/>
    <w:rsid w:val="001B048E"/>
    <w:rsid w:val="001B04F4"/>
    <w:rsid w:val="001B0587"/>
    <w:rsid w:val="001B05F1"/>
    <w:rsid w:val="001B064E"/>
    <w:rsid w:val="001B0655"/>
    <w:rsid w:val="001B067A"/>
    <w:rsid w:val="001B06EC"/>
    <w:rsid w:val="001B07A4"/>
    <w:rsid w:val="001B07D1"/>
    <w:rsid w:val="001B0840"/>
    <w:rsid w:val="001B0878"/>
    <w:rsid w:val="001B0891"/>
    <w:rsid w:val="001B08BE"/>
    <w:rsid w:val="001B08F3"/>
    <w:rsid w:val="001B09A6"/>
    <w:rsid w:val="001B09DB"/>
    <w:rsid w:val="001B0A66"/>
    <w:rsid w:val="001B0AD3"/>
    <w:rsid w:val="001B0C82"/>
    <w:rsid w:val="001B0CE1"/>
    <w:rsid w:val="001B0CF3"/>
    <w:rsid w:val="001B0D57"/>
    <w:rsid w:val="001B0E97"/>
    <w:rsid w:val="001B0E9A"/>
    <w:rsid w:val="001B0F0E"/>
    <w:rsid w:val="001B0F25"/>
    <w:rsid w:val="001B0F32"/>
    <w:rsid w:val="001B0F7B"/>
    <w:rsid w:val="001B0F7C"/>
    <w:rsid w:val="001B106B"/>
    <w:rsid w:val="001B10B9"/>
    <w:rsid w:val="001B10EF"/>
    <w:rsid w:val="001B121E"/>
    <w:rsid w:val="001B124A"/>
    <w:rsid w:val="001B128B"/>
    <w:rsid w:val="001B1291"/>
    <w:rsid w:val="001B138C"/>
    <w:rsid w:val="001B13C5"/>
    <w:rsid w:val="001B13D6"/>
    <w:rsid w:val="001B1447"/>
    <w:rsid w:val="001B15DB"/>
    <w:rsid w:val="001B1604"/>
    <w:rsid w:val="001B1637"/>
    <w:rsid w:val="001B167D"/>
    <w:rsid w:val="001B16A4"/>
    <w:rsid w:val="001B1837"/>
    <w:rsid w:val="001B18B5"/>
    <w:rsid w:val="001B1A5F"/>
    <w:rsid w:val="001B1B1C"/>
    <w:rsid w:val="001B1B30"/>
    <w:rsid w:val="001B1B5C"/>
    <w:rsid w:val="001B1C52"/>
    <w:rsid w:val="001B1CC2"/>
    <w:rsid w:val="001B1DE6"/>
    <w:rsid w:val="001B1EAE"/>
    <w:rsid w:val="001B1EB8"/>
    <w:rsid w:val="001B1F43"/>
    <w:rsid w:val="001B1F78"/>
    <w:rsid w:val="001B201B"/>
    <w:rsid w:val="001B20AF"/>
    <w:rsid w:val="001B2122"/>
    <w:rsid w:val="001B2182"/>
    <w:rsid w:val="001B21CC"/>
    <w:rsid w:val="001B21D8"/>
    <w:rsid w:val="001B2240"/>
    <w:rsid w:val="001B240A"/>
    <w:rsid w:val="001B24AE"/>
    <w:rsid w:val="001B2523"/>
    <w:rsid w:val="001B25F7"/>
    <w:rsid w:val="001B25FE"/>
    <w:rsid w:val="001B2619"/>
    <w:rsid w:val="001B266F"/>
    <w:rsid w:val="001B2730"/>
    <w:rsid w:val="001B27E8"/>
    <w:rsid w:val="001B2858"/>
    <w:rsid w:val="001B2888"/>
    <w:rsid w:val="001B28A3"/>
    <w:rsid w:val="001B28CE"/>
    <w:rsid w:val="001B28D1"/>
    <w:rsid w:val="001B2976"/>
    <w:rsid w:val="001B29FE"/>
    <w:rsid w:val="001B2A2C"/>
    <w:rsid w:val="001B2A5E"/>
    <w:rsid w:val="001B2AA3"/>
    <w:rsid w:val="001B2B58"/>
    <w:rsid w:val="001B2BA0"/>
    <w:rsid w:val="001B2C33"/>
    <w:rsid w:val="001B2C57"/>
    <w:rsid w:val="001B2D01"/>
    <w:rsid w:val="001B2DBB"/>
    <w:rsid w:val="001B2DD3"/>
    <w:rsid w:val="001B2E25"/>
    <w:rsid w:val="001B2E2D"/>
    <w:rsid w:val="001B2E97"/>
    <w:rsid w:val="001B2EEF"/>
    <w:rsid w:val="001B2F88"/>
    <w:rsid w:val="001B2FE3"/>
    <w:rsid w:val="001B30D3"/>
    <w:rsid w:val="001B30F4"/>
    <w:rsid w:val="001B3173"/>
    <w:rsid w:val="001B3236"/>
    <w:rsid w:val="001B3248"/>
    <w:rsid w:val="001B32E6"/>
    <w:rsid w:val="001B3364"/>
    <w:rsid w:val="001B337C"/>
    <w:rsid w:val="001B3383"/>
    <w:rsid w:val="001B3416"/>
    <w:rsid w:val="001B3450"/>
    <w:rsid w:val="001B3520"/>
    <w:rsid w:val="001B3596"/>
    <w:rsid w:val="001B36A4"/>
    <w:rsid w:val="001B36BD"/>
    <w:rsid w:val="001B3733"/>
    <w:rsid w:val="001B3786"/>
    <w:rsid w:val="001B395C"/>
    <w:rsid w:val="001B39C7"/>
    <w:rsid w:val="001B3A42"/>
    <w:rsid w:val="001B3B55"/>
    <w:rsid w:val="001B3BA8"/>
    <w:rsid w:val="001B3BBF"/>
    <w:rsid w:val="001B3DB4"/>
    <w:rsid w:val="001B3EAD"/>
    <w:rsid w:val="001B3EF4"/>
    <w:rsid w:val="001B3FFA"/>
    <w:rsid w:val="001B4087"/>
    <w:rsid w:val="001B4089"/>
    <w:rsid w:val="001B4092"/>
    <w:rsid w:val="001B4115"/>
    <w:rsid w:val="001B4232"/>
    <w:rsid w:val="001B4249"/>
    <w:rsid w:val="001B451A"/>
    <w:rsid w:val="001B463B"/>
    <w:rsid w:val="001B4644"/>
    <w:rsid w:val="001B4732"/>
    <w:rsid w:val="001B4800"/>
    <w:rsid w:val="001B48D4"/>
    <w:rsid w:val="001B49C5"/>
    <w:rsid w:val="001B4A32"/>
    <w:rsid w:val="001B4AB4"/>
    <w:rsid w:val="001B4B51"/>
    <w:rsid w:val="001B4BB7"/>
    <w:rsid w:val="001B4BDE"/>
    <w:rsid w:val="001B4C35"/>
    <w:rsid w:val="001B4C6D"/>
    <w:rsid w:val="001B4CFC"/>
    <w:rsid w:val="001B4D12"/>
    <w:rsid w:val="001B4D33"/>
    <w:rsid w:val="001B4E0E"/>
    <w:rsid w:val="001B4E42"/>
    <w:rsid w:val="001B4E90"/>
    <w:rsid w:val="001B4ECF"/>
    <w:rsid w:val="001B4EDE"/>
    <w:rsid w:val="001B4F61"/>
    <w:rsid w:val="001B4F9A"/>
    <w:rsid w:val="001B5042"/>
    <w:rsid w:val="001B50C8"/>
    <w:rsid w:val="001B50E3"/>
    <w:rsid w:val="001B51A3"/>
    <w:rsid w:val="001B523A"/>
    <w:rsid w:val="001B532B"/>
    <w:rsid w:val="001B53A0"/>
    <w:rsid w:val="001B5424"/>
    <w:rsid w:val="001B54A5"/>
    <w:rsid w:val="001B54EC"/>
    <w:rsid w:val="001B56F9"/>
    <w:rsid w:val="001B5741"/>
    <w:rsid w:val="001B576B"/>
    <w:rsid w:val="001B57EB"/>
    <w:rsid w:val="001B58E3"/>
    <w:rsid w:val="001B592C"/>
    <w:rsid w:val="001B5A35"/>
    <w:rsid w:val="001B5A3C"/>
    <w:rsid w:val="001B5AB4"/>
    <w:rsid w:val="001B5B38"/>
    <w:rsid w:val="001B5B5F"/>
    <w:rsid w:val="001B5B61"/>
    <w:rsid w:val="001B5BCE"/>
    <w:rsid w:val="001B5C17"/>
    <w:rsid w:val="001B5C27"/>
    <w:rsid w:val="001B5D19"/>
    <w:rsid w:val="001B5D4D"/>
    <w:rsid w:val="001B5D53"/>
    <w:rsid w:val="001B5DC1"/>
    <w:rsid w:val="001B5DE3"/>
    <w:rsid w:val="001B5E32"/>
    <w:rsid w:val="001B5EB2"/>
    <w:rsid w:val="001B5EDB"/>
    <w:rsid w:val="001B5F0E"/>
    <w:rsid w:val="001B5F23"/>
    <w:rsid w:val="001B60D3"/>
    <w:rsid w:val="001B6137"/>
    <w:rsid w:val="001B6175"/>
    <w:rsid w:val="001B61F6"/>
    <w:rsid w:val="001B62EA"/>
    <w:rsid w:val="001B6394"/>
    <w:rsid w:val="001B63BE"/>
    <w:rsid w:val="001B6432"/>
    <w:rsid w:val="001B6442"/>
    <w:rsid w:val="001B6458"/>
    <w:rsid w:val="001B652B"/>
    <w:rsid w:val="001B6588"/>
    <w:rsid w:val="001B660D"/>
    <w:rsid w:val="001B6697"/>
    <w:rsid w:val="001B66D8"/>
    <w:rsid w:val="001B677E"/>
    <w:rsid w:val="001B6821"/>
    <w:rsid w:val="001B6A17"/>
    <w:rsid w:val="001B6A2E"/>
    <w:rsid w:val="001B6A9C"/>
    <w:rsid w:val="001B6AD1"/>
    <w:rsid w:val="001B6AE0"/>
    <w:rsid w:val="001B6AF3"/>
    <w:rsid w:val="001B6AF6"/>
    <w:rsid w:val="001B6BF6"/>
    <w:rsid w:val="001B6C3C"/>
    <w:rsid w:val="001B6CA7"/>
    <w:rsid w:val="001B6CD0"/>
    <w:rsid w:val="001B6CDA"/>
    <w:rsid w:val="001B6CE3"/>
    <w:rsid w:val="001B6CE7"/>
    <w:rsid w:val="001B6E04"/>
    <w:rsid w:val="001B6E14"/>
    <w:rsid w:val="001B6E2C"/>
    <w:rsid w:val="001B6ED4"/>
    <w:rsid w:val="001B6EE6"/>
    <w:rsid w:val="001B6FD0"/>
    <w:rsid w:val="001B7056"/>
    <w:rsid w:val="001B7080"/>
    <w:rsid w:val="001B70DD"/>
    <w:rsid w:val="001B71C5"/>
    <w:rsid w:val="001B71CC"/>
    <w:rsid w:val="001B71E2"/>
    <w:rsid w:val="001B71E5"/>
    <w:rsid w:val="001B7203"/>
    <w:rsid w:val="001B7277"/>
    <w:rsid w:val="001B72DE"/>
    <w:rsid w:val="001B731B"/>
    <w:rsid w:val="001B73B3"/>
    <w:rsid w:val="001B7425"/>
    <w:rsid w:val="001B7486"/>
    <w:rsid w:val="001B7507"/>
    <w:rsid w:val="001B754A"/>
    <w:rsid w:val="001B7634"/>
    <w:rsid w:val="001B763E"/>
    <w:rsid w:val="001B765D"/>
    <w:rsid w:val="001B76B2"/>
    <w:rsid w:val="001B7710"/>
    <w:rsid w:val="001B7733"/>
    <w:rsid w:val="001B77E1"/>
    <w:rsid w:val="001B77F0"/>
    <w:rsid w:val="001B788B"/>
    <w:rsid w:val="001B78EE"/>
    <w:rsid w:val="001B79A5"/>
    <w:rsid w:val="001B7B1C"/>
    <w:rsid w:val="001B7BA0"/>
    <w:rsid w:val="001B7BB3"/>
    <w:rsid w:val="001B7BC4"/>
    <w:rsid w:val="001B7BCE"/>
    <w:rsid w:val="001B7BFB"/>
    <w:rsid w:val="001B7C16"/>
    <w:rsid w:val="001B7C21"/>
    <w:rsid w:val="001B7C33"/>
    <w:rsid w:val="001B7D61"/>
    <w:rsid w:val="001B7E78"/>
    <w:rsid w:val="001B7F33"/>
    <w:rsid w:val="001B7F3F"/>
    <w:rsid w:val="001B7F53"/>
    <w:rsid w:val="001C0044"/>
    <w:rsid w:val="001C0078"/>
    <w:rsid w:val="001C0091"/>
    <w:rsid w:val="001C024B"/>
    <w:rsid w:val="001C035E"/>
    <w:rsid w:val="001C0472"/>
    <w:rsid w:val="001C04BB"/>
    <w:rsid w:val="001C0544"/>
    <w:rsid w:val="001C0647"/>
    <w:rsid w:val="001C067D"/>
    <w:rsid w:val="001C067E"/>
    <w:rsid w:val="001C0759"/>
    <w:rsid w:val="001C078B"/>
    <w:rsid w:val="001C07A3"/>
    <w:rsid w:val="001C07D3"/>
    <w:rsid w:val="001C0855"/>
    <w:rsid w:val="001C0889"/>
    <w:rsid w:val="001C092A"/>
    <w:rsid w:val="001C0A08"/>
    <w:rsid w:val="001C0A0F"/>
    <w:rsid w:val="001C0A52"/>
    <w:rsid w:val="001C0BEA"/>
    <w:rsid w:val="001C0C37"/>
    <w:rsid w:val="001C0C38"/>
    <w:rsid w:val="001C0C9D"/>
    <w:rsid w:val="001C0CE9"/>
    <w:rsid w:val="001C0D4D"/>
    <w:rsid w:val="001C0DC5"/>
    <w:rsid w:val="001C0E2F"/>
    <w:rsid w:val="001C0F24"/>
    <w:rsid w:val="001C0F2C"/>
    <w:rsid w:val="001C117A"/>
    <w:rsid w:val="001C11B7"/>
    <w:rsid w:val="001C11C0"/>
    <w:rsid w:val="001C1210"/>
    <w:rsid w:val="001C124A"/>
    <w:rsid w:val="001C12CB"/>
    <w:rsid w:val="001C131A"/>
    <w:rsid w:val="001C1334"/>
    <w:rsid w:val="001C13B7"/>
    <w:rsid w:val="001C140B"/>
    <w:rsid w:val="001C143E"/>
    <w:rsid w:val="001C15F4"/>
    <w:rsid w:val="001C175F"/>
    <w:rsid w:val="001C17F9"/>
    <w:rsid w:val="001C1809"/>
    <w:rsid w:val="001C18E6"/>
    <w:rsid w:val="001C1933"/>
    <w:rsid w:val="001C1985"/>
    <w:rsid w:val="001C1A73"/>
    <w:rsid w:val="001C1A89"/>
    <w:rsid w:val="001C1AB1"/>
    <w:rsid w:val="001C1AE4"/>
    <w:rsid w:val="001C1AF2"/>
    <w:rsid w:val="001C1B36"/>
    <w:rsid w:val="001C1B38"/>
    <w:rsid w:val="001C1BAB"/>
    <w:rsid w:val="001C1C70"/>
    <w:rsid w:val="001C1D83"/>
    <w:rsid w:val="001C1E10"/>
    <w:rsid w:val="001C1E51"/>
    <w:rsid w:val="001C1F1C"/>
    <w:rsid w:val="001C1FED"/>
    <w:rsid w:val="001C209D"/>
    <w:rsid w:val="001C20F3"/>
    <w:rsid w:val="001C2125"/>
    <w:rsid w:val="001C2232"/>
    <w:rsid w:val="001C2279"/>
    <w:rsid w:val="001C22EA"/>
    <w:rsid w:val="001C23A8"/>
    <w:rsid w:val="001C23AA"/>
    <w:rsid w:val="001C242A"/>
    <w:rsid w:val="001C2449"/>
    <w:rsid w:val="001C245D"/>
    <w:rsid w:val="001C25EC"/>
    <w:rsid w:val="001C26D1"/>
    <w:rsid w:val="001C2732"/>
    <w:rsid w:val="001C2810"/>
    <w:rsid w:val="001C28A3"/>
    <w:rsid w:val="001C29F8"/>
    <w:rsid w:val="001C2A4A"/>
    <w:rsid w:val="001C2B8E"/>
    <w:rsid w:val="001C2BF3"/>
    <w:rsid w:val="001C2D1D"/>
    <w:rsid w:val="001C2D73"/>
    <w:rsid w:val="001C2F31"/>
    <w:rsid w:val="001C2FC9"/>
    <w:rsid w:val="001C30CB"/>
    <w:rsid w:val="001C30FC"/>
    <w:rsid w:val="001C32A7"/>
    <w:rsid w:val="001C340B"/>
    <w:rsid w:val="001C3416"/>
    <w:rsid w:val="001C343E"/>
    <w:rsid w:val="001C349E"/>
    <w:rsid w:val="001C3599"/>
    <w:rsid w:val="001C3605"/>
    <w:rsid w:val="001C3791"/>
    <w:rsid w:val="001C3874"/>
    <w:rsid w:val="001C38B0"/>
    <w:rsid w:val="001C392A"/>
    <w:rsid w:val="001C3980"/>
    <w:rsid w:val="001C39F4"/>
    <w:rsid w:val="001C3A18"/>
    <w:rsid w:val="001C3AC7"/>
    <w:rsid w:val="001C3B77"/>
    <w:rsid w:val="001C3B7B"/>
    <w:rsid w:val="001C3BAA"/>
    <w:rsid w:val="001C3BDA"/>
    <w:rsid w:val="001C3BDB"/>
    <w:rsid w:val="001C3C57"/>
    <w:rsid w:val="001C3C5A"/>
    <w:rsid w:val="001C3D9A"/>
    <w:rsid w:val="001C3DB8"/>
    <w:rsid w:val="001C3E3F"/>
    <w:rsid w:val="001C3E44"/>
    <w:rsid w:val="001C3F47"/>
    <w:rsid w:val="001C3F93"/>
    <w:rsid w:val="001C3F9E"/>
    <w:rsid w:val="001C403E"/>
    <w:rsid w:val="001C4066"/>
    <w:rsid w:val="001C40C2"/>
    <w:rsid w:val="001C41AB"/>
    <w:rsid w:val="001C41CC"/>
    <w:rsid w:val="001C41D0"/>
    <w:rsid w:val="001C41D3"/>
    <w:rsid w:val="001C41F7"/>
    <w:rsid w:val="001C42D5"/>
    <w:rsid w:val="001C4575"/>
    <w:rsid w:val="001C45FC"/>
    <w:rsid w:val="001C46D6"/>
    <w:rsid w:val="001C46F4"/>
    <w:rsid w:val="001C46F7"/>
    <w:rsid w:val="001C479C"/>
    <w:rsid w:val="001C47B2"/>
    <w:rsid w:val="001C47EF"/>
    <w:rsid w:val="001C4838"/>
    <w:rsid w:val="001C4937"/>
    <w:rsid w:val="001C49B1"/>
    <w:rsid w:val="001C49D3"/>
    <w:rsid w:val="001C4A01"/>
    <w:rsid w:val="001C4A4C"/>
    <w:rsid w:val="001C4AFC"/>
    <w:rsid w:val="001C4C0C"/>
    <w:rsid w:val="001C4C34"/>
    <w:rsid w:val="001C4C52"/>
    <w:rsid w:val="001C4CB5"/>
    <w:rsid w:val="001C4CDF"/>
    <w:rsid w:val="001C4D31"/>
    <w:rsid w:val="001C4F1B"/>
    <w:rsid w:val="001C4F27"/>
    <w:rsid w:val="001C4F55"/>
    <w:rsid w:val="001C4FC5"/>
    <w:rsid w:val="001C5019"/>
    <w:rsid w:val="001C508D"/>
    <w:rsid w:val="001C50AB"/>
    <w:rsid w:val="001C5124"/>
    <w:rsid w:val="001C5174"/>
    <w:rsid w:val="001C51F0"/>
    <w:rsid w:val="001C51FA"/>
    <w:rsid w:val="001C52AE"/>
    <w:rsid w:val="001C52D2"/>
    <w:rsid w:val="001C52E2"/>
    <w:rsid w:val="001C5353"/>
    <w:rsid w:val="001C5511"/>
    <w:rsid w:val="001C5644"/>
    <w:rsid w:val="001C5731"/>
    <w:rsid w:val="001C57B4"/>
    <w:rsid w:val="001C57B9"/>
    <w:rsid w:val="001C584D"/>
    <w:rsid w:val="001C584F"/>
    <w:rsid w:val="001C5869"/>
    <w:rsid w:val="001C5879"/>
    <w:rsid w:val="001C58C4"/>
    <w:rsid w:val="001C58CC"/>
    <w:rsid w:val="001C58F5"/>
    <w:rsid w:val="001C5922"/>
    <w:rsid w:val="001C5956"/>
    <w:rsid w:val="001C5961"/>
    <w:rsid w:val="001C59A8"/>
    <w:rsid w:val="001C5A0C"/>
    <w:rsid w:val="001C5A81"/>
    <w:rsid w:val="001C5AC7"/>
    <w:rsid w:val="001C5AE4"/>
    <w:rsid w:val="001C5B29"/>
    <w:rsid w:val="001C5B91"/>
    <w:rsid w:val="001C5C25"/>
    <w:rsid w:val="001C5C5D"/>
    <w:rsid w:val="001C5C6D"/>
    <w:rsid w:val="001C5C79"/>
    <w:rsid w:val="001C5C99"/>
    <w:rsid w:val="001C5CA8"/>
    <w:rsid w:val="001C5D46"/>
    <w:rsid w:val="001C5D47"/>
    <w:rsid w:val="001C5D4D"/>
    <w:rsid w:val="001C5D50"/>
    <w:rsid w:val="001C5E20"/>
    <w:rsid w:val="001C5E6B"/>
    <w:rsid w:val="001C5E76"/>
    <w:rsid w:val="001C5F8D"/>
    <w:rsid w:val="001C5FC8"/>
    <w:rsid w:val="001C61E5"/>
    <w:rsid w:val="001C621C"/>
    <w:rsid w:val="001C6253"/>
    <w:rsid w:val="001C62E5"/>
    <w:rsid w:val="001C635E"/>
    <w:rsid w:val="001C6368"/>
    <w:rsid w:val="001C636A"/>
    <w:rsid w:val="001C647C"/>
    <w:rsid w:val="001C64C3"/>
    <w:rsid w:val="001C64D6"/>
    <w:rsid w:val="001C659C"/>
    <w:rsid w:val="001C65FA"/>
    <w:rsid w:val="001C661D"/>
    <w:rsid w:val="001C6777"/>
    <w:rsid w:val="001C679C"/>
    <w:rsid w:val="001C67BD"/>
    <w:rsid w:val="001C67E1"/>
    <w:rsid w:val="001C6872"/>
    <w:rsid w:val="001C68B7"/>
    <w:rsid w:val="001C68D8"/>
    <w:rsid w:val="001C68E6"/>
    <w:rsid w:val="001C692C"/>
    <w:rsid w:val="001C696D"/>
    <w:rsid w:val="001C6990"/>
    <w:rsid w:val="001C69B9"/>
    <w:rsid w:val="001C6A3A"/>
    <w:rsid w:val="001C6A63"/>
    <w:rsid w:val="001C6A6C"/>
    <w:rsid w:val="001C6AB4"/>
    <w:rsid w:val="001C6AB8"/>
    <w:rsid w:val="001C6AB9"/>
    <w:rsid w:val="001C6B02"/>
    <w:rsid w:val="001C6B4B"/>
    <w:rsid w:val="001C6BC0"/>
    <w:rsid w:val="001C6BC7"/>
    <w:rsid w:val="001C6CCD"/>
    <w:rsid w:val="001C6D14"/>
    <w:rsid w:val="001C6E25"/>
    <w:rsid w:val="001C6EC0"/>
    <w:rsid w:val="001C6F56"/>
    <w:rsid w:val="001C7072"/>
    <w:rsid w:val="001C71E5"/>
    <w:rsid w:val="001C72AE"/>
    <w:rsid w:val="001C72C6"/>
    <w:rsid w:val="001C72D8"/>
    <w:rsid w:val="001C73BF"/>
    <w:rsid w:val="001C7405"/>
    <w:rsid w:val="001C740E"/>
    <w:rsid w:val="001C7455"/>
    <w:rsid w:val="001C7534"/>
    <w:rsid w:val="001C7544"/>
    <w:rsid w:val="001C758A"/>
    <w:rsid w:val="001C75CC"/>
    <w:rsid w:val="001C760E"/>
    <w:rsid w:val="001C77AD"/>
    <w:rsid w:val="001C77C7"/>
    <w:rsid w:val="001C78C3"/>
    <w:rsid w:val="001C7951"/>
    <w:rsid w:val="001C7993"/>
    <w:rsid w:val="001C7994"/>
    <w:rsid w:val="001C7A41"/>
    <w:rsid w:val="001C7AAD"/>
    <w:rsid w:val="001C7ADD"/>
    <w:rsid w:val="001C7B13"/>
    <w:rsid w:val="001C7B49"/>
    <w:rsid w:val="001C7B88"/>
    <w:rsid w:val="001C7C10"/>
    <w:rsid w:val="001C7C1F"/>
    <w:rsid w:val="001C7D49"/>
    <w:rsid w:val="001C7D53"/>
    <w:rsid w:val="001C7DC2"/>
    <w:rsid w:val="001C7E26"/>
    <w:rsid w:val="001C7E89"/>
    <w:rsid w:val="001C7F37"/>
    <w:rsid w:val="001C7FA0"/>
    <w:rsid w:val="001D0002"/>
    <w:rsid w:val="001D0253"/>
    <w:rsid w:val="001D0284"/>
    <w:rsid w:val="001D0296"/>
    <w:rsid w:val="001D030D"/>
    <w:rsid w:val="001D0342"/>
    <w:rsid w:val="001D03A3"/>
    <w:rsid w:val="001D03A4"/>
    <w:rsid w:val="001D03B1"/>
    <w:rsid w:val="001D0403"/>
    <w:rsid w:val="001D0435"/>
    <w:rsid w:val="001D0476"/>
    <w:rsid w:val="001D04A7"/>
    <w:rsid w:val="001D04B5"/>
    <w:rsid w:val="001D04C3"/>
    <w:rsid w:val="001D0532"/>
    <w:rsid w:val="001D053C"/>
    <w:rsid w:val="001D05FD"/>
    <w:rsid w:val="001D060C"/>
    <w:rsid w:val="001D067A"/>
    <w:rsid w:val="001D06B1"/>
    <w:rsid w:val="001D06EA"/>
    <w:rsid w:val="001D071C"/>
    <w:rsid w:val="001D0724"/>
    <w:rsid w:val="001D076B"/>
    <w:rsid w:val="001D07B4"/>
    <w:rsid w:val="001D0931"/>
    <w:rsid w:val="001D0960"/>
    <w:rsid w:val="001D09C4"/>
    <w:rsid w:val="001D09DF"/>
    <w:rsid w:val="001D0A2B"/>
    <w:rsid w:val="001D0A48"/>
    <w:rsid w:val="001D0B7D"/>
    <w:rsid w:val="001D0BED"/>
    <w:rsid w:val="001D0C1B"/>
    <w:rsid w:val="001D0C74"/>
    <w:rsid w:val="001D0C8F"/>
    <w:rsid w:val="001D0CA5"/>
    <w:rsid w:val="001D0CCD"/>
    <w:rsid w:val="001D0CDA"/>
    <w:rsid w:val="001D0DB6"/>
    <w:rsid w:val="001D0E5E"/>
    <w:rsid w:val="001D0E97"/>
    <w:rsid w:val="001D0EA7"/>
    <w:rsid w:val="001D0F84"/>
    <w:rsid w:val="001D0FA3"/>
    <w:rsid w:val="001D0FB6"/>
    <w:rsid w:val="001D107D"/>
    <w:rsid w:val="001D10C1"/>
    <w:rsid w:val="001D10CB"/>
    <w:rsid w:val="001D128E"/>
    <w:rsid w:val="001D13F7"/>
    <w:rsid w:val="001D148C"/>
    <w:rsid w:val="001D14D2"/>
    <w:rsid w:val="001D1565"/>
    <w:rsid w:val="001D1579"/>
    <w:rsid w:val="001D1695"/>
    <w:rsid w:val="001D16CC"/>
    <w:rsid w:val="001D16D5"/>
    <w:rsid w:val="001D1719"/>
    <w:rsid w:val="001D1736"/>
    <w:rsid w:val="001D179D"/>
    <w:rsid w:val="001D17D5"/>
    <w:rsid w:val="001D1814"/>
    <w:rsid w:val="001D18E7"/>
    <w:rsid w:val="001D18F7"/>
    <w:rsid w:val="001D1956"/>
    <w:rsid w:val="001D19AA"/>
    <w:rsid w:val="001D1B54"/>
    <w:rsid w:val="001D1B60"/>
    <w:rsid w:val="001D1BAC"/>
    <w:rsid w:val="001D1CDF"/>
    <w:rsid w:val="001D1CE4"/>
    <w:rsid w:val="001D1D1B"/>
    <w:rsid w:val="001D1DFB"/>
    <w:rsid w:val="001D1DFF"/>
    <w:rsid w:val="001D1E2D"/>
    <w:rsid w:val="001D1EC9"/>
    <w:rsid w:val="001D1ED4"/>
    <w:rsid w:val="001D2046"/>
    <w:rsid w:val="001D223C"/>
    <w:rsid w:val="001D231A"/>
    <w:rsid w:val="001D2399"/>
    <w:rsid w:val="001D23AA"/>
    <w:rsid w:val="001D2457"/>
    <w:rsid w:val="001D247A"/>
    <w:rsid w:val="001D24DB"/>
    <w:rsid w:val="001D250A"/>
    <w:rsid w:val="001D25CA"/>
    <w:rsid w:val="001D25D9"/>
    <w:rsid w:val="001D2623"/>
    <w:rsid w:val="001D271D"/>
    <w:rsid w:val="001D2733"/>
    <w:rsid w:val="001D2863"/>
    <w:rsid w:val="001D287F"/>
    <w:rsid w:val="001D28B6"/>
    <w:rsid w:val="001D2991"/>
    <w:rsid w:val="001D29AB"/>
    <w:rsid w:val="001D2A0E"/>
    <w:rsid w:val="001D2B3F"/>
    <w:rsid w:val="001D2B63"/>
    <w:rsid w:val="001D2D0A"/>
    <w:rsid w:val="001D2DE5"/>
    <w:rsid w:val="001D2E48"/>
    <w:rsid w:val="001D2E52"/>
    <w:rsid w:val="001D2EAF"/>
    <w:rsid w:val="001D2EC6"/>
    <w:rsid w:val="001D2F14"/>
    <w:rsid w:val="001D2F65"/>
    <w:rsid w:val="001D3010"/>
    <w:rsid w:val="001D3020"/>
    <w:rsid w:val="001D30D9"/>
    <w:rsid w:val="001D30E0"/>
    <w:rsid w:val="001D30EB"/>
    <w:rsid w:val="001D311D"/>
    <w:rsid w:val="001D3175"/>
    <w:rsid w:val="001D3197"/>
    <w:rsid w:val="001D3201"/>
    <w:rsid w:val="001D3264"/>
    <w:rsid w:val="001D328D"/>
    <w:rsid w:val="001D3370"/>
    <w:rsid w:val="001D3388"/>
    <w:rsid w:val="001D33D6"/>
    <w:rsid w:val="001D3598"/>
    <w:rsid w:val="001D3602"/>
    <w:rsid w:val="001D36F5"/>
    <w:rsid w:val="001D371D"/>
    <w:rsid w:val="001D379A"/>
    <w:rsid w:val="001D379C"/>
    <w:rsid w:val="001D37CB"/>
    <w:rsid w:val="001D37F9"/>
    <w:rsid w:val="001D3851"/>
    <w:rsid w:val="001D387D"/>
    <w:rsid w:val="001D3991"/>
    <w:rsid w:val="001D3A16"/>
    <w:rsid w:val="001D3A1C"/>
    <w:rsid w:val="001D3A46"/>
    <w:rsid w:val="001D3AF7"/>
    <w:rsid w:val="001D3B70"/>
    <w:rsid w:val="001D3B8B"/>
    <w:rsid w:val="001D3CB9"/>
    <w:rsid w:val="001D3D5A"/>
    <w:rsid w:val="001D3DBD"/>
    <w:rsid w:val="001D3E09"/>
    <w:rsid w:val="001D3E1B"/>
    <w:rsid w:val="001D3F81"/>
    <w:rsid w:val="001D3FD3"/>
    <w:rsid w:val="001D4112"/>
    <w:rsid w:val="001D415D"/>
    <w:rsid w:val="001D4168"/>
    <w:rsid w:val="001D4278"/>
    <w:rsid w:val="001D4298"/>
    <w:rsid w:val="001D4313"/>
    <w:rsid w:val="001D4327"/>
    <w:rsid w:val="001D447D"/>
    <w:rsid w:val="001D45E2"/>
    <w:rsid w:val="001D464B"/>
    <w:rsid w:val="001D4661"/>
    <w:rsid w:val="001D4683"/>
    <w:rsid w:val="001D472B"/>
    <w:rsid w:val="001D4788"/>
    <w:rsid w:val="001D47D7"/>
    <w:rsid w:val="001D47F0"/>
    <w:rsid w:val="001D4974"/>
    <w:rsid w:val="001D4986"/>
    <w:rsid w:val="001D4997"/>
    <w:rsid w:val="001D49A6"/>
    <w:rsid w:val="001D49CC"/>
    <w:rsid w:val="001D49DB"/>
    <w:rsid w:val="001D49DF"/>
    <w:rsid w:val="001D4A6C"/>
    <w:rsid w:val="001D4A7A"/>
    <w:rsid w:val="001D4AE3"/>
    <w:rsid w:val="001D4AFC"/>
    <w:rsid w:val="001D4B64"/>
    <w:rsid w:val="001D4C18"/>
    <w:rsid w:val="001D4CCC"/>
    <w:rsid w:val="001D4D17"/>
    <w:rsid w:val="001D4D1D"/>
    <w:rsid w:val="001D4D6E"/>
    <w:rsid w:val="001D4FB6"/>
    <w:rsid w:val="001D4FED"/>
    <w:rsid w:val="001D504B"/>
    <w:rsid w:val="001D5191"/>
    <w:rsid w:val="001D51F9"/>
    <w:rsid w:val="001D5236"/>
    <w:rsid w:val="001D5241"/>
    <w:rsid w:val="001D5271"/>
    <w:rsid w:val="001D52A1"/>
    <w:rsid w:val="001D52CE"/>
    <w:rsid w:val="001D54D1"/>
    <w:rsid w:val="001D5534"/>
    <w:rsid w:val="001D55A0"/>
    <w:rsid w:val="001D5638"/>
    <w:rsid w:val="001D5649"/>
    <w:rsid w:val="001D565E"/>
    <w:rsid w:val="001D565F"/>
    <w:rsid w:val="001D58B8"/>
    <w:rsid w:val="001D59C3"/>
    <w:rsid w:val="001D5A44"/>
    <w:rsid w:val="001D5A4B"/>
    <w:rsid w:val="001D5B11"/>
    <w:rsid w:val="001D5C0B"/>
    <w:rsid w:val="001D5C13"/>
    <w:rsid w:val="001D5CBB"/>
    <w:rsid w:val="001D5CE5"/>
    <w:rsid w:val="001D5DAF"/>
    <w:rsid w:val="001D5DBA"/>
    <w:rsid w:val="001D5EBC"/>
    <w:rsid w:val="001D5F83"/>
    <w:rsid w:val="001D5FB6"/>
    <w:rsid w:val="001D5FD1"/>
    <w:rsid w:val="001D6041"/>
    <w:rsid w:val="001D605A"/>
    <w:rsid w:val="001D606B"/>
    <w:rsid w:val="001D615B"/>
    <w:rsid w:val="001D61A7"/>
    <w:rsid w:val="001D61AD"/>
    <w:rsid w:val="001D61C1"/>
    <w:rsid w:val="001D6233"/>
    <w:rsid w:val="001D62F0"/>
    <w:rsid w:val="001D6304"/>
    <w:rsid w:val="001D63DE"/>
    <w:rsid w:val="001D63F9"/>
    <w:rsid w:val="001D63FD"/>
    <w:rsid w:val="001D6424"/>
    <w:rsid w:val="001D653F"/>
    <w:rsid w:val="001D6613"/>
    <w:rsid w:val="001D6695"/>
    <w:rsid w:val="001D6698"/>
    <w:rsid w:val="001D66A6"/>
    <w:rsid w:val="001D6A30"/>
    <w:rsid w:val="001D6AD9"/>
    <w:rsid w:val="001D6BA8"/>
    <w:rsid w:val="001D6BBA"/>
    <w:rsid w:val="001D6BDD"/>
    <w:rsid w:val="001D6C1F"/>
    <w:rsid w:val="001D6C52"/>
    <w:rsid w:val="001D6C7C"/>
    <w:rsid w:val="001D6CC2"/>
    <w:rsid w:val="001D6D74"/>
    <w:rsid w:val="001D6DA8"/>
    <w:rsid w:val="001D6EAF"/>
    <w:rsid w:val="001D6F10"/>
    <w:rsid w:val="001D6F11"/>
    <w:rsid w:val="001D70DD"/>
    <w:rsid w:val="001D71ED"/>
    <w:rsid w:val="001D7255"/>
    <w:rsid w:val="001D72F8"/>
    <w:rsid w:val="001D7341"/>
    <w:rsid w:val="001D7421"/>
    <w:rsid w:val="001D7482"/>
    <w:rsid w:val="001D7497"/>
    <w:rsid w:val="001D74C4"/>
    <w:rsid w:val="001D74E4"/>
    <w:rsid w:val="001D7533"/>
    <w:rsid w:val="001D757F"/>
    <w:rsid w:val="001D75A1"/>
    <w:rsid w:val="001D75B8"/>
    <w:rsid w:val="001D7623"/>
    <w:rsid w:val="001D777B"/>
    <w:rsid w:val="001D77EE"/>
    <w:rsid w:val="001D7846"/>
    <w:rsid w:val="001D78B1"/>
    <w:rsid w:val="001D78B9"/>
    <w:rsid w:val="001D797F"/>
    <w:rsid w:val="001D7A1B"/>
    <w:rsid w:val="001D7A8E"/>
    <w:rsid w:val="001D7ABB"/>
    <w:rsid w:val="001D7B8D"/>
    <w:rsid w:val="001D7BC6"/>
    <w:rsid w:val="001D7CDD"/>
    <w:rsid w:val="001D7D0E"/>
    <w:rsid w:val="001D7D76"/>
    <w:rsid w:val="001D7E24"/>
    <w:rsid w:val="001D7ED2"/>
    <w:rsid w:val="001D7F18"/>
    <w:rsid w:val="001D7F45"/>
    <w:rsid w:val="001E0039"/>
    <w:rsid w:val="001E00D9"/>
    <w:rsid w:val="001E00E0"/>
    <w:rsid w:val="001E00E5"/>
    <w:rsid w:val="001E0114"/>
    <w:rsid w:val="001E0129"/>
    <w:rsid w:val="001E019F"/>
    <w:rsid w:val="001E0233"/>
    <w:rsid w:val="001E0235"/>
    <w:rsid w:val="001E024F"/>
    <w:rsid w:val="001E0350"/>
    <w:rsid w:val="001E04F7"/>
    <w:rsid w:val="001E0541"/>
    <w:rsid w:val="001E0543"/>
    <w:rsid w:val="001E05C6"/>
    <w:rsid w:val="001E05FC"/>
    <w:rsid w:val="001E0658"/>
    <w:rsid w:val="001E0693"/>
    <w:rsid w:val="001E06AF"/>
    <w:rsid w:val="001E06F6"/>
    <w:rsid w:val="001E072B"/>
    <w:rsid w:val="001E07AB"/>
    <w:rsid w:val="001E07BB"/>
    <w:rsid w:val="001E07DF"/>
    <w:rsid w:val="001E081E"/>
    <w:rsid w:val="001E0842"/>
    <w:rsid w:val="001E08F5"/>
    <w:rsid w:val="001E092A"/>
    <w:rsid w:val="001E09C9"/>
    <w:rsid w:val="001E0B32"/>
    <w:rsid w:val="001E0B45"/>
    <w:rsid w:val="001E0BA6"/>
    <w:rsid w:val="001E0BF7"/>
    <w:rsid w:val="001E0C3F"/>
    <w:rsid w:val="001E0C6A"/>
    <w:rsid w:val="001E0CF6"/>
    <w:rsid w:val="001E0DE2"/>
    <w:rsid w:val="001E0DFA"/>
    <w:rsid w:val="001E0E03"/>
    <w:rsid w:val="001E0E4A"/>
    <w:rsid w:val="001E0EC6"/>
    <w:rsid w:val="001E0F12"/>
    <w:rsid w:val="001E0FCE"/>
    <w:rsid w:val="001E1047"/>
    <w:rsid w:val="001E1059"/>
    <w:rsid w:val="001E10C8"/>
    <w:rsid w:val="001E10CD"/>
    <w:rsid w:val="001E119E"/>
    <w:rsid w:val="001E11C8"/>
    <w:rsid w:val="001E123F"/>
    <w:rsid w:val="001E1258"/>
    <w:rsid w:val="001E12DF"/>
    <w:rsid w:val="001E12F6"/>
    <w:rsid w:val="001E12FB"/>
    <w:rsid w:val="001E136B"/>
    <w:rsid w:val="001E1399"/>
    <w:rsid w:val="001E1410"/>
    <w:rsid w:val="001E14B8"/>
    <w:rsid w:val="001E153B"/>
    <w:rsid w:val="001E1621"/>
    <w:rsid w:val="001E16D9"/>
    <w:rsid w:val="001E1771"/>
    <w:rsid w:val="001E178D"/>
    <w:rsid w:val="001E17BE"/>
    <w:rsid w:val="001E17EB"/>
    <w:rsid w:val="001E193F"/>
    <w:rsid w:val="001E1A67"/>
    <w:rsid w:val="001E1BC0"/>
    <w:rsid w:val="001E1BC6"/>
    <w:rsid w:val="001E1DBE"/>
    <w:rsid w:val="001E1DE5"/>
    <w:rsid w:val="001E1ED3"/>
    <w:rsid w:val="001E1F36"/>
    <w:rsid w:val="001E1F48"/>
    <w:rsid w:val="001E2098"/>
    <w:rsid w:val="001E20FD"/>
    <w:rsid w:val="001E21AD"/>
    <w:rsid w:val="001E21F2"/>
    <w:rsid w:val="001E22DA"/>
    <w:rsid w:val="001E2307"/>
    <w:rsid w:val="001E232E"/>
    <w:rsid w:val="001E2342"/>
    <w:rsid w:val="001E245F"/>
    <w:rsid w:val="001E247B"/>
    <w:rsid w:val="001E24A1"/>
    <w:rsid w:val="001E2551"/>
    <w:rsid w:val="001E2556"/>
    <w:rsid w:val="001E2627"/>
    <w:rsid w:val="001E262D"/>
    <w:rsid w:val="001E2633"/>
    <w:rsid w:val="001E266B"/>
    <w:rsid w:val="001E26BC"/>
    <w:rsid w:val="001E2783"/>
    <w:rsid w:val="001E2793"/>
    <w:rsid w:val="001E2824"/>
    <w:rsid w:val="001E282B"/>
    <w:rsid w:val="001E282C"/>
    <w:rsid w:val="001E2883"/>
    <w:rsid w:val="001E28A8"/>
    <w:rsid w:val="001E2924"/>
    <w:rsid w:val="001E2937"/>
    <w:rsid w:val="001E293A"/>
    <w:rsid w:val="001E29D9"/>
    <w:rsid w:val="001E2A03"/>
    <w:rsid w:val="001E2BB6"/>
    <w:rsid w:val="001E2C84"/>
    <w:rsid w:val="001E2C94"/>
    <w:rsid w:val="001E2CC4"/>
    <w:rsid w:val="001E2CC8"/>
    <w:rsid w:val="001E2D03"/>
    <w:rsid w:val="001E2E1F"/>
    <w:rsid w:val="001E2E74"/>
    <w:rsid w:val="001E2F5B"/>
    <w:rsid w:val="001E2FEF"/>
    <w:rsid w:val="001E2FFF"/>
    <w:rsid w:val="001E304D"/>
    <w:rsid w:val="001E30CA"/>
    <w:rsid w:val="001E30DF"/>
    <w:rsid w:val="001E310B"/>
    <w:rsid w:val="001E31FC"/>
    <w:rsid w:val="001E324F"/>
    <w:rsid w:val="001E32C7"/>
    <w:rsid w:val="001E32EB"/>
    <w:rsid w:val="001E3327"/>
    <w:rsid w:val="001E334C"/>
    <w:rsid w:val="001E3366"/>
    <w:rsid w:val="001E33D4"/>
    <w:rsid w:val="001E347D"/>
    <w:rsid w:val="001E3518"/>
    <w:rsid w:val="001E3519"/>
    <w:rsid w:val="001E35CD"/>
    <w:rsid w:val="001E35E6"/>
    <w:rsid w:val="001E3642"/>
    <w:rsid w:val="001E3651"/>
    <w:rsid w:val="001E3724"/>
    <w:rsid w:val="001E3729"/>
    <w:rsid w:val="001E376F"/>
    <w:rsid w:val="001E3790"/>
    <w:rsid w:val="001E37D6"/>
    <w:rsid w:val="001E37E2"/>
    <w:rsid w:val="001E380E"/>
    <w:rsid w:val="001E3841"/>
    <w:rsid w:val="001E385F"/>
    <w:rsid w:val="001E38EA"/>
    <w:rsid w:val="001E38ED"/>
    <w:rsid w:val="001E39C8"/>
    <w:rsid w:val="001E3A20"/>
    <w:rsid w:val="001E3A42"/>
    <w:rsid w:val="001E3A75"/>
    <w:rsid w:val="001E3AEE"/>
    <w:rsid w:val="001E3B3F"/>
    <w:rsid w:val="001E3B47"/>
    <w:rsid w:val="001E3B7A"/>
    <w:rsid w:val="001E3B8D"/>
    <w:rsid w:val="001E3C3E"/>
    <w:rsid w:val="001E3C45"/>
    <w:rsid w:val="001E3CA2"/>
    <w:rsid w:val="001E3D38"/>
    <w:rsid w:val="001E3DA5"/>
    <w:rsid w:val="001E3DF6"/>
    <w:rsid w:val="001E3E1E"/>
    <w:rsid w:val="001E3EA3"/>
    <w:rsid w:val="001E3EB8"/>
    <w:rsid w:val="001E3EBF"/>
    <w:rsid w:val="001E3F58"/>
    <w:rsid w:val="001E3FB1"/>
    <w:rsid w:val="001E3FD7"/>
    <w:rsid w:val="001E3FD8"/>
    <w:rsid w:val="001E4004"/>
    <w:rsid w:val="001E4029"/>
    <w:rsid w:val="001E403D"/>
    <w:rsid w:val="001E4078"/>
    <w:rsid w:val="001E40A9"/>
    <w:rsid w:val="001E40F7"/>
    <w:rsid w:val="001E415B"/>
    <w:rsid w:val="001E4186"/>
    <w:rsid w:val="001E4188"/>
    <w:rsid w:val="001E4199"/>
    <w:rsid w:val="001E41E0"/>
    <w:rsid w:val="001E4217"/>
    <w:rsid w:val="001E42CA"/>
    <w:rsid w:val="001E42E2"/>
    <w:rsid w:val="001E42F6"/>
    <w:rsid w:val="001E435E"/>
    <w:rsid w:val="001E4369"/>
    <w:rsid w:val="001E440E"/>
    <w:rsid w:val="001E443E"/>
    <w:rsid w:val="001E4457"/>
    <w:rsid w:val="001E451A"/>
    <w:rsid w:val="001E4539"/>
    <w:rsid w:val="001E457C"/>
    <w:rsid w:val="001E46AE"/>
    <w:rsid w:val="001E46C2"/>
    <w:rsid w:val="001E4741"/>
    <w:rsid w:val="001E47E7"/>
    <w:rsid w:val="001E481B"/>
    <w:rsid w:val="001E48FA"/>
    <w:rsid w:val="001E4A0F"/>
    <w:rsid w:val="001E4A43"/>
    <w:rsid w:val="001E4AB9"/>
    <w:rsid w:val="001E4ADB"/>
    <w:rsid w:val="001E4B03"/>
    <w:rsid w:val="001E4C77"/>
    <w:rsid w:val="001E4CEF"/>
    <w:rsid w:val="001E4CFD"/>
    <w:rsid w:val="001E4D18"/>
    <w:rsid w:val="001E4D35"/>
    <w:rsid w:val="001E4D45"/>
    <w:rsid w:val="001E4DA2"/>
    <w:rsid w:val="001E4E22"/>
    <w:rsid w:val="001E4F12"/>
    <w:rsid w:val="001E4FF0"/>
    <w:rsid w:val="001E50A4"/>
    <w:rsid w:val="001E50C0"/>
    <w:rsid w:val="001E515D"/>
    <w:rsid w:val="001E516F"/>
    <w:rsid w:val="001E51A1"/>
    <w:rsid w:val="001E51FB"/>
    <w:rsid w:val="001E520F"/>
    <w:rsid w:val="001E521E"/>
    <w:rsid w:val="001E525D"/>
    <w:rsid w:val="001E5374"/>
    <w:rsid w:val="001E537B"/>
    <w:rsid w:val="001E542B"/>
    <w:rsid w:val="001E543F"/>
    <w:rsid w:val="001E5460"/>
    <w:rsid w:val="001E5499"/>
    <w:rsid w:val="001E550C"/>
    <w:rsid w:val="001E55CF"/>
    <w:rsid w:val="001E5647"/>
    <w:rsid w:val="001E57E3"/>
    <w:rsid w:val="001E5807"/>
    <w:rsid w:val="001E580D"/>
    <w:rsid w:val="001E58BB"/>
    <w:rsid w:val="001E598A"/>
    <w:rsid w:val="001E5AB6"/>
    <w:rsid w:val="001E5B8A"/>
    <w:rsid w:val="001E5B8E"/>
    <w:rsid w:val="001E5B92"/>
    <w:rsid w:val="001E5C6C"/>
    <w:rsid w:val="001E5CA0"/>
    <w:rsid w:val="001E5CDF"/>
    <w:rsid w:val="001E5F47"/>
    <w:rsid w:val="001E5F69"/>
    <w:rsid w:val="001E5FEF"/>
    <w:rsid w:val="001E6105"/>
    <w:rsid w:val="001E6136"/>
    <w:rsid w:val="001E628C"/>
    <w:rsid w:val="001E62A3"/>
    <w:rsid w:val="001E6322"/>
    <w:rsid w:val="001E6362"/>
    <w:rsid w:val="001E64E6"/>
    <w:rsid w:val="001E651B"/>
    <w:rsid w:val="001E6596"/>
    <w:rsid w:val="001E6614"/>
    <w:rsid w:val="001E6623"/>
    <w:rsid w:val="001E6654"/>
    <w:rsid w:val="001E6746"/>
    <w:rsid w:val="001E678C"/>
    <w:rsid w:val="001E67C6"/>
    <w:rsid w:val="001E682C"/>
    <w:rsid w:val="001E6864"/>
    <w:rsid w:val="001E694A"/>
    <w:rsid w:val="001E694C"/>
    <w:rsid w:val="001E6A05"/>
    <w:rsid w:val="001E6A3B"/>
    <w:rsid w:val="001E6AC3"/>
    <w:rsid w:val="001E6AFA"/>
    <w:rsid w:val="001E6B3F"/>
    <w:rsid w:val="001E6B5A"/>
    <w:rsid w:val="001E6BDC"/>
    <w:rsid w:val="001E6C24"/>
    <w:rsid w:val="001E6C5A"/>
    <w:rsid w:val="001E6C63"/>
    <w:rsid w:val="001E6C65"/>
    <w:rsid w:val="001E6CD9"/>
    <w:rsid w:val="001E6D55"/>
    <w:rsid w:val="001E6D8C"/>
    <w:rsid w:val="001E6E69"/>
    <w:rsid w:val="001E6ED4"/>
    <w:rsid w:val="001E6F4E"/>
    <w:rsid w:val="001E6F7A"/>
    <w:rsid w:val="001E6FF2"/>
    <w:rsid w:val="001E7008"/>
    <w:rsid w:val="001E7021"/>
    <w:rsid w:val="001E7076"/>
    <w:rsid w:val="001E70A8"/>
    <w:rsid w:val="001E71E2"/>
    <w:rsid w:val="001E7244"/>
    <w:rsid w:val="001E72A4"/>
    <w:rsid w:val="001E72D2"/>
    <w:rsid w:val="001E730D"/>
    <w:rsid w:val="001E7349"/>
    <w:rsid w:val="001E73FC"/>
    <w:rsid w:val="001E741F"/>
    <w:rsid w:val="001E7458"/>
    <w:rsid w:val="001E750E"/>
    <w:rsid w:val="001E7540"/>
    <w:rsid w:val="001E77BC"/>
    <w:rsid w:val="001E781F"/>
    <w:rsid w:val="001E782B"/>
    <w:rsid w:val="001E782D"/>
    <w:rsid w:val="001E7845"/>
    <w:rsid w:val="001E794C"/>
    <w:rsid w:val="001E79DC"/>
    <w:rsid w:val="001E79FF"/>
    <w:rsid w:val="001E7A0E"/>
    <w:rsid w:val="001E7A39"/>
    <w:rsid w:val="001E7A77"/>
    <w:rsid w:val="001E7AA4"/>
    <w:rsid w:val="001E7AD2"/>
    <w:rsid w:val="001E7B5A"/>
    <w:rsid w:val="001E7B5D"/>
    <w:rsid w:val="001E7B87"/>
    <w:rsid w:val="001E7C7A"/>
    <w:rsid w:val="001E7D66"/>
    <w:rsid w:val="001E7D7B"/>
    <w:rsid w:val="001E7E41"/>
    <w:rsid w:val="001E7E4F"/>
    <w:rsid w:val="001E7F8D"/>
    <w:rsid w:val="001E7FB9"/>
    <w:rsid w:val="001E7FF6"/>
    <w:rsid w:val="001F001E"/>
    <w:rsid w:val="001F012E"/>
    <w:rsid w:val="001F0179"/>
    <w:rsid w:val="001F01A5"/>
    <w:rsid w:val="001F01AB"/>
    <w:rsid w:val="001F01B8"/>
    <w:rsid w:val="001F0246"/>
    <w:rsid w:val="001F0274"/>
    <w:rsid w:val="001F0398"/>
    <w:rsid w:val="001F04ED"/>
    <w:rsid w:val="001F0551"/>
    <w:rsid w:val="001F0568"/>
    <w:rsid w:val="001F058A"/>
    <w:rsid w:val="001F05FB"/>
    <w:rsid w:val="001F0617"/>
    <w:rsid w:val="001F063B"/>
    <w:rsid w:val="001F06BD"/>
    <w:rsid w:val="001F06FB"/>
    <w:rsid w:val="001F0731"/>
    <w:rsid w:val="001F07C0"/>
    <w:rsid w:val="001F085E"/>
    <w:rsid w:val="001F090B"/>
    <w:rsid w:val="001F0959"/>
    <w:rsid w:val="001F09A2"/>
    <w:rsid w:val="001F0B23"/>
    <w:rsid w:val="001F0B29"/>
    <w:rsid w:val="001F0C04"/>
    <w:rsid w:val="001F0C11"/>
    <w:rsid w:val="001F0C30"/>
    <w:rsid w:val="001F0D87"/>
    <w:rsid w:val="001F0D9F"/>
    <w:rsid w:val="001F0E5C"/>
    <w:rsid w:val="001F0F9A"/>
    <w:rsid w:val="001F0FF2"/>
    <w:rsid w:val="001F118C"/>
    <w:rsid w:val="001F122D"/>
    <w:rsid w:val="001F12A6"/>
    <w:rsid w:val="001F12CB"/>
    <w:rsid w:val="001F13B5"/>
    <w:rsid w:val="001F13C2"/>
    <w:rsid w:val="001F13D4"/>
    <w:rsid w:val="001F144E"/>
    <w:rsid w:val="001F159B"/>
    <w:rsid w:val="001F160D"/>
    <w:rsid w:val="001F1626"/>
    <w:rsid w:val="001F1635"/>
    <w:rsid w:val="001F17C1"/>
    <w:rsid w:val="001F1811"/>
    <w:rsid w:val="001F1832"/>
    <w:rsid w:val="001F18D5"/>
    <w:rsid w:val="001F1AE2"/>
    <w:rsid w:val="001F1B09"/>
    <w:rsid w:val="001F1B9D"/>
    <w:rsid w:val="001F1BC8"/>
    <w:rsid w:val="001F1C08"/>
    <w:rsid w:val="001F1C44"/>
    <w:rsid w:val="001F1C4C"/>
    <w:rsid w:val="001F1C5F"/>
    <w:rsid w:val="001F1C9E"/>
    <w:rsid w:val="001F1CD0"/>
    <w:rsid w:val="001F1D47"/>
    <w:rsid w:val="001F1D88"/>
    <w:rsid w:val="001F1DEF"/>
    <w:rsid w:val="001F1F68"/>
    <w:rsid w:val="001F1FE6"/>
    <w:rsid w:val="001F20D8"/>
    <w:rsid w:val="001F21C6"/>
    <w:rsid w:val="001F220F"/>
    <w:rsid w:val="001F22D3"/>
    <w:rsid w:val="001F2346"/>
    <w:rsid w:val="001F2425"/>
    <w:rsid w:val="001F243C"/>
    <w:rsid w:val="001F24E5"/>
    <w:rsid w:val="001F255F"/>
    <w:rsid w:val="001F2652"/>
    <w:rsid w:val="001F26D9"/>
    <w:rsid w:val="001F270A"/>
    <w:rsid w:val="001F2710"/>
    <w:rsid w:val="001F2753"/>
    <w:rsid w:val="001F2788"/>
    <w:rsid w:val="001F278A"/>
    <w:rsid w:val="001F27A2"/>
    <w:rsid w:val="001F2A5E"/>
    <w:rsid w:val="001F2AA5"/>
    <w:rsid w:val="001F2B1C"/>
    <w:rsid w:val="001F2B5D"/>
    <w:rsid w:val="001F2BB2"/>
    <w:rsid w:val="001F2BD2"/>
    <w:rsid w:val="001F2CBF"/>
    <w:rsid w:val="001F2D43"/>
    <w:rsid w:val="001F2D50"/>
    <w:rsid w:val="001F2D59"/>
    <w:rsid w:val="001F2D8A"/>
    <w:rsid w:val="001F2DC2"/>
    <w:rsid w:val="001F2DCA"/>
    <w:rsid w:val="001F2E21"/>
    <w:rsid w:val="001F2E9A"/>
    <w:rsid w:val="001F2F28"/>
    <w:rsid w:val="001F2F41"/>
    <w:rsid w:val="001F2F46"/>
    <w:rsid w:val="001F2F5E"/>
    <w:rsid w:val="001F2F9E"/>
    <w:rsid w:val="001F3173"/>
    <w:rsid w:val="001F3375"/>
    <w:rsid w:val="001F33C4"/>
    <w:rsid w:val="001F34EA"/>
    <w:rsid w:val="001F3592"/>
    <w:rsid w:val="001F3731"/>
    <w:rsid w:val="001F3732"/>
    <w:rsid w:val="001F38A8"/>
    <w:rsid w:val="001F39FF"/>
    <w:rsid w:val="001F3A7C"/>
    <w:rsid w:val="001F3AAB"/>
    <w:rsid w:val="001F3AD2"/>
    <w:rsid w:val="001F3B50"/>
    <w:rsid w:val="001F3B78"/>
    <w:rsid w:val="001F3C54"/>
    <w:rsid w:val="001F3C64"/>
    <w:rsid w:val="001F3C81"/>
    <w:rsid w:val="001F3D99"/>
    <w:rsid w:val="001F3DAA"/>
    <w:rsid w:val="001F3DC7"/>
    <w:rsid w:val="001F3F4A"/>
    <w:rsid w:val="001F3F55"/>
    <w:rsid w:val="001F3F91"/>
    <w:rsid w:val="001F3FA3"/>
    <w:rsid w:val="001F412C"/>
    <w:rsid w:val="001F415F"/>
    <w:rsid w:val="001F4172"/>
    <w:rsid w:val="001F420D"/>
    <w:rsid w:val="001F42E5"/>
    <w:rsid w:val="001F432C"/>
    <w:rsid w:val="001F43A1"/>
    <w:rsid w:val="001F444B"/>
    <w:rsid w:val="001F4465"/>
    <w:rsid w:val="001F4468"/>
    <w:rsid w:val="001F44A1"/>
    <w:rsid w:val="001F44ED"/>
    <w:rsid w:val="001F454D"/>
    <w:rsid w:val="001F456E"/>
    <w:rsid w:val="001F4617"/>
    <w:rsid w:val="001F46EE"/>
    <w:rsid w:val="001F48D9"/>
    <w:rsid w:val="001F4A03"/>
    <w:rsid w:val="001F4A2C"/>
    <w:rsid w:val="001F4AF7"/>
    <w:rsid w:val="001F4B17"/>
    <w:rsid w:val="001F4BC3"/>
    <w:rsid w:val="001F4C17"/>
    <w:rsid w:val="001F4C50"/>
    <w:rsid w:val="001F4C57"/>
    <w:rsid w:val="001F4C81"/>
    <w:rsid w:val="001F4D7E"/>
    <w:rsid w:val="001F4E84"/>
    <w:rsid w:val="001F4EB9"/>
    <w:rsid w:val="001F4F53"/>
    <w:rsid w:val="001F4F65"/>
    <w:rsid w:val="001F4F6C"/>
    <w:rsid w:val="001F5031"/>
    <w:rsid w:val="001F503D"/>
    <w:rsid w:val="001F5043"/>
    <w:rsid w:val="001F5063"/>
    <w:rsid w:val="001F506A"/>
    <w:rsid w:val="001F5149"/>
    <w:rsid w:val="001F5193"/>
    <w:rsid w:val="001F521B"/>
    <w:rsid w:val="001F52C1"/>
    <w:rsid w:val="001F5348"/>
    <w:rsid w:val="001F5352"/>
    <w:rsid w:val="001F53A1"/>
    <w:rsid w:val="001F53DA"/>
    <w:rsid w:val="001F5486"/>
    <w:rsid w:val="001F54B7"/>
    <w:rsid w:val="001F54C9"/>
    <w:rsid w:val="001F54D6"/>
    <w:rsid w:val="001F55CE"/>
    <w:rsid w:val="001F56E1"/>
    <w:rsid w:val="001F56E7"/>
    <w:rsid w:val="001F572F"/>
    <w:rsid w:val="001F5752"/>
    <w:rsid w:val="001F5792"/>
    <w:rsid w:val="001F57D1"/>
    <w:rsid w:val="001F58EF"/>
    <w:rsid w:val="001F59D4"/>
    <w:rsid w:val="001F59EA"/>
    <w:rsid w:val="001F5A05"/>
    <w:rsid w:val="001F5A63"/>
    <w:rsid w:val="001F5AE7"/>
    <w:rsid w:val="001F5B58"/>
    <w:rsid w:val="001F5B6B"/>
    <w:rsid w:val="001F5BEB"/>
    <w:rsid w:val="001F5BEC"/>
    <w:rsid w:val="001F5CA2"/>
    <w:rsid w:val="001F5D29"/>
    <w:rsid w:val="001F5D5C"/>
    <w:rsid w:val="001F5DBD"/>
    <w:rsid w:val="001F5DEA"/>
    <w:rsid w:val="001F5F26"/>
    <w:rsid w:val="001F60B0"/>
    <w:rsid w:val="001F619A"/>
    <w:rsid w:val="001F6208"/>
    <w:rsid w:val="001F6291"/>
    <w:rsid w:val="001F631B"/>
    <w:rsid w:val="001F6417"/>
    <w:rsid w:val="001F6419"/>
    <w:rsid w:val="001F6440"/>
    <w:rsid w:val="001F6468"/>
    <w:rsid w:val="001F6564"/>
    <w:rsid w:val="001F6642"/>
    <w:rsid w:val="001F66CF"/>
    <w:rsid w:val="001F66FB"/>
    <w:rsid w:val="001F6759"/>
    <w:rsid w:val="001F6788"/>
    <w:rsid w:val="001F6819"/>
    <w:rsid w:val="001F6826"/>
    <w:rsid w:val="001F683D"/>
    <w:rsid w:val="001F690E"/>
    <w:rsid w:val="001F6990"/>
    <w:rsid w:val="001F69C1"/>
    <w:rsid w:val="001F6A98"/>
    <w:rsid w:val="001F6ADF"/>
    <w:rsid w:val="001F6B27"/>
    <w:rsid w:val="001F6BE5"/>
    <w:rsid w:val="001F6C21"/>
    <w:rsid w:val="001F6CC3"/>
    <w:rsid w:val="001F6CC6"/>
    <w:rsid w:val="001F6D1B"/>
    <w:rsid w:val="001F6D2D"/>
    <w:rsid w:val="001F6E7F"/>
    <w:rsid w:val="001F6EF7"/>
    <w:rsid w:val="001F6EFB"/>
    <w:rsid w:val="001F6F05"/>
    <w:rsid w:val="001F6F4A"/>
    <w:rsid w:val="001F6FFD"/>
    <w:rsid w:val="001F70AF"/>
    <w:rsid w:val="001F70BA"/>
    <w:rsid w:val="001F7147"/>
    <w:rsid w:val="001F727F"/>
    <w:rsid w:val="001F7283"/>
    <w:rsid w:val="001F731F"/>
    <w:rsid w:val="001F7350"/>
    <w:rsid w:val="001F7390"/>
    <w:rsid w:val="001F7396"/>
    <w:rsid w:val="001F7485"/>
    <w:rsid w:val="001F7488"/>
    <w:rsid w:val="001F74C1"/>
    <w:rsid w:val="001F756B"/>
    <w:rsid w:val="001F756E"/>
    <w:rsid w:val="001F7619"/>
    <w:rsid w:val="001F7654"/>
    <w:rsid w:val="001F7686"/>
    <w:rsid w:val="001F7691"/>
    <w:rsid w:val="001F769F"/>
    <w:rsid w:val="001F7740"/>
    <w:rsid w:val="001F7788"/>
    <w:rsid w:val="001F779A"/>
    <w:rsid w:val="001F7803"/>
    <w:rsid w:val="001F786F"/>
    <w:rsid w:val="001F78AC"/>
    <w:rsid w:val="001F78CF"/>
    <w:rsid w:val="001F78DC"/>
    <w:rsid w:val="001F78FE"/>
    <w:rsid w:val="001F797C"/>
    <w:rsid w:val="001F7999"/>
    <w:rsid w:val="001F799E"/>
    <w:rsid w:val="001F7A8A"/>
    <w:rsid w:val="001F7A92"/>
    <w:rsid w:val="001F7AE4"/>
    <w:rsid w:val="001F7AF0"/>
    <w:rsid w:val="001F7B50"/>
    <w:rsid w:val="001F7BB4"/>
    <w:rsid w:val="001F7BDA"/>
    <w:rsid w:val="001F7C2F"/>
    <w:rsid w:val="001F7CFA"/>
    <w:rsid w:val="001F7D28"/>
    <w:rsid w:val="001F7DB4"/>
    <w:rsid w:val="001F7E91"/>
    <w:rsid w:val="001F7EBF"/>
    <w:rsid w:val="001F7F27"/>
    <w:rsid w:val="001F7F2C"/>
    <w:rsid w:val="002000A1"/>
    <w:rsid w:val="0020014B"/>
    <w:rsid w:val="00200153"/>
    <w:rsid w:val="002001A2"/>
    <w:rsid w:val="002001F8"/>
    <w:rsid w:val="00200224"/>
    <w:rsid w:val="00200267"/>
    <w:rsid w:val="0020027C"/>
    <w:rsid w:val="002002C3"/>
    <w:rsid w:val="00200340"/>
    <w:rsid w:val="00200370"/>
    <w:rsid w:val="00200498"/>
    <w:rsid w:val="0020049A"/>
    <w:rsid w:val="002004CC"/>
    <w:rsid w:val="00200599"/>
    <w:rsid w:val="002005BB"/>
    <w:rsid w:val="002005D9"/>
    <w:rsid w:val="00200602"/>
    <w:rsid w:val="00200633"/>
    <w:rsid w:val="00200688"/>
    <w:rsid w:val="00200735"/>
    <w:rsid w:val="002008C1"/>
    <w:rsid w:val="002008C5"/>
    <w:rsid w:val="0020095C"/>
    <w:rsid w:val="00200AF7"/>
    <w:rsid w:val="00200B90"/>
    <w:rsid w:val="00200CB4"/>
    <w:rsid w:val="00200D31"/>
    <w:rsid w:val="00200DAF"/>
    <w:rsid w:val="00200F30"/>
    <w:rsid w:val="00201045"/>
    <w:rsid w:val="002010A6"/>
    <w:rsid w:val="002010AB"/>
    <w:rsid w:val="002010CC"/>
    <w:rsid w:val="00201179"/>
    <w:rsid w:val="002011D5"/>
    <w:rsid w:val="0020128F"/>
    <w:rsid w:val="00201291"/>
    <w:rsid w:val="0020131C"/>
    <w:rsid w:val="00201367"/>
    <w:rsid w:val="002013D0"/>
    <w:rsid w:val="002013F3"/>
    <w:rsid w:val="00201530"/>
    <w:rsid w:val="0020153E"/>
    <w:rsid w:val="002015CD"/>
    <w:rsid w:val="002015D8"/>
    <w:rsid w:val="00201684"/>
    <w:rsid w:val="0020172C"/>
    <w:rsid w:val="002017ED"/>
    <w:rsid w:val="00201884"/>
    <w:rsid w:val="0020189A"/>
    <w:rsid w:val="002019DE"/>
    <w:rsid w:val="00201A71"/>
    <w:rsid w:val="00201B5D"/>
    <w:rsid w:val="00201CC4"/>
    <w:rsid w:val="00201D28"/>
    <w:rsid w:val="00201D6F"/>
    <w:rsid w:val="00201DDE"/>
    <w:rsid w:val="00201EDF"/>
    <w:rsid w:val="00201F4D"/>
    <w:rsid w:val="00201F87"/>
    <w:rsid w:val="00201FA0"/>
    <w:rsid w:val="00201FE3"/>
    <w:rsid w:val="00201FF4"/>
    <w:rsid w:val="00202007"/>
    <w:rsid w:val="00202051"/>
    <w:rsid w:val="0020205F"/>
    <w:rsid w:val="00202069"/>
    <w:rsid w:val="0020216F"/>
    <w:rsid w:val="0020217A"/>
    <w:rsid w:val="0020217C"/>
    <w:rsid w:val="00202184"/>
    <w:rsid w:val="002021A8"/>
    <w:rsid w:val="002021AB"/>
    <w:rsid w:val="002021FB"/>
    <w:rsid w:val="002022C3"/>
    <w:rsid w:val="00202312"/>
    <w:rsid w:val="00202318"/>
    <w:rsid w:val="00202340"/>
    <w:rsid w:val="00202349"/>
    <w:rsid w:val="00202373"/>
    <w:rsid w:val="0020258A"/>
    <w:rsid w:val="002026A7"/>
    <w:rsid w:val="00202783"/>
    <w:rsid w:val="002027D2"/>
    <w:rsid w:val="0020287A"/>
    <w:rsid w:val="0020289A"/>
    <w:rsid w:val="002029D3"/>
    <w:rsid w:val="00202A20"/>
    <w:rsid w:val="00202A31"/>
    <w:rsid w:val="00202A53"/>
    <w:rsid w:val="00202A61"/>
    <w:rsid w:val="00202AA2"/>
    <w:rsid w:val="00202AC4"/>
    <w:rsid w:val="00202AF9"/>
    <w:rsid w:val="00202B11"/>
    <w:rsid w:val="00202B23"/>
    <w:rsid w:val="00202B28"/>
    <w:rsid w:val="00202BDF"/>
    <w:rsid w:val="00202BEA"/>
    <w:rsid w:val="00202C3B"/>
    <w:rsid w:val="00202CB0"/>
    <w:rsid w:val="00202CB7"/>
    <w:rsid w:val="00202CC8"/>
    <w:rsid w:val="00202D1D"/>
    <w:rsid w:val="00202E7B"/>
    <w:rsid w:val="00202F6B"/>
    <w:rsid w:val="002030A1"/>
    <w:rsid w:val="002030C3"/>
    <w:rsid w:val="002030F7"/>
    <w:rsid w:val="0020316C"/>
    <w:rsid w:val="0020325C"/>
    <w:rsid w:val="00203264"/>
    <w:rsid w:val="0020328C"/>
    <w:rsid w:val="00203317"/>
    <w:rsid w:val="00203322"/>
    <w:rsid w:val="002033DD"/>
    <w:rsid w:val="002033F3"/>
    <w:rsid w:val="0020341E"/>
    <w:rsid w:val="0020344E"/>
    <w:rsid w:val="0020345C"/>
    <w:rsid w:val="002034AA"/>
    <w:rsid w:val="002035D7"/>
    <w:rsid w:val="00203715"/>
    <w:rsid w:val="0020372F"/>
    <w:rsid w:val="0020375F"/>
    <w:rsid w:val="002037A0"/>
    <w:rsid w:val="0020385C"/>
    <w:rsid w:val="002038CB"/>
    <w:rsid w:val="00203A43"/>
    <w:rsid w:val="00203ABF"/>
    <w:rsid w:val="00203AF5"/>
    <w:rsid w:val="00203AF9"/>
    <w:rsid w:val="00203B96"/>
    <w:rsid w:val="00203C16"/>
    <w:rsid w:val="00203D13"/>
    <w:rsid w:val="00203D15"/>
    <w:rsid w:val="00203D73"/>
    <w:rsid w:val="00203DC9"/>
    <w:rsid w:val="00203E26"/>
    <w:rsid w:val="00203E57"/>
    <w:rsid w:val="00203F77"/>
    <w:rsid w:val="00203F7C"/>
    <w:rsid w:val="00203F85"/>
    <w:rsid w:val="00203FBE"/>
    <w:rsid w:val="002040D4"/>
    <w:rsid w:val="002040F6"/>
    <w:rsid w:val="00204129"/>
    <w:rsid w:val="0020412E"/>
    <w:rsid w:val="0020413F"/>
    <w:rsid w:val="00204159"/>
    <w:rsid w:val="002041C4"/>
    <w:rsid w:val="002041E8"/>
    <w:rsid w:val="002041F3"/>
    <w:rsid w:val="002042BE"/>
    <w:rsid w:val="002042C8"/>
    <w:rsid w:val="002042E7"/>
    <w:rsid w:val="00204340"/>
    <w:rsid w:val="00204370"/>
    <w:rsid w:val="00204396"/>
    <w:rsid w:val="002043C1"/>
    <w:rsid w:val="002043E9"/>
    <w:rsid w:val="00204417"/>
    <w:rsid w:val="0020441E"/>
    <w:rsid w:val="0020444E"/>
    <w:rsid w:val="002044DE"/>
    <w:rsid w:val="0020450F"/>
    <w:rsid w:val="0020456D"/>
    <w:rsid w:val="002045D8"/>
    <w:rsid w:val="00204608"/>
    <w:rsid w:val="00204648"/>
    <w:rsid w:val="00204699"/>
    <w:rsid w:val="002046B8"/>
    <w:rsid w:val="00204934"/>
    <w:rsid w:val="00204977"/>
    <w:rsid w:val="00204A41"/>
    <w:rsid w:val="00204A56"/>
    <w:rsid w:val="00204BEB"/>
    <w:rsid w:val="00204C07"/>
    <w:rsid w:val="00204C17"/>
    <w:rsid w:val="00204C56"/>
    <w:rsid w:val="00204DEE"/>
    <w:rsid w:val="00204E09"/>
    <w:rsid w:val="00204E21"/>
    <w:rsid w:val="00204E24"/>
    <w:rsid w:val="00204EEF"/>
    <w:rsid w:val="00204F66"/>
    <w:rsid w:val="00205016"/>
    <w:rsid w:val="0020504E"/>
    <w:rsid w:val="0020509D"/>
    <w:rsid w:val="002050BD"/>
    <w:rsid w:val="00205127"/>
    <w:rsid w:val="00205144"/>
    <w:rsid w:val="0020516F"/>
    <w:rsid w:val="00205226"/>
    <w:rsid w:val="00205264"/>
    <w:rsid w:val="002052EA"/>
    <w:rsid w:val="002052EE"/>
    <w:rsid w:val="002052FA"/>
    <w:rsid w:val="0020532E"/>
    <w:rsid w:val="0020537A"/>
    <w:rsid w:val="002053F7"/>
    <w:rsid w:val="00205423"/>
    <w:rsid w:val="0020548F"/>
    <w:rsid w:val="00205490"/>
    <w:rsid w:val="00205493"/>
    <w:rsid w:val="002054CA"/>
    <w:rsid w:val="00205522"/>
    <w:rsid w:val="0020555F"/>
    <w:rsid w:val="0020559D"/>
    <w:rsid w:val="002055B0"/>
    <w:rsid w:val="002055D8"/>
    <w:rsid w:val="0020569B"/>
    <w:rsid w:val="002058DC"/>
    <w:rsid w:val="00205A05"/>
    <w:rsid w:val="00205A47"/>
    <w:rsid w:val="00205BED"/>
    <w:rsid w:val="00205C3B"/>
    <w:rsid w:val="00205CE9"/>
    <w:rsid w:val="00205D15"/>
    <w:rsid w:val="00205DBD"/>
    <w:rsid w:val="00205DE5"/>
    <w:rsid w:val="00205E14"/>
    <w:rsid w:val="00205E1C"/>
    <w:rsid w:val="00205E4C"/>
    <w:rsid w:val="00205E5C"/>
    <w:rsid w:val="00205E65"/>
    <w:rsid w:val="00205E79"/>
    <w:rsid w:val="00205ED5"/>
    <w:rsid w:val="00206040"/>
    <w:rsid w:val="002060CD"/>
    <w:rsid w:val="0020617A"/>
    <w:rsid w:val="002061BD"/>
    <w:rsid w:val="00206236"/>
    <w:rsid w:val="002062EE"/>
    <w:rsid w:val="00206432"/>
    <w:rsid w:val="00206466"/>
    <w:rsid w:val="00206584"/>
    <w:rsid w:val="00206624"/>
    <w:rsid w:val="00206635"/>
    <w:rsid w:val="0020668B"/>
    <w:rsid w:val="00206727"/>
    <w:rsid w:val="00206765"/>
    <w:rsid w:val="002067B0"/>
    <w:rsid w:val="002067D4"/>
    <w:rsid w:val="0020687E"/>
    <w:rsid w:val="00206973"/>
    <w:rsid w:val="00206A31"/>
    <w:rsid w:val="00206A6B"/>
    <w:rsid w:val="00206A9B"/>
    <w:rsid w:val="00206AAE"/>
    <w:rsid w:val="00206B02"/>
    <w:rsid w:val="00206B08"/>
    <w:rsid w:val="00206B21"/>
    <w:rsid w:val="00206BAE"/>
    <w:rsid w:val="00206C4A"/>
    <w:rsid w:val="00206C9F"/>
    <w:rsid w:val="00206CD5"/>
    <w:rsid w:val="00206D29"/>
    <w:rsid w:val="00206D57"/>
    <w:rsid w:val="00206DC1"/>
    <w:rsid w:val="00206DF8"/>
    <w:rsid w:val="00206F28"/>
    <w:rsid w:val="00206FB6"/>
    <w:rsid w:val="00206FBC"/>
    <w:rsid w:val="00206FD7"/>
    <w:rsid w:val="00206FE8"/>
    <w:rsid w:val="00207032"/>
    <w:rsid w:val="002070AF"/>
    <w:rsid w:val="002070D3"/>
    <w:rsid w:val="002071F8"/>
    <w:rsid w:val="00207215"/>
    <w:rsid w:val="002072A7"/>
    <w:rsid w:val="00207340"/>
    <w:rsid w:val="00207379"/>
    <w:rsid w:val="002073A8"/>
    <w:rsid w:val="002073DB"/>
    <w:rsid w:val="00207436"/>
    <w:rsid w:val="002074C3"/>
    <w:rsid w:val="002075B8"/>
    <w:rsid w:val="002076B5"/>
    <w:rsid w:val="002076ED"/>
    <w:rsid w:val="00207743"/>
    <w:rsid w:val="002077FC"/>
    <w:rsid w:val="00207812"/>
    <w:rsid w:val="00207882"/>
    <w:rsid w:val="002078A7"/>
    <w:rsid w:val="0020794C"/>
    <w:rsid w:val="00207990"/>
    <w:rsid w:val="00207A36"/>
    <w:rsid w:val="00207AD0"/>
    <w:rsid w:val="00207AF9"/>
    <w:rsid w:val="00207B82"/>
    <w:rsid w:val="00207BB0"/>
    <w:rsid w:val="00207CCF"/>
    <w:rsid w:val="00207CE6"/>
    <w:rsid w:val="00207D2F"/>
    <w:rsid w:val="00207DB6"/>
    <w:rsid w:val="00207E48"/>
    <w:rsid w:val="00207E4B"/>
    <w:rsid w:val="00207E5B"/>
    <w:rsid w:val="00207F00"/>
    <w:rsid w:val="00207F35"/>
    <w:rsid w:val="00207FA6"/>
    <w:rsid w:val="00210055"/>
    <w:rsid w:val="002101E3"/>
    <w:rsid w:val="00210222"/>
    <w:rsid w:val="0021024F"/>
    <w:rsid w:val="00210292"/>
    <w:rsid w:val="00210367"/>
    <w:rsid w:val="002103A2"/>
    <w:rsid w:val="00210555"/>
    <w:rsid w:val="00210564"/>
    <w:rsid w:val="002105EA"/>
    <w:rsid w:val="00210643"/>
    <w:rsid w:val="002106E5"/>
    <w:rsid w:val="00210743"/>
    <w:rsid w:val="00210797"/>
    <w:rsid w:val="002107D7"/>
    <w:rsid w:val="00210849"/>
    <w:rsid w:val="0021085F"/>
    <w:rsid w:val="002108EE"/>
    <w:rsid w:val="00210938"/>
    <w:rsid w:val="0021093B"/>
    <w:rsid w:val="00210993"/>
    <w:rsid w:val="002109B9"/>
    <w:rsid w:val="002109BD"/>
    <w:rsid w:val="00210A73"/>
    <w:rsid w:val="00210A85"/>
    <w:rsid w:val="00210B78"/>
    <w:rsid w:val="00210B93"/>
    <w:rsid w:val="00210C3A"/>
    <w:rsid w:val="00210C3F"/>
    <w:rsid w:val="00210DA1"/>
    <w:rsid w:val="00210DB6"/>
    <w:rsid w:val="00210E0D"/>
    <w:rsid w:val="00210E30"/>
    <w:rsid w:val="00210E73"/>
    <w:rsid w:val="00210E7E"/>
    <w:rsid w:val="00210E8B"/>
    <w:rsid w:val="00210E97"/>
    <w:rsid w:val="00210EAA"/>
    <w:rsid w:val="00210F4B"/>
    <w:rsid w:val="00210FAA"/>
    <w:rsid w:val="00211099"/>
    <w:rsid w:val="002110E1"/>
    <w:rsid w:val="00211160"/>
    <w:rsid w:val="002111B4"/>
    <w:rsid w:val="00211287"/>
    <w:rsid w:val="00211310"/>
    <w:rsid w:val="00211436"/>
    <w:rsid w:val="002114D4"/>
    <w:rsid w:val="002115F3"/>
    <w:rsid w:val="00211659"/>
    <w:rsid w:val="0021167D"/>
    <w:rsid w:val="00211695"/>
    <w:rsid w:val="0021174E"/>
    <w:rsid w:val="00211798"/>
    <w:rsid w:val="00211830"/>
    <w:rsid w:val="002119AB"/>
    <w:rsid w:val="002119F5"/>
    <w:rsid w:val="00211A83"/>
    <w:rsid w:val="00211AEC"/>
    <w:rsid w:val="00211AF6"/>
    <w:rsid w:val="00211C6E"/>
    <w:rsid w:val="00211D29"/>
    <w:rsid w:val="00211D63"/>
    <w:rsid w:val="00211D9D"/>
    <w:rsid w:val="00211DD4"/>
    <w:rsid w:val="00211E21"/>
    <w:rsid w:val="00211ECA"/>
    <w:rsid w:val="00211F34"/>
    <w:rsid w:val="00211F3F"/>
    <w:rsid w:val="00212124"/>
    <w:rsid w:val="0021219A"/>
    <w:rsid w:val="002121AD"/>
    <w:rsid w:val="00212276"/>
    <w:rsid w:val="002122B3"/>
    <w:rsid w:val="0021233F"/>
    <w:rsid w:val="0021237D"/>
    <w:rsid w:val="0021238B"/>
    <w:rsid w:val="002123DB"/>
    <w:rsid w:val="00212410"/>
    <w:rsid w:val="00212476"/>
    <w:rsid w:val="00212483"/>
    <w:rsid w:val="00212493"/>
    <w:rsid w:val="0021249F"/>
    <w:rsid w:val="002124F6"/>
    <w:rsid w:val="00212529"/>
    <w:rsid w:val="0021255D"/>
    <w:rsid w:val="00212562"/>
    <w:rsid w:val="002125A9"/>
    <w:rsid w:val="002125B6"/>
    <w:rsid w:val="002125C4"/>
    <w:rsid w:val="002126AD"/>
    <w:rsid w:val="002126D0"/>
    <w:rsid w:val="002127AA"/>
    <w:rsid w:val="002127B1"/>
    <w:rsid w:val="002128C6"/>
    <w:rsid w:val="002128E7"/>
    <w:rsid w:val="00212A0B"/>
    <w:rsid w:val="00212ADF"/>
    <w:rsid w:val="00212BEE"/>
    <w:rsid w:val="00212C00"/>
    <w:rsid w:val="00212C2A"/>
    <w:rsid w:val="00212C41"/>
    <w:rsid w:val="00212CA8"/>
    <w:rsid w:val="00212E59"/>
    <w:rsid w:val="00212F4B"/>
    <w:rsid w:val="00212F8A"/>
    <w:rsid w:val="0021301A"/>
    <w:rsid w:val="0021302F"/>
    <w:rsid w:val="0021307D"/>
    <w:rsid w:val="00213085"/>
    <w:rsid w:val="002130BE"/>
    <w:rsid w:val="002130DF"/>
    <w:rsid w:val="00213105"/>
    <w:rsid w:val="0021318E"/>
    <w:rsid w:val="0021322C"/>
    <w:rsid w:val="00213257"/>
    <w:rsid w:val="002132C7"/>
    <w:rsid w:val="00213318"/>
    <w:rsid w:val="002133AA"/>
    <w:rsid w:val="00213509"/>
    <w:rsid w:val="00213606"/>
    <w:rsid w:val="0021361D"/>
    <w:rsid w:val="002136DD"/>
    <w:rsid w:val="002137B8"/>
    <w:rsid w:val="0021381F"/>
    <w:rsid w:val="0021389A"/>
    <w:rsid w:val="00213907"/>
    <w:rsid w:val="00213A33"/>
    <w:rsid w:val="00213B53"/>
    <w:rsid w:val="00213B57"/>
    <w:rsid w:val="00213B7B"/>
    <w:rsid w:val="00213BCD"/>
    <w:rsid w:val="00213BE1"/>
    <w:rsid w:val="00213BF3"/>
    <w:rsid w:val="00213C98"/>
    <w:rsid w:val="00213CA5"/>
    <w:rsid w:val="00213CC3"/>
    <w:rsid w:val="00213CCC"/>
    <w:rsid w:val="00213DBC"/>
    <w:rsid w:val="00213DD8"/>
    <w:rsid w:val="00213F2F"/>
    <w:rsid w:val="002140A2"/>
    <w:rsid w:val="0021411F"/>
    <w:rsid w:val="0021413C"/>
    <w:rsid w:val="002141EE"/>
    <w:rsid w:val="00214243"/>
    <w:rsid w:val="0021425E"/>
    <w:rsid w:val="0021427E"/>
    <w:rsid w:val="002142A4"/>
    <w:rsid w:val="002142CF"/>
    <w:rsid w:val="00214367"/>
    <w:rsid w:val="002143C5"/>
    <w:rsid w:val="002143D5"/>
    <w:rsid w:val="00214591"/>
    <w:rsid w:val="0021459E"/>
    <w:rsid w:val="002145B3"/>
    <w:rsid w:val="00214612"/>
    <w:rsid w:val="00214613"/>
    <w:rsid w:val="0021462E"/>
    <w:rsid w:val="002147A2"/>
    <w:rsid w:val="002147A6"/>
    <w:rsid w:val="00214822"/>
    <w:rsid w:val="0021495A"/>
    <w:rsid w:val="00214A05"/>
    <w:rsid w:val="00214A4C"/>
    <w:rsid w:val="00214A9B"/>
    <w:rsid w:val="00214AB7"/>
    <w:rsid w:val="00214ABD"/>
    <w:rsid w:val="00214AE2"/>
    <w:rsid w:val="00214B21"/>
    <w:rsid w:val="00214BD1"/>
    <w:rsid w:val="00214C29"/>
    <w:rsid w:val="00214C6A"/>
    <w:rsid w:val="00214C6E"/>
    <w:rsid w:val="00214DAB"/>
    <w:rsid w:val="00214DF3"/>
    <w:rsid w:val="00214E8E"/>
    <w:rsid w:val="00214EB0"/>
    <w:rsid w:val="00214F88"/>
    <w:rsid w:val="00214F89"/>
    <w:rsid w:val="00215056"/>
    <w:rsid w:val="00215080"/>
    <w:rsid w:val="00215109"/>
    <w:rsid w:val="0021512D"/>
    <w:rsid w:val="00215135"/>
    <w:rsid w:val="00215227"/>
    <w:rsid w:val="002152EC"/>
    <w:rsid w:val="00215461"/>
    <w:rsid w:val="002154E1"/>
    <w:rsid w:val="0021556A"/>
    <w:rsid w:val="00215594"/>
    <w:rsid w:val="0021566B"/>
    <w:rsid w:val="0021566F"/>
    <w:rsid w:val="002156B3"/>
    <w:rsid w:val="002156B4"/>
    <w:rsid w:val="002156BD"/>
    <w:rsid w:val="0021573D"/>
    <w:rsid w:val="0021575D"/>
    <w:rsid w:val="00215794"/>
    <w:rsid w:val="0021585E"/>
    <w:rsid w:val="00215865"/>
    <w:rsid w:val="00215938"/>
    <w:rsid w:val="0021594A"/>
    <w:rsid w:val="00215AB6"/>
    <w:rsid w:val="00215B98"/>
    <w:rsid w:val="00215BAB"/>
    <w:rsid w:val="00215BAC"/>
    <w:rsid w:val="00215BF3"/>
    <w:rsid w:val="00215C4B"/>
    <w:rsid w:val="00215D03"/>
    <w:rsid w:val="00215D3C"/>
    <w:rsid w:val="00215DEA"/>
    <w:rsid w:val="00215DF5"/>
    <w:rsid w:val="00215E1A"/>
    <w:rsid w:val="00215E6D"/>
    <w:rsid w:val="00215EB2"/>
    <w:rsid w:val="00215EB8"/>
    <w:rsid w:val="00215F33"/>
    <w:rsid w:val="00215FE4"/>
    <w:rsid w:val="0021609B"/>
    <w:rsid w:val="00216162"/>
    <w:rsid w:val="002161CF"/>
    <w:rsid w:val="00216247"/>
    <w:rsid w:val="00216274"/>
    <w:rsid w:val="002162D5"/>
    <w:rsid w:val="002162D9"/>
    <w:rsid w:val="00216304"/>
    <w:rsid w:val="0021636B"/>
    <w:rsid w:val="00216475"/>
    <w:rsid w:val="002164C7"/>
    <w:rsid w:val="00216550"/>
    <w:rsid w:val="002166AC"/>
    <w:rsid w:val="002166B3"/>
    <w:rsid w:val="002166B4"/>
    <w:rsid w:val="002166DE"/>
    <w:rsid w:val="002166E1"/>
    <w:rsid w:val="0021674F"/>
    <w:rsid w:val="00216819"/>
    <w:rsid w:val="002168B9"/>
    <w:rsid w:val="002168C6"/>
    <w:rsid w:val="002169B9"/>
    <w:rsid w:val="002169E9"/>
    <w:rsid w:val="00216A1B"/>
    <w:rsid w:val="00216A60"/>
    <w:rsid w:val="00216A78"/>
    <w:rsid w:val="00216BC8"/>
    <w:rsid w:val="00216BE1"/>
    <w:rsid w:val="00216C0F"/>
    <w:rsid w:val="00216CA2"/>
    <w:rsid w:val="00216CFC"/>
    <w:rsid w:val="00216D0D"/>
    <w:rsid w:val="00216D45"/>
    <w:rsid w:val="00216D92"/>
    <w:rsid w:val="00216DEE"/>
    <w:rsid w:val="00216E2C"/>
    <w:rsid w:val="00216E45"/>
    <w:rsid w:val="00216E58"/>
    <w:rsid w:val="00216F07"/>
    <w:rsid w:val="00216FB8"/>
    <w:rsid w:val="0021701D"/>
    <w:rsid w:val="002170FE"/>
    <w:rsid w:val="0021725C"/>
    <w:rsid w:val="0021733E"/>
    <w:rsid w:val="0021738D"/>
    <w:rsid w:val="002173A4"/>
    <w:rsid w:val="002173C3"/>
    <w:rsid w:val="00217416"/>
    <w:rsid w:val="00217488"/>
    <w:rsid w:val="00217499"/>
    <w:rsid w:val="00217538"/>
    <w:rsid w:val="0021754F"/>
    <w:rsid w:val="002176C4"/>
    <w:rsid w:val="002176CF"/>
    <w:rsid w:val="002176E5"/>
    <w:rsid w:val="00217778"/>
    <w:rsid w:val="002177DB"/>
    <w:rsid w:val="002177F1"/>
    <w:rsid w:val="00217834"/>
    <w:rsid w:val="00217858"/>
    <w:rsid w:val="0021786E"/>
    <w:rsid w:val="0021789E"/>
    <w:rsid w:val="002178B4"/>
    <w:rsid w:val="002178D6"/>
    <w:rsid w:val="002179E4"/>
    <w:rsid w:val="00217A9D"/>
    <w:rsid w:val="00217B36"/>
    <w:rsid w:val="00217B93"/>
    <w:rsid w:val="00217C40"/>
    <w:rsid w:val="00217C46"/>
    <w:rsid w:val="00217CCF"/>
    <w:rsid w:val="00217CF4"/>
    <w:rsid w:val="00217D08"/>
    <w:rsid w:val="00217D55"/>
    <w:rsid w:val="00217D84"/>
    <w:rsid w:val="00217E72"/>
    <w:rsid w:val="00217EF0"/>
    <w:rsid w:val="00217EFF"/>
    <w:rsid w:val="00217F55"/>
    <w:rsid w:val="00217F73"/>
    <w:rsid w:val="00217F7B"/>
    <w:rsid w:val="0022002C"/>
    <w:rsid w:val="00220099"/>
    <w:rsid w:val="002200A9"/>
    <w:rsid w:val="002200C3"/>
    <w:rsid w:val="002202A0"/>
    <w:rsid w:val="0022034F"/>
    <w:rsid w:val="00220359"/>
    <w:rsid w:val="0022035D"/>
    <w:rsid w:val="00220390"/>
    <w:rsid w:val="0022039B"/>
    <w:rsid w:val="00220428"/>
    <w:rsid w:val="00220441"/>
    <w:rsid w:val="00220445"/>
    <w:rsid w:val="0022047C"/>
    <w:rsid w:val="0022059E"/>
    <w:rsid w:val="002205EA"/>
    <w:rsid w:val="00220605"/>
    <w:rsid w:val="002207BD"/>
    <w:rsid w:val="00220838"/>
    <w:rsid w:val="0022083B"/>
    <w:rsid w:val="002208DF"/>
    <w:rsid w:val="00220AC0"/>
    <w:rsid w:val="00220B0E"/>
    <w:rsid w:val="00220B88"/>
    <w:rsid w:val="00220CC1"/>
    <w:rsid w:val="00220DD1"/>
    <w:rsid w:val="00220E27"/>
    <w:rsid w:val="00220E6B"/>
    <w:rsid w:val="00220F0D"/>
    <w:rsid w:val="00220F5B"/>
    <w:rsid w:val="00221014"/>
    <w:rsid w:val="0022101D"/>
    <w:rsid w:val="0022118E"/>
    <w:rsid w:val="0022118F"/>
    <w:rsid w:val="002211D0"/>
    <w:rsid w:val="0022129F"/>
    <w:rsid w:val="002212D1"/>
    <w:rsid w:val="00221307"/>
    <w:rsid w:val="00221358"/>
    <w:rsid w:val="0022135F"/>
    <w:rsid w:val="002213C0"/>
    <w:rsid w:val="002213CB"/>
    <w:rsid w:val="0022141A"/>
    <w:rsid w:val="00221481"/>
    <w:rsid w:val="002214AC"/>
    <w:rsid w:val="00221604"/>
    <w:rsid w:val="00221657"/>
    <w:rsid w:val="002216E0"/>
    <w:rsid w:val="00221750"/>
    <w:rsid w:val="002218DD"/>
    <w:rsid w:val="00221933"/>
    <w:rsid w:val="00221964"/>
    <w:rsid w:val="002219B2"/>
    <w:rsid w:val="002219FF"/>
    <w:rsid w:val="00221A33"/>
    <w:rsid w:val="00221B14"/>
    <w:rsid w:val="00221B32"/>
    <w:rsid w:val="00221B64"/>
    <w:rsid w:val="00221BA0"/>
    <w:rsid w:val="00221BA7"/>
    <w:rsid w:val="00221BD1"/>
    <w:rsid w:val="00221C36"/>
    <w:rsid w:val="00221CC9"/>
    <w:rsid w:val="00221D03"/>
    <w:rsid w:val="00221E7C"/>
    <w:rsid w:val="00221EA3"/>
    <w:rsid w:val="00221EC9"/>
    <w:rsid w:val="00221ECE"/>
    <w:rsid w:val="00221F37"/>
    <w:rsid w:val="00221F5E"/>
    <w:rsid w:val="00221F93"/>
    <w:rsid w:val="0022200B"/>
    <w:rsid w:val="002220A8"/>
    <w:rsid w:val="002220D1"/>
    <w:rsid w:val="00222123"/>
    <w:rsid w:val="00222217"/>
    <w:rsid w:val="0022224B"/>
    <w:rsid w:val="00222278"/>
    <w:rsid w:val="0022227C"/>
    <w:rsid w:val="0022227E"/>
    <w:rsid w:val="002222E5"/>
    <w:rsid w:val="00222386"/>
    <w:rsid w:val="002223A3"/>
    <w:rsid w:val="002223AD"/>
    <w:rsid w:val="002223C3"/>
    <w:rsid w:val="002223DE"/>
    <w:rsid w:val="0022246B"/>
    <w:rsid w:val="0022249C"/>
    <w:rsid w:val="002224BD"/>
    <w:rsid w:val="002224ED"/>
    <w:rsid w:val="0022253C"/>
    <w:rsid w:val="002225C3"/>
    <w:rsid w:val="002225F0"/>
    <w:rsid w:val="002226BD"/>
    <w:rsid w:val="002226C3"/>
    <w:rsid w:val="002227DB"/>
    <w:rsid w:val="0022284A"/>
    <w:rsid w:val="00222891"/>
    <w:rsid w:val="00222894"/>
    <w:rsid w:val="002228DE"/>
    <w:rsid w:val="002228E7"/>
    <w:rsid w:val="002229CD"/>
    <w:rsid w:val="002229E5"/>
    <w:rsid w:val="00222A2C"/>
    <w:rsid w:val="00222A48"/>
    <w:rsid w:val="00222A4C"/>
    <w:rsid w:val="00222A92"/>
    <w:rsid w:val="00222BEF"/>
    <w:rsid w:val="00222C67"/>
    <w:rsid w:val="00222CEB"/>
    <w:rsid w:val="00222D0D"/>
    <w:rsid w:val="00222D14"/>
    <w:rsid w:val="00222D57"/>
    <w:rsid w:val="00222DF1"/>
    <w:rsid w:val="00222E89"/>
    <w:rsid w:val="00222EC4"/>
    <w:rsid w:val="00222F10"/>
    <w:rsid w:val="00222F89"/>
    <w:rsid w:val="00222F9C"/>
    <w:rsid w:val="00222FC4"/>
    <w:rsid w:val="00223003"/>
    <w:rsid w:val="002230E5"/>
    <w:rsid w:val="00223198"/>
    <w:rsid w:val="00223251"/>
    <w:rsid w:val="0022327B"/>
    <w:rsid w:val="00223355"/>
    <w:rsid w:val="00223370"/>
    <w:rsid w:val="00223388"/>
    <w:rsid w:val="002233B5"/>
    <w:rsid w:val="00223562"/>
    <w:rsid w:val="00223586"/>
    <w:rsid w:val="002235E4"/>
    <w:rsid w:val="00223601"/>
    <w:rsid w:val="00223625"/>
    <w:rsid w:val="00223639"/>
    <w:rsid w:val="002236C4"/>
    <w:rsid w:val="00223819"/>
    <w:rsid w:val="00223828"/>
    <w:rsid w:val="00223907"/>
    <w:rsid w:val="00223918"/>
    <w:rsid w:val="00223946"/>
    <w:rsid w:val="0022397A"/>
    <w:rsid w:val="00223985"/>
    <w:rsid w:val="00223A1E"/>
    <w:rsid w:val="00223A86"/>
    <w:rsid w:val="00223CCA"/>
    <w:rsid w:val="00223CD0"/>
    <w:rsid w:val="00223D37"/>
    <w:rsid w:val="00223DCA"/>
    <w:rsid w:val="00223E44"/>
    <w:rsid w:val="00223E56"/>
    <w:rsid w:val="00223E6D"/>
    <w:rsid w:val="00223E75"/>
    <w:rsid w:val="0022405D"/>
    <w:rsid w:val="00224148"/>
    <w:rsid w:val="00224152"/>
    <w:rsid w:val="00224193"/>
    <w:rsid w:val="00224200"/>
    <w:rsid w:val="0022422B"/>
    <w:rsid w:val="0022425E"/>
    <w:rsid w:val="0022426E"/>
    <w:rsid w:val="002242C5"/>
    <w:rsid w:val="0022435A"/>
    <w:rsid w:val="002244B9"/>
    <w:rsid w:val="002245A9"/>
    <w:rsid w:val="00224619"/>
    <w:rsid w:val="00224639"/>
    <w:rsid w:val="002246AD"/>
    <w:rsid w:val="002247EB"/>
    <w:rsid w:val="0022482F"/>
    <w:rsid w:val="002248C5"/>
    <w:rsid w:val="002249CC"/>
    <w:rsid w:val="00224B24"/>
    <w:rsid w:val="00224B7E"/>
    <w:rsid w:val="00224BA0"/>
    <w:rsid w:val="00224BA3"/>
    <w:rsid w:val="00224BB6"/>
    <w:rsid w:val="00224BE7"/>
    <w:rsid w:val="00224C22"/>
    <w:rsid w:val="00224C52"/>
    <w:rsid w:val="00224C6F"/>
    <w:rsid w:val="00224CCA"/>
    <w:rsid w:val="00224D20"/>
    <w:rsid w:val="00224DB5"/>
    <w:rsid w:val="00224E14"/>
    <w:rsid w:val="00224F04"/>
    <w:rsid w:val="00224F28"/>
    <w:rsid w:val="00224F2B"/>
    <w:rsid w:val="00224F58"/>
    <w:rsid w:val="00225014"/>
    <w:rsid w:val="00225078"/>
    <w:rsid w:val="002250A8"/>
    <w:rsid w:val="00225126"/>
    <w:rsid w:val="0022512C"/>
    <w:rsid w:val="002251C4"/>
    <w:rsid w:val="00225234"/>
    <w:rsid w:val="0022528B"/>
    <w:rsid w:val="00225291"/>
    <w:rsid w:val="002252AD"/>
    <w:rsid w:val="002252DB"/>
    <w:rsid w:val="00225396"/>
    <w:rsid w:val="00225434"/>
    <w:rsid w:val="002254B3"/>
    <w:rsid w:val="00225561"/>
    <w:rsid w:val="00225584"/>
    <w:rsid w:val="002255A4"/>
    <w:rsid w:val="0022568B"/>
    <w:rsid w:val="002256CD"/>
    <w:rsid w:val="002256FB"/>
    <w:rsid w:val="0022577B"/>
    <w:rsid w:val="0022581B"/>
    <w:rsid w:val="0022581D"/>
    <w:rsid w:val="00225898"/>
    <w:rsid w:val="002259CF"/>
    <w:rsid w:val="00225A33"/>
    <w:rsid w:val="00225A40"/>
    <w:rsid w:val="00225A65"/>
    <w:rsid w:val="00225B24"/>
    <w:rsid w:val="00225C62"/>
    <w:rsid w:val="00225CB5"/>
    <w:rsid w:val="00225CDA"/>
    <w:rsid w:val="00225D7D"/>
    <w:rsid w:val="00225DC2"/>
    <w:rsid w:val="00225DFA"/>
    <w:rsid w:val="00225EAD"/>
    <w:rsid w:val="00225EBD"/>
    <w:rsid w:val="00226061"/>
    <w:rsid w:val="002260D1"/>
    <w:rsid w:val="002260DA"/>
    <w:rsid w:val="00226104"/>
    <w:rsid w:val="00226118"/>
    <w:rsid w:val="00226137"/>
    <w:rsid w:val="002261AE"/>
    <w:rsid w:val="00226218"/>
    <w:rsid w:val="00226289"/>
    <w:rsid w:val="0022636D"/>
    <w:rsid w:val="002263EC"/>
    <w:rsid w:val="00226680"/>
    <w:rsid w:val="00226689"/>
    <w:rsid w:val="00226698"/>
    <w:rsid w:val="002267BB"/>
    <w:rsid w:val="002267DD"/>
    <w:rsid w:val="002267E0"/>
    <w:rsid w:val="0022687D"/>
    <w:rsid w:val="00226895"/>
    <w:rsid w:val="002268CE"/>
    <w:rsid w:val="00226A07"/>
    <w:rsid w:val="00226A3B"/>
    <w:rsid w:val="00226A4F"/>
    <w:rsid w:val="00226A54"/>
    <w:rsid w:val="00226AD1"/>
    <w:rsid w:val="00226ADB"/>
    <w:rsid w:val="00226AE1"/>
    <w:rsid w:val="00226B05"/>
    <w:rsid w:val="00226B58"/>
    <w:rsid w:val="00226BC9"/>
    <w:rsid w:val="00226CAA"/>
    <w:rsid w:val="00226CAD"/>
    <w:rsid w:val="00226D00"/>
    <w:rsid w:val="00226D14"/>
    <w:rsid w:val="00226E6C"/>
    <w:rsid w:val="00226E72"/>
    <w:rsid w:val="00226EA7"/>
    <w:rsid w:val="00226F45"/>
    <w:rsid w:val="0022701B"/>
    <w:rsid w:val="00227033"/>
    <w:rsid w:val="0022704C"/>
    <w:rsid w:val="00227072"/>
    <w:rsid w:val="00227075"/>
    <w:rsid w:val="0022711E"/>
    <w:rsid w:val="00227208"/>
    <w:rsid w:val="00227234"/>
    <w:rsid w:val="00227274"/>
    <w:rsid w:val="00227304"/>
    <w:rsid w:val="0022730B"/>
    <w:rsid w:val="00227320"/>
    <w:rsid w:val="002273B3"/>
    <w:rsid w:val="002273B7"/>
    <w:rsid w:val="002273CD"/>
    <w:rsid w:val="00227502"/>
    <w:rsid w:val="00227547"/>
    <w:rsid w:val="0022767E"/>
    <w:rsid w:val="002276B2"/>
    <w:rsid w:val="00227712"/>
    <w:rsid w:val="00227751"/>
    <w:rsid w:val="00227764"/>
    <w:rsid w:val="0022776D"/>
    <w:rsid w:val="002278EB"/>
    <w:rsid w:val="00227AA7"/>
    <w:rsid w:val="00227ADA"/>
    <w:rsid w:val="00227AEF"/>
    <w:rsid w:val="00227B1A"/>
    <w:rsid w:val="00227C48"/>
    <w:rsid w:val="00227CA6"/>
    <w:rsid w:val="00227CF2"/>
    <w:rsid w:val="00227DDE"/>
    <w:rsid w:val="00227DEC"/>
    <w:rsid w:val="00227E6E"/>
    <w:rsid w:val="00227F35"/>
    <w:rsid w:val="00227F4E"/>
    <w:rsid w:val="00227F56"/>
    <w:rsid w:val="00227F7A"/>
    <w:rsid w:val="00227F8C"/>
    <w:rsid w:val="0023001B"/>
    <w:rsid w:val="0023008F"/>
    <w:rsid w:val="002300C7"/>
    <w:rsid w:val="00230298"/>
    <w:rsid w:val="002302D1"/>
    <w:rsid w:val="002303A2"/>
    <w:rsid w:val="002303D6"/>
    <w:rsid w:val="00230610"/>
    <w:rsid w:val="0023069E"/>
    <w:rsid w:val="002306F7"/>
    <w:rsid w:val="002308C5"/>
    <w:rsid w:val="002308D9"/>
    <w:rsid w:val="002308F7"/>
    <w:rsid w:val="0023098E"/>
    <w:rsid w:val="002309AE"/>
    <w:rsid w:val="002309D9"/>
    <w:rsid w:val="002309DD"/>
    <w:rsid w:val="00230ACD"/>
    <w:rsid w:val="00230B05"/>
    <w:rsid w:val="00230C62"/>
    <w:rsid w:val="00230C6F"/>
    <w:rsid w:val="00230D1D"/>
    <w:rsid w:val="00230DA1"/>
    <w:rsid w:val="00230E91"/>
    <w:rsid w:val="00230EA0"/>
    <w:rsid w:val="00230F11"/>
    <w:rsid w:val="00230F1E"/>
    <w:rsid w:val="002310AE"/>
    <w:rsid w:val="0023117E"/>
    <w:rsid w:val="002311A7"/>
    <w:rsid w:val="002311BB"/>
    <w:rsid w:val="002311DA"/>
    <w:rsid w:val="00231279"/>
    <w:rsid w:val="00231324"/>
    <w:rsid w:val="002313AD"/>
    <w:rsid w:val="002313C6"/>
    <w:rsid w:val="00231539"/>
    <w:rsid w:val="002315F2"/>
    <w:rsid w:val="00231615"/>
    <w:rsid w:val="002316D0"/>
    <w:rsid w:val="0023174F"/>
    <w:rsid w:val="002317EC"/>
    <w:rsid w:val="002318ED"/>
    <w:rsid w:val="002319AA"/>
    <w:rsid w:val="002319CF"/>
    <w:rsid w:val="002319FB"/>
    <w:rsid w:val="00231A17"/>
    <w:rsid w:val="00231A65"/>
    <w:rsid w:val="00231B3D"/>
    <w:rsid w:val="00231BC1"/>
    <w:rsid w:val="00231C67"/>
    <w:rsid w:val="00231C7D"/>
    <w:rsid w:val="00231CF0"/>
    <w:rsid w:val="00231D21"/>
    <w:rsid w:val="00231E45"/>
    <w:rsid w:val="0023206F"/>
    <w:rsid w:val="00232095"/>
    <w:rsid w:val="00232128"/>
    <w:rsid w:val="00232156"/>
    <w:rsid w:val="002321CA"/>
    <w:rsid w:val="00232298"/>
    <w:rsid w:val="002322C1"/>
    <w:rsid w:val="002322F4"/>
    <w:rsid w:val="00232315"/>
    <w:rsid w:val="0023245B"/>
    <w:rsid w:val="00232478"/>
    <w:rsid w:val="0023251C"/>
    <w:rsid w:val="0023256C"/>
    <w:rsid w:val="002325B6"/>
    <w:rsid w:val="00232695"/>
    <w:rsid w:val="0023269A"/>
    <w:rsid w:val="00232731"/>
    <w:rsid w:val="00232776"/>
    <w:rsid w:val="002327AC"/>
    <w:rsid w:val="002327EA"/>
    <w:rsid w:val="00232802"/>
    <w:rsid w:val="00232826"/>
    <w:rsid w:val="00232875"/>
    <w:rsid w:val="002328CA"/>
    <w:rsid w:val="002328F8"/>
    <w:rsid w:val="0023292F"/>
    <w:rsid w:val="0023299E"/>
    <w:rsid w:val="00232A25"/>
    <w:rsid w:val="00232A8C"/>
    <w:rsid w:val="00232C37"/>
    <w:rsid w:val="00232CB6"/>
    <w:rsid w:val="00232DC4"/>
    <w:rsid w:val="00232DD5"/>
    <w:rsid w:val="00232DF4"/>
    <w:rsid w:val="00232E49"/>
    <w:rsid w:val="00232F35"/>
    <w:rsid w:val="00232F46"/>
    <w:rsid w:val="00232F5E"/>
    <w:rsid w:val="00232F62"/>
    <w:rsid w:val="00232F7C"/>
    <w:rsid w:val="002330BE"/>
    <w:rsid w:val="002330C5"/>
    <w:rsid w:val="00233107"/>
    <w:rsid w:val="0023310A"/>
    <w:rsid w:val="002332E7"/>
    <w:rsid w:val="0023333D"/>
    <w:rsid w:val="00233361"/>
    <w:rsid w:val="00233380"/>
    <w:rsid w:val="00233390"/>
    <w:rsid w:val="002333EC"/>
    <w:rsid w:val="00233453"/>
    <w:rsid w:val="0023346C"/>
    <w:rsid w:val="002336AA"/>
    <w:rsid w:val="002336F0"/>
    <w:rsid w:val="002337EF"/>
    <w:rsid w:val="002338DB"/>
    <w:rsid w:val="00233958"/>
    <w:rsid w:val="00233986"/>
    <w:rsid w:val="00233A7A"/>
    <w:rsid w:val="00233A8F"/>
    <w:rsid w:val="00233AD4"/>
    <w:rsid w:val="00233AE1"/>
    <w:rsid w:val="00233B4E"/>
    <w:rsid w:val="00233C06"/>
    <w:rsid w:val="00233CA2"/>
    <w:rsid w:val="00233E8A"/>
    <w:rsid w:val="00233E99"/>
    <w:rsid w:val="00233F58"/>
    <w:rsid w:val="00233F7F"/>
    <w:rsid w:val="00234051"/>
    <w:rsid w:val="0023411F"/>
    <w:rsid w:val="00234138"/>
    <w:rsid w:val="002341D4"/>
    <w:rsid w:val="0023420A"/>
    <w:rsid w:val="00234225"/>
    <w:rsid w:val="002342AF"/>
    <w:rsid w:val="0023432A"/>
    <w:rsid w:val="0023438E"/>
    <w:rsid w:val="002343C9"/>
    <w:rsid w:val="002343D3"/>
    <w:rsid w:val="00234405"/>
    <w:rsid w:val="0023455F"/>
    <w:rsid w:val="002345B7"/>
    <w:rsid w:val="002345CC"/>
    <w:rsid w:val="002345EF"/>
    <w:rsid w:val="00234606"/>
    <w:rsid w:val="00234621"/>
    <w:rsid w:val="002346F6"/>
    <w:rsid w:val="00234718"/>
    <w:rsid w:val="0023478B"/>
    <w:rsid w:val="002348AF"/>
    <w:rsid w:val="00234945"/>
    <w:rsid w:val="0023496E"/>
    <w:rsid w:val="00234978"/>
    <w:rsid w:val="002349E2"/>
    <w:rsid w:val="00234AFB"/>
    <w:rsid w:val="00234B20"/>
    <w:rsid w:val="00234B56"/>
    <w:rsid w:val="00234D60"/>
    <w:rsid w:val="00234D68"/>
    <w:rsid w:val="00234DC6"/>
    <w:rsid w:val="00234E10"/>
    <w:rsid w:val="00234E86"/>
    <w:rsid w:val="00234F23"/>
    <w:rsid w:val="00234F2E"/>
    <w:rsid w:val="00234F99"/>
    <w:rsid w:val="00234FE3"/>
    <w:rsid w:val="00235154"/>
    <w:rsid w:val="002351C9"/>
    <w:rsid w:val="0023525C"/>
    <w:rsid w:val="0023525D"/>
    <w:rsid w:val="00235263"/>
    <w:rsid w:val="00235286"/>
    <w:rsid w:val="002352BF"/>
    <w:rsid w:val="002354A9"/>
    <w:rsid w:val="0023557C"/>
    <w:rsid w:val="0023559E"/>
    <w:rsid w:val="00235647"/>
    <w:rsid w:val="0023573E"/>
    <w:rsid w:val="00235748"/>
    <w:rsid w:val="00235770"/>
    <w:rsid w:val="002357DA"/>
    <w:rsid w:val="0023581C"/>
    <w:rsid w:val="00235838"/>
    <w:rsid w:val="0023585E"/>
    <w:rsid w:val="00235861"/>
    <w:rsid w:val="00235862"/>
    <w:rsid w:val="0023586A"/>
    <w:rsid w:val="0023592E"/>
    <w:rsid w:val="002359BC"/>
    <w:rsid w:val="002359F7"/>
    <w:rsid w:val="00235A10"/>
    <w:rsid w:val="00235A4B"/>
    <w:rsid w:val="00235B5E"/>
    <w:rsid w:val="00235B9E"/>
    <w:rsid w:val="00235D37"/>
    <w:rsid w:val="00235E52"/>
    <w:rsid w:val="00235E7B"/>
    <w:rsid w:val="00235F6F"/>
    <w:rsid w:val="00235FA4"/>
    <w:rsid w:val="0023603E"/>
    <w:rsid w:val="00236060"/>
    <w:rsid w:val="002360BD"/>
    <w:rsid w:val="0023610A"/>
    <w:rsid w:val="0023617F"/>
    <w:rsid w:val="00236180"/>
    <w:rsid w:val="00236181"/>
    <w:rsid w:val="00236201"/>
    <w:rsid w:val="0023624C"/>
    <w:rsid w:val="00236375"/>
    <w:rsid w:val="00236467"/>
    <w:rsid w:val="0023649E"/>
    <w:rsid w:val="002364DA"/>
    <w:rsid w:val="0023659D"/>
    <w:rsid w:val="002366BD"/>
    <w:rsid w:val="0023670F"/>
    <w:rsid w:val="00236838"/>
    <w:rsid w:val="00236841"/>
    <w:rsid w:val="0023688C"/>
    <w:rsid w:val="002368AF"/>
    <w:rsid w:val="00236945"/>
    <w:rsid w:val="002369BF"/>
    <w:rsid w:val="00236A8F"/>
    <w:rsid w:val="00236A94"/>
    <w:rsid w:val="00236B0F"/>
    <w:rsid w:val="00236CAE"/>
    <w:rsid w:val="00236D39"/>
    <w:rsid w:val="00236DE5"/>
    <w:rsid w:val="00236E95"/>
    <w:rsid w:val="00236F93"/>
    <w:rsid w:val="00237087"/>
    <w:rsid w:val="00237097"/>
    <w:rsid w:val="0023717E"/>
    <w:rsid w:val="002371EC"/>
    <w:rsid w:val="00237249"/>
    <w:rsid w:val="002372E4"/>
    <w:rsid w:val="0023733B"/>
    <w:rsid w:val="0023736A"/>
    <w:rsid w:val="002374D1"/>
    <w:rsid w:val="002374E6"/>
    <w:rsid w:val="002375C5"/>
    <w:rsid w:val="002375E0"/>
    <w:rsid w:val="002375F4"/>
    <w:rsid w:val="00237633"/>
    <w:rsid w:val="00237693"/>
    <w:rsid w:val="00237715"/>
    <w:rsid w:val="0023783F"/>
    <w:rsid w:val="0023791C"/>
    <w:rsid w:val="00237A2C"/>
    <w:rsid w:val="00237B1C"/>
    <w:rsid w:val="00237D71"/>
    <w:rsid w:val="00237D94"/>
    <w:rsid w:val="00237DA1"/>
    <w:rsid w:val="00237F28"/>
    <w:rsid w:val="00240000"/>
    <w:rsid w:val="00240031"/>
    <w:rsid w:val="0024004F"/>
    <w:rsid w:val="0024006B"/>
    <w:rsid w:val="00240107"/>
    <w:rsid w:val="0024012F"/>
    <w:rsid w:val="00240156"/>
    <w:rsid w:val="0024029C"/>
    <w:rsid w:val="00240369"/>
    <w:rsid w:val="00240376"/>
    <w:rsid w:val="00240388"/>
    <w:rsid w:val="0024042E"/>
    <w:rsid w:val="00240432"/>
    <w:rsid w:val="002404EF"/>
    <w:rsid w:val="0024053F"/>
    <w:rsid w:val="0024057B"/>
    <w:rsid w:val="0024058E"/>
    <w:rsid w:val="002405E5"/>
    <w:rsid w:val="00240669"/>
    <w:rsid w:val="002406A4"/>
    <w:rsid w:val="0024071F"/>
    <w:rsid w:val="00240741"/>
    <w:rsid w:val="00240828"/>
    <w:rsid w:val="002408C1"/>
    <w:rsid w:val="00240A08"/>
    <w:rsid w:val="00240A3B"/>
    <w:rsid w:val="00240A5E"/>
    <w:rsid w:val="00240C3A"/>
    <w:rsid w:val="00240C53"/>
    <w:rsid w:val="00240C62"/>
    <w:rsid w:val="00240C9D"/>
    <w:rsid w:val="00240D02"/>
    <w:rsid w:val="00240D5F"/>
    <w:rsid w:val="00240D64"/>
    <w:rsid w:val="00240E29"/>
    <w:rsid w:val="00240EDF"/>
    <w:rsid w:val="00240F1D"/>
    <w:rsid w:val="00240FC7"/>
    <w:rsid w:val="00240FCC"/>
    <w:rsid w:val="0024109C"/>
    <w:rsid w:val="002411DC"/>
    <w:rsid w:val="00241210"/>
    <w:rsid w:val="00241225"/>
    <w:rsid w:val="002412C2"/>
    <w:rsid w:val="002412FA"/>
    <w:rsid w:val="0024133C"/>
    <w:rsid w:val="00241599"/>
    <w:rsid w:val="002417E2"/>
    <w:rsid w:val="002417FA"/>
    <w:rsid w:val="002417FE"/>
    <w:rsid w:val="002419CC"/>
    <w:rsid w:val="002419DA"/>
    <w:rsid w:val="00241A3A"/>
    <w:rsid w:val="00241A61"/>
    <w:rsid w:val="00241AF9"/>
    <w:rsid w:val="00241B86"/>
    <w:rsid w:val="00241BBB"/>
    <w:rsid w:val="00241BE7"/>
    <w:rsid w:val="00241BF8"/>
    <w:rsid w:val="00241C34"/>
    <w:rsid w:val="00241C57"/>
    <w:rsid w:val="00241CE7"/>
    <w:rsid w:val="00241CFA"/>
    <w:rsid w:val="00241D03"/>
    <w:rsid w:val="00241D68"/>
    <w:rsid w:val="00241D6A"/>
    <w:rsid w:val="00241DC9"/>
    <w:rsid w:val="00241E71"/>
    <w:rsid w:val="00241F0C"/>
    <w:rsid w:val="00241F2E"/>
    <w:rsid w:val="00241F5A"/>
    <w:rsid w:val="00241F9C"/>
    <w:rsid w:val="0024205A"/>
    <w:rsid w:val="00242070"/>
    <w:rsid w:val="00242117"/>
    <w:rsid w:val="0024212E"/>
    <w:rsid w:val="0024218F"/>
    <w:rsid w:val="002421A1"/>
    <w:rsid w:val="00242238"/>
    <w:rsid w:val="00242247"/>
    <w:rsid w:val="002422D5"/>
    <w:rsid w:val="00242315"/>
    <w:rsid w:val="00242340"/>
    <w:rsid w:val="0024239C"/>
    <w:rsid w:val="0024240B"/>
    <w:rsid w:val="0024247F"/>
    <w:rsid w:val="00242481"/>
    <w:rsid w:val="00242497"/>
    <w:rsid w:val="00242527"/>
    <w:rsid w:val="0024252F"/>
    <w:rsid w:val="00242593"/>
    <w:rsid w:val="002425FB"/>
    <w:rsid w:val="002426C0"/>
    <w:rsid w:val="002426DF"/>
    <w:rsid w:val="00242818"/>
    <w:rsid w:val="00242830"/>
    <w:rsid w:val="0024290B"/>
    <w:rsid w:val="002429CC"/>
    <w:rsid w:val="00242A34"/>
    <w:rsid w:val="00242B3B"/>
    <w:rsid w:val="00242C71"/>
    <w:rsid w:val="00242C7D"/>
    <w:rsid w:val="00242CB7"/>
    <w:rsid w:val="00242D3F"/>
    <w:rsid w:val="00242D55"/>
    <w:rsid w:val="00242DA0"/>
    <w:rsid w:val="00242DC2"/>
    <w:rsid w:val="00242E52"/>
    <w:rsid w:val="00242FF3"/>
    <w:rsid w:val="0024307C"/>
    <w:rsid w:val="002430B1"/>
    <w:rsid w:val="00243124"/>
    <w:rsid w:val="002431C1"/>
    <w:rsid w:val="002431C4"/>
    <w:rsid w:val="00243297"/>
    <w:rsid w:val="002432BE"/>
    <w:rsid w:val="002432DA"/>
    <w:rsid w:val="002432E0"/>
    <w:rsid w:val="0024335B"/>
    <w:rsid w:val="002433D8"/>
    <w:rsid w:val="002433E3"/>
    <w:rsid w:val="00243450"/>
    <w:rsid w:val="0024351A"/>
    <w:rsid w:val="0024351F"/>
    <w:rsid w:val="002435E3"/>
    <w:rsid w:val="00243605"/>
    <w:rsid w:val="00243679"/>
    <w:rsid w:val="00243728"/>
    <w:rsid w:val="002437D5"/>
    <w:rsid w:val="002437F7"/>
    <w:rsid w:val="002438CF"/>
    <w:rsid w:val="00243927"/>
    <w:rsid w:val="00243A2B"/>
    <w:rsid w:val="00243A7D"/>
    <w:rsid w:val="00243A8F"/>
    <w:rsid w:val="00243B68"/>
    <w:rsid w:val="00243B8B"/>
    <w:rsid w:val="00243BB7"/>
    <w:rsid w:val="00243C18"/>
    <w:rsid w:val="00243C93"/>
    <w:rsid w:val="00243CB0"/>
    <w:rsid w:val="00243CB7"/>
    <w:rsid w:val="00243E36"/>
    <w:rsid w:val="00243EEE"/>
    <w:rsid w:val="00243FB0"/>
    <w:rsid w:val="002440AD"/>
    <w:rsid w:val="002440F4"/>
    <w:rsid w:val="0024415F"/>
    <w:rsid w:val="002441D0"/>
    <w:rsid w:val="002441E6"/>
    <w:rsid w:val="00244262"/>
    <w:rsid w:val="002442C9"/>
    <w:rsid w:val="0024438E"/>
    <w:rsid w:val="002443C8"/>
    <w:rsid w:val="00244408"/>
    <w:rsid w:val="00244510"/>
    <w:rsid w:val="0024455E"/>
    <w:rsid w:val="002446AD"/>
    <w:rsid w:val="002446AF"/>
    <w:rsid w:val="002446CF"/>
    <w:rsid w:val="0024477A"/>
    <w:rsid w:val="0024485A"/>
    <w:rsid w:val="00244950"/>
    <w:rsid w:val="002449AA"/>
    <w:rsid w:val="002449AB"/>
    <w:rsid w:val="00244B11"/>
    <w:rsid w:val="00244BCE"/>
    <w:rsid w:val="00244C39"/>
    <w:rsid w:val="00244CD0"/>
    <w:rsid w:val="00244D53"/>
    <w:rsid w:val="00244E07"/>
    <w:rsid w:val="00244E3C"/>
    <w:rsid w:val="00244E75"/>
    <w:rsid w:val="00244EB7"/>
    <w:rsid w:val="00244F47"/>
    <w:rsid w:val="00244FBD"/>
    <w:rsid w:val="00245094"/>
    <w:rsid w:val="002450C1"/>
    <w:rsid w:val="0024512E"/>
    <w:rsid w:val="0024518C"/>
    <w:rsid w:val="0024526E"/>
    <w:rsid w:val="0024529F"/>
    <w:rsid w:val="002452FF"/>
    <w:rsid w:val="00245369"/>
    <w:rsid w:val="0024536C"/>
    <w:rsid w:val="00245389"/>
    <w:rsid w:val="002453A3"/>
    <w:rsid w:val="0024541B"/>
    <w:rsid w:val="0024551F"/>
    <w:rsid w:val="00245528"/>
    <w:rsid w:val="002455DC"/>
    <w:rsid w:val="00245699"/>
    <w:rsid w:val="002456A3"/>
    <w:rsid w:val="0024573E"/>
    <w:rsid w:val="0024574D"/>
    <w:rsid w:val="002457FD"/>
    <w:rsid w:val="002458C8"/>
    <w:rsid w:val="00245969"/>
    <w:rsid w:val="00245995"/>
    <w:rsid w:val="002459A6"/>
    <w:rsid w:val="00245B4A"/>
    <w:rsid w:val="00245C67"/>
    <w:rsid w:val="00245C78"/>
    <w:rsid w:val="00245C98"/>
    <w:rsid w:val="00245E34"/>
    <w:rsid w:val="00245E98"/>
    <w:rsid w:val="00245F1D"/>
    <w:rsid w:val="00245FEF"/>
    <w:rsid w:val="0024600B"/>
    <w:rsid w:val="00246142"/>
    <w:rsid w:val="00246164"/>
    <w:rsid w:val="00246191"/>
    <w:rsid w:val="002461C1"/>
    <w:rsid w:val="00246236"/>
    <w:rsid w:val="002462F2"/>
    <w:rsid w:val="00246354"/>
    <w:rsid w:val="00246385"/>
    <w:rsid w:val="0024644A"/>
    <w:rsid w:val="002464FC"/>
    <w:rsid w:val="00246598"/>
    <w:rsid w:val="00246613"/>
    <w:rsid w:val="0024662D"/>
    <w:rsid w:val="00246675"/>
    <w:rsid w:val="002466AB"/>
    <w:rsid w:val="00246705"/>
    <w:rsid w:val="00246738"/>
    <w:rsid w:val="002467F2"/>
    <w:rsid w:val="0024687C"/>
    <w:rsid w:val="002468DF"/>
    <w:rsid w:val="00246948"/>
    <w:rsid w:val="002469F0"/>
    <w:rsid w:val="002469FF"/>
    <w:rsid w:val="00246A25"/>
    <w:rsid w:val="00246A2B"/>
    <w:rsid w:val="00246A81"/>
    <w:rsid w:val="00246AA8"/>
    <w:rsid w:val="00246AAB"/>
    <w:rsid w:val="00246B53"/>
    <w:rsid w:val="00246B90"/>
    <w:rsid w:val="00246C49"/>
    <w:rsid w:val="00246CB6"/>
    <w:rsid w:val="00246D88"/>
    <w:rsid w:val="00246DD9"/>
    <w:rsid w:val="00246E0A"/>
    <w:rsid w:val="00246EA7"/>
    <w:rsid w:val="00246FA1"/>
    <w:rsid w:val="0024706B"/>
    <w:rsid w:val="002470D7"/>
    <w:rsid w:val="00247140"/>
    <w:rsid w:val="002472F4"/>
    <w:rsid w:val="002473DF"/>
    <w:rsid w:val="0024741A"/>
    <w:rsid w:val="0024744D"/>
    <w:rsid w:val="00247482"/>
    <w:rsid w:val="00247491"/>
    <w:rsid w:val="002474FE"/>
    <w:rsid w:val="0024750F"/>
    <w:rsid w:val="00247514"/>
    <w:rsid w:val="0024752C"/>
    <w:rsid w:val="0024756C"/>
    <w:rsid w:val="0024759E"/>
    <w:rsid w:val="002475D9"/>
    <w:rsid w:val="0024761C"/>
    <w:rsid w:val="0024762A"/>
    <w:rsid w:val="002476A5"/>
    <w:rsid w:val="002476B9"/>
    <w:rsid w:val="00247799"/>
    <w:rsid w:val="002477AA"/>
    <w:rsid w:val="0024782C"/>
    <w:rsid w:val="002478A3"/>
    <w:rsid w:val="002478E5"/>
    <w:rsid w:val="002478F2"/>
    <w:rsid w:val="002478F8"/>
    <w:rsid w:val="00247914"/>
    <w:rsid w:val="00247920"/>
    <w:rsid w:val="0024794C"/>
    <w:rsid w:val="00247A9F"/>
    <w:rsid w:val="00247BD9"/>
    <w:rsid w:val="00247CB3"/>
    <w:rsid w:val="00247CCF"/>
    <w:rsid w:val="00247D16"/>
    <w:rsid w:val="00247D3F"/>
    <w:rsid w:val="00247D75"/>
    <w:rsid w:val="00247DFF"/>
    <w:rsid w:val="00247E5E"/>
    <w:rsid w:val="00247F07"/>
    <w:rsid w:val="0025009B"/>
    <w:rsid w:val="0025010C"/>
    <w:rsid w:val="00250268"/>
    <w:rsid w:val="0025037D"/>
    <w:rsid w:val="00250411"/>
    <w:rsid w:val="0025046D"/>
    <w:rsid w:val="002504C3"/>
    <w:rsid w:val="002504D6"/>
    <w:rsid w:val="002504F2"/>
    <w:rsid w:val="002505A2"/>
    <w:rsid w:val="002505BA"/>
    <w:rsid w:val="002505CC"/>
    <w:rsid w:val="00250774"/>
    <w:rsid w:val="0025087F"/>
    <w:rsid w:val="002508B7"/>
    <w:rsid w:val="002508D7"/>
    <w:rsid w:val="0025090A"/>
    <w:rsid w:val="00250939"/>
    <w:rsid w:val="00250996"/>
    <w:rsid w:val="00250A58"/>
    <w:rsid w:val="00250B3E"/>
    <w:rsid w:val="00250C19"/>
    <w:rsid w:val="00250CA1"/>
    <w:rsid w:val="00250CB5"/>
    <w:rsid w:val="00250CB8"/>
    <w:rsid w:val="00250CBB"/>
    <w:rsid w:val="00250D2C"/>
    <w:rsid w:val="00250D2D"/>
    <w:rsid w:val="00250D4F"/>
    <w:rsid w:val="00250D97"/>
    <w:rsid w:val="00250DC8"/>
    <w:rsid w:val="00250E90"/>
    <w:rsid w:val="00250ECF"/>
    <w:rsid w:val="00250F67"/>
    <w:rsid w:val="00250FAF"/>
    <w:rsid w:val="00250FD4"/>
    <w:rsid w:val="0025102B"/>
    <w:rsid w:val="002510C7"/>
    <w:rsid w:val="002510F7"/>
    <w:rsid w:val="0025120C"/>
    <w:rsid w:val="00251233"/>
    <w:rsid w:val="0025125A"/>
    <w:rsid w:val="0025128E"/>
    <w:rsid w:val="0025129C"/>
    <w:rsid w:val="00251367"/>
    <w:rsid w:val="002513B7"/>
    <w:rsid w:val="002514B5"/>
    <w:rsid w:val="002514C1"/>
    <w:rsid w:val="002514D5"/>
    <w:rsid w:val="0025153C"/>
    <w:rsid w:val="00251546"/>
    <w:rsid w:val="00251590"/>
    <w:rsid w:val="00251600"/>
    <w:rsid w:val="0025166C"/>
    <w:rsid w:val="002516D0"/>
    <w:rsid w:val="00251773"/>
    <w:rsid w:val="0025177E"/>
    <w:rsid w:val="00251921"/>
    <w:rsid w:val="00251929"/>
    <w:rsid w:val="0025199E"/>
    <w:rsid w:val="00251A0F"/>
    <w:rsid w:val="00251A97"/>
    <w:rsid w:val="00251AF0"/>
    <w:rsid w:val="00251CBE"/>
    <w:rsid w:val="00251CFC"/>
    <w:rsid w:val="00251D29"/>
    <w:rsid w:val="00251D39"/>
    <w:rsid w:val="00251D6A"/>
    <w:rsid w:val="00251DDD"/>
    <w:rsid w:val="00251E75"/>
    <w:rsid w:val="00251E8B"/>
    <w:rsid w:val="00251E9D"/>
    <w:rsid w:val="00251EDF"/>
    <w:rsid w:val="00251EFB"/>
    <w:rsid w:val="00251F58"/>
    <w:rsid w:val="00251FE8"/>
    <w:rsid w:val="002520F5"/>
    <w:rsid w:val="00252104"/>
    <w:rsid w:val="00252107"/>
    <w:rsid w:val="00252218"/>
    <w:rsid w:val="00252293"/>
    <w:rsid w:val="00252309"/>
    <w:rsid w:val="0025236F"/>
    <w:rsid w:val="0025237F"/>
    <w:rsid w:val="0025239B"/>
    <w:rsid w:val="002523F6"/>
    <w:rsid w:val="0025250E"/>
    <w:rsid w:val="0025264C"/>
    <w:rsid w:val="00252698"/>
    <w:rsid w:val="00252732"/>
    <w:rsid w:val="00252765"/>
    <w:rsid w:val="00252789"/>
    <w:rsid w:val="0025278C"/>
    <w:rsid w:val="00252851"/>
    <w:rsid w:val="002529AD"/>
    <w:rsid w:val="002529D0"/>
    <w:rsid w:val="00252A56"/>
    <w:rsid w:val="00252ADC"/>
    <w:rsid w:val="00252B36"/>
    <w:rsid w:val="00252BC9"/>
    <w:rsid w:val="00252C0A"/>
    <w:rsid w:val="00252C88"/>
    <w:rsid w:val="00252CA2"/>
    <w:rsid w:val="00252D73"/>
    <w:rsid w:val="00252D96"/>
    <w:rsid w:val="00252E18"/>
    <w:rsid w:val="00252E7B"/>
    <w:rsid w:val="00252EBD"/>
    <w:rsid w:val="00252F32"/>
    <w:rsid w:val="00252F76"/>
    <w:rsid w:val="00252FD4"/>
    <w:rsid w:val="0025303D"/>
    <w:rsid w:val="0025304E"/>
    <w:rsid w:val="00253075"/>
    <w:rsid w:val="00253094"/>
    <w:rsid w:val="002530A3"/>
    <w:rsid w:val="002530AF"/>
    <w:rsid w:val="00253114"/>
    <w:rsid w:val="0025313F"/>
    <w:rsid w:val="0025315E"/>
    <w:rsid w:val="00253191"/>
    <w:rsid w:val="002531C6"/>
    <w:rsid w:val="002531CD"/>
    <w:rsid w:val="002532F6"/>
    <w:rsid w:val="00253446"/>
    <w:rsid w:val="00253511"/>
    <w:rsid w:val="002535CF"/>
    <w:rsid w:val="00253685"/>
    <w:rsid w:val="0025368D"/>
    <w:rsid w:val="0025380C"/>
    <w:rsid w:val="00253959"/>
    <w:rsid w:val="0025397C"/>
    <w:rsid w:val="0025399C"/>
    <w:rsid w:val="00253A12"/>
    <w:rsid w:val="00253A60"/>
    <w:rsid w:val="00253A75"/>
    <w:rsid w:val="00253AF4"/>
    <w:rsid w:val="00253B5F"/>
    <w:rsid w:val="00253B92"/>
    <w:rsid w:val="00253BEA"/>
    <w:rsid w:val="00253C6A"/>
    <w:rsid w:val="00253D4C"/>
    <w:rsid w:val="00253E29"/>
    <w:rsid w:val="00253E58"/>
    <w:rsid w:val="00253F1D"/>
    <w:rsid w:val="00253F56"/>
    <w:rsid w:val="00253FCA"/>
    <w:rsid w:val="00254001"/>
    <w:rsid w:val="002541BE"/>
    <w:rsid w:val="002541E8"/>
    <w:rsid w:val="00254224"/>
    <w:rsid w:val="002542C7"/>
    <w:rsid w:val="0025440D"/>
    <w:rsid w:val="00254433"/>
    <w:rsid w:val="0025444F"/>
    <w:rsid w:val="0025447D"/>
    <w:rsid w:val="00254506"/>
    <w:rsid w:val="00254518"/>
    <w:rsid w:val="00254522"/>
    <w:rsid w:val="0025455C"/>
    <w:rsid w:val="0025457B"/>
    <w:rsid w:val="002545A9"/>
    <w:rsid w:val="002545B9"/>
    <w:rsid w:val="00254648"/>
    <w:rsid w:val="0025465E"/>
    <w:rsid w:val="00254672"/>
    <w:rsid w:val="00254699"/>
    <w:rsid w:val="00254701"/>
    <w:rsid w:val="0025477A"/>
    <w:rsid w:val="002547A6"/>
    <w:rsid w:val="002547C0"/>
    <w:rsid w:val="002547EA"/>
    <w:rsid w:val="00254811"/>
    <w:rsid w:val="00254A05"/>
    <w:rsid w:val="00254A2E"/>
    <w:rsid w:val="00254A3D"/>
    <w:rsid w:val="00254AAD"/>
    <w:rsid w:val="00254AE8"/>
    <w:rsid w:val="00254C2F"/>
    <w:rsid w:val="00254C45"/>
    <w:rsid w:val="00254C70"/>
    <w:rsid w:val="00254C83"/>
    <w:rsid w:val="00254D44"/>
    <w:rsid w:val="00254DC8"/>
    <w:rsid w:val="00254EB4"/>
    <w:rsid w:val="00254EDA"/>
    <w:rsid w:val="00254F3E"/>
    <w:rsid w:val="00254F91"/>
    <w:rsid w:val="00254F96"/>
    <w:rsid w:val="002550D5"/>
    <w:rsid w:val="00255152"/>
    <w:rsid w:val="002552B9"/>
    <w:rsid w:val="0025531B"/>
    <w:rsid w:val="0025539D"/>
    <w:rsid w:val="0025546C"/>
    <w:rsid w:val="002554E9"/>
    <w:rsid w:val="00255518"/>
    <w:rsid w:val="002555AB"/>
    <w:rsid w:val="00255611"/>
    <w:rsid w:val="002556CB"/>
    <w:rsid w:val="002556EF"/>
    <w:rsid w:val="0025574F"/>
    <w:rsid w:val="00255795"/>
    <w:rsid w:val="002557DB"/>
    <w:rsid w:val="00255844"/>
    <w:rsid w:val="0025588E"/>
    <w:rsid w:val="00255891"/>
    <w:rsid w:val="00255897"/>
    <w:rsid w:val="002558BD"/>
    <w:rsid w:val="002558F0"/>
    <w:rsid w:val="0025590D"/>
    <w:rsid w:val="0025596B"/>
    <w:rsid w:val="0025599C"/>
    <w:rsid w:val="002559BC"/>
    <w:rsid w:val="00255A29"/>
    <w:rsid w:val="00255BE3"/>
    <w:rsid w:val="00255C08"/>
    <w:rsid w:val="00255C36"/>
    <w:rsid w:val="00255C70"/>
    <w:rsid w:val="00255C8F"/>
    <w:rsid w:val="00255D27"/>
    <w:rsid w:val="00255E40"/>
    <w:rsid w:val="00255E48"/>
    <w:rsid w:val="00255E64"/>
    <w:rsid w:val="00255EC8"/>
    <w:rsid w:val="00255ED4"/>
    <w:rsid w:val="00255F72"/>
    <w:rsid w:val="00256035"/>
    <w:rsid w:val="00256044"/>
    <w:rsid w:val="00256074"/>
    <w:rsid w:val="002560B0"/>
    <w:rsid w:val="002560F2"/>
    <w:rsid w:val="00256108"/>
    <w:rsid w:val="0025610C"/>
    <w:rsid w:val="00256209"/>
    <w:rsid w:val="00256234"/>
    <w:rsid w:val="002562B9"/>
    <w:rsid w:val="002562FE"/>
    <w:rsid w:val="0025641E"/>
    <w:rsid w:val="0025645D"/>
    <w:rsid w:val="00256477"/>
    <w:rsid w:val="00256490"/>
    <w:rsid w:val="0025653D"/>
    <w:rsid w:val="0025666F"/>
    <w:rsid w:val="0025668E"/>
    <w:rsid w:val="002566DB"/>
    <w:rsid w:val="00256727"/>
    <w:rsid w:val="00256756"/>
    <w:rsid w:val="00256777"/>
    <w:rsid w:val="0025677A"/>
    <w:rsid w:val="00256821"/>
    <w:rsid w:val="0025683B"/>
    <w:rsid w:val="002568C2"/>
    <w:rsid w:val="00256A08"/>
    <w:rsid w:val="00256A31"/>
    <w:rsid w:val="00256A68"/>
    <w:rsid w:val="00256A78"/>
    <w:rsid w:val="00256A8E"/>
    <w:rsid w:val="00256A9C"/>
    <w:rsid w:val="00256AF0"/>
    <w:rsid w:val="00256AF9"/>
    <w:rsid w:val="00256B00"/>
    <w:rsid w:val="00256B19"/>
    <w:rsid w:val="00256B97"/>
    <w:rsid w:val="00256BB1"/>
    <w:rsid w:val="00256BFE"/>
    <w:rsid w:val="00256CB4"/>
    <w:rsid w:val="00256CE8"/>
    <w:rsid w:val="00256D20"/>
    <w:rsid w:val="00256D21"/>
    <w:rsid w:val="00256D26"/>
    <w:rsid w:val="00256D3E"/>
    <w:rsid w:val="00256DBA"/>
    <w:rsid w:val="00256E1D"/>
    <w:rsid w:val="00256EC3"/>
    <w:rsid w:val="00256EED"/>
    <w:rsid w:val="00256F8B"/>
    <w:rsid w:val="00256FE6"/>
    <w:rsid w:val="00256FED"/>
    <w:rsid w:val="0025715B"/>
    <w:rsid w:val="002571D3"/>
    <w:rsid w:val="002572A8"/>
    <w:rsid w:val="00257384"/>
    <w:rsid w:val="002573CF"/>
    <w:rsid w:val="002573DA"/>
    <w:rsid w:val="002573E2"/>
    <w:rsid w:val="0025744A"/>
    <w:rsid w:val="00257486"/>
    <w:rsid w:val="002575B8"/>
    <w:rsid w:val="00257612"/>
    <w:rsid w:val="0025770D"/>
    <w:rsid w:val="00257752"/>
    <w:rsid w:val="0025775F"/>
    <w:rsid w:val="00257864"/>
    <w:rsid w:val="002578A4"/>
    <w:rsid w:val="002578EE"/>
    <w:rsid w:val="002578EF"/>
    <w:rsid w:val="00257914"/>
    <w:rsid w:val="002579D3"/>
    <w:rsid w:val="00257A3C"/>
    <w:rsid w:val="00257A51"/>
    <w:rsid w:val="00257A5F"/>
    <w:rsid w:val="00257B68"/>
    <w:rsid w:val="00257B9B"/>
    <w:rsid w:val="00257C43"/>
    <w:rsid w:val="00257D45"/>
    <w:rsid w:val="00257D70"/>
    <w:rsid w:val="00257DC5"/>
    <w:rsid w:val="00257DD5"/>
    <w:rsid w:val="00257F41"/>
    <w:rsid w:val="00257F42"/>
    <w:rsid w:val="00257F72"/>
    <w:rsid w:val="00257F77"/>
    <w:rsid w:val="00260003"/>
    <w:rsid w:val="0026001F"/>
    <w:rsid w:val="00260082"/>
    <w:rsid w:val="002600AD"/>
    <w:rsid w:val="0026013F"/>
    <w:rsid w:val="0026018A"/>
    <w:rsid w:val="0026023D"/>
    <w:rsid w:val="00260265"/>
    <w:rsid w:val="00260277"/>
    <w:rsid w:val="00260320"/>
    <w:rsid w:val="0026033A"/>
    <w:rsid w:val="002603AC"/>
    <w:rsid w:val="0026054F"/>
    <w:rsid w:val="00260645"/>
    <w:rsid w:val="00260879"/>
    <w:rsid w:val="00260890"/>
    <w:rsid w:val="002608AC"/>
    <w:rsid w:val="00260951"/>
    <w:rsid w:val="002609FB"/>
    <w:rsid w:val="00260A11"/>
    <w:rsid w:val="00260A15"/>
    <w:rsid w:val="00260A44"/>
    <w:rsid w:val="00260A8D"/>
    <w:rsid w:val="00260AA0"/>
    <w:rsid w:val="00260AA1"/>
    <w:rsid w:val="00260AF8"/>
    <w:rsid w:val="00260B9A"/>
    <w:rsid w:val="00260BA8"/>
    <w:rsid w:val="00260C17"/>
    <w:rsid w:val="00260CD2"/>
    <w:rsid w:val="00260DF8"/>
    <w:rsid w:val="00260E20"/>
    <w:rsid w:val="00260E21"/>
    <w:rsid w:val="00260E61"/>
    <w:rsid w:val="00260E90"/>
    <w:rsid w:val="00260EC1"/>
    <w:rsid w:val="00260F7F"/>
    <w:rsid w:val="0026104F"/>
    <w:rsid w:val="00261087"/>
    <w:rsid w:val="00261108"/>
    <w:rsid w:val="00261130"/>
    <w:rsid w:val="00261160"/>
    <w:rsid w:val="00261163"/>
    <w:rsid w:val="00261265"/>
    <w:rsid w:val="002612F5"/>
    <w:rsid w:val="0026135D"/>
    <w:rsid w:val="002613B1"/>
    <w:rsid w:val="00261420"/>
    <w:rsid w:val="002614D1"/>
    <w:rsid w:val="00261540"/>
    <w:rsid w:val="002615F3"/>
    <w:rsid w:val="002615F8"/>
    <w:rsid w:val="002616EB"/>
    <w:rsid w:val="00261744"/>
    <w:rsid w:val="00261757"/>
    <w:rsid w:val="0026177C"/>
    <w:rsid w:val="00261862"/>
    <w:rsid w:val="002618B6"/>
    <w:rsid w:val="00261924"/>
    <w:rsid w:val="00261989"/>
    <w:rsid w:val="00261995"/>
    <w:rsid w:val="002619E7"/>
    <w:rsid w:val="002619EC"/>
    <w:rsid w:val="00261A21"/>
    <w:rsid w:val="00261A4C"/>
    <w:rsid w:val="00261AA3"/>
    <w:rsid w:val="00261AF6"/>
    <w:rsid w:val="00261B77"/>
    <w:rsid w:val="00261B9E"/>
    <w:rsid w:val="00261C67"/>
    <w:rsid w:val="00261CD0"/>
    <w:rsid w:val="00261DBE"/>
    <w:rsid w:val="00261DE6"/>
    <w:rsid w:val="00261DEB"/>
    <w:rsid w:val="00261ECA"/>
    <w:rsid w:val="00261F12"/>
    <w:rsid w:val="00261F49"/>
    <w:rsid w:val="00261FF9"/>
    <w:rsid w:val="0026215E"/>
    <w:rsid w:val="002621AA"/>
    <w:rsid w:val="00262242"/>
    <w:rsid w:val="00262290"/>
    <w:rsid w:val="002622A1"/>
    <w:rsid w:val="0026236C"/>
    <w:rsid w:val="0026239E"/>
    <w:rsid w:val="002623B2"/>
    <w:rsid w:val="002623C3"/>
    <w:rsid w:val="0026242E"/>
    <w:rsid w:val="00262484"/>
    <w:rsid w:val="002624CC"/>
    <w:rsid w:val="00262524"/>
    <w:rsid w:val="002625A3"/>
    <w:rsid w:val="00262610"/>
    <w:rsid w:val="002626E1"/>
    <w:rsid w:val="00262719"/>
    <w:rsid w:val="0026272A"/>
    <w:rsid w:val="00262742"/>
    <w:rsid w:val="002627BE"/>
    <w:rsid w:val="002627BF"/>
    <w:rsid w:val="002628A0"/>
    <w:rsid w:val="002628CE"/>
    <w:rsid w:val="002628F1"/>
    <w:rsid w:val="0026298E"/>
    <w:rsid w:val="0026299A"/>
    <w:rsid w:val="002629F2"/>
    <w:rsid w:val="00262A0A"/>
    <w:rsid w:val="00262A7C"/>
    <w:rsid w:val="00262ACD"/>
    <w:rsid w:val="00262B58"/>
    <w:rsid w:val="00262D0E"/>
    <w:rsid w:val="00262D53"/>
    <w:rsid w:val="00262D7E"/>
    <w:rsid w:val="00262E49"/>
    <w:rsid w:val="00263019"/>
    <w:rsid w:val="00263047"/>
    <w:rsid w:val="00263084"/>
    <w:rsid w:val="002630F7"/>
    <w:rsid w:val="00263195"/>
    <w:rsid w:val="0026319C"/>
    <w:rsid w:val="002631F0"/>
    <w:rsid w:val="00263218"/>
    <w:rsid w:val="0026333B"/>
    <w:rsid w:val="0026335B"/>
    <w:rsid w:val="002633FC"/>
    <w:rsid w:val="002634CB"/>
    <w:rsid w:val="0026352D"/>
    <w:rsid w:val="0026353B"/>
    <w:rsid w:val="00263562"/>
    <w:rsid w:val="002635CD"/>
    <w:rsid w:val="00263739"/>
    <w:rsid w:val="0026379C"/>
    <w:rsid w:val="002637F2"/>
    <w:rsid w:val="00263824"/>
    <w:rsid w:val="00263828"/>
    <w:rsid w:val="0026384A"/>
    <w:rsid w:val="002638F9"/>
    <w:rsid w:val="00263953"/>
    <w:rsid w:val="0026398E"/>
    <w:rsid w:val="00263A3B"/>
    <w:rsid w:val="00263B3B"/>
    <w:rsid w:val="00263B42"/>
    <w:rsid w:val="00263B9A"/>
    <w:rsid w:val="00263BB8"/>
    <w:rsid w:val="00263DC6"/>
    <w:rsid w:val="00263EC1"/>
    <w:rsid w:val="00264023"/>
    <w:rsid w:val="002640E1"/>
    <w:rsid w:val="00264182"/>
    <w:rsid w:val="002641C9"/>
    <w:rsid w:val="002641CC"/>
    <w:rsid w:val="0026424A"/>
    <w:rsid w:val="0026428F"/>
    <w:rsid w:val="002642DF"/>
    <w:rsid w:val="002642EC"/>
    <w:rsid w:val="0026431B"/>
    <w:rsid w:val="002643A5"/>
    <w:rsid w:val="002644B9"/>
    <w:rsid w:val="0026454C"/>
    <w:rsid w:val="00264670"/>
    <w:rsid w:val="00264690"/>
    <w:rsid w:val="00264745"/>
    <w:rsid w:val="00264768"/>
    <w:rsid w:val="0026476B"/>
    <w:rsid w:val="0026476F"/>
    <w:rsid w:val="00264807"/>
    <w:rsid w:val="00264810"/>
    <w:rsid w:val="00264878"/>
    <w:rsid w:val="0026490E"/>
    <w:rsid w:val="00264A14"/>
    <w:rsid w:val="00264AD6"/>
    <w:rsid w:val="00264AF6"/>
    <w:rsid w:val="00264B4C"/>
    <w:rsid w:val="00264BE7"/>
    <w:rsid w:val="00264DAB"/>
    <w:rsid w:val="00264DC7"/>
    <w:rsid w:val="00264EEB"/>
    <w:rsid w:val="00264FCA"/>
    <w:rsid w:val="00265032"/>
    <w:rsid w:val="00265044"/>
    <w:rsid w:val="002650B0"/>
    <w:rsid w:val="002650B4"/>
    <w:rsid w:val="002651A8"/>
    <w:rsid w:val="00265247"/>
    <w:rsid w:val="00265248"/>
    <w:rsid w:val="0026536C"/>
    <w:rsid w:val="0026539C"/>
    <w:rsid w:val="002653B6"/>
    <w:rsid w:val="0026542F"/>
    <w:rsid w:val="002654AE"/>
    <w:rsid w:val="002654B7"/>
    <w:rsid w:val="00265529"/>
    <w:rsid w:val="0026553C"/>
    <w:rsid w:val="00265628"/>
    <w:rsid w:val="0026564E"/>
    <w:rsid w:val="00265655"/>
    <w:rsid w:val="0026566B"/>
    <w:rsid w:val="002656B8"/>
    <w:rsid w:val="0026580E"/>
    <w:rsid w:val="00265817"/>
    <w:rsid w:val="00265857"/>
    <w:rsid w:val="0026585C"/>
    <w:rsid w:val="00265947"/>
    <w:rsid w:val="00265992"/>
    <w:rsid w:val="00265A34"/>
    <w:rsid w:val="00265B16"/>
    <w:rsid w:val="00265B5D"/>
    <w:rsid w:val="00265B80"/>
    <w:rsid w:val="00265BAD"/>
    <w:rsid w:val="00265BE8"/>
    <w:rsid w:val="00265C79"/>
    <w:rsid w:val="00265CBE"/>
    <w:rsid w:val="00265CCA"/>
    <w:rsid w:val="00265CE4"/>
    <w:rsid w:val="00265CE8"/>
    <w:rsid w:val="00265D2C"/>
    <w:rsid w:val="00265D38"/>
    <w:rsid w:val="00265D3D"/>
    <w:rsid w:val="00265E04"/>
    <w:rsid w:val="00265FE7"/>
    <w:rsid w:val="00265FFB"/>
    <w:rsid w:val="0026603E"/>
    <w:rsid w:val="00266062"/>
    <w:rsid w:val="0026606D"/>
    <w:rsid w:val="00266074"/>
    <w:rsid w:val="0026609B"/>
    <w:rsid w:val="002660B5"/>
    <w:rsid w:val="002660C3"/>
    <w:rsid w:val="002661A9"/>
    <w:rsid w:val="0026625A"/>
    <w:rsid w:val="0026633E"/>
    <w:rsid w:val="00266353"/>
    <w:rsid w:val="002663AF"/>
    <w:rsid w:val="00266509"/>
    <w:rsid w:val="00266536"/>
    <w:rsid w:val="002665AA"/>
    <w:rsid w:val="0026663B"/>
    <w:rsid w:val="00266655"/>
    <w:rsid w:val="00266671"/>
    <w:rsid w:val="00266680"/>
    <w:rsid w:val="0026668C"/>
    <w:rsid w:val="002666FA"/>
    <w:rsid w:val="00266818"/>
    <w:rsid w:val="002668A5"/>
    <w:rsid w:val="00266985"/>
    <w:rsid w:val="00266A1A"/>
    <w:rsid w:val="00266A33"/>
    <w:rsid w:val="00266AD1"/>
    <w:rsid w:val="00266B3A"/>
    <w:rsid w:val="00266BA1"/>
    <w:rsid w:val="00266BAE"/>
    <w:rsid w:val="00266BB2"/>
    <w:rsid w:val="00266BCE"/>
    <w:rsid w:val="00266C08"/>
    <w:rsid w:val="00266C36"/>
    <w:rsid w:val="00266D26"/>
    <w:rsid w:val="00266D27"/>
    <w:rsid w:val="00266D28"/>
    <w:rsid w:val="00266D59"/>
    <w:rsid w:val="00266D7D"/>
    <w:rsid w:val="00266DA5"/>
    <w:rsid w:val="00266DAD"/>
    <w:rsid w:val="00266DD9"/>
    <w:rsid w:val="00266E52"/>
    <w:rsid w:val="00266E72"/>
    <w:rsid w:val="00266F26"/>
    <w:rsid w:val="00266F5C"/>
    <w:rsid w:val="00266F84"/>
    <w:rsid w:val="00266F94"/>
    <w:rsid w:val="0026705A"/>
    <w:rsid w:val="0026709E"/>
    <w:rsid w:val="0026710F"/>
    <w:rsid w:val="00267188"/>
    <w:rsid w:val="002672D0"/>
    <w:rsid w:val="00267315"/>
    <w:rsid w:val="0026736C"/>
    <w:rsid w:val="00267374"/>
    <w:rsid w:val="002673CB"/>
    <w:rsid w:val="002674A2"/>
    <w:rsid w:val="002675B6"/>
    <w:rsid w:val="0026760A"/>
    <w:rsid w:val="00267645"/>
    <w:rsid w:val="0026768C"/>
    <w:rsid w:val="00267701"/>
    <w:rsid w:val="0026770A"/>
    <w:rsid w:val="00267744"/>
    <w:rsid w:val="00267882"/>
    <w:rsid w:val="002678E7"/>
    <w:rsid w:val="002679EE"/>
    <w:rsid w:val="00267A74"/>
    <w:rsid w:val="00267B8D"/>
    <w:rsid w:val="00267BAA"/>
    <w:rsid w:val="00267D17"/>
    <w:rsid w:val="00267D44"/>
    <w:rsid w:val="00267D63"/>
    <w:rsid w:val="00267D68"/>
    <w:rsid w:val="00267D71"/>
    <w:rsid w:val="00267DA1"/>
    <w:rsid w:val="00267DD7"/>
    <w:rsid w:val="00267E2B"/>
    <w:rsid w:val="00267EA9"/>
    <w:rsid w:val="00267EFC"/>
    <w:rsid w:val="00267F37"/>
    <w:rsid w:val="00267F4C"/>
    <w:rsid w:val="00267F7E"/>
    <w:rsid w:val="00267FA8"/>
    <w:rsid w:val="00267FC3"/>
    <w:rsid w:val="00270028"/>
    <w:rsid w:val="00270075"/>
    <w:rsid w:val="00270083"/>
    <w:rsid w:val="002701EC"/>
    <w:rsid w:val="0027021E"/>
    <w:rsid w:val="0027023B"/>
    <w:rsid w:val="00270344"/>
    <w:rsid w:val="00270357"/>
    <w:rsid w:val="0027039A"/>
    <w:rsid w:val="0027049F"/>
    <w:rsid w:val="002704AB"/>
    <w:rsid w:val="0027052D"/>
    <w:rsid w:val="0027054A"/>
    <w:rsid w:val="002705A5"/>
    <w:rsid w:val="00270615"/>
    <w:rsid w:val="00270773"/>
    <w:rsid w:val="002707C9"/>
    <w:rsid w:val="002707E5"/>
    <w:rsid w:val="002707F1"/>
    <w:rsid w:val="00270901"/>
    <w:rsid w:val="00270932"/>
    <w:rsid w:val="00270986"/>
    <w:rsid w:val="002709FB"/>
    <w:rsid w:val="00270A47"/>
    <w:rsid w:val="00270A4C"/>
    <w:rsid w:val="00270A7F"/>
    <w:rsid w:val="00270AA4"/>
    <w:rsid w:val="00270B38"/>
    <w:rsid w:val="00270B60"/>
    <w:rsid w:val="00270D41"/>
    <w:rsid w:val="00270E2F"/>
    <w:rsid w:val="00270E9D"/>
    <w:rsid w:val="00270EE6"/>
    <w:rsid w:val="00270FB6"/>
    <w:rsid w:val="002710B5"/>
    <w:rsid w:val="002710D6"/>
    <w:rsid w:val="002710FF"/>
    <w:rsid w:val="00271204"/>
    <w:rsid w:val="00271214"/>
    <w:rsid w:val="002712AE"/>
    <w:rsid w:val="0027131D"/>
    <w:rsid w:val="002713C8"/>
    <w:rsid w:val="00271494"/>
    <w:rsid w:val="0027154C"/>
    <w:rsid w:val="0027155C"/>
    <w:rsid w:val="00271577"/>
    <w:rsid w:val="0027159D"/>
    <w:rsid w:val="002715A8"/>
    <w:rsid w:val="00271609"/>
    <w:rsid w:val="00271634"/>
    <w:rsid w:val="00271677"/>
    <w:rsid w:val="002716A2"/>
    <w:rsid w:val="002716F4"/>
    <w:rsid w:val="0027173A"/>
    <w:rsid w:val="00271749"/>
    <w:rsid w:val="00271780"/>
    <w:rsid w:val="00271784"/>
    <w:rsid w:val="0027185E"/>
    <w:rsid w:val="00271861"/>
    <w:rsid w:val="002718B5"/>
    <w:rsid w:val="00271947"/>
    <w:rsid w:val="002719A9"/>
    <w:rsid w:val="002719E0"/>
    <w:rsid w:val="00271A5B"/>
    <w:rsid w:val="00271B04"/>
    <w:rsid w:val="00271B99"/>
    <w:rsid w:val="00271C0B"/>
    <w:rsid w:val="00271C2C"/>
    <w:rsid w:val="00271C40"/>
    <w:rsid w:val="00271CBB"/>
    <w:rsid w:val="00271DFC"/>
    <w:rsid w:val="00271E1C"/>
    <w:rsid w:val="00271F15"/>
    <w:rsid w:val="00271F8B"/>
    <w:rsid w:val="0027205A"/>
    <w:rsid w:val="002720A9"/>
    <w:rsid w:val="002720AB"/>
    <w:rsid w:val="002720BB"/>
    <w:rsid w:val="00272172"/>
    <w:rsid w:val="002721C6"/>
    <w:rsid w:val="002721FD"/>
    <w:rsid w:val="002722B4"/>
    <w:rsid w:val="002722D2"/>
    <w:rsid w:val="00272326"/>
    <w:rsid w:val="0027235C"/>
    <w:rsid w:val="002723A7"/>
    <w:rsid w:val="0027254D"/>
    <w:rsid w:val="0027265C"/>
    <w:rsid w:val="00272671"/>
    <w:rsid w:val="00272709"/>
    <w:rsid w:val="00272798"/>
    <w:rsid w:val="0027285E"/>
    <w:rsid w:val="00272A75"/>
    <w:rsid w:val="00272B11"/>
    <w:rsid w:val="00272C63"/>
    <w:rsid w:val="00272CDE"/>
    <w:rsid w:val="00272D6D"/>
    <w:rsid w:val="00272E08"/>
    <w:rsid w:val="00272E8A"/>
    <w:rsid w:val="00272FBC"/>
    <w:rsid w:val="00273018"/>
    <w:rsid w:val="002730E0"/>
    <w:rsid w:val="00273156"/>
    <w:rsid w:val="002731E8"/>
    <w:rsid w:val="00273279"/>
    <w:rsid w:val="0027327E"/>
    <w:rsid w:val="002734A0"/>
    <w:rsid w:val="002734C5"/>
    <w:rsid w:val="00273512"/>
    <w:rsid w:val="0027352E"/>
    <w:rsid w:val="00273536"/>
    <w:rsid w:val="0027359A"/>
    <w:rsid w:val="002736DE"/>
    <w:rsid w:val="00273718"/>
    <w:rsid w:val="0027375A"/>
    <w:rsid w:val="0027386A"/>
    <w:rsid w:val="002738F4"/>
    <w:rsid w:val="00273A68"/>
    <w:rsid w:val="00273A7F"/>
    <w:rsid w:val="00273BFD"/>
    <w:rsid w:val="00273CB4"/>
    <w:rsid w:val="00273D28"/>
    <w:rsid w:val="00273D75"/>
    <w:rsid w:val="00273D77"/>
    <w:rsid w:val="00273DDE"/>
    <w:rsid w:val="00273E93"/>
    <w:rsid w:val="00273F18"/>
    <w:rsid w:val="00273FDF"/>
    <w:rsid w:val="00274001"/>
    <w:rsid w:val="00274129"/>
    <w:rsid w:val="0027416A"/>
    <w:rsid w:val="0027421A"/>
    <w:rsid w:val="00274254"/>
    <w:rsid w:val="0027426B"/>
    <w:rsid w:val="00274277"/>
    <w:rsid w:val="00274396"/>
    <w:rsid w:val="002743FE"/>
    <w:rsid w:val="00274404"/>
    <w:rsid w:val="0027445C"/>
    <w:rsid w:val="00274718"/>
    <w:rsid w:val="0027473E"/>
    <w:rsid w:val="002747A4"/>
    <w:rsid w:val="002747C5"/>
    <w:rsid w:val="00274A7F"/>
    <w:rsid w:val="00274AC8"/>
    <w:rsid w:val="00274AD3"/>
    <w:rsid w:val="00274B63"/>
    <w:rsid w:val="00274C48"/>
    <w:rsid w:val="00274D89"/>
    <w:rsid w:val="00274D92"/>
    <w:rsid w:val="00274E3B"/>
    <w:rsid w:val="00274F35"/>
    <w:rsid w:val="00274F59"/>
    <w:rsid w:val="00274F5E"/>
    <w:rsid w:val="00274FC6"/>
    <w:rsid w:val="0027502C"/>
    <w:rsid w:val="0027505B"/>
    <w:rsid w:val="00275069"/>
    <w:rsid w:val="002750B0"/>
    <w:rsid w:val="00275121"/>
    <w:rsid w:val="0027516B"/>
    <w:rsid w:val="0027517D"/>
    <w:rsid w:val="002751AB"/>
    <w:rsid w:val="00275216"/>
    <w:rsid w:val="002752F4"/>
    <w:rsid w:val="0027537F"/>
    <w:rsid w:val="00275459"/>
    <w:rsid w:val="002754BA"/>
    <w:rsid w:val="002754DC"/>
    <w:rsid w:val="0027564B"/>
    <w:rsid w:val="002756C1"/>
    <w:rsid w:val="002756CA"/>
    <w:rsid w:val="0027574D"/>
    <w:rsid w:val="002757AD"/>
    <w:rsid w:val="00275808"/>
    <w:rsid w:val="00275862"/>
    <w:rsid w:val="00275864"/>
    <w:rsid w:val="002758FD"/>
    <w:rsid w:val="00275963"/>
    <w:rsid w:val="00275968"/>
    <w:rsid w:val="00275981"/>
    <w:rsid w:val="002759F0"/>
    <w:rsid w:val="00275AA5"/>
    <w:rsid w:val="00275C0D"/>
    <w:rsid w:val="00275C87"/>
    <w:rsid w:val="00275CD7"/>
    <w:rsid w:val="00275CE2"/>
    <w:rsid w:val="00275D7E"/>
    <w:rsid w:val="00275DC4"/>
    <w:rsid w:val="00275F37"/>
    <w:rsid w:val="00275F3C"/>
    <w:rsid w:val="00275F80"/>
    <w:rsid w:val="00275FAF"/>
    <w:rsid w:val="0027603F"/>
    <w:rsid w:val="0027605C"/>
    <w:rsid w:val="002760BF"/>
    <w:rsid w:val="002760D2"/>
    <w:rsid w:val="0027619A"/>
    <w:rsid w:val="002761EC"/>
    <w:rsid w:val="002762B9"/>
    <w:rsid w:val="002762E1"/>
    <w:rsid w:val="0027642A"/>
    <w:rsid w:val="00276472"/>
    <w:rsid w:val="0027649D"/>
    <w:rsid w:val="002764A2"/>
    <w:rsid w:val="0027655E"/>
    <w:rsid w:val="002765C8"/>
    <w:rsid w:val="002765E7"/>
    <w:rsid w:val="0027666F"/>
    <w:rsid w:val="00276703"/>
    <w:rsid w:val="00276741"/>
    <w:rsid w:val="00276761"/>
    <w:rsid w:val="002767D8"/>
    <w:rsid w:val="00276812"/>
    <w:rsid w:val="00276846"/>
    <w:rsid w:val="00276869"/>
    <w:rsid w:val="00276898"/>
    <w:rsid w:val="002768CC"/>
    <w:rsid w:val="002768F5"/>
    <w:rsid w:val="002768FF"/>
    <w:rsid w:val="00276A24"/>
    <w:rsid w:val="00276A61"/>
    <w:rsid w:val="00276A7A"/>
    <w:rsid w:val="00276AB2"/>
    <w:rsid w:val="00276AE3"/>
    <w:rsid w:val="00276AEE"/>
    <w:rsid w:val="00276D5F"/>
    <w:rsid w:val="00276E02"/>
    <w:rsid w:val="00276E39"/>
    <w:rsid w:val="00276E55"/>
    <w:rsid w:val="00276EF0"/>
    <w:rsid w:val="00276F80"/>
    <w:rsid w:val="00277015"/>
    <w:rsid w:val="0027702A"/>
    <w:rsid w:val="002770E0"/>
    <w:rsid w:val="002770ED"/>
    <w:rsid w:val="00277123"/>
    <w:rsid w:val="002771E9"/>
    <w:rsid w:val="002772A1"/>
    <w:rsid w:val="002772C9"/>
    <w:rsid w:val="0027730E"/>
    <w:rsid w:val="0027733D"/>
    <w:rsid w:val="002773A0"/>
    <w:rsid w:val="002773AE"/>
    <w:rsid w:val="002773DB"/>
    <w:rsid w:val="0027755F"/>
    <w:rsid w:val="002775A8"/>
    <w:rsid w:val="0027768D"/>
    <w:rsid w:val="00277978"/>
    <w:rsid w:val="002779B9"/>
    <w:rsid w:val="002779C2"/>
    <w:rsid w:val="002779E1"/>
    <w:rsid w:val="00277A82"/>
    <w:rsid w:val="00277AF2"/>
    <w:rsid w:val="00277CA8"/>
    <w:rsid w:val="00277CD1"/>
    <w:rsid w:val="00277D8E"/>
    <w:rsid w:val="00277F82"/>
    <w:rsid w:val="0028001D"/>
    <w:rsid w:val="00280038"/>
    <w:rsid w:val="0028004E"/>
    <w:rsid w:val="0028007C"/>
    <w:rsid w:val="00280125"/>
    <w:rsid w:val="002801E4"/>
    <w:rsid w:val="0028034F"/>
    <w:rsid w:val="0028038B"/>
    <w:rsid w:val="002803E7"/>
    <w:rsid w:val="00280452"/>
    <w:rsid w:val="00280456"/>
    <w:rsid w:val="002805EC"/>
    <w:rsid w:val="00280616"/>
    <w:rsid w:val="00280669"/>
    <w:rsid w:val="002806CB"/>
    <w:rsid w:val="002806F7"/>
    <w:rsid w:val="0028077F"/>
    <w:rsid w:val="002807F7"/>
    <w:rsid w:val="002807FD"/>
    <w:rsid w:val="00280826"/>
    <w:rsid w:val="00280842"/>
    <w:rsid w:val="00280888"/>
    <w:rsid w:val="002808DA"/>
    <w:rsid w:val="002809E3"/>
    <w:rsid w:val="00280A02"/>
    <w:rsid w:val="00280A46"/>
    <w:rsid w:val="00280A54"/>
    <w:rsid w:val="00280B47"/>
    <w:rsid w:val="00280B62"/>
    <w:rsid w:val="00280B98"/>
    <w:rsid w:val="00280C73"/>
    <w:rsid w:val="00280CD0"/>
    <w:rsid w:val="00280D38"/>
    <w:rsid w:val="00280D4E"/>
    <w:rsid w:val="00280D61"/>
    <w:rsid w:val="00280D65"/>
    <w:rsid w:val="00280E59"/>
    <w:rsid w:val="00280F2B"/>
    <w:rsid w:val="00281014"/>
    <w:rsid w:val="0028106B"/>
    <w:rsid w:val="0028109C"/>
    <w:rsid w:val="002810B1"/>
    <w:rsid w:val="002810C5"/>
    <w:rsid w:val="00281102"/>
    <w:rsid w:val="0028125C"/>
    <w:rsid w:val="002812BB"/>
    <w:rsid w:val="00281301"/>
    <w:rsid w:val="002813BB"/>
    <w:rsid w:val="002813CF"/>
    <w:rsid w:val="002813D9"/>
    <w:rsid w:val="00281451"/>
    <w:rsid w:val="002814B1"/>
    <w:rsid w:val="002814FB"/>
    <w:rsid w:val="002815A7"/>
    <w:rsid w:val="0028162B"/>
    <w:rsid w:val="00281633"/>
    <w:rsid w:val="0028167B"/>
    <w:rsid w:val="002816FE"/>
    <w:rsid w:val="002817D7"/>
    <w:rsid w:val="002818D7"/>
    <w:rsid w:val="002818D8"/>
    <w:rsid w:val="00281A4F"/>
    <w:rsid w:val="00281AA0"/>
    <w:rsid w:val="00281B26"/>
    <w:rsid w:val="00281C41"/>
    <w:rsid w:val="00281C6B"/>
    <w:rsid w:val="00281C78"/>
    <w:rsid w:val="00281CA5"/>
    <w:rsid w:val="00281DAA"/>
    <w:rsid w:val="00281ED7"/>
    <w:rsid w:val="00281FDC"/>
    <w:rsid w:val="00282011"/>
    <w:rsid w:val="0028202D"/>
    <w:rsid w:val="002820CD"/>
    <w:rsid w:val="002820E2"/>
    <w:rsid w:val="0028221B"/>
    <w:rsid w:val="00282230"/>
    <w:rsid w:val="002823BD"/>
    <w:rsid w:val="002823E3"/>
    <w:rsid w:val="0028240C"/>
    <w:rsid w:val="0028242D"/>
    <w:rsid w:val="00282447"/>
    <w:rsid w:val="0028245E"/>
    <w:rsid w:val="00282475"/>
    <w:rsid w:val="00282561"/>
    <w:rsid w:val="0028256F"/>
    <w:rsid w:val="002825B4"/>
    <w:rsid w:val="002825DC"/>
    <w:rsid w:val="002826CC"/>
    <w:rsid w:val="00282753"/>
    <w:rsid w:val="00282826"/>
    <w:rsid w:val="00282839"/>
    <w:rsid w:val="00282848"/>
    <w:rsid w:val="0028290E"/>
    <w:rsid w:val="0028298B"/>
    <w:rsid w:val="00282A07"/>
    <w:rsid w:val="00282A3F"/>
    <w:rsid w:val="00282A5C"/>
    <w:rsid w:val="00282AFF"/>
    <w:rsid w:val="00282BBF"/>
    <w:rsid w:val="00282BD7"/>
    <w:rsid w:val="00282C77"/>
    <w:rsid w:val="00282C83"/>
    <w:rsid w:val="00282CB9"/>
    <w:rsid w:val="00282D86"/>
    <w:rsid w:val="00282DA6"/>
    <w:rsid w:val="00282EA8"/>
    <w:rsid w:val="00282F73"/>
    <w:rsid w:val="00282F78"/>
    <w:rsid w:val="0028302A"/>
    <w:rsid w:val="002830CE"/>
    <w:rsid w:val="00283100"/>
    <w:rsid w:val="00283110"/>
    <w:rsid w:val="002831BF"/>
    <w:rsid w:val="002831C8"/>
    <w:rsid w:val="00283217"/>
    <w:rsid w:val="00283281"/>
    <w:rsid w:val="002832F2"/>
    <w:rsid w:val="0028338A"/>
    <w:rsid w:val="002833C3"/>
    <w:rsid w:val="002833F9"/>
    <w:rsid w:val="00283419"/>
    <w:rsid w:val="00283456"/>
    <w:rsid w:val="0028345A"/>
    <w:rsid w:val="002834DC"/>
    <w:rsid w:val="00283555"/>
    <w:rsid w:val="00283614"/>
    <w:rsid w:val="00283641"/>
    <w:rsid w:val="0028372F"/>
    <w:rsid w:val="00283792"/>
    <w:rsid w:val="00283799"/>
    <w:rsid w:val="002837A3"/>
    <w:rsid w:val="00283827"/>
    <w:rsid w:val="00283856"/>
    <w:rsid w:val="00283921"/>
    <w:rsid w:val="00283931"/>
    <w:rsid w:val="00283956"/>
    <w:rsid w:val="00283968"/>
    <w:rsid w:val="002839BC"/>
    <w:rsid w:val="00283A25"/>
    <w:rsid w:val="00283B1F"/>
    <w:rsid w:val="00283B55"/>
    <w:rsid w:val="00283BE7"/>
    <w:rsid w:val="00283C1E"/>
    <w:rsid w:val="00283C55"/>
    <w:rsid w:val="00283CF6"/>
    <w:rsid w:val="00283D7F"/>
    <w:rsid w:val="00283DAB"/>
    <w:rsid w:val="00283DD2"/>
    <w:rsid w:val="00283DE5"/>
    <w:rsid w:val="00283E0C"/>
    <w:rsid w:val="00283E36"/>
    <w:rsid w:val="00283E3D"/>
    <w:rsid w:val="00283E5D"/>
    <w:rsid w:val="00283E9B"/>
    <w:rsid w:val="00283EBD"/>
    <w:rsid w:val="00283F55"/>
    <w:rsid w:val="00283F58"/>
    <w:rsid w:val="00283FDF"/>
    <w:rsid w:val="00284197"/>
    <w:rsid w:val="0028419B"/>
    <w:rsid w:val="002841C7"/>
    <w:rsid w:val="00284207"/>
    <w:rsid w:val="0028427F"/>
    <w:rsid w:val="00284430"/>
    <w:rsid w:val="0028443A"/>
    <w:rsid w:val="002844C2"/>
    <w:rsid w:val="002844DA"/>
    <w:rsid w:val="00284523"/>
    <w:rsid w:val="0028456F"/>
    <w:rsid w:val="00284612"/>
    <w:rsid w:val="0028462F"/>
    <w:rsid w:val="0028468E"/>
    <w:rsid w:val="00284856"/>
    <w:rsid w:val="00284909"/>
    <w:rsid w:val="00284968"/>
    <w:rsid w:val="00284BE0"/>
    <w:rsid w:val="00284BF1"/>
    <w:rsid w:val="00284BFC"/>
    <w:rsid w:val="00284C44"/>
    <w:rsid w:val="00284CD5"/>
    <w:rsid w:val="00284CEB"/>
    <w:rsid w:val="00284D09"/>
    <w:rsid w:val="00284D16"/>
    <w:rsid w:val="00284D1A"/>
    <w:rsid w:val="00284DAE"/>
    <w:rsid w:val="00284DE2"/>
    <w:rsid w:val="00284DF2"/>
    <w:rsid w:val="00284FE7"/>
    <w:rsid w:val="00285038"/>
    <w:rsid w:val="00285069"/>
    <w:rsid w:val="0028514D"/>
    <w:rsid w:val="00285162"/>
    <w:rsid w:val="00285199"/>
    <w:rsid w:val="0028521F"/>
    <w:rsid w:val="0028528F"/>
    <w:rsid w:val="002852B9"/>
    <w:rsid w:val="002853CD"/>
    <w:rsid w:val="002853D0"/>
    <w:rsid w:val="00285435"/>
    <w:rsid w:val="0028549D"/>
    <w:rsid w:val="002854C8"/>
    <w:rsid w:val="002855C4"/>
    <w:rsid w:val="002856AF"/>
    <w:rsid w:val="002856CB"/>
    <w:rsid w:val="00285724"/>
    <w:rsid w:val="002857DE"/>
    <w:rsid w:val="002857FD"/>
    <w:rsid w:val="00285824"/>
    <w:rsid w:val="0028585E"/>
    <w:rsid w:val="0028589B"/>
    <w:rsid w:val="00285912"/>
    <w:rsid w:val="00285925"/>
    <w:rsid w:val="00285943"/>
    <w:rsid w:val="00285972"/>
    <w:rsid w:val="002859BD"/>
    <w:rsid w:val="002859C2"/>
    <w:rsid w:val="002859FC"/>
    <w:rsid w:val="00285AB1"/>
    <w:rsid w:val="00285AE2"/>
    <w:rsid w:val="00285BD9"/>
    <w:rsid w:val="00285C1D"/>
    <w:rsid w:val="00285D0F"/>
    <w:rsid w:val="00285ED3"/>
    <w:rsid w:val="00285FC1"/>
    <w:rsid w:val="0028605D"/>
    <w:rsid w:val="00286319"/>
    <w:rsid w:val="00286336"/>
    <w:rsid w:val="00286487"/>
    <w:rsid w:val="00286639"/>
    <w:rsid w:val="002866F0"/>
    <w:rsid w:val="00286715"/>
    <w:rsid w:val="002867B5"/>
    <w:rsid w:val="002867DD"/>
    <w:rsid w:val="0028683D"/>
    <w:rsid w:val="0028684D"/>
    <w:rsid w:val="002868B9"/>
    <w:rsid w:val="002868D8"/>
    <w:rsid w:val="0028693F"/>
    <w:rsid w:val="002869B5"/>
    <w:rsid w:val="002869C9"/>
    <w:rsid w:val="00286A93"/>
    <w:rsid w:val="00286AC7"/>
    <w:rsid w:val="00286CB6"/>
    <w:rsid w:val="00286CD0"/>
    <w:rsid w:val="00286CED"/>
    <w:rsid w:val="00286D1E"/>
    <w:rsid w:val="00286ECB"/>
    <w:rsid w:val="00287023"/>
    <w:rsid w:val="0028707A"/>
    <w:rsid w:val="002870C0"/>
    <w:rsid w:val="00287216"/>
    <w:rsid w:val="00287240"/>
    <w:rsid w:val="0028724F"/>
    <w:rsid w:val="002872FE"/>
    <w:rsid w:val="00287324"/>
    <w:rsid w:val="0028747B"/>
    <w:rsid w:val="002874EF"/>
    <w:rsid w:val="002875EA"/>
    <w:rsid w:val="002875EC"/>
    <w:rsid w:val="0028764C"/>
    <w:rsid w:val="002876B4"/>
    <w:rsid w:val="00287749"/>
    <w:rsid w:val="0028775F"/>
    <w:rsid w:val="00287769"/>
    <w:rsid w:val="0028782A"/>
    <w:rsid w:val="0028789E"/>
    <w:rsid w:val="002878B9"/>
    <w:rsid w:val="002878F2"/>
    <w:rsid w:val="0028790A"/>
    <w:rsid w:val="00287924"/>
    <w:rsid w:val="00287975"/>
    <w:rsid w:val="002879D8"/>
    <w:rsid w:val="002879E0"/>
    <w:rsid w:val="00287A7B"/>
    <w:rsid w:val="00287A94"/>
    <w:rsid w:val="00287AB3"/>
    <w:rsid w:val="00287AC2"/>
    <w:rsid w:val="00287BB0"/>
    <w:rsid w:val="00287BFB"/>
    <w:rsid w:val="00287C9F"/>
    <w:rsid w:val="00287CCB"/>
    <w:rsid w:val="00287D82"/>
    <w:rsid w:val="00287DA3"/>
    <w:rsid w:val="00287F09"/>
    <w:rsid w:val="00287F28"/>
    <w:rsid w:val="00287F8C"/>
    <w:rsid w:val="00287F9E"/>
    <w:rsid w:val="0029005F"/>
    <w:rsid w:val="002900DA"/>
    <w:rsid w:val="002900F8"/>
    <w:rsid w:val="002901BE"/>
    <w:rsid w:val="002901D7"/>
    <w:rsid w:val="0029031B"/>
    <w:rsid w:val="00290337"/>
    <w:rsid w:val="00290338"/>
    <w:rsid w:val="0029034F"/>
    <w:rsid w:val="00290356"/>
    <w:rsid w:val="0029038B"/>
    <w:rsid w:val="00290426"/>
    <w:rsid w:val="0029051E"/>
    <w:rsid w:val="002905C0"/>
    <w:rsid w:val="00290607"/>
    <w:rsid w:val="00290653"/>
    <w:rsid w:val="002907F4"/>
    <w:rsid w:val="002908CB"/>
    <w:rsid w:val="0029092F"/>
    <w:rsid w:val="002909FC"/>
    <w:rsid w:val="00290A17"/>
    <w:rsid w:val="00290A65"/>
    <w:rsid w:val="00290A7D"/>
    <w:rsid w:val="00290AE1"/>
    <w:rsid w:val="00290B58"/>
    <w:rsid w:val="00290B80"/>
    <w:rsid w:val="00290BBC"/>
    <w:rsid w:val="00290BD0"/>
    <w:rsid w:val="00290C02"/>
    <w:rsid w:val="00290C11"/>
    <w:rsid w:val="00290C78"/>
    <w:rsid w:val="00290C89"/>
    <w:rsid w:val="00290CCA"/>
    <w:rsid w:val="00290CE2"/>
    <w:rsid w:val="00290D35"/>
    <w:rsid w:val="00290D46"/>
    <w:rsid w:val="00290D66"/>
    <w:rsid w:val="00290E25"/>
    <w:rsid w:val="00290E50"/>
    <w:rsid w:val="00290E97"/>
    <w:rsid w:val="00290F41"/>
    <w:rsid w:val="00290F4F"/>
    <w:rsid w:val="00290F60"/>
    <w:rsid w:val="002910BC"/>
    <w:rsid w:val="002910D6"/>
    <w:rsid w:val="00291186"/>
    <w:rsid w:val="002911AC"/>
    <w:rsid w:val="0029122C"/>
    <w:rsid w:val="0029132E"/>
    <w:rsid w:val="00291355"/>
    <w:rsid w:val="00291394"/>
    <w:rsid w:val="00291431"/>
    <w:rsid w:val="00291480"/>
    <w:rsid w:val="0029163D"/>
    <w:rsid w:val="00291763"/>
    <w:rsid w:val="0029176F"/>
    <w:rsid w:val="002917DE"/>
    <w:rsid w:val="00291824"/>
    <w:rsid w:val="00291914"/>
    <w:rsid w:val="00291942"/>
    <w:rsid w:val="0029198E"/>
    <w:rsid w:val="002919F3"/>
    <w:rsid w:val="00291A92"/>
    <w:rsid w:val="00291B86"/>
    <w:rsid w:val="00291C45"/>
    <w:rsid w:val="00291CC9"/>
    <w:rsid w:val="00291D86"/>
    <w:rsid w:val="00291D91"/>
    <w:rsid w:val="00291E39"/>
    <w:rsid w:val="00291E44"/>
    <w:rsid w:val="00291EA6"/>
    <w:rsid w:val="00291EF7"/>
    <w:rsid w:val="00291F1B"/>
    <w:rsid w:val="00291F38"/>
    <w:rsid w:val="00291F7C"/>
    <w:rsid w:val="00292119"/>
    <w:rsid w:val="00292178"/>
    <w:rsid w:val="0029218E"/>
    <w:rsid w:val="002921AC"/>
    <w:rsid w:val="002921AF"/>
    <w:rsid w:val="002921CB"/>
    <w:rsid w:val="00292240"/>
    <w:rsid w:val="0029224E"/>
    <w:rsid w:val="0029235B"/>
    <w:rsid w:val="002923BC"/>
    <w:rsid w:val="002923E7"/>
    <w:rsid w:val="002924F2"/>
    <w:rsid w:val="002925F0"/>
    <w:rsid w:val="002925FE"/>
    <w:rsid w:val="002926A2"/>
    <w:rsid w:val="002926C6"/>
    <w:rsid w:val="002926F5"/>
    <w:rsid w:val="00292750"/>
    <w:rsid w:val="00292757"/>
    <w:rsid w:val="00292782"/>
    <w:rsid w:val="00292843"/>
    <w:rsid w:val="00292861"/>
    <w:rsid w:val="00292865"/>
    <w:rsid w:val="0029288A"/>
    <w:rsid w:val="00292899"/>
    <w:rsid w:val="002928B9"/>
    <w:rsid w:val="002928F1"/>
    <w:rsid w:val="00292922"/>
    <w:rsid w:val="002929DD"/>
    <w:rsid w:val="002929E0"/>
    <w:rsid w:val="00292A5F"/>
    <w:rsid w:val="00292AF1"/>
    <w:rsid w:val="00292AFF"/>
    <w:rsid w:val="00292B21"/>
    <w:rsid w:val="00292B2D"/>
    <w:rsid w:val="00292B34"/>
    <w:rsid w:val="00292C5F"/>
    <w:rsid w:val="00292CA1"/>
    <w:rsid w:val="00292D30"/>
    <w:rsid w:val="00292DFA"/>
    <w:rsid w:val="00292EC7"/>
    <w:rsid w:val="00292ED3"/>
    <w:rsid w:val="00292F1E"/>
    <w:rsid w:val="00292F65"/>
    <w:rsid w:val="00292F7E"/>
    <w:rsid w:val="00292F88"/>
    <w:rsid w:val="00292FAF"/>
    <w:rsid w:val="00292FBC"/>
    <w:rsid w:val="00293037"/>
    <w:rsid w:val="00293171"/>
    <w:rsid w:val="002931DD"/>
    <w:rsid w:val="002931E6"/>
    <w:rsid w:val="002931F0"/>
    <w:rsid w:val="002931FD"/>
    <w:rsid w:val="00293225"/>
    <w:rsid w:val="0029328A"/>
    <w:rsid w:val="0029331B"/>
    <w:rsid w:val="0029336A"/>
    <w:rsid w:val="00293395"/>
    <w:rsid w:val="002934AA"/>
    <w:rsid w:val="0029350B"/>
    <w:rsid w:val="0029354B"/>
    <w:rsid w:val="002935E5"/>
    <w:rsid w:val="0029361D"/>
    <w:rsid w:val="00293659"/>
    <w:rsid w:val="00293692"/>
    <w:rsid w:val="00293781"/>
    <w:rsid w:val="0029383C"/>
    <w:rsid w:val="00293884"/>
    <w:rsid w:val="002938BB"/>
    <w:rsid w:val="00293978"/>
    <w:rsid w:val="00293A4F"/>
    <w:rsid w:val="00293A9D"/>
    <w:rsid w:val="00293B14"/>
    <w:rsid w:val="00293BF9"/>
    <w:rsid w:val="00293C31"/>
    <w:rsid w:val="00293C43"/>
    <w:rsid w:val="00293C5F"/>
    <w:rsid w:val="00293C88"/>
    <w:rsid w:val="00293CEE"/>
    <w:rsid w:val="00293DF6"/>
    <w:rsid w:val="002940B5"/>
    <w:rsid w:val="0029426A"/>
    <w:rsid w:val="002944E3"/>
    <w:rsid w:val="00294584"/>
    <w:rsid w:val="002945E9"/>
    <w:rsid w:val="00294688"/>
    <w:rsid w:val="002946C8"/>
    <w:rsid w:val="002946FF"/>
    <w:rsid w:val="00294787"/>
    <w:rsid w:val="002947B1"/>
    <w:rsid w:val="00294829"/>
    <w:rsid w:val="0029486F"/>
    <w:rsid w:val="002948B0"/>
    <w:rsid w:val="00294918"/>
    <w:rsid w:val="002949E5"/>
    <w:rsid w:val="002949FA"/>
    <w:rsid w:val="002949FC"/>
    <w:rsid w:val="00294A47"/>
    <w:rsid w:val="00294AAA"/>
    <w:rsid w:val="00294BD0"/>
    <w:rsid w:val="00294BE9"/>
    <w:rsid w:val="00294C4D"/>
    <w:rsid w:val="00294D59"/>
    <w:rsid w:val="00294DA1"/>
    <w:rsid w:val="00294DA6"/>
    <w:rsid w:val="00294E88"/>
    <w:rsid w:val="00294E9C"/>
    <w:rsid w:val="002950A7"/>
    <w:rsid w:val="00295136"/>
    <w:rsid w:val="0029519F"/>
    <w:rsid w:val="00295233"/>
    <w:rsid w:val="00295254"/>
    <w:rsid w:val="00295277"/>
    <w:rsid w:val="00295358"/>
    <w:rsid w:val="00295379"/>
    <w:rsid w:val="00295389"/>
    <w:rsid w:val="00295448"/>
    <w:rsid w:val="002955D3"/>
    <w:rsid w:val="00295777"/>
    <w:rsid w:val="002958B2"/>
    <w:rsid w:val="00295913"/>
    <w:rsid w:val="00295972"/>
    <w:rsid w:val="002959E9"/>
    <w:rsid w:val="002959F0"/>
    <w:rsid w:val="00295A41"/>
    <w:rsid w:val="00295A6A"/>
    <w:rsid w:val="00295A7D"/>
    <w:rsid w:val="00295B19"/>
    <w:rsid w:val="00295B62"/>
    <w:rsid w:val="00295B6B"/>
    <w:rsid w:val="00295BE8"/>
    <w:rsid w:val="00295C5B"/>
    <w:rsid w:val="00295C7C"/>
    <w:rsid w:val="00295CD5"/>
    <w:rsid w:val="00295CF2"/>
    <w:rsid w:val="00295D0B"/>
    <w:rsid w:val="00295D0E"/>
    <w:rsid w:val="00295D36"/>
    <w:rsid w:val="00295D9C"/>
    <w:rsid w:val="00295DF1"/>
    <w:rsid w:val="00295E5C"/>
    <w:rsid w:val="00296014"/>
    <w:rsid w:val="0029605F"/>
    <w:rsid w:val="002960C3"/>
    <w:rsid w:val="002961B6"/>
    <w:rsid w:val="00296325"/>
    <w:rsid w:val="00296368"/>
    <w:rsid w:val="002963B7"/>
    <w:rsid w:val="002963DA"/>
    <w:rsid w:val="00296422"/>
    <w:rsid w:val="002964B4"/>
    <w:rsid w:val="00296512"/>
    <w:rsid w:val="00296538"/>
    <w:rsid w:val="0029656D"/>
    <w:rsid w:val="0029674F"/>
    <w:rsid w:val="0029675B"/>
    <w:rsid w:val="002967B1"/>
    <w:rsid w:val="002967B2"/>
    <w:rsid w:val="002967DC"/>
    <w:rsid w:val="00296821"/>
    <w:rsid w:val="00296823"/>
    <w:rsid w:val="00296825"/>
    <w:rsid w:val="00296878"/>
    <w:rsid w:val="002968DD"/>
    <w:rsid w:val="002968F5"/>
    <w:rsid w:val="00296943"/>
    <w:rsid w:val="0029698E"/>
    <w:rsid w:val="00296AF7"/>
    <w:rsid w:val="00296B20"/>
    <w:rsid w:val="00296B61"/>
    <w:rsid w:val="00296C28"/>
    <w:rsid w:val="00296C31"/>
    <w:rsid w:val="00296C76"/>
    <w:rsid w:val="00296C90"/>
    <w:rsid w:val="00296CB7"/>
    <w:rsid w:val="00296CF5"/>
    <w:rsid w:val="00296CFE"/>
    <w:rsid w:val="00296D24"/>
    <w:rsid w:val="00296D25"/>
    <w:rsid w:val="00296D53"/>
    <w:rsid w:val="00296DA6"/>
    <w:rsid w:val="00296DD1"/>
    <w:rsid w:val="00296E08"/>
    <w:rsid w:val="00296E80"/>
    <w:rsid w:val="00296EEE"/>
    <w:rsid w:val="00296FAD"/>
    <w:rsid w:val="00297021"/>
    <w:rsid w:val="002970D6"/>
    <w:rsid w:val="002970E1"/>
    <w:rsid w:val="0029710C"/>
    <w:rsid w:val="00297156"/>
    <w:rsid w:val="0029717C"/>
    <w:rsid w:val="002971AC"/>
    <w:rsid w:val="00297227"/>
    <w:rsid w:val="002972D5"/>
    <w:rsid w:val="0029730C"/>
    <w:rsid w:val="00297313"/>
    <w:rsid w:val="00297338"/>
    <w:rsid w:val="002973B9"/>
    <w:rsid w:val="002973C6"/>
    <w:rsid w:val="00297432"/>
    <w:rsid w:val="00297500"/>
    <w:rsid w:val="0029756A"/>
    <w:rsid w:val="00297596"/>
    <w:rsid w:val="002975A9"/>
    <w:rsid w:val="002975B8"/>
    <w:rsid w:val="002975D4"/>
    <w:rsid w:val="00297613"/>
    <w:rsid w:val="00297665"/>
    <w:rsid w:val="00297671"/>
    <w:rsid w:val="00297749"/>
    <w:rsid w:val="002977E5"/>
    <w:rsid w:val="002977E9"/>
    <w:rsid w:val="00297819"/>
    <w:rsid w:val="002978B0"/>
    <w:rsid w:val="0029795A"/>
    <w:rsid w:val="0029795E"/>
    <w:rsid w:val="00297A0A"/>
    <w:rsid w:val="00297AB7"/>
    <w:rsid w:val="00297B01"/>
    <w:rsid w:val="00297BE2"/>
    <w:rsid w:val="00297C0B"/>
    <w:rsid w:val="00297C42"/>
    <w:rsid w:val="00297CF2"/>
    <w:rsid w:val="00297DAA"/>
    <w:rsid w:val="00297DD8"/>
    <w:rsid w:val="002A0057"/>
    <w:rsid w:val="002A0078"/>
    <w:rsid w:val="002A015C"/>
    <w:rsid w:val="002A01AF"/>
    <w:rsid w:val="002A0261"/>
    <w:rsid w:val="002A0268"/>
    <w:rsid w:val="002A0271"/>
    <w:rsid w:val="002A02AD"/>
    <w:rsid w:val="002A02C1"/>
    <w:rsid w:val="002A02CB"/>
    <w:rsid w:val="002A032F"/>
    <w:rsid w:val="002A033B"/>
    <w:rsid w:val="002A0420"/>
    <w:rsid w:val="002A0434"/>
    <w:rsid w:val="002A04C4"/>
    <w:rsid w:val="002A0652"/>
    <w:rsid w:val="002A06A6"/>
    <w:rsid w:val="002A06F2"/>
    <w:rsid w:val="002A06FE"/>
    <w:rsid w:val="002A07AE"/>
    <w:rsid w:val="002A07C2"/>
    <w:rsid w:val="002A0836"/>
    <w:rsid w:val="002A0912"/>
    <w:rsid w:val="002A0961"/>
    <w:rsid w:val="002A09FB"/>
    <w:rsid w:val="002A09FF"/>
    <w:rsid w:val="002A0A35"/>
    <w:rsid w:val="002A0A68"/>
    <w:rsid w:val="002A0A86"/>
    <w:rsid w:val="002A0B97"/>
    <w:rsid w:val="002A0C3C"/>
    <w:rsid w:val="002A0C66"/>
    <w:rsid w:val="002A0CBE"/>
    <w:rsid w:val="002A0CFB"/>
    <w:rsid w:val="002A0D20"/>
    <w:rsid w:val="002A0F15"/>
    <w:rsid w:val="002A0F6C"/>
    <w:rsid w:val="002A0FBB"/>
    <w:rsid w:val="002A0FF4"/>
    <w:rsid w:val="002A0FF8"/>
    <w:rsid w:val="002A10D4"/>
    <w:rsid w:val="002A112B"/>
    <w:rsid w:val="002A12BF"/>
    <w:rsid w:val="002A1341"/>
    <w:rsid w:val="002A1362"/>
    <w:rsid w:val="002A1395"/>
    <w:rsid w:val="002A13BF"/>
    <w:rsid w:val="002A13C1"/>
    <w:rsid w:val="002A141F"/>
    <w:rsid w:val="002A151A"/>
    <w:rsid w:val="002A15E8"/>
    <w:rsid w:val="002A165A"/>
    <w:rsid w:val="002A16E9"/>
    <w:rsid w:val="002A170C"/>
    <w:rsid w:val="002A1731"/>
    <w:rsid w:val="002A174D"/>
    <w:rsid w:val="002A1832"/>
    <w:rsid w:val="002A18E7"/>
    <w:rsid w:val="002A1984"/>
    <w:rsid w:val="002A1A05"/>
    <w:rsid w:val="002A1A1C"/>
    <w:rsid w:val="002A1A49"/>
    <w:rsid w:val="002A1AB5"/>
    <w:rsid w:val="002A1B04"/>
    <w:rsid w:val="002A1D62"/>
    <w:rsid w:val="002A1E09"/>
    <w:rsid w:val="002A1E2D"/>
    <w:rsid w:val="002A1E7E"/>
    <w:rsid w:val="002A1EE5"/>
    <w:rsid w:val="002A1F06"/>
    <w:rsid w:val="002A1F18"/>
    <w:rsid w:val="002A1F2E"/>
    <w:rsid w:val="002A1F79"/>
    <w:rsid w:val="002A207D"/>
    <w:rsid w:val="002A2099"/>
    <w:rsid w:val="002A20FD"/>
    <w:rsid w:val="002A2167"/>
    <w:rsid w:val="002A216C"/>
    <w:rsid w:val="002A21A9"/>
    <w:rsid w:val="002A21BE"/>
    <w:rsid w:val="002A21F7"/>
    <w:rsid w:val="002A22C4"/>
    <w:rsid w:val="002A2306"/>
    <w:rsid w:val="002A2322"/>
    <w:rsid w:val="002A2352"/>
    <w:rsid w:val="002A23B9"/>
    <w:rsid w:val="002A2416"/>
    <w:rsid w:val="002A24C8"/>
    <w:rsid w:val="002A2515"/>
    <w:rsid w:val="002A252F"/>
    <w:rsid w:val="002A2563"/>
    <w:rsid w:val="002A2571"/>
    <w:rsid w:val="002A2573"/>
    <w:rsid w:val="002A263B"/>
    <w:rsid w:val="002A26B0"/>
    <w:rsid w:val="002A26ED"/>
    <w:rsid w:val="002A2703"/>
    <w:rsid w:val="002A271F"/>
    <w:rsid w:val="002A2725"/>
    <w:rsid w:val="002A277C"/>
    <w:rsid w:val="002A282C"/>
    <w:rsid w:val="002A2972"/>
    <w:rsid w:val="002A29D4"/>
    <w:rsid w:val="002A2ABA"/>
    <w:rsid w:val="002A2B49"/>
    <w:rsid w:val="002A2B62"/>
    <w:rsid w:val="002A2B6B"/>
    <w:rsid w:val="002A2BC8"/>
    <w:rsid w:val="002A2D8B"/>
    <w:rsid w:val="002A2DE7"/>
    <w:rsid w:val="002A2DFE"/>
    <w:rsid w:val="002A2E57"/>
    <w:rsid w:val="002A2F2A"/>
    <w:rsid w:val="002A2F39"/>
    <w:rsid w:val="002A2F63"/>
    <w:rsid w:val="002A307F"/>
    <w:rsid w:val="002A309E"/>
    <w:rsid w:val="002A3166"/>
    <w:rsid w:val="002A3182"/>
    <w:rsid w:val="002A31CC"/>
    <w:rsid w:val="002A323A"/>
    <w:rsid w:val="002A33A8"/>
    <w:rsid w:val="002A3464"/>
    <w:rsid w:val="002A3476"/>
    <w:rsid w:val="002A34F4"/>
    <w:rsid w:val="002A3552"/>
    <w:rsid w:val="002A3565"/>
    <w:rsid w:val="002A35BA"/>
    <w:rsid w:val="002A35BD"/>
    <w:rsid w:val="002A35FA"/>
    <w:rsid w:val="002A3603"/>
    <w:rsid w:val="002A3664"/>
    <w:rsid w:val="002A367F"/>
    <w:rsid w:val="002A3685"/>
    <w:rsid w:val="002A369F"/>
    <w:rsid w:val="002A36DF"/>
    <w:rsid w:val="002A3746"/>
    <w:rsid w:val="002A378E"/>
    <w:rsid w:val="002A3843"/>
    <w:rsid w:val="002A38E4"/>
    <w:rsid w:val="002A3979"/>
    <w:rsid w:val="002A39EA"/>
    <w:rsid w:val="002A3AFB"/>
    <w:rsid w:val="002A3B71"/>
    <w:rsid w:val="002A3B96"/>
    <w:rsid w:val="002A3BA4"/>
    <w:rsid w:val="002A3C2D"/>
    <w:rsid w:val="002A3C33"/>
    <w:rsid w:val="002A3C60"/>
    <w:rsid w:val="002A3CBB"/>
    <w:rsid w:val="002A3CBC"/>
    <w:rsid w:val="002A3D0C"/>
    <w:rsid w:val="002A3E33"/>
    <w:rsid w:val="002A3EE6"/>
    <w:rsid w:val="002A3EF8"/>
    <w:rsid w:val="002A3F06"/>
    <w:rsid w:val="002A3F2B"/>
    <w:rsid w:val="002A3F65"/>
    <w:rsid w:val="002A3FC1"/>
    <w:rsid w:val="002A4050"/>
    <w:rsid w:val="002A4072"/>
    <w:rsid w:val="002A40C3"/>
    <w:rsid w:val="002A4134"/>
    <w:rsid w:val="002A416E"/>
    <w:rsid w:val="002A4194"/>
    <w:rsid w:val="002A41CB"/>
    <w:rsid w:val="002A41E9"/>
    <w:rsid w:val="002A425A"/>
    <w:rsid w:val="002A4271"/>
    <w:rsid w:val="002A4321"/>
    <w:rsid w:val="002A4323"/>
    <w:rsid w:val="002A444B"/>
    <w:rsid w:val="002A458C"/>
    <w:rsid w:val="002A45F5"/>
    <w:rsid w:val="002A4675"/>
    <w:rsid w:val="002A46F8"/>
    <w:rsid w:val="002A4747"/>
    <w:rsid w:val="002A4883"/>
    <w:rsid w:val="002A48C4"/>
    <w:rsid w:val="002A48F3"/>
    <w:rsid w:val="002A4946"/>
    <w:rsid w:val="002A495A"/>
    <w:rsid w:val="002A49AA"/>
    <w:rsid w:val="002A49BE"/>
    <w:rsid w:val="002A4AFB"/>
    <w:rsid w:val="002A4BF8"/>
    <w:rsid w:val="002A4C78"/>
    <w:rsid w:val="002A4CB1"/>
    <w:rsid w:val="002A4CD2"/>
    <w:rsid w:val="002A4D00"/>
    <w:rsid w:val="002A4D1C"/>
    <w:rsid w:val="002A4E44"/>
    <w:rsid w:val="002A4EDA"/>
    <w:rsid w:val="002A4F04"/>
    <w:rsid w:val="002A4F8C"/>
    <w:rsid w:val="002A506A"/>
    <w:rsid w:val="002A507E"/>
    <w:rsid w:val="002A50E1"/>
    <w:rsid w:val="002A50F7"/>
    <w:rsid w:val="002A5138"/>
    <w:rsid w:val="002A5149"/>
    <w:rsid w:val="002A51DF"/>
    <w:rsid w:val="002A535A"/>
    <w:rsid w:val="002A5365"/>
    <w:rsid w:val="002A53AF"/>
    <w:rsid w:val="002A53E2"/>
    <w:rsid w:val="002A5401"/>
    <w:rsid w:val="002A540A"/>
    <w:rsid w:val="002A5431"/>
    <w:rsid w:val="002A543E"/>
    <w:rsid w:val="002A5674"/>
    <w:rsid w:val="002A56C8"/>
    <w:rsid w:val="002A58E7"/>
    <w:rsid w:val="002A58EA"/>
    <w:rsid w:val="002A5905"/>
    <w:rsid w:val="002A5971"/>
    <w:rsid w:val="002A5A4D"/>
    <w:rsid w:val="002A5A8F"/>
    <w:rsid w:val="002A5B86"/>
    <w:rsid w:val="002A5B92"/>
    <w:rsid w:val="002A5BC0"/>
    <w:rsid w:val="002A5BC5"/>
    <w:rsid w:val="002A5C10"/>
    <w:rsid w:val="002A5C68"/>
    <w:rsid w:val="002A5CA5"/>
    <w:rsid w:val="002A5CE9"/>
    <w:rsid w:val="002A5D08"/>
    <w:rsid w:val="002A5DB4"/>
    <w:rsid w:val="002A5DCB"/>
    <w:rsid w:val="002A5E28"/>
    <w:rsid w:val="002A5E5D"/>
    <w:rsid w:val="002A5E91"/>
    <w:rsid w:val="002A5FB4"/>
    <w:rsid w:val="002A5FC7"/>
    <w:rsid w:val="002A600F"/>
    <w:rsid w:val="002A6019"/>
    <w:rsid w:val="002A6055"/>
    <w:rsid w:val="002A609E"/>
    <w:rsid w:val="002A6109"/>
    <w:rsid w:val="002A61FB"/>
    <w:rsid w:val="002A6241"/>
    <w:rsid w:val="002A63AC"/>
    <w:rsid w:val="002A63B1"/>
    <w:rsid w:val="002A645E"/>
    <w:rsid w:val="002A661C"/>
    <w:rsid w:val="002A6657"/>
    <w:rsid w:val="002A6752"/>
    <w:rsid w:val="002A67A6"/>
    <w:rsid w:val="002A67DA"/>
    <w:rsid w:val="002A6891"/>
    <w:rsid w:val="002A6900"/>
    <w:rsid w:val="002A6956"/>
    <w:rsid w:val="002A69E0"/>
    <w:rsid w:val="002A69F3"/>
    <w:rsid w:val="002A6AA3"/>
    <w:rsid w:val="002A6B7D"/>
    <w:rsid w:val="002A6BFD"/>
    <w:rsid w:val="002A6C26"/>
    <w:rsid w:val="002A6C2E"/>
    <w:rsid w:val="002A6CBA"/>
    <w:rsid w:val="002A6CED"/>
    <w:rsid w:val="002A6D18"/>
    <w:rsid w:val="002A6D65"/>
    <w:rsid w:val="002A6D8F"/>
    <w:rsid w:val="002A6D95"/>
    <w:rsid w:val="002A6DB9"/>
    <w:rsid w:val="002A6E43"/>
    <w:rsid w:val="002A6E46"/>
    <w:rsid w:val="002A6F1F"/>
    <w:rsid w:val="002A6F7A"/>
    <w:rsid w:val="002A7012"/>
    <w:rsid w:val="002A715B"/>
    <w:rsid w:val="002A71AC"/>
    <w:rsid w:val="002A71C4"/>
    <w:rsid w:val="002A727F"/>
    <w:rsid w:val="002A728E"/>
    <w:rsid w:val="002A72A1"/>
    <w:rsid w:val="002A72BE"/>
    <w:rsid w:val="002A7382"/>
    <w:rsid w:val="002A73AF"/>
    <w:rsid w:val="002A7513"/>
    <w:rsid w:val="002A753C"/>
    <w:rsid w:val="002A75C8"/>
    <w:rsid w:val="002A75EB"/>
    <w:rsid w:val="002A7620"/>
    <w:rsid w:val="002A762A"/>
    <w:rsid w:val="002A7642"/>
    <w:rsid w:val="002A7655"/>
    <w:rsid w:val="002A766C"/>
    <w:rsid w:val="002A76D6"/>
    <w:rsid w:val="002A783D"/>
    <w:rsid w:val="002A78C1"/>
    <w:rsid w:val="002A7981"/>
    <w:rsid w:val="002A798A"/>
    <w:rsid w:val="002A7999"/>
    <w:rsid w:val="002A7A01"/>
    <w:rsid w:val="002A7A3F"/>
    <w:rsid w:val="002A7A40"/>
    <w:rsid w:val="002A7B10"/>
    <w:rsid w:val="002A7B19"/>
    <w:rsid w:val="002A7B42"/>
    <w:rsid w:val="002A7C16"/>
    <w:rsid w:val="002A7C38"/>
    <w:rsid w:val="002A7C43"/>
    <w:rsid w:val="002A7CD0"/>
    <w:rsid w:val="002A7CDC"/>
    <w:rsid w:val="002A7CE8"/>
    <w:rsid w:val="002A7D49"/>
    <w:rsid w:val="002A7D8B"/>
    <w:rsid w:val="002A7E68"/>
    <w:rsid w:val="002A7E7D"/>
    <w:rsid w:val="002A7E86"/>
    <w:rsid w:val="002A7EC1"/>
    <w:rsid w:val="002A7EC3"/>
    <w:rsid w:val="002A7F14"/>
    <w:rsid w:val="002A7F86"/>
    <w:rsid w:val="002B00AD"/>
    <w:rsid w:val="002B014A"/>
    <w:rsid w:val="002B0171"/>
    <w:rsid w:val="002B019A"/>
    <w:rsid w:val="002B024E"/>
    <w:rsid w:val="002B0288"/>
    <w:rsid w:val="002B02FE"/>
    <w:rsid w:val="002B0347"/>
    <w:rsid w:val="002B036A"/>
    <w:rsid w:val="002B03B3"/>
    <w:rsid w:val="002B048D"/>
    <w:rsid w:val="002B04F1"/>
    <w:rsid w:val="002B0552"/>
    <w:rsid w:val="002B057A"/>
    <w:rsid w:val="002B061B"/>
    <w:rsid w:val="002B074E"/>
    <w:rsid w:val="002B07A7"/>
    <w:rsid w:val="002B07E8"/>
    <w:rsid w:val="002B0964"/>
    <w:rsid w:val="002B0AA6"/>
    <w:rsid w:val="002B0ACA"/>
    <w:rsid w:val="002B0AD6"/>
    <w:rsid w:val="002B0ADF"/>
    <w:rsid w:val="002B0B16"/>
    <w:rsid w:val="002B0B80"/>
    <w:rsid w:val="002B0BC4"/>
    <w:rsid w:val="002B0C2D"/>
    <w:rsid w:val="002B0C55"/>
    <w:rsid w:val="002B0CEF"/>
    <w:rsid w:val="002B0D83"/>
    <w:rsid w:val="002B0D87"/>
    <w:rsid w:val="002B0D91"/>
    <w:rsid w:val="002B0E95"/>
    <w:rsid w:val="002B0F40"/>
    <w:rsid w:val="002B0F80"/>
    <w:rsid w:val="002B0FA4"/>
    <w:rsid w:val="002B0FF8"/>
    <w:rsid w:val="002B1094"/>
    <w:rsid w:val="002B10A1"/>
    <w:rsid w:val="002B10CD"/>
    <w:rsid w:val="002B10E1"/>
    <w:rsid w:val="002B1183"/>
    <w:rsid w:val="002B118B"/>
    <w:rsid w:val="002B126E"/>
    <w:rsid w:val="002B12D4"/>
    <w:rsid w:val="002B1321"/>
    <w:rsid w:val="002B1368"/>
    <w:rsid w:val="002B1386"/>
    <w:rsid w:val="002B14B1"/>
    <w:rsid w:val="002B14B4"/>
    <w:rsid w:val="002B159E"/>
    <w:rsid w:val="002B1664"/>
    <w:rsid w:val="002B16DF"/>
    <w:rsid w:val="002B1832"/>
    <w:rsid w:val="002B18B7"/>
    <w:rsid w:val="002B1986"/>
    <w:rsid w:val="002B1A10"/>
    <w:rsid w:val="002B1A61"/>
    <w:rsid w:val="002B1AC0"/>
    <w:rsid w:val="002B1B4E"/>
    <w:rsid w:val="002B1BD7"/>
    <w:rsid w:val="002B1BEB"/>
    <w:rsid w:val="002B1C91"/>
    <w:rsid w:val="002B1D42"/>
    <w:rsid w:val="002B1DC8"/>
    <w:rsid w:val="002B1DD4"/>
    <w:rsid w:val="002B1DFE"/>
    <w:rsid w:val="002B1F48"/>
    <w:rsid w:val="002B1FCE"/>
    <w:rsid w:val="002B2015"/>
    <w:rsid w:val="002B206B"/>
    <w:rsid w:val="002B20A8"/>
    <w:rsid w:val="002B20C8"/>
    <w:rsid w:val="002B20F8"/>
    <w:rsid w:val="002B2108"/>
    <w:rsid w:val="002B212A"/>
    <w:rsid w:val="002B227A"/>
    <w:rsid w:val="002B2298"/>
    <w:rsid w:val="002B22CA"/>
    <w:rsid w:val="002B22EE"/>
    <w:rsid w:val="002B23BF"/>
    <w:rsid w:val="002B23CF"/>
    <w:rsid w:val="002B23D3"/>
    <w:rsid w:val="002B23D9"/>
    <w:rsid w:val="002B24B5"/>
    <w:rsid w:val="002B24BA"/>
    <w:rsid w:val="002B25A0"/>
    <w:rsid w:val="002B2676"/>
    <w:rsid w:val="002B278D"/>
    <w:rsid w:val="002B2808"/>
    <w:rsid w:val="002B2830"/>
    <w:rsid w:val="002B2836"/>
    <w:rsid w:val="002B285F"/>
    <w:rsid w:val="002B2916"/>
    <w:rsid w:val="002B292F"/>
    <w:rsid w:val="002B29D3"/>
    <w:rsid w:val="002B2AAA"/>
    <w:rsid w:val="002B2B01"/>
    <w:rsid w:val="002B2BB4"/>
    <w:rsid w:val="002B2C08"/>
    <w:rsid w:val="002B2C32"/>
    <w:rsid w:val="002B2CD0"/>
    <w:rsid w:val="002B2CE2"/>
    <w:rsid w:val="002B2FBB"/>
    <w:rsid w:val="002B2FF4"/>
    <w:rsid w:val="002B305A"/>
    <w:rsid w:val="002B307B"/>
    <w:rsid w:val="002B30F5"/>
    <w:rsid w:val="002B311F"/>
    <w:rsid w:val="002B3125"/>
    <w:rsid w:val="002B31B0"/>
    <w:rsid w:val="002B3225"/>
    <w:rsid w:val="002B3230"/>
    <w:rsid w:val="002B3295"/>
    <w:rsid w:val="002B32D0"/>
    <w:rsid w:val="002B3371"/>
    <w:rsid w:val="002B3375"/>
    <w:rsid w:val="002B33A6"/>
    <w:rsid w:val="002B34E7"/>
    <w:rsid w:val="002B34FB"/>
    <w:rsid w:val="002B3537"/>
    <w:rsid w:val="002B3566"/>
    <w:rsid w:val="002B356D"/>
    <w:rsid w:val="002B35C7"/>
    <w:rsid w:val="002B36B2"/>
    <w:rsid w:val="002B3703"/>
    <w:rsid w:val="002B3764"/>
    <w:rsid w:val="002B378D"/>
    <w:rsid w:val="002B3882"/>
    <w:rsid w:val="002B3905"/>
    <w:rsid w:val="002B39EE"/>
    <w:rsid w:val="002B3B46"/>
    <w:rsid w:val="002B3C37"/>
    <w:rsid w:val="002B3C87"/>
    <w:rsid w:val="002B3D04"/>
    <w:rsid w:val="002B3D1F"/>
    <w:rsid w:val="002B3DFF"/>
    <w:rsid w:val="002B3E70"/>
    <w:rsid w:val="002B3EC1"/>
    <w:rsid w:val="002B3EEC"/>
    <w:rsid w:val="002B3F12"/>
    <w:rsid w:val="002B3F60"/>
    <w:rsid w:val="002B40AF"/>
    <w:rsid w:val="002B40BD"/>
    <w:rsid w:val="002B4195"/>
    <w:rsid w:val="002B41BD"/>
    <w:rsid w:val="002B41E5"/>
    <w:rsid w:val="002B4216"/>
    <w:rsid w:val="002B4451"/>
    <w:rsid w:val="002B4463"/>
    <w:rsid w:val="002B44BF"/>
    <w:rsid w:val="002B4510"/>
    <w:rsid w:val="002B4684"/>
    <w:rsid w:val="002B46BD"/>
    <w:rsid w:val="002B4812"/>
    <w:rsid w:val="002B4862"/>
    <w:rsid w:val="002B48CA"/>
    <w:rsid w:val="002B48DD"/>
    <w:rsid w:val="002B4901"/>
    <w:rsid w:val="002B4933"/>
    <w:rsid w:val="002B49AE"/>
    <w:rsid w:val="002B49CB"/>
    <w:rsid w:val="002B4A40"/>
    <w:rsid w:val="002B4A4E"/>
    <w:rsid w:val="002B4A70"/>
    <w:rsid w:val="002B4AEF"/>
    <w:rsid w:val="002B4BDD"/>
    <w:rsid w:val="002B4CCE"/>
    <w:rsid w:val="002B4CDA"/>
    <w:rsid w:val="002B4D19"/>
    <w:rsid w:val="002B4D52"/>
    <w:rsid w:val="002B4D6A"/>
    <w:rsid w:val="002B4DBA"/>
    <w:rsid w:val="002B4F27"/>
    <w:rsid w:val="002B4F7A"/>
    <w:rsid w:val="002B4FE6"/>
    <w:rsid w:val="002B50C3"/>
    <w:rsid w:val="002B50EF"/>
    <w:rsid w:val="002B5154"/>
    <w:rsid w:val="002B5360"/>
    <w:rsid w:val="002B5364"/>
    <w:rsid w:val="002B5369"/>
    <w:rsid w:val="002B5387"/>
    <w:rsid w:val="002B5417"/>
    <w:rsid w:val="002B5422"/>
    <w:rsid w:val="002B546E"/>
    <w:rsid w:val="002B5484"/>
    <w:rsid w:val="002B54D7"/>
    <w:rsid w:val="002B556B"/>
    <w:rsid w:val="002B559C"/>
    <w:rsid w:val="002B55FD"/>
    <w:rsid w:val="002B563A"/>
    <w:rsid w:val="002B5642"/>
    <w:rsid w:val="002B5783"/>
    <w:rsid w:val="002B5798"/>
    <w:rsid w:val="002B57A4"/>
    <w:rsid w:val="002B57E1"/>
    <w:rsid w:val="002B5914"/>
    <w:rsid w:val="002B599A"/>
    <w:rsid w:val="002B59CD"/>
    <w:rsid w:val="002B59E1"/>
    <w:rsid w:val="002B5A00"/>
    <w:rsid w:val="002B5B26"/>
    <w:rsid w:val="002B5B3C"/>
    <w:rsid w:val="002B5B54"/>
    <w:rsid w:val="002B5BBB"/>
    <w:rsid w:val="002B5BFC"/>
    <w:rsid w:val="002B5C0E"/>
    <w:rsid w:val="002B5C55"/>
    <w:rsid w:val="002B5C8C"/>
    <w:rsid w:val="002B5CAA"/>
    <w:rsid w:val="002B5CBC"/>
    <w:rsid w:val="002B5CDC"/>
    <w:rsid w:val="002B5CF4"/>
    <w:rsid w:val="002B5D04"/>
    <w:rsid w:val="002B5D42"/>
    <w:rsid w:val="002B5D60"/>
    <w:rsid w:val="002B5DC8"/>
    <w:rsid w:val="002B5E1E"/>
    <w:rsid w:val="002B5EBE"/>
    <w:rsid w:val="002B5EC5"/>
    <w:rsid w:val="002B5F5B"/>
    <w:rsid w:val="002B5F6B"/>
    <w:rsid w:val="002B5FEC"/>
    <w:rsid w:val="002B604C"/>
    <w:rsid w:val="002B6183"/>
    <w:rsid w:val="002B619A"/>
    <w:rsid w:val="002B61AE"/>
    <w:rsid w:val="002B62BB"/>
    <w:rsid w:val="002B643E"/>
    <w:rsid w:val="002B644F"/>
    <w:rsid w:val="002B64FA"/>
    <w:rsid w:val="002B654F"/>
    <w:rsid w:val="002B66B9"/>
    <w:rsid w:val="002B6701"/>
    <w:rsid w:val="002B6739"/>
    <w:rsid w:val="002B6774"/>
    <w:rsid w:val="002B6808"/>
    <w:rsid w:val="002B68D9"/>
    <w:rsid w:val="002B69E6"/>
    <w:rsid w:val="002B6A2B"/>
    <w:rsid w:val="002B6A53"/>
    <w:rsid w:val="002B6A7B"/>
    <w:rsid w:val="002B6AFF"/>
    <w:rsid w:val="002B6B87"/>
    <w:rsid w:val="002B6B9E"/>
    <w:rsid w:val="002B6BBB"/>
    <w:rsid w:val="002B6C95"/>
    <w:rsid w:val="002B6CA2"/>
    <w:rsid w:val="002B6DEC"/>
    <w:rsid w:val="002B7003"/>
    <w:rsid w:val="002B7020"/>
    <w:rsid w:val="002B7023"/>
    <w:rsid w:val="002B706F"/>
    <w:rsid w:val="002B70DF"/>
    <w:rsid w:val="002B7165"/>
    <w:rsid w:val="002B7166"/>
    <w:rsid w:val="002B729B"/>
    <w:rsid w:val="002B7321"/>
    <w:rsid w:val="002B7381"/>
    <w:rsid w:val="002B73AB"/>
    <w:rsid w:val="002B75DC"/>
    <w:rsid w:val="002B761D"/>
    <w:rsid w:val="002B7636"/>
    <w:rsid w:val="002B7732"/>
    <w:rsid w:val="002B77C8"/>
    <w:rsid w:val="002B782D"/>
    <w:rsid w:val="002B7835"/>
    <w:rsid w:val="002B7865"/>
    <w:rsid w:val="002B7872"/>
    <w:rsid w:val="002B788A"/>
    <w:rsid w:val="002B79E0"/>
    <w:rsid w:val="002B7A20"/>
    <w:rsid w:val="002B7A70"/>
    <w:rsid w:val="002B7A71"/>
    <w:rsid w:val="002B7ABA"/>
    <w:rsid w:val="002B7BB7"/>
    <w:rsid w:val="002B7C28"/>
    <w:rsid w:val="002B7C34"/>
    <w:rsid w:val="002B7CB4"/>
    <w:rsid w:val="002B7D79"/>
    <w:rsid w:val="002B7E8A"/>
    <w:rsid w:val="002B7EF4"/>
    <w:rsid w:val="002B7F96"/>
    <w:rsid w:val="002B7F9C"/>
    <w:rsid w:val="002B7FA2"/>
    <w:rsid w:val="002C00E4"/>
    <w:rsid w:val="002C019D"/>
    <w:rsid w:val="002C0264"/>
    <w:rsid w:val="002C02BE"/>
    <w:rsid w:val="002C03F4"/>
    <w:rsid w:val="002C04DE"/>
    <w:rsid w:val="002C058A"/>
    <w:rsid w:val="002C05D4"/>
    <w:rsid w:val="002C0620"/>
    <w:rsid w:val="002C069C"/>
    <w:rsid w:val="002C06A7"/>
    <w:rsid w:val="002C0740"/>
    <w:rsid w:val="002C07BA"/>
    <w:rsid w:val="002C0862"/>
    <w:rsid w:val="002C08CC"/>
    <w:rsid w:val="002C091E"/>
    <w:rsid w:val="002C0963"/>
    <w:rsid w:val="002C09F4"/>
    <w:rsid w:val="002C0A3F"/>
    <w:rsid w:val="002C0A6B"/>
    <w:rsid w:val="002C0BA3"/>
    <w:rsid w:val="002C0BAA"/>
    <w:rsid w:val="002C0BEE"/>
    <w:rsid w:val="002C0C21"/>
    <w:rsid w:val="002C0CA1"/>
    <w:rsid w:val="002C0CC7"/>
    <w:rsid w:val="002C0E87"/>
    <w:rsid w:val="002C0F37"/>
    <w:rsid w:val="002C0FDC"/>
    <w:rsid w:val="002C103B"/>
    <w:rsid w:val="002C106A"/>
    <w:rsid w:val="002C10E6"/>
    <w:rsid w:val="002C114F"/>
    <w:rsid w:val="002C11E9"/>
    <w:rsid w:val="002C1289"/>
    <w:rsid w:val="002C1291"/>
    <w:rsid w:val="002C12BE"/>
    <w:rsid w:val="002C12F2"/>
    <w:rsid w:val="002C137D"/>
    <w:rsid w:val="002C1416"/>
    <w:rsid w:val="002C144C"/>
    <w:rsid w:val="002C1461"/>
    <w:rsid w:val="002C1462"/>
    <w:rsid w:val="002C1494"/>
    <w:rsid w:val="002C1587"/>
    <w:rsid w:val="002C166E"/>
    <w:rsid w:val="002C16FF"/>
    <w:rsid w:val="002C1750"/>
    <w:rsid w:val="002C1865"/>
    <w:rsid w:val="002C1894"/>
    <w:rsid w:val="002C18EC"/>
    <w:rsid w:val="002C190C"/>
    <w:rsid w:val="002C1956"/>
    <w:rsid w:val="002C1A17"/>
    <w:rsid w:val="002C1B4D"/>
    <w:rsid w:val="002C1C03"/>
    <w:rsid w:val="002C1C35"/>
    <w:rsid w:val="002C1C8B"/>
    <w:rsid w:val="002C1CCD"/>
    <w:rsid w:val="002C1DE4"/>
    <w:rsid w:val="002C1E01"/>
    <w:rsid w:val="002C1EE9"/>
    <w:rsid w:val="002C1F19"/>
    <w:rsid w:val="002C211B"/>
    <w:rsid w:val="002C2191"/>
    <w:rsid w:val="002C21BD"/>
    <w:rsid w:val="002C21D5"/>
    <w:rsid w:val="002C224B"/>
    <w:rsid w:val="002C225E"/>
    <w:rsid w:val="002C22CA"/>
    <w:rsid w:val="002C2326"/>
    <w:rsid w:val="002C2368"/>
    <w:rsid w:val="002C23BF"/>
    <w:rsid w:val="002C24AE"/>
    <w:rsid w:val="002C253E"/>
    <w:rsid w:val="002C25AA"/>
    <w:rsid w:val="002C25F6"/>
    <w:rsid w:val="002C2686"/>
    <w:rsid w:val="002C273B"/>
    <w:rsid w:val="002C282C"/>
    <w:rsid w:val="002C28B3"/>
    <w:rsid w:val="002C28E8"/>
    <w:rsid w:val="002C29F5"/>
    <w:rsid w:val="002C2A68"/>
    <w:rsid w:val="002C2A81"/>
    <w:rsid w:val="002C2AA4"/>
    <w:rsid w:val="002C2B2E"/>
    <w:rsid w:val="002C2BC5"/>
    <w:rsid w:val="002C2C0C"/>
    <w:rsid w:val="002C2CCF"/>
    <w:rsid w:val="002C2CD0"/>
    <w:rsid w:val="002C2CFA"/>
    <w:rsid w:val="002C2D36"/>
    <w:rsid w:val="002C2D65"/>
    <w:rsid w:val="002C2E0B"/>
    <w:rsid w:val="002C2EFA"/>
    <w:rsid w:val="002C2F22"/>
    <w:rsid w:val="002C2F91"/>
    <w:rsid w:val="002C3109"/>
    <w:rsid w:val="002C3148"/>
    <w:rsid w:val="002C320D"/>
    <w:rsid w:val="002C3232"/>
    <w:rsid w:val="002C32E8"/>
    <w:rsid w:val="002C32EB"/>
    <w:rsid w:val="002C32ED"/>
    <w:rsid w:val="002C32F9"/>
    <w:rsid w:val="002C332A"/>
    <w:rsid w:val="002C3423"/>
    <w:rsid w:val="002C3468"/>
    <w:rsid w:val="002C34AB"/>
    <w:rsid w:val="002C34CF"/>
    <w:rsid w:val="002C356B"/>
    <w:rsid w:val="002C3611"/>
    <w:rsid w:val="002C363E"/>
    <w:rsid w:val="002C3644"/>
    <w:rsid w:val="002C36FC"/>
    <w:rsid w:val="002C3732"/>
    <w:rsid w:val="002C3733"/>
    <w:rsid w:val="002C373E"/>
    <w:rsid w:val="002C376F"/>
    <w:rsid w:val="002C3787"/>
    <w:rsid w:val="002C37FE"/>
    <w:rsid w:val="002C383A"/>
    <w:rsid w:val="002C38B6"/>
    <w:rsid w:val="002C38E7"/>
    <w:rsid w:val="002C398F"/>
    <w:rsid w:val="002C39AC"/>
    <w:rsid w:val="002C39FC"/>
    <w:rsid w:val="002C39FE"/>
    <w:rsid w:val="002C3A1D"/>
    <w:rsid w:val="002C3A48"/>
    <w:rsid w:val="002C3AA8"/>
    <w:rsid w:val="002C3BD4"/>
    <w:rsid w:val="002C3CCE"/>
    <w:rsid w:val="002C3DA4"/>
    <w:rsid w:val="002C3E05"/>
    <w:rsid w:val="002C3E31"/>
    <w:rsid w:val="002C3F2D"/>
    <w:rsid w:val="002C3F7D"/>
    <w:rsid w:val="002C4016"/>
    <w:rsid w:val="002C4052"/>
    <w:rsid w:val="002C40C3"/>
    <w:rsid w:val="002C424E"/>
    <w:rsid w:val="002C4256"/>
    <w:rsid w:val="002C4282"/>
    <w:rsid w:val="002C4363"/>
    <w:rsid w:val="002C4499"/>
    <w:rsid w:val="002C47D8"/>
    <w:rsid w:val="002C47E8"/>
    <w:rsid w:val="002C4826"/>
    <w:rsid w:val="002C489C"/>
    <w:rsid w:val="002C492B"/>
    <w:rsid w:val="002C499A"/>
    <w:rsid w:val="002C4A5D"/>
    <w:rsid w:val="002C4A5F"/>
    <w:rsid w:val="002C4C07"/>
    <w:rsid w:val="002C4CBD"/>
    <w:rsid w:val="002C4D5D"/>
    <w:rsid w:val="002C4DC2"/>
    <w:rsid w:val="002C4DE0"/>
    <w:rsid w:val="002C4E90"/>
    <w:rsid w:val="002C4E92"/>
    <w:rsid w:val="002C4EF0"/>
    <w:rsid w:val="002C502C"/>
    <w:rsid w:val="002C50E8"/>
    <w:rsid w:val="002C50EC"/>
    <w:rsid w:val="002C5101"/>
    <w:rsid w:val="002C5188"/>
    <w:rsid w:val="002C51D8"/>
    <w:rsid w:val="002C52AC"/>
    <w:rsid w:val="002C52CD"/>
    <w:rsid w:val="002C5390"/>
    <w:rsid w:val="002C53E1"/>
    <w:rsid w:val="002C54EE"/>
    <w:rsid w:val="002C55BA"/>
    <w:rsid w:val="002C55D4"/>
    <w:rsid w:val="002C55DC"/>
    <w:rsid w:val="002C563F"/>
    <w:rsid w:val="002C564D"/>
    <w:rsid w:val="002C574A"/>
    <w:rsid w:val="002C5765"/>
    <w:rsid w:val="002C57CA"/>
    <w:rsid w:val="002C5824"/>
    <w:rsid w:val="002C5832"/>
    <w:rsid w:val="002C591D"/>
    <w:rsid w:val="002C5946"/>
    <w:rsid w:val="002C5A24"/>
    <w:rsid w:val="002C5A45"/>
    <w:rsid w:val="002C5B21"/>
    <w:rsid w:val="002C5C01"/>
    <w:rsid w:val="002C5C1C"/>
    <w:rsid w:val="002C5CAA"/>
    <w:rsid w:val="002C5CB5"/>
    <w:rsid w:val="002C5E16"/>
    <w:rsid w:val="002C5E5D"/>
    <w:rsid w:val="002C5ECF"/>
    <w:rsid w:val="002C5EF2"/>
    <w:rsid w:val="002C5F2D"/>
    <w:rsid w:val="002C5F54"/>
    <w:rsid w:val="002C5F76"/>
    <w:rsid w:val="002C602A"/>
    <w:rsid w:val="002C6062"/>
    <w:rsid w:val="002C6085"/>
    <w:rsid w:val="002C60A7"/>
    <w:rsid w:val="002C60B6"/>
    <w:rsid w:val="002C60E5"/>
    <w:rsid w:val="002C60E6"/>
    <w:rsid w:val="002C61FA"/>
    <w:rsid w:val="002C62C4"/>
    <w:rsid w:val="002C62C6"/>
    <w:rsid w:val="002C62D7"/>
    <w:rsid w:val="002C62EB"/>
    <w:rsid w:val="002C62F7"/>
    <w:rsid w:val="002C630E"/>
    <w:rsid w:val="002C6358"/>
    <w:rsid w:val="002C6379"/>
    <w:rsid w:val="002C63A7"/>
    <w:rsid w:val="002C6447"/>
    <w:rsid w:val="002C64E0"/>
    <w:rsid w:val="002C6507"/>
    <w:rsid w:val="002C650C"/>
    <w:rsid w:val="002C6616"/>
    <w:rsid w:val="002C668F"/>
    <w:rsid w:val="002C66B6"/>
    <w:rsid w:val="002C6749"/>
    <w:rsid w:val="002C6860"/>
    <w:rsid w:val="002C6882"/>
    <w:rsid w:val="002C6905"/>
    <w:rsid w:val="002C6937"/>
    <w:rsid w:val="002C69B1"/>
    <w:rsid w:val="002C69E4"/>
    <w:rsid w:val="002C6A06"/>
    <w:rsid w:val="002C6A33"/>
    <w:rsid w:val="002C6A4A"/>
    <w:rsid w:val="002C6A4F"/>
    <w:rsid w:val="002C6A50"/>
    <w:rsid w:val="002C6A60"/>
    <w:rsid w:val="002C6A96"/>
    <w:rsid w:val="002C6B61"/>
    <w:rsid w:val="002C6D38"/>
    <w:rsid w:val="002C6E4E"/>
    <w:rsid w:val="002C6E70"/>
    <w:rsid w:val="002C6ED1"/>
    <w:rsid w:val="002C6F24"/>
    <w:rsid w:val="002C6FF0"/>
    <w:rsid w:val="002C702F"/>
    <w:rsid w:val="002C71AD"/>
    <w:rsid w:val="002C71C7"/>
    <w:rsid w:val="002C71F0"/>
    <w:rsid w:val="002C7222"/>
    <w:rsid w:val="002C72AE"/>
    <w:rsid w:val="002C72E9"/>
    <w:rsid w:val="002C7315"/>
    <w:rsid w:val="002C743A"/>
    <w:rsid w:val="002C7458"/>
    <w:rsid w:val="002C7491"/>
    <w:rsid w:val="002C7562"/>
    <w:rsid w:val="002C756D"/>
    <w:rsid w:val="002C76C8"/>
    <w:rsid w:val="002C7718"/>
    <w:rsid w:val="002C77B6"/>
    <w:rsid w:val="002C77CA"/>
    <w:rsid w:val="002C77D9"/>
    <w:rsid w:val="002C786B"/>
    <w:rsid w:val="002C789E"/>
    <w:rsid w:val="002C793E"/>
    <w:rsid w:val="002C79FE"/>
    <w:rsid w:val="002C7A09"/>
    <w:rsid w:val="002C7A66"/>
    <w:rsid w:val="002C7ADC"/>
    <w:rsid w:val="002C7C6D"/>
    <w:rsid w:val="002C7D3D"/>
    <w:rsid w:val="002C7D46"/>
    <w:rsid w:val="002C7E1A"/>
    <w:rsid w:val="002C7E24"/>
    <w:rsid w:val="002C7EBD"/>
    <w:rsid w:val="002C7EE2"/>
    <w:rsid w:val="002C7F10"/>
    <w:rsid w:val="002C9C57"/>
    <w:rsid w:val="002D0018"/>
    <w:rsid w:val="002D00B0"/>
    <w:rsid w:val="002D00F5"/>
    <w:rsid w:val="002D00FF"/>
    <w:rsid w:val="002D011E"/>
    <w:rsid w:val="002D0419"/>
    <w:rsid w:val="002D045D"/>
    <w:rsid w:val="002D0544"/>
    <w:rsid w:val="002D0581"/>
    <w:rsid w:val="002D05ED"/>
    <w:rsid w:val="002D06A4"/>
    <w:rsid w:val="002D06A7"/>
    <w:rsid w:val="002D06AF"/>
    <w:rsid w:val="002D070A"/>
    <w:rsid w:val="002D077D"/>
    <w:rsid w:val="002D07DC"/>
    <w:rsid w:val="002D0810"/>
    <w:rsid w:val="002D086D"/>
    <w:rsid w:val="002D08BB"/>
    <w:rsid w:val="002D0935"/>
    <w:rsid w:val="002D0A1A"/>
    <w:rsid w:val="002D0A26"/>
    <w:rsid w:val="002D0AE0"/>
    <w:rsid w:val="002D0AFE"/>
    <w:rsid w:val="002D0BC6"/>
    <w:rsid w:val="002D0BF5"/>
    <w:rsid w:val="002D0D3A"/>
    <w:rsid w:val="002D0D93"/>
    <w:rsid w:val="002D0EC8"/>
    <w:rsid w:val="002D0EC9"/>
    <w:rsid w:val="002D105C"/>
    <w:rsid w:val="002D1086"/>
    <w:rsid w:val="002D10B6"/>
    <w:rsid w:val="002D10BC"/>
    <w:rsid w:val="002D1137"/>
    <w:rsid w:val="002D1162"/>
    <w:rsid w:val="002D128E"/>
    <w:rsid w:val="002D12DE"/>
    <w:rsid w:val="002D12F4"/>
    <w:rsid w:val="002D1369"/>
    <w:rsid w:val="002D1420"/>
    <w:rsid w:val="002D1462"/>
    <w:rsid w:val="002D1532"/>
    <w:rsid w:val="002D159E"/>
    <w:rsid w:val="002D15F4"/>
    <w:rsid w:val="002D1651"/>
    <w:rsid w:val="002D1693"/>
    <w:rsid w:val="002D16AF"/>
    <w:rsid w:val="002D16BB"/>
    <w:rsid w:val="002D16CF"/>
    <w:rsid w:val="002D16EF"/>
    <w:rsid w:val="002D1826"/>
    <w:rsid w:val="002D1843"/>
    <w:rsid w:val="002D19FB"/>
    <w:rsid w:val="002D1A17"/>
    <w:rsid w:val="002D1B14"/>
    <w:rsid w:val="002D1B98"/>
    <w:rsid w:val="002D1BA7"/>
    <w:rsid w:val="002D1BDE"/>
    <w:rsid w:val="002D1BF4"/>
    <w:rsid w:val="002D1D21"/>
    <w:rsid w:val="002D1D50"/>
    <w:rsid w:val="002D1E18"/>
    <w:rsid w:val="002D1E9F"/>
    <w:rsid w:val="002D1F4C"/>
    <w:rsid w:val="002D1FF4"/>
    <w:rsid w:val="002D200D"/>
    <w:rsid w:val="002D20D7"/>
    <w:rsid w:val="002D2159"/>
    <w:rsid w:val="002D215C"/>
    <w:rsid w:val="002D21AB"/>
    <w:rsid w:val="002D21CD"/>
    <w:rsid w:val="002D220A"/>
    <w:rsid w:val="002D222C"/>
    <w:rsid w:val="002D2271"/>
    <w:rsid w:val="002D22B6"/>
    <w:rsid w:val="002D22CF"/>
    <w:rsid w:val="002D22D8"/>
    <w:rsid w:val="002D235D"/>
    <w:rsid w:val="002D2389"/>
    <w:rsid w:val="002D23CD"/>
    <w:rsid w:val="002D2443"/>
    <w:rsid w:val="002D24BC"/>
    <w:rsid w:val="002D25BC"/>
    <w:rsid w:val="002D25E9"/>
    <w:rsid w:val="002D26B2"/>
    <w:rsid w:val="002D2717"/>
    <w:rsid w:val="002D27D4"/>
    <w:rsid w:val="002D289A"/>
    <w:rsid w:val="002D29B5"/>
    <w:rsid w:val="002D29EB"/>
    <w:rsid w:val="002D2A17"/>
    <w:rsid w:val="002D2AC3"/>
    <w:rsid w:val="002D2B4E"/>
    <w:rsid w:val="002D2B6B"/>
    <w:rsid w:val="002D2B75"/>
    <w:rsid w:val="002D2CFF"/>
    <w:rsid w:val="002D2D48"/>
    <w:rsid w:val="002D2F31"/>
    <w:rsid w:val="002D2F34"/>
    <w:rsid w:val="002D2F69"/>
    <w:rsid w:val="002D2F83"/>
    <w:rsid w:val="002D2F97"/>
    <w:rsid w:val="002D2F9C"/>
    <w:rsid w:val="002D2FA3"/>
    <w:rsid w:val="002D2FA8"/>
    <w:rsid w:val="002D2FD5"/>
    <w:rsid w:val="002D3054"/>
    <w:rsid w:val="002D3064"/>
    <w:rsid w:val="002D3069"/>
    <w:rsid w:val="002D3074"/>
    <w:rsid w:val="002D3094"/>
    <w:rsid w:val="002D30AA"/>
    <w:rsid w:val="002D30E5"/>
    <w:rsid w:val="002D31AD"/>
    <w:rsid w:val="002D31EA"/>
    <w:rsid w:val="002D31FC"/>
    <w:rsid w:val="002D3289"/>
    <w:rsid w:val="002D3384"/>
    <w:rsid w:val="002D340C"/>
    <w:rsid w:val="002D3498"/>
    <w:rsid w:val="002D34E3"/>
    <w:rsid w:val="002D35D2"/>
    <w:rsid w:val="002D361D"/>
    <w:rsid w:val="002D3626"/>
    <w:rsid w:val="002D3628"/>
    <w:rsid w:val="002D369E"/>
    <w:rsid w:val="002D375F"/>
    <w:rsid w:val="002D3775"/>
    <w:rsid w:val="002D3855"/>
    <w:rsid w:val="002D3889"/>
    <w:rsid w:val="002D38AA"/>
    <w:rsid w:val="002D3924"/>
    <w:rsid w:val="002D39A9"/>
    <w:rsid w:val="002D3A5D"/>
    <w:rsid w:val="002D3A75"/>
    <w:rsid w:val="002D3B7E"/>
    <w:rsid w:val="002D3BB3"/>
    <w:rsid w:val="002D3C93"/>
    <w:rsid w:val="002D3CFD"/>
    <w:rsid w:val="002D3E02"/>
    <w:rsid w:val="002D3EC6"/>
    <w:rsid w:val="002D3F39"/>
    <w:rsid w:val="002D3F40"/>
    <w:rsid w:val="002D405B"/>
    <w:rsid w:val="002D40CA"/>
    <w:rsid w:val="002D411A"/>
    <w:rsid w:val="002D4127"/>
    <w:rsid w:val="002D422B"/>
    <w:rsid w:val="002D424F"/>
    <w:rsid w:val="002D42D3"/>
    <w:rsid w:val="002D4319"/>
    <w:rsid w:val="002D431C"/>
    <w:rsid w:val="002D43AF"/>
    <w:rsid w:val="002D444C"/>
    <w:rsid w:val="002D4461"/>
    <w:rsid w:val="002D44F0"/>
    <w:rsid w:val="002D4581"/>
    <w:rsid w:val="002D4589"/>
    <w:rsid w:val="002D45C6"/>
    <w:rsid w:val="002D4624"/>
    <w:rsid w:val="002D466B"/>
    <w:rsid w:val="002D46DE"/>
    <w:rsid w:val="002D4768"/>
    <w:rsid w:val="002D47F2"/>
    <w:rsid w:val="002D4809"/>
    <w:rsid w:val="002D4896"/>
    <w:rsid w:val="002D48E9"/>
    <w:rsid w:val="002D48FC"/>
    <w:rsid w:val="002D4973"/>
    <w:rsid w:val="002D49C2"/>
    <w:rsid w:val="002D4BBD"/>
    <w:rsid w:val="002D4D11"/>
    <w:rsid w:val="002D4D7A"/>
    <w:rsid w:val="002D4DB9"/>
    <w:rsid w:val="002D4E5C"/>
    <w:rsid w:val="002D4E76"/>
    <w:rsid w:val="002D4EA6"/>
    <w:rsid w:val="002D4EC5"/>
    <w:rsid w:val="002D4F28"/>
    <w:rsid w:val="002D4F55"/>
    <w:rsid w:val="002D4FD9"/>
    <w:rsid w:val="002D5028"/>
    <w:rsid w:val="002D50BD"/>
    <w:rsid w:val="002D5175"/>
    <w:rsid w:val="002D5231"/>
    <w:rsid w:val="002D5244"/>
    <w:rsid w:val="002D524E"/>
    <w:rsid w:val="002D526C"/>
    <w:rsid w:val="002D52D9"/>
    <w:rsid w:val="002D53B6"/>
    <w:rsid w:val="002D5429"/>
    <w:rsid w:val="002D54E0"/>
    <w:rsid w:val="002D54EB"/>
    <w:rsid w:val="002D5538"/>
    <w:rsid w:val="002D55AE"/>
    <w:rsid w:val="002D5667"/>
    <w:rsid w:val="002D570E"/>
    <w:rsid w:val="002D5790"/>
    <w:rsid w:val="002D5794"/>
    <w:rsid w:val="002D591F"/>
    <w:rsid w:val="002D5949"/>
    <w:rsid w:val="002D5998"/>
    <w:rsid w:val="002D5C74"/>
    <w:rsid w:val="002D5D2A"/>
    <w:rsid w:val="002D5D30"/>
    <w:rsid w:val="002D5D5F"/>
    <w:rsid w:val="002D5DB2"/>
    <w:rsid w:val="002D5E3A"/>
    <w:rsid w:val="002D5EB5"/>
    <w:rsid w:val="002D5F52"/>
    <w:rsid w:val="002D5F90"/>
    <w:rsid w:val="002D60E9"/>
    <w:rsid w:val="002D60FA"/>
    <w:rsid w:val="002D6107"/>
    <w:rsid w:val="002D6219"/>
    <w:rsid w:val="002D621C"/>
    <w:rsid w:val="002D625A"/>
    <w:rsid w:val="002D62BE"/>
    <w:rsid w:val="002D62E8"/>
    <w:rsid w:val="002D6484"/>
    <w:rsid w:val="002D64C2"/>
    <w:rsid w:val="002D6512"/>
    <w:rsid w:val="002D65B3"/>
    <w:rsid w:val="002D65DE"/>
    <w:rsid w:val="002D65EE"/>
    <w:rsid w:val="002D6667"/>
    <w:rsid w:val="002D669E"/>
    <w:rsid w:val="002D66EC"/>
    <w:rsid w:val="002D670B"/>
    <w:rsid w:val="002D6751"/>
    <w:rsid w:val="002D67A0"/>
    <w:rsid w:val="002D687E"/>
    <w:rsid w:val="002D6938"/>
    <w:rsid w:val="002D6988"/>
    <w:rsid w:val="002D69D0"/>
    <w:rsid w:val="002D6BC4"/>
    <w:rsid w:val="002D6BD0"/>
    <w:rsid w:val="002D6C51"/>
    <w:rsid w:val="002D6CB1"/>
    <w:rsid w:val="002D6CEC"/>
    <w:rsid w:val="002D6DF5"/>
    <w:rsid w:val="002D6E19"/>
    <w:rsid w:val="002D6E21"/>
    <w:rsid w:val="002D6E75"/>
    <w:rsid w:val="002D6FD0"/>
    <w:rsid w:val="002D6FE4"/>
    <w:rsid w:val="002D704B"/>
    <w:rsid w:val="002D70C5"/>
    <w:rsid w:val="002D7104"/>
    <w:rsid w:val="002D7114"/>
    <w:rsid w:val="002D7385"/>
    <w:rsid w:val="002D7451"/>
    <w:rsid w:val="002D755B"/>
    <w:rsid w:val="002D7578"/>
    <w:rsid w:val="002D761A"/>
    <w:rsid w:val="002D76BA"/>
    <w:rsid w:val="002D76DF"/>
    <w:rsid w:val="002D7736"/>
    <w:rsid w:val="002D7765"/>
    <w:rsid w:val="002D77C3"/>
    <w:rsid w:val="002D7817"/>
    <w:rsid w:val="002D78B5"/>
    <w:rsid w:val="002D792D"/>
    <w:rsid w:val="002D79B3"/>
    <w:rsid w:val="002D7A59"/>
    <w:rsid w:val="002D7A9F"/>
    <w:rsid w:val="002D7AC1"/>
    <w:rsid w:val="002D7AEE"/>
    <w:rsid w:val="002D7AF4"/>
    <w:rsid w:val="002D7B52"/>
    <w:rsid w:val="002D7B6B"/>
    <w:rsid w:val="002D7B9E"/>
    <w:rsid w:val="002D7C15"/>
    <w:rsid w:val="002D7D23"/>
    <w:rsid w:val="002D7D40"/>
    <w:rsid w:val="002D7D55"/>
    <w:rsid w:val="002D7DC8"/>
    <w:rsid w:val="002D7E89"/>
    <w:rsid w:val="002D7E95"/>
    <w:rsid w:val="002E000C"/>
    <w:rsid w:val="002E0018"/>
    <w:rsid w:val="002E0076"/>
    <w:rsid w:val="002E0084"/>
    <w:rsid w:val="002E0098"/>
    <w:rsid w:val="002E00A2"/>
    <w:rsid w:val="002E00E1"/>
    <w:rsid w:val="002E0185"/>
    <w:rsid w:val="002E01BC"/>
    <w:rsid w:val="002E0279"/>
    <w:rsid w:val="002E02F9"/>
    <w:rsid w:val="002E0321"/>
    <w:rsid w:val="002E0331"/>
    <w:rsid w:val="002E0404"/>
    <w:rsid w:val="002E041C"/>
    <w:rsid w:val="002E043A"/>
    <w:rsid w:val="002E0475"/>
    <w:rsid w:val="002E04EF"/>
    <w:rsid w:val="002E04FC"/>
    <w:rsid w:val="002E0507"/>
    <w:rsid w:val="002E0572"/>
    <w:rsid w:val="002E057A"/>
    <w:rsid w:val="002E060D"/>
    <w:rsid w:val="002E063B"/>
    <w:rsid w:val="002E064B"/>
    <w:rsid w:val="002E0668"/>
    <w:rsid w:val="002E06B0"/>
    <w:rsid w:val="002E06FE"/>
    <w:rsid w:val="002E07C4"/>
    <w:rsid w:val="002E0843"/>
    <w:rsid w:val="002E0917"/>
    <w:rsid w:val="002E092D"/>
    <w:rsid w:val="002E0B96"/>
    <w:rsid w:val="002E0B9D"/>
    <w:rsid w:val="002E0BB8"/>
    <w:rsid w:val="002E0C17"/>
    <w:rsid w:val="002E0D41"/>
    <w:rsid w:val="002E0E20"/>
    <w:rsid w:val="002E0E5B"/>
    <w:rsid w:val="002E0E91"/>
    <w:rsid w:val="002E0EBC"/>
    <w:rsid w:val="002E0EE7"/>
    <w:rsid w:val="002E0F19"/>
    <w:rsid w:val="002E0F54"/>
    <w:rsid w:val="002E0F9C"/>
    <w:rsid w:val="002E0FD7"/>
    <w:rsid w:val="002E10D7"/>
    <w:rsid w:val="002E10E9"/>
    <w:rsid w:val="002E112B"/>
    <w:rsid w:val="002E114B"/>
    <w:rsid w:val="002E116B"/>
    <w:rsid w:val="002E1202"/>
    <w:rsid w:val="002E1296"/>
    <w:rsid w:val="002E12C8"/>
    <w:rsid w:val="002E12CB"/>
    <w:rsid w:val="002E12ED"/>
    <w:rsid w:val="002E1321"/>
    <w:rsid w:val="002E141D"/>
    <w:rsid w:val="002E1446"/>
    <w:rsid w:val="002E1509"/>
    <w:rsid w:val="002E1580"/>
    <w:rsid w:val="002E15CA"/>
    <w:rsid w:val="002E15E2"/>
    <w:rsid w:val="002E16B6"/>
    <w:rsid w:val="002E16FB"/>
    <w:rsid w:val="002E1716"/>
    <w:rsid w:val="002E177B"/>
    <w:rsid w:val="002E17E8"/>
    <w:rsid w:val="002E181E"/>
    <w:rsid w:val="002E185D"/>
    <w:rsid w:val="002E1913"/>
    <w:rsid w:val="002E194A"/>
    <w:rsid w:val="002E1953"/>
    <w:rsid w:val="002E198A"/>
    <w:rsid w:val="002E1A01"/>
    <w:rsid w:val="002E1A3F"/>
    <w:rsid w:val="002E1B01"/>
    <w:rsid w:val="002E1B5C"/>
    <w:rsid w:val="002E1BA1"/>
    <w:rsid w:val="002E1C59"/>
    <w:rsid w:val="002E1C61"/>
    <w:rsid w:val="002E1CD2"/>
    <w:rsid w:val="002E1D18"/>
    <w:rsid w:val="002E1D28"/>
    <w:rsid w:val="002E1D8D"/>
    <w:rsid w:val="002E1DAD"/>
    <w:rsid w:val="002E1DB3"/>
    <w:rsid w:val="002E1DD8"/>
    <w:rsid w:val="002E1DFA"/>
    <w:rsid w:val="002E1DFE"/>
    <w:rsid w:val="002E1E19"/>
    <w:rsid w:val="002E1E26"/>
    <w:rsid w:val="002E1EBA"/>
    <w:rsid w:val="002E1ECE"/>
    <w:rsid w:val="002E1F89"/>
    <w:rsid w:val="002E209C"/>
    <w:rsid w:val="002E21E5"/>
    <w:rsid w:val="002E2392"/>
    <w:rsid w:val="002E23F6"/>
    <w:rsid w:val="002E24A9"/>
    <w:rsid w:val="002E2547"/>
    <w:rsid w:val="002E2569"/>
    <w:rsid w:val="002E25CB"/>
    <w:rsid w:val="002E25FA"/>
    <w:rsid w:val="002E265E"/>
    <w:rsid w:val="002E26A6"/>
    <w:rsid w:val="002E2874"/>
    <w:rsid w:val="002E291D"/>
    <w:rsid w:val="002E2978"/>
    <w:rsid w:val="002E2A16"/>
    <w:rsid w:val="002E2B4E"/>
    <w:rsid w:val="002E2C30"/>
    <w:rsid w:val="002E2C41"/>
    <w:rsid w:val="002E2CBF"/>
    <w:rsid w:val="002E2E9A"/>
    <w:rsid w:val="002E2EF9"/>
    <w:rsid w:val="002E2FEB"/>
    <w:rsid w:val="002E3051"/>
    <w:rsid w:val="002E3070"/>
    <w:rsid w:val="002E30D0"/>
    <w:rsid w:val="002E30FF"/>
    <w:rsid w:val="002E3105"/>
    <w:rsid w:val="002E312B"/>
    <w:rsid w:val="002E316D"/>
    <w:rsid w:val="002E31F0"/>
    <w:rsid w:val="002E32F3"/>
    <w:rsid w:val="002E33AA"/>
    <w:rsid w:val="002E33CB"/>
    <w:rsid w:val="002E33CC"/>
    <w:rsid w:val="002E33ED"/>
    <w:rsid w:val="002E33FF"/>
    <w:rsid w:val="002E34BC"/>
    <w:rsid w:val="002E34DD"/>
    <w:rsid w:val="002E3540"/>
    <w:rsid w:val="002E3684"/>
    <w:rsid w:val="002E36E4"/>
    <w:rsid w:val="002E3720"/>
    <w:rsid w:val="002E3724"/>
    <w:rsid w:val="002E3744"/>
    <w:rsid w:val="002E375B"/>
    <w:rsid w:val="002E375D"/>
    <w:rsid w:val="002E3796"/>
    <w:rsid w:val="002E3797"/>
    <w:rsid w:val="002E3883"/>
    <w:rsid w:val="002E3951"/>
    <w:rsid w:val="002E3995"/>
    <w:rsid w:val="002E399A"/>
    <w:rsid w:val="002E39E2"/>
    <w:rsid w:val="002E3A22"/>
    <w:rsid w:val="002E3A45"/>
    <w:rsid w:val="002E3A5B"/>
    <w:rsid w:val="002E3AA1"/>
    <w:rsid w:val="002E3ADA"/>
    <w:rsid w:val="002E3BAD"/>
    <w:rsid w:val="002E3CA6"/>
    <w:rsid w:val="002E3CCC"/>
    <w:rsid w:val="002E3D75"/>
    <w:rsid w:val="002E3DB5"/>
    <w:rsid w:val="002E3DC8"/>
    <w:rsid w:val="002E3EAB"/>
    <w:rsid w:val="002E3EC3"/>
    <w:rsid w:val="002E3FE4"/>
    <w:rsid w:val="002E3FF0"/>
    <w:rsid w:val="002E40A2"/>
    <w:rsid w:val="002E40F9"/>
    <w:rsid w:val="002E4122"/>
    <w:rsid w:val="002E413B"/>
    <w:rsid w:val="002E419F"/>
    <w:rsid w:val="002E41AE"/>
    <w:rsid w:val="002E41E0"/>
    <w:rsid w:val="002E4273"/>
    <w:rsid w:val="002E42C0"/>
    <w:rsid w:val="002E42C4"/>
    <w:rsid w:val="002E4361"/>
    <w:rsid w:val="002E4423"/>
    <w:rsid w:val="002E442C"/>
    <w:rsid w:val="002E4547"/>
    <w:rsid w:val="002E45FB"/>
    <w:rsid w:val="002E460E"/>
    <w:rsid w:val="002E46CF"/>
    <w:rsid w:val="002E46E5"/>
    <w:rsid w:val="002E4795"/>
    <w:rsid w:val="002E4850"/>
    <w:rsid w:val="002E48A1"/>
    <w:rsid w:val="002E4961"/>
    <w:rsid w:val="002E498A"/>
    <w:rsid w:val="002E49A2"/>
    <w:rsid w:val="002E4AB8"/>
    <w:rsid w:val="002E4BCC"/>
    <w:rsid w:val="002E4C44"/>
    <w:rsid w:val="002E4D0C"/>
    <w:rsid w:val="002E4D52"/>
    <w:rsid w:val="002E4DC7"/>
    <w:rsid w:val="002E4E51"/>
    <w:rsid w:val="002E4F29"/>
    <w:rsid w:val="002E4F88"/>
    <w:rsid w:val="002E4FB9"/>
    <w:rsid w:val="002E5029"/>
    <w:rsid w:val="002E5042"/>
    <w:rsid w:val="002E505E"/>
    <w:rsid w:val="002E50C9"/>
    <w:rsid w:val="002E5227"/>
    <w:rsid w:val="002E5241"/>
    <w:rsid w:val="002E5263"/>
    <w:rsid w:val="002E5281"/>
    <w:rsid w:val="002E52E9"/>
    <w:rsid w:val="002E52FF"/>
    <w:rsid w:val="002E5320"/>
    <w:rsid w:val="002E5356"/>
    <w:rsid w:val="002E53DB"/>
    <w:rsid w:val="002E5443"/>
    <w:rsid w:val="002E5537"/>
    <w:rsid w:val="002E55D7"/>
    <w:rsid w:val="002E55E8"/>
    <w:rsid w:val="002E5607"/>
    <w:rsid w:val="002E567F"/>
    <w:rsid w:val="002E5697"/>
    <w:rsid w:val="002E5698"/>
    <w:rsid w:val="002E5705"/>
    <w:rsid w:val="002E59AD"/>
    <w:rsid w:val="002E5A6E"/>
    <w:rsid w:val="002E5A88"/>
    <w:rsid w:val="002E5AEE"/>
    <w:rsid w:val="002E5CC7"/>
    <w:rsid w:val="002E5D8B"/>
    <w:rsid w:val="002E5DE8"/>
    <w:rsid w:val="002E5E52"/>
    <w:rsid w:val="002E5EE2"/>
    <w:rsid w:val="002E5F40"/>
    <w:rsid w:val="002E5FEE"/>
    <w:rsid w:val="002E6076"/>
    <w:rsid w:val="002E608E"/>
    <w:rsid w:val="002E61AE"/>
    <w:rsid w:val="002E61BE"/>
    <w:rsid w:val="002E62CF"/>
    <w:rsid w:val="002E6322"/>
    <w:rsid w:val="002E632A"/>
    <w:rsid w:val="002E6381"/>
    <w:rsid w:val="002E63A7"/>
    <w:rsid w:val="002E64B0"/>
    <w:rsid w:val="002E64BD"/>
    <w:rsid w:val="002E64DA"/>
    <w:rsid w:val="002E64E2"/>
    <w:rsid w:val="002E6566"/>
    <w:rsid w:val="002E6567"/>
    <w:rsid w:val="002E65C2"/>
    <w:rsid w:val="002E66A3"/>
    <w:rsid w:val="002E66B1"/>
    <w:rsid w:val="002E672E"/>
    <w:rsid w:val="002E67CC"/>
    <w:rsid w:val="002E684F"/>
    <w:rsid w:val="002E6889"/>
    <w:rsid w:val="002E6989"/>
    <w:rsid w:val="002E6998"/>
    <w:rsid w:val="002E69FC"/>
    <w:rsid w:val="002E6AF1"/>
    <w:rsid w:val="002E6AF7"/>
    <w:rsid w:val="002E6B3C"/>
    <w:rsid w:val="002E6B51"/>
    <w:rsid w:val="002E6CB6"/>
    <w:rsid w:val="002E6D8E"/>
    <w:rsid w:val="002E6DF0"/>
    <w:rsid w:val="002E6E28"/>
    <w:rsid w:val="002E6F6B"/>
    <w:rsid w:val="002E6FF8"/>
    <w:rsid w:val="002E700C"/>
    <w:rsid w:val="002E7086"/>
    <w:rsid w:val="002E708A"/>
    <w:rsid w:val="002E70AD"/>
    <w:rsid w:val="002E71BB"/>
    <w:rsid w:val="002E71FB"/>
    <w:rsid w:val="002E7262"/>
    <w:rsid w:val="002E72F4"/>
    <w:rsid w:val="002E73E8"/>
    <w:rsid w:val="002E73F8"/>
    <w:rsid w:val="002E743E"/>
    <w:rsid w:val="002E7496"/>
    <w:rsid w:val="002E752B"/>
    <w:rsid w:val="002E7552"/>
    <w:rsid w:val="002E7561"/>
    <w:rsid w:val="002E75AC"/>
    <w:rsid w:val="002E7629"/>
    <w:rsid w:val="002E7642"/>
    <w:rsid w:val="002E76E3"/>
    <w:rsid w:val="002E77B7"/>
    <w:rsid w:val="002E7852"/>
    <w:rsid w:val="002E7859"/>
    <w:rsid w:val="002E78EA"/>
    <w:rsid w:val="002E7994"/>
    <w:rsid w:val="002E79DC"/>
    <w:rsid w:val="002E7A7A"/>
    <w:rsid w:val="002E7AC8"/>
    <w:rsid w:val="002E7B05"/>
    <w:rsid w:val="002E7B65"/>
    <w:rsid w:val="002E7D6A"/>
    <w:rsid w:val="002E7D73"/>
    <w:rsid w:val="002E7D86"/>
    <w:rsid w:val="002E7E00"/>
    <w:rsid w:val="002E7E24"/>
    <w:rsid w:val="002E7EB0"/>
    <w:rsid w:val="002E7F9F"/>
    <w:rsid w:val="002E7FA6"/>
    <w:rsid w:val="002F00A7"/>
    <w:rsid w:val="002F025D"/>
    <w:rsid w:val="002F036F"/>
    <w:rsid w:val="002F03A4"/>
    <w:rsid w:val="002F047A"/>
    <w:rsid w:val="002F04DC"/>
    <w:rsid w:val="002F057A"/>
    <w:rsid w:val="002F0592"/>
    <w:rsid w:val="002F0677"/>
    <w:rsid w:val="002F06F4"/>
    <w:rsid w:val="002F0769"/>
    <w:rsid w:val="002F07D0"/>
    <w:rsid w:val="002F0835"/>
    <w:rsid w:val="002F0898"/>
    <w:rsid w:val="002F08FF"/>
    <w:rsid w:val="002F095D"/>
    <w:rsid w:val="002F09A1"/>
    <w:rsid w:val="002F09AA"/>
    <w:rsid w:val="002F09F8"/>
    <w:rsid w:val="002F0A1A"/>
    <w:rsid w:val="002F0A95"/>
    <w:rsid w:val="002F0AE2"/>
    <w:rsid w:val="002F0AEC"/>
    <w:rsid w:val="002F0B18"/>
    <w:rsid w:val="002F0B1B"/>
    <w:rsid w:val="002F0B6A"/>
    <w:rsid w:val="002F0CAF"/>
    <w:rsid w:val="002F0D46"/>
    <w:rsid w:val="002F0D68"/>
    <w:rsid w:val="002F0D9B"/>
    <w:rsid w:val="002F0DAF"/>
    <w:rsid w:val="002F0E19"/>
    <w:rsid w:val="002F0E40"/>
    <w:rsid w:val="002F0F76"/>
    <w:rsid w:val="002F103F"/>
    <w:rsid w:val="002F10B6"/>
    <w:rsid w:val="002F10E0"/>
    <w:rsid w:val="002F1179"/>
    <w:rsid w:val="002F1205"/>
    <w:rsid w:val="002F1227"/>
    <w:rsid w:val="002F1377"/>
    <w:rsid w:val="002F13CA"/>
    <w:rsid w:val="002F148E"/>
    <w:rsid w:val="002F14AD"/>
    <w:rsid w:val="002F1541"/>
    <w:rsid w:val="002F1657"/>
    <w:rsid w:val="002F167B"/>
    <w:rsid w:val="002F168C"/>
    <w:rsid w:val="002F16E1"/>
    <w:rsid w:val="002F16F7"/>
    <w:rsid w:val="002F1733"/>
    <w:rsid w:val="002F1758"/>
    <w:rsid w:val="002F1788"/>
    <w:rsid w:val="002F190B"/>
    <w:rsid w:val="002F191D"/>
    <w:rsid w:val="002F19A8"/>
    <w:rsid w:val="002F1ACE"/>
    <w:rsid w:val="002F1B3E"/>
    <w:rsid w:val="002F1B69"/>
    <w:rsid w:val="002F1C00"/>
    <w:rsid w:val="002F1C78"/>
    <w:rsid w:val="002F1D3D"/>
    <w:rsid w:val="002F1D65"/>
    <w:rsid w:val="002F1FB9"/>
    <w:rsid w:val="002F1FC3"/>
    <w:rsid w:val="002F2082"/>
    <w:rsid w:val="002F2151"/>
    <w:rsid w:val="002F21C6"/>
    <w:rsid w:val="002F21D1"/>
    <w:rsid w:val="002F2250"/>
    <w:rsid w:val="002F22AA"/>
    <w:rsid w:val="002F22C8"/>
    <w:rsid w:val="002F2300"/>
    <w:rsid w:val="002F236E"/>
    <w:rsid w:val="002F2395"/>
    <w:rsid w:val="002F23F6"/>
    <w:rsid w:val="002F246E"/>
    <w:rsid w:val="002F2477"/>
    <w:rsid w:val="002F24A6"/>
    <w:rsid w:val="002F256E"/>
    <w:rsid w:val="002F25F6"/>
    <w:rsid w:val="002F25FD"/>
    <w:rsid w:val="002F2608"/>
    <w:rsid w:val="002F2707"/>
    <w:rsid w:val="002F275B"/>
    <w:rsid w:val="002F277E"/>
    <w:rsid w:val="002F2787"/>
    <w:rsid w:val="002F2845"/>
    <w:rsid w:val="002F2850"/>
    <w:rsid w:val="002F28A2"/>
    <w:rsid w:val="002F28E6"/>
    <w:rsid w:val="002F2937"/>
    <w:rsid w:val="002F2962"/>
    <w:rsid w:val="002F29BF"/>
    <w:rsid w:val="002F29C6"/>
    <w:rsid w:val="002F29DB"/>
    <w:rsid w:val="002F2A9E"/>
    <w:rsid w:val="002F2B88"/>
    <w:rsid w:val="002F2C87"/>
    <w:rsid w:val="002F2D2C"/>
    <w:rsid w:val="002F2D79"/>
    <w:rsid w:val="002F2E46"/>
    <w:rsid w:val="002F2E4F"/>
    <w:rsid w:val="002F2EA1"/>
    <w:rsid w:val="002F2F09"/>
    <w:rsid w:val="002F2F2A"/>
    <w:rsid w:val="002F2F5C"/>
    <w:rsid w:val="002F2F61"/>
    <w:rsid w:val="002F2FD8"/>
    <w:rsid w:val="002F30B2"/>
    <w:rsid w:val="002F30D9"/>
    <w:rsid w:val="002F321A"/>
    <w:rsid w:val="002F3244"/>
    <w:rsid w:val="002F3250"/>
    <w:rsid w:val="002F326B"/>
    <w:rsid w:val="002F32F2"/>
    <w:rsid w:val="002F3368"/>
    <w:rsid w:val="002F3434"/>
    <w:rsid w:val="002F346A"/>
    <w:rsid w:val="002F3540"/>
    <w:rsid w:val="002F3603"/>
    <w:rsid w:val="002F36DF"/>
    <w:rsid w:val="002F3777"/>
    <w:rsid w:val="002F3820"/>
    <w:rsid w:val="002F3863"/>
    <w:rsid w:val="002F386D"/>
    <w:rsid w:val="002F3893"/>
    <w:rsid w:val="002F38D4"/>
    <w:rsid w:val="002F38F4"/>
    <w:rsid w:val="002F3A30"/>
    <w:rsid w:val="002F3A7E"/>
    <w:rsid w:val="002F3B39"/>
    <w:rsid w:val="002F3B48"/>
    <w:rsid w:val="002F3B99"/>
    <w:rsid w:val="002F3C69"/>
    <w:rsid w:val="002F3D85"/>
    <w:rsid w:val="002F3DA2"/>
    <w:rsid w:val="002F3F02"/>
    <w:rsid w:val="002F3F53"/>
    <w:rsid w:val="002F3F8E"/>
    <w:rsid w:val="002F4017"/>
    <w:rsid w:val="002F4068"/>
    <w:rsid w:val="002F4174"/>
    <w:rsid w:val="002F41B5"/>
    <w:rsid w:val="002F41DB"/>
    <w:rsid w:val="002F41EA"/>
    <w:rsid w:val="002F4212"/>
    <w:rsid w:val="002F4308"/>
    <w:rsid w:val="002F43EC"/>
    <w:rsid w:val="002F440B"/>
    <w:rsid w:val="002F444A"/>
    <w:rsid w:val="002F445D"/>
    <w:rsid w:val="002F4465"/>
    <w:rsid w:val="002F44F7"/>
    <w:rsid w:val="002F450C"/>
    <w:rsid w:val="002F45F4"/>
    <w:rsid w:val="002F465D"/>
    <w:rsid w:val="002F469B"/>
    <w:rsid w:val="002F477A"/>
    <w:rsid w:val="002F4781"/>
    <w:rsid w:val="002F478F"/>
    <w:rsid w:val="002F4799"/>
    <w:rsid w:val="002F4858"/>
    <w:rsid w:val="002F48E0"/>
    <w:rsid w:val="002F49EE"/>
    <w:rsid w:val="002F4A51"/>
    <w:rsid w:val="002F4AF0"/>
    <w:rsid w:val="002F4AF7"/>
    <w:rsid w:val="002F4B6D"/>
    <w:rsid w:val="002F4B7B"/>
    <w:rsid w:val="002F4BF5"/>
    <w:rsid w:val="002F4C37"/>
    <w:rsid w:val="002F4D17"/>
    <w:rsid w:val="002F4D55"/>
    <w:rsid w:val="002F4D6A"/>
    <w:rsid w:val="002F4D78"/>
    <w:rsid w:val="002F4E6F"/>
    <w:rsid w:val="002F4EA9"/>
    <w:rsid w:val="002F507C"/>
    <w:rsid w:val="002F5097"/>
    <w:rsid w:val="002F50CB"/>
    <w:rsid w:val="002F514D"/>
    <w:rsid w:val="002F5179"/>
    <w:rsid w:val="002F522D"/>
    <w:rsid w:val="002F53EF"/>
    <w:rsid w:val="002F5406"/>
    <w:rsid w:val="002F54D9"/>
    <w:rsid w:val="002F5622"/>
    <w:rsid w:val="002F56F3"/>
    <w:rsid w:val="002F577D"/>
    <w:rsid w:val="002F5912"/>
    <w:rsid w:val="002F592C"/>
    <w:rsid w:val="002F5934"/>
    <w:rsid w:val="002F5935"/>
    <w:rsid w:val="002F5942"/>
    <w:rsid w:val="002F5965"/>
    <w:rsid w:val="002F59E1"/>
    <w:rsid w:val="002F5D96"/>
    <w:rsid w:val="002F5D98"/>
    <w:rsid w:val="002F5E02"/>
    <w:rsid w:val="002F5E3C"/>
    <w:rsid w:val="002F5E97"/>
    <w:rsid w:val="002F5EBB"/>
    <w:rsid w:val="002F5EC7"/>
    <w:rsid w:val="002F5F5A"/>
    <w:rsid w:val="002F5F6A"/>
    <w:rsid w:val="002F6077"/>
    <w:rsid w:val="002F6103"/>
    <w:rsid w:val="002F61CD"/>
    <w:rsid w:val="002F62DA"/>
    <w:rsid w:val="002F631F"/>
    <w:rsid w:val="002F635D"/>
    <w:rsid w:val="002F636B"/>
    <w:rsid w:val="002F63E3"/>
    <w:rsid w:val="002F6451"/>
    <w:rsid w:val="002F653C"/>
    <w:rsid w:val="002F65D4"/>
    <w:rsid w:val="002F6616"/>
    <w:rsid w:val="002F6643"/>
    <w:rsid w:val="002F675C"/>
    <w:rsid w:val="002F67D2"/>
    <w:rsid w:val="002F685E"/>
    <w:rsid w:val="002F687D"/>
    <w:rsid w:val="002F68D9"/>
    <w:rsid w:val="002F6972"/>
    <w:rsid w:val="002F6A5C"/>
    <w:rsid w:val="002F6A80"/>
    <w:rsid w:val="002F6B25"/>
    <w:rsid w:val="002F6BC9"/>
    <w:rsid w:val="002F6C12"/>
    <w:rsid w:val="002F6C82"/>
    <w:rsid w:val="002F6C94"/>
    <w:rsid w:val="002F6D0D"/>
    <w:rsid w:val="002F6DD1"/>
    <w:rsid w:val="002F6DE8"/>
    <w:rsid w:val="002F6E1C"/>
    <w:rsid w:val="002F6F13"/>
    <w:rsid w:val="002F6F7C"/>
    <w:rsid w:val="002F7005"/>
    <w:rsid w:val="002F707A"/>
    <w:rsid w:val="002F708A"/>
    <w:rsid w:val="002F712F"/>
    <w:rsid w:val="002F7142"/>
    <w:rsid w:val="002F7159"/>
    <w:rsid w:val="002F71C7"/>
    <w:rsid w:val="002F724C"/>
    <w:rsid w:val="002F727C"/>
    <w:rsid w:val="002F72EE"/>
    <w:rsid w:val="002F736A"/>
    <w:rsid w:val="002F73A3"/>
    <w:rsid w:val="002F7407"/>
    <w:rsid w:val="002F7460"/>
    <w:rsid w:val="002F74AB"/>
    <w:rsid w:val="002F74FC"/>
    <w:rsid w:val="002F750C"/>
    <w:rsid w:val="002F7518"/>
    <w:rsid w:val="002F751A"/>
    <w:rsid w:val="002F7754"/>
    <w:rsid w:val="002F7837"/>
    <w:rsid w:val="002F7895"/>
    <w:rsid w:val="002F78C3"/>
    <w:rsid w:val="002F78EC"/>
    <w:rsid w:val="002F78FF"/>
    <w:rsid w:val="002F794D"/>
    <w:rsid w:val="002F797E"/>
    <w:rsid w:val="002F79C5"/>
    <w:rsid w:val="002F7A60"/>
    <w:rsid w:val="002F7B59"/>
    <w:rsid w:val="002F7B83"/>
    <w:rsid w:val="002F7BCE"/>
    <w:rsid w:val="002F7C29"/>
    <w:rsid w:val="002F7D5F"/>
    <w:rsid w:val="002F7E68"/>
    <w:rsid w:val="002F7EBE"/>
    <w:rsid w:val="002F7ED9"/>
    <w:rsid w:val="002F7EFE"/>
    <w:rsid w:val="002F7F97"/>
    <w:rsid w:val="00300068"/>
    <w:rsid w:val="003000C0"/>
    <w:rsid w:val="00300105"/>
    <w:rsid w:val="00300173"/>
    <w:rsid w:val="0030019E"/>
    <w:rsid w:val="003001EB"/>
    <w:rsid w:val="003001F0"/>
    <w:rsid w:val="00300215"/>
    <w:rsid w:val="00300247"/>
    <w:rsid w:val="00300264"/>
    <w:rsid w:val="003002C6"/>
    <w:rsid w:val="003003D3"/>
    <w:rsid w:val="00300402"/>
    <w:rsid w:val="00300447"/>
    <w:rsid w:val="003004A7"/>
    <w:rsid w:val="00300548"/>
    <w:rsid w:val="003006CC"/>
    <w:rsid w:val="003006D5"/>
    <w:rsid w:val="003006E4"/>
    <w:rsid w:val="003007DE"/>
    <w:rsid w:val="003007E3"/>
    <w:rsid w:val="003008F0"/>
    <w:rsid w:val="00300943"/>
    <w:rsid w:val="003009A2"/>
    <w:rsid w:val="003009BD"/>
    <w:rsid w:val="003009DC"/>
    <w:rsid w:val="00300A0A"/>
    <w:rsid w:val="00300AA6"/>
    <w:rsid w:val="00300AC4"/>
    <w:rsid w:val="00300B11"/>
    <w:rsid w:val="00300B41"/>
    <w:rsid w:val="00300C1E"/>
    <w:rsid w:val="00300D37"/>
    <w:rsid w:val="00300D68"/>
    <w:rsid w:val="00300D6B"/>
    <w:rsid w:val="00300D8F"/>
    <w:rsid w:val="00300DA3"/>
    <w:rsid w:val="00300E2A"/>
    <w:rsid w:val="00300E9F"/>
    <w:rsid w:val="00300FA2"/>
    <w:rsid w:val="00300FB0"/>
    <w:rsid w:val="003012A9"/>
    <w:rsid w:val="003013CC"/>
    <w:rsid w:val="00301417"/>
    <w:rsid w:val="00301472"/>
    <w:rsid w:val="003014E8"/>
    <w:rsid w:val="00301543"/>
    <w:rsid w:val="003015FF"/>
    <w:rsid w:val="003016A8"/>
    <w:rsid w:val="003016E5"/>
    <w:rsid w:val="003016F7"/>
    <w:rsid w:val="00301731"/>
    <w:rsid w:val="00301821"/>
    <w:rsid w:val="003018B3"/>
    <w:rsid w:val="00301973"/>
    <w:rsid w:val="00301975"/>
    <w:rsid w:val="003019C8"/>
    <w:rsid w:val="003019DD"/>
    <w:rsid w:val="00301AA2"/>
    <w:rsid w:val="00301B27"/>
    <w:rsid w:val="00301B8A"/>
    <w:rsid w:val="00301BCB"/>
    <w:rsid w:val="00301C72"/>
    <w:rsid w:val="00301CB1"/>
    <w:rsid w:val="00301CE3"/>
    <w:rsid w:val="00301D36"/>
    <w:rsid w:val="00301D6B"/>
    <w:rsid w:val="00301DCA"/>
    <w:rsid w:val="00301EAA"/>
    <w:rsid w:val="00301F1D"/>
    <w:rsid w:val="00301F3C"/>
    <w:rsid w:val="00301F80"/>
    <w:rsid w:val="00301FB5"/>
    <w:rsid w:val="003020AC"/>
    <w:rsid w:val="003020D9"/>
    <w:rsid w:val="003020F5"/>
    <w:rsid w:val="0030215B"/>
    <w:rsid w:val="00302252"/>
    <w:rsid w:val="00302268"/>
    <w:rsid w:val="00302314"/>
    <w:rsid w:val="0030239E"/>
    <w:rsid w:val="00302435"/>
    <w:rsid w:val="00302450"/>
    <w:rsid w:val="003024AA"/>
    <w:rsid w:val="003024D1"/>
    <w:rsid w:val="003024F2"/>
    <w:rsid w:val="0030253B"/>
    <w:rsid w:val="0030257C"/>
    <w:rsid w:val="00302715"/>
    <w:rsid w:val="00302731"/>
    <w:rsid w:val="003027AE"/>
    <w:rsid w:val="003027C0"/>
    <w:rsid w:val="003027CF"/>
    <w:rsid w:val="00302889"/>
    <w:rsid w:val="003028E9"/>
    <w:rsid w:val="003029CE"/>
    <w:rsid w:val="003029FA"/>
    <w:rsid w:val="00302AE8"/>
    <w:rsid w:val="00302B81"/>
    <w:rsid w:val="00302BFD"/>
    <w:rsid w:val="00302C70"/>
    <w:rsid w:val="00302CEC"/>
    <w:rsid w:val="00302E7D"/>
    <w:rsid w:val="00302E9B"/>
    <w:rsid w:val="00302EAA"/>
    <w:rsid w:val="00302F79"/>
    <w:rsid w:val="00302F87"/>
    <w:rsid w:val="0030301A"/>
    <w:rsid w:val="0030304E"/>
    <w:rsid w:val="003031CF"/>
    <w:rsid w:val="003031FB"/>
    <w:rsid w:val="00303378"/>
    <w:rsid w:val="00303379"/>
    <w:rsid w:val="003033FF"/>
    <w:rsid w:val="00303411"/>
    <w:rsid w:val="00303455"/>
    <w:rsid w:val="0030348D"/>
    <w:rsid w:val="003034AE"/>
    <w:rsid w:val="003034B0"/>
    <w:rsid w:val="003034BC"/>
    <w:rsid w:val="0030351A"/>
    <w:rsid w:val="00303558"/>
    <w:rsid w:val="00303643"/>
    <w:rsid w:val="00303668"/>
    <w:rsid w:val="0030368C"/>
    <w:rsid w:val="003036EA"/>
    <w:rsid w:val="003037D2"/>
    <w:rsid w:val="003038A3"/>
    <w:rsid w:val="003038B1"/>
    <w:rsid w:val="00303914"/>
    <w:rsid w:val="00303968"/>
    <w:rsid w:val="003039B5"/>
    <w:rsid w:val="00303A33"/>
    <w:rsid w:val="00303A72"/>
    <w:rsid w:val="00303ACF"/>
    <w:rsid w:val="00303B60"/>
    <w:rsid w:val="00303C98"/>
    <w:rsid w:val="00303CBC"/>
    <w:rsid w:val="00303CF4"/>
    <w:rsid w:val="00303D62"/>
    <w:rsid w:val="00303E0E"/>
    <w:rsid w:val="00303EC1"/>
    <w:rsid w:val="00304068"/>
    <w:rsid w:val="003040B9"/>
    <w:rsid w:val="003040C4"/>
    <w:rsid w:val="003040D9"/>
    <w:rsid w:val="0030426A"/>
    <w:rsid w:val="003042B1"/>
    <w:rsid w:val="003042B5"/>
    <w:rsid w:val="00304338"/>
    <w:rsid w:val="003043BB"/>
    <w:rsid w:val="00304412"/>
    <w:rsid w:val="003044AE"/>
    <w:rsid w:val="003045C7"/>
    <w:rsid w:val="003046D4"/>
    <w:rsid w:val="0030473F"/>
    <w:rsid w:val="00304873"/>
    <w:rsid w:val="0030493D"/>
    <w:rsid w:val="0030495E"/>
    <w:rsid w:val="00304A42"/>
    <w:rsid w:val="00304AFF"/>
    <w:rsid w:val="00304BAC"/>
    <w:rsid w:val="00304C55"/>
    <w:rsid w:val="00304DC0"/>
    <w:rsid w:val="00304E71"/>
    <w:rsid w:val="00304EDD"/>
    <w:rsid w:val="00304EE3"/>
    <w:rsid w:val="00304EEA"/>
    <w:rsid w:val="00304F59"/>
    <w:rsid w:val="00305090"/>
    <w:rsid w:val="003050FC"/>
    <w:rsid w:val="0030512F"/>
    <w:rsid w:val="00305156"/>
    <w:rsid w:val="00305187"/>
    <w:rsid w:val="003051A2"/>
    <w:rsid w:val="00305220"/>
    <w:rsid w:val="003052F5"/>
    <w:rsid w:val="003053D7"/>
    <w:rsid w:val="00305412"/>
    <w:rsid w:val="0030545F"/>
    <w:rsid w:val="003054A8"/>
    <w:rsid w:val="003054AB"/>
    <w:rsid w:val="00305526"/>
    <w:rsid w:val="003055F7"/>
    <w:rsid w:val="00305620"/>
    <w:rsid w:val="0030565C"/>
    <w:rsid w:val="003056B3"/>
    <w:rsid w:val="00305757"/>
    <w:rsid w:val="00305771"/>
    <w:rsid w:val="0030580C"/>
    <w:rsid w:val="0030580E"/>
    <w:rsid w:val="0030583D"/>
    <w:rsid w:val="00305885"/>
    <w:rsid w:val="00305947"/>
    <w:rsid w:val="00305A5F"/>
    <w:rsid w:val="00305A92"/>
    <w:rsid w:val="00305A98"/>
    <w:rsid w:val="00305B10"/>
    <w:rsid w:val="00305B1B"/>
    <w:rsid w:val="00305B1E"/>
    <w:rsid w:val="00305B49"/>
    <w:rsid w:val="00305B77"/>
    <w:rsid w:val="00305BF6"/>
    <w:rsid w:val="00305C61"/>
    <w:rsid w:val="00305D1F"/>
    <w:rsid w:val="00305D47"/>
    <w:rsid w:val="00305E00"/>
    <w:rsid w:val="00305E2C"/>
    <w:rsid w:val="00305ECA"/>
    <w:rsid w:val="00305ED8"/>
    <w:rsid w:val="00305F2C"/>
    <w:rsid w:val="00305FBD"/>
    <w:rsid w:val="0030603E"/>
    <w:rsid w:val="003060E8"/>
    <w:rsid w:val="00306304"/>
    <w:rsid w:val="00306360"/>
    <w:rsid w:val="00306369"/>
    <w:rsid w:val="003063EB"/>
    <w:rsid w:val="0030641C"/>
    <w:rsid w:val="0030645F"/>
    <w:rsid w:val="0030647C"/>
    <w:rsid w:val="0030647F"/>
    <w:rsid w:val="00306496"/>
    <w:rsid w:val="003064F5"/>
    <w:rsid w:val="003065B6"/>
    <w:rsid w:val="003065F0"/>
    <w:rsid w:val="0030662C"/>
    <w:rsid w:val="0030677A"/>
    <w:rsid w:val="003067CA"/>
    <w:rsid w:val="003068EF"/>
    <w:rsid w:val="0030690C"/>
    <w:rsid w:val="00306958"/>
    <w:rsid w:val="00306959"/>
    <w:rsid w:val="0030699A"/>
    <w:rsid w:val="003069BA"/>
    <w:rsid w:val="00306A0F"/>
    <w:rsid w:val="00306ADE"/>
    <w:rsid w:val="00306BF6"/>
    <w:rsid w:val="00306C16"/>
    <w:rsid w:val="00306CE2"/>
    <w:rsid w:val="00306D62"/>
    <w:rsid w:val="003070AB"/>
    <w:rsid w:val="003071A7"/>
    <w:rsid w:val="003071AF"/>
    <w:rsid w:val="0030723D"/>
    <w:rsid w:val="00307270"/>
    <w:rsid w:val="00307298"/>
    <w:rsid w:val="0030744C"/>
    <w:rsid w:val="003074C3"/>
    <w:rsid w:val="003076D9"/>
    <w:rsid w:val="003077F4"/>
    <w:rsid w:val="003077F9"/>
    <w:rsid w:val="0030784B"/>
    <w:rsid w:val="003078DE"/>
    <w:rsid w:val="003079EC"/>
    <w:rsid w:val="00307AEF"/>
    <w:rsid w:val="00307B00"/>
    <w:rsid w:val="00307BA7"/>
    <w:rsid w:val="00307C0D"/>
    <w:rsid w:val="00307C5E"/>
    <w:rsid w:val="00307C6A"/>
    <w:rsid w:val="00307D8F"/>
    <w:rsid w:val="00307DE9"/>
    <w:rsid w:val="00307DF7"/>
    <w:rsid w:val="00307E29"/>
    <w:rsid w:val="00307E3C"/>
    <w:rsid w:val="00307FDB"/>
    <w:rsid w:val="00307FE1"/>
    <w:rsid w:val="00307FE5"/>
    <w:rsid w:val="0031000B"/>
    <w:rsid w:val="0031005E"/>
    <w:rsid w:val="003100A8"/>
    <w:rsid w:val="00310156"/>
    <w:rsid w:val="0031016C"/>
    <w:rsid w:val="003101A8"/>
    <w:rsid w:val="0031025A"/>
    <w:rsid w:val="003102B5"/>
    <w:rsid w:val="003102C9"/>
    <w:rsid w:val="00310354"/>
    <w:rsid w:val="0031040F"/>
    <w:rsid w:val="0031043A"/>
    <w:rsid w:val="0031052B"/>
    <w:rsid w:val="00310533"/>
    <w:rsid w:val="00310595"/>
    <w:rsid w:val="003105ED"/>
    <w:rsid w:val="00310627"/>
    <w:rsid w:val="0031066D"/>
    <w:rsid w:val="0031067F"/>
    <w:rsid w:val="0031070D"/>
    <w:rsid w:val="0031071B"/>
    <w:rsid w:val="0031075C"/>
    <w:rsid w:val="0031079A"/>
    <w:rsid w:val="003107E3"/>
    <w:rsid w:val="00310807"/>
    <w:rsid w:val="0031080E"/>
    <w:rsid w:val="0031089A"/>
    <w:rsid w:val="003109AA"/>
    <w:rsid w:val="00310B14"/>
    <w:rsid w:val="00310B7B"/>
    <w:rsid w:val="00310B7C"/>
    <w:rsid w:val="00310C45"/>
    <w:rsid w:val="00310C78"/>
    <w:rsid w:val="00310C88"/>
    <w:rsid w:val="00310CA7"/>
    <w:rsid w:val="00310CB0"/>
    <w:rsid w:val="00310CEE"/>
    <w:rsid w:val="00310D64"/>
    <w:rsid w:val="00310DB2"/>
    <w:rsid w:val="00310DB8"/>
    <w:rsid w:val="00310F54"/>
    <w:rsid w:val="00310FFA"/>
    <w:rsid w:val="00311021"/>
    <w:rsid w:val="00311049"/>
    <w:rsid w:val="003110A8"/>
    <w:rsid w:val="003110A9"/>
    <w:rsid w:val="003110E3"/>
    <w:rsid w:val="00311228"/>
    <w:rsid w:val="0031122F"/>
    <w:rsid w:val="003112FB"/>
    <w:rsid w:val="00311344"/>
    <w:rsid w:val="0031138E"/>
    <w:rsid w:val="003113A6"/>
    <w:rsid w:val="00311546"/>
    <w:rsid w:val="00311582"/>
    <w:rsid w:val="0031159A"/>
    <w:rsid w:val="003115A3"/>
    <w:rsid w:val="00311727"/>
    <w:rsid w:val="003117BD"/>
    <w:rsid w:val="003117C7"/>
    <w:rsid w:val="003117E8"/>
    <w:rsid w:val="003118EC"/>
    <w:rsid w:val="00311926"/>
    <w:rsid w:val="003119C4"/>
    <w:rsid w:val="00311A42"/>
    <w:rsid w:val="00311A4D"/>
    <w:rsid w:val="00311A56"/>
    <w:rsid w:val="00311AF2"/>
    <w:rsid w:val="00311C01"/>
    <w:rsid w:val="00311D3E"/>
    <w:rsid w:val="00311D42"/>
    <w:rsid w:val="00311D61"/>
    <w:rsid w:val="00311D7D"/>
    <w:rsid w:val="00311D83"/>
    <w:rsid w:val="00311DD8"/>
    <w:rsid w:val="00311DF8"/>
    <w:rsid w:val="00311E4D"/>
    <w:rsid w:val="00311F7B"/>
    <w:rsid w:val="0031209C"/>
    <w:rsid w:val="003120D9"/>
    <w:rsid w:val="00312159"/>
    <w:rsid w:val="003122EE"/>
    <w:rsid w:val="003124EB"/>
    <w:rsid w:val="00312577"/>
    <w:rsid w:val="0031258C"/>
    <w:rsid w:val="003125F7"/>
    <w:rsid w:val="003125FA"/>
    <w:rsid w:val="00312618"/>
    <w:rsid w:val="003126B3"/>
    <w:rsid w:val="0031270E"/>
    <w:rsid w:val="00312917"/>
    <w:rsid w:val="00312A50"/>
    <w:rsid w:val="00312A53"/>
    <w:rsid w:val="00312A9D"/>
    <w:rsid w:val="00312B6D"/>
    <w:rsid w:val="00312B73"/>
    <w:rsid w:val="00312BA1"/>
    <w:rsid w:val="00312BB9"/>
    <w:rsid w:val="00312CA9"/>
    <w:rsid w:val="00312EAA"/>
    <w:rsid w:val="00312EE4"/>
    <w:rsid w:val="00312F02"/>
    <w:rsid w:val="0031307A"/>
    <w:rsid w:val="0031308B"/>
    <w:rsid w:val="00313153"/>
    <w:rsid w:val="0031322F"/>
    <w:rsid w:val="0031328A"/>
    <w:rsid w:val="0031333B"/>
    <w:rsid w:val="0031336F"/>
    <w:rsid w:val="00313388"/>
    <w:rsid w:val="003133FF"/>
    <w:rsid w:val="0031340F"/>
    <w:rsid w:val="0031344C"/>
    <w:rsid w:val="0031347C"/>
    <w:rsid w:val="0031352D"/>
    <w:rsid w:val="0031364D"/>
    <w:rsid w:val="003136F6"/>
    <w:rsid w:val="0031373A"/>
    <w:rsid w:val="00313783"/>
    <w:rsid w:val="003137B3"/>
    <w:rsid w:val="00313841"/>
    <w:rsid w:val="00313883"/>
    <w:rsid w:val="003138B8"/>
    <w:rsid w:val="003138E1"/>
    <w:rsid w:val="00313903"/>
    <w:rsid w:val="00313925"/>
    <w:rsid w:val="00313938"/>
    <w:rsid w:val="0031398B"/>
    <w:rsid w:val="00313A2E"/>
    <w:rsid w:val="00313A3E"/>
    <w:rsid w:val="00313B45"/>
    <w:rsid w:val="00313C30"/>
    <w:rsid w:val="00313D08"/>
    <w:rsid w:val="00313D25"/>
    <w:rsid w:val="00313E2F"/>
    <w:rsid w:val="00313E37"/>
    <w:rsid w:val="00313E4E"/>
    <w:rsid w:val="00313E7D"/>
    <w:rsid w:val="00313ED8"/>
    <w:rsid w:val="00313F13"/>
    <w:rsid w:val="00313FE4"/>
    <w:rsid w:val="00314065"/>
    <w:rsid w:val="003140C1"/>
    <w:rsid w:val="003140EE"/>
    <w:rsid w:val="00314129"/>
    <w:rsid w:val="00314142"/>
    <w:rsid w:val="00314179"/>
    <w:rsid w:val="003141F0"/>
    <w:rsid w:val="003141F1"/>
    <w:rsid w:val="0031420A"/>
    <w:rsid w:val="003142A3"/>
    <w:rsid w:val="0031437C"/>
    <w:rsid w:val="0031444F"/>
    <w:rsid w:val="00314668"/>
    <w:rsid w:val="00314714"/>
    <w:rsid w:val="00314776"/>
    <w:rsid w:val="003147B2"/>
    <w:rsid w:val="003147B6"/>
    <w:rsid w:val="003147C8"/>
    <w:rsid w:val="00314839"/>
    <w:rsid w:val="0031483B"/>
    <w:rsid w:val="0031499B"/>
    <w:rsid w:val="00314A45"/>
    <w:rsid w:val="00314AA8"/>
    <w:rsid w:val="00314AE7"/>
    <w:rsid w:val="00314AEB"/>
    <w:rsid w:val="00314B6A"/>
    <w:rsid w:val="00314B7C"/>
    <w:rsid w:val="00314BC5"/>
    <w:rsid w:val="00314C70"/>
    <w:rsid w:val="00314C93"/>
    <w:rsid w:val="00314CC0"/>
    <w:rsid w:val="00314D55"/>
    <w:rsid w:val="00314DB3"/>
    <w:rsid w:val="00314E8C"/>
    <w:rsid w:val="00314EE5"/>
    <w:rsid w:val="00314F2C"/>
    <w:rsid w:val="00314F39"/>
    <w:rsid w:val="00314F96"/>
    <w:rsid w:val="00314FE2"/>
    <w:rsid w:val="00315013"/>
    <w:rsid w:val="003150F3"/>
    <w:rsid w:val="00315100"/>
    <w:rsid w:val="00315133"/>
    <w:rsid w:val="00315215"/>
    <w:rsid w:val="00315230"/>
    <w:rsid w:val="00315258"/>
    <w:rsid w:val="003152A3"/>
    <w:rsid w:val="0031535C"/>
    <w:rsid w:val="0031535F"/>
    <w:rsid w:val="00315372"/>
    <w:rsid w:val="003153DD"/>
    <w:rsid w:val="003153F5"/>
    <w:rsid w:val="0031545C"/>
    <w:rsid w:val="0031548F"/>
    <w:rsid w:val="00315566"/>
    <w:rsid w:val="0031563E"/>
    <w:rsid w:val="003156AA"/>
    <w:rsid w:val="00315738"/>
    <w:rsid w:val="00315750"/>
    <w:rsid w:val="00315784"/>
    <w:rsid w:val="003157A7"/>
    <w:rsid w:val="003157ED"/>
    <w:rsid w:val="0031583D"/>
    <w:rsid w:val="0031585F"/>
    <w:rsid w:val="00315959"/>
    <w:rsid w:val="00315963"/>
    <w:rsid w:val="0031597A"/>
    <w:rsid w:val="00315A0D"/>
    <w:rsid w:val="00315A28"/>
    <w:rsid w:val="00315A87"/>
    <w:rsid w:val="00315AB2"/>
    <w:rsid w:val="00315ABD"/>
    <w:rsid w:val="00315ACA"/>
    <w:rsid w:val="00315AD9"/>
    <w:rsid w:val="00315AFD"/>
    <w:rsid w:val="00315BAD"/>
    <w:rsid w:val="00315C1C"/>
    <w:rsid w:val="00315D35"/>
    <w:rsid w:val="00315D8D"/>
    <w:rsid w:val="00315DBD"/>
    <w:rsid w:val="00315F53"/>
    <w:rsid w:val="00315FD4"/>
    <w:rsid w:val="00316032"/>
    <w:rsid w:val="003160CB"/>
    <w:rsid w:val="003161AC"/>
    <w:rsid w:val="00316278"/>
    <w:rsid w:val="003162E1"/>
    <w:rsid w:val="003162EB"/>
    <w:rsid w:val="00316312"/>
    <w:rsid w:val="0031634D"/>
    <w:rsid w:val="003163F2"/>
    <w:rsid w:val="003163F3"/>
    <w:rsid w:val="0031644A"/>
    <w:rsid w:val="003164A5"/>
    <w:rsid w:val="0031651C"/>
    <w:rsid w:val="00316533"/>
    <w:rsid w:val="00316549"/>
    <w:rsid w:val="0031654F"/>
    <w:rsid w:val="003165FB"/>
    <w:rsid w:val="003167F1"/>
    <w:rsid w:val="00316817"/>
    <w:rsid w:val="003168FB"/>
    <w:rsid w:val="0031694A"/>
    <w:rsid w:val="00316952"/>
    <w:rsid w:val="00316A91"/>
    <w:rsid w:val="00316B0F"/>
    <w:rsid w:val="00316BA3"/>
    <w:rsid w:val="00316BC6"/>
    <w:rsid w:val="00316BE5"/>
    <w:rsid w:val="00316C30"/>
    <w:rsid w:val="00316C3B"/>
    <w:rsid w:val="00316CA3"/>
    <w:rsid w:val="00316CDC"/>
    <w:rsid w:val="00316DF7"/>
    <w:rsid w:val="00316E23"/>
    <w:rsid w:val="00316EA0"/>
    <w:rsid w:val="00316FF2"/>
    <w:rsid w:val="00317064"/>
    <w:rsid w:val="0031709C"/>
    <w:rsid w:val="003170BC"/>
    <w:rsid w:val="00317168"/>
    <w:rsid w:val="003171F2"/>
    <w:rsid w:val="00317318"/>
    <w:rsid w:val="003173A4"/>
    <w:rsid w:val="003173B6"/>
    <w:rsid w:val="00317415"/>
    <w:rsid w:val="0031747E"/>
    <w:rsid w:val="0031751A"/>
    <w:rsid w:val="0031756F"/>
    <w:rsid w:val="003177EC"/>
    <w:rsid w:val="0031783E"/>
    <w:rsid w:val="0031785E"/>
    <w:rsid w:val="003178AF"/>
    <w:rsid w:val="00317951"/>
    <w:rsid w:val="0031797F"/>
    <w:rsid w:val="0031799B"/>
    <w:rsid w:val="00317AA4"/>
    <w:rsid w:val="00317AB1"/>
    <w:rsid w:val="00317AEE"/>
    <w:rsid w:val="00317B6B"/>
    <w:rsid w:val="00317B93"/>
    <w:rsid w:val="00317BB3"/>
    <w:rsid w:val="00317C2D"/>
    <w:rsid w:val="00317C3D"/>
    <w:rsid w:val="00317CDA"/>
    <w:rsid w:val="00317CEB"/>
    <w:rsid w:val="00317D2C"/>
    <w:rsid w:val="00317DB5"/>
    <w:rsid w:val="00317DDA"/>
    <w:rsid w:val="00317F0C"/>
    <w:rsid w:val="00317F3C"/>
    <w:rsid w:val="00317F3D"/>
    <w:rsid w:val="00320086"/>
    <w:rsid w:val="003200CA"/>
    <w:rsid w:val="003200E3"/>
    <w:rsid w:val="00320151"/>
    <w:rsid w:val="00320262"/>
    <w:rsid w:val="00320278"/>
    <w:rsid w:val="003202C6"/>
    <w:rsid w:val="00320300"/>
    <w:rsid w:val="0032030E"/>
    <w:rsid w:val="00320354"/>
    <w:rsid w:val="0032035B"/>
    <w:rsid w:val="0032036C"/>
    <w:rsid w:val="0032037B"/>
    <w:rsid w:val="003203C3"/>
    <w:rsid w:val="003203FD"/>
    <w:rsid w:val="0032045F"/>
    <w:rsid w:val="0032063C"/>
    <w:rsid w:val="00320647"/>
    <w:rsid w:val="00320684"/>
    <w:rsid w:val="0032078D"/>
    <w:rsid w:val="0032079A"/>
    <w:rsid w:val="003208C3"/>
    <w:rsid w:val="003208D4"/>
    <w:rsid w:val="003208DD"/>
    <w:rsid w:val="00320985"/>
    <w:rsid w:val="003209FE"/>
    <w:rsid w:val="00320A60"/>
    <w:rsid w:val="00320A7E"/>
    <w:rsid w:val="00320BAD"/>
    <w:rsid w:val="00320C1A"/>
    <w:rsid w:val="00320C75"/>
    <w:rsid w:val="00320CB5"/>
    <w:rsid w:val="00320D09"/>
    <w:rsid w:val="00320DA4"/>
    <w:rsid w:val="00320E09"/>
    <w:rsid w:val="00320E27"/>
    <w:rsid w:val="00320E53"/>
    <w:rsid w:val="00320F73"/>
    <w:rsid w:val="00320FB6"/>
    <w:rsid w:val="0032108C"/>
    <w:rsid w:val="00321107"/>
    <w:rsid w:val="00321164"/>
    <w:rsid w:val="0032120A"/>
    <w:rsid w:val="00321252"/>
    <w:rsid w:val="003212D1"/>
    <w:rsid w:val="00321369"/>
    <w:rsid w:val="00321384"/>
    <w:rsid w:val="003213B6"/>
    <w:rsid w:val="003213D6"/>
    <w:rsid w:val="0032148D"/>
    <w:rsid w:val="003214B0"/>
    <w:rsid w:val="00321573"/>
    <w:rsid w:val="003215FC"/>
    <w:rsid w:val="00321614"/>
    <w:rsid w:val="00321731"/>
    <w:rsid w:val="003217C4"/>
    <w:rsid w:val="0032198F"/>
    <w:rsid w:val="003219C5"/>
    <w:rsid w:val="003219CD"/>
    <w:rsid w:val="00321AEA"/>
    <w:rsid w:val="00321AF2"/>
    <w:rsid w:val="00321B18"/>
    <w:rsid w:val="00321BC1"/>
    <w:rsid w:val="00321BC6"/>
    <w:rsid w:val="00321BE3"/>
    <w:rsid w:val="00321C38"/>
    <w:rsid w:val="00321C7E"/>
    <w:rsid w:val="00321C9F"/>
    <w:rsid w:val="00321D48"/>
    <w:rsid w:val="00321E1A"/>
    <w:rsid w:val="00321E5D"/>
    <w:rsid w:val="00321EC3"/>
    <w:rsid w:val="00321F90"/>
    <w:rsid w:val="00321F94"/>
    <w:rsid w:val="00322080"/>
    <w:rsid w:val="003220D6"/>
    <w:rsid w:val="0032215C"/>
    <w:rsid w:val="00322176"/>
    <w:rsid w:val="003221C7"/>
    <w:rsid w:val="00322262"/>
    <w:rsid w:val="00322264"/>
    <w:rsid w:val="00322374"/>
    <w:rsid w:val="00322375"/>
    <w:rsid w:val="0032238D"/>
    <w:rsid w:val="0032240A"/>
    <w:rsid w:val="003224BE"/>
    <w:rsid w:val="003224C3"/>
    <w:rsid w:val="003224CA"/>
    <w:rsid w:val="0032268D"/>
    <w:rsid w:val="0032268F"/>
    <w:rsid w:val="003226F1"/>
    <w:rsid w:val="00322729"/>
    <w:rsid w:val="003227A0"/>
    <w:rsid w:val="003227AA"/>
    <w:rsid w:val="003227E7"/>
    <w:rsid w:val="003227F2"/>
    <w:rsid w:val="003227F6"/>
    <w:rsid w:val="003228AE"/>
    <w:rsid w:val="003228DB"/>
    <w:rsid w:val="003228DF"/>
    <w:rsid w:val="00322903"/>
    <w:rsid w:val="0032296F"/>
    <w:rsid w:val="003229AA"/>
    <w:rsid w:val="00322AD2"/>
    <w:rsid w:val="00322AEA"/>
    <w:rsid w:val="00322BF4"/>
    <w:rsid w:val="00322BF9"/>
    <w:rsid w:val="00322C1C"/>
    <w:rsid w:val="00322C4D"/>
    <w:rsid w:val="00322C71"/>
    <w:rsid w:val="00322D05"/>
    <w:rsid w:val="00322D42"/>
    <w:rsid w:val="00322D70"/>
    <w:rsid w:val="00322D7D"/>
    <w:rsid w:val="00322D98"/>
    <w:rsid w:val="00322E53"/>
    <w:rsid w:val="00322E5A"/>
    <w:rsid w:val="00322EBE"/>
    <w:rsid w:val="00322FD1"/>
    <w:rsid w:val="003230BD"/>
    <w:rsid w:val="003231EA"/>
    <w:rsid w:val="003231EF"/>
    <w:rsid w:val="003231F2"/>
    <w:rsid w:val="00323340"/>
    <w:rsid w:val="00323350"/>
    <w:rsid w:val="00323380"/>
    <w:rsid w:val="00323427"/>
    <w:rsid w:val="0032342B"/>
    <w:rsid w:val="0032360D"/>
    <w:rsid w:val="0032367B"/>
    <w:rsid w:val="00323748"/>
    <w:rsid w:val="00323903"/>
    <w:rsid w:val="0032394C"/>
    <w:rsid w:val="0032399C"/>
    <w:rsid w:val="003239AF"/>
    <w:rsid w:val="00323A62"/>
    <w:rsid w:val="00323AB9"/>
    <w:rsid w:val="00323ABA"/>
    <w:rsid w:val="00323B16"/>
    <w:rsid w:val="00323B89"/>
    <w:rsid w:val="00323BB7"/>
    <w:rsid w:val="00323BF2"/>
    <w:rsid w:val="00323BFF"/>
    <w:rsid w:val="00323CE5"/>
    <w:rsid w:val="00323D16"/>
    <w:rsid w:val="00323E91"/>
    <w:rsid w:val="00323F6E"/>
    <w:rsid w:val="00324024"/>
    <w:rsid w:val="0032431A"/>
    <w:rsid w:val="00324331"/>
    <w:rsid w:val="0032438B"/>
    <w:rsid w:val="0032440E"/>
    <w:rsid w:val="0032447C"/>
    <w:rsid w:val="003244B8"/>
    <w:rsid w:val="00324586"/>
    <w:rsid w:val="003245C3"/>
    <w:rsid w:val="003245C9"/>
    <w:rsid w:val="0032469A"/>
    <w:rsid w:val="003247BF"/>
    <w:rsid w:val="0032480C"/>
    <w:rsid w:val="00324829"/>
    <w:rsid w:val="0032490A"/>
    <w:rsid w:val="0032490F"/>
    <w:rsid w:val="003249C2"/>
    <w:rsid w:val="00324A01"/>
    <w:rsid w:val="00324A17"/>
    <w:rsid w:val="00324A8F"/>
    <w:rsid w:val="00324AB3"/>
    <w:rsid w:val="00324B2B"/>
    <w:rsid w:val="00324BA2"/>
    <w:rsid w:val="00324BCB"/>
    <w:rsid w:val="00324BCC"/>
    <w:rsid w:val="00324C38"/>
    <w:rsid w:val="00324C58"/>
    <w:rsid w:val="00324D09"/>
    <w:rsid w:val="00324D86"/>
    <w:rsid w:val="00324E02"/>
    <w:rsid w:val="00324E1B"/>
    <w:rsid w:val="00324E5B"/>
    <w:rsid w:val="00324E62"/>
    <w:rsid w:val="00324E88"/>
    <w:rsid w:val="00324EA5"/>
    <w:rsid w:val="00324EA9"/>
    <w:rsid w:val="00325012"/>
    <w:rsid w:val="00325040"/>
    <w:rsid w:val="00325094"/>
    <w:rsid w:val="003250E0"/>
    <w:rsid w:val="00325107"/>
    <w:rsid w:val="0032517F"/>
    <w:rsid w:val="00325190"/>
    <w:rsid w:val="00325198"/>
    <w:rsid w:val="0032523A"/>
    <w:rsid w:val="00325289"/>
    <w:rsid w:val="003252E6"/>
    <w:rsid w:val="00325337"/>
    <w:rsid w:val="00325343"/>
    <w:rsid w:val="00325383"/>
    <w:rsid w:val="00325386"/>
    <w:rsid w:val="00325387"/>
    <w:rsid w:val="00325388"/>
    <w:rsid w:val="00325475"/>
    <w:rsid w:val="003254FF"/>
    <w:rsid w:val="0032555F"/>
    <w:rsid w:val="003255F1"/>
    <w:rsid w:val="00325669"/>
    <w:rsid w:val="00325695"/>
    <w:rsid w:val="003256CE"/>
    <w:rsid w:val="0032575B"/>
    <w:rsid w:val="003257AF"/>
    <w:rsid w:val="003257E8"/>
    <w:rsid w:val="003258C2"/>
    <w:rsid w:val="00325A98"/>
    <w:rsid w:val="00325AB7"/>
    <w:rsid w:val="00325AC9"/>
    <w:rsid w:val="00325AD8"/>
    <w:rsid w:val="00325B8F"/>
    <w:rsid w:val="00325BEC"/>
    <w:rsid w:val="00325BF6"/>
    <w:rsid w:val="00325C6E"/>
    <w:rsid w:val="00325C77"/>
    <w:rsid w:val="00325D36"/>
    <w:rsid w:val="00325E09"/>
    <w:rsid w:val="00325E30"/>
    <w:rsid w:val="00325E45"/>
    <w:rsid w:val="00325EA6"/>
    <w:rsid w:val="00325EEA"/>
    <w:rsid w:val="00325F44"/>
    <w:rsid w:val="0032607E"/>
    <w:rsid w:val="0032608A"/>
    <w:rsid w:val="00326210"/>
    <w:rsid w:val="00326295"/>
    <w:rsid w:val="00326350"/>
    <w:rsid w:val="003263A2"/>
    <w:rsid w:val="003263C6"/>
    <w:rsid w:val="00326471"/>
    <w:rsid w:val="00326544"/>
    <w:rsid w:val="0032655A"/>
    <w:rsid w:val="0032660C"/>
    <w:rsid w:val="0032661B"/>
    <w:rsid w:val="00326678"/>
    <w:rsid w:val="0032668B"/>
    <w:rsid w:val="003266BF"/>
    <w:rsid w:val="0032671D"/>
    <w:rsid w:val="00326761"/>
    <w:rsid w:val="003267AB"/>
    <w:rsid w:val="00326838"/>
    <w:rsid w:val="003268D4"/>
    <w:rsid w:val="003268F3"/>
    <w:rsid w:val="00326990"/>
    <w:rsid w:val="00326A61"/>
    <w:rsid w:val="00326AC1"/>
    <w:rsid w:val="00326ADA"/>
    <w:rsid w:val="00326AF2"/>
    <w:rsid w:val="00326B56"/>
    <w:rsid w:val="00326B6C"/>
    <w:rsid w:val="00326B9B"/>
    <w:rsid w:val="00326C0F"/>
    <w:rsid w:val="00326CAC"/>
    <w:rsid w:val="00326D86"/>
    <w:rsid w:val="00326E32"/>
    <w:rsid w:val="00326E87"/>
    <w:rsid w:val="00326F66"/>
    <w:rsid w:val="00326F9D"/>
    <w:rsid w:val="00326FCD"/>
    <w:rsid w:val="00326FD0"/>
    <w:rsid w:val="00326FDC"/>
    <w:rsid w:val="0032700F"/>
    <w:rsid w:val="00327024"/>
    <w:rsid w:val="00327083"/>
    <w:rsid w:val="00327185"/>
    <w:rsid w:val="00327186"/>
    <w:rsid w:val="00327343"/>
    <w:rsid w:val="003274BD"/>
    <w:rsid w:val="00327563"/>
    <w:rsid w:val="00327598"/>
    <w:rsid w:val="003275C4"/>
    <w:rsid w:val="00327642"/>
    <w:rsid w:val="00327643"/>
    <w:rsid w:val="00327741"/>
    <w:rsid w:val="00327772"/>
    <w:rsid w:val="0032779E"/>
    <w:rsid w:val="0032788D"/>
    <w:rsid w:val="003278B3"/>
    <w:rsid w:val="003278D2"/>
    <w:rsid w:val="003279A6"/>
    <w:rsid w:val="003279B6"/>
    <w:rsid w:val="003279FF"/>
    <w:rsid w:val="00327A29"/>
    <w:rsid w:val="00327AE2"/>
    <w:rsid w:val="00327B12"/>
    <w:rsid w:val="00327B1E"/>
    <w:rsid w:val="00327B60"/>
    <w:rsid w:val="00327B68"/>
    <w:rsid w:val="00327BB6"/>
    <w:rsid w:val="00327C1C"/>
    <w:rsid w:val="00327CA6"/>
    <w:rsid w:val="00327CBA"/>
    <w:rsid w:val="00327D9F"/>
    <w:rsid w:val="00327E2F"/>
    <w:rsid w:val="00327F18"/>
    <w:rsid w:val="00327FF0"/>
    <w:rsid w:val="00330044"/>
    <w:rsid w:val="00330075"/>
    <w:rsid w:val="0033007F"/>
    <w:rsid w:val="003300D4"/>
    <w:rsid w:val="003300F0"/>
    <w:rsid w:val="00330107"/>
    <w:rsid w:val="003301AA"/>
    <w:rsid w:val="003301B3"/>
    <w:rsid w:val="003301BC"/>
    <w:rsid w:val="003303FC"/>
    <w:rsid w:val="00330445"/>
    <w:rsid w:val="003304DA"/>
    <w:rsid w:val="003304E4"/>
    <w:rsid w:val="00330651"/>
    <w:rsid w:val="00330693"/>
    <w:rsid w:val="003306A9"/>
    <w:rsid w:val="0033074A"/>
    <w:rsid w:val="00330761"/>
    <w:rsid w:val="00330834"/>
    <w:rsid w:val="003308D3"/>
    <w:rsid w:val="003308ED"/>
    <w:rsid w:val="003309CB"/>
    <w:rsid w:val="003309EB"/>
    <w:rsid w:val="00330A0C"/>
    <w:rsid w:val="00330B9B"/>
    <w:rsid w:val="00330BA8"/>
    <w:rsid w:val="00330C84"/>
    <w:rsid w:val="00330CDF"/>
    <w:rsid w:val="00330CEB"/>
    <w:rsid w:val="00330DA5"/>
    <w:rsid w:val="00330DB2"/>
    <w:rsid w:val="00330DB4"/>
    <w:rsid w:val="00330E32"/>
    <w:rsid w:val="00330E83"/>
    <w:rsid w:val="00330FE0"/>
    <w:rsid w:val="00330FE6"/>
    <w:rsid w:val="00331080"/>
    <w:rsid w:val="0033116D"/>
    <w:rsid w:val="0033121A"/>
    <w:rsid w:val="00331226"/>
    <w:rsid w:val="00331319"/>
    <w:rsid w:val="00331343"/>
    <w:rsid w:val="00331374"/>
    <w:rsid w:val="003313B5"/>
    <w:rsid w:val="003314A2"/>
    <w:rsid w:val="003314AC"/>
    <w:rsid w:val="003314B7"/>
    <w:rsid w:val="00331547"/>
    <w:rsid w:val="003315C7"/>
    <w:rsid w:val="00331659"/>
    <w:rsid w:val="00331697"/>
    <w:rsid w:val="003316AC"/>
    <w:rsid w:val="003317C3"/>
    <w:rsid w:val="0033182B"/>
    <w:rsid w:val="0033188C"/>
    <w:rsid w:val="003318D6"/>
    <w:rsid w:val="003319E7"/>
    <w:rsid w:val="00331C3B"/>
    <w:rsid w:val="00331C8B"/>
    <w:rsid w:val="00331D41"/>
    <w:rsid w:val="00331DA0"/>
    <w:rsid w:val="00331DB8"/>
    <w:rsid w:val="00331DC5"/>
    <w:rsid w:val="00331FBA"/>
    <w:rsid w:val="00332009"/>
    <w:rsid w:val="00332031"/>
    <w:rsid w:val="003320D9"/>
    <w:rsid w:val="00332116"/>
    <w:rsid w:val="00332145"/>
    <w:rsid w:val="0033228E"/>
    <w:rsid w:val="003322A9"/>
    <w:rsid w:val="003322CC"/>
    <w:rsid w:val="003322E8"/>
    <w:rsid w:val="003323CC"/>
    <w:rsid w:val="003323DC"/>
    <w:rsid w:val="00332445"/>
    <w:rsid w:val="00332597"/>
    <w:rsid w:val="003325BD"/>
    <w:rsid w:val="0033262D"/>
    <w:rsid w:val="00332769"/>
    <w:rsid w:val="003327C0"/>
    <w:rsid w:val="003328D0"/>
    <w:rsid w:val="00332952"/>
    <w:rsid w:val="003329FD"/>
    <w:rsid w:val="00332A60"/>
    <w:rsid w:val="00332B6F"/>
    <w:rsid w:val="00332B79"/>
    <w:rsid w:val="00332B94"/>
    <w:rsid w:val="00332C1D"/>
    <w:rsid w:val="00332C2D"/>
    <w:rsid w:val="00332C4D"/>
    <w:rsid w:val="00332C51"/>
    <w:rsid w:val="00332C58"/>
    <w:rsid w:val="00332C59"/>
    <w:rsid w:val="00332C83"/>
    <w:rsid w:val="00332C8C"/>
    <w:rsid w:val="00332E42"/>
    <w:rsid w:val="00332FCE"/>
    <w:rsid w:val="00332FEA"/>
    <w:rsid w:val="003330A7"/>
    <w:rsid w:val="00333104"/>
    <w:rsid w:val="0033320A"/>
    <w:rsid w:val="0033323E"/>
    <w:rsid w:val="003332BC"/>
    <w:rsid w:val="003332C2"/>
    <w:rsid w:val="00333356"/>
    <w:rsid w:val="003333E7"/>
    <w:rsid w:val="003333FE"/>
    <w:rsid w:val="00333444"/>
    <w:rsid w:val="00333488"/>
    <w:rsid w:val="0033350A"/>
    <w:rsid w:val="0033351F"/>
    <w:rsid w:val="00333585"/>
    <w:rsid w:val="003335E2"/>
    <w:rsid w:val="00333619"/>
    <w:rsid w:val="00333628"/>
    <w:rsid w:val="00333813"/>
    <w:rsid w:val="00333814"/>
    <w:rsid w:val="00333830"/>
    <w:rsid w:val="0033384D"/>
    <w:rsid w:val="0033398F"/>
    <w:rsid w:val="00333A88"/>
    <w:rsid w:val="00333AC4"/>
    <w:rsid w:val="00333B83"/>
    <w:rsid w:val="00333C9E"/>
    <w:rsid w:val="00333D2A"/>
    <w:rsid w:val="00333E68"/>
    <w:rsid w:val="00333EC4"/>
    <w:rsid w:val="00333F32"/>
    <w:rsid w:val="00333F47"/>
    <w:rsid w:val="00333F5B"/>
    <w:rsid w:val="00334034"/>
    <w:rsid w:val="0033409D"/>
    <w:rsid w:val="003340A3"/>
    <w:rsid w:val="003340D9"/>
    <w:rsid w:val="003341F3"/>
    <w:rsid w:val="00334232"/>
    <w:rsid w:val="003342AC"/>
    <w:rsid w:val="0033433C"/>
    <w:rsid w:val="003344CB"/>
    <w:rsid w:val="003344E8"/>
    <w:rsid w:val="0033454C"/>
    <w:rsid w:val="00334562"/>
    <w:rsid w:val="003345FD"/>
    <w:rsid w:val="0033464A"/>
    <w:rsid w:val="00334712"/>
    <w:rsid w:val="00334738"/>
    <w:rsid w:val="003347DE"/>
    <w:rsid w:val="003349EA"/>
    <w:rsid w:val="00334B2F"/>
    <w:rsid w:val="00334D2C"/>
    <w:rsid w:val="00334EA9"/>
    <w:rsid w:val="00334EEA"/>
    <w:rsid w:val="00334F34"/>
    <w:rsid w:val="00334FEA"/>
    <w:rsid w:val="003350D6"/>
    <w:rsid w:val="00335138"/>
    <w:rsid w:val="0033517F"/>
    <w:rsid w:val="00335193"/>
    <w:rsid w:val="003351A0"/>
    <w:rsid w:val="003351D2"/>
    <w:rsid w:val="003351E6"/>
    <w:rsid w:val="00335295"/>
    <w:rsid w:val="003352A3"/>
    <w:rsid w:val="003352BC"/>
    <w:rsid w:val="00335323"/>
    <w:rsid w:val="003353E2"/>
    <w:rsid w:val="00335413"/>
    <w:rsid w:val="00335415"/>
    <w:rsid w:val="00335422"/>
    <w:rsid w:val="00335442"/>
    <w:rsid w:val="003354D5"/>
    <w:rsid w:val="003355BC"/>
    <w:rsid w:val="0033563E"/>
    <w:rsid w:val="003356C1"/>
    <w:rsid w:val="003357B5"/>
    <w:rsid w:val="00335A92"/>
    <w:rsid w:val="00335B0A"/>
    <w:rsid w:val="00335BCA"/>
    <w:rsid w:val="00335CC3"/>
    <w:rsid w:val="00335CD8"/>
    <w:rsid w:val="00335DEF"/>
    <w:rsid w:val="00335E77"/>
    <w:rsid w:val="00335F05"/>
    <w:rsid w:val="00335F18"/>
    <w:rsid w:val="00335F2F"/>
    <w:rsid w:val="0033612A"/>
    <w:rsid w:val="00336201"/>
    <w:rsid w:val="0033626B"/>
    <w:rsid w:val="003362DB"/>
    <w:rsid w:val="00336332"/>
    <w:rsid w:val="0033634B"/>
    <w:rsid w:val="00336353"/>
    <w:rsid w:val="0033645D"/>
    <w:rsid w:val="003364FA"/>
    <w:rsid w:val="00336524"/>
    <w:rsid w:val="0033656F"/>
    <w:rsid w:val="00336603"/>
    <w:rsid w:val="00336679"/>
    <w:rsid w:val="003366A3"/>
    <w:rsid w:val="003366E2"/>
    <w:rsid w:val="003367E6"/>
    <w:rsid w:val="003367EA"/>
    <w:rsid w:val="00336875"/>
    <w:rsid w:val="00336878"/>
    <w:rsid w:val="0033687B"/>
    <w:rsid w:val="0033689B"/>
    <w:rsid w:val="003368C3"/>
    <w:rsid w:val="00336913"/>
    <w:rsid w:val="00336947"/>
    <w:rsid w:val="00336973"/>
    <w:rsid w:val="00336980"/>
    <w:rsid w:val="003369E5"/>
    <w:rsid w:val="003369FB"/>
    <w:rsid w:val="00336A0E"/>
    <w:rsid w:val="00336A37"/>
    <w:rsid w:val="00336A45"/>
    <w:rsid w:val="00336A97"/>
    <w:rsid w:val="00336B45"/>
    <w:rsid w:val="00336C5D"/>
    <w:rsid w:val="00336C99"/>
    <w:rsid w:val="00336CA5"/>
    <w:rsid w:val="00336CBD"/>
    <w:rsid w:val="00336D36"/>
    <w:rsid w:val="00336D44"/>
    <w:rsid w:val="00336E6A"/>
    <w:rsid w:val="00336EA5"/>
    <w:rsid w:val="00336F1D"/>
    <w:rsid w:val="00336F6A"/>
    <w:rsid w:val="00336FBF"/>
    <w:rsid w:val="0033709C"/>
    <w:rsid w:val="00337200"/>
    <w:rsid w:val="00337203"/>
    <w:rsid w:val="0033721E"/>
    <w:rsid w:val="00337245"/>
    <w:rsid w:val="00337263"/>
    <w:rsid w:val="003372A1"/>
    <w:rsid w:val="00337363"/>
    <w:rsid w:val="003373AE"/>
    <w:rsid w:val="00337453"/>
    <w:rsid w:val="003374B2"/>
    <w:rsid w:val="003374B5"/>
    <w:rsid w:val="00337513"/>
    <w:rsid w:val="003375B6"/>
    <w:rsid w:val="003375C0"/>
    <w:rsid w:val="003375D5"/>
    <w:rsid w:val="0033761F"/>
    <w:rsid w:val="003376DE"/>
    <w:rsid w:val="0033771F"/>
    <w:rsid w:val="003377AF"/>
    <w:rsid w:val="00337905"/>
    <w:rsid w:val="00337955"/>
    <w:rsid w:val="003379AB"/>
    <w:rsid w:val="003379BA"/>
    <w:rsid w:val="003379F4"/>
    <w:rsid w:val="00337A59"/>
    <w:rsid w:val="00337AF2"/>
    <w:rsid w:val="00337BD6"/>
    <w:rsid w:val="00337BF2"/>
    <w:rsid w:val="00337BF4"/>
    <w:rsid w:val="00337C5D"/>
    <w:rsid w:val="00337D12"/>
    <w:rsid w:val="00337D2C"/>
    <w:rsid w:val="00337D83"/>
    <w:rsid w:val="00337E2A"/>
    <w:rsid w:val="00337E4E"/>
    <w:rsid w:val="00337E94"/>
    <w:rsid w:val="00337EB0"/>
    <w:rsid w:val="00337ECB"/>
    <w:rsid w:val="00337F53"/>
    <w:rsid w:val="003400F7"/>
    <w:rsid w:val="003401A7"/>
    <w:rsid w:val="003401D8"/>
    <w:rsid w:val="00340229"/>
    <w:rsid w:val="00340242"/>
    <w:rsid w:val="00340272"/>
    <w:rsid w:val="0034031A"/>
    <w:rsid w:val="0034037E"/>
    <w:rsid w:val="00340429"/>
    <w:rsid w:val="00340431"/>
    <w:rsid w:val="00340457"/>
    <w:rsid w:val="00340484"/>
    <w:rsid w:val="00340503"/>
    <w:rsid w:val="0034050C"/>
    <w:rsid w:val="003405FC"/>
    <w:rsid w:val="003406EF"/>
    <w:rsid w:val="0034070C"/>
    <w:rsid w:val="00340783"/>
    <w:rsid w:val="00340819"/>
    <w:rsid w:val="0034093B"/>
    <w:rsid w:val="00340993"/>
    <w:rsid w:val="003409F1"/>
    <w:rsid w:val="00340A38"/>
    <w:rsid w:val="00340A6E"/>
    <w:rsid w:val="00340BBC"/>
    <w:rsid w:val="00340CAF"/>
    <w:rsid w:val="00340CD3"/>
    <w:rsid w:val="00340DA6"/>
    <w:rsid w:val="00340E1C"/>
    <w:rsid w:val="00340E67"/>
    <w:rsid w:val="00340E6A"/>
    <w:rsid w:val="0034105B"/>
    <w:rsid w:val="003410CF"/>
    <w:rsid w:val="003411D4"/>
    <w:rsid w:val="003412DE"/>
    <w:rsid w:val="0034130D"/>
    <w:rsid w:val="00341319"/>
    <w:rsid w:val="00341409"/>
    <w:rsid w:val="00341419"/>
    <w:rsid w:val="00341569"/>
    <w:rsid w:val="003415B3"/>
    <w:rsid w:val="00341711"/>
    <w:rsid w:val="0034180E"/>
    <w:rsid w:val="003418C4"/>
    <w:rsid w:val="0034194A"/>
    <w:rsid w:val="00341B61"/>
    <w:rsid w:val="00341C32"/>
    <w:rsid w:val="00341C56"/>
    <w:rsid w:val="00341C62"/>
    <w:rsid w:val="00341C88"/>
    <w:rsid w:val="00341C8B"/>
    <w:rsid w:val="00341CE0"/>
    <w:rsid w:val="00341D1C"/>
    <w:rsid w:val="00341D37"/>
    <w:rsid w:val="00341D3F"/>
    <w:rsid w:val="00341D67"/>
    <w:rsid w:val="00341D79"/>
    <w:rsid w:val="00341E15"/>
    <w:rsid w:val="00341EC9"/>
    <w:rsid w:val="00341F6D"/>
    <w:rsid w:val="0034205A"/>
    <w:rsid w:val="00342194"/>
    <w:rsid w:val="00342264"/>
    <w:rsid w:val="003423BE"/>
    <w:rsid w:val="003423D7"/>
    <w:rsid w:val="003423E3"/>
    <w:rsid w:val="0034243A"/>
    <w:rsid w:val="00342483"/>
    <w:rsid w:val="003425C4"/>
    <w:rsid w:val="00342627"/>
    <w:rsid w:val="00342628"/>
    <w:rsid w:val="0034272D"/>
    <w:rsid w:val="0034275A"/>
    <w:rsid w:val="0034279A"/>
    <w:rsid w:val="0034288C"/>
    <w:rsid w:val="00342905"/>
    <w:rsid w:val="00342A44"/>
    <w:rsid w:val="00342A5F"/>
    <w:rsid w:val="00342B2A"/>
    <w:rsid w:val="00342BAD"/>
    <w:rsid w:val="00342C6B"/>
    <w:rsid w:val="00342C77"/>
    <w:rsid w:val="00342CAE"/>
    <w:rsid w:val="00342CFB"/>
    <w:rsid w:val="00342D4A"/>
    <w:rsid w:val="00342E80"/>
    <w:rsid w:val="00342E9F"/>
    <w:rsid w:val="00342EA0"/>
    <w:rsid w:val="00342EEE"/>
    <w:rsid w:val="00343003"/>
    <w:rsid w:val="00343027"/>
    <w:rsid w:val="0034306C"/>
    <w:rsid w:val="003431B5"/>
    <w:rsid w:val="003431B9"/>
    <w:rsid w:val="003431D9"/>
    <w:rsid w:val="0034320D"/>
    <w:rsid w:val="003433E2"/>
    <w:rsid w:val="00343451"/>
    <w:rsid w:val="003434AB"/>
    <w:rsid w:val="00343686"/>
    <w:rsid w:val="00343689"/>
    <w:rsid w:val="003436DC"/>
    <w:rsid w:val="00343729"/>
    <w:rsid w:val="0034373B"/>
    <w:rsid w:val="003437B5"/>
    <w:rsid w:val="0034381F"/>
    <w:rsid w:val="00343869"/>
    <w:rsid w:val="0034388A"/>
    <w:rsid w:val="003438A5"/>
    <w:rsid w:val="00343A2C"/>
    <w:rsid w:val="00343A43"/>
    <w:rsid w:val="00343A67"/>
    <w:rsid w:val="00343A8F"/>
    <w:rsid w:val="00343AE3"/>
    <w:rsid w:val="00343B09"/>
    <w:rsid w:val="00343B37"/>
    <w:rsid w:val="00343B4E"/>
    <w:rsid w:val="00343BBC"/>
    <w:rsid w:val="00343BC8"/>
    <w:rsid w:val="00343C7A"/>
    <w:rsid w:val="00343CE7"/>
    <w:rsid w:val="00343D0E"/>
    <w:rsid w:val="00343D45"/>
    <w:rsid w:val="00343D48"/>
    <w:rsid w:val="00343DA6"/>
    <w:rsid w:val="00343DAE"/>
    <w:rsid w:val="00343DFB"/>
    <w:rsid w:val="00343E47"/>
    <w:rsid w:val="00343E72"/>
    <w:rsid w:val="00343E80"/>
    <w:rsid w:val="00343EFD"/>
    <w:rsid w:val="00343F0A"/>
    <w:rsid w:val="00343F1A"/>
    <w:rsid w:val="00343F81"/>
    <w:rsid w:val="00343FB8"/>
    <w:rsid w:val="00344036"/>
    <w:rsid w:val="003440FD"/>
    <w:rsid w:val="003441A2"/>
    <w:rsid w:val="003441C3"/>
    <w:rsid w:val="00344208"/>
    <w:rsid w:val="0034420A"/>
    <w:rsid w:val="00344222"/>
    <w:rsid w:val="0034425C"/>
    <w:rsid w:val="003442FF"/>
    <w:rsid w:val="00344344"/>
    <w:rsid w:val="00344391"/>
    <w:rsid w:val="0034445D"/>
    <w:rsid w:val="003444B6"/>
    <w:rsid w:val="003444EA"/>
    <w:rsid w:val="0034475F"/>
    <w:rsid w:val="00344822"/>
    <w:rsid w:val="00344848"/>
    <w:rsid w:val="00344872"/>
    <w:rsid w:val="003449AD"/>
    <w:rsid w:val="00344A1C"/>
    <w:rsid w:val="00344A3A"/>
    <w:rsid w:val="00344AC6"/>
    <w:rsid w:val="00344B05"/>
    <w:rsid w:val="00344B0D"/>
    <w:rsid w:val="00344B87"/>
    <w:rsid w:val="00344BA9"/>
    <w:rsid w:val="00344CDA"/>
    <w:rsid w:val="00344D0E"/>
    <w:rsid w:val="00344E67"/>
    <w:rsid w:val="00344F03"/>
    <w:rsid w:val="00344F0A"/>
    <w:rsid w:val="00344FA8"/>
    <w:rsid w:val="00345174"/>
    <w:rsid w:val="003451BD"/>
    <w:rsid w:val="003452B7"/>
    <w:rsid w:val="003452BE"/>
    <w:rsid w:val="003452C9"/>
    <w:rsid w:val="00345372"/>
    <w:rsid w:val="003453B4"/>
    <w:rsid w:val="003453EC"/>
    <w:rsid w:val="00345451"/>
    <w:rsid w:val="003454E1"/>
    <w:rsid w:val="00345500"/>
    <w:rsid w:val="0034558E"/>
    <w:rsid w:val="003455A5"/>
    <w:rsid w:val="00345636"/>
    <w:rsid w:val="00345651"/>
    <w:rsid w:val="00345848"/>
    <w:rsid w:val="0034585B"/>
    <w:rsid w:val="0034590D"/>
    <w:rsid w:val="003459AE"/>
    <w:rsid w:val="003459CC"/>
    <w:rsid w:val="00345A58"/>
    <w:rsid w:val="00345AEF"/>
    <w:rsid w:val="00345B50"/>
    <w:rsid w:val="00345B5E"/>
    <w:rsid w:val="00345BB2"/>
    <w:rsid w:val="00345DB6"/>
    <w:rsid w:val="00345F01"/>
    <w:rsid w:val="00345F78"/>
    <w:rsid w:val="00345FE3"/>
    <w:rsid w:val="00345FF1"/>
    <w:rsid w:val="00345FF3"/>
    <w:rsid w:val="00346022"/>
    <w:rsid w:val="003461E6"/>
    <w:rsid w:val="003462B0"/>
    <w:rsid w:val="003462C8"/>
    <w:rsid w:val="0034634F"/>
    <w:rsid w:val="00346488"/>
    <w:rsid w:val="003464F9"/>
    <w:rsid w:val="0034656E"/>
    <w:rsid w:val="003465B9"/>
    <w:rsid w:val="003465CA"/>
    <w:rsid w:val="003465DE"/>
    <w:rsid w:val="00346763"/>
    <w:rsid w:val="00346797"/>
    <w:rsid w:val="003467B8"/>
    <w:rsid w:val="00346881"/>
    <w:rsid w:val="003468DC"/>
    <w:rsid w:val="00346915"/>
    <w:rsid w:val="003469A6"/>
    <w:rsid w:val="00346A03"/>
    <w:rsid w:val="00346A90"/>
    <w:rsid w:val="00346AC8"/>
    <w:rsid w:val="00346C30"/>
    <w:rsid w:val="00346C46"/>
    <w:rsid w:val="00346CB7"/>
    <w:rsid w:val="00346CC1"/>
    <w:rsid w:val="00346D4B"/>
    <w:rsid w:val="00346DC4"/>
    <w:rsid w:val="00346E13"/>
    <w:rsid w:val="00346E3F"/>
    <w:rsid w:val="00346E6D"/>
    <w:rsid w:val="00346EA2"/>
    <w:rsid w:val="00346F4D"/>
    <w:rsid w:val="00346F71"/>
    <w:rsid w:val="00346F99"/>
    <w:rsid w:val="00347133"/>
    <w:rsid w:val="00347202"/>
    <w:rsid w:val="00347390"/>
    <w:rsid w:val="003473A3"/>
    <w:rsid w:val="003474CF"/>
    <w:rsid w:val="00347761"/>
    <w:rsid w:val="00347762"/>
    <w:rsid w:val="00347769"/>
    <w:rsid w:val="003477A8"/>
    <w:rsid w:val="00347809"/>
    <w:rsid w:val="00347811"/>
    <w:rsid w:val="00347892"/>
    <w:rsid w:val="003479BC"/>
    <w:rsid w:val="00347A85"/>
    <w:rsid w:val="00347A9C"/>
    <w:rsid w:val="00347A9E"/>
    <w:rsid w:val="00347AA4"/>
    <w:rsid w:val="00347BD8"/>
    <w:rsid w:val="00347C0A"/>
    <w:rsid w:val="00347C43"/>
    <w:rsid w:val="00347C6E"/>
    <w:rsid w:val="00347C77"/>
    <w:rsid w:val="00347C7F"/>
    <w:rsid w:val="00347DC6"/>
    <w:rsid w:val="00347ED6"/>
    <w:rsid w:val="00347EE7"/>
    <w:rsid w:val="00347F14"/>
    <w:rsid w:val="00347FD8"/>
    <w:rsid w:val="00347FFC"/>
    <w:rsid w:val="0035011B"/>
    <w:rsid w:val="0035013F"/>
    <w:rsid w:val="00350147"/>
    <w:rsid w:val="0035026C"/>
    <w:rsid w:val="003502AF"/>
    <w:rsid w:val="003502BF"/>
    <w:rsid w:val="003502D7"/>
    <w:rsid w:val="0035035F"/>
    <w:rsid w:val="003503D3"/>
    <w:rsid w:val="00350449"/>
    <w:rsid w:val="00350498"/>
    <w:rsid w:val="003504D9"/>
    <w:rsid w:val="0035057E"/>
    <w:rsid w:val="0035058E"/>
    <w:rsid w:val="0035061B"/>
    <w:rsid w:val="00350625"/>
    <w:rsid w:val="0035064C"/>
    <w:rsid w:val="00350703"/>
    <w:rsid w:val="00350736"/>
    <w:rsid w:val="00350777"/>
    <w:rsid w:val="00350844"/>
    <w:rsid w:val="00350885"/>
    <w:rsid w:val="00350930"/>
    <w:rsid w:val="00350966"/>
    <w:rsid w:val="003509B9"/>
    <w:rsid w:val="00350A54"/>
    <w:rsid w:val="00350A84"/>
    <w:rsid w:val="00350B62"/>
    <w:rsid w:val="00350BC1"/>
    <w:rsid w:val="00350C5C"/>
    <w:rsid w:val="00350C80"/>
    <w:rsid w:val="00350CA7"/>
    <w:rsid w:val="00350CB3"/>
    <w:rsid w:val="00350CE9"/>
    <w:rsid w:val="00350D88"/>
    <w:rsid w:val="00350DEB"/>
    <w:rsid w:val="00350E4D"/>
    <w:rsid w:val="00350E99"/>
    <w:rsid w:val="00350ECF"/>
    <w:rsid w:val="00350EE9"/>
    <w:rsid w:val="00350F17"/>
    <w:rsid w:val="00350F25"/>
    <w:rsid w:val="00350FBD"/>
    <w:rsid w:val="00351023"/>
    <w:rsid w:val="00351063"/>
    <w:rsid w:val="00351131"/>
    <w:rsid w:val="0035118D"/>
    <w:rsid w:val="003511BD"/>
    <w:rsid w:val="003512C0"/>
    <w:rsid w:val="0035131C"/>
    <w:rsid w:val="00351324"/>
    <w:rsid w:val="00351336"/>
    <w:rsid w:val="00351339"/>
    <w:rsid w:val="00351363"/>
    <w:rsid w:val="003513BC"/>
    <w:rsid w:val="00351473"/>
    <w:rsid w:val="00351552"/>
    <w:rsid w:val="003515C3"/>
    <w:rsid w:val="00351746"/>
    <w:rsid w:val="003517BF"/>
    <w:rsid w:val="003517D0"/>
    <w:rsid w:val="00351899"/>
    <w:rsid w:val="003518C7"/>
    <w:rsid w:val="00351900"/>
    <w:rsid w:val="003519D8"/>
    <w:rsid w:val="00351B7A"/>
    <w:rsid w:val="00351BB2"/>
    <w:rsid w:val="00351CAB"/>
    <w:rsid w:val="00351D1C"/>
    <w:rsid w:val="00351D3C"/>
    <w:rsid w:val="00351DD5"/>
    <w:rsid w:val="00352070"/>
    <w:rsid w:val="003520AE"/>
    <w:rsid w:val="003520E3"/>
    <w:rsid w:val="0035211F"/>
    <w:rsid w:val="0035216A"/>
    <w:rsid w:val="0035224C"/>
    <w:rsid w:val="00352278"/>
    <w:rsid w:val="0035228A"/>
    <w:rsid w:val="00352314"/>
    <w:rsid w:val="003523C2"/>
    <w:rsid w:val="0035247E"/>
    <w:rsid w:val="00352532"/>
    <w:rsid w:val="00352564"/>
    <w:rsid w:val="00352593"/>
    <w:rsid w:val="00352595"/>
    <w:rsid w:val="00352646"/>
    <w:rsid w:val="00352651"/>
    <w:rsid w:val="0035265A"/>
    <w:rsid w:val="003526A2"/>
    <w:rsid w:val="003526CC"/>
    <w:rsid w:val="003526CD"/>
    <w:rsid w:val="00352715"/>
    <w:rsid w:val="00352875"/>
    <w:rsid w:val="0035294F"/>
    <w:rsid w:val="003529EA"/>
    <w:rsid w:val="003529EE"/>
    <w:rsid w:val="00352A9A"/>
    <w:rsid w:val="00352AC9"/>
    <w:rsid w:val="00352AFF"/>
    <w:rsid w:val="00352B67"/>
    <w:rsid w:val="00352B71"/>
    <w:rsid w:val="00352D10"/>
    <w:rsid w:val="00352D2E"/>
    <w:rsid w:val="00352DA0"/>
    <w:rsid w:val="00352E2A"/>
    <w:rsid w:val="00352FC0"/>
    <w:rsid w:val="00353080"/>
    <w:rsid w:val="00353083"/>
    <w:rsid w:val="003530A1"/>
    <w:rsid w:val="0035313C"/>
    <w:rsid w:val="0035316B"/>
    <w:rsid w:val="00353178"/>
    <w:rsid w:val="0035322C"/>
    <w:rsid w:val="003532A4"/>
    <w:rsid w:val="003533B5"/>
    <w:rsid w:val="00353472"/>
    <w:rsid w:val="00353500"/>
    <w:rsid w:val="0035356A"/>
    <w:rsid w:val="003535FD"/>
    <w:rsid w:val="003536CA"/>
    <w:rsid w:val="003536F0"/>
    <w:rsid w:val="003536F5"/>
    <w:rsid w:val="00353707"/>
    <w:rsid w:val="00353731"/>
    <w:rsid w:val="003537ED"/>
    <w:rsid w:val="00353817"/>
    <w:rsid w:val="00353908"/>
    <w:rsid w:val="0035395A"/>
    <w:rsid w:val="003539FF"/>
    <w:rsid w:val="00353AEB"/>
    <w:rsid w:val="00353B35"/>
    <w:rsid w:val="00353B4D"/>
    <w:rsid w:val="00353BBF"/>
    <w:rsid w:val="00353DAF"/>
    <w:rsid w:val="00353DD2"/>
    <w:rsid w:val="00353F62"/>
    <w:rsid w:val="00353FB5"/>
    <w:rsid w:val="00353FF3"/>
    <w:rsid w:val="00354004"/>
    <w:rsid w:val="00354130"/>
    <w:rsid w:val="003541F4"/>
    <w:rsid w:val="003542A2"/>
    <w:rsid w:val="003543F3"/>
    <w:rsid w:val="0035452F"/>
    <w:rsid w:val="00354538"/>
    <w:rsid w:val="00354585"/>
    <w:rsid w:val="00354599"/>
    <w:rsid w:val="0035459C"/>
    <w:rsid w:val="00354639"/>
    <w:rsid w:val="00354642"/>
    <w:rsid w:val="0035467B"/>
    <w:rsid w:val="00354695"/>
    <w:rsid w:val="003546AE"/>
    <w:rsid w:val="00354761"/>
    <w:rsid w:val="003547ED"/>
    <w:rsid w:val="0035485B"/>
    <w:rsid w:val="003548B0"/>
    <w:rsid w:val="003548E9"/>
    <w:rsid w:val="00354969"/>
    <w:rsid w:val="00354992"/>
    <w:rsid w:val="003549A7"/>
    <w:rsid w:val="00354A8A"/>
    <w:rsid w:val="00354A97"/>
    <w:rsid w:val="00354C0A"/>
    <w:rsid w:val="00354C15"/>
    <w:rsid w:val="00354C2D"/>
    <w:rsid w:val="00354C33"/>
    <w:rsid w:val="00354C5B"/>
    <w:rsid w:val="00354C96"/>
    <w:rsid w:val="00354CA9"/>
    <w:rsid w:val="00354D40"/>
    <w:rsid w:val="00354D4C"/>
    <w:rsid w:val="00354DB5"/>
    <w:rsid w:val="00354E98"/>
    <w:rsid w:val="00354F6C"/>
    <w:rsid w:val="0035506B"/>
    <w:rsid w:val="003550CD"/>
    <w:rsid w:val="00355101"/>
    <w:rsid w:val="003551C3"/>
    <w:rsid w:val="00355207"/>
    <w:rsid w:val="003552C1"/>
    <w:rsid w:val="003552C9"/>
    <w:rsid w:val="003552FB"/>
    <w:rsid w:val="0035532B"/>
    <w:rsid w:val="003553DF"/>
    <w:rsid w:val="0035541B"/>
    <w:rsid w:val="00355423"/>
    <w:rsid w:val="0035545D"/>
    <w:rsid w:val="00355469"/>
    <w:rsid w:val="003554DD"/>
    <w:rsid w:val="003554DF"/>
    <w:rsid w:val="00355538"/>
    <w:rsid w:val="0035560F"/>
    <w:rsid w:val="0035568F"/>
    <w:rsid w:val="00355747"/>
    <w:rsid w:val="00355768"/>
    <w:rsid w:val="003557BD"/>
    <w:rsid w:val="00355914"/>
    <w:rsid w:val="0035593B"/>
    <w:rsid w:val="003559DE"/>
    <w:rsid w:val="00355A13"/>
    <w:rsid w:val="00355ABA"/>
    <w:rsid w:val="00355AC5"/>
    <w:rsid w:val="00355ACC"/>
    <w:rsid w:val="00355B05"/>
    <w:rsid w:val="00355B43"/>
    <w:rsid w:val="00355B5F"/>
    <w:rsid w:val="00355B7A"/>
    <w:rsid w:val="00355BD9"/>
    <w:rsid w:val="00355BE4"/>
    <w:rsid w:val="00355C30"/>
    <w:rsid w:val="00355D0A"/>
    <w:rsid w:val="00355D1B"/>
    <w:rsid w:val="00355D41"/>
    <w:rsid w:val="00355D4F"/>
    <w:rsid w:val="00355D8F"/>
    <w:rsid w:val="00355DA9"/>
    <w:rsid w:val="00355E02"/>
    <w:rsid w:val="00355E2D"/>
    <w:rsid w:val="00355EB0"/>
    <w:rsid w:val="00355ED3"/>
    <w:rsid w:val="00355EFB"/>
    <w:rsid w:val="00355F38"/>
    <w:rsid w:val="00355F76"/>
    <w:rsid w:val="0035605A"/>
    <w:rsid w:val="003560A4"/>
    <w:rsid w:val="003560DA"/>
    <w:rsid w:val="003560EC"/>
    <w:rsid w:val="003561E0"/>
    <w:rsid w:val="0035629A"/>
    <w:rsid w:val="003562A9"/>
    <w:rsid w:val="00356316"/>
    <w:rsid w:val="00356347"/>
    <w:rsid w:val="0035634A"/>
    <w:rsid w:val="00356357"/>
    <w:rsid w:val="00356385"/>
    <w:rsid w:val="00356399"/>
    <w:rsid w:val="00356588"/>
    <w:rsid w:val="003565AF"/>
    <w:rsid w:val="003565DB"/>
    <w:rsid w:val="003566FA"/>
    <w:rsid w:val="0035672A"/>
    <w:rsid w:val="00356741"/>
    <w:rsid w:val="00356793"/>
    <w:rsid w:val="003567C3"/>
    <w:rsid w:val="003567C8"/>
    <w:rsid w:val="003567FB"/>
    <w:rsid w:val="00356859"/>
    <w:rsid w:val="00356875"/>
    <w:rsid w:val="00356885"/>
    <w:rsid w:val="00356B1C"/>
    <w:rsid w:val="00356BC6"/>
    <w:rsid w:val="00356C28"/>
    <w:rsid w:val="00356C6F"/>
    <w:rsid w:val="00356DBC"/>
    <w:rsid w:val="00356E30"/>
    <w:rsid w:val="00356E62"/>
    <w:rsid w:val="00356E7D"/>
    <w:rsid w:val="00356EF9"/>
    <w:rsid w:val="00356F9F"/>
    <w:rsid w:val="0035704A"/>
    <w:rsid w:val="00357155"/>
    <w:rsid w:val="003571F9"/>
    <w:rsid w:val="00357299"/>
    <w:rsid w:val="00357387"/>
    <w:rsid w:val="00357467"/>
    <w:rsid w:val="0035749D"/>
    <w:rsid w:val="00357587"/>
    <w:rsid w:val="003575AA"/>
    <w:rsid w:val="00357618"/>
    <w:rsid w:val="00357669"/>
    <w:rsid w:val="003576CF"/>
    <w:rsid w:val="003578D1"/>
    <w:rsid w:val="0035792E"/>
    <w:rsid w:val="00357960"/>
    <w:rsid w:val="00357988"/>
    <w:rsid w:val="00357A56"/>
    <w:rsid w:val="00357A5D"/>
    <w:rsid w:val="00357AA2"/>
    <w:rsid w:val="00357AB2"/>
    <w:rsid w:val="00357C85"/>
    <w:rsid w:val="00357CAC"/>
    <w:rsid w:val="00357D11"/>
    <w:rsid w:val="00357D1B"/>
    <w:rsid w:val="00357DE7"/>
    <w:rsid w:val="00357DF9"/>
    <w:rsid w:val="00357E3A"/>
    <w:rsid w:val="00357EB8"/>
    <w:rsid w:val="00357F25"/>
    <w:rsid w:val="00357F32"/>
    <w:rsid w:val="00360081"/>
    <w:rsid w:val="00360098"/>
    <w:rsid w:val="00360128"/>
    <w:rsid w:val="00360174"/>
    <w:rsid w:val="00360177"/>
    <w:rsid w:val="003601DD"/>
    <w:rsid w:val="00360200"/>
    <w:rsid w:val="003602B6"/>
    <w:rsid w:val="003602E1"/>
    <w:rsid w:val="00360349"/>
    <w:rsid w:val="00360352"/>
    <w:rsid w:val="003603E2"/>
    <w:rsid w:val="00360469"/>
    <w:rsid w:val="003604FB"/>
    <w:rsid w:val="0036059A"/>
    <w:rsid w:val="003605A6"/>
    <w:rsid w:val="003605D7"/>
    <w:rsid w:val="0036060A"/>
    <w:rsid w:val="00360740"/>
    <w:rsid w:val="003607BC"/>
    <w:rsid w:val="00360859"/>
    <w:rsid w:val="00360889"/>
    <w:rsid w:val="00360931"/>
    <w:rsid w:val="00360A16"/>
    <w:rsid w:val="00360A85"/>
    <w:rsid w:val="00360B2E"/>
    <w:rsid w:val="00360B38"/>
    <w:rsid w:val="00360B46"/>
    <w:rsid w:val="00360B4C"/>
    <w:rsid w:val="00360B89"/>
    <w:rsid w:val="00360B9B"/>
    <w:rsid w:val="00360BF4"/>
    <w:rsid w:val="00360C53"/>
    <w:rsid w:val="00360C56"/>
    <w:rsid w:val="00360C77"/>
    <w:rsid w:val="00360D9A"/>
    <w:rsid w:val="00360DE5"/>
    <w:rsid w:val="00360E13"/>
    <w:rsid w:val="00360E2F"/>
    <w:rsid w:val="00360EDF"/>
    <w:rsid w:val="00360EE1"/>
    <w:rsid w:val="00360F0D"/>
    <w:rsid w:val="00360F21"/>
    <w:rsid w:val="00360F32"/>
    <w:rsid w:val="00360F43"/>
    <w:rsid w:val="0036111A"/>
    <w:rsid w:val="003611F1"/>
    <w:rsid w:val="003611F4"/>
    <w:rsid w:val="00361210"/>
    <w:rsid w:val="00361225"/>
    <w:rsid w:val="003612B2"/>
    <w:rsid w:val="003612B7"/>
    <w:rsid w:val="00361324"/>
    <w:rsid w:val="00361433"/>
    <w:rsid w:val="00361478"/>
    <w:rsid w:val="00361486"/>
    <w:rsid w:val="003614F5"/>
    <w:rsid w:val="00361522"/>
    <w:rsid w:val="0036154C"/>
    <w:rsid w:val="00361640"/>
    <w:rsid w:val="00361669"/>
    <w:rsid w:val="00361848"/>
    <w:rsid w:val="0036194A"/>
    <w:rsid w:val="003619B7"/>
    <w:rsid w:val="00361A0E"/>
    <w:rsid w:val="00361A54"/>
    <w:rsid w:val="00361A64"/>
    <w:rsid w:val="00361AD3"/>
    <w:rsid w:val="00361B60"/>
    <w:rsid w:val="00361C22"/>
    <w:rsid w:val="00361C95"/>
    <w:rsid w:val="00361D00"/>
    <w:rsid w:val="00361D04"/>
    <w:rsid w:val="00361D21"/>
    <w:rsid w:val="00361E85"/>
    <w:rsid w:val="00361EB7"/>
    <w:rsid w:val="00361FC3"/>
    <w:rsid w:val="00361FD8"/>
    <w:rsid w:val="00362003"/>
    <w:rsid w:val="0036200B"/>
    <w:rsid w:val="00362048"/>
    <w:rsid w:val="00362176"/>
    <w:rsid w:val="00362178"/>
    <w:rsid w:val="003622FF"/>
    <w:rsid w:val="003623B1"/>
    <w:rsid w:val="00362434"/>
    <w:rsid w:val="0036247C"/>
    <w:rsid w:val="00362532"/>
    <w:rsid w:val="00362591"/>
    <w:rsid w:val="003625F5"/>
    <w:rsid w:val="003628CF"/>
    <w:rsid w:val="003629AD"/>
    <w:rsid w:val="00362A61"/>
    <w:rsid w:val="00362A93"/>
    <w:rsid w:val="00362AB6"/>
    <w:rsid w:val="00362B6F"/>
    <w:rsid w:val="00362B8F"/>
    <w:rsid w:val="00362BE8"/>
    <w:rsid w:val="00362C37"/>
    <w:rsid w:val="00362C96"/>
    <w:rsid w:val="00362CFA"/>
    <w:rsid w:val="00362D93"/>
    <w:rsid w:val="00362E14"/>
    <w:rsid w:val="00362E6D"/>
    <w:rsid w:val="00362EFA"/>
    <w:rsid w:val="00362F8A"/>
    <w:rsid w:val="00362FC2"/>
    <w:rsid w:val="0036302C"/>
    <w:rsid w:val="00363059"/>
    <w:rsid w:val="00363079"/>
    <w:rsid w:val="00363158"/>
    <w:rsid w:val="003631B0"/>
    <w:rsid w:val="0036328D"/>
    <w:rsid w:val="00363295"/>
    <w:rsid w:val="003632B5"/>
    <w:rsid w:val="003632BA"/>
    <w:rsid w:val="003632D6"/>
    <w:rsid w:val="003632FE"/>
    <w:rsid w:val="0036333E"/>
    <w:rsid w:val="00363402"/>
    <w:rsid w:val="00363427"/>
    <w:rsid w:val="00363443"/>
    <w:rsid w:val="003634E9"/>
    <w:rsid w:val="00363580"/>
    <w:rsid w:val="003635BA"/>
    <w:rsid w:val="00363628"/>
    <w:rsid w:val="0036362B"/>
    <w:rsid w:val="0036369B"/>
    <w:rsid w:val="003636A3"/>
    <w:rsid w:val="003636C7"/>
    <w:rsid w:val="003636CD"/>
    <w:rsid w:val="00363784"/>
    <w:rsid w:val="003637E3"/>
    <w:rsid w:val="00363894"/>
    <w:rsid w:val="0036395A"/>
    <w:rsid w:val="00363980"/>
    <w:rsid w:val="00363A77"/>
    <w:rsid w:val="00363B37"/>
    <w:rsid w:val="00363B50"/>
    <w:rsid w:val="00363BB0"/>
    <w:rsid w:val="00363CA3"/>
    <w:rsid w:val="00363D17"/>
    <w:rsid w:val="00363DA0"/>
    <w:rsid w:val="00363DC4"/>
    <w:rsid w:val="00363E6D"/>
    <w:rsid w:val="00363E78"/>
    <w:rsid w:val="00363E86"/>
    <w:rsid w:val="00363EEE"/>
    <w:rsid w:val="0036407E"/>
    <w:rsid w:val="00364149"/>
    <w:rsid w:val="0036414E"/>
    <w:rsid w:val="00364180"/>
    <w:rsid w:val="00364182"/>
    <w:rsid w:val="003641A2"/>
    <w:rsid w:val="003641A6"/>
    <w:rsid w:val="00364350"/>
    <w:rsid w:val="0036436D"/>
    <w:rsid w:val="00364377"/>
    <w:rsid w:val="00364485"/>
    <w:rsid w:val="003644B8"/>
    <w:rsid w:val="00364540"/>
    <w:rsid w:val="00364555"/>
    <w:rsid w:val="00364593"/>
    <w:rsid w:val="003645AB"/>
    <w:rsid w:val="003645F4"/>
    <w:rsid w:val="0036461D"/>
    <w:rsid w:val="0036464E"/>
    <w:rsid w:val="00364671"/>
    <w:rsid w:val="003646C3"/>
    <w:rsid w:val="003646CA"/>
    <w:rsid w:val="0036490A"/>
    <w:rsid w:val="00364976"/>
    <w:rsid w:val="003649BB"/>
    <w:rsid w:val="003649E0"/>
    <w:rsid w:val="00364A00"/>
    <w:rsid w:val="00364A1C"/>
    <w:rsid w:val="00364A4B"/>
    <w:rsid w:val="00364B08"/>
    <w:rsid w:val="00364B15"/>
    <w:rsid w:val="00364B49"/>
    <w:rsid w:val="00364BB6"/>
    <w:rsid w:val="00364C05"/>
    <w:rsid w:val="00364C30"/>
    <w:rsid w:val="00364C56"/>
    <w:rsid w:val="00364CAE"/>
    <w:rsid w:val="00364CE9"/>
    <w:rsid w:val="00364D06"/>
    <w:rsid w:val="00364D4A"/>
    <w:rsid w:val="00364D88"/>
    <w:rsid w:val="00364DDA"/>
    <w:rsid w:val="00364DFF"/>
    <w:rsid w:val="00364EAC"/>
    <w:rsid w:val="00364EC9"/>
    <w:rsid w:val="00364F1E"/>
    <w:rsid w:val="00364F2B"/>
    <w:rsid w:val="00364FC9"/>
    <w:rsid w:val="00365071"/>
    <w:rsid w:val="0036509F"/>
    <w:rsid w:val="003650A1"/>
    <w:rsid w:val="003650E4"/>
    <w:rsid w:val="003651BF"/>
    <w:rsid w:val="0036520E"/>
    <w:rsid w:val="0036522C"/>
    <w:rsid w:val="00365350"/>
    <w:rsid w:val="003653CB"/>
    <w:rsid w:val="003654C9"/>
    <w:rsid w:val="00365524"/>
    <w:rsid w:val="00365525"/>
    <w:rsid w:val="0036555E"/>
    <w:rsid w:val="00365562"/>
    <w:rsid w:val="00365631"/>
    <w:rsid w:val="0036563B"/>
    <w:rsid w:val="00365687"/>
    <w:rsid w:val="003657BC"/>
    <w:rsid w:val="003657CA"/>
    <w:rsid w:val="003657F1"/>
    <w:rsid w:val="0036584B"/>
    <w:rsid w:val="00365884"/>
    <w:rsid w:val="00365902"/>
    <w:rsid w:val="00365958"/>
    <w:rsid w:val="003659D1"/>
    <w:rsid w:val="00365A42"/>
    <w:rsid w:val="00365A4B"/>
    <w:rsid w:val="00365B67"/>
    <w:rsid w:val="00365BCD"/>
    <w:rsid w:val="00365C63"/>
    <w:rsid w:val="00365C9E"/>
    <w:rsid w:val="00365CE9"/>
    <w:rsid w:val="00365D77"/>
    <w:rsid w:val="00365D8E"/>
    <w:rsid w:val="00365DD8"/>
    <w:rsid w:val="00365E65"/>
    <w:rsid w:val="00365ED5"/>
    <w:rsid w:val="00365FEE"/>
    <w:rsid w:val="003661A3"/>
    <w:rsid w:val="0036630E"/>
    <w:rsid w:val="003663D2"/>
    <w:rsid w:val="00366437"/>
    <w:rsid w:val="003664B5"/>
    <w:rsid w:val="00366512"/>
    <w:rsid w:val="0036651B"/>
    <w:rsid w:val="00366546"/>
    <w:rsid w:val="00366581"/>
    <w:rsid w:val="003665EF"/>
    <w:rsid w:val="00366634"/>
    <w:rsid w:val="00366677"/>
    <w:rsid w:val="0036671A"/>
    <w:rsid w:val="0036679C"/>
    <w:rsid w:val="0036680B"/>
    <w:rsid w:val="00366826"/>
    <w:rsid w:val="003669C0"/>
    <w:rsid w:val="00366A24"/>
    <w:rsid w:val="00366A77"/>
    <w:rsid w:val="00366AB5"/>
    <w:rsid w:val="00366AE9"/>
    <w:rsid w:val="00366BD6"/>
    <w:rsid w:val="00366CD9"/>
    <w:rsid w:val="00366E16"/>
    <w:rsid w:val="00366ECF"/>
    <w:rsid w:val="00366F14"/>
    <w:rsid w:val="00366FB1"/>
    <w:rsid w:val="00366FF0"/>
    <w:rsid w:val="00366FFA"/>
    <w:rsid w:val="0036702E"/>
    <w:rsid w:val="0036703E"/>
    <w:rsid w:val="00367072"/>
    <w:rsid w:val="003670AD"/>
    <w:rsid w:val="003670B2"/>
    <w:rsid w:val="003670E2"/>
    <w:rsid w:val="00367125"/>
    <w:rsid w:val="0036714F"/>
    <w:rsid w:val="0036715C"/>
    <w:rsid w:val="003671B0"/>
    <w:rsid w:val="003671E5"/>
    <w:rsid w:val="003672A6"/>
    <w:rsid w:val="003672BB"/>
    <w:rsid w:val="003672DE"/>
    <w:rsid w:val="00367348"/>
    <w:rsid w:val="003673BD"/>
    <w:rsid w:val="00367409"/>
    <w:rsid w:val="00367470"/>
    <w:rsid w:val="003674C6"/>
    <w:rsid w:val="003674CC"/>
    <w:rsid w:val="003674D5"/>
    <w:rsid w:val="00367644"/>
    <w:rsid w:val="003676E3"/>
    <w:rsid w:val="00367764"/>
    <w:rsid w:val="00367799"/>
    <w:rsid w:val="003677AD"/>
    <w:rsid w:val="003677FD"/>
    <w:rsid w:val="00367811"/>
    <w:rsid w:val="00367817"/>
    <w:rsid w:val="0036781E"/>
    <w:rsid w:val="00367870"/>
    <w:rsid w:val="003678BD"/>
    <w:rsid w:val="003678FF"/>
    <w:rsid w:val="0036794A"/>
    <w:rsid w:val="0036798C"/>
    <w:rsid w:val="003679AF"/>
    <w:rsid w:val="003679F8"/>
    <w:rsid w:val="00367A2E"/>
    <w:rsid w:val="00367A8E"/>
    <w:rsid w:val="00367AEB"/>
    <w:rsid w:val="00367B0C"/>
    <w:rsid w:val="00367B51"/>
    <w:rsid w:val="00367B5F"/>
    <w:rsid w:val="00367B85"/>
    <w:rsid w:val="00367B9E"/>
    <w:rsid w:val="00367BEC"/>
    <w:rsid w:val="00367BF7"/>
    <w:rsid w:val="00367DD9"/>
    <w:rsid w:val="00367DDE"/>
    <w:rsid w:val="00367DE3"/>
    <w:rsid w:val="0037007A"/>
    <w:rsid w:val="0037011B"/>
    <w:rsid w:val="0037026A"/>
    <w:rsid w:val="00370278"/>
    <w:rsid w:val="003702DB"/>
    <w:rsid w:val="00370328"/>
    <w:rsid w:val="00370331"/>
    <w:rsid w:val="0037046A"/>
    <w:rsid w:val="0037046D"/>
    <w:rsid w:val="003704E0"/>
    <w:rsid w:val="00370525"/>
    <w:rsid w:val="00370607"/>
    <w:rsid w:val="0037063A"/>
    <w:rsid w:val="00370709"/>
    <w:rsid w:val="00370802"/>
    <w:rsid w:val="00370895"/>
    <w:rsid w:val="00370970"/>
    <w:rsid w:val="003709A4"/>
    <w:rsid w:val="003709B6"/>
    <w:rsid w:val="003709BB"/>
    <w:rsid w:val="003709D7"/>
    <w:rsid w:val="003709E7"/>
    <w:rsid w:val="00370A75"/>
    <w:rsid w:val="00370B59"/>
    <w:rsid w:val="00370B8B"/>
    <w:rsid w:val="00370C1D"/>
    <w:rsid w:val="00370C8D"/>
    <w:rsid w:val="00370CB7"/>
    <w:rsid w:val="00370D4F"/>
    <w:rsid w:val="00370DDD"/>
    <w:rsid w:val="00370F7A"/>
    <w:rsid w:val="00371021"/>
    <w:rsid w:val="00371099"/>
    <w:rsid w:val="00371456"/>
    <w:rsid w:val="00371475"/>
    <w:rsid w:val="003714C4"/>
    <w:rsid w:val="003715A4"/>
    <w:rsid w:val="003715D3"/>
    <w:rsid w:val="00371757"/>
    <w:rsid w:val="00371798"/>
    <w:rsid w:val="0037181F"/>
    <w:rsid w:val="00371917"/>
    <w:rsid w:val="0037191E"/>
    <w:rsid w:val="0037195E"/>
    <w:rsid w:val="0037195F"/>
    <w:rsid w:val="00371960"/>
    <w:rsid w:val="0037196D"/>
    <w:rsid w:val="003719C2"/>
    <w:rsid w:val="003719D0"/>
    <w:rsid w:val="003719EE"/>
    <w:rsid w:val="00371A2B"/>
    <w:rsid w:val="00371A63"/>
    <w:rsid w:val="00371AAC"/>
    <w:rsid w:val="00371B48"/>
    <w:rsid w:val="00371BC0"/>
    <w:rsid w:val="00371C00"/>
    <w:rsid w:val="00371CC5"/>
    <w:rsid w:val="00371DD1"/>
    <w:rsid w:val="00371F1C"/>
    <w:rsid w:val="00372034"/>
    <w:rsid w:val="00372039"/>
    <w:rsid w:val="003720E5"/>
    <w:rsid w:val="00372149"/>
    <w:rsid w:val="003721AE"/>
    <w:rsid w:val="003721EA"/>
    <w:rsid w:val="0037227B"/>
    <w:rsid w:val="0037233C"/>
    <w:rsid w:val="003723A6"/>
    <w:rsid w:val="0037246B"/>
    <w:rsid w:val="003724C8"/>
    <w:rsid w:val="00372590"/>
    <w:rsid w:val="003725D7"/>
    <w:rsid w:val="003725F1"/>
    <w:rsid w:val="003726A4"/>
    <w:rsid w:val="003726B2"/>
    <w:rsid w:val="00372753"/>
    <w:rsid w:val="0037276F"/>
    <w:rsid w:val="00372827"/>
    <w:rsid w:val="0037284D"/>
    <w:rsid w:val="00372898"/>
    <w:rsid w:val="003728CF"/>
    <w:rsid w:val="00372992"/>
    <w:rsid w:val="00372B0D"/>
    <w:rsid w:val="00372B3E"/>
    <w:rsid w:val="00372C07"/>
    <w:rsid w:val="00372DAB"/>
    <w:rsid w:val="00372DFA"/>
    <w:rsid w:val="00372F45"/>
    <w:rsid w:val="00372F5E"/>
    <w:rsid w:val="00372F9E"/>
    <w:rsid w:val="00372FD5"/>
    <w:rsid w:val="00373029"/>
    <w:rsid w:val="0037305E"/>
    <w:rsid w:val="0037307E"/>
    <w:rsid w:val="00373101"/>
    <w:rsid w:val="0037313A"/>
    <w:rsid w:val="00373154"/>
    <w:rsid w:val="003731F3"/>
    <w:rsid w:val="0037345A"/>
    <w:rsid w:val="0037347C"/>
    <w:rsid w:val="003734B7"/>
    <w:rsid w:val="003734C7"/>
    <w:rsid w:val="003734EA"/>
    <w:rsid w:val="00373556"/>
    <w:rsid w:val="0037359B"/>
    <w:rsid w:val="003735E6"/>
    <w:rsid w:val="0037366F"/>
    <w:rsid w:val="0037368D"/>
    <w:rsid w:val="0037369D"/>
    <w:rsid w:val="00373776"/>
    <w:rsid w:val="003738E5"/>
    <w:rsid w:val="00373982"/>
    <w:rsid w:val="00373991"/>
    <w:rsid w:val="00373B6B"/>
    <w:rsid w:val="00373B8E"/>
    <w:rsid w:val="00373C7D"/>
    <w:rsid w:val="00373C96"/>
    <w:rsid w:val="00373D01"/>
    <w:rsid w:val="00373DC0"/>
    <w:rsid w:val="00373DCB"/>
    <w:rsid w:val="00373DE8"/>
    <w:rsid w:val="00373E02"/>
    <w:rsid w:val="00373E8E"/>
    <w:rsid w:val="00373EAE"/>
    <w:rsid w:val="00373FF8"/>
    <w:rsid w:val="0037400F"/>
    <w:rsid w:val="003740D3"/>
    <w:rsid w:val="003740DE"/>
    <w:rsid w:val="0037411E"/>
    <w:rsid w:val="0037417B"/>
    <w:rsid w:val="00374184"/>
    <w:rsid w:val="00374231"/>
    <w:rsid w:val="00374389"/>
    <w:rsid w:val="0037439E"/>
    <w:rsid w:val="003743B2"/>
    <w:rsid w:val="003743C4"/>
    <w:rsid w:val="003743DD"/>
    <w:rsid w:val="003744BB"/>
    <w:rsid w:val="00374507"/>
    <w:rsid w:val="00374513"/>
    <w:rsid w:val="00374522"/>
    <w:rsid w:val="0037459F"/>
    <w:rsid w:val="00374602"/>
    <w:rsid w:val="00374692"/>
    <w:rsid w:val="00374696"/>
    <w:rsid w:val="003746DF"/>
    <w:rsid w:val="003747C9"/>
    <w:rsid w:val="00374833"/>
    <w:rsid w:val="00374866"/>
    <w:rsid w:val="003748B6"/>
    <w:rsid w:val="00374907"/>
    <w:rsid w:val="0037497F"/>
    <w:rsid w:val="00374994"/>
    <w:rsid w:val="003749AC"/>
    <w:rsid w:val="00374A39"/>
    <w:rsid w:val="00374A47"/>
    <w:rsid w:val="00374A82"/>
    <w:rsid w:val="00374BC0"/>
    <w:rsid w:val="00374C63"/>
    <w:rsid w:val="00374D8D"/>
    <w:rsid w:val="00374EB0"/>
    <w:rsid w:val="00374EC1"/>
    <w:rsid w:val="00374F11"/>
    <w:rsid w:val="00374F4A"/>
    <w:rsid w:val="00374F58"/>
    <w:rsid w:val="003750C4"/>
    <w:rsid w:val="00375127"/>
    <w:rsid w:val="0037512C"/>
    <w:rsid w:val="00375156"/>
    <w:rsid w:val="0037523E"/>
    <w:rsid w:val="0037532D"/>
    <w:rsid w:val="00375338"/>
    <w:rsid w:val="00375347"/>
    <w:rsid w:val="003753BF"/>
    <w:rsid w:val="003753F9"/>
    <w:rsid w:val="00375466"/>
    <w:rsid w:val="0037546C"/>
    <w:rsid w:val="00375490"/>
    <w:rsid w:val="003754DF"/>
    <w:rsid w:val="003755D4"/>
    <w:rsid w:val="00375631"/>
    <w:rsid w:val="00375635"/>
    <w:rsid w:val="00375661"/>
    <w:rsid w:val="0037566F"/>
    <w:rsid w:val="003756C6"/>
    <w:rsid w:val="0037574C"/>
    <w:rsid w:val="0037577B"/>
    <w:rsid w:val="003757A7"/>
    <w:rsid w:val="003757F2"/>
    <w:rsid w:val="0037580E"/>
    <w:rsid w:val="0037586A"/>
    <w:rsid w:val="0037589B"/>
    <w:rsid w:val="003758E0"/>
    <w:rsid w:val="003758F7"/>
    <w:rsid w:val="00375965"/>
    <w:rsid w:val="00375970"/>
    <w:rsid w:val="003759F7"/>
    <w:rsid w:val="003759FA"/>
    <w:rsid w:val="00375A4C"/>
    <w:rsid w:val="00375ABF"/>
    <w:rsid w:val="00375AEB"/>
    <w:rsid w:val="00375B04"/>
    <w:rsid w:val="00375B2F"/>
    <w:rsid w:val="00375BEA"/>
    <w:rsid w:val="00375C22"/>
    <w:rsid w:val="00375C39"/>
    <w:rsid w:val="00375C54"/>
    <w:rsid w:val="00375CC0"/>
    <w:rsid w:val="00375D1D"/>
    <w:rsid w:val="00375D37"/>
    <w:rsid w:val="00375E44"/>
    <w:rsid w:val="00375E94"/>
    <w:rsid w:val="00375EBD"/>
    <w:rsid w:val="00375F13"/>
    <w:rsid w:val="00375F17"/>
    <w:rsid w:val="00375F24"/>
    <w:rsid w:val="00375F4A"/>
    <w:rsid w:val="00375FEA"/>
    <w:rsid w:val="00375FF0"/>
    <w:rsid w:val="0037601F"/>
    <w:rsid w:val="00376076"/>
    <w:rsid w:val="003760CB"/>
    <w:rsid w:val="003761F3"/>
    <w:rsid w:val="0037628D"/>
    <w:rsid w:val="003763F7"/>
    <w:rsid w:val="00376484"/>
    <w:rsid w:val="00376538"/>
    <w:rsid w:val="00376567"/>
    <w:rsid w:val="003765BD"/>
    <w:rsid w:val="0037661B"/>
    <w:rsid w:val="003766C0"/>
    <w:rsid w:val="00376718"/>
    <w:rsid w:val="003767A4"/>
    <w:rsid w:val="003767F4"/>
    <w:rsid w:val="00376813"/>
    <w:rsid w:val="00376820"/>
    <w:rsid w:val="00376841"/>
    <w:rsid w:val="00376867"/>
    <w:rsid w:val="0037687C"/>
    <w:rsid w:val="00376886"/>
    <w:rsid w:val="0037694A"/>
    <w:rsid w:val="0037696D"/>
    <w:rsid w:val="00376970"/>
    <w:rsid w:val="003769D1"/>
    <w:rsid w:val="003769E2"/>
    <w:rsid w:val="00376AD1"/>
    <w:rsid w:val="00376B45"/>
    <w:rsid w:val="00376B46"/>
    <w:rsid w:val="00376BDA"/>
    <w:rsid w:val="00376C46"/>
    <w:rsid w:val="00376C51"/>
    <w:rsid w:val="00376C84"/>
    <w:rsid w:val="00376CA6"/>
    <w:rsid w:val="00376CEC"/>
    <w:rsid w:val="00376D6A"/>
    <w:rsid w:val="00376DDF"/>
    <w:rsid w:val="00376F11"/>
    <w:rsid w:val="00376F2A"/>
    <w:rsid w:val="0037722E"/>
    <w:rsid w:val="0037728C"/>
    <w:rsid w:val="00377394"/>
    <w:rsid w:val="003773DA"/>
    <w:rsid w:val="00377429"/>
    <w:rsid w:val="0037745E"/>
    <w:rsid w:val="003774C2"/>
    <w:rsid w:val="0037750E"/>
    <w:rsid w:val="0037758F"/>
    <w:rsid w:val="00377595"/>
    <w:rsid w:val="003776A0"/>
    <w:rsid w:val="003776EE"/>
    <w:rsid w:val="00377710"/>
    <w:rsid w:val="003777D7"/>
    <w:rsid w:val="003777FD"/>
    <w:rsid w:val="00377810"/>
    <w:rsid w:val="00377891"/>
    <w:rsid w:val="003778AA"/>
    <w:rsid w:val="003778C7"/>
    <w:rsid w:val="00377934"/>
    <w:rsid w:val="00377947"/>
    <w:rsid w:val="003779A8"/>
    <w:rsid w:val="003779BD"/>
    <w:rsid w:val="00377A0C"/>
    <w:rsid w:val="00377A38"/>
    <w:rsid w:val="00377B1E"/>
    <w:rsid w:val="00377BEE"/>
    <w:rsid w:val="00377C39"/>
    <w:rsid w:val="00377CE8"/>
    <w:rsid w:val="00377D38"/>
    <w:rsid w:val="00377D7F"/>
    <w:rsid w:val="00377E55"/>
    <w:rsid w:val="00377E81"/>
    <w:rsid w:val="00377E8A"/>
    <w:rsid w:val="00377F47"/>
    <w:rsid w:val="00377F82"/>
    <w:rsid w:val="00377FA3"/>
    <w:rsid w:val="00377FA9"/>
    <w:rsid w:val="00377FB9"/>
    <w:rsid w:val="0038002F"/>
    <w:rsid w:val="00380040"/>
    <w:rsid w:val="0038004C"/>
    <w:rsid w:val="0038004F"/>
    <w:rsid w:val="00380098"/>
    <w:rsid w:val="003800B7"/>
    <w:rsid w:val="003801B0"/>
    <w:rsid w:val="003801D4"/>
    <w:rsid w:val="003801F6"/>
    <w:rsid w:val="0038039F"/>
    <w:rsid w:val="003803AA"/>
    <w:rsid w:val="003803D5"/>
    <w:rsid w:val="003805BD"/>
    <w:rsid w:val="00380617"/>
    <w:rsid w:val="0038064E"/>
    <w:rsid w:val="003806BF"/>
    <w:rsid w:val="00380739"/>
    <w:rsid w:val="00380750"/>
    <w:rsid w:val="003807A7"/>
    <w:rsid w:val="0038088A"/>
    <w:rsid w:val="00380A6C"/>
    <w:rsid w:val="00380B0E"/>
    <w:rsid w:val="00380B2D"/>
    <w:rsid w:val="00380BB9"/>
    <w:rsid w:val="00380BDA"/>
    <w:rsid w:val="00380DF8"/>
    <w:rsid w:val="00380E05"/>
    <w:rsid w:val="00380E42"/>
    <w:rsid w:val="00380EBE"/>
    <w:rsid w:val="00380FBE"/>
    <w:rsid w:val="00380FCD"/>
    <w:rsid w:val="003810AF"/>
    <w:rsid w:val="00381169"/>
    <w:rsid w:val="00381181"/>
    <w:rsid w:val="0038118A"/>
    <w:rsid w:val="00381252"/>
    <w:rsid w:val="0038125B"/>
    <w:rsid w:val="003812CB"/>
    <w:rsid w:val="0038130A"/>
    <w:rsid w:val="0038133D"/>
    <w:rsid w:val="00381355"/>
    <w:rsid w:val="00381369"/>
    <w:rsid w:val="0038139D"/>
    <w:rsid w:val="00381525"/>
    <w:rsid w:val="0038156D"/>
    <w:rsid w:val="00381632"/>
    <w:rsid w:val="003816B4"/>
    <w:rsid w:val="00381712"/>
    <w:rsid w:val="0038171C"/>
    <w:rsid w:val="00381793"/>
    <w:rsid w:val="003817E4"/>
    <w:rsid w:val="00381821"/>
    <w:rsid w:val="00381857"/>
    <w:rsid w:val="00381904"/>
    <w:rsid w:val="00381907"/>
    <w:rsid w:val="0038192E"/>
    <w:rsid w:val="00381A0C"/>
    <w:rsid w:val="00381A48"/>
    <w:rsid w:val="00381A73"/>
    <w:rsid w:val="00381ADD"/>
    <w:rsid w:val="00381B63"/>
    <w:rsid w:val="00381C10"/>
    <w:rsid w:val="00381CB9"/>
    <w:rsid w:val="00381CD6"/>
    <w:rsid w:val="00381CE9"/>
    <w:rsid w:val="00381CEF"/>
    <w:rsid w:val="00381D07"/>
    <w:rsid w:val="00381D0E"/>
    <w:rsid w:val="00381D15"/>
    <w:rsid w:val="00381D9A"/>
    <w:rsid w:val="00381FA2"/>
    <w:rsid w:val="00382075"/>
    <w:rsid w:val="0038210D"/>
    <w:rsid w:val="00382128"/>
    <w:rsid w:val="00382132"/>
    <w:rsid w:val="003821CA"/>
    <w:rsid w:val="0038227F"/>
    <w:rsid w:val="0038235E"/>
    <w:rsid w:val="003823FD"/>
    <w:rsid w:val="00382583"/>
    <w:rsid w:val="003825DE"/>
    <w:rsid w:val="0038264E"/>
    <w:rsid w:val="00382682"/>
    <w:rsid w:val="003826B4"/>
    <w:rsid w:val="003826B6"/>
    <w:rsid w:val="00382769"/>
    <w:rsid w:val="00382781"/>
    <w:rsid w:val="00382861"/>
    <w:rsid w:val="00382919"/>
    <w:rsid w:val="00382AB5"/>
    <w:rsid w:val="00382B48"/>
    <w:rsid w:val="00382B9A"/>
    <w:rsid w:val="00382BDD"/>
    <w:rsid w:val="00382BE3"/>
    <w:rsid w:val="00382C44"/>
    <w:rsid w:val="00382D85"/>
    <w:rsid w:val="00382E62"/>
    <w:rsid w:val="00382F02"/>
    <w:rsid w:val="00382F52"/>
    <w:rsid w:val="0038308F"/>
    <w:rsid w:val="00383135"/>
    <w:rsid w:val="00383182"/>
    <w:rsid w:val="00383289"/>
    <w:rsid w:val="00383404"/>
    <w:rsid w:val="00383446"/>
    <w:rsid w:val="00383518"/>
    <w:rsid w:val="00383523"/>
    <w:rsid w:val="0038353C"/>
    <w:rsid w:val="00383573"/>
    <w:rsid w:val="003835FF"/>
    <w:rsid w:val="00383611"/>
    <w:rsid w:val="00383625"/>
    <w:rsid w:val="00383630"/>
    <w:rsid w:val="00383737"/>
    <w:rsid w:val="0038373D"/>
    <w:rsid w:val="00383892"/>
    <w:rsid w:val="00383917"/>
    <w:rsid w:val="00383936"/>
    <w:rsid w:val="00383999"/>
    <w:rsid w:val="00383A2A"/>
    <w:rsid w:val="00383A6D"/>
    <w:rsid w:val="00383A8C"/>
    <w:rsid w:val="00383BCA"/>
    <w:rsid w:val="00383BFF"/>
    <w:rsid w:val="00383D0B"/>
    <w:rsid w:val="00383D68"/>
    <w:rsid w:val="00383E93"/>
    <w:rsid w:val="00383ECA"/>
    <w:rsid w:val="00383ECD"/>
    <w:rsid w:val="00384009"/>
    <w:rsid w:val="00384039"/>
    <w:rsid w:val="00384048"/>
    <w:rsid w:val="0038422C"/>
    <w:rsid w:val="0038439C"/>
    <w:rsid w:val="00384414"/>
    <w:rsid w:val="0038444C"/>
    <w:rsid w:val="00384494"/>
    <w:rsid w:val="00384572"/>
    <w:rsid w:val="003845F8"/>
    <w:rsid w:val="0038476B"/>
    <w:rsid w:val="0038477B"/>
    <w:rsid w:val="0038478C"/>
    <w:rsid w:val="00384868"/>
    <w:rsid w:val="003848C8"/>
    <w:rsid w:val="0038490A"/>
    <w:rsid w:val="003849CA"/>
    <w:rsid w:val="00384A21"/>
    <w:rsid w:val="00384A30"/>
    <w:rsid w:val="00384ABB"/>
    <w:rsid w:val="00384B8D"/>
    <w:rsid w:val="00384BD7"/>
    <w:rsid w:val="00384C3D"/>
    <w:rsid w:val="00384C82"/>
    <w:rsid w:val="00384CBC"/>
    <w:rsid w:val="00384D0F"/>
    <w:rsid w:val="00384D78"/>
    <w:rsid w:val="00384DBE"/>
    <w:rsid w:val="00384E24"/>
    <w:rsid w:val="00384F29"/>
    <w:rsid w:val="00384F2B"/>
    <w:rsid w:val="00384FBD"/>
    <w:rsid w:val="00384FCF"/>
    <w:rsid w:val="0038501F"/>
    <w:rsid w:val="0038515E"/>
    <w:rsid w:val="0038519E"/>
    <w:rsid w:val="003851AD"/>
    <w:rsid w:val="00385449"/>
    <w:rsid w:val="003854AF"/>
    <w:rsid w:val="00385539"/>
    <w:rsid w:val="00385652"/>
    <w:rsid w:val="0038565A"/>
    <w:rsid w:val="00385668"/>
    <w:rsid w:val="003856AE"/>
    <w:rsid w:val="003856F5"/>
    <w:rsid w:val="00385737"/>
    <w:rsid w:val="0038578A"/>
    <w:rsid w:val="003857AA"/>
    <w:rsid w:val="00385917"/>
    <w:rsid w:val="00385930"/>
    <w:rsid w:val="00385939"/>
    <w:rsid w:val="00385998"/>
    <w:rsid w:val="003859D4"/>
    <w:rsid w:val="00385ABF"/>
    <w:rsid w:val="00385B14"/>
    <w:rsid w:val="00385CB4"/>
    <w:rsid w:val="00385CB5"/>
    <w:rsid w:val="00385D4C"/>
    <w:rsid w:val="00385D63"/>
    <w:rsid w:val="00385DA5"/>
    <w:rsid w:val="00385DB7"/>
    <w:rsid w:val="00385ED1"/>
    <w:rsid w:val="00385EEB"/>
    <w:rsid w:val="00385F55"/>
    <w:rsid w:val="00385FD4"/>
    <w:rsid w:val="003860C1"/>
    <w:rsid w:val="0038617A"/>
    <w:rsid w:val="003861B7"/>
    <w:rsid w:val="003861E5"/>
    <w:rsid w:val="003862FC"/>
    <w:rsid w:val="00386322"/>
    <w:rsid w:val="00386347"/>
    <w:rsid w:val="0038639D"/>
    <w:rsid w:val="00386408"/>
    <w:rsid w:val="00386422"/>
    <w:rsid w:val="00386454"/>
    <w:rsid w:val="00386463"/>
    <w:rsid w:val="00386473"/>
    <w:rsid w:val="00386488"/>
    <w:rsid w:val="0038649E"/>
    <w:rsid w:val="00386537"/>
    <w:rsid w:val="00386552"/>
    <w:rsid w:val="003865A4"/>
    <w:rsid w:val="003865C2"/>
    <w:rsid w:val="003866BB"/>
    <w:rsid w:val="00386723"/>
    <w:rsid w:val="00386743"/>
    <w:rsid w:val="0038675B"/>
    <w:rsid w:val="0038680C"/>
    <w:rsid w:val="0038682B"/>
    <w:rsid w:val="0038687C"/>
    <w:rsid w:val="00386881"/>
    <w:rsid w:val="003868C2"/>
    <w:rsid w:val="00386938"/>
    <w:rsid w:val="0038693F"/>
    <w:rsid w:val="0038695D"/>
    <w:rsid w:val="00386985"/>
    <w:rsid w:val="00386A13"/>
    <w:rsid w:val="00386A38"/>
    <w:rsid w:val="00386A4D"/>
    <w:rsid w:val="00386AC6"/>
    <w:rsid w:val="00386B7E"/>
    <w:rsid w:val="00386C3B"/>
    <w:rsid w:val="00386C4B"/>
    <w:rsid w:val="00386CED"/>
    <w:rsid w:val="00386CF4"/>
    <w:rsid w:val="00386E67"/>
    <w:rsid w:val="00386E76"/>
    <w:rsid w:val="00386F30"/>
    <w:rsid w:val="00386FEA"/>
    <w:rsid w:val="00387094"/>
    <w:rsid w:val="003870E0"/>
    <w:rsid w:val="00387114"/>
    <w:rsid w:val="003872C2"/>
    <w:rsid w:val="003872D4"/>
    <w:rsid w:val="0038737A"/>
    <w:rsid w:val="00387393"/>
    <w:rsid w:val="003873BE"/>
    <w:rsid w:val="003873F9"/>
    <w:rsid w:val="0038751C"/>
    <w:rsid w:val="00387592"/>
    <w:rsid w:val="00387764"/>
    <w:rsid w:val="0038780C"/>
    <w:rsid w:val="00387900"/>
    <w:rsid w:val="0038796E"/>
    <w:rsid w:val="00387971"/>
    <w:rsid w:val="003879CA"/>
    <w:rsid w:val="003879FA"/>
    <w:rsid w:val="00387A0C"/>
    <w:rsid w:val="00387A14"/>
    <w:rsid w:val="00387B1E"/>
    <w:rsid w:val="00387B26"/>
    <w:rsid w:val="00387B48"/>
    <w:rsid w:val="00387B83"/>
    <w:rsid w:val="00387BDD"/>
    <w:rsid w:val="00387BF2"/>
    <w:rsid w:val="00387CB2"/>
    <w:rsid w:val="00387CBC"/>
    <w:rsid w:val="00387D38"/>
    <w:rsid w:val="00387EA7"/>
    <w:rsid w:val="00387F1F"/>
    <w:rsid w:val="00387F74"/>
    <w:rsid w:val="00387F95"/>
    <w:rsid w:val="00387FD7"/>
    <w:rsid w:val="00387FE8"/>
    <w:rsid w:val="00387FF1"/>
    <w:rsid w:val="00390000"/>
    <w:rsid w:val="003900B6"/>
    <w:rsid w:val="003900DA"/>
    <w:rsid w:val="00390210"/>
    <w:rsid w:val="0039033D"/>
    <w:rsid w:val="00390365"/>
    <w:rsid w:val="00390433"/>
    <w:rsid w:val="00390470"/>
    <w:rsid w:val="00390485"/>
    <w:rsid w:val="00390528"/>
    <w:rsid w:val="003905A5"/>
    <w:rsid w:val="0039066D"/>
    <w:rsid w:val="003907B5"/>
    <w:rsid w:val="0039084D"/>
    <w:rsid w:val="00390898"/>
    <w:rsid w:val="003908DE"/>
    <w:rsid w:val="0039092F"/>
    <w:rsid w:val="0039093D"/>
    <w:rsid w:val="00390940"/>
    <w:rsid w:val="00390A6B"/>
    <w:rsid w:val="00390B67"/>
    <w:rsid w:val="00390C39"/>
    <w:rsid w:val="00390C66"/>
    <w:rsid w:val="00390D41"/>
    <w:rsid w:val="00390DE0"/>
    <w:rsid w:val="00390E92"/>
    <w:rsid w:val="00390EA6"/>
    <w:rsid w:val="00390EB8"/>
    <w:rsid w:val="00390F8E"/>
    <w:rsid w:val="00390FF2"/>
    <w:rsid w:val="00391033"/>
    <w:rsid w:val="00391035"/>
    <w:rsid w:val="00391121"/>
    <w:rsid w:val="00391259"/>
    <w:rsid w:val="0039125B"/>
    <w:rsid w:val="00391261"/>
    <w:rsid w:val="003913F8"/>
    <w:rsid w:val="003913FD"/>
    <w:rsid w:val="0039148D"/>
    <w:rsid w:val="003914E8"/>
    <w:rsid w:val="00391540"/>
    <w:rsid w:val="003917C4"/>
    <w:rsid w:val="00391800"/>
    <w:rsid w:val="00391872"/>
    <w:rsid w:val="00391915"/>
    <w:rsid w:val="00391937"/>
    <w:rsid w:val="00391979"/>
    <w:rsid w:val="003919CE"/>
    <w:rsid w:val="00391A27"/>
    <w:rsid w:val="00391AA2"/>
    <w:rsid w:val="00391AC3"/>
    <w:rsid w:val="00391B5D"/>
    <w:rsid w:val="00391B9E"/>
    <w:rsid w:val="00391BAA"/>
    <w:rsid w:val="00391BF6"/>
    <w:rsid w:val="00391EE8"/>
    <w:rsid w:val="00391F7C"/>
    <w:rsid w:val="00391FF3"/>
    <w:rsid w:val="00392127"/>
    <w:rsid w:val="00392144"/>
    <w:rsid w:val="003921CA"/>
    <w:rsid w:val="00392205"/>
    <w:rsid w:val="0039220B"/>
    <w:rsid w:val="00392222"/>
    <w:rsid w:val="00392266"/>
    <w:rsid w:val="00392310"/>
    <w:rsid w:val="0039240B"/>
    <w:rsid w:val="00392497"/>
    <w:rsid w:val="0039258D"/>
    <w:rsid w:val="003925E2"/>
    <w:rsid w:val="0039266C"/>
    <w:rsid w:val="00392736"/>
    <w:rsid w:val="003927AC"/>
    <w:rsid w:val="00392808"/>
    <w:rsid w:val="0039283C"/>
    <w:rsid w:val="0039292B"/>
    <w:rsid w:val="00392994"/>
    <w:rsid w:val="003929AE"/>
    <w:rsid w:val="00392A18"/>
    <w:rsid w:val="00392BD8"/>
    <w:rsid w:val="00392BF2"/>
    <w:rsid w:val="00392C86"/>
    <w:rsid w:val="00392E51"/>
    <w:rsid w:val="00392EE9"/>
    <w:rsid w:val="00392F29"/>
    <w:rsid w:val="00392F7D"/>
    <w:rsid w:val="00392F90"/>
    <w:rsid w:val="00392FA7"/>
    <w:rsid w:val="003930AD"/>
    <w:rsid w:val="003931C1"/>
    <w:rsid w:val="003931EF"/>
    <w:rsid w:val="003931FF"/>
    <w:rsid w:val="00393203"/>
    <w:rsid w:val="0039320F"/>
    <w:rsid w:val="0039324B"/>
    <w:rsid w:val="003932D6"/>
    <w:rsid w:val="00393379"/>
    <w:rsid w:val="0039342C"/>
    <w:rsid w:val="0039345E"/>
    <w:rsid w:val="00393464"/>
    <w:rsid w:val="00393487"/>
    <w:rsid w:val="003935AD"/>
    <w:rsid w:val="003935DA"/>
    <w:rsid w:val="003935EC"/>
    <w:rsid w:val="003936F8"/>
    <w:rsid w:val="003937AF"/>
    <w:rsid w:val="003937C6"/>
    <w:rsid w:val="00393889"/>
    <w:rsid w:val="003938BF"/>
    <w:rsid w:val="0039397F"/>
    <w:rsid w:val="003939A8"/>
    <w:rsid w:val="00393B0E"/>
    <w:rsid w:val="00393B5F"/>
    <w:rsid w:val="00393C95"/>
    <w:rsid w:val="00393CC1"/>
    <w:rsid w:val="00393DC6"/>
    <w:rsid w:val="00393DEC"/>
    <w:rsid w:val="00393E34"/>
    <w:rsid w:val="00393E44"/>
    <w:rsid w:val="00393E51"/>
    <w:rsid w:val="00393E7C"/>
    <w:rsid w:val="00393F27"/>
    <w:rsid w:val="00393F86"/>
    <w:rsid w:val="003940EC"/>
    <w:rsid w:val="0039414C"/>
    <w:rsid w:val="0039419E"/>
    <w:rsid w:val="003941DD"/>
    <w:rsid w:val="003941F4"/>
    <w:rsid w:val="0039420F"/>
    <w:rsid w:val="0039425B"/>
    <w:rsid w:val="0039425E"/>
    <w:rsid w:val="0039430D"/>
    <w:rsid w:val="00394361"/>
    <w:rsid w:val="003943A0"/>
    <w:rsid w:val="003943B9"/>
    <w:rsid w:val="0039449B"/>
    <w:rsid w:val="003944A2"/>
    <w:rsid w:val="003944E4"/>
    <w:rsid w:val="00394678"/>
    <w:rsid w:val="00394704"/>
    <w:rsid w:val="00394727"/>
    <w:rsid w:val="0039490E"/>
    <w:rsid w:val="0039494D"/>
    <w:rsid w:val="003949C4"/>
    <w:rsid w:val="003949ED"/>
    <w:rsid w:val="00394A46"/>
    <w:rsid w:val="00394A96"/>
    <w:rsid w:val="00394AB4"/>
    <w:rsid w:val="00394B67"/>
    <w:rsid w:val="00394BF9"/>
    <w:rsid w:val="00394C02"/>
    <w:rsid w:val="00394C3C"/>
    <w:rsid w:val="00394C8A"/>
    <w:rsid w:val="00394C93"/>
    <w:rsid w:val="00394C9A"/>
    <w:rsid w:val="00394CF5"/>
    <w:rsid w:val="00394D05"/>
    <w:rsid w:val="00394DBA"/>
    <w:rsid w:val="00394DEB"/>
    <w:rsid w:val="00394F75"/>
    <w:rsid w:val="0039514E"/>
    <w:rsid w:val="00395254"/>
    <w:rsid w:val="0039528E"/>
    <w:rsid w:val="003952A7"/>
    <w:rsid w:val="00395369"/>
    <w:rsid w:val="00395388"/>
    <w:rsid w:val="003953A5"/>
    <w:rsid w:val="00395459"/>
    <w:rsid w:val="0039545C"/>
    <w:rsid w:val="00395470"/>
    <w:rsid w:val="0039560B"/>
    <w:rsid w:val="00395625"/>
    <w:rsid w:val="00395642"/>
    <w:rsid w:val="00395741"/>
    <w:rsid w:val="0039581C"/>
    <w:rsid w:val="0039583B"/>
    <w:rsid w:val="00395850"/>
    <w:rsid w:val="00395975"/>
    <w:rsid w:val="003959CF"/>
    <w:rsid w:val="003959E1"/>
    <w:rsid w:val="00395A0A"/>
    <w:rsid w:val="00395A4B"/>
    <w:rsid w:val="00395A79"/>
    <w:rsid w:val="00395AA6"/>
    <w:rsid w:val="00395B04"/>
    <w:rsid w:val="00395BA1"/>
    <w:rsid w:val="00395C41"/>
    <w:rsid w:val="00395CE7"/>
    <w:rsid w:val="00395E5C"/>
    <w:rsid w:val="00395EAB"/>
    <w:rsid w:val="00395EC4"/>
    <w:rsid w:val="00395F0A"/>
    <w:rsid w:val="0039607A"/>
    <w:rsid w:val="003960EA"/>
    <w:rsid w:val="00396137"/>
    <w:rsid w:val="00396161"/>
    <w:rsid w:val="003961FF"/>
    <w:rsid w:val="00396244"/>
    <w:rsid w:val="00396336"/>
    <w:rsid w:val="00396342"/>
    <w:rsid w:val="00396347"/>
    <w:rsid w:val="00396390"/>
    <w:rsid w:val="003963F2"/>
    <w:rsid w:val="0039649E"/>
    <w:rsid w:val="00396541"/>
    <w:rsid w:val="0039655C"/>
    <w:rsid w:val="00396562"/>
    <w:rsid w:val="003967D9"/>
    <w:rsid w:val="00396805"/>
    <w:rsid w:val="003969D3"/>
    <w:rsid w:val="00396A36"/>
    <w:rsid w:val="00396A83"/>
    <w:rsid w:val="00396AA9"/>
    <w:rsid w:val="00396ACD"/>
    <w:rsid w:val="00396AF0"/>
    <w:rsid w:val="00396B29"/>
    <w:rsid w:val="00396B4C"/>
    <w:rsid w:val="00396B7B"/>
    <w:rsid w:val="00396BA5"/>
    <w:rsid w:val="00396D0E"/>
    <w:rsid w:val="00396DA1"/>
    <w:rsid w:val="00396DCD"/>
    <w:rsid w:val="00396E1E"/>
    <w:rsid w:val="00396E67"/>
    <w:rsid w:val="00396EFB"/>
    <w:rsid w:val="00396F0C"/>
    <w:rsid w:val="00396F4F"/>
    <w:rsid w:val="00396F75"/>
    <w:rsid w:val="00396F89"/>
    <w:rsid w:val="00396F93"/>
    <w:rsid w:val="00396FD7"/>
    <w:rsid w:val="00396FF5"/>
    <w:rsid w:val="0039707D"/>
    <w:rsid w:val="0039714A"/>
    <w:rsid w:val="00397160"/>
    <w:rsid w:val="003971C2"/>
    <w:rsid w:val="003971D4"/>
    <w:rsid w:val="00397314"/>
    <w:rsid w:val="00397373"/>
    <w:rsid w:val="0039737E"/>
    <w:rsid w:val="00397400"/>
    <w:rsid w:val="00397414"/>
    <w:rsid w:val="0039745E"/>
    <w:rsid w:val="00397462"/>
    <w:rsid w:val="0039746D"/>
    <w:rsid w:val="003974DA"/>
    <w:rsid w:val="003974EF"/>
    <w:rsid w:val="0039753F"/>
    <w:rsid w:val="00397589"/>
    <w:rsid w:val="003975EF"/>
    <w:rsid w:val="00397605"/>
    <w:rsid w:val="00397656"/>
    <w:rsid w:val="003976BF"/>
    <w:rsid w:val="00397761"/>
    <w:rsid w:val="0039777D"/>
    <w:rsid w:val="00397803"/>
    <w:rsid w:val="0039782C"/>
    <w:rsid w:val="00397869"/>
    <w:rsid w:val="003978AC"/>
    <w:rsid w:val="0039790A"/>
    <w:rsid w:val="00397982"/>
    <w:rsid w:val="0039798C"/>
    <w:rsid w:val="00397A1C"/>
    <w:rsid w:val="00397A91"/>
    <w:rsid w:val="00397AF1"/>
    <w:rsid w:val="00397B2D"/>
    <w:rsid w:val="00397D06"/>
    <w:rsid w:val="00397DAE"/>
    <w:rsid w:val="00397F88"/>
    <w:rsid w:val="00397FC5"/>
    <w:rsid w:val="003A0016"/>
    <w:rsid w:val="003A003F"/>
    <w:rsid w:val="003A0181"/>
    <w:rsid w:val="003A01D8"/>
    <w:rsid w:val="003A0205"/>
    <w:rsid w:val="003A0278"/>
    <w:rsid w:val="003A02A7"/>
    <w:rsid w:val="003A02DC"/>
    <w:rsid w:val="003A03A6"/>
    <w:rsid w:val="003A0430"/>
    <w:rsid w:val="003A0478"/>
    <w:rsid w:val="003A04AE"/>
    <w:rsid w:val="003A050A"/>
    <w:rsid w:val="003A0568"/>
    <w:rsid w:val="003A05D4"/>
    <w:rsid w:val="003A05F5"/>
    <w:rsid w:val="003A05F7"/>
    <w:rsid w:val="003A0664"/>
    <w:rsid w:val="003A0665"/>
    <w:rsid w:val="003A067D"/>
    <w:rsid w:val="003A06A3"/>
    <w:rsid w:val="003A06C2"/>
    <w:rsid w:val="003A06EF"/>
    <w:rsid w:val="003A0779"/>
    <w:rsid w:val="003A07BD"/>
    <w:rsid w:val="003A07C1"/>
    <w:rsid w:val="003A0882"/>
    <w:rsid w:val="003A08C4"/>
    <w:rsid w:val="003A0938"/>
    <w:rsid w:val="003A0A0F"/>
    <w:rsid w:val="003A0B6A"/>
    <w:rsid w:val="003A0C83"/>
    <w:rsid w:val="003A0CCA"/>
    <w:rsid w:val="003A0D60"/>
    <w:rsid w:val="003A0D62"/>
    <w:rsid w:val="003A0DFF"/>
    <w:rsid w:val="003A0EB1"/>
    <w:rsid w:val="003A0F0B"/>
    <w:rsid w:val="003A1004"/>
    <w:rsid w:val="003A1053"/>
    <w:rsid w:val="003A117B"/>
    <w:rsid w:val="003A1346"/>
    <w:rsid w:val="003A1406"/>
    <w:rsid w:val="003A14FF"/>
    <w:rsid w:val="003A150C"/>
    <w:rsid w:val="003A1552"/>
    <w:rsid w:val="003A15CA"/>
    <w:rsid w:val="003A1624"/>
    <w:rsid w:val="003A16A5"/>
    <w:rsid w:val="003A16F6"/>
    <w:rsid w:val="003A1701"/>
    <w:rsid w:val="003A172B"/>
    <w:rsid w:val="003A177F"/>
    <w:rsid w:val="003A1826"/>
    <w:rsid w:val="003A1941"/>
    <w:rsid w:val="003A1B64"/>
    <w:rsid w:val="003A1B99"/>
    <w:rsid w:val="003A1BB2"/>
    <w:rsid w:val="003A1BBF"/>
    <w:rsid w:val="003A1BDC"/>
    <w:rsid w:val="003A1C85"/>
    <w:rsid w:val="003A1CCF"/>
    <w:rsid w:val="003A1CDC"/>
    <w:rsid w:val="003A1E83"/>
    <w:rsid w:val="003A1F11"/>
    <w:rsid w:val="003A1F15"/>
    <w:rsid w:val="003A1F84"/>
    <w:rsid w:val="003A1FCB"/>
    <w:rsid w:val="003A2076"/>
    <w:rsid w:val="003A2084"/>
    <w:rsid w:val="003A2098"/>
    <w:rsid w:val="003A2169"/>
    <w:rsid w:val="003A21C5"/>
    <w:rsid w:val="003A2251"/>
    <w:rsid w:val="003A2288"/>
    <w:rsid w:val="003A22CD"/>
    <w:rsid w:val="003A23CE"/>
    <w:rsid w:val="003A23F7"/>
    <w:rsid w:val="003A241B"/>
    <w:rsid w:val="003A2463"/>
    <w:rsid w:val="003A247D"/>
    <w:rsid w:val="003A247E"/>
    <w:rsid w:val="003A24FE"/>
    <w:rsid w:val="003A25FE"/>
    <w:rsid w:val="003A26A5"/>
    <w:rsid w:val="003A273C"/>
    <w:rsid w:val="003A2867"/>
    <w:rsid w:val="003A287B"/>
    <w:rsid w:val="003A28B2"/>
    <w:rsid w:val="003A2901"/>
    <w:rsid w:val="003A2942"/>
    <w:rsid w:val="003A299D"/>
    <w:rsid w:val="003A29AE"/>
    <w:rsid w:val="003A2A44"/>
    <w:rsid w:val="003A2A76"/>
    <w:rsid w:val="003A2A97"/>
    <w:rsid w:val="003A2B99"/>
    <w:rsid w:val="003A2D8B"/>
    <w:rsid w:val="003A2DFA"/>
    <w:rsid w:val="003A2E83"/>
    <w:rsid w:val="003A2E99"/>
    <w:rsid w:val="003A2EB1"/>
    <w:rsid w:val="003A2F09"/>
    <w:rsid w:val="003A2F28"/>
    <w:rsid w:val="003A2F34"/>
    <w:rsid w:val="003A30DC"/>
    <w:rsid w:val="003A30FF"/>
    <w:rsid w:val="003A3125"/>
    <w:rsid w:val="003A3154"/>
    <w:rsid w:val="003A3176"/>
    <w:rsid w:val="003A31A2"/>
    <w:rsid w:val="003A31AD"/>
    <w:rsid w:val="003A31C1"/>
    <w:rsid w:val="003A31D0"/>
    <w:rsid w:val="003A31D1"/>
    <w:rsid w:val="003A31D4"/>
    <w:rsid w:val="003A321E"/>
    <w:rsid w:val="003A3258"/>
    <w:rsid w:val="003A328D"/>
    <w:rsid w:val="003A32A7"/>
    <w:rsid w:val="003A32BD"/>
    <w:rsid w:val="003A32C7"/>
    <w:rsid w:val="003A32ED"/>
    <w:rsid w:val="003A3323"/>
    <w:rsid w:val="003A334E"/>
    <w:rsid w:val="003A33BD"/>
    <w:rsid w:val="003A33BE"/>
    <w:rsid w:val="003A34B3"/>
    <w:rsid w:val="003A34D4"/>
    <w:rsid w:val="003A350B"/>
    <w:rsid w:val="003A3547"/>
    <w:rsid w:val="003A3675"/>
    <w:rsid w:val="003A3677"/>
    <w:rsid w:val="003A36A0"/>
    <w:rsid w:val="003A36C1"/>
    <w:rsid w:val="003A36E1"/>
    <w:rsid w:val="003A3724"/>
    <w:rsid w:val="003A37D5"/>
    <w:rsid w:val="003A37F3"/>
    <w:rsid w:val="003A37FB"/>
    <w:rsid w:val="003A380B"/>
    <w:rsid w:val="003A3820"/>
    <w:rsid w:val="003A399B"/>
    <w:rsid w:val="003A39D1"/>
    <w:rsid w:val="003A39EC"/>
    <w:rsid w:val="003A3A1A"/>
    <w:rsid w:val="003A3A31"/>
    <w:rsid w:val="003A3AB7"/>
    <w:rsid w:val="003A3AEE"/>
    <w:rsid w:val="003A3B48"/>
    <w:rsid w:val="003A3B5F"/>
    <w:rsid w:val="003A3B9E"/>
    <w:rsid w:val="003A3D0C"/>
    <w:rsid w:val="003A3D10"/>
    <w:rsid w:val="003A3D81"/>
    <w:rsid w:val="003A3D99"/>
    <w:rsid w:val="003A3E26"/>
    <w:rsid w:val="003A4028"/>
    <w:rsid w:val="003A4097"/>
    <w:rsid w:val="003A40B2"/>
    <w:rsid w:val="003A40B9"/>
    <w:rsid w:val="003A411A"/>
    <w:rsid w:val="003A4143"/>
    <w:rsid w:val="003A4160"/>
    <w:rsid w:val="003A4162"/>
    <w:rsid w:val="003A4169"/>
    <w:rsid w:val="003A4238"/>
    <w:rsid w:val="003A42C5"/>
    <w:rsid w:val="003A44AE"/>
    <w:rsid w:val="003A456F"/>
    <w:rsid w:val="003A45B0"/>
    <w:rsid w:val="003A4626"/>
    <w:rsid w:val="003A4664"/>
    <w:rsid w:val="003A46FF"/>
    <w:rsid w:val="003A471D"/>
    <w:rsid w:val="003A476E"/>
    <w:rsid w:val="003A47F9"/>
    <w:rsid w:val="003A494F"/>
    <w:rsid w:val="003A498F"/>
    <w:rsid w:val="003A4990"/>
    <w:rsid w:val="003A49F5"/>
    <w:rsid w:val="003A4AE6"/>
    <w:rsid w:val="003A4AF1"/>
    <w:rsid w:val="003A4B6D"/>
    <w:rsid w:val="003A4C62"/>
    <w:rsid w:val="003A4CC0"/>
    <w:rsid w:val="003A4CC9"/>
    <w:rsid w:val="003A4DA2"/>
    <w:rsid w:val="003A4E8A"/>
    <w:rsid w:val="003A4F58"/>
    <w:rsid w:val="003A4F7D"/>
    <w:rsid w:val="003A4F9E"/>
    <w:rsid w:val="003A50AF"/>
    <w:rsid w:val="003A50BD"/>
    <w:rsid w:val="003A5199"/>
    <w:rsid w:val="003A52EB"/>
    <w:rsid w:val="003A52F3"/>
    <w:rsid w:val="003A5332"/>
    <w:rsid w:val="003A53BE"/>
    <w:rsid w:val="003A54CC"/>
    <w:rsid w:val="003A5504"/>
    <w:rsid w:val="003A551C"/>
    <w:rsid w:val="003A5571"/>
    <w:rsid w:val="003A56DA"/>
    <w:rsid w:val="003A56FD"/>
    <w:rsid w:val="003A578C"/>
    <w:rsid w:val="003A57E5"/>
    <w:rsid w:val="003A5815"/>
    <w:rsid w:val="003A5821"/>
    <w:rsid w:val="003A5829"/>
    <w:rsid w:val="003A5834"/>
    <w:rsid w:val="003A58AA"/>
    <w:rsid w:val="003A5973"/>
    <w:rsid w:val="003A5B06"/>
    <w:rsid w:val="003A5B2E"/>
    <w:rsid w:val="003A5B32"/>
    <w:rsid w:val="003A5B81"/>
    <w:rsid w:val="003A5B93"/>
    <w:rsid w:val="003A5C99"/>
    <w:rsid w:val="003A5CC3"/>
    <w:rsid w:val="003A5D27"/>
    <w:rsid w:val="003A5D99"/>
    <w:rsid w:val="003A5E4D"/>
    <w:rsid w:val="003A5EBF"/>
    <w:rsid w:val="003A5F4F"/>
    <w:rsid w:val="003A5F5E"/>
    <w:rsid w:val="003A60B8"/>
    <w:rsid w:val="003A6102"/>
    <w:rsid w:val="003A613D"/>
    <w:rsid w:val="003A613E"/>
    <w:rsid w:val="003A6170"/>
    <w:rsid w:val="003A620F"/>
    <w:rsid w:val="003A628C"/>
    <w:rsid w:val="003A62C7"/>
    <w:rsid w:val="003A637F"/>
    <w:rsid w:val="003A63B2"/>
    <w:rsid w:val="003A63C5"/>
    <w:rsid w:val="003A63DD"/>
    <w:rsid w:val="003A63DF"/>
    <w:rsid w:val="003A6415"/>
    <w:rsid w:val="003A643A"/>
    <w:rsid w:val="003A6486"/>
    <w:rsid w:val="003A651A"/>
    <w:rsid w:val="003A6535"/>
    <w:rsid w:val="003A65CA"/>
    <w:rsid w:val="003A6670"/>
    <w:rsid w:val="003A66C7"/>
    <w:rsid w:val="003A66ED"/>
    <w:rsid w:val="003A67B2"/>
    <w:rsid w:val="003A6807"/>
    <w:rsid w:val="003A684D"/>
    <w:rsid w:val="003A687C"/>
    <w:rsid w:val="003A6887"/>
    <w:rsid w:val="003A6906"/>
    <w:rsid w:val="003A6916"/>
    <w:rsid w:val="003A6963"/>
    <w:rsid w:val="003A6994"/>
    <w:rsid w:val="003A69CF"/>
    <w:rsid w:val="003A69FE"/>
    <w:rsid w:val="003A6B6E"/>
    <w:rsid w:val="003A6BEF"/>
    <w:rsid w:val="003A6C67"/>
    <w:rsid w:val="003A6CD4"/>
    <w:rsid w:val="003A6D35"/>
    <w:rsid w:val="003A6E33"/>
    <w:rsid w:val="003A6EDD"/>
    <w:rsid w:val="003A6F13"/>
    <w:rsid w:val="003A6FA3"/>
    <w:rsid w:val="003A7014"/>
    <w:rsid w:val="003A701B"/>
    <w:rsid w:val="003A7042"/>
    <w:rsid w:val="003A712A"/>
    <w:rsid w:val="003A7381"/>
    <w:rsid w:val="003A73F9"/>
    <w:rsid w:val="003A7524"/>
    <w:rsid w:val="003A7545"/>
    <w:rsid w:val="003A75CD"/>
    <w:rsid w:val="003A75E1"/>
    <w:rsid w:val="003A764A"/>
    <w:rsid w:val="003A76CF"/>
    <w:rsid w:val="003A770C"/>
    <w:rsid w:val="003A77A4"/>
    <w:rsid w:val="003A77F8"/>
    <w:rsid w:val="003A7948"/>
    <w:rsid w:val="003A79B3"/>
    <w:rsid w:val="003A7AA8"/>
    <w:rsid w:val="003A7B18"/>
    <w:rsid w:val="003A7B35"/>
    <w:rsid w:val="003A7B5B"/>
    <w:rsid w:val="003A7B79"/>
    <w:rsid w:val="003A7C17"/>
    <w:rsid w:val="003A7C6E"/>
    <w:rsid w:val="003A7C7C"/>
    <w:rsid w:val="003A7C9E"/>
    <w:rsid w:val="003A7CA1"/>
    <w:rsid w:val="003A7CB5"/>
    <w:rsid w:val="003A7DCE"/>
    <w:rsid w:val="003A7E93"/>
    <w:rsid w:val="003A7FBB"/>
    <w:rsid w:val="003B006F"/>
    <w:rsid w:val="003B00C2"/>
    <w:rsid w:val="003B00F3"/>
    <w:rsid w:val="003B0179"/>
    <w:rsid w:val="003B0206"/>
    <w:rsid w:val="003B0224"/>
    <w:rsid w:val="003B02EA"/>
    <w:rsid w:val="003B039B"/>
    <w:rsid w:val="003B03C8"/>
    <w:rsid w:val="003B03D4"/>
    <w:rsid w:val="003B03FB"/>
    <w:rsid w:val="003B0401"/>
    <w:rsid w:val="003B043A"/>
    <w:rsid w:val="003B051C"/>
    <w:rsid w:val="003B052C"/>
    <w:rsid w:val="003B05A8"/>
    <w:rsid w:val="003B0615"/>
    <w:rsid w:val="003B065F"/>
    <w:rsid w:val="003B0730"/>
    <w:rsid w:val="003B0845"/>
    <w:rsid w:val="003B08FC"/>
    <w:rsid w:val="003B091C"/>
    <w:rsid w:val="003B0948"/>
    <w:rsid w:val="003B0950"/>
    <w:rsid w:val="003B09E9"/>
    <w:rsid w:val="003B09FA"/>
    <w:rsid w:val="003B0AD1"/>
    <w:rsid w:val="003B0AE8"/>
    <w:rsid w:val="003B0C51"/>
    <w:rsid w:val="003B0C61"/>
    <w:rsid w:val="003B0C7A"/>
    <w:rsid w:val="003B0CA2"/>
    <w:rsid w:val="003B0CD9"/>
    <w:rsid w:val="003B0D1E"/>
    <w:rsid w:val="003B0D2B"/>
    <w:rsid w:val="003B0D51"/>
    <w:rsid w:val="003B0D9C"/>
    <w:rsid w:val="003B0DA6"/>
    <w:rsid w:val="003B0EB3"/>
    <w:rsid w:val="003B0F51"/>
    <w:rsid w:val="003B0F6A"/>
    <w:rsid w:val="003B0F88"/>
    <w:rsid w:val="003B0FB1"/>
    <w:rsid w:val="003B0FD1"/>
    <w:rsid w:val="003B0FD4"/>
    <w:rsid w:val="003B0FEC"/>
    <w:rsid w:val="003B1039"/>
    <w:rsid w:val="003B105C"/>
    <w:rsid w:val="003B1091"/>
    <w:rsid w:val="003B1245"/>
    <w:rsid w:val="003B1290"/>
    <w:rsid w:val="003B12A0"/>
    <w:rsid w:val="003B1302"/>
    <w:rsid w:val="003B130B"/>
    <w:rsid w:val="003B139C"/>
    <w:rsid w:val="003B13B2"/>
    <w:rsid w:val="003B13BC"/>
    <w:rsid w:val="003B14EC"/>
    <w:rsid w:val="003B150D"/>
    <w:rsid w:val="003B152A"/>
    <w:rsid w:val="003B1548"/>
    <w:rsid w:val="003B1596"/>
    <w:rsid w:val="003B15A4"/>
    <w:rsid w:val="003B16EF"/>
    <w:rsid w:val="003B16F4"/>
    <w:rsid w:val="003B171E"/>
    <w:rsid w:val="003B1807"/>
    <w:rsid w:val="003B18C7"/>
    <w:rsid w:val="003B196C"/>
    <w:rsid w:val="003B19F2"/>
    <w:rsid w:val="003B1A2E"/>
    <w:rsid w:val="003B1AB3"/>
    <w:rsid w:val="003B1AEE"/>
    <w:rsid w:val="003B1B1A"/>
    <w:rsid w:val="003B1B39"/>
    <w:rsid w:val="003B1B69"/>
    <w:rsid w:val="003B1B7A"/>
    <w:rsid w:val="003B1BD6"/>
    <w:rsid w:val="003B1DC1"/>
    <w:rsid w:val="003B1DF7"/>
    <w:rsid w:val="003B1E4C"/>
    <w:rsid w:val="003B1E82"/>
    <w:rsid w:val="003B1E91"/>
    <w:rsid w:val="003B1F61"/>
    <w:rsid w:val="003B1F87"/>
    <w:rsid w:val="003B212D"/>
    <w:rsid w:val="003B213F"/>
    <w:rsid w:val="003B2208"/>
    <w:rsid w:val="003B220A"/>
    <w:rsid w:val="003B22F8"/>
    <w:rsid w:val="003B2306"/>
    <w:rsid w:val="003B2573"/>
    <w:rsid w:val="003B262C"/>
    <w:rsid w:val="003B26D3"/>
    <w:rsid w:val="003B2760"/>
    <w:rsid w:val="003B278C"/>
    <w:rsid w:val="003B27F5"/>
    <w:rsid w:val="003B282A"/>
    <w:rsid w:val="003B2870"/>
    <w:rsid w:val="003B287C"/>
    <w:rsid w:val="003B290A"/>
    <w:rsid w:val="003B2935"/>
    <w:rsid w:val="003B29A6"/>
    <w:rsid w:val="003B29E3"/>
    <w:rsid w:val="003B29ED"/>
    <w:rsid w:val="003B2A08"/>
    <w:rsid w:val="003B2A29"/>
    <w:rsid w:val="003B2A74"/>
    <w:rsid w:val="003B2A78"/>
    <w:rsid w:val="003B2AE4"/>
    <w:rsid w:val="003B2AEE"/>
    <w:rsid w:val="003B2B33"/>
    <w:rsid w:val="003B2CE2"/>
    <w:rsid w:val="003B2DB5"/>
    <w:rsid w:val="003B2E5B"/>
    <w:rsid w:val="003B2EA1"/>
    <w:rsid w:val="003B2EB5"/>
    <w:rsid w:val="003B2EE7"/>
    <w:rsid w:val="003B2F7D"/>
    <w:rsid w:val="003B3011"/>
    <w:rsid w:val="003B306E"/>
    <w:rsid w:val="003B31B5"/>
    <w:rsid w:val="003B320D"/>
    <w:rsid w:val="003B326A"/>
    <w:rsid w:val="003B3291"/>
    <w:rsid w:val="003B3367"/>
    <w:rsid w:val="003B347C"/>
    <w:rsid w:val="003B3507"/>
    <w:rsid w:val="003B351D"/>
    <w:rsid w:val="003B3530"/>
    <w:rsid w:val="003B36C1"/>
    <w:rsid w:val="003B371A"/>
    <w:rsid w:val="003B3733"/>
    <w:rsid w:val="003B3753"/>
    <w:rsid w:val="003B3766"/>
    <w:rsid w:val="003B378D"/>
    <w:rsid w:val="003B3804"/>
    <w:rsid w:val="003B391F"/>
    <w:rsid w:val="003B3973"/>
    <w:rsid w:val="003B39B8"/>
    <w:rsid w:val="003B3B91"/>
    <w:rsid w:val="003B3B97"/>
    <w:rsid w:val="003B3BF3"/>
    <w:rsid w:val="003B3CF3"/>
    <w:rsid w:val="003B3D03"/>
    <w:rsid w:val="003B3DED"/>
    <w:rsid w:val="003B3E46"/>
    <w:rsid w:val="003B3E5C"/>
    <w:rsid w:val="003B3FB7"/>
    <w:rsid w:val="003B4044"/>
    <w:rsid w:val="003B406F"/>
    <w:rsid w:val="003B4168"/>
    <w:rsid w:val="003B41E6"/>
    <w:rsid w:val="003B432A"/>
    <w:rsid w:val="003B43C2"/>
    <w:rsid w:val="003B44D9"/>
    <w:rsid w:val="003B45B9"/>
    <w:rsid w:val="003B4672"/>
    <w:rsid w:val="003B4694"/>
    <w:rsid w:val="003B4702"/>
    <w:rsid w:val="003B4735"/>
    <w:rsid w:val="003B4748"/>
    <w:rsid w:val="003B47AB"/>
    <w:rsid w:val="003B4838"/>
    <w:rsid w:val="003B48F2"/>
    <w:rsid w:val="003B49DE"/>
    <w:rsid w:val="003B4A6A"/>
    <w:rsid w:val="003B4A83"/>
    <w:rsid w:val="003B4AD6"/>
    <w:rsid w:val="003B4C0B"/>
    <w:rsid w:val="003B4C4A"/>
    <w:rsid w:val="003B4C6B"/>
    <w:rsid w:val="003B4CCF"/>
    <w:rsid w:val="003B4CE9"/>
    <w:rsid w:val="003B4D10"/>
    <w:rsid w:val="003B4DF2"/>
    <w:rsid w:val="003B4E3A"/>
    <w:rsid w:val="003B4E43"/>
    <w:rsid w:val="003B4E7E"/>
    <w:rsid w:val="003B4F50"/>
    <w:rsid w:val="003B4F8B"/>
    <w:rsid w:val="003B4F99"/>
    <w:rsid w:val="003B505B"/>
    <w:rsid w:val="003B526E"/>
    <w:rsid w:val="003B5277"/>
    <w:rsid w:val="003B528E"/>
    <w:rsid w:val="003B52DB"/>
    <w:rsid w:val="003B5349"/>
    <w:rsid w:val="003B53C8"/>
    <w:rsid w:val="003B549E"/>
    <w:rsid w:val="003B54F6"/>
    <w:rsid w:val="003B550D"/>
    <w:rsid w:val="003B553A"/>
    <w:rsid w:val="003B5570"/>
    <w:rsid w:val="003B55CD"/>
    <w:rsid w:val="003B565C"/>
    <w:rsid w:val="003B56FD"/>
    <w:rsid w:val="003B56FF"/>
    <w:rsid w:val="003B5775"/>
    <w:rsid w:val="003B57B2"/>
    <w:rsid w:val="003B5840"/>
    <w:rsid w:val="003B58E0"/>
    <w:rsid w:val="003B590C"/>
    <w:rsid w:val="003B5918"/>
    <w:rsid w:val="003B5A7C"/>
    <w:rsid w:val="003B5B04"/>
    <w:rsid w:val="003B5B0B"/>
    <w:rsid w:val="003B5B55"/>
    <w:rsid w:val="003B5B5F"/>
    <w:rsid w:val="003B5BA4"/>
    <w:rsid w:val="003B5BDF"/>
    <w:rsid w:val="003B5C06"/>
    <w:rsid w:val="003B5C9D"/>
    <w:rsid w:val="003B5D3B"/>
    <w:rsid w:val="003B5D88"/>
    <w:rsid w:val="003B5E33"/>
    <w:rsid w:val="003B5E76"/>
    <w:rsid w:val="003B5F3F"/>
    <w:rsid w:val="003B5F76"/>
    <w:rsid w:val="003B602F"/>
    <w:rsid w:val="003B616F"/>
    <w:rsid w:val="003B61B1"/>
    <w:rsid w:val="003B6201"/>
    <w:rsid w:val="003B622B"/>
    <w:rsid w:val="003B628C"/>
    <w:rsid w:val="003B6292"/>
    <w:rsid w:val="003B62BB"/>
    <w:rsid w:val="003B62F3"/>
    <w:rsid w:val="003B6346"/>
    <w:rsid w:val="003B6436"/>
    <w:rsid w:val="003B64BC"/>
    <w:rsid w:val="003B65D9"/>
    <w:rsid w:val="003B683B"/>
    <w:rsid w:val="003B689E"/>
    <w:rsid w:val="003B6934"/>
    <w:rsid w:val="003B6972"/>
    <w:rsid w:val="003B69C8"/>
    <w:rsid w:val="003B69F9"/>
    <w:rsid w:val="003B6A5D"/>
    <w:rsid w:val="003B6AC6"/>
    <w:rsid w:val="003B6AF8"/>
    <w:rsid w:val="003B6B4D"/>
    <w:rsid w:val="003B6B85"/>
    <w:rsid w:val="003B6B91"/>
    <w:rsid w:val="003B6BF4"/>
    <w:rsid w:val="003B6C8F"/>
    <w:rsid w:val="003B6D0B"/>
    <w:rsid w:val="003B6D48"/>
    <w:rsid w:val="003B6D5D"/>
    <w:rsid w:val="003B6D71"/>
    <w:rsid w:val="003B6DFB"/>
    <w:rsid w:val="003B6E07"/>
    <w:rsid w:val="003B6E5B"/>
    <w:rsid w:val="003B6EC8"/>
    <w:rsid w:val="003B6EC9"/>
    <w:rsid w:val="003B6EDC"/>
    <w:rsid w:val="003B708A"/>
    <w:rsid w:val="003B714E"/>
    <w:rsid w:val="003B7185"/>
    <w:rsid w:val="003B71F8"/>
    <w:rsid w:val="003B720E"/>
    <w:rsid w:val="003B7262"/>
    <w:rsid w:val="003B72B4"/>
    <w:rsid w:val="003B72C0"/>
    <w:rsid w:val="003B72E6"/>
    <w:rsid w:val="003B72F3"/>
    <w:rsid w:val="003B7383"/>
    <w:rsid w:val="003B743E"/>
    <w:rsid w:val="003B7475"/>
    <w:rsid w:val="003B7494"/>
    <w:rsid w:val="003B74C1"/>
    <w:rsid w:val="003B74E8"/>
    <w:rsid w:val="003B74EC"/>
    <w:rsid w:val="003B74F1"/>
    <w:rsid w:val="003B7525"/>
    <w:rsid w:val="003B753C"/>
    <w:rsid w:val="003B7540"/>
    <w:rsid w:val="003B758C"/>
    <w:rsid w:val="003B75DC"/>
    <w:rsid w:val="003B7671"/>
    <w:rsid w:val="003B76E9"/>
    <w:rsid w:val="003B76F9"/>
    <w:rsid w:val="003B7747"/>
    <w:rsid w:val="003B78A9"/>
    <w:rsid w:val="003B791B"/>
    <w:rsid w:val="003B7949"/>
    <w:rsid w:val="003B7951"/>
    <w:rsid w:val="003B7997"/>
    <w:rsid w:val="003B79B8"/>
    <w:rsid w:val="003B79E7"/>
    <w:rsid w:val="003B7A73"/>
    <w:rsid w:val="003B7AE5"/>
    <w:rsid w:val="003B7B29"/>
    <w:rsid w:val="003B7C5C"/>
    <w:rsid w:val="003B7C5E"/>
    <w:rsid w:val="003B7C94"/>
    <w:rsid w:val="003B7CC2"/>
    <w:rsid w:val="003B7CC6"/>
    <w:rsid w:val="003B7D0F"/>
    <w:rsid w:val="003B7D26"/>
    <w:rsid w:val="003B7D65"/>
    <w:rsid w:val="003B7EC1"/>
    <w:rsid w:val="003B7EF8"/>
    <w:rsid w:val="003B7F34"/>
    <w:rsid w:val="003B7FB4"/>
    <w:rsid w:val="003C0044"/>
    <w:rsid w:val="003C00A2"/>
    <w:rsid w:val="003C0154"/>
    <w:rsid w:val="003C01DA"/>
    <w:rsid w:val="003C024F"/>
    <w:rsid w:val="003C038E"/>
    <w:rsid w:val="003C0528"/>
    <w:rsid w:val="003C0549"/>
    <w:rsid w:val="003C061E"/>
    <w:rsid w:val="003C06D5"/>
    <w:rsid w:val="003C0737"/>
    <w:rsid w:val="003C0765"/>
    <w:rsid w:val="003C07F2"/>
    <w:rsid w:val="003C0926"/>
    <w:rsid w:val="003C09B1"/>
    <w:rsid w:val="003C0A3D"/>
    <w:rsid w:val="003C0A45"/>
    <w:rsid w:val="003C0A56"/>
    <w:rsid w:val="003C0AC5"/>
    <w:rsid w:val="003C0AC7"/>
    <w:rsid w:val="003C0B2E"/>
    <w:rsid w:val="003C0B81"/>
    <w:rsid w:val="003C0BA5"/>
    <w:rsid w:val="003C0BC8"/>
    <w:rsid w:val="003C0BE0"/>
    <w:rsid w:val="003C0C8D"/>
    <w:rsid w:val="003C0CBE"/>
    <w:rsid w:val="003C0D14"/>
    <w:rsid w:val="003C0D39"/>
    <w:rsid w:val="003C0D7B"/>
    <w:rsid w:val="003C0D9A"/>
    <w:rsid w:val="003C0E20"/>
    <w:rsid w:val="003C1071"/>
    <w:rsid w:val="003C1073"/>
    <w:rsid w:val="003C10EE"/>
    <w:rsid w:val="003C1168"/>
    <w:rsid w:val="003C11DD"/>
    <w:rsid w:val="003C1214"/>
    <w:rsid w:val="003C12BC"/>
    <w:rsid w:val="003C12C0"/>
    <w:rsid w:val="003C12D8"/>
    <w:rsid w:val="003C1357"/>
    <w:rsid w:val="003C14AE"/>
    <w:rsid w:val="003C155B"/>
    <w:rsid w:val="003C155F"/>
    <w:rsid w:val="003C1562"/>
    <w:rsid w:val="003C160C"/>
    <w:rsid w:val="003C1661"/>
    <w:rsid w:val="003C16B5"/>
    <w:rsid w:val="003C16C4"/>
    <w:rsid w:val="003C1754"/>
    <w:rsid w:val="003C1822"/>
    <w:rsid w:val="003C18F3"/>
    <w:rsid w:val="003C18FD"/>
    <w:rsid w:val="003C1911"/>
    <w:rsid w:val="003C1945"/>
    <w:rsid w:val="003C19AB"/>
    <w:rsid w:val="003C19D4"/>
    <w:rsid w:val="003C1AF1"/>
    <w:rsid w:val="003C1B06"/>
    <w:rsid w:val="003C1B8D"/>
    <w:rsid w:val="003C1C0E"/>
    <w:rsid w:val="003C1C13"/>
    <w:rsid w:val="003C1C24"/>
    <w:rsid w:val="003C1C34"/>
    <w:rsid w:val="003C1C79"/>
    <w:rsid w:val="003C1CBA"/>
    <w:rsid w:val="003C1CC3"/>
    <w:rsid w:val="003C1D12"/>
    <w:rsid w:val="003C1DA8"/>
    <w:rsid w:val="003C1DB1"/>
    <w:rsid w:val="003C1E97"/>
    <w:rsid w:val="003C1EF9"/>
    <w:rsid w:val="003C1F21"/>
    <w:rsid w:val="003C1F61"/>
    <w:rsid w:val="003C1FB1"/>
    <w:rsid w:val="003C1FED"/>
    <w:rsid w:val="003C20A3"/>
    <w:rsid w:val="003C211B"/>
    <w:rsid w:val="003C2154"/>
    <w:rsid w:val="003C21A6"/>
    <w:rsid w:val="003C21A8"/>
    <w:rsid w:val="003C220E"/>
    <w:rsid w:val="003C237B"/>
    <w:rsid w:val="003C24F8"/>
    <w:rsid w:val="003C2526"/>
    <w:rsid w:val="003C2579"/>
    <w:rsid w:val="003C257D"/>
    <w:rsid w:val="003C266A"/>
    <w:rsid w:val="003C2673"/>
    <w:rsid w:val="003C278B"/>
    <w:rsid w:val="003C278C"/>
    <w:rsid w:val="003C280E"/>
    <w:rsid w:val="003C2926"/>
    <w:rsid w:val="003C292A"/>
    <w:rsid w:val="003C2A79"/>
    <w:rsid w:val="003C2AF4"/>
    <w:rsid w:val="003C2B5F"/>
    <w:rsid w:val="003C2CC9"/>
    <w:rsid w:val="003C2D69"/>
    <w:rsid w:val="003C2D94"/>
    <w:rsid w:val="003C2DBC"/>
    <w:rsid w:val="003C2E1E"/>
    <w:rsid w:val="003C2EAD"/>
    <w:rsid w:val="003C2EDB"/>
    <w:rsid w:val="003C2F24"/>
    <w:rsid w:val="003C2FB7"/>
    <w:rsid w:val="003C306C"/>
    <w:rsid w:val="003C30E1"/>
    <w:rsid w:val="003C30F4"/>
    <w:rsid w:val="003C318D"/>
    <w:rsid w:val="003C319D"/>
    <w:rsid w:val="003C31B7"/>
    <w:rsid w:val="003C327E"/>
    <w:rsid w:val="003C3377"/>
    <w:rsid w:val="003C340F"/>
    <w:rsid w:val="003C3503"/>
    <w:rsid w:val="003C3696"/>
    <w:rsid w:val="003C36A7"/>
    <w:rsid w:val="003C36AE"/>
    <w:rsid w:val="003C36B8"/>
    <w:rsid w:val="003C370D"/>
    <w:rsid w:val="003C3729"/>
    <w:rsid w:val="003C37A5"/>
    <w:rsid w:val="003C383C"/>
    <w:rsid w:val="003C388F"/>
    <w:rsid w:val="003C3974"/>
    <w:rsid w:val="003C39F6"/>
    <w:rsid w:val="003C3A36"/>
    <w:rsid w:val="003C3AF8"/>
    <w:rsid w:val="003C3B93"/>
    <w:rsid w:val="003C3C2E"/>
    <w:rsid w:val="003C3C57"/>
    <w:rsid w:val="003C3C94"/>
    <w:rsid w:val="003C3FAF"/>
    <w:rsid w:val="003C3FD9"/>
    <w:rsid w:val="003C40EB"/>
    <w:rsid w:val="003C4179"/>
    <w:rsid w:val="003C423B"/>
    <w:rsid w:val="003C423D"/>
    <w:rsid w:val="003C42DA"/>
    <w:rsid w:val="003C44C6"/>
    <w:rsid w:val="003C4574"/>
    <w:rsid w:val="003C45CD"/>
    <w:rsid w:val="003C46C7"/>
    <w:rsid w:val="003C474F"/>
    <w:rsid w:val="003C487A"/>
    <w:rsid w:val="003C48BA"/>
    <w:rsid w:val="003C48CA"/>
    <w:rsid w:val="003C491C"/>
    <w:rsid w:val="003C4A4C"/>
    <w:rsid w:val="003C4A75"/>
    <w:rsid w:val="003C4BC6"/>
    <w:rsid w:val="003C4BF1"/>
    <w:rsid w:val="003C4C80"/>
    <w:rsid w:val="003C4D81"/>
    <w:rsid w:val="003C4DAC"/>
    <w:rsid w:val="003C4F5E"/>
    <w:rsid w:val="003C4F63"/>
    <w:rsid w:val="003C4FCF"/>
    <w:rsid w:val="003C4FE5"/>
    <w:rsid w:val="003C4FED"/>
    <w:rsid w:val="003C5182"/>
    <w:rsid w:val="003C51AD"/>
    <w:rsid w:val="003C51FC"/>
    <w:rsid w:val="003C5202"/>
    <w:rsid w:val="003C5220"/>
    <w:rsid w:val="003C522A"/>
    <w:rsid w:val="003C531C"/>
    <w:rsid w:val="003C53B2"/>
    <w:rsid w:val="003C5416"/>
    <w:rsid w:val="003C5546"/>
    <w:rsid w:val="003C5582"/>
    <w:rsid w:val="003C56C2"/>
    <w:rsid w:val="003C57EF"/>
    <w:rsid w:val="003C58F8"/>
    <w:rsid w:val="003C5921"/>
    <w:rsid w:val="003C592A"/>
    <w:rsid w:val="003C59AB"/>
    <w:rsid w:val="003C5ACC"/>
    <w:rsid w:val="003C5B64"/>
    <w:rsid w:val="003C5BD9"/>
    <w:rsid w:val="003C5C6E"/>
    <w:rsid w:val="003C5C92"/>
    <w:rsid w:val="003C5CCB"/>
    <w:rsid w:val="003C5D1D"/>
    <w:rsid w:val="003C5DB8"/>
    <w:rsid w:val="003C5DE9"/>
    <w:rsid w:val="003C5E1C"/>
    <w:rsid w:val="003C5E77"/>
    <w:rsid w:val="003C5E8D"/>
    <w:rsid w:val="003C5EC6"/>
    <w:rsid w:val="003C5EF4"/>
    <w:rsid w:val="003C60E6"/>
    <w:rsid w:val="003C61F7"/>
    <w:rsid w:val="003C63AD"/>
    <w:rsid w:val="003C6471"/>
    <w:rsid w:val="003C6563"/>
    <w:rsid w:val="003C65BC"/>
    <w:rsid w:val="003C6670"/>
    <w:rsid w:val="003C668F"/>
    <w:rsid w:val="003C66F3"/>
    <w:rsid w:val="003C6775"/>
    <w:rsid w:val="003C677E"/>
    <w:rsid w:val="003C678C"/>
    <w:rsid w:val="003C6816"/>
    <w:rsid w:val="003C683F"/>
    <w:rsid w:val="003C68DD"/>
    <w:rsid w:val="003C68EF"/>
    <w:rsid w:val="003C6933"/>
    <w:rsid w:val="003C693C"/>
    <w:rsid w:val="003C6A16"/>
    <w:rsid w:val="003C6A2F"/>
    <w:rsid w:val="003C6A43"/>
    <w:rsid w:val="003C6A4B"/>
    <w:rsid w:val="003C6B07"/>
    <w:rsid w:val="003C6BCF"/>
    <w:rsid w:val="003C6C1A"/>
    <w:rsid w:val="003C6CCE"/>
    <w:rsid w:val="003C6D75"/>
    <w:rsid w:val="003C6D84"/>
    <w:rsid w:val="003C6DB1"/>
    <w:rsid w:val="003C6E5B"/>
    <w:rsid w:val="003C6EA9"/>
    <w:rsid w:val="003C6F25"/>
    <w:rsid w:val="003C6F5C"/>
    <w:rsid w:val="003C6F63"/>
    <w:rsid w:val="003C6F8D"/>
    <w:rsid w:val="003C70AD"/>
    <w:rsid w:val="003C70CD"/>
    <w:rsid w:val="003C7127"/>
    <w:rsid w:val="003C714D"/>
    <w:rsid w:val="003C7222"/>
    <w:rsid w:val="003C724D"/>
    <w:rsid w:val="003C72A8"/>
    <w:rsid w:val="003C7312"/>
    <w:rsid w:val="003C743A"/>
    <w:rsid w:val="003C7446"/>
    <w:rsid w:val="003C7487"/>
    <w:rsid w:val="003C756E"/>
    <w:rsid w:val="003C75C4"/>
    <w:rsid w:val="003C75F1"/>
    <w:rsid w:val="003C768E"/>
    <w:rsid w:val="003C76A7"/>
    <w:rsid w:val="003C7721"/>
    <w:rsid w:val="003C78E5"/>
    <w:rsid w:val="003C78F2"/>
    <w:rsid w:val="003C795C"/>
    <w:rsid w:val="003C7B03"/>
    <w:rsid w:val="003C7B09"/>
    <w:rsid w:val="003C7B46"/>
    <w:rsid w:val="003C7B77"/>
    <w:rsid w:val="003C7B81"/>
    <w:rsid w:val="003C7BCC"/>
    <w:rsid w:val="003C7C52"/>
    <w:rsid w:val="003C7C7D"/>
    <w:rsid w:val="003C7D36"/>
    <w:rsid w:val="003C7D41"/>
    <w:rsid w:val="003C7DC9"/>
    <w:rsid w:val="003C7F36"/>
    <w:rsid w:val="003C7FAA"/>
    <w:rsid w:val="003C7FB4"/>
    <w:rsid w:val="003D000C"/>
    <w:rsid w:val="003D0032"/>
    <w:rsid w:val="003D00D8"/>
    <w:rsid w:val="003D0177"/>
    <w:rsid w:val="003D01B4"/>
    <w:rsid w:val="003D01F1"/>
    <w:rsid w:val="003D02CD"/>
    <w:rsid w:val="003D0339"/>
    <w:rsid w:val="003D033F"/>
    <w:rsid w:val="003D0361"/>
    <w:rsid w:val="003D03A7"/>
    <w:rsid w:val="003D04AA"/>
    <w:rsid w:val="003D04AC"/>
    <w:rsid w:val="003D04C5"/>
    <w:rsid w:val="003D053C"/>
    <w:rsid w:val="003D0694"/>
    <w:rsid w:val="003D06F6"/>
    <w:rsid w:val="003D070A"/>
    <w:rsid w:val="003D07E3"/>
    <w:rsid w:val="003D0934"/>
    <w:rsid w:val="003D0940"/>
    <w:rsid w:val="003D09C5"/>
    <w:rsid w:val="003D09DF"/>
    <w:rsid w:val="003D0A4C"/>
    <w:rsid w:val="003D0A61"/>
    <w:rsid w:val="003D0ADE"/>
    <w:rsid w:val="003D0BAD"/>
    <w:rsid w:val="003D0BB0"/>
    <w:rsid w:val="003D0C56"/>
    <w:rsid w:val="003D0C71"/>
    <w:rsid w:val="003D0CED"/>
    <w:rsid w:val="003D0DCC"/>
    <w:rsid w:val="003D0E05"/>
    <w:rsid w:val="003D0E1C"/>
    <w:rsid w:val="003D0E66"/>
    <w:rsid w:val="003D0EB7"/>
    <w:rsid w:val="003D0F49"/>
    <w:rsid w:val="003D0F69"/>
    <w:rsid w:val="003D10B4"/>
    <w:rsid w:val="003D11DE"/>
    <w:rsid w:val="003D11F9"/>
    <w:rsid w:val="003D125A"/>
    <w:rsid w:val="003D13D0"/>
    <w:rsid w:val="003D13DF"/>
    <w:rsid w:val="003D1445"/>
    <w:rsid w:val="003D1480"/>
    <w:rsid w:val="003D1485"/>
    <w:rsid w:val="003D152B"/>
    <w:rsid w:val="003D1661"/>
    <w:rsid w:val="003D1697"/>
    <w:rsid w:val="003D16AB"/>
    <w:rsid w:val="003D16F7"/>
    <w:rsid w:val="003D1732"/>
    <w:rsid w:val="003D183E"/>
    <w:rsid w:val="003D18E9"/>
    <w:rsid w:val="003D18FA"/>
    <w:rsid w:val="003D1933"/>
    <w:rsid w:val="003D1940"/>
    <w:rsid w:val="003D1A48"/>
    <w:rsid w:val="003D1A8B"/>
    <w:rsid w:val="003D1B40"/>
    <w:rsid w:val="003D1B55"/>
    <w:rsid w:val="003D1CA0"/>
    <w:rsid w:val="003D1CA7"/>
    <w:rsid w:val="003D1CC2"/>
    <w:rsid w:val="003D1D47"/>
    <w:rsid w:val="003D1D5C"/>
    <w:rsid w:val="003D1DE0"/>
    <w:rsid w:val="003D1DFE"/>
    <w:rsid w:val="003D1ECF"/>
    <w:rsid w:val="003D1F22"/>
    <w:rsid w:val="003D1F6A"/>
    <w:rsid w:val="003D1F7B"/>
    <w:rsid w:val="003D1FC8"/>
    <w:rsid w:val="003D200D"/>
    <w:rsid w:val="003D202D"/>
    <w:rsid w:val="003D2235"/>
    <w:rsid w:val="003D223E"/>
    <w:rsid w:val="003D2257"/>
    <w:rsid w:val="003D22B9"/>
    <w:rsid w:val="003D2345"/>
    <w:rsid w:val="003D2468"/>
    <w:rsid w:val="003D2497"/>
    <w:rsid w:val="003D24C5"/>
    <w:rsid w:val="003D24D7"/>
    <w:rsid w:val="003D256C"/>
    <w:rsid w:val="003D25C2"/>
    <w:rsid w:val="003D25EA"/>
    <w:rsid w:val="003D2611"/>
    <w:rsid w:val="003D2703"/>
    <w:rsid w:val="003D2791"/>
    <w:rsid w:val="003D27F4"/>
    <w:rsid w:val="003D28E7"/>
    <w:rsid w:val="003D29F6"/>
    <w:rsid w:val="003D2A31"/>
    <w:rsid w:val="003D2A3E"/>
    <w:rsid w:val="003D2A43"/>
    <w:rsid w:val="003D2A97"/>
    <w:rsid w:val="003D2AE5"/>
    <w:rsid w:val="003D2B17"/>
    <w:rsid w:val="003D2B59"/>
    <w:rsid w:val="003D2BC0"/>
    <w:rsid w:val="003D2C71"/>
    <w:rsid w:val="003D2D3A"/>
    <w:rsid w:val="003D2DBF"/>
    <w:rsid w:val="003D2E47"/>
    <w:rsid w:val="003D2F65"/>
    <w:rsid w:val="003D30BE"/>
    <w:rsid w:val="003D3181"/>
    <w:rsid w:val="003D31EF"/>
    <w:rsid w:val="003D3223"/>
    <w:rsid w:val="003D328F"/>
    <w:rsid w:val="003D32F4"/>
    <w:rsid w:val="003D3304"/>
    <w:rsid w:val="003D3333"/>
    <w:rsid w:val="003D3355"/>
    <w:rsid w:val="003D339E"/>
    <w:rsid w:val="003D3474"/>
    <w:rsid w:val="003D347D"/>
    <w:rsid w:val="003D34E7"/>
    <w:rsid w:val="003D34EB"/>
    <w:rsid w:val="003D354F"/>
    <w:rsid w:val="003D3581"/>
    <w:rsid w:val="003D35D3"/>
    <w:rsid w:val="003D3727"/>
    <w:rsid w:val="003D3897"/>
    <w:rsid w:val="003D3924"/>
    <w:rsid w:val="003D394E"/>
    <w:rsid w:val="003D39B8"/>
    <w:rsid w:val="003D3A1B"/>
    <w:rsid w:val="003D3AEB"/>
    <w:rsid w:val="003D3AED"/>
    <w:rsid w:val="003D3B97"/>
    <w:rsid w:val="003D3B9C"/>
    <w:rsid w:val="003D3BCD"/>
    <w:rsid w:val="003D3CE5"/>
    <w:rsid w:val="003D3E01"/>
    <w:rsid w:val="003D3E99"/>
    <w:rsid w:val="003D3EEC"/>
    <w:rsid w:val="003D4058"/>
    <w:rsid w:val="003D40A6"/>
    <w:rsid w:val="003D40DA"/>
    <w:rsid w:val="003D4229"/>
    <w:rsid w:val="003D4251"/>
    <w:rsid w:val="003D42EC"/>
    <w:rsid w:val="003D4394"/>
    <w:rsid w:val="003D43B3"/>
    <w:rsid w:val="003D43D9"/>
    <w:rsid w:val="003D43FA"/>
    <w:rsid w:val="003D448F"/>
    <w:rsid w:val="003D4534"/>
    <w:rsid w:val="003D4567"/>
    <w:rsid w:val="003D45C9"/>
    <w:rsid w:val="003D4618"/>
    <w:rsid w:val="003D46CA"/>
    <w:rsid w:val="003D46CF"/>
    <w:rsid w:val="003D4777"/>
    <w:rsid w:val="003D47F1"/>
    <w:rsid w:val="003D486B"/>
    <w:rsid w:val="003D487D"/>
    <w:rsid w:val="003D496A"/>
    <w:rsid w:val="003D49A9"/>
    <w:rsid w:val="003D4A96"/>
    <w:rsid w:val="003D4AE1"/>
    <w:rsid w:val="003D4CDB"/>
    <w:rsid w:val="003D4DA9"/>
    <w:rsid w:val="003D4DF2"/>
    <w:rsid w:val="003D4DFF"/>
    <w:rsid w:val="003D4EA3"/>
    <w:rsid w:val="003D4EA9"/>
    <w:rsid w:val="003D4F1A"/>
    <w:rsid w:val="003D4F52"/>
    <w:rsid w:val="003D500A"/>
    <w:rsid w:val="003D5030"/>
    <w:rsid w:val="003D50A0"/>
    <w:rsid w:val="003D50A9"/>
    <w:rsid w:val="003D50C6"/>
    <w:rsid w:val="003D514C"/>
    <w:rsid w:val="003D526A"/>
    <w:rsid w:val="003D52A8"/>
    <w:rsid w:val="003D52C1"/>
    <w:rsid w:val="003D52C9"/>
    <w:rsid w:val="003D5331"/>
    <w:rsid w:val="003D5353"/>
    <w:rsid w:val="003D53FA"/>
    <w:rsid w:val="003D5435"/>
    <w:rsid w:val="003D5463"/>
    <w:rsid w:val="003D549A"/>
    <w:rsid w:val="003D54C2"/>
    <w:rsid w:val="003D54C4"/>
    <w:rsid w:val="003D54CB"/>
    <w:rsid w:val="003D54D2"/>
    <w:rsid w:val="003D54E8"/>
    <w:rsid w:val="003D5635"/>
    <w:rsid w:val="003D5644"/>
    <w:rsid w:val="003D5735"/>
    <w:rsid w:val="003D5813"/>
    <w:rsid w:val="003D58EF"/>
    <w:rsid w:val="003D5996"/>
    <w:rsid w:val="003D59D7"/>
    <w:rsid w:val="003D5A54"/>
    <w:rsid w:val="003D5A8E"/>
    <w:rsid w:val="003D5AFB"/>
    <w:rsid w:val="003D5B31"/>
    <w:rsid w:val="003D5B53"/>
    <w:rsid w:val="003D5B64"/>
    <w:rsid w:val="003D5B77"/>
    <w:rsid w:val="003D5B7E"/>
    <w:rsid w:val="003D5BE9"/>
    <w:rsid w:val="003D5C18"/>
    <w:rsid w:val="003D5DB1"/>
    <w:rsid w:val="003D5E10"/>
    <w:rsid w:val="003D5E2B"/>
    <w:rsid w:val="003D5F48"/>
    <w:rsid w:val="003D5F72"/>
    <w:rsid w:val="003D6000"/>
    <w:rsid w:val="003D6010"/>
    <w:rsid w:val="003D60ED"/>
    <w:rsid w:val="003D6146"/>
    <w:rsid w:val="003D61CC"/>
    <w:rsid w:val="003D6215"/>
    <w:rsid w:val="003D6303"/>
    <w:rsid w:val="003D6408"/>
    <w:rsid w:val="003D6425"/>
    <w:rsid w:val="003D6442"/>
    <w:rsid w:val="003D646D"/>
    <w:rsid w:val="003D652A"/>
    <w:rsid w:val="003D65C8"/>
    <w:rsid w:val="003D6662"/>
    <w:rsid w:val="003D66A5"/>
    <w:rsid w:val="003D66CB"/>
    <w:rsid w:val="003D66DF"/>
    <w:rsid w:val="003D67AE"/>
    <w:rsid w:val="003D68D6"/>
    <w:rsid w:val="003D6971"/>
    <w:rsid w:val="003D6A45"/>
    <w:rsid w:val="003D6AAC"/>
    <w:rsid w:val="003D6AD7"/>
    <w:rsid w:val="003D6AE6"/>
    <w:rsid w:val="003D6B38"/>
    <w:rsid w:val="003D6BE4"/>
    <w:rsid w:val="003D6CE9"/>
    <w:rsid w:val="003D6D0F"/>
    <w:rsid w:val="003D6D48"/>
    <w:rsid w:val="003D6D5F"/>
    <w:rsid w:val="003D6D99"/>
    <w:rsid w:val="003D6DA6"/>
    <w:rsid w:val="003D6E41"/>
    <w:rsid w:val="003D6F35"/>
    <w:rsid w:val="003D6F67"/>
    <w:rsid w:val="003D6FCB"/>
    <w:rsid w:val="003D7068"/>
    <w:rsid w:val="003D70E3"/>
    <w:rsid w:val="003D70FF"/>
    <w:rsid w:val="003D719B"/>
    <w:rsid w:val="003D7210"/>
    <w:rsid w:val="003D7263"/>
    <w:rsid w:val="003D7335"/>
    <w:rsid w:val="003D7521"/>
    <w:rsid w:val="003D753E"/>
    <w:rsid w:val="003D765D"/>
    <w:rsid w:val="003D7666"/>
    <w:rsid w:val="003D768D"/>
    <w:rsid w:val="003D7767"/>
    <w:rsid w:val="003D781E"/>
    <w:rsid w:val="003D784F"/>
    <w:rsid w:val="003D78CF"/>
    <w:rsid w:val="003D7A24"/>
    <w:rsid w:val="003D7A7B"/>
    <w:rsid w:val="003D7AC1"/>
    <w:rsid w:val="003D7B3E"/>
    <w:rsid w:val="003D7CF9"/>
    <w:rsid w:val="003D7D1E"/>
    <w:rsid w:val="003D7D39"/>
    <w:rsid w:val="003D7D7F"/>
    <w:rsid w:val="003D7EA0"/>
    <w:rsid w:val="003D7EBB"/>
    <w:rsid w:val="003D7F6B"/>
    <w:rsid w:val="003D7F87"/>
    <w:rsid w:val="003D7F89"/>
    <w:rsid w:val="003D7FA3"/>
    <w:rsid w:val="003D7FCA"/>
    <w:rsid w:val="003D7FF3"/>
    <w:rsid w:val="003E001A"/>
    <w:rsid w:val="003E009E"/>
    <w:rsid w:val="003E0116"/>
    <w:rsid w:val="003E017B"/>
    <w:rsid w:val="003E0188"/>
    <w:rsid w:val="003E01D1"/>
    <w:rsid w:val="003E0350"/>
    <w:rsid w:val="003E0436"/>
    <w:rsid w:val="003E0469"/>
    <w:rsid w:val="003E04CC"/>
    <w:rsid w:val="003E04DB"/>
    <w:rsid w:val="003E04DC"/>
    <w:rsid w:val="003E052E"/>
    <w:rsid w:val="003E0593"/>
    <w:rsid w:val="003E05DF"/>
    <w:rsid w:val="003E060E"/>
    <w:rsid w:val="003E0682"/>
    <w:rsid w:val="003E06D8"/>
    <w:rsid w:val="003E0861"/>
    <w:rsid w:val="003E08BD"/>
    <w:rsid w:val="003E08DD"/>
    <w:rsid w:val="003E0957"/>
    <w:rsid w:val="003E0981"/>
    <w:rsid w:val="003E0A47"/>
    <w:rsid w:val="003E0AE5"/>
    <w:rsid w:val="003E0B81"/>
    <w:rsid w:val="003E0BA5"/>
    <w:rsid w:val="003E0BE9"/>
    <w:rsid w:val="003E0D0D"/>
    <w:rsid w:val="003E0D55"/>
    <w:rsid w:val="003E0DAE"/>
    <w:rsid w:val="003E0E4F"/>
    <w:rsid w:val="003E0E66"/>
    <w:rsid w:val="003E0E8D"/>
    <w:rsid w:val="003E0EA2"/>
    <w:rsid w:val="003E0F7D"/>
    <w:rsid w:val="003E0F91"/>
    <w:rsid w:val="003E0FDC"/>
    <w:rsid w:val="003E1008"/>
    <w:rsid w:val="003E10B8"/>
    <w:rsid w:val="003E10D1"/>
    <w:rsid w:val="003E127E"/>
    <w:rsid w:val="003E1295"/>
    <w:rsid w:val="003E12B3"/>
    <w:rsid w:val="003E1352"/>
    <w:rsid w:val="003E138C"/>
    <w:rsid w:val="003E13D6"/>
    <w:rsid w:val="003E144D"/>
    <w:rsid w:val="003E1531"/>
    <w:rsid w:val="003E157F"/>
    <w:rsid w:val="003E158C"/>
    <w:rsid w:val="003E1592"/>
    <w:rsid w:val="003E15E5"/>
    <w:rsid w:val="003E16A9"/>
    <w:rsid w:val="003E171C"/>
    <w:rsid w:val="003E17BD"/>
    <w:rsid w:val="003E1800"/>
    <w:rsid w:val="003E1818"/>
    <w:rsid w:val="003E1899"/>
    <w:rsid w:val="003E18D4"/>
    <w:rsid w:val="003E18D9"/>
    <w:rsid w:val="003E18DA"/>
    <w:rsid w:val="003E1970"/>
    <w:rsid w:val="003E1974"/>
    <w:rsid w:val="003E1976"/>
    <w:rsid w:val="003E19AE"/>
    <w:rsid w:val="003E19FE"/>
    <w:rsid w:val="003E1A25"/>
    <w:rsid w:val="003E1A61"/>
    <w:rsid w:val="003E1AB5"/>
    <w:rsid w:val="003E1C59"/>
    <w:rsid w:val="003E1CAD"/>
    <w:rsid w:val="003E1E0D"/>
    <w:rsid w:val="003E1E4B"/>
    <w:rsid w:val="003E1F3C"/>
    <w:rsid w:val="003E209A"/>
    <w:rsid w:val="003E20C5"/>
    <w:rsid w:val="003E21BE"/>
    <w:rsid w:val="003E21CA"/>
    <w:rsid w:val="003E21CB"/>
    <w:rsid w:val="003E21EE"/>
    <w:rsid w:val="003E222D"/>
    <w:rsid w:val="003E2281"/>
    <w:rsid w:val="003E22EE"/>
    <w:rsid w:val="003E230C"/>
    <w:rsid w:val="003E2393"/>
    <w:rsid w:val="003E2457"/>
    <w:rsid w:val="003E2502"/>
    <w:rsid w:val="003E2557"/>
    <w:rsid w:val="003E255C"/>
    <w:rsid w:val="003E2633"/>
    <w:rsid w:val="003E2694"/>
    <w:rsid w:val="003E2699"/>
    <w:rsid w:val="003E26B5"/>
    <w:rsid w:val="003E26D7"/>
    <w:rsid w:val="003E2780"/>
    <w:rsid w:val="003E27DE"/>
    <w:rsid w:val="003E28C5"/>
    <w:rsid w:val="003E297E"/>
    <w:rsid w:val="003E2999"/>
    <w:rsid w:val="003E29B1"/>
    <w:rsid w:val="003E29F5"/>
    <w:rsid w:val="003E2A6E"/>
    <w:rsid w:val="003E2BCB"/>
    <w:rsid w:val="003E2BF9"/>
    <w:rsid w:val="003E2C39"/>
    <w:rsid w:val="003E2D34"/>
    <w:rsid w:val="003E2D54"/>
    <w:rsid w:val="003E2D90"/>
    <w:rsid w:val="003E2DE2"/>
    <w:rsid w:val="003E2E94"/>
    <w:rsid w:val="003E2EE9"/>
    <w:rsid w:val="003E2F66"/>
    <w:rsid w:val="003E305C"/>
    <w:rsid w:val="003E30F0"/>
    <w:rsid w:val="003E3107"/>
    <w:rsid w:val="003E31EF"/>
    <w:rsid w:val="003E31F7"/>
    <w:rsid w:val="003E321F"/>
    <w:rsid w:val="003E32FC"/>
    <w:rsid w:val="003E340B"/>
    <w:rsid w:val="003E342E"/>
    <w:rsid w:val="003E34A8"/>
    <w:rsid w:val="003E35B4"/>
    <w:rsid w:val="003E35E2"/>
    <w:rsid w:val="003E3675"/>
    <w:rsid w:val="003E381A"/>
    <w:rsid w:val="003E3851"/>
    <w:rsid w:val="003E3891"/>
    <w:rsid w:val="003E392E"/>
    <w:rsid w:val="003E39BA"/>
    <w:rsid w:val="003E3A2D"/>
    <w:rsid w:val="003E3AC4"/>
    <w:rsid w:val="003E3B3E"/>
    <w:rsid w:val="003E3BA1"/>
    <w:rsid w:val="003E3C0B"/>
    <w:rsid w:val="003E3CC2"/>
    <w:rsid w:val="003E3DB0"/>
    <w:rsid w:val="003E3E70"/>
    <w:rsid w:val="003E3EEE"/>
    <w:rsid w:val="003E4002"/>
    <w:rsid w:val="003E4043"/>
    <w:rsid w:val="003E40F4"/>
    <w:rsid w:val="003E4129"/>
    <w:rsid w:val="003E4159"/>
    <w:rsid w:val="003E4179"/>
    <w:rsid w:val="003E4289"/>
    <w:rsid w:val="003E4309"/>
    <w:rsid w:val="003E432B"/>
    <w:rsid w:val="003E4377"/>
    <w:rsid w:val="003E4478"/>
    <w:rsid w:val="003E450E"/>
    <w:rsid w:val="003E459A"/>
    <w:rsid w:val="003E465A"/>
    <w:rsid w:val="003E4900"/>
    <w:rsid w:val="003E4968"/>
    <w:rsid w:val="003E496D"/>
    <w:rsid w:val="003E4A22"/>
    <w:rsid w:val="003E4A62"/>
    <w:rsid w:val="003E4A6C"/>
    <w:rsid w:val="003E4AA2"/>
    <w:rsid w:val="003E4AEB"/>
    <w:rsid w:val="003E4B51"/>
    <w:rsid w:val="003E4B57"/>
    <w:rsid w:val="003E4B65"/>
    <w:rsid w:val="003E4BC2"/>
    <w:rsid w:val="003E4BEB"/>
    <w:rsid w:val="003E4BF0"/>
    <w:rsid w:val="003E4C98"/>
    <w:rsid w:val="003E4CA4"/>
    <w:rsid w:val="003E4CB0"/>
    <w:rsid w:val="003E4EA3"/>
    <w:rsid w:val="003E4F1A"/>
    <w:rsid w:val="003E4F87"/>
    <w:rsid w:val="003E50FB"/>
    <w:rsid w:val="003E5135"/>
    <w:rsid w:val="003E5168"/>
    <w:rsid w:val="003E522A"/>
    <w:rsid w:val="003E535D"/>
    <w:rsid w:val="003E538E"/>
    <w:rsid w:val="003E53B5"/>
    <w:rsid w:val="003E54C0"/>
    <w:rsid w:val="003E5581"/>
    <w:rsid w:val="003E55B9"/>
    <w:rsid w:val="003E55D0"/>
    <w:rsid w:val="003E55FA"/>
    <w:rsid w:val="003E5653"/>
    <w:rsid w:val="003E5753"/>
    <w:rsid w:val="003E5779"/>
    <w:rsid w:val="003E57A2"/>
    <w:rsid w:val="003E57A8"/>
    <w:rsid w:val="003E57A9"/>
    <w:rsid w:val="003E59D5"/>
    <w:rsid w:val="003E5A82"/>
    <w:rsid w:val="003E5AA8"/>
    <w:rsid w:val="003E5AEA"/>
    <w:rsid w:val="003E5B39"/>
    <w:rsid w:val="003E5BCC"/>
    <w:rsid w:val="003E5C34"/>
    <w:rsid w:val="003E5CEB"/>
    <w:rsid w:val="003E5D81"/>
    <w:rsid w:val="003E5D82"/>
    <w:rsid w:val="003E5DFF"/>
    <w:rsid w:val="003E5F75"/>
    <w:rsid w:val="003E5F84"/>
    <w:rsid w:val="003E6031"/>
    <w:rsid w:val="003E6032"/>
    <w:rsid w:val="003E603B"/>
    <w:rsid w:val="003E618F"/>
    <w:rsid w:val="003E633C"/>
    <w:rsid w:val="003E645F"/>
    <w:rsid w:val="003E6496"/>
    <w:rsid w:val="003E64A2"/>
    <w:rsid w:val="003E64BA"/>
    <w:rsid w:val="003E64CC"/>
    <w:rsid w:val="003E65AA"/>
    <w:rsid w:val="003E6627"/>
    <w:rsid w:val="003E6781"/>
    <w:rsid w:val="003E67BC"/>
    <w:rsid w:val="003E68B5"/>
    <w:rsid w:val="003E68DD"/>
    <w:rsid w:val="003E69A1"/>
    <w:rsid w:val="003E69A6"/>
    <w:rsid w:val="003E6A10"/>
    <w:rsid w:val="003E6A3E"/>
    <w:rsid w:val="003E6A61"/>
    <w:rsid w:val="003E6A76"/>
    <w:rsid w:val="003E6A90"/>
    <w:rsid w:val="003E6AF1"/>
    <w:rsid w:val="003E6BA5"/>
    <w:rsid w:val="003E6C75"/>
    <w:rsid w:val="003E6CDE"/>
    <w:rsid w:val="003E6CFC"/>
    <w:rsid w:val="003E6D2C"/>
    <w:rsid w:val="003E6DD0"/>
    <w:rsid w:val="003E6E74"/>
    <w:rsid w:val="003E710E"/>
    <w:rsid w:val="003E7161"/>
    <w:rsid w:val="003E7186"/>
    <w:rsid w:val="003E71C1"/>
    <w:rsid w:val="003E71C6"/>
    <w:rsid w:val="003E72E5"/>
    <w:rsid w:val="003E735A"/>
    <w:rsid w:val="003E73BB"/>
    <w:rsid w:val="003E73D7"/>
    <w:rsid w:val="003E741B"/>
    <w:rsid w:val="003E7540"/>
    <w:rsid w:val="003E7553"/>
    <w:rsid w:val="003E759A"/>
    <w:rsid w:val="003E7659"/>
    <w:rsid w:val="003E769F"/>
    <w:rsid w:val="003E7719"/>
    <w:rsid w:val="003E7822"/>
    <w:rsid w:val="003E7859"/>
    <w:rsid w:val="003E79A4"/>
    <w:rsid w:val="003E79C5"/>
    <w:rsid w:val="003E7A51"/>
    <w:rsid w:val="003E7A67"/>
    <w:rsid w:val="003E7BD8"/>
    <w:rsid w:val="003E7C06"/>
    <w:rsid w:val="003E7C40"/>
    <w:rsid w:val="003E7CAD"/>
    <w:rsid w:val="003E7D66"/>
    <w:rsid w:val="003E7D98"/>
    <w:rsid w:val="003E7E58"/>
    <w:rsid w:val="003E7ED5"/>
    <w:rsid w:val="003E7F00"/>
    <w:rsid w:val="003E7FEB"/>
    <w:rsid w:val="003F00B9"/>
    <w:rsid w:val="003F0125"/>
    <w:rsid w:val="003F0181"/>
    <w:rsid w:val="003F019D"/>
    <w:rsid w:val="003F01B3"/>
    <w:rsid w:val="003F01C5"/>
    <w:rsid w:val="003F01EE"/>
    <w:rsid w:val="003F0221"/>
    <w:rsid w:val="003F024D"/>
    <w:rsid w:val="003F03BE"/>
    <w:rsid w:val="003F03C7"/>
    <w:rsid w:val="003F0401"/>
    <w:rsid w:val="003F040E"/>
    <w:rsid w:val="003F041D"/>
    <w:rsid w:val="003F04E7"/>
    <w:rsid w:val="003F04EA"/>
    <w:rsid w:val="003F056C"/>
    <w:rsid w:val="003F06ED"/>
    <w:rsid w:val="003F0967"/>
    <w:rsid w:val="003F09C2"/>
    <w:rsid w:val="003F0A4D"/>
    <w:rsid w:val="003F0C22"/>
    <w:rsid w:val="003F0C4D"/>
    <w:rsid w:val="003F0C98"/>
    <w:rsid w:val="003F0D6C"/>
    <w:rsid w:val="003F0D70"/>
    <w:rsid w:val="003F0DD6"/>
    <w:rsid w:val="003F0E30"/>
    <w:rsid w:val="003F0E9C"/>
    <w:rsid w:val="003F0ECA"/>
    <w:rsid w:val="003F0F8D"/>
    <w:rsid w:val="003F1022"/>
    <w:rsid w:val="003F10F2"/>
    <w:rsid w:val="003F1120"/>
    <w:rsid w:val="003F1155"/>
    <w:rsid w:val="003F1220"/>
    <w:rsid w:val="003F1238"/>
    <w:rsid w:val="003F12AD"/>
    <w:rsid w:val="003F12D1"/>
    <w:rsid w:val="003F12F1"/>
    <w:rsid w:val="003F1343"/>
    <w:rsid w:val="003F13DA"/>
    <w:rsid w:val="003F142C"/>
    <w:rsid w:val="003F1460"/>
    <w:rsid w:val="003F149E"/>
    <w:rsid w:val="003F14D0"/>
    <w:rsid w:val="003F150B"/>
    <w:rsid w:val="003F153D"/>
    <w:rsid w:val="003F15A3"/>
    <w:rsid w:val="003F165E"/>
    <w:rsid w:val="003F1750"/>
    <w:rsid w:val="003F183B"/>
    <w:rsid w:val="003F1879"/>
    <w:rsid w:val="003F18AA"/>
    <w:rsid w:val="003F195F"/>
    <w:rsid w:val="003F1975"/>
    <w:rsid w:val="003F1A30"/>
    <w:rsid w:val="003F1A4F"/>
    <w:rsid w:val="003F1A84"/>
    <w:rsid w:val="003F1A8C"/>
    <w:rsid w:val="003F1A9E"/>
    <w:rsid w:val="003F1B3B"/>
    <w:rsid w:val="003F1BA7"/>
    <w:rsid w:val="003F1BBD"/>
    <w:rsid w:val="003F1BD2"/>
    <w:rsid w:val="003F1C2D"/>
    <w:rsid w:val="003F1C30"/>
    <w:rsid w:val="003F1C8E"/>
    <w:rsid w:val="003F1CF5"/>
    <w:rsid w:val="003F1DB4"/>
    <w:rsid w:val="003F1E62"/>
    <w:rsid w:val="003F1EF4"/>
    <w:rsid w:val="003F1FDA"/>
    <w:rsid w:val="003F1FDF"/>
    <w:rsid w:val="003F2070"/>
    <w:rsid w:val="003F2207"/>
    <w:rsid w:val="003F22B4"/>
    <w:rsid w:val="003F22F2"/>
    <w:rsid w:val="003F248B"/>
    <w:rsid w:val="003F24AF"/>
    <w:rsid w:val="003F2523"/>
    <w:rsid w:val="003F2582"/>
    <w:rsid w:val="003F258E"/>
    <w:rsid w:val="003F25C6"/>
    <w:rsid w:val="003F268C"/>
    <w:rsid w:val="003F26D7"/>
    <w:rsid w:val="003F26E8"/>
    <w:rsid w:val="003F2763"/>
    <w:rsid w:val="003F2781"/>
    <w:rsid w:val="003F27C7"/>
    <w:rsid w:val="003F280B"/>
    <w:rsid w:val="003F28C4"/>
    <w:rsid w:val="003F28EB"/>
    <w:rsid w:val="003F28F1"/>
    <w:rsid w:val="003F2962"/>
    <w:rsid w:val="003F29BE"/>
    <w:rsid w:val="003F29DC"/>
    <w:rsid w:val="003F2A16"/>
    <w:rsid w:val="003F2A25"/>
    <w:rsid w:val="003F2A47"/>
    <w:rsid w:val="003F2A67"/>
    <w:rsid w:val="003F2B11"/>
    <w:rsid w:val="003F2B39"/>
    <w:rsid w:val="003F2B3F"/>
    <w:rsid w:val="003F2B8F"/>
    <w:rsid w:val="003F2C13"/>
    <w:rsid w:val="003F2C5B"/>
    <w:rsid w:val="003F2D29"/>
    <w:rsid w:val="003F2D71"/>
    <w:rsid w:val="003F2EE1"/>
    <w:rsid w:val="003F2F5E"/>
    <w:rsid w:val="003F2F86"/>
    <w:rsid w:val="003F2FF4"/>
    <w:rsid w:val="003F3040"/>
    <w:rsid w:val="003F306D"/>
    <w:rsid w:val="003F30A8"/>
    <w:rsid w:val="003F30D4"/>
    <w:rsid w:val="003F3149"/>
    <w:rsid w:val="003F3152"/>
    <w:rsid w:val="003F3237"/>
    <w:rsid w:val="003F324A"/>
    <w:rsid w:val="003F328F"/>
    <w:rsid w:val="003F3317"/>
    <w:rsid w:val="003F3495"/>
    <w:rsid w:val="003F34E4"/>
    <w:rsid w:val="003F35E7"/>
    <w:rsid w:val="003F36BA"/>
    <w:rsid w:val="003F36CB"/>
    <w:rsid w:val="003F37E0"/>
    <w:rsid w:val="003F37F9"/>
    <w:rsid w:val="003F3820"/>
    <w:rsid w:val="003F3872"/>
    <w:rsid w:val="003F38A1"/>
    <w:rsid w:val="003F39D3"/>
    <w:rsid w:val="003F3A24"/>
    <w:rsid w:val="003F3BB2"/>
    <w:rsid w:val="003F3D1E"/>
    <w:rsid w:val="003F3D20"/>
    <w:rsid w:val="003F3DAC"/>
    <w:rsid w:val="003F3EA0"/>
    <w:rsid w:val="003F3F6D"/>
    <w:rsid w:val="003F400F"/>
    <w:rsid w:val="003F4049"/>
    <w:rsid w:val="003F40AC"/>
    <w:rsid w:val="003F40C2"/>
    <w:rsid w:val="003F416A"/>
    <w:rsid w:val="003F4189"/>
    <w:rsid w:val="003F41C3"/>
    <w:rsid w:val="003F4222"/>
    <w:rsid w:val="003F4225"/>
    <w:rsid w:val="003F4298"/>
    <w:rsid w:val="003F43BD"/>
    <w:rsid w:val="003F4437"/>
    <w:rsid w:val="003F44DC"/>
    <w:rsid w:val="003F45EA"/>
    <w:rsid w:val="003F4651"/>
    <w:rsid w:val="003F4652"/>
    <w:rsid w:val="003F4676"/>
    <w:rsid w:val="003F4799"/>
    <w:rsid w:val="003F489E"/>
    <w:rsid w:val="003F4944"/>
    <w:rsid w:val="003F4A18"/>
    <w:rsid w:val="003F4A5F"/>
    <w:rsid w:val="003F4A9A"/>
    <w:rsid w:val="003F4CB4"/>
    <w:rsid w:val="003F4CE3"/>
    <w:rsid w:val="003F4E58"/>
    <w:rsid w:val="003F4EAE"/>
    <w:rsid w:val="003F4EF8"/>
    <w:rsid w:val="003F4F26"/>
    <w:rsid w:val="003F4FC3"/>
    <w:rsid w:val="003F502A"/>
    <w:rsid w:val="003F5176"/>
    <w:rsid w:val="003F526A"/>
    <w:rsid w:val="003F5282"/>
    <w:rsid w:val="003F52C0"/>
    <w:rsid w:val="003F52F0"/>
    <w:rsid w:val="003F537F"/>
    <w:rsid w:val="003F5523"/>
    <w:rsid w:val="003F55EF"/>
    <w:rsid w:val="003F5674"/>
    <w:rsid w:val="003F56FC"/>
    <w:rsid w:val="003F5752"/>
    <w:rsid w:val="003F5768"/>
    <w:rsid w:val="003F576B"/>
    <w:rsid w:val="003F5882"/>
    <w:rsid w:val="003F58EA"/>
    <w:rsid w:val="003F5984"/>
    <w:rsid w:val="003F59EF"/>
    <w:rsid w:val="003F5A0B"/>
    <w:rsid w:val="003F5A72"/>
    <w:rsid w:val="003F5A9A"/>
    <w:rsid w:val="003F5B52"/>
    <w:rsid w:val="003F5B76"/>
    <w:rsid w:val="003F5C0C"/>
    <w:rsid w:val="003F5CD3"/>
    <w:rsid w:val="003F5D96"/>
    <w:rsid w:val="003F5E2C"/>
    <w:rsid w:val="003F5E40"/>
    <w:rsid w:val="003F5E46"/>
    <w:rsid w:val="003F5E56"/>
    <w:rsid w:val="003F5E5C"/>
    <w:rsid w:val="003F5E64"/>
    <w:rsid w:val="003F5F1D"/>
    <w:rsid w:val="003F5F37"/>
    <w:rsid w:val="003F5F9A"/>
    <w:rsid w:val="003F6009"/>
    <w:rsid w:val="003F60A7"/>
    <w:rsid w:val="003F60FB"/>
    <w:rsid w:val="003F626D"/>
    <w:rsid w:val="003F629C"/>
    <w:rsid w:val="003F62A4"/>
    <w:rsid w:val="003F62CB"/>
    <w:rsid w:val="003F62CC"/>
    <w:rsid w:val="003F6341"/>
    <w:rsid w:val="003F6351"/>
    <w:rsid w:val="003F637D"/>
    <w:rsid w:val="003F637E"/>
    <w:rsid w:val="003F6445"/>
    <w:rsid w:val="003F645A"/>
    <w:rsid w:val="003F6616"/>
    <w:rsid w:val="003F6700"/>
    <w:rsid w:val="003F6859"/>
    <w:rsid w:val="003F687A"/>
    <w:rsid w:val="003F694B"/>
    <w:rsid w:val="003F695F"/>
    <w:rsid w:val="003F6969"/>
    <w:rsid w:val="003F69A3"/>
    <w:rsid w:val="003F6AFE"/>
    <w:rsid w:val="003F6B6E"/>
    <w:rsid w:val="003F6BD5"/>
    <w:rsid w:val="003F6CCD"/>
    <w:rsid w:val="003F6CF3"/>
    <w:rsid w:val="003F6D7B"/>
    <w:rsid w:val="003F6EF0"/>
    <w:rsid w:val="003F6F0A"/>
    <w:rsid w:val="003F7009"/>
    <w:rsid w:val="003F7044"/>
    <w:rsid w:val="003F70EC"/>
    <w:rsid w:val="003F7147"/>
    <w:rsid w:val="003F7152"/>
    <w:rsid w:val="003F722F"/>
    <w:rsid w:val="003F729B"/>
    <w:rsid w:val="003F72B5"/>
    <w:rsid w:val="003F7449"/>
    <w:rsid w:val="003F755D"/>
    <w:rsid w:val="003F7667"/>
    <w:rsid w:val="003F7679"/>
    <w:rsid w:val="003F784D"/>
    <w:rsid w:val="003F7961"/>
    <w:rsid w:val="003F7969"/>
    <w:rsid w:val="003F79AA"/>
    <w:rsid w:val="003F79E3"/>
    <w:rsid w:val="003F79FA"/>
    <w:rsid w:val="003F79FB"/>
    <w:rsid w:val="003F7A3D"/>
    <w:rsid w:val="003F7A5A"/>
    <w:rsid w:val="003F7AAF"/>
    <w:rsid w:val="003F7B6E"/>
    <w:rsid w:val="003F7C34"/>
    <w:rsid w:val="003F7C71"/>
    <w:rsid w:val="003F7D45"/>
    <w:rsid w:val="003F7D7C"/>
    <w:rsid w:val="003F7DAD"/>
    <w:rsid w:val="003F7E62"/>
    <w:rsid w:val="003F7F5D"/>
    <w:rsid w:val="00400020"/>
    <w:rsid w:val="0040006E"/>
    <w:rsid w:val="004001B6"/>
    <w:rsid w:val="004001C8"/>
    <w:rsid w:val="004003DC"/>
    <w:rsid w:val="004003EB"/>
    <w:rsid w:val="0040044D"/>
    <w:rsid w:val="00400498"/>
    <w:rsid w:val="004004A0"/>
    <w:rsid w:val="004004DA"/>
    <w:rsid w:val="004004F5"/>
    <w:rsid w:val="004005B0"/>
    <w:rsid w:val="004005F4"/>
    <w:rsid w:val="0040078F"/>
    <w:rsid w:val="004007F3"/>
    <w:rsid w:val="00400800"/>
    <w:rsid w:val="00400900"/>
    <w:rsid w:val="0040091D"/>
    <w:rsid w:val="00400935"/>
    <w:rsid w:val="004009C0"/>
    <w:rsid w:val="004009E0"/>
    <w:rsid w:val="00400A1F"/>
    <w:rsid w:val="00400A86"/>
    <w:rsid w:val="00400B44"/>
    <w:rsid w:val="00400CF1"/>
    <w:rsid w:val="00400D1B"/>
    <w:rsid w:val="00400DA0"/>
    <w:rsid w:val="00400DE1"/>
    <w:rsid w:val="00400E4E"/>
    <w:rsid w:val="00400E4F"/>
    <w:rsid w:val="00400E52"/>
    <w:rsid w:val="00400ED4"/>
    <w:rsid w:val="00400F70"/>
    <w:rsid w:val="00400F71"/>
    <w:rsid w:val="004010D1"/>
    <w:rsid w:val="00401108"/>
    <w:rsid w:val="004011B8"/>
    <w:rsid w:val="004011FF"/>
    <w:rsid w:val="00401205"/>
    <w:rsid w:val="0040124D"/>
    <w:rsid w:val="00401258"/>
    <w:rsid w:val="00401297"/>
    <w:rsid w:val="0040130B"/>
    <w:rsid w:val="00401344"/>
    <w:rsid w:val="004014A7"/>
    <w:rsid w:val="00401504"/>
    <w:rsid w:val="0040155E"/>
    <w:rsid w:val="004015A7"/>
    <w:rsid w:val="004015C7"/>
    <w:rsid w:val="0040162E"/>
    <w:rsid w:val="0040174C"/>
    <w:rsid w:val="00401841"/>
    <w:rsid w:val="0040184F"/>
    <w:rsid w:val="0040197C"/>
    <w:rsid w:val="004019C4"/>
    <w:rsid w:val="00401AB5"/>
    <w:rsid w:val="00401AD6"/>
    <w:rsid w:val="00401B6F"/>
    <w:rsid w:val="00401C48"/>
    <w:rsid w:val="00401C63"/>
    <w:rsid w:val="00401D63"/>
    <w:rsid w:val="00401D80"/>
    <w:rsid w:val="00401E18"/>
    <w:rsid w:val="00401E7B"/>
    <w:rsid w:val="00401F00"/>
    <w:rsid w:val="00401F0F"/>
    <w:rsid w:val="0040212C"/>
    <w:rsid w:val="00402356"/>
    <w:rsid w:val="0040242E"/>
    <w:rsid w:val="0040259C"/>
    <w:rsid w:val="004025CF"/>
    <w:rsid w:val="00402643"/>
    <w:rsid w:val="0040264F"/>
    <w:rsid w:val="00402688"/>
    <w:rsid w:val="00402692"/>
    <w:rsid w:val="00402732"/>
    <w:rsid w:val="0040275D"/>
    <w:rsid w:val="00402875"/>
    <w:rsid w:val="004028A0"/>
    <w:rsid w:val="004028CF"/>
    <w:rsid w:val="004028E5"/>
    <w:rsid w:val="00402A35"/>
    <w:rsid w:val="00402A3E"/>
    <w:rsid w:val="00402AF0"/>
    <w:rsid w:val="00402AF1"/>
    <w:rsid w:val="00402B79"/>
    <w:rsid w:val="00402B7D"/>
    <w:rsid w:val="00402BF8"/>
    <w:rsid w:val="00402C3F"/>
    <w:rsid w:val="00402CC4"/>
    <w:rsid w:val="00402D69"/>
    <w:rsid w:val="00402DC1"/>
    <w:rsid w:val="00402DCE"/>
    <w:rsid w:val="00402DEC"/>
    <w:rsid w:val="00402E14"/>
    <w:rsid w:val="00402EBD"/>
    <w:rsid w:val="00402F9B"/>
    <w:rsid w:val="00403019"/>
    <w:rsid w:val="004030D0"/>
    <w:rsid w:val="004030DD"/>
    <w:rsid w:val="00403124"/>
    <w:rsid w:val="0040318D"/>
    <w:rsid w:val="0040320B"/>
    <w:rsid w:val="004032CC"/>
    <w:rsid w:val="00403439"/>
    <w:rsid w:val="0040344A"/>
    <w:rsid w:val="00403468"/>
    <w:rsid w:val="00403469"/>
    <w:rsid w:val="004034C6"/>
    <w:rsid w:val="00403562"/>
    <w:rsid w:val="00403613"/>
    <w:rsid w:val="00403617"/>
    <w:rsid w:val="0040366F"/>
    <w:rsid w:val="00403697"/>
    <w:rsid w:val="004036D6"/>
    <w:rsid w:val="0040370B"/>
    <w:rsid w:val="004037A3"/>
    <w:rsid w:val="004037B0"/>
    <w:rsid w:val="004037F6"/>
    <w:rsid w:val="0040391A"/>
    <w:rsid w:val="0040396A"/>
    <w:rsid w:val="00403AAD"/>
    <w:rsid w:val="00403ADE"/>
    <w:rsid w:val="00403C92"/>
    <w:rsid w:val="00403F26"/>
    <w:rsid w:val="00403F98"/>
    <w:rsid w:val="00403FB7"/>
    <w:rsid w:val="00403FC8"/>
    <w:rsid w:val="00403FFC"/>
    <w:rsid w:val="00404009"/>
    <w:rsid w:val="0040413C"/>
    <w:rsid w:val="00404156"/>
    <w:rsid w:val="004041D0"/>
    <w:rsid w:val="004041EA"/>
    <w:rsid w:val="00404366"/>
    <w:rsid w:val="0040439C"/>
    <w:rsid w:val="004043B8"/>
    <w:rsid w:val="004043DC"/>
    <w:rsid w:val="00404521"/>
    <w:rsid w:val="00404574"/>
    <w:rsid w:val="0040458C"/>
    <w:rsid w:val="004045A7"/>
    <w:rsid w:val="004046F1"/>
    <w:rsid w:val="004046F8"/>
    <w:rsid w:val="0040475B"/>
    <w:rsid w:val="0040479F"/>
    <w:rsid w:val="004047B7"/>
    <w:rsid w:val="004047E7"/>
    <w:rsid w:val="004047FA"/>
    <w:rsid w:val="00404809"/>
    <w:rsid w:val="0040485E"/>
    <w:rsid w:val="00404873"/>
    <w:rsid w:val="0040488E"/>
    <w:rsid w:val="0040498B"/>
    <w:rsid w:val="004049A2"/>
    <w:rsid w:val="004049A4"/>
    <w:rsid w:val="00404A0F"/>
    <w:rsid w:val="00404A3F"/>
    <w:rsid w:val="00404A66"/>
    <w:rsid w:val="00404B64"/>
    <w:rsid w:val="00404BEC"/>
    <w:rsid w:val="00404BF1"/>
    <w:rsid w:val="00404D07"/>
    <w:rsid w:val="00404D15"/>
    <w:rsid w:val="00404E55"/>
    <w:rsid w:val="00404E65"/>
    <w:rsid w:val="00404E93"/>
    <w:rsid w:val="00404EB6"/>
    <w:rsid w:val="00404ED1"/>
    <w:rsid w:val="00404FD1"/>
    <w:rsid w:val="00405011"/>
    <w:rsid w:val="00405020"/>
    <w:rsid w:val="0040505B"/>
    <w:rsid w:val="004050FD"/>
    <w:rsid w:val="004051A1"/>
    <w:rsid w:val="004052B0"/>
    <w:rsid w:val="00405464"/>
    <w:rsid w:val="00405474"/>
    <w:rsid w:val="0040549B"/>
    <w:rsid w:val="004054FD"/>
    <w:rsid w:val="00405524"/>
    <w:rsid w:val="0040554F"/>
    <w:rsid w:val="004055DC"/>
    <w:rsid w:val="00405628"/>
    <w:rsid w:val="0040568B"/>
    <w:rsid w:val="004056A7"/>
    <w:rsid w:val="0040575E"/>
    <w:rsid w:val="004057B0"/>
    <w:rsid w:val="0040586A"/>
    <w:rsid w:val="004058BB"/>
    <w:rsid w:val="004058C7"/>
    <w:rsid w:val="0040592C"/>
    <w:rsid w:val="00405985"/>
    <w:rsid w:val="00405A0B"/>
    <w:rsid w:val="00405B09"/>
    <w:rsid w:val="00405BD0"/>
    <w:rsid w:val="00405C46"/>
    <w:rsid w:val="00405C84"/>
    <w:rsid w:val="00405D9A"/>
    <w:rsid w:val="00405E5A"/>
    <w:rsid w:val="00405E73"/>
    <w:rsid w:val="00405F41"/>
    <w:rsid w:val="00406005"/>
    <w:rsid w:val="00406010"/>
    <w:rsid w:val="00406018"/>
    <w:rsid w:val="00406139"/>
    <w:rsid w:val="0040613B"/>
    <w:rsid w:val="00406140"/>
    <w:rsid w:val="0040616F"/>
    <w:rsid w:val="004062A0"/>
    <w:rsid w:val="004063BA"/>
    <w:rsid w:val="0040646E"/>
    <w:rsid w:val="0040650F"/>
    <w:rsid w:val="00406567"/>
    <w:rsid w:val="0040656E"/>
    <w:rsid w:val="004065DD"/>
    <w:rsid w:val="00406670"/>
    <w:rsid w:val="00406694"/>
    <w:rsid w:val="004066D7"/>
    <w:rsid w:val="00406723"/>
    <w:rsid w:val="00406799"/>
    <w:rsid w:val="004067D1"/>
    <w:rsid w:val="00406820"/>
    <w:rsid w:val="0040684B"/>
    <w:rsid w:val="0040690D"/>
    <w:rsid w:val="00406A19"/>
    <w:rsid w:val="00406ABD"/>
    <w:rsid w:val="00406AF8"/>
    <w:rsid w:val="00406B13"/>
    <w:rsid w:val="00406BDD"/>
    <w:rsid w:val="00406CDF"/>
    <w:rsid w:val="00406E5E"/>
    <w:rsid w:val="00406E83"/>
    <w:rsid w:val="00406F1A"/>
    <w:rsid w:val="00406F96"/>
    <w:rsid w:val="00407093"/>
    <w:rsid w:val="00407118"/>
    <w:rsid w:val="00407121"/>
    <w:rsid w:val="00407187"/>
    <w:rsid w:val="00407204"/>
    <w:rsid w:val="00407268"/>
    <w:rsid w:val="004072A5"/>
    <w:rsid w:val="00407324"/>
    <w:rsid w:val="0040734B"/>
    <w:rsid w:val="0040737C"/>
    <w:rsid w:val="00407555"/>
    <w:rsid w:val="00407591"/>
    <w:rsid w:val="0040768B"/>
    <w:rsid w:val="004076C3"/>
    <w:rsid w:val="004076DC"/>
    <w:rsid w:val="00407719"/>
    <w:rsid w:val="004078AD"/>
    <w:rsid w:val="0040798E"/>
    <w:rsid w:val="004079A3"/>
    <w:rsid w:val="004079B7"/>
    <w:rsid w:val="004079F9"/>
    <w:rsid w:val="00407A0B"/>
    <w:rsid w:val="00407AD6"/>
    <w:rsid w:val="00407ADA"/>
    <w:rsid w:val="00407ADE"/>
    <w:rsid w:val="00407B2A"/>
    <w:rsid w:val="00407B99"/>
    <w:rsid w:val="00407C53"/>
    <w:rsid w:val="00407CF9"/>
    <w:rsid w:val="00407D51"/>
    <w:rsid w:val="00407DB8"/>
    <w:rsid w:val="00407DDC"/>
    <w:rsid w:val="00407E3D"/>
    <w:rsid w:val="00407EA0"/>
    <w:rsid w:val="00407F45"/>
    <w:rsid w:val="00407FD4"/>
    <w:rsid w:val="00410056"/>
    <w:rsid w:val="0041011B"/>
    <w:rsid w:val="00410198"/>
    <w:rsid w:val="0041025A"/>
    <w:rsid w:val="004102C4"/>
    <w:rsid w:val="0041044A"/>
    <w:rsid w:val="00410545"/>
    <w:rsid w:val="00410597"/>
    <w:rsid w:val="004106E2"/>
    <w:rsid w:val="0041075C"/>
    <w:rsid w:val="00410777"/>
    <w:rsid w:val="00410826"/>
    <w:rsid w:val="00410840"/>
    <w:rsid w:val="00410842"/>
    <w:rsid w:val="0041085F"/>
    <w:rsid w:val="00410877"/>
    <w:rsid w:val="00410B13"/>
    <w:rsid w:val="00410B24"/>
    <w:rsid w:val="00410BD4"/>
    <w:rsid w:val="00410BE7"/>
    <w:rsid w:val="00410C09"/>
    <w:rsid w:val="00410CC5"/>
    <w:rsid w:val="00410CEA"/>
    <w:rsid w:val="00410D05"/>
    <w:rsid w:val="00410D27"/>
    <w:rsid w:val="00410D68"/>
    <w:rsid w:val="00410D75"/>
    <w:rsid w:val="00410E0E"/>
    <w:rsid w:val="00410EBA"/>
    <w:rsid w:val="00410EFA"/>
    <w:rsid w:val="00410F4C"/>
    <w:rsid w:val="00410F5F"/>
    <w:rsid w:val="00410F62"/>
    <w:rsid w:val="004110AD"/>
    <w:rsid w:val="004110D7"/>
    <w:rsid w:val="004110DC"/>
    <w:rsid w:val="0041112C"/>
    <w:rsid w:val="0041120E"/>
    <w:rsid w:val="0041121D"/>
    <w:rsid w:val="0041135C"/>
    <w:rsid w:val="004113E6"/>
    <w:rsid w:val="0041149A"/>
    <w:rsid w:val="00411545"/>
    <w:rsid w:val="0041154B"/>
    <w:rsid w:val="00411557"/>
    <w:rsid w:val="00411642"/>
    <w:rsid w:val="004116D8"/>
    <w:rsid w:val="00411709"/>
    <w:rsid w:val="00411793"/>
    <w:rsid w:val="004117F4"/>
    <w:rsid w:val="004117FA"/>
    <w:rsid w:val="00411870"/>
    <w:rsid w:val="00411871"/>
    <w:rsid w:val="00411981"/>
    <w:rsid w:val="004119F9"/>
    <w:rsid w:val="00411AA4"/>
    <w:rsid w:val="00411AFB"/>
    <w:rsid w:val="00411B93"/>
    <w:rsid w:val="00411BDD"/>
    <w:rsid w:val="00411CA4"/>
    <w:rsid w:val="00411FD2"/>
    <w:rsid w:val="00411FE8"/>
    <w:rsid w:val="00411FEE"/>
    <w:rsid w:val="004120BD"/>
    <w:rsid w:val="004120D6"/>
    <w:rsid w:val="004121B0"/>
    <w:rsid w:val="0041221C"/>
    <w:rsid w:val="00412302"/>
    <w:rsid w:val="004123B7"/>
    <w:rsid w:val="00412728"/>
    <w:rsid w:val="00412774"/>
    <w:rsid w:val="004127DE"/>
    <w:rsid w:val="004128AC"/>
    <w:rsid w:val="004128F9"/>
    <w:rsid w:val="00412900"/>
    <w:rsid w:val="00412935"/>
    <w:rsid w:val="00412999"/>
    <w:rsid w:val="004129ED"/>
    <w:rsid w:val="00412A03"/>
    <w:rsid w:val="00412A26"/>
    <w:rsid w:val="00412AC4"/>
    <w:rsid w:val="00412AD9"/>
    <w:rsid w:val="00412B06"/>
    <w:rsid w:val="00412B73"/>
    <w:rsid w:val="00412C93"/>
    <w:rsid w:val="00412D78"/>
    <w:rsid w:val="00412DCB"/>
    <w:rsid w:val="00412EA6"/>
    <w:rsid w:val="00412ECE"/>
    <w:rsid w:val="00413002"/>
    <w:rsid w:val="004130CD"/>
    <w:rsid w:val="00413244"/>
    <w:rsid w:val="004132AA"/>
    <w:rsid w:val="004132D6"/>
    <w:rsid w:val="0041337E"/>
    <w:rsid w:val="0041338A"/>
    <w:rsid w:val="0041340D"/>
    <w:rsid w:val="00413416"/>
    <w:rsid w:val="004135EA"/>
    <w:rsid w:val="00413632"/>
    <w:rsid w:val="00413654"/>
    <w:rsid w:val="004136D7"/>
    <w:rsid w:val="00413740"/>
    <w:rsid w:val="00413787"/>
    <w:rsid w:val="004137AB"/>
    <w:rsid w:val="004137C7"/>
    <w:rsid w:val="004138C3"/>
    <w:rsid w:val="00413A1A"/>
    <w:rsid w:val="00413AEB"/>
    <w:rsid w:val="00413B5B"/>
    <w:rsid w:val="00413B9C"/>
    <w:rsid w:val="00413CCD"/>
    <w:rsid w:val="00413D25"/>
    <w:rsid w:val="00413D2A"/>
    <w:rsid w:val="00413DA0"/>
    <w:rsid w:val="00413DC6"/>
    <w:rsid w:val="00413E85"/>
    <w:rsid w:val="00413EA5"/>
    <w:rsid w:val="00413F12"/>
    <w:rsid w:val="00413F17"/>
    <w:rsid w:val="00414082"/>
    <w:rsid w:val="004140FF"/>
    <w:rsid w:val="0041410C"/>
    <w:rsid w:val="0041412A"/>
    <w:rsid w:val="00414144"/>
    <w:rsid w:val="004141D8"/>
    <w:rsid w:val="00414360"/>
    <w:rsid w:val="004143D1"/>
    <w:rsid w:val="00414436"/>
    <w:rsid w:val="00414570"/>
    <w:rsid w:val="00414591"/>
    <w:rsid w:val="004145AD"/>
    <w:rsid w:val="004145BD"/>
    <w:rsid w:val="004145D5"/>
    <w:rsid w:val="0041467E"/>
    <w:rsid w:val="0041477B"/>
    <w:rsid w:val="00414799"/>
    <w:rsid w:val="004147B6"/>
    <w:rsid w:val="004147BB"/>
    <w:rsid w:val="004147FD"/>
    <w:rsid w:val="004148AB"/>
    <w:rsid w:val="0041490C"/>
    <w:rsid w:val="0041498C"/>
    <w:rsid w:val="004149B6"/>
    <w:rsid w:val="00414A76"/>
    <w:rsid w:val="00414A89"/>
    <w:rsid w:val="00414C19"/>
    <w:rsid w:val="00414D4D"/>
    <w:rsid w:val="00414D8C"/>
    <w:rsid w:val="00414D95"/>
    <w:rsid w:val="00414DD9"/>
    <w:rsid w:val="00414F02"/>
    <w:rsid w:val="00414F2E"/>
    <w:rsid w:val="00414F4A"/>
    <w:rsid w:val="00414F52"/>
    <w:rsid w:val="00414F85"/>
    <w:rsid w:val="00414FD7"/>
    <w:rsid w:val="00415025"/>
    <w:rsid w:val="00415060"/>
    <w:rsid w:val="0041507E"/>
    <w:rsid w:val="004150D8"/>
    <w:rsid w:val="0041514F"/>
    <w:rsid w:val="004151D9"/>
    <w:rsid w:val="004151ED"/>
    <w:rsid w:val="00415204"/>
    <w:rsid w:val="004152CA"/>
    <w:rsid w:val="0041530D"/>
    <w:rsid w:val="00415488"/>
    <w:rsid w:val="004154B8"/>
    <w:rsid w:val="00415573"/>
    <w:rsid w:val="00415626"/>
    <w:rsid w:val="0041564B"/>
    <w:rsid w:val="00415672"/>
    <w:rsid w:val="0041568C"/>
    <w:rsid w:val="00415770"/>
    <w:rsid w:val="004158FC"/>
    <w:rsid w:val="00415912"/>
    <w:rsid w:val="00415A03"/>
    <w:rsid w:val="00415A1D"/>
    <w:rsid w:val="00415B0C"/>
    <w:rsid w:val="00415B43"/>
    <w:rsid w:val="00415D15"/>
    <w:rsid w:val="00415D7F"/>
    <w:rsid w:val="00415DC7"/>
    <w:rsid w:val="00415E88"/>
    <w:rsid w:val="00415EB0"/>
    <w:rsid w:val="00415F27"/>
    <w:rsid w:val="00415F31"/>
    <w:rsid w:val="00415FC2"/>
    <w:rsid w:val="004160A0"/>
    <w:rsid w:val="0041611C"/>
    <w:rsid w:val="004161A1"/>
    <w:rsid w:val="0041626D"/>
    <w:rsid w:val="004162BB"/>
    <w:rsid w:val="004162D4"/>
    <w:rsid w:val="004163A8"/>
    <w:rsid w:val="004163E3"/>
    <w:rsid w:val="00416409"/>
    <w:rsid w:val="0041657A"/>
    <w:rsid w:val="004165AD"/>
    <w:rsid w:val="004166F7"/>
    <w:rsid w:val="00416726"/>
    <w:rsid w:val="0041674A"/>
    <w:rsid w:val="004167F9"/>
    <w:rsid w:val="004168D2"/>
    <w:rsid w:val="004168E0"/>
    <w:rsid w:val="00416930"/>
    <w:rsid w:val="00416A0F"/>
    <w:rsid w:val="00416A8A"/>
    <w:rsid w:val="00416AAA"/>
    <w:rsid w:val="00416C3B"/>
    <w:rsid w:val="00416CA5"/>
    <w:rsid w:val="00416D26"/>
    <w:rsid w:val="00416D7B"/>
    <w:rsid w:val="00416E49"/>
    <w:rsid w:val="00416EAD"/>
    <w:rsid w:val="00416EF1"/>
    <w:rsid w:val="00416EFD"/>
    <w:rsid w:val="00416F2A"/>
    <w:rsid w:val="0041715A"/>
    <w:rsid w:val="00417169"/>
    <w:rsid w:val="004171E0"/>
    <w:rsid w:val="004172C0"/>
    <w:rsid w:val="00417310"/>
    <w:rsid w:val="004173A4"/>
    <w:rsid w:val="004173BC"/>
    <w:rsid w:val="0041745B"/>
    <w:rsid w:val="004174AB"/>
    <w:rsid w:val="004174FF"/>
    <w:rsid w:val="0041756D"/>
    <w:rsid w:val="004175D4"/>
    <w:rsid w:val="004175EB"/>
    <w:rsid w:val="00417672"/>
    <w:rsid w:val="0041767C"/>
    <w:rsid w:val="004176CD"/>
    <w:rsid w:val="00417736"/>
    <w:rsid w:val="00417757"/>
    <w:rsid w:val="004177D6"/>
    <w:rsid w:val="004177E2"/>
    <w:rsid w:val="0041789E"/>
    <w:rsid w:val="004178F2"/>
    <w:rsid w:val="00417961"/>
    <w:rsid w:val="004179A3"/>
    <w:rsid w:val="00417A02"/>
    <w:rsid w:val="00417A32"/>
    <w:rsid w:val="00417A4A"/>
    <w:rsid w:val="00417ACB"/>
    <w:rsid w:val="00417AD4"/>
    <w:rsid w:val="00417B35"/>
    <w:rsid w:val="00417B4E"/>
    <w:rsid w:val="00417BB1"/>
    <w:rsid w:val="00417C25"/>
    <w:rsid w:val="00417D89"/>
    <w:rsid w:val="00417DCD"/>
    <w:rsid w:val="00417E35"/>
    <w:rsid w:val="00417EF6"/>
    <w:rsid w:val="00417F47"/>
    <w:rsid w:val="00417FEA"/>
    <w:rsid w:val="00420077"/>
    <w:rsid w:val="0042009E"/>
    <w:rsid w:val="00420148"/>
    <w:rsid w:val="004201BA"/>
    <w:rsid w:val="004201CE"/>
    <w:rsid w:val="00420266"/>
    <w:rsid w:val="00420287"/>
    <w:rsid w:val="0042036A"/>
    <w:rsid w:val="0042038A"/>
    <w:rsid w:val="004203F7"/>
    <w:rsid w:val="0042045A"/>
    <w:rsid w:val="00420491"/>
    <w:rsid w:val="004204A7"/>
    <w:rsid w:val="004204B2"/>
    <w:rsid w:val="0042053E"/>
    <w:rsid w:val="004205A2"/>
    <w:rsid w:val="004205BB"/>
    <w:rsid w:val="00420712"/>
    <w:rsid w:val="0042078D"/>
    <w:rsid w:val="0042090B"/>
    <w:rsid w:val="00420A22"/>
    <w:rsid w:val="00420A68"/>
    <w:rsid w:val="00420A73"/>
    <w:rsid w:val="00420A75"/>
    <w:rsid w:val="00420A7C"/>
    <w:rsid w:val="00420AEF"/>
    <w:rsid w:val="00420AF3"/>
    <w:rsid w:val="00420B2F"/>
    <w:rsid w:val="00420C7A"/>
    <w:rsid w:val="00420C88"/>
    <w:rsid w:val="00420D10"/>
    <w:rsid w:val="00420D86"/>
    <w:rsid w:val="00420D9A"/>
    <w:rsid w:val="00420DD7"/>
    <w:rsid w:val="00420E85"/>
    <w:rsid w:val="00420EE6"/>
    <w:rsid w:val="00420F2F"/>
    <w:rsid w:val="00420F60"/>
    <w:rsid w:val="00420FEC"/>
    <w:rsid w:val="0042109D"/>
    <w:rsid w:val="004210D7"/>
    <w:rsid w:val="004210ED"/>
    <w:rsid w:val="0042110E"/>
    <w:rsid w:val="0042116F"/>
    <w:rsid w:val="004211CC"/>
    <w:rsid w:val="00421282"/>
    <w:rsid w:val="004212DF"/>
    <w:rsid w:val="004212E1"/>
    <w:rsid w:val="00421321"/>
    <w:rsid w:val="004213E1"/>
    <w:rsid w:val="004213E8"/>
    <w:rsid w:val="00421402"/>
    <w:rsid w:val="0042149B"/>
    <w:rsid w:val="004214A2"/>
    <w:rsid w:val="00421533"/>
    <w:rsid w:val="00421566"/>
    <w:rsid w:val="004215AF"/>
    <w:rsid w:val="0042163B"/>
    <w:rsid w:val="00421678"/>
    <w:rsid w:val="004216FA"/>
    <w:rsid w:val="0042175D"/>
    <w:rsid w:val="00421772"/>
    <w:rsid w:val="004218E3"/>
    <w:rsid w:val="00421951"/>
    <w:rsid w:val="0042198B"/>
    <w:rsid w:val="00421A33"/>
    <w:rsid w:val="00421A5D"/>
    <w:rsid w:val="00421A6E"/>
    <w:rsid w:val="00421AA3"/>
    <w:rsid w:val="00421BB2"/>
    <w:rsid w:val="00421BB9"/>
    <w:rsid w:val="00421CD8"/>
    <w:rsid w:val="00421D04"/>
    <w:rsid w:val="00421E28"/>
    <w:rsid w:val="00421ECE"/>
    <w:rsid w:val="00421F4D"/>
    <w:rsid w:val="0042204D"/>
    <w:rsid w:val="00422076"/>
    <w:rsid w:val="00422172"/>
    <w:rsid w:val="004221EF"/>
    <w:rsid w:val="0042222F"/>
    <w:rsid w:val="0042229D"/>
    <w:rsid w:val="004222C1"/>
    <w:rsid w:val="00422332"/>
    <w:rsid w:val="00422442"/>
    <w:rsid w:val="00422475"/>
    <w:rsid w:val="004224B5"/>
    <w:rsid w:val="004224BE"/>
    <w:rsid w:val="00422522"/>
    <w:rsid w:val="00422576"/>
    <w:rsid w:val="00422585"/>
    <w:rsid w:val="004225A6"/>
    <w:rsid w:val="004225DF"/>
    <w:rsid w:val="004225F6"/>
    <w:rsid w:val="00422608"/>
    <w:rsid w:val="0042268B"/>
    <w:rsid w:val="004226FE"/>
    <w:rsid w:val="00422726"/>
    <w:rsid w:val="00422775"/>
    <w:rsid w:val="00422776"/>
    <w:rsid w:val="00422825"/>
    <w:rsid w:val="00422841"/>
    <w:rsid w:val="004228DD"/>
    <w:rsid w:val="00422923"/>
    <w:rsid w:val="0042292B"/>
    <w:rsid w:val="004229F5"/>
    <w:rsid w:val="00422AA7"/>
    <w:rsid w:val="00422B2E"/>
    <w:rsid w:val="00422C07"/>
    <w:rsid w:val="00422C7A"/>
    <w:rsid w:val="00422C7B"/>
    <w:rsid w:val="00422CDF"/>
    <w:rsid w:val="00422CF8"/>
    <w:rsid w:val="00422D29"/>
    <w:rsid w:val="00422D6A"/>
    <w:rsid w:val="00422D7B"/>
    <w:rsid w:val="00422D87"/>
    <w:rsid w:val="00422DF1"/>
    <w:rsid w:val="00422E49"/>
    <w:rsid w:val="00422E4C"/>
    <w:rsid w:val="00422E65"/>
    <w:rsid w:val="00422E79"/>
    <w:rsid w:val="00422ED5"/>
    <w:rsid w:val="00422EF6"/>
    <w:rsid w:val="00422F36"/>
    <w:rsid w:val="004230B4"/>
    <w:rsid w:val="0042317D"/>
    <w:rsid w:val="004231A8"/>
    <w:rsid w:val="004231F7"/>
    <w:rsid w:val="00423281"/>
    <w:rsid w:val="00423323"/>
    <w:rsid w:val="00423357"/>
    <w:rsid w:val="00423394"/>
    <w:rsid w:val="004233A5"/>
    <w:rsid w:val="004233AA"/>
    <w:rsid w:val="004233CD"/>
    <w:rsid w:val="00423437"/>
    <w:rsid w:val="004234B4"/>
    <w:rsid w:val="0042354F"/>
    <w:rsid w:val="00423599"/>
    <w:rsid w:val="004235A6"/>
    <w:rsid w:val="00423665"/>
    <w:rsid w:val="004237FC"/>
    <w:rsid w:val="00423A03"/>
    <w:rsid w:val="00423A39"/>
    <w:rsid w:val="00423A41"/>
    <w:rsid w:val="00423A50"/>
    <w:rsid w:val="00423AE6"/>
    <w:rsid w:val="00423B82"/>
    <w:rsid w:val="00423C1C"/>
    <w:rsid w:val="00423C36"/>
    <w:rsid w:val="00423C66"/>
    <w:rsid w:val="00423CAE"/>
    <w:rsid w:val="00423CC8"/>
    <w:rsid w:val="00423D00"/>
    <w:rsid w:val="00423D2C"/>
    <w:rsid w:val="00423D97"/>
    <w:rsid w:val="00423DB4"/>
    <w:rsid w:val="00423DE0"/>
    <w:rsid w:val="00423E87"/>
    <w:rsid w:val="00423F2D"/>
    <w:rsid w:val="00423FE4"/>
    <w:rsid w:val="0042405E"/>
    <w:rsid w:val="0042406B"/>
    <w:rsid w:val="00424100"/>
    <w:rsid w:val="004241A5"/>
    <w:rsid w:val="004241D4"/>
    <w:rsid w:val="0042420E"/>
    <w:rsid w:val="0042421A"/>
    <w:rsid w:val="00424220"/>
    <w:rsid w:val="004243A7"/>
    <w:rsid w:val="004243CD"/>
    <w:rsid w:val="00424485"/>
    <w:rsid w:val="004244EE"/>
    <w:rsid w:val="0042456B"/>
    <w:rsid w:val="0042457A"/>
    <w:rsid w:val="00424592"/>
    <w:rsid w:val="0042467B"/>
    <w:rsid w:val="004248AC"/>
    <w:rsid w:val="00424924"/>
    <w:rsid w:val="00424982"/>
    <w:rsid w:val="00424C2C"/>
    <w:rsid w:val="00424C34"/>
    <w:rsid w:val="00424C5B"/>
    <w:rsid w:val="00424C9C"/>
    <w:rsid w:val="00424D63"/>
    <w:rsid w:val="00424E16"/>
    <w:rsid w:val="00424EDF"/>
    <w:rsid w:val="00424F46"/>
    <w:rsid w:val="00424FDB"/>
    <w:rsid w:val="00425029"/>
    <w:rsid w:val="00425039"/>
    <w:rsid w:val="00425045"/>
    <w:rsid w:val="0042518D"/>
    <w:rsid w:val="00425241"/>
    <w:rsid w:val="0042527F"/>
    <w:rsid w:val="0042528F"/>
    <w:rsid w:val="00425326"/>
    <w:rsid w:val="0042537B"/>
    <w:rsid w:val="00425406"/>
    <w:rsid w:val="004254F2"/>
    <w:rsid w:val="004255D9"/>
    <w:rsid w:val="00425619"/>
    <w:rsid w:val="004256E2"/>
    <w:rsid w:val="004256EC"/>
    <w:rsid w:val="004257D5"/>
    <w:rsid w:val="0042581E"/>
    <w:rsid w:val="00425826"/>
    <w:rsid w:val="00425833"/>
    <w:rsid w:val="00425894"/>
    <w:rsid w:val="004258A6"/>
    <w:rsid w:val="00425907"/>
    <w:rsid w:val="004259BE"/>
    <w:rsid w:val="00425AB5"/>
    <w:rsid w:val="00425AB8"/>
    <w:rsid w:val="00425AE5"/>
    <w:rsid w:val="00425B54"/>
    <w:rsid w:val="00425B59"/>
    <w:rsid w:val="00425C47"/>
    <w:rsid w:val="00425D11"/>
    <w:rsid w:val="00425D66"/>
    <w:rsid w:val="00425D81"/>
    <w:rsid w:val="00425E2A"/>
    <w:rsid w:val="00425ED5"/>
    <w:rsid w:val="00425F12"/>
    <w:rsid w:val="00425FCB"/>
    <w:rsid w:val="00425FDB"/>
    <w:rsid w:val="00426100"/>
    <w:rsid w:val="00426108"/>
    <w:rsid w:val="004262A4"/>
    <w:rsid w:val="004262E0"/>
    <w:rsid w:val="00426312"/>
    <w:rsid w:val="00426327"/>
    <w:rsid w:val="00426372"/>
    <w:rsid w:val="004263AC"/>
    <w:rsid w:val="004263C4"/>
    <w:rsid w:val="004265C8"/>
    <w:rsid w:val="00426639"/>
    <w:rsid w:val="00426658"/>
    <w:rsid w:val="0042665A"/>
    <w:rsid w:val="004266EF"/>
    <w:rsid w:val="004267BD"/>
    <w:rsid w:val="004267E6"/>
    <w:rsid w:val="0042688F"/>
    <w:rsid w:val="00426898"/>
    <w:rsid w:val="00426904"/>
    <w:rsid w:val="0042691F"/>
    <w:rsid w:val="00426969"/>
    <w:rsid w:val="004269BA"/>
    <w:rsid w:val="00426A9D"/>
    <w:rsid w:val="00426B23"/>
    <w:rsid w:val="00426B3D"/>
    <w:rsid w:val="00426BEC"/>
    <w:rsid w:val="00426CDE"/>
    <w:rsid w:val="00426D55"/>
    <w:rsid w:val="00426DA4"/>
    <w:rsid w:val="00426EC8"/>
    <w:rsid w:val="00426ED6"/>
    <w:rsid w:val="00426EFD"/>
    <w:rsid w:val="00427042"/>
    <w:rsid w:val="00427064"/>
    <w:rsid w:val="0042706C"/>
    <w:rsid w:val="00427293"/>
    <w:rsid w:val="00427367"/>
    <w:rsid w:val="004274BB"/>
    <w:rsid w:val="004274D7"/>
    <w:rsid w:val="0042756A"/>
    <w:rsid w:val="00427696"/>
    <w:rsid w:val="004276B9"/>
    <w:rsid w:val="00427746"/>
    <w:rsid w:val="0042782D"/>
    <w:rsid w:val="00427971"/>
    <w:rsid w:val="00427A04"/>
    <w:rsid w:val="00427B14"/>
    <w:rsid w:val="00427B27"/>
    <w:rsid w:val="00427B55"/>
    <w:rsid w:val="00427C5F"/>
    <w:rsid w:val="00427C61"/>
    <w:rsid w:val="00427CA7"/>
    <w:rsid w:val="00427DDB"/>
    <w:rsid w:val="00427E3C"/>
    <w:rsid w:val="00427EB5"/>
    <w:rsid w:val="00427EDE"/>
    <w:rsid w:val="00427FBD"/>
    <w:rsid w:val="00427FC7"/>
    <w:rsid w:val="00427FED"/>
    <w:rsid w:val="00430105"/>
    <w:rsid w:val="004301C3"/>
    <w:rsid w:val="0043021F"/>
    <w:rsid w:val="00430290"/>
    <w:rsid w:val="004302FE"/>
    <w:rsid w:val="004303C5"/>
    <w:rsid w:val="004303E3"/>
    <w:rsid w:val="00430439"/>
    <w:rsid w:val="004304BB"/>
    <w:rsid w:val="004304E3"/>
    <w:rsid w:val="00430590"/>
    <w:rsid w:val="004305E9"/>
    <w:rsid w:val="0043069E"/>
    <w:rsid w:val="00430722"/>
    <w:rsid w:val="004307E4"/>
    <w:rsid w:val="0043081E"/>
    <w:rsid w:val="0043082E"/>
    <w:rsid w:val="004309A2"/>
    <w:rsid w:val="00430A0F"/>
    <w:rsid w:val="00430AAB"/>
    <w:rsid w:val="00430ADE"/>
    <w:rsid w:val="00430C36"/>
    <w:rsid w:val="00430C44"/>
    <w:rsid w:val="00430CD0"/>
    <w:rsid w:val="00430CDD"/>
    <w:rsid w:val="00430E68"/>
    <w:rsid w:val="00430E9B"/>
    <w:rsid w:val="00430EB8"/>
    <w:rsid w:val="00430EC5"/>
    <w:rsid w:val="00430EEE"/>
    <w:rsid w:val="00430EF9"/>
    <w:rsid w:val="00430F51"/>
    <w:rsid w:val="00430F63"/>
    <w:rsid w:val="00430FD1"/>
    <w:rsid w:val="00430FFB"/>
    <w:rsid w:val="0043107D"/>
    <w:rsid w:val="0043110C"/>
    <w:rsid w:val="00431116"/>
    <w:rsid w:val="0043113B"/>
    <w:rsid w:val="00431199"/>
    <w:rsid w:val="004313A9"/>
    <w:rsid w:val="0043141D"/>
    <w:rsid w:val="00431524"/>
    <w:rsid w:val="00431568"/>
    <w:rsid w:val="00431581"/>
    <w:rsid w:val="00431650"/>
    <w:rsid w:val="00431677"/>
    <w:rsid w:val="0043192F"/>
    <w:rsid w:val="00431959"/>
    <w:rsid w:val="00431962"/>
    <w:rsid w:val="00431979"/>
    <w:rsid w:val="004319BE"/>
    <w:rsid w:val="00431A94"/>
    <w:rsid w:val="00431AE3"/>
    <w:rsid w:val="00431B76"/>
    <w:rsid w:val="00431BA9"/>
    <w:rsid w:val="00431BDD"/>
    <w:rsid w:val="00431C07"/>
    <w:rsid w:val="00431C6F"/>
    <w:rsid w:val="00431CA5"/>
    <w:rsid w:val="00431CA9"/>
    <w:rsid w:val="00431CAC"/>
    <w:rsid w:val="00431CCC"/>
    <w:rsid w:val="00431D39"/>
    <w:rsid w:val="00431D75"/>
    <w:rsid w:val="00431DE2"/>
    <w:rsid w:val="00431E38"/>
    <w:rsid w:val="00431E69"/>
    <w:rsid w:val="00431E76"/>
    <w:rsid w:val="00431EA4"/>
    <w:rsid w:val="00431EAD"/>
    <w:rsid w:val="00431EE4"/>
    <w:rsid w:val="00431F1A"/>
    <w:rsid w:val="00431F59"/>
    <w:rsid w:val="00432348"/>
    <w:rsid w:val="00432468"/>
    <w:rsid w:val="00432491"/>
    <w:rsid w:val="00432548"/>
    <w:rsid w:val="00432610"/>
    <w:rsid w:val="00432619"/>
    <w:rsid w:val="004326FC"/>
    <w:rsid w:val="0043277E"/>
    <w:rsid w:val="0043286D"/>
    <w:rsid w:val="0043286F"/>
    <w:rsid w:val="004329B3"/>
    <w:rsid w:val="004329C0"/>
    <w:rsid w:val="00432A2D"/>
    <w:rsid w:val="00432A36"/>
    <w:rsid w:val="00432A3B"/>
    <w:rsid w:val="00432A5B"/>
    <w:rsid w:val="00432AB1"/>
    <w:rsid w:val="00432AC2"/>
    <w:rsid w:val="00432AD1"/>
    <w:rsid w:val="00432B45"/>
    <w:rsid w:val="00432C0D"/>
    <w:rsid w:val="00432C9D"/>
    <w:rsid w:val="00432CB0"/>
    <w:rsid w:val="00432D49"/>
    <w:rsid w:val="00432E8D"/>
    <w:rsid w:val="00432E92"/>
    <w:rsid w:val="00432F38"/>
    <w:rsid w:val="00432F80"/>
    <w:rsid w:val="00432FA6"/>
    <w:rsid w:val="00433082"/>
    <w:rsid w:val="004330C8"/>
    <w:rsid w:val="0043310C"/>
    <w:rsid w:val="00433297"/>
    <w:rsid w:val="004333E0"/>
    <w:rsid w:val="0043344E"/>
    <w:rsid w:val="004334A8"/>
    <w:rsid w:val="004334B2"/>
    <w:rsid w:val="004334E7"/>
    <w:rsid w:val="004334FA"/>
    <w:rsid w:val="00433503"/>
    <w:rsid w:val="00433536"/>
    <w:rsid w:val="00433567"/>
    <w:rsid w:val="004335A5"/>
    <w:rsid w:val="004335C7"/>
    <w:rsid w:val="00433649"/>
    <w:rsid w:val="0043370F"/>
    <w:rsid w:val="00433888"/>
    <w:rsid w:val="004338E6"/>
    <w:rsid w:val="0043396C"/>
    <w:rsid w:val="00433A20"/>
    <w:rsid w:val="00433CEA"/>
    <w:rsid w:val="00433D97"/>
    <w:rsid w:val="00433DCD"/>
    <w:rsid w:val="00433DF2"/>
    <w:rsid w:val="00433E6B"/>
    <w:rsid w:val="00433E8F"/>
    <w:rsid w:val="00433EF9"/>
    <w:rsid w:val="00433F7B"/>
    <w:rsid w:val="00433F94"/>
    <w:rsid w:val="00434069"/>
    <w:rsid w:val="00434143"/>
    <w:rsid w:val="004341F4"/>
    <w:rsid w:val="0043438B"/>
    <w:rsid w:val="004343C1"/>
    <w:rsid w:val="0043440F"/>
    <w:rsid w:val="00434478"/>
    <w:rsid w:val="00434480"/>
    <w:rsid w:val="00434514"/>
    <w:rsid w:val="004346FE"/>
    <w:rsid w:val="00434712"/>
    <w:rsid w:val="00434751"/>
    <w:rsid w:val="004347A8"/>
    <w:rsid w:val="004347BD"/>
    <w:rsid w:val="0043496F"/>
    <w:rsid w:val="004349AC"/>
    <w:rsid w:val="00434A47"/>
    <w:rsid w:val="00434A50"/>
    <w:rsid w:val="00434AF6"/>
    <w:rsid w:val="00434B64"/>
    <w:rsid w:val="00434C54"/>
    <w:rsid w:val="00434C93"/>
    <w:rsid w:val="00434D6C"/>
    <w:rsid w:val="00434DA8"/>
    <w:rsid w:val="00434E77"/>
    <w:rsid w:val="00434F9D"/>
    <w:rsid w:val="004350E1"/>
    <w:rsid w:val="00435198"/>
    <w:rsid w:val="0043520D"/>
    <w:rsid w:val="0043523C"/>
    <w:rsid w:val="004353B6"/>
    <w:rsid w:val="0043550C"/>
    <w:rsid w:val="004355F7"/>
    <w:rsid w:val="00435613"/>
    <w:rsid w:val="0043565C"/>
    <w:rsid w:val="00435685"/>
    <w:rsid w:val="004356FA"/>
    <w:rsid w:val="00435770"/>
    <w:rsid w:val="004357D6"/>
    <w:rsid w:val="0043598F"/>
    <w:rsid w:val="00435A00"/>
    <w:rsid w:val="00435A4C"/>
    <w:rsid w:val="00435A52"/>
    <w:rsid w:val="00435B32"/>
    <w:rsid w:val="00435B6A"/>
    <w:rsid w:val="00435B95"/>
    <w:rsid w:val="00435C76"/>
    <w:rsid w:val="00435CBE"/>
    <w:rsid w:val="00435CDC"/>
    <w:rsid w:val="00435FBB"/>
    <w:rsid w:val="0043609A"/>
    <w:rsid w:val="004360EC"/>
    <w:rsid w:val="0043610A"/>
    <w:rsid w:val="0043625A"/>
    <w:rsid w:val="0043628D"/>
    <w:rsid w:val="00436390"/>
    <w:rsid w:val="004363C6"/>
    <w:rsid w:val="00436409"/>
    <w:rsid w:val="004364E9"/>
    <w:rsid w:val="00436573"/>
    <w:rsid w:val="004365CF"/>
    <w:rsid w:val="00436616"/>
    <w:rsid w:val="00436687"/>
    <w:rsid w:val="004366C8"/>
    <w:rsid w:val="00436752"/>
    <w:rsid w:val="00436772"/>
    <w:rsid w:val="00436776"/>
    <w:rsid w:val="004367AD"/>
    <w:rsid w:val="004367BE"/>
    <w:rsid w:val="00436941"/>
    <w:rsid w:val="00436965"/>
    <w:rsid w:val="00436A4B"/>
    <w:rsid w:val="00436B69"/>
    <w:rsid w:val="00436BC2"/>
    <w:rsid w:val="00436BE0"/>
    <w:rsid w:val="00436C3F"/>
    <w:rsid w:val="00436C46"/>
    <w:rsid w:val="00436C55"/>
    <w:rsid w:val="00436C56"/>
    <w:rsid w:val="00436C86"/>
    <w:rsid w:val="00436D5A"/>
    <w:rsid w:val="00436DC3"/>
    <w:rsid w:val="00436DFB"/>
    <w:rsid w:val="00436E0F"/>
    <w:rsid w:val="00436E82"/>
    <w:rsid w:val="00436EE1"/>
    <w:rsid w:val="00437037"/>
    <w:rsid w:val="00437048"/>
    <w:rsid w:val="00437073"/>
    <w:rsid w:val="0043713B"/>
    <w:rsid w:val="0043715A"/>
    <w:rsid w:val="0043717F"/>
    <w:rsid w:val="0043720A"/>
    <w:rsid w:val="00437232"/>
    <w:rsid w:val="0043725B"/>
    <w:rsid w:val="0043736E"/>
    <w:rsid w:val="004373C3"/>
    <w:rsid w:val="004374D7"/>
    <w:rsid w:val="0043752B"/>
    <w:rsid w:val="00437540"/>
    <w:rsid w:val="00437559"/>
    <w:rsid w:val="004376A2"/>
    <w:rsid w:val="004376E6"/>
    <w:rsid w:val="0043774C"/>
    <w:rsid w:val="004377E5"/>
    <w:rsid w:val="00437802"/>
    <w:rsid w:val="00437847"/>
    <w:rsid w:val="004378E8"/>
    <w:rsid w:val="0043790B"/>
    <w:rsid w:val="004379B2"/>
    <w:rsid w:val="004379C0"/>
    <w:rsid w:val="00437A01"/>
    <w:rsid w:val="00437A07"/>
    <w:rsid w:val="00437A1E"/>
    <w:rsid w:val="00437AC6"/>
    <w:rsid w:val="00437BEC"/>
    <w:rsid w:val="00437C6E"/>
    <w:rsid w:val="00437CF0"/>
    <w:rsid w:val="00437E30"/>
    <w:rsid w:val="00437E56"/>
    <w:rsid w:val="00437F7D"/>
    <w:rsid w:val="00437F87"/>
    <w:rsid w:val="00437FDB"/>
    <w:rsid w:val="0044000B"/>
    <w:rsid w:val="00440044"/>
    <w:rsid w:val="0044005B"/>
    <w:rsid w:val="004400AD"/>
    <w:rsid w:val="004400B6"/>
    <w:rsid w:val="00440116"/>
    <w:rsid w:val="0044012A"/>
    <w:rsid w:val="00440144"/>
    <w:rsid w:val="004401E2"/>
    <w:rsid w:val="004401EB"/>
    <w:rsid w:val="00440293"/>
    <w:rsid w:val="00440367"/>
    <w:rsid w:val="004403B6"/>
    <w:rsid w:val="004403C3"/>
    <w:rsid w:val="00440479"/>
    <w:rsid w:val="0044049E"/>
    <w:rsid w:val="004404F5"/>
    <w:rsid w:val="004404FA"/>
    <w:rsid w:val="00440500"/>
    <w:rsid w:val="004406B9"/>
    <w:rsid w:val="00440736"/>
    <w:rsid w:val="00440740"/>
    <w:rsid w:val="0044089D"/>
    <w:rsid w:val="004408A7"/>
    <w:rsid w:val="004408D4"/>
    <w:rsid w:val="00440A03"/>
    <w:rsid w:val="00440A6D"/>
    <w:rsid w:val="00440AA6"/>
    <w:rsid w:val="00440ACE"/>
    <w:rsid w:val="00440B8C"/>
    <w:rsid w:val="00440BE7"/>
    <w:rsid w:val="00440C6F"/>
    <w:rsid w:val="00440C96"/>
    <w:rsid w:val="00440CBC"/>
    <w:rsid w:val="00440D6F"/>
    <w:rsid w:val="00440E4B"/>
    <w:rsid w:val="00440EAF"/>
    <w:rsid w:val="00440F38"/>
    <w:rsid w:val="00440F57"/>
    <w:rsid w:val="00440F71"/>
    <w:rsid w:val="00441140"/>
    <w:rsid w:val="0044121D"/>
    <w:rsid w:val="00441249"/>
    <w:rsid w:val="004412D2"/>
    <w:rsid w:val="0044131B"/>
    <w:rsid w:val="004413A2"/>
    <w:rsid w:val="004413A7"/>
    <w:rsid w:val="00441432"/>
    <w:rsid w:val="0044143B"/>
    <w:rsid w:val="0044146C"/>
    <w:rsid w:val="0044147B"/>
    <w:rsid w:val="004414AA"/>
    <w:rsid w:val="004415DC"/>
    <w:rsid w:val="00441606"/>
    <w:rsid w:val="0044174D"/>
    <w:rsid w:val="004417AF"/>
    <w:rsid w:val="004417DA"/>
    <w:rsid w:val="00441857"/>
    <w:rsid w:val="00441879"/>
    <w:rsid w:val="00441893"/>
    <w:rsid w:val="00441915"/>
    <w:rsid w:val="0044192F"/>
    <w:rsid w:val="00441982"/>
    <w:rsid w:val="00441A32"/>
    <w:rsid w:val="00441AFD"/>
    <w:rsid w:val="00441B45"/>
    <w:rsid w:val="00441C93"/>
    <w:rsid w:val="00441C99"/>
    <w:rsid w:val="00441D5F"/>
    <w:rsid w:val="00441DCC"/>
    <w:rsid w:val="00441DE6"/>
    <w:rsid w:val="00441E12"/>
    <w:rsid w:val="00441E1B"/>
    <w:rsid w:val="00441E26"/>
    <w:rsid w:val="00441E34"/>
    <w:rsid w:val="00441F9D"/>
    <w:rsid w:val="004420F8"/>
    <w:rsid w:val="0044220A"/>
    <w:rsid w:val="0044223A"/>
    <w:rsid w:val="0044228A"/>
    <w:rsid w:val="004422AC"/>
    <w:rsid w:val="00442342"/>
    <w:rsid w:val="0044234F"/>
    <w:rsid w:val="00442405"/>
    <w:rsid w:val="0044241E"/>
    <w:rsid w:val="00442436"/>
    <w:rsid w:val="0044248E"/>
    <w:rsid w:val="004424F9"/>
    <w:rsid w:val="00442516"/>
    <w:rsid w:val="004425B7"/>
    <w:rsid w:val="004425CB"/>
    <w:rsid w:val="004425F2"/>
    <w:rsid w:val="00442624"/>
    <w:rsid w:val="0044269A"/>
    <w:rsid w:val="004426E4"/>
    <w:rsid w:val="0044280C"/>
    <w:rsid w:val="00442878"/>
    <w:rsid w:val="004428C8"/>
    <w:rsid w:val="0044293D"/>
    <w:rsid w:val="00442947"/>
    <w:rsid w:val="00442961"/>
    <w:rsid w:val="00442A0D"/>
    <w:rsid w:val="00442A2D"/>
    <w:rsid w:val="00442A2E"/>
    <w:rsid w:val="00442A78"/>
    <w:rsid w:val="00442A7C"/>
    <w:rsid w:val="00442A94"/>
    <w:rsid w:val="00442AC5"/>
    <w:rsid w:val="00442B1A"/>
    <w:rsid w:val="00442B3D"/>
    <w:rsid w:val="00442B5B"/>
    <w:rsid w:val="00442B6E"/>
    <w:rsid w:val="00442B87"/>
    <w:rsid w:val="00442BEB"/>
    <w:rsid w:val="00442D4C"/>
    <w:rsid w:val="00442DA8"/>
    <w:rsid w:val="00442E43"/>
    <w:rsid w:val="00442F63"/>
    <w:rsid w:val="00442FC6"/>
    <w:rsid w:val="0044305E"/>
    <w:rsid w:val="00443070"/>
    <w:rsid w:val="00443084"/>
    <w:rsid w:val="00443091"/>
    <w:rsid w:val="00443139"/>
    <w:rsid w:val="0044315A"/>
    <w:rsid w:val="004431EF"/>
    <w:rsid w:val="004432D4"/>
    <w:rsid w:val="00443324"/>
    <w:rsid w:val="0044335D"/>
    <w:rsid w:val="0044339E"/>
    <w:rsid w:val="004433E3"/>
    <w:rsid w:val="00443697"/>
    <w:rsid w:val="004436B2"/>
    <w:rsid w:val="00443719"/>
    <w:rsid w:val="0044371F"/>
    <w:rsid w:val="0044372C"/>
    <w:rsid w:val="0044374C"/>
    <w:rsid w:val="0044385B"/>
    <w:rsid w:val="0044388B"/>
    <w:rsid w:val="004438AB"/>
    <w:rsid w:val="004438DF"/>
    <w:rsid w:val="00443A3D"/>
    <w:rsid w:val="00443A5B"/>
    <w:rsid w:val="00443AE9"/>
    <w:rsid w:val="00443B3F"/>
    <w:rsid w:val="00443B73"/>
    <w:rsid w:val="00443CD6"/>
    <w:rsid w:val="00443CDC"/>
    <w:rsid w:val="00443CF1"/>
    <w:rsid w:val="00443D1E"/>
    <w:rsid w:val="00443E96"/>
    <w:rsid w:val="00443EBC"/>
    <w:rsid w:val="00443EEB"/>
    <w:rsid w:val="00443EFE"/>
    <w:rsid w:val="00443F79"/>
    <w:rsid w:val="00443FA8"/>
    <w:rsid w:val="0044401B"/>
    <w:rsid w:val="004440B8"/>
    <w:rsid w:val="00444246"/>
    <w:rsid w:val="0044429E"/>
    <w:rsid w:val="004442C4"/>
    <w:rsid w:val="0044435C"/>
    <w:rsid w:val="00444402"/>
    <w:rsid w:val="00444449"/>
    <w:rsid w:val="004444A1"/>
    <w:rsid w:val="0044451C"/>
    <w:rsid w:val="00444521"/>
    <w:rsid w:val="00444561"/>
    <w:rsid w:val="0044458E"/>
    <w:rsid w:val="00444667"/>
    <w:rsid w:val="00444790"/>
    <w:rsid w:val="00444848"/>
    <w:rsid w:val="00444896"/>
    <w:rsid w:val="004448DD"/>
    <w:rsid w:val="004448E1"/>
    <w:rsid w:val="00444911"/>
    <w:rsid w:val="00444958"/>
    <w:rsid w:val="00444A4E"/>
    <w:rsid w:val="00444A80"/>
    <w:rsid w:val="00444B63"/>
    <w:rsid w:val="00444BB1"/>
    <w:rsid w:val="00444BBA"/>
    <w:rsid w:val="00444BE4"/>
    <w:rsid w:val="00444C13"/>
    <w:rsid w:val="00444E0D"/>
    <w:rsid w:val="00444F2E"/>
    <w:rsid w:val="00444FD7"/>
    <w:rsid w:val="0044501E"/>
    <w:rsid w:val="00445047"/>
    <w:rsid w:val="004450C1"/>
    <w:rsid w:val="004450D2"/>
    <w:rsid w:val="004450DD"/>
    <w:rsid w:val="0044512F"/>
    <w:rsid w:val="0044515A"/>
    <w:rsid w:val="00445196"/>
    <w:rsid w:val="00445197"/>
    <w:rsid w:val="00445221"/>
    <w:rsid w:val="0044530E"/>
    <w:rsid w:val="00445311"/>
    <w:rsid w:val="004453A6"/>
    <w:rsid w:val="0044540C"/>
    <w:rsid w:val="0044544C"/>
    <w:rsid w:val="00445491"/>
    <w:rsid w:val="004454A0"/>
    <w:rsid w:val="004454A9"/>
    <w:rsid w:val="00445545"/>
    <w:rsid w:val="00445641"/>
    <w:rsid w:val="00445657"/>
    <w:rsid w:val="0044567D"/>
    <w:rsid w:val="004456A2"/>
    <w:rsid w:val="0044579B"/>
    <w:rsid w:val="004457D3"/>
    <w:rsid w:val="004457E9"/>
    <w:rsid w:val="004457F4"/>
    <w:rsid w:val="00445805"/>
    <w:rsid w:val="00445813"/>
    <w:rsid w:val="0044582D"/>
    <w:rsid w:val="004458F4"/>
    <w:rsid w:val="0044591E"/>
    <w:rsid w:val="00445920"/>
    <w:rsid w:val="004459E0"/>
    <w:rsid w:val="00445A23"/>
    <w:rsid w:val="00445B23"/>
    <w:rsid w:val="00445B79"/>
    <w:rsid w:val="00445BC5"/>
    <w:rsid w:val="00445BE0"/>
    <w:rsid w:val="00445C1D"/>
    <w:rsid w:val="00445C50"/>
    <w:rsid w:val="00445D16"/>
    <w:rsid w:val="00445D3F"/>
    <w:rsid w:val="00445E4A"/>
    <w:rsid w:val="00445E6F"/>
    <w:rsid w:val="00445EAC"/>
    <w:rsid w:val="00445F2B"/>
    <w:rsid w:val="00445FAF"/>
    <w:rsid w:val="00445FC3"/>
    <w:rsid w:val="004460B3"/>
    <w:rsid w:val="004461C9"/>
    <w:rsid w:val="00446210"/>
    <w:rsid w:val="0044629C"/>
    <w:rsid w:val="00446387"/>
    <w:rsid w:val="004463CF"/>
    <w:rsid w:val="00446411"/>
    <w:rsid w:val="0044641B"/>
    <w:rsid w:val="0044644A"/>
    <w:rsid w:val="00446486"/>
    <w:rsid w:val="0044648A"/>
    <w:rsid w:val="004464A3"/>
    <w:rsid w:val="004464D3"/>
    <w:rsid w:val="004464F3"/>
    <w:rsid w:val="004465DE"/>
    <w:rsid w:val="00446715"/>
    <w:rsid w:val="004467EF"/>
    <w:rsid w:val="004467FD"/>
    <w:rsid w:val="0044688F"/>
    <w:rsid w:val="00446899"/>
    <w:rsid w:val="004468AF"/>
    <w:rsid w:val="00446A32"/>
    <w:rsid w:val="00446B50"/>
    <w:rsid w:val="00446B53"/>
    <w:rsid w:val="00446C53"/>
    <w:rsid w:val="00446D4D"/>
    <w:rsid w:val="00446D90"/>
    <w:rsid w:val="00446D9F"/>
    <w:rsid w:val="00446E9D"/>
    <w:rsid w:val="00446F38"/>
    <w:rsid w:val="004472A2"/>
    <w:rsid w:val="004472B4"/>
    <w:rsid w:val="004472E5"/>
    <w:rsid w:val="004473B5"/>
    <w:rsid w:val="00447422"/>
    <w:rsid w:val="00447449"/>
    <w:rsid w:val="00447507"/>
    <w:rsid w:val="0044757D"/>
    <w:rsid w:val="004476FA"/>
    <w:rsid w:val="00447708"/>
    <w:rsid w:val="00447786"/>
    <w:rsid w:val="00447847"/>
    <w:rsid w:val="0044786B"/>
    <w:rsid w:val="00447B03"/>
    <w:rsid w:val="00447B12"/>
    <w:rsid w:val="00447D0B"/>
    <w:rsid w:val="00447D7D"/>
    <w:rsid w:val="00447DF8"/>
    <w:rsid w:val="00447E34"/>
    <w:rsid w:val="00447E44"/>
    <w:rsid w:val="00447F4D"/>
    <w:rsid w:val="00447F62"/>
    <w:rsid w:val="0045003D"/>
    <w:rsid w:val="00450046"/>
    <w:rsid w:val="00450106"/>
    <w:rsid w:val="0045011B"/>
    <w:rsid w:val="0045015F"/>
    <w:rsid w:val="00450240"/>
    <w:rsid w:val="00450246"/>
    <w:rsid w:val="00450273"/>
    <w:rsid w:val="004503B2"/>
    <w:rsid w:val="004503E2"/>
    <w:rsid w:val="0045044E"/>
    <w:rsid w:val="004504CF"/>
    <w:rsid w:val="00450526"/>
    <w:rsid w:val="004505B7"/>
    <w:rsid w:val="004505F0"/>
    <w:rsid w:val="0045064A"/>
    <w:rsid w:val="004506AF"/>
    <w:rsid w:val="004507E9"/>
    <w:rsid w:val="0045082B"/>
    <w:rsid w:val="00450836"/>
    <w:rsid w:val="004508B3"/>
    <w:rsid w:val="0045098F"/>
    <w:rsid w:val="00450A0E"/>
    <w:rsid w:val="00450A21"/>
    <w:rsid w:val="00450BC1"/>
    <w:rsid w:val="00450BEC"/>
    <w:rsid w:val="00450CA4"/>
    <w:rsid w:val="00450CA5"/>
    <w:rsid w:val="00450CE6"/>
    <w:rsid w:val="00450D3B"/>
    <w:rsid w:val="00450D4F"/>
    <w:rsid w:val="00450DA9"/>
    <w:rsid w:val="00450DC2"/>
    <w:rsid w:val="00450DDD"/>
    <w:rsid w:val="00450E32"/>
    <w:rsid w:val="00450E50"/>
    <w:rsid w:val="00450E95"/>
    <w:rsid w:val="00450E9E"/>
    <w:rsid w:val="00450EB7"/>
    <w:rsid w:val="00450F1E"/>
    <w:rsid w:val="00450F91"/>
    <w:rsid w:val="00450FF0"/>
    <w:rsid w:val="00451079"/>
    <w:rsid w:val="004510AD"/>
    <w:rsid w:val="0045118E"/>
    <w:rsid w:val="004511C3"/>
    <w:rsid w:val="00451235"/>
    <w:rsid w:val="00451304"/>
    <w:rsid w:val="00451313"/>
    <w:rsid w:val="00451318"/>
    <w:rsid w:val="0045132D"/>
    <w:rsid w:val="00451331"/>
    <w:rsid w:val="0045138A"/>
    <w:rsid w:val="004513E0"/>
    <w:rsid w:val="00451416"/>
    <w:rsid w:val="0045143D"/>
    <w:rsid w:val="00451473"/>
    <w:rsid w:val="0045150B"/>
    <w:rsid w:val="004515F7"/>
    <w:rsid w:val="004515FA"/>
    <w:rsid w:val="00451604"/>
    <w:rsid w:val="0045166B"/>
    <w:rsid w:val="0045168D"/>
    <w:rsid w:val="00451691"/>
    <w:rsid w:val="004516E6"/>
    <w:rsid w:val="00451744"/>
    <w:rsid w:val="00451788"/>
    <w:rsid w:val="004518AE"/>
    <w:rsid w:val="004518F4"/>
    <w:rsid w:val="00451910"/>
    <w:rsid w:val="00451A57"/>
    <w:rsid w:val="00451A97"/>
    <w:rsid w:val="00451AC7"/>
    <w:rsid w:val="00451ADF"/>
    <w:rsid w:val="00451B3E"/>
    <w:rsid w:val="00451BCD"/>
    <w:rsid w:val="00451BF3"/>
    <w:rsid w:val="00451CD3"/>
    <w:rsid w:val="00451D38"/>
    <w:rsid w:val="00451E5D"/>
    <w:rsid w:val="00451E8F"/>
    <w:rsid w:val="00451EEA"/>
    <w:rsid w:val="00451EF9"/>
    <w:rsid w:val="00451F71"/>
    <w:rsid w:val="00451FEE"/>
    <w:rsid w:val="0045207E"/>
    <w:rsid w:val="0045208D"/>
    <w:rsid w:val="004521A6"/>
    <w:rsid w:val="0045227E"/>
    <w:rsid w:val="004523A1"/>
    <w:rsid w:val="004523B1"/>
    <w:rsid w:val="004523C0"/>
    <w:rsid w:val="0045250B"/>
    <w:rsid w:val="00452594"/>
    <w:rsid w:val="0045259F"/>
    <w:rsid w:val="0045270D"/>
    <w:rsid w:val="004527A9"/>
    <w:rsid w:val="00452897"/>
    <w:rsid w:val="00452916"/>
    <w:rsid w:val="0045293A"/>
    <w:rsid w:val="0045296F"/>
    <w:rsid w:val="00452998"/>
    <w:rsid w:val="00452B03"/>
    <w:rsid w:val="00452B1E"/>
    <w:rsid w:val="00452B22"/>
    <w:rsid w:val="00452B75"/>
    <w:rsid w:val="00452B7E"/>
    <w:rsid w:val="00452B9C"/>
    <w:rsid w:val="00452C07"/>
    <w:rsid w:val="00452C35"/>
    <w:rsid w:val="00452C77"/>
    <w:rsid w:val="00452CEA"/>
    <w:rsid w:val="00452EB4"/>
    <w:rsid w:val="00452F64"/>
    <w:rsid w:val="00452FF5"/>
    <w:rsid w:val="0045301A"/>
    <w:rsid w:val="0045304D"/>
    <w:rsid w:val="004530E8"/>
    <w:rsid w:val="004530EE"/>
    <w:rsid w:val="0045316F"/>
    <w:rsid w:val="00453173"/>
    <w:rsid w:val="004531CA"/>
    <w:rsid w:val="004531F5"/>
    <w:rsid w:val="00453206"/>
    <w:rsid w:val="004532C5"/>
    <w:rsid w:val="004534A3"/>
    <w:rsid w:val="00453542"/>
    <w:rsid w:val="0045355F"/>
    <w:rsid w:val="0045359E"/>
    <w:rsid w:val="0045361B"/>
    <w:rsid w:val="004536BE"/>
    <w:rsid w:val="004536FB"/>
    <w:rsid w:val="0045379F"/>
    <w:rsid w:val="004537B8"/>
    <w:rsid w:val="004537CC"/>
    <w:rsid w:val="00453804"/>
    <w:rsid w:val="00453809"/>
    <w:rsid w:val="00453817"/>
    <w:rsid w:val="00453890"/>
    <w:rsid w:val="004538C1"/>
    <w:rsid w:val="004538D1"/>
    <w:rsid w:val="00453919"/>
    <w:rsid w:val="00453945"/>
    <w:rsid w:val="00453C36"/>
    <w:rsid w:val="00453DFF"/>
    <w:rsid w:val="00453F28"/>
    <w:rsid w:val="00453F50"/>
    <w:rsid w:val="00453F6F"/>
    <w:rsid w:val="00453FF3"/>
    <w:rsid w:val="00454018"/>
    <w:rsid w:val="0045414E"/>
    <w:rsid w:val="004541C0"/>
    <w:rsid w:val="004541E2"/>
    <w:rsid w:val="00454214"/>
    <w:rsid w:val="00454239"/>
    <w:rsid w:val="00454365"/>
    <w:rsid w:val="00454383"/>
    <w:rsid w:val="0045439C"/>
    <w:rsid w:val="004543DE"/>
    <w:rsid w:val="00454534"/>
    <w:rsid w:val="0045455F"/>
    <w:rsid w:val="0045457E"/>
    <w:rsid w:val="004545C7"/>
    <w:rsid w:val="004545DB"/>
    <w:rsid w:val="004545FC"/>
    <w:rsid w:val="00454660"/>
    <w:rsid w:val="004546CC"/>
    <w:rsid w:val="00454765"/>
    <w:rsid w:val="0045476D"/>
    <w:rsid w:val="004547A2"/>
    <w:rsid w:val="0045481A"/>
    <w:rsid w:val="004548EA"/>
    <w:rsid w:val="004549D8"/>
    <w:rsid w:val="00454B61"/>
    <w:rsid w:val="00454BBD"/>
    <w:rsid w:val="00454BFB"/>
    <w:rsid w:val="00454CF6"/>
    <w:rsid w:val="00454D72"/>
    <w:rsid w:val="00454DC2"/>
    <w:rsid w:val="00454F42"/>
    <w:rsid w:val="00454FFC"/>
    <w:rsid w:val="00455016"/>
    <w:rsid w:val="004550FC"/>
    <w:rsid w:val="0045511D"/>
    <w:rsid w:val="00455166"/>
    <w:rsid w:val="00455249"/>
    <w:rsid w:val="0045524F"/>
    <w:rsid w:val="0045526C"/>
    <w:rsid w:val="0045530D"/>
    <w:rsid w:val="00455318"/>
    <w:rsid w:val="00455329"/>
    <w:rsid w:val="00455404"/>
    <w:rsid w:val="00455452"/>
    <w:rsid w:val="00455498"/>
    <w:rsid w:val="004554CC"/>
    <w:rsid w:val="00455559"/>
    <w:rsid w:val="004555D8"/>
    <w:rsid w:val="00455624"/>
    <w:rsid w:val="0045570D"/>
    <w:rsid w:val="0045572F"/>
    <w:rsid w:val="004557C5"/>
    <w:rsid w:val="004557CA"/>
    <w:rsid w:val="004558A4"/>
    <w:rsid w:val="004558AE"/>
    <w:rsid w:val="0045590E"/>
    <w:rsid w:val="0045593A"/>
    <w:rsid w:val="0045597F"/>
    <w:rsid w:val="00455A34"/>
    <w:rsid w:val="00455A7D"/>
    <w:rsid w:val="00455BAE"/>
    <w:rsid w:val="00455BD6"/>
    <w:rsid w:val="00455C06"/>
    <w:rsid w:val="00455CE4"/>
    <w:rsid w:val="00455D35"/>
    <w:rsid w:val="00455E90"/>
    <w:rsid w:val="00455EE2"/>
    <w:rsid w:val="00455F3A"/>
    <w:rsid w:val="00455FE5"/>
    <w:rsid w:val="004560F7"/>
    <w:rsid w:val="00456101"/>
    <w:rsid w:val="004561E1"/>
    <w:rsid w:val="0045620A"/>
    <w:rsid w:val="00456247"/>
    <w:rsid w:val="00456261"/>
    <w:rsid w:val="00456265"/>
    <w:rsid w:val="004562FD"/>
    <w:rsid w:val="004563B6"/>
    <w:rsid w:val="00456458"/>
    <w:rsid w:val="00456468"/>
    <w:rsid w:val="00456471"/>
    <w:rsid w:val="004564C2"/>
    <w:rsid w:val="004564F2"/>
    <w:rsid w:val="00456562"/>
    <w:rsid w:val="00456569"/>
    <w:rsid w:val="004565B9"/>
    <w:rsid w:val="004566A7"/>
    <w:rsid w:val="004566F6"/>
    <w:rsid w:val="00456706"/>
    <w:rsid w:val="00456739"/>
    <w:rsid w:val="00456741"/>
    <w:rsid w:val="004567CC"/>
    <w:rsid w:val="0045683C"/>
    <w:rsid w:val="004568A4"/>
    <w:rsid w:val="00456928"/>
    <w:rsid w:val="00456974"/>
    <w:rsid w:val="004569AD"/>
    <w:rsid w:val="004569E8"/>
    <w:rsid w:val="00456A3A"/>
    <w:rsid w:val="00456A6F"/>
    <w:rsid w:val="00456AEF"/>
    <w:rsid w:val="00456B46"/>
    <w:rsid w:val="00456B9F"/>
    <w:rsid w:val="00456BAD"/>
    <w:rsid w:val="00456BB6"/>
    <w:rsid w:val="00456C45"/>
    <w:rsid w:val="00456C6D"/>
    <w:rsid w:val="00456CD5"/>
    <w:rsid w:val="00456D0E"/>
    <w:rsid w:val="00456D43"/>
    <w:rsid w:val="00456DA0"/>
    <w:rsid w:val="00456DD8"/>
    <w:rsid w:val="00456E1E"/>
    <w:rsid w:val="00456E36"/>
    <w:rsid w:val="00456F80"/>
    <w:rsid w:val="00457004"/>
    <w:rsid w:val="0045721A"/>
    <w:rsid w:val="00457268"/>
    <w:rsid w:val="00457287"/>
    <w:rsid w:val="00457322"/>
    <w:rsid w:val="00457334"/>
    <w:rsid w:val="00457386"/>
    <w:rsid w:val="004573DD"/>
    <w:rsid w:val="00457446"/>
    <w:rsid w:val="0045745F"/>
    <w:rsid w:val="00457537"/>
    <w:rsid w:val="0045756F"/>
    <w:rsid w:val="004575AD"/>
    <w:rsid w:val="004575E5"/>
    <w:rsid w:val="0045762C"/>
    <w:rsid w:val="00457646"/>
    <w:rsid w:val="00457678"/>
    <w:rsid w:val="004576A1"/>
    <w:rsid w:val="004577DE"/>
    <w:rsid w:val="004577E9"/>
    <w:rsid w:val="0045787D"/>
    <w:rsid w:val="004578C6"/>
    <w:rsid w:val="004578D8"/>
    <w:rsid w:val="00457926"/>
    <w:rsid w:val="004579A1"/>
    <w:rsid w:val="00457A09"/>
    <w:rsid w:val="00457AA8"/>
    <w:rsid w:val="00457ACF"/>
    <w:rsid w:val="00457AF4"/>
    <w:rsid w:val="00457B28"/>
    <w:rsid w:val="00457C2B"/>
    <w:rsid w:val="00457D2E"/>
    <w:rsid w:val="00457EA2"/>
    <w:rsid w:val="00457ED8"/>
    <w:rsid w:val="00457F3E"/>
    <w:rsid w:val="00457F45"/>
    <w:rsid w:val="00457F60"/>
    <w:rsid w:val="00457FE0"/>
    <w:rsid w:val="0046002C"/>
    <w:rsid w:val="004601A7"/>
    <w:rsid w:val="00460277"/>
    <w:rsid w:val="004602CB"/>
    <w:rsid w:val="00460326"/>
    <w:rsid w:val="0046036F"/>
    <w:rsid w:val="004603D2"/>
    <w:rsid w:val="004603DD"/>
    <w:rsid w:val="0046043E"/>
    <w:rsid w:val="004605AC"/>
    <w:rsid w:val="0046060B"/>
    <w:rsid w:val="004606D0"/>
    <w:rsid w:val="004607E7"/>
    <w:rsid w:val="0046086F"/>
    <w:rsid w:val="0046089F"/>
    <w:rsid w:val="004608C2"/>
    <w:rsid w:val="004608ED"/>
    <w:rsid w:val="0046093A"/>
    <w:rsid w:val="00460A5E"/>
    <w:rsid w:val="00460AAC"/>
    <w:rsid w:val="00460B2D"/>
    <w:rsid w:val="00460B75"/>
    <w:rsid w:val="00460BD8"/>
    <w:rsid w:val="00460C42"/>
    <w:rsid w:val="00460C6F"/>
    <w:rsid w:val="00460D3E"/>
    <w:rsid w:val="00460D51"/>
    <w:rsid w:val="00460D7F"/>
    <w:rsid w:val="00460E7D"/>
    <w:rsid w:val="00460E9A"/>
    <w:rsid w:val="00460EC7"/>
    <w:rsid w:val="00460F7C"/>
    <w:rsid w:val="00461006"/>
    <w:rsid w:val="004610D6"/>
    <w:rsid w:val="004610F7"/>
    <w:rsid w:val="00461126"/>
    <w:rsid w:val="00461132"/>
    <w:rsid w:val="00461133"/>
    <w:rsid w:val="00461140"/>
    <w:rsid w:val="00461190"/>
    <w:rsid w:val="004611D4"/>
    <w:rsid w:val="004611E4"/>
    <w:rsid w:val="00461276"/>
    <w:rsid w:val="0046130A"/>
    <w:rsid w:val="0046130B"/>
    <w:rsid w:val="00461378"/>
    <w:rsid w:val="00461398"/>
    <w:rsid w:val="00461405"/>
    <w:rsid w:val="0046156E"/>
    <w:rsid w:val="00461721"/>
    <w:rsid w:val="0046179B"/>
    <w:rsid w:val="004617E7"/>
    <w:rsid w:val="0046182B"/>
    <w:rsid w:val="004618AB"/>
    <w:rsid w:val="00461944"/>
    <w:rsid w:val="004619B5"/>
    <w:rsid w:val="00461ACC"/>
    <w:rsid w:val="00461BE7"/>
    <w:rsid w:val="00461C0C"/>
    <w:rsid w:val="00461DF7"/>
    <w:rsid w:val="00462022"/>
    <w:rsid w:val="00462172"/>
    <w:rsid w:val="004621A7"/>
    <w:rsid w:val="004622AB"/>
    <w:rsid w:val="00462349"/>
    <w:rsid w:val="0046239F"/>
    <w:rsid w:val="00462481"/>
    <w:rsid w:val="004624CD"/>
    <w:rsid w:val="004624D7"/>
    <w:rsid w:val="004625A3"/>
    <w:rsid w:val="004625AE"/>
    <w:rsid w:val="004625D3"/>
    <w:rsid w:val="004625E1"/>
    <w:rsid w:val="004625EA"/>
    <w:rsid w:val="00462607"/>
    <w:rsid w:val="00462663"/>
    <w:rsid w:val="00462693"/>
    <w:rsid w:val="0046278B"/>
    <w:rsid w:val="00462801"/>
    <w:rsid w:val="00462851"/>
    <w:rsid w:val="004628F7"/>
    <w:rsid w:val="00462A4F"/>
    <w:rsid w:val="00462B7B"/>
    <w:rsid w:val="00462B7E"/>
    <w:rsid w:val="00462BF2"/>
    <w:rsid w:val="00462C03"/>
    <w:rsid w:val="00462CA1"/>
    <w:rsid w:val="00462D0D"/>
    <w:rsid w:val="00462D86"/>
    <w:rsid w:val="00462DDA"/>
    <w:rsid w:val="00462ECC"/>
    <w:rsid w:val="00463184"/>
    <w:rsid w:val="0046319C"/>
    <w:rsid w:val="004631DD"/>
    <w:rsid w:val="00463221"/>
    <w:rsid w:val="004633E6"/>
    <w:rsid w:val="00463494"/>
    <w:rsid w:val="004634E3"/>
    <w:rsid w:val="0046356D"/>
    <w:rsid w:val="0046357D"/>
    <w:rsid w:val="004635C3"/>
    <w:rsid w:val="004635D7"/>
    <w:rsid w:val="004635EC"/>
    <w:rsid w:val="004635FB"/>
    <w:rsid w:val="00463675"/>
    <w:rsid w:val="00463708"/>
    <w:rsid w:val="00463763"/>
    <w:rsid w:val="00463791"/>
    <w:rsid w:val="00463850"/>
    <w:rsid w:val="0046388F"/>
    <w:rsid w:val="004638B0"/>
    <w:rsid w:val="004638D7"/>
    <w:rsid w:val="004638E9"/>
    <w:rsid w:val="004638F2"/>
    <w:rsid w:val="004639D4"/>
    <w:rsid w:val="00463A17"/>
    <w:rsid w:val="00463C40"/>
    <w:rsid w:val="00463C4E"/>
    <w:rsid w:val="00463CB7"/>
    <w:rsid w:val="00463CFF"/>
    <w:rsid w:val="00463D52"/>
    <w:rsid w:val="00463DD8"/>
    <w:rsid w:val="00463E20"/>
    <w:rsid w:val="00463E4E"/>
    <w:rsid w:val="00463F69"/>
    <w:rsid w:val="00464012"/>
    <w:rsid w:val="0046405E"/>
    <w:rsid w:val="004641A7"/>
    <w:rsid w:val="004641F6"/>
    <w:rsid w:val="00464467"/>
    <w:rsid w:val="004644BE"/>
    <w:rsid w:val="004644EF"/>
    <w:rsid w:val="0046450A"/>
    <w:rsid w:val="00464549"/>
    <w:rsid w:val="004645DB"/>
    <w:rsid w:val="0046466F"/>
    <w:rsid w:val="004646DD"/>
    <w:rsid w:val="0046470E"/>
    <w:rsid w:val="0046471B"/>
    <w:rsid w:val="00464797"/>
    <w:rsid w:val="004647CA"/>
    <w:rsid w:val="0046482F"/>
    <w:rsid w:val="004648AB"/>
    <w:rsid w:val="004648FD"/>
    <w:rsid w:val="0046491E"/>
    <w:rsid w:val="004649CD"/>
    <w:rsid w:val="00464A4F"/>
    <w:rsid w:val="00464B7C"/>
    <w:rsid w:val="00464BCC"/>
    <w:rsid w:val="00464BF7"/>
    <w:rsid w:val="00464DCC"/>
    <w:rsid w:val="00464E3C"/>
    <w:rsid w:val="00464F07"/>
    <w:rsid w:val="00464F0D"/>
    <w:rsid w:val="00464F81"/>
    <w:rsid w:val="004650C4"/>
    <w:rsid w:val="004650ED"/>
    <w:rsid w:val="00465160"/>
    <w:rsid w:val="00465189"/>
    <w:rsid w:val="004651D5"/>
    <w:rsid w:val="004652EB"/>
    <w:rsid w:val="00465342"/>
    <w:rsid w:val="004653B0"/>
    <w:rsid w:val="004653E6"/>
    <w:rsid w:val="004653F9"/>
    <w:rsid w:val="0046542E"/>
    <w:rsid w:val="00465528"/>
    <w:rsid w:val="0046552B"/>
    <w:rsid w:val="00465561"/>
    <w:rsid w:val="0046558B"/>
    <w:rsid w:val="00465595"/>
    <w:rsid w:val="004655B0"/>
    <w:rsid w:val="00465657"/>
    <w:rsid w:val="00465670"/>
    <w:rsid w:val="00465680"/>
    <w:rsid w:val="0046569E"/>
    <w:rsid w:val="004656BB"/>
    <w:rsid w:val="004656F0"/>
    <w:rsid w:val="00465732"/>
    <w:rsid w:val="00465790"/>
    <w:rsid w:val="00465846"/>
    <w:rsid w:val="004659C1"/>
    <w:rsid w:val="004659D4"/>
    <w:rsid w:val="004659FA"/>
    <w:rsid w:val="00465BDE"/>
    <w:rsid w:val="00465BFB"/>
    <w:rsid w:val="00465C74"/>
    <w:rsid w:val="00465CD8"/>
    <w:rsid w:val="00465CFC"/>
    <w:rsid w:val="00465D24"/>
    <w:rsid w:val="00465D45"/>
    <w:rsid w:val="00465D68"/>
    <w:rsid w:val="00465DD6"/>
    <w:rsid w:val="00465E19"/>
    <w:rsid w:val="00465EFB"/>
    <w:rsid w:val="00465F38"/>
    <w:rsid w:val="00465F5B"/>
    <w:rsid w:val="00465F7D"/>
    <w:rsid w:val="00466024"/>
    <w:rsid w:val="00466209"/>
    <w:rsid w:val="00466341"/>
    <w:rsid w:val="0046637F"/>
    <w:rsid w:val="0046638F"/>
    <w:rsid w:val="004663BF"/>
    <w:rsid w:val="00466416"/>
    <w:rsid w:val="0046645F"/>
    <w:rsid w:val="00466566"/>
    <w:rsid w:val="004665D9"/>
    <w:rsid w:val="0046663B"/>
    <w:rsid w:val="004666D5"/>
    <w:rsid w:val="0046679B"/>
    <w:rsid w:val="00466856"/>
    <w:rsid w:val="004668D5"/>
    <w:rsid w:val="00466901"/>
    <w:rsid w:val="0046693D"/>
    <w:rsid w:val="00466965"/>
    <w:rsid w:val="00466974"/>
    <w:rsid w:val="00466A41"/>
    <w:rsid w:val="00466A81"/>
    <w:rsid w:val="00466A9E"/>
    <w:rsid w:val="00466AFA"/>
    <w:rsid w:val="00466BB6"/>
    <w:rsid w:val="00466C24"/>
    <w:rsid w:val="00466D68"/>
    <w:rsid w:val="00466EA5"/>
    <w:rsid w:val="00466ED0"/>
    <w:rsid w:val="00466EDF"/>
    <w:rsid w:val="00466FC7"/>
    <w:rsid w:val="00467029"/>
    <w:rsid w:val="00467172"/>
    <w:rsid w:val="004672F3"/>
    <w:rsid w:val="0046730C"/>
    <w:rsid w:val="00467313"/>
    <w:rsid w:val="00467324"/>
    <w:rsid w:val="00467399"/>
    <w:rsid w:val="004673AF"/>
    <w:rsid w:val="004673D2"/>
    <w:rsid w:val="004673E8"/>
    <w:rsid w:val="00467416"/>
    <w:rsid w:val="00467489"/>
    <w:rsid w:val="0046758A"/>
    <w:rsid w:val="00467593"/>
    <w:rsid w:val="00467605"/>
    <w:rsid w:val="0046761F"/>
    <w:rsid w:val="00467632"/>
    <w:rsid w:val="00467662"/>
    <w:rsid w:val="00467690"/>
    <w:rsid w:val="004676BB"/>
    <w:rsid w:val="00467831"/>
    <w:rsid w:val="00467869"/>
    <w:rsid w:val="00467879"/>
    <w:rsid w:val="00467913"/>
    <w:rsid w:val="00467ABF"/>
    <w:rsid w:val="00467AC3"/>
    <w:rsid w:val="00467B85"/>
    <w:rsid w:val="00467BEF"/>
    <w:rsid w:val="00467CB3"/>
    <w:rsid w:val="00467D0D"/>
    <w:rsid w:val="00467DA1"/>
    <w:rsid w:val="00467DFC"/>
    <w:rsid w:val="00467E72"/>
    <w:rsid w:val="00467EB1"/>
    <w:rsid w:val="00467F3F"/>
    <w:rsid w:val="00467F5C"/>
    <w:rsid w:val="00467F6B"/>
    <w:rsid w:val="00467F9A"/>
    <w:rsid w:val="00470079"/>
    <w:rsid w:val="00470299"/>
    <w:rsid w:val="00470375"/>
    <w:rsid w:val="00470423"/>
    <w:rsid w:val="0047045B"/>
    <w:rsid w:val="00470478"/>
    <w:rsid w:val="004704ED"/>
    <w:rsid w:val="0047052A"/>
    <w:rsid w:val="0047052D"/>
    <w:rsid w:val="0047052F"/>
    <w:rsid w:val="004705F3"/>
    <w:rsid w:val="004707CE"/>
    <w:rsid w:val="0047081D"/>
    <w:rsid w:val="00470827"/>
    <w:rsid w:val="00470887"/>
    <w:rsid w:val="004708C9"/>
    <w:rsid w:val="0047094A"/>
    <w:rsid w:val="004709B9"/>
    <w:rsid w:val="004709F9"/>
    <w:rsid w:val="00470A3B"/>
    <w:rsid w:val="00470A45"/>
    <w:rsid w:val="00470A4F"/>
    <w:rsid w:val="00470B1E"/>
    <w:rsid w:val="00470B29"/>
    <w:rsid w:val="00470B55"/>
    <w:rsid w:val="00470B67"/>
    <w:rsid w:val="00470BA4"/>
    <w:rsid w:val="00470CB7"/>
    <w:rsid w:val="00470CF6"/>
    <w:rsid w:val="00470D35"/>
    <w:rsid w:val="00470D3C"/>
    <w:rsid w:val="00470D6B"/>
    <w:rsid w:val="00470D89"/>
    <w:rsid w:val="00470E31"/>
    <w:rsid w:val="00470F66"/>
    <w:rsid w:val="00470F83"/>
    <w:rsid w:val="00470FE0"/>
    <w:rsid w:val="00471037"/>
    <w:rsid w:val="004710F2"/>
    <w:rsid w:val="0047110A"/>
    <w:rsid w:val="00471138"/>
    <w:rsid w:val="00471195"/>
    <w:rsid w:val="004711A8"/>
    <w:rsid w:val="00471237"/>
    <w:rsid w:val="00471262"/>
    <w:rsid w:val="00471284"/>
    <w:rsid w:val="004712AE"/>
    <w:rsid w:val="004713C4"/>
    <w:rsid w:val="004713CE"/>
    <w:rsid w:val="0047141A"/>
    <w:rsid w:val="00471454"/>
    <w:rsid w:val="004714AA"/>
    <w:rsid w:val="004714B5"/>
    <w:rsid w:val="0047162E"/>
    <w:rsid w:val="0047163C"/>
    <w:rsid w:val="0047163D"/>
    <w:rsid w:val="00471684"/>
    <w:rsid w:val="004716E6"/>
    <w:rsid w:val="00471788"/>
    <w:rsid w:val="0047184D"/>
    <w:rsid w:val="00471850"/>
    <w:rsid w:val="004718AD"/>
    <w:rsid w:val="00471928"/>
    <w:rsid w:val="0047198C"/>
    <w:rsid w:val="004719F3"/>
    <w:rsid w:val="00471B99"/>
    <w:rsid w:val="00471C57"/>
    <w:rsid w:val="00471CB7"/>
    <w:rsid w:val="00471CE6"/>
    <w:rsid w:val="00471D39"/>
    <w:rsid w:val="00471DC8"/>
    <w:rsid w:val="00471E2B"/>
    <w:rsid w:val="00471EAA"/>
    <w:rsid w:val="00471EDC"/>
    <w:rsid w:val="00471F6A"/>
    <w:rsid w:val="00471F92"/>
    <w:rsid w:val="00472180"/>
    <w:rsid w:val="00472196"/>
    <w:rsid w:val="004721E0"/>
    <w:rsid w:val="0047221F"/>
    <w:rsid w:val="00472276"/>
    <w:rsid w:val="00472313"/>
    <w:rsid w:val="00472345"/>
    <w:rsid w:val="00472354"/>
    <w:rsid w:val="004724F8"/>
    <w:rsid w:val="0047256C"/>
    <w:rsid w:val="00472684"/>
    <w:rsid w:val="0047270E"/>
    <w:rsid w:val="00472715"/>
    <w:rsid w:val="0047277C"/>
    <w:rsid w:val="004727F5"/>
    <w:rsid w:val="0047295B"/>
    <w:rsid w:val="0047296A"/>
    <w:rsid w:val="004729AE"/>
    <w:rsid w:val="00472A45"/>
    <w:rsid w:val="00472A51"/>
    <w:rsid w:val="00472A89"/>
    <w:rsid w:val="00472AA6"/>
    <w:rsid w:val="00472ADE"/>
    <w:rsid w:val="00472B12"/>
    <w:rsid w:val="00472B78"/>
    <w:rsid w:val="00472B86"/>
    <w:rsid w:val="00472BBC"/>
    <w:rsid w:val="00472C87"/>
    <w:rsid w:val="00472D42"/>
    <w:rsid w:val="00472D96"/>
    <w:rsid w:val="00472DAC"/>
    <w:rsid w:val="00472DCF"/>
    <w:rsid w:val="00472ECF"/>
    <w:rsid w:val="00472FD8"/>
    <w:rsid w:val="00473064"/>
    <w:rsid w:val="0047308C"/>
    <w:rsid w:val="004730EC"/>
    <w:rsid w:val="0047328C"/>
    <w:rsid w:val="004732DC"/>
    <w:rsid w:val="00473323"/>
    <w:rsid w:val="0047334C"/>
    <w:rsid w:val="00473424"/>
    <w:rsid w:val="004734F0"/>
    <w:rsid w:val="004735C8"/>
    <w:rsid w:val="0047361A"/>
    <w:rsid w:val="0047366D"/>
    <w:rsid w:val="004736B9"/>
    <w:rsid w:val="004738DC"/>
    <w:rsid w:val="0047398C"/>
    <w:rsid w:val="004739D4"/>
    <w:rsid w:val="00473A1B"/>
    <w:rsid w:val="00473A56"/>
    <w:rsid w:val="00473A8F"/>
    <w:rsid w:val="00473B3D"/>
    <w:rsid w:val="00473BD5"/>
    <w:rsid w:val="00473C06"/>
    <w:rsid w:val="00473C80"/>
    <w:rsid w:val="00473D00"/>
    <w:rsid w:val="00473E7D"/>
    <w:rsid w:val="00473F52"/>
    <w:rsid w:val="00474026"/>
    <w:rsid w:val="004740B1"/>
    <w:rsid w:val="00474185"/>
    <w:rsid w:val="004741F7"/>
    <w:rsid w:val="00474269"/>
    <w:rsid w:val="004742EF"/>
    <w:rsid w:val="004743A7"/>
    <w:rsid w:val="0047443A"/>
    <w:rsid w:val="00474476"/>
    <w:rsid w:val="0047447A"/>
    <w:rsid w:val="00474583"/>
    <w:rsid w:val="0047458B"/>
    <w:rsid w:val="004745C4"/>
    <w:rsid w:val="004745F1"/>
    <w:rsid w:val="00474623"/>
    <w:rsid w:val="0047465A"/>
    <w:rsid w:val="0047471F"/>
    <w:rsid w:val="00474735"/>
    <w:rsid w:val="0047474C"/>
    <w:rsid w:val="0047475C"/>
    <w:rsid w:val="0047475D"/>
    <w:rsid w:val="004747A0"/>
    <w:rsid w:val="004747EE"/>
    <w:rsid w:val="00474840"/>
    <w:rsid w:val="0047485F"/>
    <w:rsid w:val="004748C8"/>
    <w:rsid w:val="0047498A"/>
    <w:rsid w:val="004749F9"/>
    <w:rsid w:val="00474A6C"/>
    <w:rsid w:val="00474AFC"/>
    <w:rsid w:val="00474C5B"/>
    <w:rsid w:val="00474C71"/>
    <w:rsid w:val="00474CA1"/>
    <w:rsid w:val="00474D77"/>
    <w:rsid w:val="00474DBD"/>
    <w:rsid w:val="00474F46"/>
    <w:rsid w:val="00474F49"/>
    <w:rsid w:val="00474F55"/>
    <w:rsid w:val="00474FB1"/>
    <w:rsid w:val="00475034"/>
    <w:rsid w:val="0047509D"/>
    <w:rsid w:val="00475242"/>
    <w:rsid w:val="00475249"/>
    <w:rsid w:val="004752C9"/>
    <w:rsid w:val="0047533D"/>
    <w:rsid w:val="00475578"/>
    <w:rsid w:val="004755C3"/>
    <w:rsid w:val="00475703"/>
    <w:rsid w:val="0047571C"/>
    <w:rsid w:val="00475757"/>
    <w:rsid w:val="004757EF"/>
    <w:rsid w:val="0047595C"/>
    <w:rsid w:val="00475B7D"/>
    <w:rsid w:val="00475BA0"/>
    <w:rsid w:val="00475C91"/>
    <w:rsid w:val="00475CFD"/>
    <w:rsid w:val="00475D32"/>
    <w:rsid w:val="00475D89"/>
    <w:rsid w:val="00475DDD"/>
    <w:rsid w:val="00475E43"/>
    <w:rsid w:val="00475F4F"/>
    <w:rsid w:val="00475F5F"/>
    <w:rsid w:val="00475FB0"/>
    <w:rsid w:val="00476063"/>
    <w:rsid w:val="00476069"/>
    <w:rsid w:val="00476099"/>
    <w:rsid w:val="00476171"/>
    <w:rsid w:val="00476260"/>
    <w:rsid w:val="00476285"/>
    <w:rsid w:val="004762A8"/>
    <w:rsid w:val="00476315"/>
    <w:rsid w:val="00476350"/>
    <w:rsid w:val="00476495"/>
    <w:rsid w:val="004764A7"/>
    <w:rsid w:val="004764F3"/>
    <w:rsid w:val="0047650A"/>
    <w:rsid w:val="00476580"/>
    <w:rsid w:val="004765C6"/>
    <w:rsid w:val="004767AB"/>
    <w:rsid w:val="004767F4"/>
    <w:rsid w:val="00476807"/>
    <w:rsid w:val="00476846"/>
    <w:rsid w:val="00476869"/>
    <w:rsid w:val="004768C4"/>
    <w:rsid w:val="004769BE"/>
    <w:rsid w:val="00476AA8"/>
    <w:rsid w:val="00476AC9"/>
    <w:rsid w:val="00476B01"/>
    <w:rsid w:val="00476BBB"/>
    <w:rsid w:val="00476C2D"/>
    <w:rsid w:val="00476C42"/>
    <w:rsid w:val="00476D02"/>
    <w:rsid w:val="00476D45"/>
    <w:rsid w:val="00476D7B"/>
    <w:rsid w:val="00476D92"/>
    <w:rsid w:val="00476EB3"/>
    <w:rsid w:val="00476F72"/>
    <w:rsid w:val="00476FAD"/>
    <w:rsid w:val="00476FBF"/>
    <w:rsid w:val="00476FC9"/>
    <w:rsid w:val="00476FD0"/>
    <w:rsid w:val="0047708E"/>
    <w:rsid w:val="004770D8"/>
    <w:rsid w:val="004770F1"/>
    <w:rsid w:val="0047711E"/>
    <w:rsid w:val="00477215"/>
    <w:rsid w:val="00477270"/>
    <w:rsid w:val="00477276"/>
    <w:rsid w:val="00477369"/>
    <w:rsid w:val="0047740E"/>
    <w:rsid w:val="00477450"/>
    <w:rsid w:val="00477565"/>
    <w:rsid w:val="004775D3"/>
    <w:rsid w:val="004775F8"/>
    <w:rsid w:val="004775FB"/>
    <w:rsid w:val="00477624"/>
    <w:rsid w:val="004776B9"/>
    <w:rsid w:val="0047774E"/>
    <w:rsid w:val="004777C9"/>
    <w:rsid w:val="00477881"/>
    <w:rsid w:val="00477888"/>
    <w:rsid w:val="00477899"/>
    <w:rsid w:val="004778E0"/>
    <w:rsid w:val="004779DB"/>
    <w:rsid w:val="00477A2B"/>
    <w:rsid w:val="00477A59"/>
    <w:rsid w:val="00477B90"/>
    <w:rsid w:val="00477C65"/>
    <w:rsid w:val="00477CB3"/>
    <w:rsid w:val="00477CDA"/>
    <w:rsid w:val="00477CF8"/>
    <w:rsid w:val="00477D15"/>
    <w:rsid w:val="00477E4C"/>
    <w:rsid w:val="00477EA0"/>
    <w:rsid w:val="00477EB3"/>
    <w:rsid w:val="00477ECB"/>
    <w:rsid w:val="00477ED4"/>
    <w:rsid w:val="00477EE8"/>
    <w:rsid w:val="00477FB4"/>
    <w:rsid w:val="00480008"/>
    <w:rsid w:val="00480059"/>
    <w:rsid w:val="0048006C"/>
    <w:rsid w:val="004800C7"/>
    <w:rsid w:val="004800CB"/>
    <w:rsid w:val="00480146"/>
    <w:rsid w:val="004801FF"/>
    <w:rsid w:val="00480221"/>
    <w:rsid w:val="004802A0"/>
    <w:rsid w:val="004802A1"/>
    <w:rsid w:val="004802D4"/>
    <w:rsid w:val="004802DC"/>
    <w:rsid w:val="00480352"/>
    <w:rsid w:val="0048046B"/>
    <w:rsid w:val="004804AC"/>
    <w:rsid w:val="00480546"/>
    <w:rsid w:val="004805F0"/>
    <w:rsid w:val="0048063A"/>
    <w:rsid w:val="004806FC"/>
    <w:rsid w:val="00480727"/>
    <w:rsid w:val="00480758"/>
    <w:rsid w:val="004807E9"/>
    <w:rsid w:val="004808B8"/>
    <w:rsid w:val="00480971"/>
    <w:rsid w:val="00480A42"/>
    <w:rsid w:val="00480B9B"/>
    <w:rsid w:val="00480BFB"/>
    <w:rsid w:val="00480C03"/>
    <w:rsid w:val="00480DEF"/>
    <w:rsid w:val="00480DF6"/>
    <w:rsid w:val="00480DFC"/>
    <w:rsid w:val="00480ED8"/>
    <w:rsid w:val="004810AA"/>
    <w:rsid w:val="00481143"/>
    <w:rsid w:val="00481161"/>
    <w:rsid w:val="00481382"/>
    <w:rsid w:val="004813A0"/>
    <w:rsid w:val="0048143A"/>
    <w:rsid w:val="004814AC"/>
    <w:rsid w:val="00481641"/>
    <w:rsid w:val="00481677"/>
    <w:rsid w:val="00481717"/>
    <w:rsid w:val="00481720"/>
    <w:rsid w:val="00481722"/>
    <w:rsid w:val="004817FD"/>
    <w:rsid w:val="004818AF"/>
    <w:rsid w:val="004818B1"/>
    <w:rsid w:val="004819B5"/>
    <w:rsid w:val="00481B0D"/>
    <w:rsid w:val="00481B42"/>
    <w:rsid w:val="00481B48"/>
    <w:rsid w:val="00481B57"/>
    <w:rsid w:val="00481C14"/>
    <w:rsid w:val="00481C2E"/>
    <w:rsid w:val="00481C68"/>
    <w:rsid w:val="00481CDC"/>
    <w:rsid w:val="00481CF7"/>
    <w:rsid w:val="00481EAD"/>
    <w:rsid w:val="00481EED"/>
    <w:rsid w:val="004820EF"/>
    <w:rsid w:val="0048217B"/>
    <w:rsid w:val="0048224A"/>
    <w:rsid w:val="004822DD"/>
    <w:rsid w:val="00482346"/>
    <w:rsid w:val="004823D6"/>
    <w:rsid w:val="00482408"/>
    <w:rsid w:val="00482452"/>
    <w:rsid w:val="004824EB"/>
    <w:rsid w:val="004824EF"/>
    <w:rsid w:val="0048253A"/>
    <w:rsid w:val="00482592"/>
    <w:rsid w:val="00482617"/>
    <w:rsid w:val="0048261F"/>
    <w:rsid w:val="00482682"/>
    <w:rsid w:val="00482782"/>
    <w:rsid w:val="0048279D"/>
    <w:rsid w:val="004827E6"/>
    <w:rsid w:val="00482802"/>
    <w:rsid w:val="00482868"/>
    <w:rsid w:val="004829B0"/>
    <w:rsid w:val="004829B7"/>
    <w:rsid w:val="00482A07"/>
    <w:rsid w:val="00482A42"/>
    <w:rsid w:val="00482A6E"/>
    <w:rsid w:val="00482AB3"/>
    <w:rsid w:val="00482BC9"/>
    <w:rsid w:val="00482C65"/>
    <w:rsid w:val="00482C9E"/>
    <w:rsid w:val="00482E02"/>
    <w:rsid w:val="00482E09"/>
    <w:rsid w:val="00482F12"/>
    <w:rsid w:val="00482F5A"/>
    <w:rsid w:val="00482FF5"/>
    <w:rsid w:val="004830E6"/>
    <w:rsid w:val="0048315F"/>
    <w:rsid w:val="004831FB"/>
    <w:rsid w:val="0048324E"/>
    <w:rsid w:val="00483277"/>
    <w:rsid w:val="00483475"/>
    <w:rsid w:val="00483478"/>
    <w:rsid w:val="00483494"/>
    <w:rsid w:val="004834F4"/>
    <w:rsid w:val="0048352F"/>
    <w:rsid w:val="004835DF"/>
    <w:rsid w:val="004836AB"/>
    <w:rsid w:val="004836BD"/>
    <w:rsid w:val="004836F3"/>
    <w:rsid w:val="004836F5"/>
    <w:rsid w:val="00483706"/>
    <w:rsid w:val="0048375E"/>
    <w:rsid w:val="004837A0"/>
    <w:rsid w:val="004837D1"/>
    <w:rsid w:val="00483834"/>
    <w:rsid w:val="00483870"/>
    <w:rsid w:val="004838B3"/>
    <w:rsid w:val="004838C0"/>
    <w:rsid w:val="004838F6"/>
    <w:rsid w:val="00483907"/>
    <w:rsid w:val="0048392D"/>
    <w:rsid w:val="00483A85"/>
    <w:rsid w:val="00483A8A"/>
    <w:rsid w:val="00483A93"/>
    <w:rsid w:val="00483B33"/>
    <w:rsid w:val="00483B63"/>
    <w:rsid w:val="00483C06"/>
    <w:rsid w:val="00483C4D"/>
    <w:rsid w:val="00483DBD"/>
    <w:rsid w:val="00483EC5"/>
    <w:rsid w:val="00483F39"/>
    <w:rsid w:val="00483F64"/>
    <w:rsid w:val="0048408B"/>
    <w:rsid w:val="004840C7"/>
    <w:rsid w:val="00484136"/>
    <w:rsid w:val="00484153"/>
    <w:rsid w:val="00484161"/>
    <w:rsid w:val="004841FE"/>
    <w:rsid w:val="00484237"/>
    <w:rsid w:val="0048423A"/>
    <w:rsid w:val="00484287"/>
    <w:rsid w:val="004842BA"/>
    <w:rsid w:val="004842DD"/>
    <w:rsid w:val="004843C0"/>
    <w:rsid w:val="004843D1"/>
    <w:rsid w:val="004843E1"/>
    <w:rsid w:val="00484417"/>
    <w:rsid w:val="00484446"/>
    <w:rsid w:val="004844A9"/>
    <w:rsid w:val="004844B2"/>
    <w:rsid w:val="00484655"/>
    <w:rsid w:val="0048475C"/>
    <w:rsid w:val="00484767"/>
    <w:rsid w:val="00484875"/>
    <w:rsid w:val="004849DC"/>
    <w:rsid w:val="004849F0"/>
    <w:rsid w:val="00484A7A"/>
    <w:rsid w:val="00484B1A"/>
    <w:rsid w:val="00484B46"/>
    <w:rsid w:val="00484B59"/>
    <w:rsid w:val="00484C77"/>
    <w:rsid w:val="00484C8D"/>
    <w:rsid w:val="00484C94"/>
    <w:rsid w:val="00484D9A"/>
    <w:rsid w:val="00484D9E"/>
    <w:rsid w:val="00484DEB"/>
    <w:rsid w:val="00484E36"/>
    <w:rsid w:val="00484E3E"/>
    <w:rsid w:val="00484E7F"/>
    <w:rsid w:val="00484ED0"/>
    <w:rsid w:val="00484F7C"/>
    <w:rsid w:val="00485019"/>
    <w:rsid w:val="004850B0"/>
    <w:rsid w:val="0048523B"/>
    <w:rsid w:val="00485319"/>
    <w:rsid w:val="004853C9"/>
    <w:rsid w:val="00485407"/>
    <w:rsid w:val="00485413"/>
    <w:rsid w:val="00485416"/>
    <w:rsid w:val="00485422"/>
    <w:rsid w:val="00485478"/>
    <w:rsid w:val="00485479"/>
    <w:rsid w:val="004855C3"/>
    <w:rsid w:val="0048577C"/>
    <w:rsid w:val="0048582F"/>
    <w:rsid w:val="00485884"/>
    <w:rsid w:val="00485916"/>
    <w:rsid w:val="004859EA"/>
    <w:rsid w:val="004859EC"/>
    <w:rsid w:val="004859FA"/>
    <w:rsid w:val="00485AB2"/>
    <w:rsid w:val="00485AD8"/>
    <w:rsid w:val="00485B33"/>
    <w:rsid w:val="00485B70"/>
    <w:rsid w:val="00485BE1"/>
    <w:rsid w:val="00485C58"/>
    <w:rsid w:val="00485CA7"/>
    <w:rsid w:val="00485CA8"/>
    <w:rsid w:val="00485CF7"/>
    <w:rsid w:val="00485CFD"/>
    <w:rsid w:val="00485DE5"/>
    <w:rsid w:val="00485E00"/>
    <w:rsid w:val="00485E06"/>
    <w:rsid w:val="00485E53"/>
    <w:rsid w:val="00485E77"/>
    <w:rsid w:val="00485F00"/>
    <w:rsid w:val="00485F32"/>
    <w:rsid w:val="00485F47"/>
    <w:rsid w:val="00485FD9"/>
    <w:rsid w:val="00485FF6"/>
    <w:rsid w:val="004860A6"/>
    <w:rsid w:val="00486121"/>
    <w:rsid w:val="0048617C"/>
    <w:rsid w:val="0048619C"/>
    <w:rsid w:val="004861C7"/>
    <w:rsid w:val="00486323"/>
    <w:rsid w:val="0048639E"/>
    <w:rsid w:val="00486434"/>
    <w:rsid w:val="00486462"/>
    <w:rsid w:val="00486482"/>
    <w:rsid w:val="0048651C"/>
    <w:rsid w:val="00486540"/>
    <w:rsid w:val="0048662D"/>
    <w:rsid w:val="00486690"/>
    <w:rsid w:val="0048677C"/>
    <w:rsid w:val="0048681E"/>
    <w:rsid w:val="00486861"/>
    <w:rsid w:val="004868C1"/>
    <w:rsid w:val="00486937"/>
    <w:rsid w:val="004869D2"/>
    <w:rsid w:val="00486A08"/>
    <w:rsid w:val="00486A10"/>
    <w:rsid w:val="00486A2C"/>
    <w:rsid w:val="00486BA3"/>
    <w:rsid w:val="00486C2F"/>
    <w:rsid w:val="00486D0C"/>
    <w:rsid w:val="00486D23"/>
    <w:rsid w:val="00486DC8"/>
    <w:rsid w:val="00486E59"/>
    <w:rsid w:val="00486E6E"/>
    <w:rsid w:val="00486F44"/>
    <w:rsid w:val="00486F50"/>
    <w:rsid w:val="00486F63"/>
    <w:rsid w:val="00486FE8"/>
    <w:rsid w:val="0048702F"/>
    <w:rsid w:val="0048703B"/>
    <w:rsid w:val="00487088"/>
    <w:rsid w:val="004870EF"/>
    <w:rsid w:val="0048711D"/>
    <w:rsid w:val="00487132"/>
    <w:rsid w:val="00487145"/>
    <w:rsid w:val="004871F2"/>
    <w:rsid w:val="004872CA"/>
    <w:rsid w:val="004872D3"/>
    <w:rsid w:val="00487346"/>
    <w:rsid w:val="0048739E"/>
    <w:rsid w:val="004873C4"/>
    <w:rsid w:val="004873CD"/>
    <w:rsid w:val="004873FD"/>
    <w:rsid w:val="00487508"/>
    <w:rsid w:val="00487582"/>
    <w:rsid w:val="00487659"/>
    <w:rsid w:val="004876AE"/>
    <w:rsid w:val="004876B6"/>
    <w:rsid w:val="004876D8"/>
    <w:rsid w:val="004876E1"/>
    <w:rsid w:val="004876F0"/>
    <w:rsid w:val="00487775"/>
    <w:rsid w:val="00487788"/>
    <w:rsid w:val="0048778C"/>
    <w:rsid w:val="00487883"/>
    <w:rsid w:val="004878A2"/>
    <w:rsid w:val="004878BA"/>
    <w:rsid w:val="0048791A"/>
    <w:rsid w:val="004879B8"/>
    <w:rsid w:val="004879FB"/>
    <w:rsid w:val="00487A1B"/>
    <w:rsid w:val="00487AC1"/>
    <w:rsid w:val="00487B12"/>
    <w:rsid w:val="00487B6A"/>
    <w:rsid w:val="00487B98"/>
    <w:rsid w:val="00487BA1"/>
    <w:rsid w:val="00487BC0"/>
    <w:rsid w:val="00487BD2"/>
    <w:rsid w:val="00487C4F"/>
    <w:rsid w:val="00487CBD"/>
    <w:rsid w:val="00487DB6"/>
    <w:rsid w:val="00487DEB"/>
    <w:rsid w:val="00487E00"/>
    <w:rsid w:val="00487E2E"/>
    <w:rsid w:val="00487E8E"/>
    <w:rsid w:val="00487F15"/>
    <w:rsid w:val="00487F2E"/>
    <w:rsid w:val="00487F58"/>
    <w:rsid w:val="0049008D"/>
    <w:rsid w:val="004900D2"/>
    <w:rsid w:val="004900DF"/>
    <w:rsid w:val="00490107"/>
    <w:rsid w:val="00490244"/>
    <w:rsid w:val="00490281"/>
    <w:rsid w:val="00490329"/>
    <w:rsid w:val="004904B9"/>
    <w:rsid w:val="004904F0"/>
    <w:rsid w:val="00490503"/>
    <w:rsid w:val="00490552"/>
    <w:rsid w:val="00490556"/>
    <w:rsid w:val="004905F4"/>
    <w:rsid w:val="00490610"/>
    <w:rsid w:val="00490724"/>
    <w:rsid w:val="00490735"/>
    <w:rsid w:val="00490774"/>
    <w:rsid w:val="004907B9"/>
    <w:rsid w:val="0049082C"/>
    <w:rsid w:val="00490840"/>
    <w:rsid w:val="00490883"/>
    <w:rsid w:val="00490934"/>
    <w:rsid w:val="00490936"/>
    <w:rsid w:val="004909DB"/>
    <w:rsid w:val="00490A6C"/>
    <w:rsid w:val="00490AA1"/>
    <w:rsid w:val="00490C1C"/>
    <w:rsid w:val="00490C5C"/>
    <w:rsid w:val="00490CF6"/>
    <w:rsid w:val="00490DF8"/>
    <w:rsid w:val="00490E0A"/>
    <w:rsid w:val="00490E58"/>
    <w:rsid w:val="00490F2B"/>
    <w:rsid w:val="00491016"/>
    <w:rsid w:val="00491026"/>
    <w:rsid w:val="00491066"/>
    <w:rsid w:val="0049126D"/>
    <w:rsid w:val="004912AC"/>
    <w:rsid w:val="00491348"/>
    <w:rsid w:val="004913FE"/>
    <w:rsid w:val="0049151E"/>
    <w:rsid w:val="004915A9"/>
    <w:rsid w:val="004916A9"/>
    <w:rsid w:val="004916CD"/>
    <w:rsid w:val="004916EC"/>
    <w:rsid w:val="0049178F"/>
    <w:rsid w:val="004917B8"/>
    <w:rsid w:val="004917DF"/>
    <w:rsid w:val="0049182F"/>
    <w:rsid w:val="00491872"/>
    <w:rsid w:val="00491876"/>
    <w:rsid w:val="004919A8"/>
    <w:rsid w:val="00491A04"/>
    <w:rsid w:val="00491A5E"/>
    <w:rsid w:val="00491ACF"/>
    <w:rsid w:val="00491B2B"/>
    <w:rsid w:val="00491BA4"/>
    <w:rsid w:val="00491BF1"/>
    <w:rsid w:val="00491CC5"/>
    <w:rsid w:val="00491E1E"/>
    <w:rsid w:val="00491E3C"/>
    <w:rsid w:val="00491EC4"/>
    <w:rsid w:val="00491FF5"/>
    <w:rsid w:val="00492001"/>
    <w:rsid w:val="00492003"/>
    <w:rsid w:val="004920E0"/>
    <w:rsid w:val="00492107"/>
    <w:rsid w:val="00492114"/>
    <w:rsid w:val="0049227E"/>
    <w:rsid w:val="0049234A"/>
    <w:rsid w:val="00492392"/>
    <w:rsid w:val="004923B2"/>
    <w:rsid w:val="004924AB"/>
    <w:rsid w:val="004924DF"/>
    <w:rsid w:val="004924F3"/>
    <w:rsid w:val="004924FB"/>
    <w:rsid w:val="00492545"/>
    <w:rsid w:val="004925A8"/>
    <w:rsid w:val="00492618"/>
    <w:rsid w:val="00492740"/>
    <w:rsid w:val="004927A1"/>
    <w:rsid w:val="0049281E"/>
    <w:rsid w:val="00492824"/>
    <w:rsid w:val="004928D4"/>
    <w:rsid w:val="004929B4"/>
    <w:rsid w:val="004929D0"/>
    <w:rsid w:val="00492A5B"/>
    <w:rsid w:val="00492AAF"/>
    <w:rsid w:val="00492BD0"/>
    <w:rsid w:val="00492C0C"/>
    <w:rsid w:val="00492CDB"/>
    <w:rsid w:val="00492D28"/>
    <w:rsid w:val="00492D4F"/>
    <w:rsid w:val="00492D7F"/>
    <w:rsid w:val="00492D98"/>
    <w:rsid w:val="00492D9B"/>
    <w:rsid w:val="00492EEB"/>
    <w:rsid w:val="00492F73"/>
    <w:rsid w:val="00492FC8"/>
    <w:rsid w:val="00492FEB"/>
    <w:rsid w:val="0049301E"/>
    <w:rsid w:val="00493069"/>
    <w:rsid w:val="004930AD"/>
    <w:rsid w:val="0049310E"/>
    <w:rsid w:val="00493154"/>
    <w:rsid w:val="00493164"/>
    <w:rsid w:val="004931F9"/>
    <w:rsid w:val="00493209"/>
    <w:rsid w:val="00493281"/>
    <w:rsid w:val="00493324"/>
    <w:rsid w:val="004933AA"/>
    <w:rsid w:val="00493450"/>
    <w:rsid w:val="004934C3"/>
    <w:rsid w:val="004934ED"/>
    <w:rsid w:val="0049353C"/>
    <w:rsid w:val="004935DE"/>
    <w:rsid w:val="004937D5"/>
    <w:rsid w:val="0049381F"/>
    <w:rsid w:val="00493889"/>
    <w:rsid w:val="004938B1"/>
    <w:rsid w:val="004938D0"/>
    <w:rsid w:val="004938E5"/>
    <w:rsid w:val="00493965"/>
    <w:rsid w:val="0049399B"/>
    <w:rsid w:val="00493A4A"/>
    <w:rsid w:val="00493B00"/>
    <w:rsid w:val="00493BA7"/>
    <w:rsid w:val="00493BF9"/>
    <w:rsid w:val="00493C02"/>
    <w:rsid w:val="00493C22"/>
    <w:rsid w:val="00493C32"/>
    <w:rsid w:val="00493C68"/>
    <w:rsid w:val="00493F18"/>
    <w:rsid w:val="00493F58"/>
    <w:rsid w:val="00493FBF"/>
    <w:rsid w:val="00493FFB"/>
    <w:rsid w:val="004940B0"/>
    <w:rsid w:val="00494102"/>
    <w:rsid w:val="00494167"/>
    <w:rsid w:val="004942DA"/>
    <w:rsid w:val="004943E1"/>
    <w:rsid w:val="00494436"/>
    <w:rsid w:val="00494477"/>
    <w:rsid w:val="00494557"/>
    <w:rsid w:val="00494590"/>
    <w:rsid w:val="0049461A"/>
    <w:rsid w:val="00494634"/>
    <w:rsid w:val="0049471C"/>
    <w:rsid w:val="0049480E"/>
    <w:rsid w:val="00494898"/>
    <w:rsid w:val="004948F4"/>
    <w:rsid w:val="00494935"/>
    <w:rsid w:val="00494A9F"/>
    <w:rsid w:val="00494AEA"/>
    <w:rsid w:val="00494B85"/>
    <w:rsid w:val="00494C22"/>
    <w:rsid w:val="00494C38"/>
    <w:rsid w:val="00494C4E"/>
    <w:rsid w:val="00494CB9"/>
    <w:rsid w:val="00494CCE"/>
    <w:rsid w:val="00494D73"/>
    <w:rsid w:val="00494DD4"/>
    <w:rsid w:val="00494DE1"/>
    <w:rsid w:val="00494DFA"/>
    <w:rsid w:val="00494E3B"/>
    <w:rsid w:val="00494E58"/>
    <w:rsid w:val="00494E7E"/>
    <w:rsid w:val="00494E8C"/>
    <w:rsid w:val="00494F09"/>
    <w:rsid w:val="00494F9B"/>
    <w:rsid w:val="00495043"/>
    <w:rsid w:val="00495049"/>
    <w:rsid w:val="00495190"/>
    <w:rsid w:val="004951E4"/>
    <w:rsid w:val="00495276"/>
    <w:rsid w:val="004952C4"/>
    <w:rsid w:val="0049532D"/>
    <w:rsid w:val="0049534F"/>
    <w:rsid w:val="00495404"/>
    <w:rsid w:val="00495529"/>
    <w:rsid w:val="00495565"/>
    <w:rsid w:val="00495622"/>
    <w:rsid w:val="00495631"/>
    <w:rsid w:val="00495644"/>
    <w:rsid w:val="00495699"/>
    <w:rsid w:val="004957B6"/>
    <w:rsid w:val="004957C3"/>
    <w:rsid w:val="004957E0"/>
    <w:rsid w:val="0049583F"/>
    <w:rsid w:val="00495958"/>
    <w:rsid w:val="004959F1"/>
    <w:rsid w:val="00495B88"/>
    <w:rsid w:val="00495B8D"/>
    <w:rsid w:val="00495BB6"/>
    <w:rsid w:val="00495BE8"/>
    <w:rsid w:val="00495C0A"/>
    <w:rsid w:val="00495C3F"/>
    <w:rsid w:val="00495D46"/>
    <w:rsid w:val="00495D55"/>
    <w:rsid w:val="00495E86"/>
    <w:rsid w:val="00495EE6"/>
    <w:rsid w:val="00495F78"/>
    <w:rsid w:val="00496161"/>
    <w:rsid w:val="004961C9"/>
    <w:rsid w:val="0049626C"/>
    <w:rsid w:val="00496299"/>
    <w:rsid w:val="0049635F"/>
    <w:rsid w:val="004964E4"/>
    <w:rsid w:val="004965AD"/>
    <w:rsid w:val="00496638"/>
    <w:rsid w:val="00496656"/>
    <w:rsid w:val="00496752"/>
    <w:rsid w:val="00496798"/>
    <w:rsid w:val="004967AD"/>
    <w:rsid w:val="0049682C"/>
    <w:rsid w:val="0049685F"/>
    <w:rsid w:val="00496899"/>
    <w:rsid w:val="004968A0"/>
    <w:rsid w:val="00496932"/>
    <w:rsid w:val="00496B00"/>
    <w:rsid w:val="00496B25"/>
    <w:rsid w:val="00496BAB"/>
    <w:rsid w:val="00496C39"/>
    <w:rsid w:val="00496C46"/>
    <w:rsid w:val="00496C6B"/>
    <w:rsid w:val="00496CBE"/>
    <w:rsid w:val="00496CE8"/>
    <w:rsid w:val="00496CF4"/>
    <w:rsid w:val="00496D25"/>
    <w:rsid w:val="00496DEC"/>
    <w:rsid w:val="00496EAB"/>
    <w:rsid w:val="00496ED3"/>
    <w:rsid w:val="00496F09"/>
    <w:rsid w:val="0049703C"/>
    <w:rsid w:val="00497086"/>
    <w:rsid w:val="004970D9"/>
    <w:rsid w:val="0049712A"/>
    <w:rsid w:val="0049720F"/>
    <w:rsid w:val="00497214"/>
    <w:rsid w:val="0049721C"/>
    <w:rsid w:val="004972AD"/>
    <w:rsid w:val="00497595"/>
    <w:rsid w:val="004975B7"/>
    <w:rsid w:val="004975F0"/>
    <w:rsid w:val="0049760D"/>
    <w:rsid w:val="00497611"/>
    <w:rsid w:val="0049761A"/>
    <w:rsid w:val="00497644"/>
    <w:rsid w:val="004976AF"/>
    <w:rsid w:val="00497977"/>
    <w:rsid w:val="00497A30"/>
    <w:rsid w:val="00497AB5"/>
    <w:rsid w:val="00497B2D"/>
    <w:rsid w:val="00497B42"/>
    <w:rsid w:val="00497C2C"/>
    <w:rsid w:val="00497C66"/>
    <w:rsid w:val="00497E07"/>
    <w:rsid w:val="00497E11"/>
    <w:rsid w:val="00497E1A"/>
    <w:rsid w:val="00497F0F"/>
    <w:rsid w:val="00497F20"/>
    <w:rsid w:val="00497F23"/>
    <w:rsid w:val="0049CA52"/>
    <w:rsid w:val="004A003D"/>
    <w:rsid w:val="004A00C7"/>
    <w:rsid w:val="004A016D"/>
    <w:rsid w:val="004A01BB"/>
    <w:rsid w:val="004A0203"/>
    <w:rsid w:val="004A0211"/>
    <w:rsid w:val="004A0255"/>
    <w:rsid w:val="004A02EE"/>
    <w:rsid w:val="004A02F3"/>
    <w:rsid w:val="004A02FE"/>
    <w:rsid w:val="004A03FA"/>
    <w:rsid w:val="004A040E"/>
    <w:rsid w:val="004A04CD"/>
    <w:rsid w:val="004A04E5"/>
    <w:rsid w:val="004A0500"/>
    <w:rsid w:val="004A064F"/>
    <w:rsid w:val="004A06F9"/>
    <w:rsid w:val="004A0842"/>
    <w:rsid w:val="004A0899"/>
    <w:rsid w:val="004A0A54"/>
    <w:rsid w:val="004A0A69"/>
    <w:rsid w:val="004A0AA7"/>
    <w:rsid w:val="004A0BA7"/>
    <w:rsid w:val="004A0BDF"/>
    <w:rsid w:val="004A0C97"/>
    <w:rsid w:val="004A0EC1"/>
    <w:rsid w:val="004A0EC7"/>
    <w:rsid w:val="004A0F2F"/>
    <w:rsid w:val="004A0F3E"/>
    <w:rsid w:val="004A0FA0"/>
    <w:rsid w:val="004A105F"/>
    <w:rsid w:val="004A10CF"/>
    <w:rsid w:val="004A10E6"/>
    <w:rsid w:val="004A113C"/>
    <w:rsid w:val="004A1156"/>
    <w:rsid w:val="004A118A"/>
    <w:rsid w:val="004A124D"/>
    <w:rsid w:val="004A125A"/>
    <w:rsid w:val="004A127D"/>
    <w:rsid w:val="004A138E"/>
    <w:rsid w:val="004A1408"/>
    <w:rsid w:val="004A14F0"/>
    <w:rsid w:val="004A14FF"/>
    <w:rsid w:val="004A1555"/>
    <w:rsid w:val="004A160D"/>
    <w:rsid w:val="004A17BE"/>
    <w:rsid w:val="004A17E1"/>
    <w:rsid w:val="004A17F1"/>
    <w:rsid w:val="004A18A7"/>
    <w:rsid w:val="004A18B8"/>
    <w:rsid w:val="004A1999"/>
    <w:rsid w:val="004A1ADD"/>
    <w:rsid w:val="004A1EC1"/>
    <w:rsid w:val="004A1F59"/>
    <w:rsid w:val="004A1FA6"/>
    <w:rsid w:val="004A200A"/>
    <w:rsid w:val="004A205F"/>
    <w:rsid w:val="004A20A7"/>
    <w:rsid w:val="004A20B1"/>
    <w:rsid w:val="004A20EA"/>
    <w:rsid w:val="004A2134"/>
    <w:rsid w:val="004A2294"/>
    <w:rsid w:val="004A231D"/>
    <w:rsid w:val="004A2349"/>
    <w:rsid w:val="004A23D6"/>
    <w:rsid w:val="004A23F0"/>
    <w:rsid w:val="004A2408"/>
    <w:rsid w:val="004A244F"/>
    <w:rsid w:val="004A24AA"/>
    <w:rsid w:val="004A24B4"/>
    <w:rsid w:val="004A24FB"/>
    <w:rsid w:val="004A25B4"/>
    <w:rsid w:val="004A2616"/>
    <w:rsid w:val="004A26A9"/>
    <w:rsid w:val="004A2789"/>
    <w:rsid w:val="004A27C4"/>
    <w:rsid w:val="004A27E6"/>
    <w:rsid w:val="004A2816"/>
    <w:rsid w:val="004A2978"/>
    <w:rsid w:val="004A2983"/>
    <w:rsid w:val="004A2A3C"/>
    <w:rsid w:val="004A2AC5"/>
    <w:rsid w:val="004A2B74"/>
    <w:rsid w:val="004A2B7A"/>
    <w:rsid w:val="004A2B9E"/>
    <w:rsid w:val="004A2D51"/>
    <w:rsid w:val="004A2DCF"/>
    <w:rsid w:val="004A2E85"/>
    <w:rsid w:val="004A2EDC"/>
    <w:rsid w:val="004A2F5D"/>
    <w:rsid w:val="004A2F5F"/>
    <w:rsid w:val="004A2FAC"/>
    <w:rsid w:val="004A2FC6"/>
    <w:rsid w:val="004A3012"/>
    <w:rsid w:val="004A3088"/>
    <w:rsid w:val="004A30FB"/>
    <w:rsid w:val="004A310F"/>
    <w:rsid w:val="004A312E"/>
    <w:rsid w:val="004A3153"/>
    <w:rsid w:val="004A3371"/>
    <w:rsid w:val="004A33F4"/>
    <w:rsid w:val="004A3430"/>
    <w:rsid w:val="004A344C"/>
    <w:rsid w:val="004A3569"/>
    <w:rsid w:val="004A35C6"/>
    <w:rsid w:val="004A360E"/>
    <w:rsid w:val="004A3613"/>
    <w:rsid w:val="004A3617"/>
    <w:rsid w:val="004A36DA"/>
    <w:rsid w:val="004A3783"/>
    <w:rsid w:val="004A37A1"/>
    <w:rsid w:val="004A38F0"/>
    <w:rsid w:val="004A3984"/>
    <w:rsid w:val="004A398A"/>
    <w:rsid w:val="004A39CB"/>
    <w:rsid w:val="004A39E0"/>
    <w:rsid w:val="004A3A32"/>
    <w:rsid w:val="004A3A5A"/>
    <w:rsid w:val="004A3B6F"/>
    <w:rsid w:val="004A3B77"/>
    <w:rsid w:val="004A3BD4"/>
    <w:rsid w:val="004A3C1D"/>
    <w:rsid w:val="004A3C2C"/>
    <w:rsid w:val="004A3CA5"/>
    <w:rsid w:val="004A3EA0"/>
    <w:rsid w:val="004A3FC9"/>
    <w:rsid w:val="004A3FE2"/>
    <w:rsid w:val="004A3FF4"/>
    <w:rsid w:val="004A4033"/>
    <w:rsid w:val="004A4043"/>
    <w:rsid w:val="004A407C"/>
    <w:rsid w:val="004A412F"/>
    <w:rsid w:val="004A41EB"/>
    <w:rsid w:val="004A4263"/>
    <w:rsid w:val="004A42A6"/>
    <w:rsid w:val="004A42AD"/>
    <w:rsid w:val="004A4328"/>
    <w:rsid w:val="004A4338"/>
    <w:rsid w:val="004A4391"/>
    <w:rsid w:val="004A43FE"/>
    <w:rsid w:val="004A4450"/>
    <w:rsid w:val="004A44DE"/>
    <w:rsid w:val="004A44F2"/>
    <w:rsid w:val="004A4506"/>
    <w:rsid w:val="004A4586"/>
    <w:rsid w:val="004A45F5"/>
    <w:rsid w:val="004A46C3"/>
    <w:rsid w:val="004A46C7"/>
    <w:rsid w:val="004A46DC"/>
    <w:rsid w:val="004A4752"/>
    <w:rsid w:val="004A477A"/>
    <w:rsid w:val="004A47AE"/>
    <w:rsid w:val="004A47ED"/>
    <w:rsid w:val="004A480C"/>
    <w:rsid w:val="004A4812"/>
    <w:rsid w:val="004A4862"/>
    <w:rsid w:val="004A48B4"/>
    <w:rsid w:val="004A48BD"/>
    <w:rsid w:val="004A48C3"/>
    <w:rsid w:val="004A4901"/>
    <w:rsid w:val="004A4A47"/>
    <w:rsid w:val="004A4B4F"/>
    <w:rsid w:val="004A4C04"/>
    <w:rsid w:val="004A4CE3"/>
    <w:rsid w:val="004A4D03"/>
    <w:rsid w:val="004A4E0C"/>
    <w:rsid w:val="004A4F34"/>
    <w:rsid w:val="004A4FC1"/>
    <w:rsid w:val="004A4FD9"/>
    <w:rsid w:val="004A5003"/>
    <w:rsid w:val="004A5053"/>
    <w:rsid w:val="004A507A"/>
    <w:rsid w:val="004A50DE"/>
    <w:rsid w:val="004A50EE"/>
    <w:rsid w:val="004A5104"/>
    <w:rsid w:val="004A51B2"/>
    <w:rsid w:val="004A521A"/>
    <w:rsid w:val="004A5257"/>
    <w:rsid w:val="004A526A"/>
    <w:rsid w:val="004A52C6"/>
    <w:rsid w:val="004A52D1"/>
    <w:rsid w:val="004A530F"/>
    <w:rsid w:val="004A5317"/>
    <w:rsid w:val="004A5394"/>
    <w:rsid w:val="004A53F1"/>
    <w:rsid w:val="004A53FA"/>
    <w:rsid w:val="004A53FF"/>
    <w:rsid w:val="004A540E"/>
    <w:rsid w:val="004A5441"/>
    <w:rsid w:val="004A54AD"/>
    <w:rsid w:val="004A557E"/>
    <w:rsid w:val="004A5593"/>
    <w:rsid w:val="004A55E9"/>
    <w:rsid w:val="004A5665"/>
    <w:rsid w:val="004A5855"/>
    <w:rsid w:val="004A59DE"/>
    <w:rsid w:val="004A5BAA"/>
    <w:rsid w:val="004A5BB7"/>
    <w:rsid w:val="004A5C6B"/>
    <w:rsid w:val="004A5CC1"/>
    <w:rsid w:val="004A5D07"/>
    <w:rsid w:val="004A5D1C"/>
    <w:rsid w:val="004A5E14"/>
    <w:rsid w:val="004A5E20"/>
    <w:rsid w:val="004A5E35"/>
    <w:rsid w:val="004A5EC7"/>
    <w:rsid w:val="004A5F28"/>
    <w:rsid w:val="004A5F9D"/>
    <w:rsid w:val="004A603A"/>
    <w:rsid w:val="004A6127"/>
    <w:rsid w:val="004A613F"/>
    <w:rsid w:val="004A616C"/>
    <w:rsid w:val="004A6211"/>
    <w:rsid w:val="004A6214"/>
    <w:rsid w:val="004A62C7"/>
    <w:rsid w:val="004A62D3"/>
    <w:rsid w:val="004A6303"/>
    <w:rsid w:val="004A6314"/>
    <w:rsid w:val="004A6340"/>
    <w:rsid w:val="004A635B"/>
    <w:rsid w:val="004A63CA"/>
    <w:rsid w:val="004A6439"/>
    <w:rsid w:val="004A644B"/>
    <w:rsid w:val="004A64B7"/>
    <w:rsid w:val="004A6577"/>
    <w:rsid w:val="004A65BA"/>
    <w:rsid w:val="004A6748"/>
    <w:rsid w:val="004A67DA"/>
    <w:rsid w:val="004A6814"/>
    <w:rsid w:val="004A68B0"/>
    <w:rsid w:val="004A6939"/>
    <w:rsid w:val="004A6967"/>
    <w:rsid w:val="004A69AE"/>
    <w:rsid w:val="004A6A2F"/>
    <w:rsid w:val="004A6A35"/>
    <w:rsid w:val="004A6A91"/>
    <w:rsid w:val="004A6AA2"/>
    <w:rsid w:val="004A6AB6"/>
    <w:rsid w:val="004A6B12"/>
    <w:rsid w:val="004A6B33"/>
    <w:rsid w:val="004A6B57"/>
    <w:rsid w:val="004A6B8A"/>
    <w:rsid w:val="004A6CBE"/>
    <w:rsid w:val="004A6D0B"/>
    <w:rsid w:val="004A6DD0"/>
    <w:rsid w:val="004A6E49"/>
    <w:rsid w:val="004A6E91"/>
    <w:rsid w:val="004A6FE6"/>
    <w:rsid w:val="004A6FE7"/>
    <w:rsid w:val="004A706E"/>
    <w:rsid w:val="004A713A"/>
    <w:rsid w:val="004A71A2"/>
    <w:rsid w:val="004A71DA"/>
    <w:rsid w:val="004A7214"/>
    <w:rsid w:val="004A73B2"/>
    <w:rsid w:val="004A74BA"/>
    <w:rsid w:val="004A74D8"/>
    <w:rsid w:val="004A74D9"/>
    <w:rsid w:val="004A7592"/>
    <w:rsid w:val="004A75D5"/>
    <w:rsid w:val="004A7611"/>
    <w:rsid w:val="004A76AF"/>
    <w:rsid w:val="004A76C8"/>
    <w:rsid w:val="004A77C8"/>
    <w:rsid w:val="004A783D"/>
    <w:rsid w:val="004A785E"/>
    <w:rsid w:val="004A78B0"/>
    <w:rsid w:val="004A7974"/>
    <w:rsid w:val="004A79A8"/>
    <w:rsid w:val="004A79EC"/>
    <w:rsid w:val="004A7AC4"/>
    <w:rsid w:val="004A7ADA"/>
    <w:rsid w:val="004A7AE4"/>
    <w:rsid w:val="004A7B55"/>
    <w:rsid w:val="004A7B64"/>
    <w:rsid w:val="004A7BBB"/>
    <w:rsid w:val="004A7C4A"/>
    <w:rsid w:val="004A7CDD"/>
    <w:rsid w:val="004A7D6F"/>
    <w:rsid w:val="004A7D98"/>
    <w:rsid w:val="004A7DCA"/>
    <w:rsid w:val="004A7E23"/>
    <w:rsid w:val="004A7E88"/>
    <w:rsid w:val="004A7F48"/>
    <w:rsid w:val="004A7F92"/>
    <w:rsid w:val="004B002A"/>
    <w:rsid w:val="004B0048"/>
    <w:rsid w:val="004B0107"/>
    <w:rsid w:val="004B011F"/>
    <w:rsid w:val="004B0132"/>
    <w:rsid w:val="004B0137"/>
    <w:rsid w:val="004B01BD"/>
    <w:rsid w:val="004B0249"/>
    <w:rsid w:val="004B02CB"/>
    <w:rsid w:val="004B0307"/>
    <w:rsid w:val="004B037B"/>
    <w:rsid w:val="004B0385"/>
    <w:rsid w:val="004B03E7"/>
    <w:rsid w:val="004B0428"/>
    <w:rsid w:val="004B04B6"/>
    <w:rsid w:val="004B04D1"/>
    <w:rsid w:val="004B0532"/>
    <w:rsid w:val="004B053D"/>
    <w:rsid w:val="004B060C"/>
    <w:rsid w:val="004B062D"/>
    <w:rsid w:val="004B075C"/>
    <w:rsid w:val="004B07A3"/>
    <w:rsid w:val="004B07C2"/>
    <w:rsid w:val="004B0804"/>
    <w:rsid w:val="004B0850"/>
    <w:rsid w:val="004B08C8"/>
    <w:rsid w:val="004B09F1"/>
    <w:rsid w:val="004B0A64"/>
    <w:rsid w:val="004B0AF0"/>
    <w:rsid w:val="004B0C26"/>
    <w:rsid w:val="004B0C4A"/>
    <w:rsid w:val="004B0D15"/>
    <w:rsid w:val="004B0D6A"/>
    <w:rsid w:val="004B0D9F"/>
    <w:rsid w:val="004B0EF7"/>
    <w:rsid w:val="004B0F72"/>
    <w:rsid w:val="004B100F"/>
    <w:rsid w:val="004B103C"/>
    <w:rsid w:val="004B10F7"/>
    <w:rsid w:val="004B1142"/>
    <w:rsid w:val="004B1163"/>
    <w:rsid w:val="004B118A"/>
    <w:rsid w:val="004B11A0"/>
    <w:rsid w:val="004B11A1"/>
    <w:rsid w:val="004B11C0"/>
    <w:rsid w:val="004B12F9"/>
    <w:rsid w:val="004B1395"/>
    <w:rsid w:val="004B139E"/>
    <w:rsid w:val="004B14AA"/>
    <w:rsid w:val="004B14B8"/>
    <w:rsid w:val="004B1507"/>
    <w:rsid w:val="004B1556"/>
    <w:rsid w:val="004B15D0"/>
    <w:rsid w:val="004B1644"/>
    <w:rsid w:val="004B16C7"/>
    <w:rsid w:val="004B16C9"/>
    <w:rsid w:val="004B16E3"/>
    <w:rsid w:val="004B16E9"/>
    <w:rsid w:val="004B172E"/>
    <w:rsid w:val="004B18BF"/>
    <w:rsid w:val="004B18CC"/>
    <w:rsid w:val="004B18E0"/>
    <w:rsid w:val="004B1907"/>
    <w:rsid w:val="004B193F"/>
    <w:rsid w:val="004B1947"/>
    <w:rsid w:val="004B1A39"/>
    <w:rsid w:val="004B1BBB"/>
    <w:rsid w:val="004B1CB3"/>
    <w:rsid w:val="004B1DBA"/>
    <w:rsid w:val="004B1F40"/>
    <w:rsid w:val="004B1F91"/>
    <w:rsid w:val="004B1FC3"/>
    <w:rsid w:val="004B1FEF"/>
    <w:rsid w:val="004B200F"/>
    <w:rsid w:val="004B20AF"/>
    <w:rsid w:val="004B2257"/>
    <w:rsid w:val="004B225B"/>
    <w:rsid w:val="004B229D"/>
    <w:rsid w:val="004B22C4"/>
    <w:rsid w:val="004B2313"/>
    <w:rsid w:val="004B232E"/>
    <w:rsid w:val="004B2397"/>
    <w:rsid w:val="004B24A8"/>
    <w:rsid w:val="004B24D4"/>
    <w:rsid w:val="004B24EB"/>
    <w:rsid w:val="004B250F"/>
    <w:rsid w:val="004B25CE"/>
    <w:rsid w:val="004B25E1"/>
    <w:rsid w:val="004B2636"/>
    <w:rsid w:val="004B270B"/>
    <w:rsid w:val="004B2711"/>
    <w:rsid w:val="004B2788"/>
    <w:rsid w:val="004B2871"/>
    <w:rsid w:val="004B28EC"/>
    <w:rsid w:val="004B28FF"/>
    <w:rsid w:val="004B2914"/>
    <w:rsid w:val="004B29D0"/>
    <w:rsid w:val="004B2AB0"/>
    <w:rsid w:val="004B2ABE"/>
    <w:rsid w:val="004B2AF9"/>
    <w:rsid w:val="004B2B12"/>
    <w:rsid w:val="004B2BC3"/>
    <w:rsid w:val="004B2BF8"/>
    <w:rsid w:val="004B2C13"/>
    <w:rsid w:val="004B2C18"/>
    <w:rsid w:val="004B2C2F"/>
    <w:rsid w:val="004B2CF3"/>
    <w:rsid w:val="004B2D73"/>
    <w:rsid w:val="004B2DBE"/>
    <w:rsid w:val="004B2E45"/>
    <w:rsid w:val="004B2E65"/>
    <w:rsid w:val="004B2E8C"/>
    <w:rsid w:val="004B2F08"/>
    <w:rsid w:val="004B2F88"/>
    <w:rsid w:val="004B2FA5"/>
    <w:rsid w:val="004B2FFC"/>
    <w:rsid w:val="004B302F"/>
    <w:rsid w:val="004B31C4"/>
    <w:rsid w:val="004B31D3"/>
    <w:rsid w:val="004B3295"/>
    <w:rsid w:val="004B345A"/>
    <w:rsid w:val="004B34E1"/>
    <w:rsid w:val="004B355D"/>
    <w:rsid w:val="004B3576"/>
    <w:rsid w:val="004B35C0"/>
    <w:rsid w:val="004B360B"/>
    <w:rsid w:val="004B3705"/>
    <w:rsid w:val="004B371C"/>
    <w:rsid w:val="004B38C3"/>
    <w:rsid w:val="004B391A"/>
    <w:rsid w:val="004B39AB"/>
    <w:rsid w:val="004B3A91"/>
    <w:rsid w:val="004B3AED"/>
    <w:rsid w:val="004B3B9A"/>
    <w:rsid w:val="004B3CF3"/>
    <w:rsid w:val="004B3E5C"/>
    <w:rsid w:val="004B3E73"/>
    <w:rsid w:val="004B3ED6"/>
    <w:rsid w:val="004B3F85"/>
    <w:rsid w:val="004B4033"/>
    <w:rsid w:val="004B40B7"/>
    <w:rsid w:val="004B416B"/>
    <w:rsid w:val="004B418B"/>
    <w:rsid w:val="004B418C"/>
    <w:rsid w:val="004B4232"/>
    <w:rsid w:val="004B426E"/>
    <w:rsid w:val="004B42A3"/>
    <w:rsid w:val="004B42C2"/>
    <w:rsid w:val="004B43D2"/>
    <w:rsid w:val="004B440A"/>
    <w:rsid w:val="004B4745"/>
    <w:rsid w:val="004B477B"/>
    <w:rsid w:val="004B47BE"/>
    <w:rsid w:val="004B47E2"/>
    <w:rsid w:val="004B4916"/>
    <w:rsid w:val="004B4919"/>
    <w:rsid w:val="004B492D"/>
    <w:rsid w:val="004B4988"/>
    <w:rsid w:val="004B4A58"/>
    <w:rsid w:val="004B4ABF"/>
    <w:rsid w:val="004B4B7D"/>
    <w:rsid w:val="004B4CD2"/>
    <w:rsid w:val="004B4D48"/>
    <w:rsid w:val="004B4D84"/>
    <w:rsid w:val="004B4EA2"/>
    <w:rsid w:val="004B4F2C"/>
    <w:rsid w:val="004B4F8A"/>
    <w:rsid w:val="004B4FA7"/>
    <w:rsid w:val="004B500F"/>
    <w:rsid w:val="004B515B"/>
    <w:rsid w:val="004B5186"/>
    <w:rsid w:val="004B51B6"/>
    <w:rsid w:val="004B51DC"/>
    <w:rsid w:val="004B52A6"/>
    <w:rsid w:val="004B52B6"/>
    <w:rsid w:val="004B52EB"/>
    <w:rsid w:val="004B5345"/>
    <w:rsid w:val="004B53C5"/>
    <w:rsid w:val="004B53CB"/>
    <w:rsid w:val="004B5437"/>
    <w:rsid w:val="004B547B"/>
    <w:rsid w:val="004B5522"/>
    <w:rsid w:val="004B55A6"/>
    <w:rsid w:val="004B5603"/>
    <w:rsid w:val="004B567B"/>
    <w:rsid w:val="004B5713"/>
    <w:rsid w:val="004B580D"/>
    <w:rsid w:val="004B58BF"/>
    <w:rsid w:val="004B590E"/>
    <w:rsid w:val="004B590F"/>
    <w:rsid w:val="004B5948"/>
    <w:rsid w:val="004B5974"/>
    <w:rsid w:val="004B598E"/>
    <w:rsid w:val="004B59BF"/>
    <w:rsid w:val="004B59C2"/>
    <w:rsid w:val="004B5A08"/>
    <w:rsid w:val="004B5A36"/>
    <w:rsid w:val="004B5A74"/>
    <w:rsid w:val="004B5A8C"/>
    <w:rsid w:val="004B5AB4"/>
    <w:rsid w:val="004B5B35"/>
    <w:rsid w:val="004B5B42"/>
    <w:rsid w:val="004B5B48"/>
    <w:rsid w:val="004B5B4B"/>
    <w:rsid w:val="004B5B5A"/>
    <w:rsid w:val="004B5BE9"/>
    <w:rsid w:val="004B5D18"/>
    <w:rsid w:val="004B5DA8"/>
    <w:rsid w:val="004B5DC7"/>
    <w:rsid w:val="004B5E03"/>
    <w:rsid w:val="004B5E08"/>
    <w:rsid w:val="004B5EA3"/>
    <w:rsid w:val="004B5EEE"/>
    <w:rsid w:val="004B5F51"/>
    <w:rsid w:val="004B6047"/>
    <w:rsid w:val="004B60F8"/>
    <w:rsid w:val="004B6140"/>
    <w:rsid w:val="004B614B"/>
    <w:rsid w:val="004B6151"/>
    <w:rsid w:val="004B616A"/>
    <w:rsid w:val="004B618F"/>
    <w:rsid w:val="004B61B9"/>
    <w:rsid w:val="004B61C6"/>
    <w:rsid w:val="004B626D"/>
    <w:rsid w:val="004B62E6"/>
    <w:rsid w:val="004B6308"/>
    <w:rsid w:val="004B6309"/>
    <w:rsid w:val="004B633C"/>
    <w:rsid w:val="004B6397"/>
    <w:rsid w:val="004B63C0"/>
    <w:rsid w:val="004B63ED"/>
    <w:rsid w:val="004B641D"/>
    <w:rsid w:val="004B6434"/>
    <w:rsid w:val="004B647A"/>
    <w:rsid w:val="004B64AA"/>
    <w:rsid w:val="004B656E"/>
    <w:rsid w:val="004B6580"/>
    <w:rsid w:val="004B65BC"/>
    <w:rsid w:val="004B6666"/>
    <w:rsid w:val="004B6719"/>
    <w:rsid w:val="004B675F"/>
    <w:rsid w:val="004B681F"/>
    <w:rsid w:val="004B6839"/>
    <w:rsid w:val="004B6881"/>
    <w:rsid w:val="004B693A"/>
    <w:rsid w:val="004B694A"/>
    <w:rsid w:val="004B6990"/>
    <w:rsid w:val="004B69BF"/>
    <w:rsid w:val="004B69DD"/>
    <w:rsid w:val="004B6A06"/>
    <w:rsid w:val="004B6A31"/>
    <w:rsid w:val="004B6B28"/>
    <w:rsid w:val="004B6B39"/>
    <w:rsid w:val="004B6BAE"/>
    <w:rsid w:val="004B6BAF"/>
    <w:rsid w:val="004B6CAC"/>
    <w:rsid w:val="004B6CC2"/>
    <w:rsid w:val="004B6D0F"/>
    <w:rsid w:val="004B6DBF"/>
    <w:rsid w:val="004B6DC0"/>
    <w:rsid w:val="004B6E15"/>
    <w:rsid w:val="004B6EAA"/>
    <w:rsid w:val="004B6F2B"/>
    <w:rsid w:val="004B6F34"/>
    <w:rsid w:val="004B6F87"/>
    <w:rsid w:val="004B7017"/>
    <w:rsid w:val="004B70B0"/>
    <w:rsid w:val="004B7203"/>
    <w:rsid w:val="004B720B"/>
    <w:rsid w:val="004B72AA"/>
    <w:rsid w:val="004B7321"/>
    <w:rsid w:val="004B7338"/>
    <w:rsid w:val="004B737B"/>
    <w:rsid w:val="004B7519"/>
    <w:rsid w:val="004B753E"/>
    <w:rsid w:val="004B7540"/>
    <w:rsid w:val="004B75A9"/>
    <w:rsid w:val="004B75C0"/>
    <w:rsid w:val="004B75ED"/>
    <w:rsid w:val="004B75EF"/>
    <w:rsid w:val="004B75FC"/>
    <w:rsid w:val="004B767A"/>
    <w:rsid w:val="004B76D2"/>
    <w:rsid w:val="004B771A"/>
    <w:rsid w:val="004B7742"/>
    <w:rsid w:val="004B77DE"/>
    <w:rsid w:val="004B77EB"/>
    <w:rsid w:val="004B783D"/>
    <w:rsid w:val="004B78C9"/>
    <w:rsid w:val="004B7A40"/>
    <w:rsid w:val="004B7A76"/>
    <w:rsid w:val="004B7A7E"/>
    <w:rsid w:val="004B7AD2"/>
    <w:rsid w:val="004B7B83"/>
    <w:rsid w:val="004B7C2F"/>
    <w:rsid w:val="004B7DCD"/>
    <w:rsid w:val="004B7E73"/>
    <w:rsid w:val="004B7EC4"/>
    <w:rsid w:val="004B7ED5"/>
    <w:rsid w:val="004B7F4D"/>
    <w:rsid w:val="004B7FA7"/>
    <w:rsid w:val="004C001C"/>
    <w:rsid w:val="004C0023"/>
    <w:rsid w:val="004C00A2"/>
    <w:rsid w:val="004C00B5"/>
    <w:rsid w:val="004C00FB"/>
    <w:rsid w:val="004C0166"/>
    <w:rsid w:val="004C01E1"/>
    <w:rsid w:val="004C0210"/>
    <w:rsid w:val="004C0273"/>
    <w:rsid w:val="004C02FA"/>
    <w:rsid w:val="004C033E"/>
    <w:rsid w:val="004C034A"/>
    <w:rsid w:val="004C03D3"/>
    <w:rsid w:val="004C03E9"/>
    <w:rsid w:val="004C0404"/>
    <w:rsid w:val="004C0421"/>
    <w:rsid w:val="004C0422"/>
    <w:rsid w:val="004C0493"/>
    <w:rsid w:val="004C04F5"/>
    <w:rsid w:val="004C0576"/>
    <w:rsid w:val="004C05AF"/>
    <w:rsid w:val="004C078B"/>
    <w:rsid w:val="004C07CC"/>
    <w:rsid w:val="004C07E1"/>
    <w:rsid w:val="004C07EF"/>
    <w:rsid w:val="004C07FC"/>
    <w:rsid w:val="004C080E"/>
    <w:rsid w:val="004C08BD"/>
    <w:rsid w:val="004C08D9"/>
    <w:rsid w:val="004C09E6"/>
    <w:rsid w:val="004C0A4E"/>
    <w:rsid w:val="004C0B89"/>
    <w:rsid w:val="004C0B9A"/>
    <w:rsid w:val="004C0C41"/>
    <w:rsid w:val="004C0C65"/>
    <w:rsid w:val="004C0C68"/>
    <w:rsid w:val="004C0CC4"/>
    <w:rsid w:val="004C0D22"/>
    <w:rsid w:val="004C0D6C"/>
    <w:rsid w:val="004C0D8E"/>
    <w:rsid w:val="004C0DB7"/>
    <w:rsid w:val="004C0DBA"/>
    <w:rsid w:val="004C0DC1"/>
    <w:rsid w:val="004C0F12"/>
    <w:rsid w:val="004C0F55"/>
    <w:rsid w:val="004C0FAB"/>
    <w:rsid w:val="004C1099"/>
    <w:rsid w:val="004C10B7"/>
    <w:rsid w:val="004C10F6"/>
    <w:rsid w:val="004C11D1"/>
    <w:rsid w:val="004C12CB"/>
    <w:rsid w:val="004C12D1"/>
    <w:rsid w:val="004C12F0"/>
    <w:rsid w:val="004C13EB"/>
    <w:rsid w:val="004C145B"/>
    <w:rsid w:val="004C146A"/>
    <w:rsid w:val="004C147A"/>
    <w:rsid w:val="004C1553"/>
    <w:rsid w:val="004C1582"/>
    <w:rsid w:val="004C160A"/>
    <w:rsid w:val="004C1692"/>
    <w:rsid w:val="004C16A8"/>
    <w:rsid w:val="004C1727"/>
    <w:rsid w:val="004C19AB"/>
    <w:rsid w:val="004C1A07"/>
    <w:rsid w:val="004C1BAC"/>
    <w:rsid w:val="004C1D30"/>
    <w:rsid w:val="004C1D5B"/>
    <w:rsid w:val="004C1E1F"/>
    <w:rsid w:val="004C1E66"/>
    <w:rsid w:val="004C1E76"/>
    <w:rsid w:val="004C1EA9"/>
    <w:rsid w:val="004C1EBD"/>
    <w:rsid w:val="004C1F08"/>
    <w:rsid w:val="004C1FAE"/>
    <w:rsid w:val="004C1FC3"/>
    <w:rsid w:val="004C2195"/>
    <w:rsid w:val="004C21B4"/>
    <w:rsid w:val="004C21DD"/>
    <w:rsid w:val="004C22AA"/>
    <w:rsid w:val="004C2323"/>
    <w:rsid w:val="004C2349"/>
    <w:rsid w:val="004C23D9"/>
    <w:rsid w:val="004C241E"/>
    <w:rsid w:val="004C2499"/>
    <w:rsid w:val="004C256C"/>
    <w:rsid w:val="004C2581"/>
    <w:rsid w:val="004C2603"/>
    <w:rsid w:val="004C268E"/>
    <w:rsid w:val="004C268F"/>
    <w:rsid w:val="004C26E8"/>
    <w:rsid w:val="004C27AA"/>
    <w:rsid w:val="004C27C3"/>
    <w:rsid w:val="004C284E"/>
    <w:rsid w:val="004C2898"/>
    <w:rsid w:val="004C28D3"/>
    <w:rsid w:val="004C2969"/>
    <w:rsid w:val="004C29B5"/>
    <w:rsid w:val="004C2A27"/>
    <w:rsid w:val="004C2B4D"/>
    <w:rsid w:val="004C2BCE"/>
    <w:rsid w:val="004C2BF0"/>
    <w:rsid w:val="004C2C2C"/>
    <w:rsid w:val="004C2CA7"/>
    <w:rsid w:val="004C2CCD"/>
    <w:rsid w:val="004C2D3E"/>
    <w:rsid w:val="004C2F68"/>
    <w:rsid w:val="004C326C"/>
    <w:rsid w:val="004C32BD"/>
    <w:rsid w:val="004C333B"/>
    <w:rsid w:val="004C3367"/>
    <w:rsid w:val="004C3402"/>
    <w:rsid w:val="004C358B"/>
    <w:rsid w:val="004C358F"/>
    <w:rsid w:val="004C3643"/>
    <w:rsid w:val="004C36D0"/>
    <w:rsid w:val="004C3700"/>
    <w:rsid w:val="004C3705"/>
    <w:rsid w:val="004C3723"/>
    <w:rsid w:val="004C373D"/>
    <w:rsid w:val="004C3749"/>
    <w:rsid w:val="004C37BA"/>
    <w:rsid w:val="004C38B1"/>
    <w:rsid w:val="004C38E9"/>
    <w:rsid w:val="004C38FA"/>
    <w:rsid w:val="004C399E"/>
    <w:rsid w:val="004C3B1D"/>
    <w:rsid w:val="004C3B76"/>
    <w:rsid w:val="004C3BD5"/>
    <w:rsid w:val="004C3C5A"/>
    <w:rsid w:val="004C3C6B"/>
    <w:rsid w:val="004C3C86"/>
    <w:rsid w:val="004C3CAF"/>
    <w:rsid w:val="004C3D84"/>
    <w:rsid w:val="004C3DC3"/>
    <w:rsid w:val="004C3DC8"/>
    <w:rsid w:val="004C3EBA"/>
    <w:rsid w:val="004C3EFF"/>
    <w:rsid w:val="004C3F2B"/>
    <w:rsid w:val="004C3F2D"/>
    <w:rsid w:val="004C3FF7"/>
    <w:rsid w:val="004C3FFA"/>
    <w:rsid w:val="004C40BB"/>
    <w:rsid w:val="004C4194"/>
    <w:rsid w:val="004C41E0"/>
    <w:rsid w:val="004C41E1"/>
    <w:rsid w:val="004C423A"/>
    <w:rsid w:val="004C431A"/>
    <w:rsid w:val="004C4366"/>
    <w:rsid w:val="004C438F"/>
    <w:rsid w:val="004C43B4"/>
    <w:rsid w:val="004C43BB"/>
    <w:rsid w:val="004C4556"/>
    <w:rsid w:val="004C459E"/>
    <w:rsid w:val="004C45FC"/>
    <w:rsid w:val="004C466E"/>
    <w:rsid w:val="004C4712"/>
    <w:rsid w:val="004C4761"/>
    <w:rsid w:val="004C477A"/>
    <w:rsid w:val="004C487F"/>
    <w:rsid w:val="004C498F"/>
    <w:rsid w:val="004C4A05"/>
    <w:rsid w:val="004C4A5C"/>
    <w:rsid w:val="004C4AF8"/>
    <w:rsid w:val="004C4BD1"/>
    <w:rsid w:val="004C4C0B"/>
    <w:rsid w:val="004C4C7E"/>
    <w:rsid w:val="004C4CEE"/>
    <w:rsid w:val="004C4D09"/>
    <w:rsid w:val="004C4D0F"/>
    <w:rsid w:val="004C4D6E"/>
    <w:rsid w:val="004C4E5C"/>
    <w:rsid w:val="004C4EC4"/>
    <w:rsid w:val="004C4F6B"/>
    <w:rsid w:val="004C5035"/>
    <w:rsid w:val="004C50FC"/>
    <w:rsid w:val="004C511E"/>
    <w:rsid w:val="004C5163"/>
    <w:rsid w:val="004C5197"/>
    <w:rsid w:val="004C51AA"/>
    <w:rsid w:val="004C520D"/>
    <w:rsid w:val="004C5227"/>
    <w:rsid w:val="004C525C"/>
    <w:rsid w:val="004C5268"/>
    <w:rsid w:val="004C5272"/>
    <w:rsid w:val="004C52E7"/>
    <w:rsid w:val="004C5301"/>
    <w:rsid w:val="004C53AC"/>
    <w:rsid w:val="004C53CD"/>
    <w:rsid w:val="004C53EB"/>
    <w:rsid w:val="004C53EC"/>
    <w:rsid w:val="004C540D"/>
    <w:rsid w:val="004C54B3"/>
    <w:rsid w:val="004C54BB"/>
    <w:rsid w:val="004C555D"/>
    <w:rsid w:val="004C5639"/>
    <w:rsid w:val="004C5656"/>
    <w:rsid w:val="004C565F"/>
    <w:rsid w:val="004C56DC"/>
    <w:rsid w:val="004C56FC"/>
    <w:rsid w:val="004C5897"/>
    <w:rsid w:val="004C5983"/>
    <w:rsid w:val="004C5A64"/>
    <w:rsid w:val="004C5A8B"/>
    <w:rsid w:val="004C5B51"/>
    <w:rsid w:val="004C5B7D"/>
    <w:rsid w:val="004C5B9E"/>
    <w:rsid w:val="004C5C0F"/>
    <w:rsid w:val="004C5C2D"/>
    <w:rsid w:val="004C5C85"/>
    <w:rsid w:val="004C5C8D"/>
    <w:rsid w:val="004C5CE0"/>
    <w:rsid w:val="004C5DCE"/>
    <w:rsid w:val="004C5E70"/>
    <w:rsid w:val="004C5E7B"/>
    <w:rsid w:val="004C5F02"/>
    <w:rsid w:val="004C5F36"/>
    <w:rsid w:val="004C5F55"/>
    <w:rsid w:val="004C5F5B"/>
    <w:rsid w:val="004C6017"/>
    <w:rsid w:val="004C60D6"/>
    <w:rsid w:val="004C60FB"/>
    <w:rsid w:val="004C612E"/>
    <w:rsid w:val="004C6132"/>
    <w:rsid w:val="004C6186"/>
    <w:rsid w:val="004C61AD"/>
    <w:rsid w:val="004C61F8"/>
    <w:rsid w:val="004C621B"/>
    <w:rsid w:val="004C62B7"/>
    <w:rsid w:val="004C6316"/>
    <w:rsid w:val="004C6336"/>
    <w:rsid w:val="004C634F"/>
    <w:rsid w:val="004C6389"/>
    <w:rsid w:val="004C64DE"/>
    <w:rsid w:val="004C664E"/>
    <w:rsid w:val="004C66A3"/>
    <w:rsid w:val="004C66B5"/>
    <w:rsid w:val="004C675A"/>
    <w:rsid w:val="004C6787"/>
    <w:rsid w:val="004C681D"/>
    <w:rsid w:val="004C68BF"/>
    <w:rsid w:val="004C68E1"/>
    <w:rsid w:val="004C6931"/>
    <w:rsid w:val="004C6971"/>
    <w:rsid w:val="004C6985"/>
    <w:rsid w:val="004C69EF"/>
    <w:rsid w:val="004C6A7B"/>
    <w:rsid w:val="004C6A7F"/>
    <w:rsid w:val="004C6AE6"/>
    <w:rsid w:val="004C6BCA"/>
    <w:rsid w:val="004C6BE8"/>
    <w:rsid w:val="004C6BEE"/>
    <w:rsid w:val="004C6C0B"/>
    <w:rsid w:val="004C6C4F"/>
    <w:rsid w:val="004C6DD6"/>
    <w:rsid w:val="004C6E34"/>
    <w:rsid w:val="004C6E56"/>
    <w:rsid w:val="004C6E60"/>
    <w:rsid w:val="004C6F93"/>
    <w:rsid w:val="004C7149"/>
    <w:rsid w:val="004C7204"/>
    <w:rsid w:val="004C725F"/>
    <w:rsid w:val="004C735A"/>
    <w:rsid w:val="004C7361"/>
    <w:rsid w:val="004C7366"/>
    <w:rsid w:val="004C73A8"/>
    <w:rsid w:val="004C745E"/>
    <w:rsid w:val="004C752D"/>
    <w:rsid w:val="004C75B7"/>
    <w:rsid w:val="004C7615"/>
    <w:rsid w:val="004C765A"/>
    <w:rsid w:val="004C76E3"/>
    <w:rsid w:val="004C7848"/>
    <w:rsid w:val="004C7892"/>
    <w:rsid w:val="004C79B2"/>
    <w:rsid w:val="004C79C0"/>
    <w:rsid w:val="004C79EE"/>
    <w:rsid w:val="004C7A01"/>
    <w:rsid w:val="004C7ABC"/>
    <w:rsid w:val="004C7ADB"/>
    <w:rsid w:val="004C7B09"/>
    <w:rsid w:val="004C7B2F"/>
    <w:rsid w:val="004C7B8C"/>
    <w:rsid w:val="004C7C93"/>
    <w:rsid w:val="004C7CE7"/>
    <w:rsid w:val="004C7D6F"/>
    <w:rsid w:val="004C7DC3"/>
    <w:rsid w:val="004C7F47"/>
    <w:rsid w:val="004C7F53"/>
    <w:rsid w:val="004D001D"/>
    <w:rsid w:val="004D003F"/>
    <w:rsid w:val="004D005F"/>
    <w:rsid w:val="004D00B2"/>
    <w:rsid w:val="004D00CF"/>
    <w:rsid w:val="004D0183"/>
    <w:rsid w:val="004D01DC"/>
    <w:rsid w:val="004D0300"/>
    <w:rsid w:val="004D0301"/>
    <w:rsid w:val="004D03A9"/>
    <w:rsid w:val="004D03E9"/>
    <w:rsid w:val="004D0406"/>
    <w:rsid w:val="004D044B"/>
    <w:rsid w:val="004D0486"/>
    <w:rsid w:val="004D04A5"/>
    <w:rsid w:val="004D051A"/>
    <w:rsid w:val="004D0572"/>
    <w:rsid w:val="004D0573"/>
    <w:rsid w:val="004D05A0"/>
    <w:rsid w:val="004D0679"/>
    <w:rsid w:val="004D06EE"/>
    <w:rsid w:val="004D0758"/>
    <w:rsid w:val="004D076B"/>
    <w:rsid w:val="004D07C9"/>
    <w:rsid w:val="004D090C"/>
    <w:rsid w:val="004D095D"/>
    <w:rsid w:val="004D0977"/>
    <w:rsid w:val="004D0A36"/>
    <w:rsid w:val="004D0A3C"/>
    <w:rsid w:val="004D0A69"/>
    <w:rsid w:val="004D0C28"/>
    <w:rsid w:val="004D0CB7"/>
    <w:rsid w:val="004D0DED"/>
    <w:rsid w:val="004D0E1E"/>
    <w:rsid w:val="004D0E77"/>
    <w:rsid w:val="004D0E80"/>
    <w:rsid w:val="004D0EB0"/>
    <w:rsid w:val="004D0EF8"/>
    <w:rsid w:val="004D0FA8"/>
    <w:rsid w:val="004D0FE6"/>
    <w:rsid w:val="004D102C"/>
    <w:rsid w:val="004D104A"/>
    <w:rsid w:val="004D1084"/>
    <w:rsid w:val="004D116F"/>
    <w:rsid w:val="004D11BA"/>
    <w:rsid w:val="004D11EA"/>
    <w:rsid w:val="004D1208"/>
    <w:rsid w:val="004D123A"/>
    <w:rsid w:val="004D12A3"/>
    <w:rsid w:val="004D1350"/>
    <w:rsid w:val="004D13CA"/>
    <w:rsid w:val="004D13CC"/>
    <w:rsid w:val="004D143E"/>
    <w:rsid w:val="004D14C2"/>
    <w:rsid w:val="004D1509"/>
    <w:rsid w:val="004D15FB"/>
    <w:rsid w:val="004D168E"/>
    <w:rsid w:val="004D17D4"/>
    <w:rsid w:val="004D1818"/>
    <w:rsid w:val="004D1932"/>
    <w:rsid w:val="004D1968"/>
    <w:rsid w:val="004D1A0A"/>
    <w:rsid w:val="004D1A3E"/>
    <w:rsid w:val="004D1ABB"/>
    <w:rsid w:val="004D1B68"/>
    <w:rsid w:val="004D1B71"/>
    <w:rsid w:val="004D1C47"/>
    <w:rsid w:val="004D1D04"/>
    <w:rsid w:val="004D1D4F"/>
    <w:rsid w:val="004D1E0F"/>
    <w:rsid w:val="004D1E50"/>
    <w:rsid w:val="004D1EBA"/>
    <w:rsid w:val="004D1EC1"/>
    <w:rsid w:val="004D1F4C"/>
    <w:rsid w:val="004D201A"/>
    <w:rsid w:val="004D20F2"/>
    <w:rsid w:val="004D2140"/>
    <w:rsid w:val="004D2207"/>
    <w:rsid w:val="004D225D"/>
    <w:rsid w:val="004D2289"/>
    <w:rsid w:val="004D22AB"/>
    <w:rsid w:val="004D22EC"/>
    <w:rsid w:val="004D22F8"/>
    <w:rsid w:val="004D232C"/>
    <w:rsid w:val="004D23C6"/>
    <w:rsid w:val="004D242F"/>
    <w:rsid w:val="004D2432"/>
    <w:rsid w:val="004D2452"/>
    <w:rsid w:val="004D245F"/>
    <w:rsid w:val="004D24D8"/>
    <w:rsid w:val="004D2578"/>
    <w:rsid w:val="004D2598"/>
    <w:rsid w:val="004D25B9"/>
    <w:rsid w:val="004D25F2"/>
    <w:rsid w:val="004D260F"/>
    <w:rsid w:val="004D263D"/>
    <w:rsid w:val="004D26D0"/>
    <w:rsid w:val="004D272D"/>
    <w:rsid w:val="004D273B"/>
    <w:rsid w:val="004D2797"/>
    <w:rsid w:val="004D27CB"/>
    <w:rsid w:val="004D2852"/>
    <w:rsid w:val="004D28DA"/>
    <w:rsid w:val="004D28DB"/>
    <w:rsid w:val="004D2924"/>
    <w:rsid w:val="004D294C"/>
    <w:rsid w:val="004D2A3F"/>
    <w:rsid w:val="004D2B7F"/>
    <w:rsid w:val="004D2C66"/>
    <w:rsid w:val="004D2C71"/>
    <w:rsid w:val="004D2D4D"/>
    <w:rsid w:val="004D2E1D"/>
    <w:rsid w:val="004D2E2A"/>
    <w:rsid w:val="004D2E3C"/>
    <w:rsid w:val="004D2E93"/>
    <w:rsid w:val="004D2EBA"/>
    <w:rsid w:val="004D2EE0"/>
    <w:rsid w:val="004D2F3C"/>
    <w:rsid w:val="004D2F9B"/>
    <w:rsid w:val="004D2FDE"/>
    <w:rsid w:val="004D3030"/>
    <w:rsid w:val="004D3049"/>
    <w:rsid w:val="004D3074"/>
    <w:rsid w:val="004D308B"/>
    <w:rsid w:val="004D30C4"/>
    <w:rsid w:val="004D31F6"/>
    <w:rsid w:val="004D3203"/>
    <w:rsid w:val="004D3267"/>
    <w:rsid w:val="004D329E"/>
    <w:rsid w:val="004D33D7"/>
    <w:rsid w:val="004D34C8"/>
    <w:rsid w:val="004D353C"/>
    <w:rsid w:val="004D356E"/>
    <w:rsid w:val="004D35BB"/>
    <w:rsid w:val="004D35C6"/>
    <w:rsid w:val="004D3629"/>
    <w:rsid w:val="004D3630"/>
    <w:rsid w:val="004D363A"/>
    <w:rsid w:val="004D3674"/>
    <w:rsid w:val="004D36E0"/>
    <w:rsid w:val="004D36F3"/>
    <w:rsid w:val="004D37DA"/>
    <w:rsid w:val="004D37EF"/>
    <w:rsid w:val="004D380E"/>
    <w:rsid w:val="004D3889"/>
    <w:rsid w:val="004D3935"/>
    <w:rsid w:val="004D3A64"/>
    <w:rsid w:val="004D3ACD"/>
    <w:rsid w:val="004D3B89"/>
    <w:rsid w:val="004D3B9F"/>
    <w:rsid w:val="004D3C6D"/>
    <w:rsid w:val="004D3D84"/>
    <w:rsid w:val="004D3D90"/>
    <w:rsid w:val="004D3DE4"/>
    <w:rsid w:val="004D3E9A"/>
    <w:rsid w:val="004D3F41"/>
    <w:rsid w:val="004D3F96"/>
    <w:rsid w:val="004D3FDA"/>
    <w:rsid w:val="004D4037"/>
    <w:rsid w:val="004D410B"/>
    <w:rsid w:val="004D411C"/>
    <w:rsid w:val="004D4136"/>
    <w:rsid w:val="004D4160"/>
    <w:rsid w:val="004D41BD"/>
    <w:rsid w:val="004D41C5"/>
    <w:rsid w:val="004D4254"/>
    <w:rsid w:val="004D4267"/>
    <w:rsid w:val="004D4398"/>
    <w:rsid w:val="004D43E1"/>
    <w:rsid w:val="004D43EF"/>
    <w:rsid w:val="004D44A8"/>
    <w:rsid w:val="004D4586"/>
    <w:rsid w:val="004D45BE"/>
    <w:rsid w:val="004D45FD"/>
    <w:rsid w:val="004D46A4"/>
    <w:rsid w:val="004D4726"/>
    <w:rsid w:val="004D4745"/>
    <w:rsid w:val="004D47EA"/>
    <w:rsid w:val="004D47FD"/>
    <w:rsid w:val="004D48A4"/>
    <w:rsid w:val="004D4901"/>
    <w:rsid w:val="004D4A0B"/>
    <w:rsid w:val="004D4A2C"/>
    <w:rsid w:val="004D4BE9"/>
    <w:rsid w:val="004D4C85"/>
    <w:rsid w:val="004D4CBB"/>
    <w:rsid w:val="004D4CFF"/>
    <w:rsid w:val="004D4D0E"/>
    <w:rsid w:val="004D4DA4"/>
    <w:rsid w:val="004D4DC6"/>
    <w:rsid w:val="004D4DFA"/>
    <w:rsid w:val="004D4E59"/>
    <w:rsid w:val="004D4F11"/>
    <w:rsid w:val="004D4F25"/>
    <w:rsid w:val="004D4F4A"/>
    <w:rsid w:val="004D4FB0"/>
    <w:rsid w:val="004D4FE6"/>
    <w:rsid w:val="004D507D"/>
    <w:rsid w:val="004D50A1"/>
    <w:rsid w:val="004D50B9"/>
    <w:rsid w:val="004D50D3"/>
    <w:rsid w:val="004D5112"/>
    <w:rsid w:val="004D511A"/>
    <w:rsid w:val="004D5138"/>
    <w:rsid w:val="004D5166"/>
    <w:rsid w:val="004D5188"/>
    <w:rsid w:val="004D51EB"/>
    <w:rsid w:val="004D523D"/>
    <w:rsid w:val="004D5242"/>
    <w:rsid w:val="004D5261"/>
    <w:rsid w:val="004D5397"/>
    <w:rsid w:val="004D5399"/>
    <w:rsid w:val="004D53C2"/>
    <w:rsid w:val="004D53F7"/>
    <w:rsid w:val="004D5430"/>
    <w:rsid w:val="004D54E1"/>
    <w:rsid w:val="004D54E8"/>
    <w:rsid w:val="004D5507"/>
    <w:rsid w:val="004D5530"/>
    <w:rsid w:val="004D553F"/>
    <w:rsid w:val="004D555D"/>
    <w:rsid w:val="004D55B8"/>
    <w:rsid w:val="004D55C7"/>
    <w:rsid w:val="004D55FF"/>
    <w:rsid w:val="004D5655"/>
    <w:rsid w:val="004D56E4"/>
    <w:rsid w:val="004D574B"/>
    <w:rsid w:val="004D57DA"/>
    <w:rsid w:val="004D58DF"/>
    <w:rsid w:val="004D58E2"/>
    <w:rsid w:val="004D58EE"/>
    <w:rsid w:val="004D594B"/>
    <w:rsid w:val="004D5957"/>
    <w:rsid w:val="004D5961"/>
    <w:rsid w:val="004D59BA"/>
    <w:rsid w:val="004D59E9"/>
    <w:rsid w:val="004D5A09"/>
    <w:rsid w:val="004D5AA3"/>
    <w:rsid w:val="004D5AFB"/>
    <w:rsid w:val="004D5B6D"/>
    <w:rsid w:val="004D5B94"/>
    <w:rsid w:val="004D5C12"/>
    <w:rsid w:val="004D5C9B"/>
    <w:rsid w:val="004D5CB8"/>
    <w:rsid w:val="004D5CD3"/>
    <w:rsid w:val="004D5D02"/>
    <w:rsid w:val="004D5DD1"/>
    <w:rsid w:val="004D5E47"/>
    <w:rsid w:val="004D5E8F"/>
    <w:rsid w:val="004D5ED1"/>
    <w:rsid w:val="004D5F12"/>
    <w:rsid w:val="004D5F50"/>
    <w:rsid w:val="004D5FA1"/>
    <w:rsid w:val="004D6026"/>
    <w:rsid w:val="004D604D"/>
    <w:rsid w:val="004D6059"/>
    <w:rsid w:val="004D6132"/>
    <w:rsid w:val="004D6137"/>
    <w:rsid w:val="004D617A"/>
    <w:rsid w:val="004D61E9"/>
    <w:rsid w:val="004D62B9"/>
    <w:rsid w:val="004D6353"/>
    <w:rsid w:val="004D6383"/>
    <w:rsid w:val="004D63C0"/>
    <w:rsid w:val="004D646F"/>
    <w:rsid w:val="004D64B8"/>
    <w:rsid w:val="004D6529"/>
    <w:rsid w:val="004D653E"/>
    <w:rsid w:val="004D658F"/>
    <w:rsid w:val="004D66AF"/>
    <w:rsid w:val="004D66DC"/>
    <w:rsid w:val="004D675B"/>
    <w:rsid w:val="004D6771"/>
    <w:rsid w:val="004D6905"/>
    <w:rsid w:val="004D6B5E"/>
    <w:rsid w:val="004D6B69"/>
    <w:rsid w:val="004D6B6C"/>
    <w:rsid w:val="004D6BEE"/>
    <w:rsid w:val="004D6C24"/>
    <w:rsid w:val="004D6C49"/>
    <w:rsid w:val="004D6C56"/>
    <w:rsid w:val="004D6C60"/>
    <w:rsid w:val="004D6D00"/>
    <w:rsid w:val="004D6D3C"/>
    <w:rsid w:val="004D6E8D"/>
    <w:rsid w:val="004D6EC8"/>
    <w:rsid w:val="004D6F00"/>
    <w:rsid w:val="004D6F51"/>
    <w:rsid w:val="004D6F62"/>
    <w:rsid w:val="004D7012"/>
    <w:rsid w:val="004D7083"/>
    <w:rsid w:val="004D715A"/>
    <w:rsid w:val="004D7177"/>
    <w:rsid w:val="004D72D1"/>
    <w:rsid w:val="004D72E6"/>
    <w:rsid w:val="004D735A"/>
    <w:rsid w:val="004D735F"/>
    <w:rsid w:val="004D738E"/>
    <w:rsid w:val="004D73C7"/>
    <w:rsid w:val="004D7403"/>
    <w:rsid w:val="004D740D"/>
    <w:rsid w:val="004D756A"/>
    <w:rsid w:val="004D75D6"/>
    <w:rsid w:val="004D75DA"/>
    <w:rsid w:val="004D76FF"/>
    <w:rsid w:val="004D7774"/>
    <w:rsid w:val="004D781A"/>
    <w:rsid w:val="004D78F5"/>
    <w:rsid w:val="004D7907"/>
    <w:rsid w:val="004D7A3C"/>
    <w:rsid w:val="004D7A8D"/>
    <w:rsid w:val="004D7B98"/>
    <w:rsid w:val="004D7BE7"/>
    <w:rsid w:val="004D7CF1"/>
    <w:rsid w:val="004D7D10"/>
    <w:rsid w:val="004D7D6F"/>
    <w:rsid w:val="004D7DCD"/>
    <w:rsid w:val="004D7ECA"/>
    <w:rsid w:val="004D7F49"/>
    <w:rsid w:val="004D7F8B"/>
    <w:rsid w:val="004D7F96"/>
    <w:rsid w:val="004E00CB"/>
    <w:rsid w:val="004E01B1"/>
    <w:rsid w:val="004E01E2"/>
    <w:rsid w:val="004E02C6"/>
    <w:rsid w:val="004E02F6"/>
    <w:rsid w:val="004E0314"/>
    <w:rsid w:val="004E03ED"/>
    <w:rsid w:val="004E03EE"/>
    <w:rsid w:val="004E040E"/>
    <w:rsid w:val="004E04A8"/>
    <w:rsid w:val="004E066B"/>
    <w:rsid w:val="004E069C"/>
    <w:rsid w:val="004E06C6"/>
    <w:rsid w:val="004E0740"/>
    <w:rsid w:val="004E0764"/>
    <w:rsid w:val="004E0824"/>
    <w:rsid w:val="004E0872"/>
    <w:rsid w:val="004E08B3"/>
    <w:rsid w:val="004E0994"/>
    <w:rsid w:val="004E09F6"/>
    <w:rsid w:val="004E0A1F"/>
    <w:rsid w:val="004E0A28"/>
    <w:rsid w:val="004E0ACD"/>
    <w:rsid w:val="004E0B41"/>
    <w:rsid w:val="004E0D3D"/>
    <w:rsid w:val="004E0D61"/>
    <w:rsid w:val="004E0D99"/>
    <w:rsid w:val="004E0E2B"/>
    <w:rsid w:val="004E0F53"/>
    <w:rsid w:val="004E1033"/>
    <w:rsid w:val="004E108D"/>
    <w:rsid w:val="004E11BE"/>
    <w:rsid w:val="004E1253"/>
    <w:rsid w:val="004E133E"/>
    <w:rsid w:val="004E1347"/>
    <w:rsid w:val="004E135E"/>
    <w:rsid w:val="004E1477"/>
    <w:rsid w:val="004E147D"/>
    <w:rsid w:val="004E1480"/>
    <w:rsid w:val="004E14B2"/>
    <w:rsid w:val="004E14DF"/>
    <w:rsid w:val="004E159A"/>
    <w:rsid w:val="004E16DA"/>
    <w:rsid w:val="004E1759"/>
    <w:rsid w:val="004E181F"/>
    <w:rsid w:val="004E18F5"/>
    <w:rsid w:val="004E1900"/>
    <w:rsid w:val="004E1908"/>
    <w:rsid w:val="004E1968"/>
    <w:rsid w:val="004E1972"/>
    <w:rsid w:val="004E19C6"/>
    <w:rsid w:val="004E1A09"/>
    <w:rsid w:val="004E1A23"/>
    <w:rsid w:val="004E1A3A"/>
    <w:rsid w:val="004E1A44"/>
    <w:rsid w:val="004E1B1B"/>
    <w:rsid w:val="004E1B25"/>
    <w:rsid w:val="004E1B2E"/>
    <w:rsid w:val="004E1B6A"/>
    <w:rsid w:val="004E1BCE"/>
    <w:rsid w:val="004E1D63"/>
    <w:rsid w:val="004E1DFB"/>
    <w:rsid w:val="004E1ED0"/>
    <w:rsid w:val="004E1F01"/>
    <w:rsid w:val="004E1F5C"/>
    <w:rsid w:val="004E205A"/>
    <w:rsid w:val="004E2149"/>
    <w:rsid w:val="004E2203"/>
    <w:rsid w:val="004E2264"/>
    <w:rsid w:val="004E2266"/>
    <w:rsid w:val="004E2459"/>
    <w:rsid w:val="004E24DE"/>
    <w:rsid w:val="004E24F8"/>
    <w:rsid w:val="004E2523"/>
    <w:rsid w:val="004E2526"/>
    <w:rsid w:val="004E2549"/>
    <w:rsid w:val="004E2571"/>
    <w:rsid w:val="004E2598"/>
    <w:rsid w:val="004E25B9"/>
    <w:rsid w:val="004E264D"/>
    <w:rsid w:val="004E2702"/>
    <w:rsid w:val="004E2703"/>
    <w:rsid w:val="004E27A1"/>
    <w:rsid w:val="004E2862"/>
    <w:rsid w:val="004E28E4"/>
    <w:rsid w:val="004E29A4"/>
    <w:rsid w:val="004E29F7"/>
    <w:rsid w:val="004E2A19"/>
    <w:rsid w:val="004E2A80"/>
    <w:rsid w:val="004E2AAF"/>
    <w:rsid w:val="004E2AF2"/>
    <w:rsid w:val="004E2AF3"/>
    <w:rsid w:val="004E2B7A"/>
    <w:rsid w:val="004E2C15"/>
    <w:rsid w:val="004E2C23"/>
    <w:rsid w:val="004E2C48"/>
    <w:rsid w:val="004E2C84"/>
    <w:rsid w:val="004E2CAB"/>
    <w:rsid w:val="004E2D05"/>
    <w:rsid w:val="004E2D36"/>
    <w:rsid w:val="004E2D5E"/>
    <w:rsid w:val="004E2D63"/>
    <w:rsid w:val="004E2DCB"/>
    <w:rsid w:val="004E2E12"/>
    <w:rsid w:val="004E2E92"/>
    <w:rsid w:val="004E2E9F"/>
    <w:rsid w:val="004E2EA8"/>
    <w:rsid w:val="004E2EB5"/>
    <w:rsid w:val="004E2F3B"/>
    <w:rsid w:val="004E2F57"/>
    <w:rsid w:val="004E2FDD"/>
    <w:rsid w:val="004E30F3"/>
    <w:rsid w:val="004E3201"/>
    <w:rsid w:val="004E3213"/>
    <w:rsid w:val="004E324B"/>
    <w:rsid w:val="004E324F"/>
    <w:rsid w:val="004E3289"/>
    <w:rsid w:val="004E32F0"/>
    <w:rsid w:val="004E3346"/>
    <w:rsid w:val="004E33E3"/>
    <w:rsid w:val="004E3564"/>
    <w:rsid w:val="004E3583"/>
    <w:rsid w:val="004E35FF"/>
    <w:rsid w:val="004E3716"/>
    <w:rsid w:val="004E384E"/>
    <w:rsid w:val="004E3880"/>
    <w:rsid w:val="004E38C7"/>
    <w:rsid w:val="004E39EB"/>
    <w:rsid w:val="004E3A5A"/>
    <w:rsid w:val="004E3A67"/>
    <w:rsid w:val="004E3B57"/>
    <w:rsid w:val="004E3BFA"/>
    <w:rsid w:val="004E3CA7"/>
    <w:rsid w:val="004E3CAD"/>
    <w:rsid w:val="004E3D64"/>
    <w:rsid w:val="004E3D7B"/>
    <w:rsid w:val="004E3DD8"/>
    <w:rsid w:val="004E3E3B"/>
    <w:rsid w:val="004E3EEF"/>
    <w:rsid w:val="004E3EF6"/>
    <w:rsid w:val="004E3F9E"/>
    <w:rsid w:val="004E4101"/>
    <w:rsid w:val="004E4172"/>
    <w:rsid w:val="004E4186"/>
    <w:rsid w:val="004E422C"/>
    <w:rsid w:val="004E4242"/>
    <w:rsid w:val="004E424F"/>
    <w:rsid w:val="004E427D"/>
    <w:rsid w:val="004E4362"/>
    <w:rsid w:val="004E43BE"/>
    <w:rsid w:val="004E43D6"/>
    <w:rsid w:val="004E43ED"/>
    <w:rsid w:val="004E4445"/>
    <w:rsid w:val="004E450D"/>
    <w:rsid w:val="004E458E"/>
    <w:rsid w:val="004E467E"/>
    <w:rsid w:val="004E46C6"/>
    <w:rsid w:val="004E477D"/>
    <w:rsid w:val="004E47BB"/>
    <w:rsid w:val="004E47C8"/>
    <w:rsid w:val="004E47F9"/>
    <w:rsid w:val="004E482F"/>
    <w:rsid w:val="004E483D"/>
    <w:rsid w:val="004E48B8"/>
    <w:rsid w:val="004E495C"/>
    <w:rsid w:val="004E49DA"/>
    <w:rsid w:val="004E4A06"/>
    <w:rsid w:val="004E4A11"/>
    <w:rsid w:val="004E4A4E"/>
    <w:rsid w:val="004E4A56"/>
    <w:rsid w:val="004E4A84"/>
    <w:rsid w:val="004E4ACA"/>
    <w:rsid w:val="004E4B1B"/>
    <w:rsid w:val="004E4B3C"/>
    <w:rsid w:val="004E4B6D"/>
    <w:rsid w:val="004E4BB5"/>
    <w:rsid w:val="004E4D0B"/>
    <w:rsid w:val="004E4D14"/>
    <w:rsid w:val="004E4DD0"/>
    <w:rsid w:val="004E4E6A"/>
    <w:rsid w:val="004E4E88"/>
    <w:rsid w:val="004E4EB3"/>
    <w:rsid w:val="004E50FB"/>
    <w:rsid w:val="004E5214"/>
    <w:rsid w:val="004E538E"/>
    <w:rsid w:val="004E53EF"/>
    <w:rsid w:val="004E53F4"/>
    <w:rsid w:val="004E541F"/>
    <w:rsid w:val="004E5441"/>
    <w:rsid w:val="004E54F6"/>
    <w:rsid w:val="004E551A"/>
    <w:rsid w:val="004E557B"/>
    <w:rsid w:val="004E55AF"/>
    <w:rsid w:val="004E55FF"/>
    <w:rsid w:val="004E5627"/>
    <w:rsid w:val="004E5709"/>
    <w:rsid w:val="004E571A"/>
    <w:rsid w:val="004E5740"/>
    <w:rsid w:val="004E5745"/>
    <w:rsid w:val="004E5755"/>
    <w:rsid w:val="004E5773"/>
    <w:rsid w:val="004E58F7"/>
    <w:rsid w:val="004E59B3"/>
    <w:rsid w:val="004E59B5"/>
    <w:rsid w:val="004E59FF"/>
    <w:rsid w:val="004E5BAF"/>
    <w:rsid w:val="004E5C40"/>
    <w:rsid w:val="004E5C76"/>
    <w:rsid w:val="004E5E8F"/>
    <w:rsid w:val="004E5EF7"/>
    <w:rsid w:val="004E5F49"/>
    <w:rsid w:val="004E6038"/>
    <w:rsid w:val="004E6071"/>
    <w:rsid w:val="004E608A"/>
    <w:rsid w:val="004E608D"/>
    <w:rsid w:val="004E60BC"/>
    <w:rsid w:val="004E612C"/>
    <w:rsid w:val="004E61C3"/>
    <w:rsid w:val="004E61FA"/>
    <w:rsid w:val="004E6207"/>
    <w:rsid w:val="004E6264"/>
    <w:rsid w:val="004E63BE"/>
    <w:rsid w:val="004E63C5"/>
    <w:rsid w:val="004E63DA"/>
    <w:rsid w:val="004E63DB"/>
    <w:rsid w:val="004E6406"/>
    <w:rsid w:val="004E6434"/>
    <w:rsid w:val="004E643B"/>
    <w:rsid w:val="004E64DB"/>
    <w:rsid w:val="004E654D"/>
    <w:rsid w:val="004E6581"/>
    <w:rsid w:val="004E664B"/>
    <w:rsid w:val="004E6658"/>
    <w:rsid w:val="004E66A4"/>
    <w:rsid w:val="004E66AC"/>
    <w:rsid w:val="004E66D1"/>
    <w:rsid w:val="004E6716"/>
    <w:rsid w:val="004E675C"/>
    <w:rsid w:val="004E6766"/>
    <w:rsid w:val="004E69B3"/>
    <w:rsid w:val="004E6A1A"/>
    <w:rsid w:val="004E6B23"/>
    <w:rsid w:val="004E6B69"/>
    <w:rsid w:val="004E6BEE"/>
    <w:rsid w:val="004E6C63"/>
    <w:rsid w:val="004E6CF9"/>
    <w:rsid w:val="004E6D27"/>
    <w:rsid w:val="004E6D66"/>
    <w:rsid w:val="004E6D71"/>
    <w:rsid w:val="004E6D77"/>
    <w:rsid w:val="004E6DA6"/>
    <w:rsid w:val="004E6E9A"/>
    <w:rsid w:val="004E6F93"/>
    <w:rsid w:val="004E6FBD"/>
    <w:rsid w:val="004E722A"/>
    <w:rsid w:val="004E7415"/>
    <w:rsid w:val="004E7417"/>
    <w:rsid w:val="004E7436"/>
    <w:rsid w:val="004E745C"/>
    <w:rsid w:val="004E74B3"/>
    <w:rsid w:val="004E74B4"/>
    <w:rsid w:val="004E74B8"/>
    <w:rsid w:val="004E7605"/>
    <w:rsid w:val="004E7641"/>
    <w:rsid w:val="004E7650"/>
    <w:rsid w:val="004E76F4"/>
    <w:rsid w:val="004E7834"/>
    <w:rsid w:val="004E790E"/>
    <w:rsid w:val="004E7930"/>
    <w:rsid w:val="004E797A"/>
    <w:rsid w:val="004E79A2"/>
    <w:rsid w:val="004E79B9"/>
    <w:rsid w:val="004E79D7"/>
    <w:rsid w:val="004E7A81"/>
    <w:rsid w:val="004E7AAD"/>
    <w:rsid w:val="004E7C16"/>
    <w:rsid w:val="004E7C63"/>
    <w:rsid w:val="004E7CF7"/>
    <w:rsid w:val="004E7CFA"/>
    <w:rsid w:val="004E7DAE"/>
    <w:rsid w:val="004E7E24"/>
    <w:rsid w:val="004E7E6C"/>
    <w:rsid w:val="004E7E7B"/>
    <w:rsid w:val="004E7E81"/>
    <w:rsid w:val="004E7E86"/>
    <w:rsid w:val="004E7EB4"/>
    <w:rsid w:val="004E7F52"/>
    <w:rsid w:val="004E7F56"/>
    <w:rsid w:val="004E7F59"/>
    <w:rsid w:val="004E7F6E"/>
    <w:rsid w:val="004E7F7B"/>
    <w:rsid w:val="004E7FD3"/>
    <w:rsid w:val="004E7FF1"/>
    <w:rsid w:val="004F000E"/>
    <w:rsid w:val="004F005C"/>
    <w:rsid w:val="004F00A0"/>
    <w:rsid w:val="004F00FB"/>
    <w:rsid w:val="004F0121"/>
    <w:rsid w:val="004F016B"/>
    <w:rsid w:val="004F01B8"/>
    <w:rsid w:val="004F0286"/>
    <w:rsid w:val="004F0293"/>
    <w:rsid w:val="004F02D7"/>
    <w:rsid w:val="004F03AA"/>
    <w:rsid w:val="004F0467"/>
    <w:rsid w:val="004F046B"/>
    <w:rsid w:val="004F058A"/>
    <w:rsid w:val="004F05E4"/>
    <w:rsid w:val="004F060A"/>
    <w:rsid w:val="004F0652"/>
    <w:rsid w:val="004F06AF"/>
    <w:rsid w:val="004F0734"/>
    <w:rsid w:val="004F077F"/>
    <w:rsid w:val="004F07AB"/>
    <w:rsid w:val="004F0812"/>
    <w:rsid w:val="004F08AB"/>
    <w:rsid w:val="004F091F"/>
    <w:rsid w:val="004F0933"/>
    <w:rsid w:val="004F0A58"/>
    <w:rsid w:val="004F0DC1"/>
    <w:rsid w:val="004F0DC5"/>
    <w:rsid w:val="004F0DE8"/>
    <w:rsid w:val="004F0DFE"/>
    <w:rsid w:val="004F0E99"/>
    <w:rsid w:val="004F0F9B"/>
    <w:rsid w:val="004F0FA1"/>
    <w:rsid w:val="004F1159"/>
    <w:rsid w:val="004F119B"/>
    <w:rsid w:val="004F11DA"/>
    <w:rsid w:val="004F1296"/>
    <w:rsid w:val="004F12B2"/>
    <w:rsid w:val="004F12C8"/>
    <w:rsid w:val="004F1329"/>
    <w:rsid w:val="004F1330"/>
    <w:rsid w:val="004F1442"/>
    <w:rsid w:val="004F1448"/>
    <w:rsid w:val="004F1463"/>
    <w:rsid w:val="004F1468"/>
    <w:rsid w:val="004F14B2"/>
    <w:rsid w:val="004F14D5"/>
    <w:rsid w:val="004F14F1"/>
    <w:rsid w:val="004F15B2"/>
    <w:rsid w:val="004F15EB"/>
    <w:rsid w:val="004F1629"/>
    <w:rsid w:val="004F1640"/>
    <w:rsid w:val="004F164E"/>
    <w:rsid w:val="004F1696"/>
    <w:rsid w:val="004F16D8"/>
    <w:rsid w:val="004F17B2"/>
    <w:rsid w:val="004F17EA"/>
    <w:rsid w:val="004F183A"/>
    <w:rsid w:val="004F1902"/>
    <w:rsid w:val="004F193A"/>
    <w:rsid w:val="004F19BD"/>
    <w:rsid w:val="004F1A21"/>
    <w:rsid w:val="004F1A64"/>
    <w:rsid w:val="004F1AAC"/>
    <w:rsid w:val="004F1B09"/>
    <w:rsid w:val="004F1B8F"/>
    <w:rsid w:val="004F1C46"/>
    <w:rsid w:val="004F1D17"/>
    <w:rsid w:val="004F1DF2"/>
    <w:rsid w:val="004F1F33"/>
    <w:rsid w:val="004F1F4E"/>
    <w:rsid w:val="004F1FE0"/>
    <w:rsid w:val="004F200A"/>
    <w:rsid w:val="004F2016"/>
    <w:rsid w:val="004F2092"/>
    <w:rsid w:val="004F20B0"/>
    <w:rsid w:val="004F2112"/>
    <w:rsid w:val="004F211C"/>
    <w:rsid w:val="004F2180"/>
    <w:rsid w:val="004F21C5"/>
    <w:rsid w:val="004F2213"/>
    <w:rsid w:val="004F2258"/>
    <w:rsid w:val="004F2337"/>
    <w:rsid w:val="004F237A"/>
    <w:rsid w:val="004F238B"/>
    <w:rsid w:val="004F23D2"/>
    <w:rsid w:val="004F2481"/>
    <w:rsid w:val="004F25AC"/>
    <w:rsid w:val="004F2691"/>
    <w:rsid w:val="004F2809"/>
    <w:rsid w:val="004F2813"/>
    <w:rsid w:val="004F2896"/>
    <w:rsid w:val="004F29D5"/>
    <w:rsid w:val="004F29D8"/>
    <w:rsid w:val="004F29F3"/>
    <w:rsid w:val="004F2A30"/>
    <w:rsid w:val="004F2A3B"/>
    <w:rsid w:val="004F2AE4"/>
    <w:rsid w:val="004F2B3E"/>
    <w:rsid w:val="004F2C2C"/>
    <w:rsid w:val="004F2C37"/>
    <w:rsid w:val="004F2C9A"/>
    <w:rsid w:val="004F2D11"/>
    <w:rsid w:val="004F2D4A"/>
    <w:rsid w:val="004F2D5D"/>
    <w:rsid w:val="004F2E4C"/>
    <w:rsid w:val="004F2E8D"/>
    <w:rsid w:val="004F30CD"/>
    <w:rsid w:val="004F3124"/>
    <w:rsid w:val="004F3185"/>
    <w:rsid w:val="004F3195"/>
    <w:rsid w:val="004F3196"/>
    <w:rsid w:val="004F31F0"/>
    <w:rsid w:val="004F3389"/>
    <w:rsid w:val="004F3394"/>
    <w:rsid w:val="004F33A3"/>
    <w:rsid w:val="004F33F2"/>
    <w:rsid w:val="004F345A"/>
    <w:rsid w:val="004F3492"/>
    <w:rsid w:val="004F34BD"/>
    <w:rsid w:val="004F350A"/>
    <w:rsid w:val="004F3573"/>
    <w:rsid w:val="004F3598"/>
    <w:rsid w:val="004F3645"/>
    <w:rsid w:val="004F36B9"/>
    <w:rsid w:val="004F36BE"/>
    <w:rsid w:val="004F37AE"/>
    <w:rsid w:val="004F37FE"/>
    <w:rsid w:val="004F3851"/>
    <w:rsid w:val="004F3A18"/>
    <w:rsid w:val="004F3A3F"/>
    <w:rsid w:val="004F3A4D"/>
    <w:rsid w:val="004F3A60"/>
    <w:rsid w:val="004F3A87"/>
    <w:rsid w:val="004F3ADA"/>
    <w:rsid w:val="004F3B2F"/>
    <w:rsid w:val="004F3BDE"/>
    <w:rsid w:val="004F3BF9"/>
    <w:rsid w:val="004F3D87"/>
    <w:rsid w:val="004F3DF6"/>
    <w:rsid w:val="004F3E04"/>
    <w:rsid w:val="004F3E9D"/>
    <w:rsid w:val="004F3EC2"/>
    <w:rsid w:val="004F3F08"/>
    <w:rsid w:val="004F3FC3"/>
    <w:rsid w:val="004F4031"/>
    <w:rsid w:val="004F41A7"/>
    <w:rsid w:val="004F41C2"/>
    <w:rsid w:val="004F41CF"/>
    <w:rsid w:val="004F41D6"/>
    <w:rsid w:val="004F41E0"/>
    <w:rsid w:val="004F41FA"/>
    <w:rsid w:val="004F42BC"/>
    <w:rsid w:val="004F42C4"/>
    <w:rsid w:val="004F42D8"/>
    <w:rsid w:val="004F42F9"/>
    <w:rsid w:val="004F4316"/>
    <w:rsid w:val="004F435E"/>
    <w:rsid w:val="004F44BB"/>
    <w:rsid w:val="004F44D2"/>
    <w:rsid w:val="004F452D"/>
    <w:rsid w:val="004F455F"/>
    <w:rsid w:val="004F45C6"/>
    <w:rsid w:val="004F4643"/>
    <w:rsid w:val="004F4718"/>
    <w:rsid w:val="004F4830"/>
    <w:rsid w:val="004F487A"/>
    <w:rsid w:val="004F4950"/>
    <w:rsid w:val="004F4A06"/>
    <w:rsid w:val="004F4A2B"/>
    <w:rsid w:val="004F4A8F"/>
    <w:rsid w:val="004F4ADB"/>
    <w:rsid w:val="004F4AFC"/>
    <w:rsid w:val="004F4B71"/>
    <w:rsid w:val="004F4B90"/>
    <w:rsid w:val="004F4C09"/>
    <w:rsid w:val="004F4C33"/>
    <w:rsid w:val="004F4CE8"/>
    <w:rsid w:val="004F4D32"/>
    <w:rsid w:val="004F4DFA"/>
    <w:rsid w:val="004F4E33"/>
    <w:rsid w:val="004F4E8B"/>
    <w:rsid w:val="004F4EB9"/>
    <w:rsid w:val="004F4F9B"/>
    <w:rsid w:val="004F4FE6"/>
    <w:rsid w:val="004F502C"/>
    <w:rsid w:val="004F50E3"/>
    <w:rsid w:val="004F51A7"/>
    <w:rsid w:val="004F5201"/>
    <w:rsid w:val="004F5251"/>
    <w:rsid w:val="004F52DA"/>
    <w:rsid w:val="004F5309"/>
    <w:rsid w:val="004F5325"/>
    <w:rsid w:val="004F5358"/>
    <w:rsid w:val="004F539A"/>
    <w:rsid w:val="004F53A2"/>
    <w:rsid w:val="004F545A"/>
    <w:rsid w:val="004F5460"/>
    <w:rsid w:val="004F5498"/>
    <w:rsid w:val="004F5647"/>
    <w:rsid w:val="004F5653"/>
    <w:rsid w:val="004F566B"/>
    <w:rsid w:val="004F56C1"/>
    <w:rsid w:val="004F571F"/>
    <w:rsid w:val="004F5836"/>
    <w:rsid w:val="004F59A1"/>
    <w:rsid w:val="004F5A71"/>
    <w:rsid w:val="004F5ACB"/>
    <w:rsid w:val="004F5AF4"/>
    <w:rsid w:val="004F5B2A"/>
    <w:rsid w:val="004F5B34"/>
    <w:rsid w:val="004F5C15"/>
    <w:rsid w:val="004F5C30"/>
    <w:rsid w:val="004F5CA6"/>
    <w:rsid w:val="004F5DD3"/>
    <w:rsid w:val="004F5E2C"/>
    <w:rsid w:val="004F5E94"/>
    <w:rsid w:val="004F5EF4"/>
    <w:rsid w:val="004F5F72"/>
    <w:rsid w:val="004F5FE3"/>
    <w:rsid w:val="004F5FE7"/>
    <w:rsid w:val="004F6006"/>
    <w:rsid w:val="004F60EB"/>
    <w:rsid w:val="004F6101"/>
    <w:rsid w:val="004F611B"/>
    <w:rsid w:val="004F624B"/>
    <w:rsid w:val="004F6268"/>
    <w:rsid w:val="004F6280"/>
    <w:rsid w:val="004F628C"/>
    <w:rsid w:val="004F62B3"/>
    <w:rsid w:val="004F62CE"/>
    <w:rsid w:val="004F62FA"/>
    <w:rsid w:val="004F6317"/>
    <w:rsid w:val="004F6351"/>
    <w:rsid w:val="004F6380"/>
    <w:rsid w:val="004F6464"/>
    <w:rsid w:val="004F64B7"/>
    <w:rsid w:val="004F64F5"/>
    <w:rsid w:val="004F6535"/>
    <w:rsid w:val="004F65B6"/>
    <w:rsid w:val="004F65D2"/>
    <w:rsid w:val="004F670D"/>
    <w:rsid w:val="004F67E5"/>
    <w:rsid w:val="004F67EC"/>
    <w:rsid w:val="004F680B"/>
    <w:rsid w:val="004F6836"/>
    <w:rsid w:val="004F6852"/>
    <w:rsid w:val="004F6860"/>
    <w:rsid w:val="004F6870"/>
    <w:rsid w:val="004F692B"/>
    <w:rsid w:val="004F69A8"/>
    <w:rsid w:val="004F69BA"/>
    <w:rsid w:val="004F6AA6"/>
    <w:rsid w:val="004F6AB3"/>
    <w:rsid w:val="004F6AB8"/>
    <w:rsid w:val="004F6B37"/>
    <w:rsid w:val="004F6B68"/>
    <w:rsid w:val="004F6BF8"/>
    <w:rsid w:val="004F6C03"/>
    <w:rsid w:val="004F6CC5"/>
    <w:rsid w:val="004F6EF2"/>
    <w:rsid w:val="004F6FE4"/>
    <w:rsid w:val="004F7058"/>
    <w:rsid w:val="004F7100"/>
    <w:rsid w:val="004F7125"/>
    <w:rsid w:val="004F7145"/>
    <w:rsid w:val="004F7147"/>
    <w:rsid w:val="004F714E"/>
    <w:rsid w:val="004F7211"/>
    <w:rsid w:val="004F7213"/>
    <w:rsid w:val="004F7219"/>
    <w:rsid w:val="004F7226"/>
    <w:rsid w:val="004F72D2"/>
    <w:rsid w:val="004F72FE"/>
    <w:rsid w:val="004F73D2"/>
    <w:rsid w:val="004F73E6"/>
    <w:rsid w:val="004F7404"/>
    <w:rsid w:val="004F740F"/>
    <w:rsid w:val="004F7410"/>
    <w:rsid w:val="004F743F"/>
    <w:rsid w:val="004F7498"/>
    <w:rsid w:val="004F74CE"/>
    <w:rsid w:val="004F74FF"/>
    <w:rsid w:val="004F7513"/>
    <w:rsid w:val="004F751A"/>
    <w:rsid w:val="004F75DF"/>
    <w:rsid w:val="004F75FF"/>
    <w:rsid w:val="004F764A"/>
    <w:rsid w:val="004F7766"/>
    <w:rsid w:val="004F7849"/>
    <w:rsid w:val="004F78E0"/>
    <w:rsid w:val="004F790A"/>
    <w:rsid w:val="004F795A"/>
    <w:rsid w:val="004F7A68"/>
    <w:rsid w:val="004F7B0B"/>
    <w:rsid w:val="004F7B19"/>
    <w:rsid w:val="004F7BF5"/>
    <w:rsid w:val="004F7C44"/>
    <w:rsid w:val="004F7CBE"/>
    <w:rsid w:val="004F7E5B"/>
    <w:rsid w:val="004F7F7D"/>
    <w:rsid w:val="00500026"/>
    <w:rsid w:val="0050004B"/>
    <w:rsid w:val="00500085"/>
    <w:rsid w:val="005000AD"/>
    <w:rsid w:val="005000C4"/>
    <w:rsid w:val="005000F6"/>
    <w:rsid w:val="00500101"/>
    <w:rsid w:val="005001F7"/>
    <w:rsid w:val="00500245"/>
    <w:rsid w:val="00500267"/>
    <w:rsid w:val="00500332"/>
    <w:rsid w:val="00500362"/>
    <w:rsid w:val="005003C7"/>
    <w:rsid w:val="005003E0"/>
    <w:rsid w:val="00500428"/>
    <w:rsid w:val="005004A6"/>
    <w:rsid w:val="005004ED"/>
    <w:rsid w:val="0050057C"/>
    <w:rsid w:val="00500667"/>
    <w:rsid w:val="00500688"/>
    <w:rsid w:val="0050073B"/>
    <w:rsid w:val="005007E0"/>
    <w:rsid w:val="005007E3"/>
    <w:rsid w:val="0050081C"/>
    <w:rsid w:val="0050089C"/>
    <w:rsid w:val="005008A2"/>
    <w:rsid w:val="0050091E"/>
    <w:rsid w:val="00500951"/>
    <w:rsid w:val="005009D4"/>
    <w:rsid w:val="00500A7F"/>
    <w:rsid w:val="00500A82"/>
    <w:rsid w:val="00500AD2"/>
    <w:rsid w:val="00500C27"/>
    <w:rsid w:val="00500CC8"/>
    <w:rsid w:val="00500D5A"/>
    <w:rsid w:val="00500DFF"/>
    <w:rsid w:val="00500E11"/>
    <w:rsid w:val="00500EBB"/>
    <w:rsid w:val="00500EC0"/>
    <w:rsid w:val="00500F33"/>
    <w:rsid w:val="00500F97"/>
    <w:rsid w:val="00500F9E"/>
    <w:rsid w:val="00500FE4"/>
    <w:rsid w:val="00501000"/>
    <w:rsid w:val="00501024"/>
    <w:rsid w:val="00501071"/>
    <w:rsid w:val="005011EE"/>
    <w:rsid w:val="00501215"/>
    <w:rsid w:val="00501295"/>
    <w:rsid w:val="0050144B"/>
    <w:rsid w:val="005014B9"/>
    <w:rsid w:val="00501576"/>
    <w:rsid w:val="0050164C"/>
    <w:rsid w:val="005016A5"/>
    <w:rsid w:val="005016AA"/>
    <w:rsid w:val="005016CF"/>
    <w:rsid w:val="00501717"/>
    <w:rsid w:val="005017C5"/>
    <w:rsid w:val="00501886"/>
    <w:rsid w:val="005018DC"/>
    <w:rsid w:val="00501910"/>
    <w:rsid w:val="00501BF3"/>
    <w:rsid w:val="00501BF6"/>
    <w:rsid w:val="00501C26"/>
    <w:rsid w:val="00501C5F"/>
    <w:rsid w:val="00501C6B"/>
    <w:rsid w:val="00501CE3"/>
    <w:rsid w:val="00501D44"/>
    <w:rsid w:val="00501D7A"/>
    <w:rsid w:val="00501D97"/>
    <w:rsid w:val="00501DE9"/>
    <w:rsid w:val="00501E6B"/>
    <w:rsid w:val="00501E73"/>
    <w:rsid w:val="00501EE8"/>
    <w:rsid w:val="00501F83"/>
    <w:rsid w:val="00501F87"/>
    <w:rsid w:val="00501FEA"/>
    <w:rsid w:val="0050207D"/>
    <w:rsid w:val="005020DC"/>
    <w:rsid w:val="005021A3"/>
    <w:rsid w:val="0050239C"/>
    <w:rsid w:val="00502497"/>
    <w:rsid w:val="005024B6"/>
    <w:rsid w:val="00502534"/>
    <w:rsid w:val="00502582"/>
    <w:rsid w:val="005025BF"/>
    <w:rsid w:val="0050260B"/>
    <w:rsid w:val="0050262E"/>
    <w:rsid w:val="0050265B"/>
    <w:rsid w:val="00502670"/>
    <w:rsid w:val="00502676"/>
    <w:rsid w:val="005026A3"/>
    <w:rsid w:val="005026F7"/>
    <w:rsid w:val="00502743"/>
    <w:rsid w:val="0050276D"/>
    <w:rsid w:val="0050278B"/>
    <w:rsid w:val="00502796"/>
    <w:rsid w:val="0050281B"/>
    <w:rsid w:val="005028CF"/>
    <w:rsid w:val="0050296F"/>
    <w:rsid w:val="00502A12"/>
    <w:rsid w:val="00502A16"/>
    <w:rsid w:val="00502A4C"/>
    <w:rsid w:val="00502A95"/>
    <w:rsid w:val="00502AD2"/>
    <w:rsid w:val="00502D64"/>
    <w:rsid w:val="00502DA2"/>
    <w:rsid w:val="00502DB1"/>
    <w:rsid w:val="00502E97"/>
    <w:rsid w:val="00502E99"/>
    <w:rsid w:val="00502FB3"/>
    <w:rsid w:val="00503036"/>
    <w:rsid w:val="005030BA"/>
    <w:rsid w:val="005030C5"/>
    <w:rsid w:val="005030E2"/>
    <w:rsid w:val="00503171"/>
    <w:rsid w:val="0050321C"/>
    <w:rsid w:val="00503364"/>
    <w:rsid w:val="005033DC"/>
    <w:rsid w:val="0050345C"/>
    <w:rsid w:val="0050348E"/>
    <w:rsid w:val="005034A9"/>
    <w:rsid w:val="00503570"/>
    <w:rsid w:val="00503594"/>
    <w:rsid w:val="005035BE"/>
    <w:rsid w:val="00503651"/>
    <w:rsid w:val="00503785"/>
    <w:rsid w:val="005037B0"/>
    <w:rsid w:val="005038D6"/>
    <w:rsid w:val="0050390C"/>
    <w:rsid w:val="00503928"/>
    <w:rsid w:val="00503A08"/>
    <w:rsid w:val="00503ACB"/>
    <w:rsid w:val="00503B3F"/>
    <w:rsid w:val="00503B6B"/>
    <w:rsid w:val="00503BC6"/>
    <w:rsid w:val="00503C3C"/>
    <w:rsid w:val="00503CB7"/>
    <w:rsid w:val="00503CC5"/>
    <w:rsid w:val="00503D49"/>
    <w:rsid w:val="00503D5D"/>
    <w:rsid w:val="00503E47"/>
    <w:rsid w:val="00503EC0"/>
    <w:rsid w:val="00503EDB"/>
    <w:rsid w:val="00503EF2"/>
    <w:rsid w:val="0050400B"/>
    <w:rsid w:val="0050401B"/>
    <w:rsid w:val="005040E9"/>
    <w:rsid w:val="00504121"/>
    <w:rsid w:val="0050413D"/>
    <w:rsid w:val="005041AD"/>
    <w:rsid w:val="005041E6"/>
    <w:rsid w:val="005042BC"/>
    <w:rsid w:val="0050432B"/>
    <w:rsid w:val="0050444F"/>
    <w:rsid w:val="00504470"/>
    <w:rsid w:val="005044D1"/>
    <w:rsid w:val="00504535"/>
    <w:rsid w:val="0050458A"/>
    <w:rsid w:val="005045B0"/>
    <w:rsid w:val="0050461B"/>
    <w:rsid w:val="00504625"/>
    <w:rsid w:val="0050466E"/>
    <w:rsid w:val="00504673"/>
    <w:rsid w:val="0050467D"/>
    <w:rsid w:val="00504738"/>
    <w:rsid w:val="00504743"/>
    <w:rsid w:val="0050475D"/>
    <w:rsid w:val="005047C2"/>
    <w:rsid w:val="00504830"/>
    <w:rsid w:val="0050484E"/>
    <w:rsid w:val="00504889"/>
    <w:rsid w:val="0050488D"/>
    <w:rsid w:val="005048D0"/>
    <w:rsid w:val="00504908"/>
    <w:rsid w:val="00504928"/>
    <w:rsid w:val="0050492B"/>
    <w:rsid w:val="00504A76"/>
    <w:rsid w:val="00504AE7"/>
    <w:rsid w:val="00504B43"/>
    <w:rsid w:val="00504C6D"/>
    <w:rsid w:val="00504CEF"/>
    <w:rsid w:val="00504D73"/>
    <w:rsid w:val="00504DF5"/>
    <w:rsid w:val="00504E0D"/>
    <w:rsid w:val="00504E68"/>
    <w:rsid w:val="00504EFF"/>
    <w:rsid w:val="005050CE"/>
    <w:rsid w:val="00505116"/>
    <w:rsid w:val="0050516E"/>
    <w:rsid w:val="005051EE"/>
    <w:rsid w:val="00505296"/>
    <w:rsid w:val="005053F0"/>
    <w:rsid w:val="005053F2"/>
    <w:rsid w:val="00505403"/>
    <w:rsid w:val="00505437"/>
    <w:rsid w:val="00505459"/>
    <w:rsid w:val="005054E8"/>
    <w:rsid w:val="00505510"/>
    <w:rsid w:val="005055EA"/>
    <w:rsid w:val="0050563A"/>
    <w:rsid w:val="0050565A"/>
    <w:rsid w:val="0050565B"/>
    <w:rsid w:val="005057B9"/>
    <w:rsid w:val="005058C2"/>
    <w:rsid w:val="005059DE"/>
    <w:rsid w:val="00505A88"/>
    <w:rsid w:val="00505BD8"/>
    <w:rsid w:val="00505CD2"/>
    <w:rsid w:val="00505DD6"/>
    <w:rsid w:val="00505DEF"/>
    <w:rsid w:val="00505E20"/>
    <w:rsid w:val="00505E30"/>
    <w:rsid w:val="00505E78"/>
    <w:rsid w:val="00505E79"/>
    <w:rsid w:val="00505EC5"/>
    <w:rsid w:val="00505F52"/>
    <w:rsid w:val="00505F65"/>
    <w:rsid w:val="00505F6F"/>
    <w:rsid w:val="00505F7E"/>
    <w:rsid w:val="00505FBC"/>
    <w:rsid w:val="00505FD5"/>
    <w:rsid w:val="00506014"/>
    <w:rsid w:val="00506118"/>
    <w:rsid w:val="00506139"/>
    <w:rsid w:val="00506238"/>
    <w:rsid w:val="00506289"/>
    <w:rsid w:val="0050634F"/>
    <w:rsid w:val="0050635B"/>
    <w:rsid w:val="005063EA"/>
    <w:rsid w:val="00506425"/>
    <w:rsid w:val="0050643E"/>
    <w:rsid w:val="00506479"/>
    <w:rsid w:val="005064DD"/>
    <w:rsid w:val="00506548"/>
    <w:rsid w:val="0050664E"/>
    <w:rsid w:val="0050664F"/>
    <w:rsid w:val="00506774"/>
    <w:rsid w:val="005067C7"/>
    <w:rsid w:val="0050681F"/>
    <w:rsid w:val="0050686D"/>
    <w:rsid w:val="0050693C"/>
    <w:rsid w:val="00506977"/>
    <w:rsid w:val="00506A56"/>
    <w:rsid w:val="00506B37"/>
    <w:rsid w:val="00506B56"/>
    <w:rsid w:val="00506B7E"/>
    <w:rsid w:val="00506BA2"/>
    <w:rsid w:val="00506BC0"/>
    <w:rsid w:val="00506C43"/>
    <w:rsid w:val="00506C49"/>
    <w:rsid w:val="00506E09"/>
    <w:rsid w:val="00506E46"/>
    <w:rsid w:val="00506EE5"/>
    <w:rsid w:val="00506F00"/>
    <w:rsid w:val="00506F09"/>
    <w:rsid w:val="00506F63"/>
    <w:rsid w:val="00506FA1"/>
    <w:rsid w:val="00506FC4"/>
    <w:rsid w:val="00506FE6"/>
    <w:rsid w:val="00507026"/>
    <w:rsid w:val="00507029"/>
    <w:rsid w:val="00507070"/>
    <w:rsid w:val="00507089"/>
    <w:rsid w:val="005070F5"/>
    <w:rsid w:val="00507136"/>
    <w:rsid w:val="0050719A"/>
    <w:rsid w:val="005072A7"/>
    <w:rsid w:val="00507306"/>
    <w:rsid w:val="00507380"/>
    <w:rsid w:val="00507388"/>
    <w:rsid w:val="005073AD"/>
    <w:rsid w:val="005073BC"/>
    <w:rsid w:val="00507410"/>
    <w:rsid w:val="0050747A"/>
    <w:rsid w:val="005074D1"/>
    <w:rsid w:val="0050751D"/>
    <w:rsid w:val="00507536"/>
    <w:rsid w:val="005075C6"/>
    <w:rsid w:val="005075FB"/>
    <w:rsid w:val="005076D0"/>
    <w:rsid w:val="005076D2"/>
    <w:rsid w:val="005077C8"/>
    <w:rsid w:val="00507811"/>
    <w:rsid w:val="0050782E"/>
    <w:rsid w:val="00507895"/>
    <w:rsid w:val="00507A19"/>
    <w:rsid w:val="00507ADD"/>
    <w:rsid w:val="00507B40"/>
    <w:rsid w:val="00507B4D"/>
    <w:rsid w:val="00507BAD"/>
    <w:rsid w:val="00507BAE"/>
    <w:rsid w:val="00507C12"/>
    <w:rsid w:val="00507C75"/>
    <w:rsid w:val="00507DAC"/>
    <w:rsid w:val="00507DDC"/>
    <w:rsid w:val="00507DE4"/>
    <w:rsid w:val="00507E2D"/>
    <w:rsid w:val="00507E51"/>
    <w:rsid w:val="00507E57"/>
    <w:rsid w:val="00507E70"/>
    <w:rsid w:val="00507EB8"/>
    <w:rsid w:val="00507F08"/>
    <w:rsid w:val="00507F7C"/>
    <w:rsid w:val="005100B3"/>
    <w:rsid w:val="005100C4"/>
    <w:rsid w:val="005100F7"/>
    <w:rsid w:val="0051015E"/>
    <w:rsid w:val="00510160"/>
    <w:rsid w:val="00510190"/>
    <w:rsid w:val="0051022C"/>
    <w:rsid w:val="005102BC"/>
    <w:rsid w:val="005102CA"/>
    <w:rsid w:val="0051031B"/>
    <w:rsid w:val="00510354"/>
    <w:rsid w:val="005104A6"/>
    <w:rsid w:val="005104C3"/>
    <w:rsid w:val="00510500"/>
    <w:rsid w:val="0051060C"/>
    <w:rsid w:val="0051061B"/>
    <w:rsid w:val="0051067C"/>
    <w:rsid w:val="00510774"/>
    <w:rsid w:val="005107A0"/>
    <w:rsid w:val="0051080E"/>
    <w:rsid w:val="00510819"/>
    <w:rsid w:val="0051081B"/>
    <w:rsid w:val="0051082B"/>
    <w:rsid w:val="00510908"/>
    <w:rsid w:val="0051090E"/>
    <w:rsid w:val="005109A2"/>
    <w:rsid w:val="00510A4C"/>
    <w:rsid w:val="00510A6C"/>
    <w:rsid w:val="00510A8E"/>
    <w:rsid w:val="00510AA3"/>
    <w:rsid w:val="00510AD5"/>
    <w:rsid w:val="00510B2A"/>
    <w:rsid w:val="00510B77"/>
    <w:rsid w:val="00510BEB"/>
    <w:rsid w:val="00510C07"/>
    <w:rsid w:val="00510CCB"/>
    <w:rsid w:val="00510EF8"/>
    <w:rsid w:val="00510F1A"/>
    <w:rsid w:val="00511068"/>
    <w:rsid w:val="005110C4"/>
    <w:rsid w:val="00511100"/>
    <w:rsid w:val="005111BA"/>
    <w:rsid w:val="005112EA"/>
    <w:rsid w:val="0051135E"/>
    <w:rsid w:val="005113C5"/>
    <w:rsid w:val="005113DA"/>
    <w:rsid w:val="005113FC"/>
    <w:rsid w:val="005114D0"/>
    <w:rsid w:val="00511605"/>
    <w:rsid w:val="0051167A"/>
    <w:rsid w:val="0051167C"/>
    <w:rsid w:val="0051169E"/>
    <w:rsid w:val="00511703"/>
    <w:rsid w:val="005117D0"/>
    <w:rsid w:val="005117E6"/>
    <w:rsid w:val="0051180C"/>
    <w:rsid w:val="00511824"/>
    <w:rsid w:val="00511843"/>
    <w:rsid w:val="00511908"/>
    <w:rsid w:val="0051197D"/>
    <w:rsid w:val="00511995"/>
    <w:rsid w:val="005119AB"/>
    <w:rsid w:val="005119F8"/>
    <w:rsid w:val="00511A20"/>
    <w:rsid w:val="00511A3F"/>
    <w:rsid w:val="00511A89"/>
    <w:rsid w:val="00511B24"/>
    <w:rsid w:val="00511C09"/>
    <w:rsid w:val="00511C1C"/>
    <w:rsid w:val="00511C27"/>
    <w:rsid w:val="00511C6E"/>
    <w:rsid w:val="00511C8B"/>
    <w:rsid w:val="00511C8D"/>
    <w:rsid w:val="00511D4B"/>
    <w:rsid w:val="00511E55"/>
    <w:rsid w:val="00511E79"/>
    <w:rsid w:val="00511ECF"/>
    <w:rsid w:val="00511F96"/>
    <w:rsid w:val="005120A3"/>
    <w:rsid w:val="00512108"/>
    <w:rsid w:val="00512180"/>
    <w:rsid w:val="00512185"/>
    <w:rsid w:val="00512191"/>
    <w:rsid w:val="00512199"/>
    <w:rsid w:val="00512202"/>
    <w:rsid w:val="00512222"/>
    <w:rsid w:val="005122A6"/>
    <w:rsid w:val="005122D1"/>
    <w:rsid w:val="005122FD"/>
    <w:rsid w:val="00512315"/>
    <w:rsid w:val="00512336"/>
    <w:rsid w:val="00512390"/>
    <w:rsid w:val="005123EE"/>
    <w:rsid w:val="005123F7"/>
    <w:rsid w:val="0051240E"/>
    <w:rsid w:val="00512477"/>
    <w:rsid w:val="00512532"/>
    <w:rsid w:val="0051253E"/>
    <w:rsid w:val="005125DA"/>
    <w:rsid w:val="0051269E"/>
    <w:rsid w:val="00512724"/>
    <w:rsid w:val="00512754"/>
    <w:rsid w:val="0051284F"/>
    <w:rsid w:val="00512855"/>
    <w:rsid w:val="00512891"/>
    <w:rsid w:val="00512949"/>
    <w:rsid w:val="005129C0"/>
    <w:rsid w:val="00512A1C"/>
    <w:rsid w:val="00512A7D"/>
    <w:rsid w:val="00512A91"/>
    <w:rsid w:val="00512B5C"/>
    <w:rsid w:val="00512BFF"/>
    <w:rsid w:val="00512C2F"/>
    <w:rsid w:val="00512C46"/>
    <w:rsid w:val="00512CB3"/>
    <w:rsid w:val="00512CF3"/>
    <w:rsid w:val="00512D40"/>
    <w:rsid w:val="00512DC9"/>
    <w:rsid w:val="00512E5E"/>
    <w:rsid w:val="00512E98"/>
    <w:rsid w:val="00512F54"/>
    <w:rsid w:val="0051306C"/>
    <w:rsid w:val="00513092"/>
    <w:rsid w:val="005130BD"/>
    <w:rsid w:val="005130C6"/>
    <w:rsid w:val="00513126"/>
    <w:rsid w:val="005131C1"/>
    <w:rsid w:val="00513220"/>
    <w:rsid w:val="005132ED"/>
    <w:rsid w:val="005132FB"/>
    <w:rsid w:val="005132FC"/>
    <w:rsid w:val="0051333B"/>
    <w:rsid w:val="0051335E"/>
    <w:rsid w:val="0051337D"/>
    <w:rsid w:val="00513440"/>
    <w:rsid w:val="00513557"/>
    <w:rsid w:val="0051366B"/>
    <w:rsid w:val="0051373C"/>
    <w:rsid w:val="00513861"/>
    <w:rsid w:val="005138AD"/>
    <w:rsid w:val="005138F7"/>
    <w:rsid w:val="005139A7"/>
    <w:rsid w:val="00513AE3"/>
    <w:rsid w:val="00513B9C"/>
    <w:rsid w:val="00513E35"/>
    <w:rsid w:val="00513E53"/>
    <w:rsid w:val="00513F67"/>
    <w:rsid w:val="00513FCD"/>
    <w:rsid w:val="00514083"/>
    <w:rsid w:val="00514089"/>
    <w:rsid w:val="0051409D"/>
    <w:rsid w:val="005140D7"/>
    <w:rsid w:val="00514142"/>
    <w:rsid w:val="005141AF"/>
    <w:rsid w:val="00514291"/>
    <w:rsid w:val="005142C9"/>
    <w:rsid w:val="005143E8"/>
    <w:rsid w:val="0051449A"/>
    <w:rsid w:val="005144BA"/>
    <w:rsid w:val="005144E8"/>
    <w:rsid w:val="00514591"/>
    <w:rsid w:val="00514685"/>
    <w:rsid w:val="00514690"/>
    <w:rsid w:val="005146D3"/>
    <w:rsid w:val="0051478F"/>
    <w:rsid w:val="005147E4"/>
    <w:rsid w:val="005148D4"/>
    <w:rsid w:val="005149DB"/>
    <w:rsid w:val="005149FB"/>
    <w:rsid w:val="00514A72"/>
    <w:rsid w:val="00514AF7"/>
    <w:rsid w:val="00514B4E"/>
    <w:rsid w:val="00514B87"/>
    <w:rsid w:val="00514C5C"/>
    <w:rsid w:val="00514CD9"/>
    <w:rsid w:val="00514CE2"/>
    <w:rsid w:val="00514D34"/>
    <w:rsid w:val="00514D44"/>
    <w:rsid w:val="00514D70"/>
    <w:rsid w:val="00514DCD"/>
    <w:rsid w:val="00514E0E"/>
    <w:rsid w:val="00514E17"/>
    <w:rsid w:val="00514E1D"/>
    <w:rsid w:val="00514E5F"/>
    <w:rsid w:val="00514EBE"/>
    <w:rsid w:val="00514F31"/>
    <w:rsid w:val="00514FE2"/>
    <w:rsid w:val="00515001"/>
    <w:rsid w:val="00515009"/>
    <w:rsid w:val="005150DD"/>
    <w:rsid w:val="005150E3"/>
    <w:rsid w:val="005150F7"/>
    <w:rsid w:val="0051510A"/>
    <w:rsid w:val="00515327"/>
    <w:rsid w:val="00515338"/>
    <w:rsid w:val="00515359"/>
    <w:rsid w:val="00515396"/>
    <w:rsid w:val="005153B3"/>
    <w:rsid w:val="00515402"/>
    <w:rsid w:val="0051541F"/>
    <w:rsid w:val="005154F4"/>
    <w:rsid w:val="00515543"/>
    <w:rsid w:val="0051554D"/>
    <w:rsid w:val="005155E9"/>
    <w:rsid w:val="00515631"/>
    <w:rsid w:val="0051567C"/>
    <w:rsid w:val="005156CC"/>
    <w:rsid w:val="005156F9"/>
    <w:rsid w:val="0051577C"/>
    <w:rsid w:val="005157C5"/>
    <w:rsid w:val="005157F4"/>
    <w:rsid w:val="00515803"/>
    <w:rsid w:val="00515836"/>
    <w:rsid w:val="00515911"/>
    <w:rsid w:val="00515966"/>
    <w:rsid w:val="00515A3E"/>
    <w:rsid w:val="00515AD6"/>
    <w:rsid w:val="00515B1F"/>
    <w:rsid w:val="00515C49"/>
    <w:rsid w:val="00515CEB"/>
    <w:rsid w:val="00515D88"/>
    <w:rsid w:val="00515E17"/>
    <w:rsid w:val="00515E27"/>
    <w:rsid w:val="00515E2E"/>
    <w:rsid w:val="00515E46"/>
    <w:rsid w:val="00515E65"/>
    <w:rsid w:val="00515EEF"/>
    <w:rsid w:val="00515FCC"/>
    <w:rsid w:val="0051605E"/>
    <w:rsid w:val="00516097"/>
    <w:rsid w:val="00516166"/>
    <w:rsid w:val="005161D6"/>
    <w:rsid w:val="00516385"/>
    <w:rsid w:val="0051639D"/>
    <w:rsid w:val="005163DD"/>
    <w:rsid w:val="00516405"/>
    <w:rsid w:val="00516412"/>
    <w:rsid w:val="0051649F"/>
    <w:rsid w:val="00516504"/>
    <w:rsid w:val="00516590"/>
    <w:rsid w:val="005165C5"/>
    <w:rsid w:val="00516628"/>
    <w:rsid w:val="00516643"/>
    <w:rsid w:val="005166FE"/>
    <w:rsid w:val="00516768"/>
    <w:rsid w:val="00516797"/>
    <w:rsid w:val="0051679F"/>
    <w:rsid w:val="00516931"/>
    <w:rsid w:val="00516953"/>
    <w:rsid w:val="005169CB"/>
    <w:rsid w:val="005169DA"/>
    <w:rsid w:val="005169F4"/>
    <w:rsid w:val="00516C18"/>
    <w:rsid w:val="00516C64"/>
    <w:rsid w:val="00516CA7"/>
    <w:rsid w:val="00516CC7"/>
    <w:rsid w:val="00516D2D"/>
    <w:rsid w:val="00516D4A"/>
    <w:rsid w:val="00516DBF"/>
    <w:rsid w:val="00516DCB"/>
    <w:rsid w:val="00516DD0"/>
    <w:rsid w:val="00516E4B"/>
    <w:rsid w:val="00516EB8"/>
    <w:rsid w:val="00516EF9"/>
    <w:rsid w:val="00516F25"/>
    <w:rsid w:val="00516F71"/>
    <w:rsid w:val="00516FDE"/>
    <w:rsid w:val="0051708E"/>
    <w:rsid w:val="0051709B"/>
    <w:rsid w:val="0051710D"/>
    <w:rsid w:val="00517178"/>
    <w:rsid w:val="0051717C"/>
    <w:rsid w:val="005172E8"/>
    <w:rsid w:val="005173C1"/>
    <w:rsid w:val="005173EB"/>
    <w:rsid w:val="0051741A"/>
    <w:rsid w:val="005174D3"/>
    <w:rsid w:val="0051750C"/>
    <w:rsid w:val="005176BD"/>
    <w:rsid w:val="005177B5"/>
    <w:rsid w:val="00517818"/>
    <w:rsid w:val="00517860"/>
    <w:rsid w:val="0051786B"/>
    <w:rsid w:val="005178CB"/>
    <w:rsid w:val="005178FA"/>
    <w:rsid w:val="00517A88"/>
    <w:rsid w:val="00517BAF"/>
    <w:rsid w:val="00517BB8"/>
    <w:rsid w:val="00517BDD"/>
    <w:rsid w:val="00517C5B"/>
    <w:rsid w:val="00517C72"/>
    <w:rsid w:val="00517D20"/>
    <w:rsid w:val="00517DAC"/>
    <w:rsid w:val="00517DBC"/>
    <w:rsid w:val="00517E53"/>
    <w:rsid w:val="00517F4E"/>
    <w:rsid w:val="00520058"/>
    <w:rsid w:val="005200B6"/>
    <w:rsid w:val="0052015A"/>
    <w:rsid w:val="00520259"/>
    <w:rsid w:val="0052027B"/>
    <w:rsid w:val="005202B8"/>
    <w:rsid w:val="005202CE"/>
    <w:rsid w:val="005202E6"/>
    <w:rsid w:val="005203F2"/>
    <w:rsid w:val="00520490"/>
    <w:rsid w:val="0052049A"/>
    <w:rsid w:val="005204C1"/>
    <w:rsid w:val="005204FF"/>
    <w:rsid w:val="0052054E"/>
    <w:rsid w:val="00520565"/>
    <w:rsid w:val="00520591"/>
    <w:rsid w:val="005205BC"/>
    <w:rsid w:val="005205CF"/>
    <w:rsid w:val="00520610"/>
    <w:rsid w:val="00520621"/>
    <w:rsid w:val="005207C4"/>
    <w:rsid w:val="005208F8"/>
    <w:rsid w:val="005209DE"/>
    <w:rsid w:val="00520A00"/>
    <w:rsid w:val="00520A48"/>
    <w:rsid w:val="00520AEB"/>
    <w:rsid w:val="00520B63"/>
    <w:rsid w:val="00520BAE"/>
    <w:rsid w:val="00520BDD"/>
    <w:rsid w:val="00520C2A"/>
    <w:rsid w:val="00520C46"/>
    <w:rsid w:val="00520C8B"/>
    <w:rsid w:val="00520D17"/>
    <w:rsid w:val="00520D3D"/>
    <w:rsid w:val="00520E10"/>
    <w:rsid w:val="00520E2C"/>
    <w:rsid w:val="00520ECC"/>
    <w:rsid w:val="00520EDA"/>
    <w:rsid w:val="00520F0F"/>
    <w:rsid w:val="00520F36"/>
    <w:rsid w:val="005211AA"/>
    <w:rsid w:val="005211F1"/>
    <w:rsid w:val="0052121D"/>
    <w:rsid w:val="00521257"/>
    <w:rsid w:val="00521271"/>
    <w:rsid w:val="005212C1"/>
    <w:rsid w:val="005212EC"/>
    <w:rsid w:val="005212F2"/>
    <w:rsid w:val="00521472"/>
    <w:rsid w:val="00521698"/>
    <w:rsid w:val="00521699"/>
    <w:rsid w:val="0052170D"/>
    <w:rsid w:val="0052174A"/>
    <w:rsid w:val="00521767"/>
    <w:rsid w:val="0052176E"/>
    <w:rsid w:val="00521894"/>
    <w:rsid w:val="005218CA"/>
    <w:rsid w:val="005218F2"/>
    <w:rsid w:val="0052196C"/>
    <w:rsid w:val="00521979"/>
    <w:rsid w:val="0052197A"/>
    <w:rsid w:val="00521A93"/>
    <w:rsid w:val="00521AA9"/>
    <w:rsid w:val="00521ADF"/>
    <w:rsid w:val="00521B50"/>
    <w:rsid w:val="00521B8B"/>
    <w:rsid w:val="00521BDC"/>
    <w:rsid w:val="00521BF5"/>
    <w:rsid w:val="00521C04"/>
    <w:rsid w:val="00521C3D"/>
    <w:rsid w:val="00521C94"/>
    <w:rsid w:val="00521CB1"/>
    <w:rsid w:val="00521CD0"/>
    <w:rsid w:val="00521CE1"/>
    <w:rsid w:val="00521E54"/>
    <w:rsid w:val="00521EEE"/>
    <w:rsid w:val="00521F1D"/>
    <w:rsid w:val="00521F59"/>
    <w:rsid w:val="00521F97"/>
    <w:rsid w:val="00521FC2"/>
    <w:rsid w:val="00521FE4"/>
    <w:rsid w:val="00522098"/>
    <w:rsid w:val="005220DA"/>
    <w:rsid w:val="00522120"/>
    <w:rsid w:val="00522140"/>
    <w:rsid w:val="00522160"/>
    <w:rsid w:val="00522191"/>
    <w:rsid w:val="005221FA"/>
    <w:rsid w:val="0052223F"/>
    <w:rsid w:val="00522297"/>
    <w:rsid w:val="0052229C"/>
    <w:rsid w:val="005222A2"/>
    <w:rsid w:val="00522301"/>
    <w:rsid w:val="00522329"/>
    <w:rsid w:val="00522360"/>
    <w:rsid w:val="005223AA"/>
    <w:rsid w:val="0052240C"/>
    <w:rsid w:val="00522610"/>
    <w:rsid w:val="00522633"/>
    <w:rsid w:val="00522689"/>
    <w:rsid w:val="005226A2"/>
    <w:rsid w:val="005227C2"/>
    <w:rsid w:val="00522824"/>
    <w:rsid w:val="005228C6"/>
    <w:rsid w:val="0052296B"/>
    <w:rsid w:val="0052298B"/>
    <w:rsid w:val="005229CD"/>
    <w:rsid w:val="00522A26"/>
    <w:rsid w:val="00522A66"/>
    <w:rsid w:val="00522A7A"/>
    <w:rsid w:val="00522A7F"/>
    <w:rsid w:val="00522B52"/>
    <w:rsid w:val="00522BCB"/>
    <w:rsid w:val="00522BD5"/>
    <w:rsid w:val="00522C42"/>
    <w:rsid w:val="00522C84"/>
    <w:rsid w:val="00522C92"/>
    <w:rsid w:val="00522CC6"/>
    <w:rsid w:val="00522CDC"/>
    <w:rsid w:val="00522D4D"/>
    <w:rsid w:val="00522DA1"/>
    <w:rsid w:val="00522E34"/>
    <w:rsid w:val="00522E38"/>
    <w:rsid w:val="00522F0E"/>
    <w:rsid w:val="00522F75"/>
    <w:rsid w:val="00522FEE"/>
    <w:rsid w:val="005231C9"/>
    <w:rsid w:val="00523233"/>
    <w:rsid w:val="00523240"/>
    <w:rsid w:val="00523274"/>
    <w:rsid w:val="0052337D"/>
    <w:rsid w:val="005233A1"/>
    <w:rsid w:val="005233B6"/>
    <w:rsid w:val="005233EA"/>
    <w:rsid w:val="005233EF"/>
    <w:rsid w:val="00523418"/>
    <w:rsid w:val="00523423"/>
    <w:rsid w:val="00523435"/>
    <w:rsid w:val="005234B1"/>
    <w:rsid w:val="005234CB"/>
    <w:rsid w:val="005234D6"/>
    <w:rsid w:val="0052350D"/>
    <w:rsid w:val="0052353E"/>
    <w:rsid w:val="00523545"/>
    <w:rsid w:val="00523566"/>
    <w:rsid w:val="005235D3"/>
    <w:rsid w:val="00523614"/>
    <w:rsid w:val="00523632"/>
    <w:rsid w:val="00523667"/>
    <w:rsid w:val="00523669"/>
    <w:rsid w:val="0052367E"/>
    <w:rsid w:val="0052367F"/>
    <w:rsid w:val="00523689"/>
    <w:rsid w:val="00523706"/>
    <w:rsid w:val="00523714"/>
    <w:rsid w:val="0052377F"/>
    <w:rsid w:val="005237D5"/>
    <w:rsid w:val="005237D7"/>
    <w:rsid w:val="00523876"/>
    <w:rsid w:val="005238AF"/>
    <w:rsid w:val="0052390E"/>
    <w:rsid w:val="00523A30"/>
    <w:rsid w:val="00523A91"/>
    <w:rsid w:val="00523AA2"/>
    <w:rsid w:val="00523AB2"/>
    <w:rsid w:val="00523ACF"/>
    <w:rsid w:val="00523BB4"/>
    <w:rsid w:val="00523C09"/>
    <w:rsid w:val="00523D5B"/>
    <w:rsid w:val="00523D8F"/>
    <w:rsid w:val="00523DA1"/>
    <w:rsid w:val="00523DB2"/>
    <w:rsid w:val="00523F7E"/>
    <w:rsid w:val="00523F89"/>
    <w:rsid w:val="00524174"/>
    <w:rsid w:val="00524177"/>
    <w:rsid w:val="0052420E"/>
    <w:rsid w:val="0052423F"/>
    <w:rsid w:val="00524246"/>
    <w:rsid w:val="00524257"/>
    <w:rsid w:val="005243E2"/>
    <w:rsid w:val="005243FC"/>
    <w:rsid w:val="00524471"/>
    <w:rsid w:val="005244FC"/>
    <w:rsid w:val="005245A7"/>
    <w:rsid w:val="0052465A"/>
    <w:rsid w:val="00524711"/>
    <w:rsid w:val="005247E8"/>
    <w:rsid w:val="0052499A"/>
    <w:rsid w:val="005249B7"/>
    <w:rsid w:val="00524A3B"/>
    <w:rsid w:val="00524AA8"/>
    <w:rsid w:val="00524B84"/>
    <w:rsid w:val="00524B96"/>
    <w:rsid w:val="00524BBB"/>
    <w:rsid w:val="00524BFB"/>
    <w:rsid w:val="00524C24"/>
    <w:rsid w:val="00524C4B"/>
    <w:rsid w:val="00524C9F"/>
    <w:rsid w:val="00524D52"/>
    <w:rsid w:val="00524D8F"/>
    <w:rsid w:val="00524E93"/>
    <w:rsid w:val="00524EF4"/>
    <w:rsid w:val="00524F7C"/>
    <w:rsid w:val="00524FA8"/>
    <w:rsid w:val="00524FB6"/>
    <w:rsid w:val="00524FD2"/>
    <w:rsid w:val="005250CB"/>
    <w:rsid w:val="00525141"/>
    <w:rsid w:val="0052517E"/>
    <w:rsid w:val="00525209"/>
    <w:rsid w:val="0052526D"/>
    <w:rsid w:val="005252CC"/>
    <w:rsid w:val="005252DD"/>
    <w:rsid w:val="00525314"/>
    <w:rsid w:val="00525363"/>
    <w:rsid w:val="00525397"/>
    <w:rsid w:val="0052543B"/>
    <w:rsid w:val="00525490"/>
    <w:rsid w:val="005254E4"/>
    <w:rsid w:val="005255DF"/>
    <w:rsid w:val="0052562F"/>
    <w:rsid w:val="00525646"/>
    <w:rsid w:val="00525653"/>
    <w:rsid w:val="00525873"/>
    <w:rsid w:val="0052593D"/>
    <w:rsid w:val="00525954"/>
    <w:rsid w:val="00525982"/>
    <w:rsid w:val="00525A8C"/>
    <w:rsid w:val="00525B35"/>
    <w:rsid w:val="00525BF3"/>
    <w:rsid w:val="00525C6E"/>
    <w:rsid w:val="00525CC4"/>
    <w:rsid w:val="00525D08"/>
    <w:rsid w:val="00525E1E"/>
    <w:rsid w:val="00525E3D"/>
    <w:rsid w:val="00525EC3"/>
    <w:rsid w:val="00525F04"/>
    <w:rsid w:val="00525F2F"/>
    <w:rsid w:val="00525F5D"/>
    <w:rsid w:val="00526037"/>
    <w:rsid w:val="00526044"/>
    <w:rsid w:val="00526091"/>
    <w:rsid w:val="005260E0"/>
    <w:rsid w:val="005260F4"/>
    <w:rsid w:val="00526168"/>
    <w:rsid w:val="00526199"/>
    <w:rsid w:val="005261FC"/>
    <w:rsid w:val="00526202"/>
    <w:rsid w:val="00526241"/>
    <w:rsid w:val="00526248"/>
    <w:rsid w:val="005263A7"/>
    <w:rsid w:val="005263BF"/>
    <w:rsid w:val="005263E0"/>
    <w:rsid w:val="00526434"/>
    <w:rsid w:val="00526471"/>
    <w:rsid w:val="005264B8"/>
    <w:rsid w:val="005264F5"/>
    <w:rsid w:val="005264FB"/>
    <w:rsid w:val="00526523"/>
    <w:rsid w:val="005265D9"/>
    <w:rsid w:val="0052661B"/>
    <w:rsid w:val="00526644"/>
    <w:rsid w:val="00526645"/>
    <w:rsid w:val="00526676"/>
    <w:rsid w:val="00526700"/>
    <w:rsid w:val="00526723"/>
    <w:rsid w:val="0052676C"/>
    <w:rsid w:val="00526795"/>
    <w:rsid w:val="005267D2"/>
    <w:rsid w:val="005268B0"/>
    <w:rsid w:val="005269B3"/>
    <w:rsid w:val="00526A1F"/>
    <w:rsid w:val="00526A40"/>
    <w:rsid w:val="00526B08"/>
    <w:rsid w:val="00526B73"/>
    <w:rsid w:val="00526CDB"/>
    <w:rsid w:val="00526CFD"/>
    <w:rsid w:val="00526D4D"/>
    <w:rsid w:val="00526D58"/>
    <w:rsid w:val="00526E07"/>
    <w:rsid w:val="00526E32"/>
    <w:rsid w:val="00526E67"/>
    <w:rsid w:val="00526EED"/>
    <w:rsid w:val="00526FBB"/>
    <w:rsid w:val="00527154"/>
    <w:rsid w:val="00527164"/>
    <w:rsid w:val="00527228"/>
    <w:rsid w:val="0052729A"/>
    <w:rsid w:val="005272A3"/>
    <w:rsid w:val="0052744A"/>
    <w:rsid w:val="00527535"/>
    <w:rsid w:val="005275ED"/>
    <w:rsid w:val="0052760B"/>
    <w:rsid w:val="00527617"/>
    <w:rsid w:val="0052764B"/>
    <w:rsid w:val="0052765E"/>
    <w:rsid w:val="005276E3"/>
    <w:rsid w:val="00527713"/>
    <w:rsid w:val="0052773C"/>
    <w:rsid w:val="00527742"/>
    <w:rsid w:val="0052777B"/>
    <w:rsid w:val="005277B0"/>
    <w:rsid w:val="005277F4"/>
    <w:rsid w:val="0052786F"/>
    <w:rsid w:val="00527922"/>
    <w:rsid w:val="00527995"/>
    <w:rsid w:val="00527A4E"/>
    <w:rsid w:val="00527ADA"/>
    <w:rsid w:val="00527B23"/>
    <w:rsid w:val="00527B33"/>
    <w:rsid w:val="00527BAE"/>
    <w:rsid w:val="00527BFE"/>
    <w:rsid w:val="00527CF3"/>
    <w:rsid w:val="00527D46"/>
    <w:rsid w:val="00527E2C"/>
    <w:rsid w:val="00527F18"/>
    <w:rsid w:val="00527F20"/>
    <w:rsid w:val="00527F2F"/>
    <w:rsid w:val="0053022E"/>
    <w:rsid w:val="005302F8"/>
    <w:rsid w:val="00530313"/>
    <w:rsid w:val="0053031A"/>
    <w:rsid w:val="00530379"/>
    <w:rsid w:val="005304CC"/>
    <w:rsid w:val="00530538"/>
    <w:rsid w:val="00530577"/>
    <w:rsid w:val="00530593"/>
    <w:rsid w:val="0053073E"/>
    <w:rsid w:val="005307B2"/>
    <w:rsid w:val="005307B9"/>
    <w:rsid w:val="005307FD"/>
    <w:rsid w:val="00530806"/>
    <w:rsid w:val="005308E6"/>
    <w:rsid w:val="00530902"/>
    <w:rsid w:val="00530931"/>
    <w:rsid w:val="00530A03"/>
    <w:rsid w:val="00530B54"/>
    <w:rsid w:val="00530C3C"/>
    <w:rsid w:val="00530EF3"/>
    <w:rsid w:val="00530F21"/>
    <w:rsid w:val="00530F2E"/>
    <w:rsid w:val="0053108E"/>
    <w:rsid w:val="0053109C"/>
    <w:rsid w:val="005311E3"/>
    <w:rsid w:val="005313DA"/>
    <w:rsid w:val="005313DE"/>
    <w:rsid w:val="005313DF"/>
    <w:rsid w:val="005313ED"/>
    <w:rsid w:val="005313F2"/>
    <w:rsid w:val="005314DF"/>
    <w:rsid w:val="0053150A"/>
    <w:rsid w:val="0053159B"/>
    <w:rsid w:val="005315C7"/>
    <w:rsid w:val="00531618"/>
    <w:rsid w:val="00531697"/>
    <w:rsid w:val="005316AF"/>
    <w:rsid w:val="005316F8"/>
    <w:rsid w:val="00531743"/>
    <w:rsid w:val="00531764"/>
    <w:rsid w:val="005317EC"/>
    <w:rsid w:val="00531870"/>
    <w:rsid w:val="0053197E"/>
    <w:rsid w:val="00531A28"/>
    <w:rsid w:val="00531A99"/>
    <w:rsid w:val="00531AA0"/>
    <w:rsid w:val="00531AF2"/>
    <w:rsid w:val="00531B68"/>
    <w:rsid w:val="00531B79"/>
    <w:rsid w:val="00531D9B"/>
    <w:rsid w:val="00531D9D"/>
    <w:rsid w:val="00531DA6"/>
    <w:rsid w:val="00531E4B"/>
    <w:rsid w:val="00531E78"/>
    <w:rsid w:val="00531E82"/>
    <w:rsid w:val="00531E83"/>
    <w:rsid w:val="00531F2A"/>
    <w:rsid w:val="00531F5C"/>
    <w:rsid w:val="00531FFC"/>
    <w:rsid w:val="00532038"/>
    <w:rsid w:val="00532072"/>
    <w:rsid w:val="005320F4"/>
    <w:rsid w:val="00532159"/>
    <w:rsid w:val="00532198"/>
    <w:rsid w:val="005322E5"/>
    <w:rsid w:val="005322F5"/>
    <w:rsid w:val="00532377"/>
    <w:rsid w:val="00532399"/>
    <w:rsid w:val="005323F0"/>
    <w:rsid w:val="005323F3"/>
    <w:rsid w:val="00532461"/>
    <w:rsid w:val="005324A3"/>
    <w:rsid w:val="005324DC"/>
    <w:rsid w:val="005325B2"/>
    <w:rsid w:val="00532626"/>
    <w:rsid w:val="00532677"/>
    <w:rsid w:val="005326A6"/>
    <w:rsid w:val="0053272F"/>
    <w:rsid w:val="005327E0"/>
    <w:rsid w:val="0053282B"/>
    <w:rsid w:val="00532836"/>
    <w:rsid w:val="00532838"/>
    <w:rsid w:val="00532842"/>
    <w:rsid w:val="0053286A"/>
    <w:rsid w:val="005328AF"/>
    <w:rsid w:val="0053295C"/>
    <w:rsid w:val="00532B1B"/>
    <w:rsid w:val="00532C40"/>
    <w:rsid w:val="00532C66"/>
    <w:rsid w:val="00532C8D"/>
    <w:rsid w:val="00532CD5"/>
    <w:rsid w:val="00532CD8"/>
    <w:rsid w:val="00532CE6"/>
    <w:rsid w:val="00532D52"/>
    <w:rsid w:val="00532D81"/>
    <w:rsid w:val="00532D9D"/>
    <w:rsid w:val="00532DE1"/>
    <w:rsid w:val="00532FBF"/>
    <w:rsid w:val="00532FC0"/>
    <w:rsid w:val="005330C9"/>
    <w:rsid w:val="0053313F"/>
    <w:rsid w:val="0053315D"/>
    <w:rsid w:val="00533243"/>
    <w:rsid w:val="00533265"/>
    <w:rsid w:val="00533295"/>
    <w:rsid w:val="005332C6"/>
    <w:rsid w:val="0053332E"/>
    <w:rsid w:val="00533368"/>
    <w:rsid w:val="00533397"/>
    <w:rsid w:val="005334CE"/>
    <w:rsid w:val="00533662"/>
    <w:rsid w:val="0053369A"/>
    <w:rsid w:val="005337D7"/>
    <w:rsid w:val="0053384D"/>
    <w:rsid w:val="00533913"/>
    <w:rsid w:val="00533921"/>
    <w:rsid w:val="00533A39"/>
    <w:rsid w:val="00533AA3"/>
    <w:rsid w:val="00533AFB"/>
    <w:rsid w:val="00533B37"/>
    <w:rsid w:val="00533BB5"/>
    <w:rsid w:val="00533CFF"/>
    <w:rsid w:val="00533EDD"/>
    <w:rsid w:val="00533F87"/>
    <w:rsid w:val="00533FC0"/>
    <w:rsid w:val="00533FD6"/>
    <w:rsid w:val="00533FE1"/>
    <w:rsid w:val="0053400E"/>
    <w:rsid w:val="00534039"/>
    <w:rsid w:val="005341A4"/>
    <w:rsid w:val="005341E1"/>
    <w:rsid w:val="005341FC"/>
    <w:rsid w:val="00534366"/>
    <w:rsid w:val="005343BB"/>
    <w:rsid w:val="0053440C"/>
    <w:rsid w:val="00534418"/>
    <w:rsid w:val="005344C0"/>
    <w:rsid w:val="0053457B"/>
    <w:rsid w:val="00534623"/>
    <w:rsid w:val="00534653"/>
    <w:rsid w:val="0053467A"/>
    <w:rsid w:val="005347E6"/>
    <w:rsid w:val="005349B9"/>
    <w:rsid w:val="00534A44"/>
    <w:rsid w:val="00534A50"/>
    <w:rsid w:val="00534A78"/>
    <w:rsid w:val="00534B20"/>
    <w:rsid w:val="00534BF3"/>
    <w:rsid w:val="00534C06"/>
    <w:rsid w:val="00534C21"/>
    <w:rsid w:val="00534C2F"/>
    <w:rsid w:val="00534C9E"/>
    <w:rsid w:val="00534CA1"/>
    <w:rsid w:val="00534D2C"/>
    <w:rsid w:val="00534D2F"/>
    <w:rsid w:val="00534D3A"/>
    <w:rsid w:val="00534D58"/>
    <w:rsid w:val="00534E2F"/>
    <w:rsid w:val="00534F3A"/>
    <w:rsid w:val="00534FE0"/>
    <w:rsid w:val="0053500B"/>
    <w:rsid w:val="00535040"/>
    <w:rsid w:val="005351CC"/>
    <w:rsid w:val="00535378"/>
    <w:rsid w:val="0053539E"/>
    <w:rsid w:val="00535463"/>
    <w:rsid w:val="00535556"/>
    <w:rsid w:val="005355DC"/>
    <w:rsid w:val="0053561D"/>
    <w:rsid w:val="0053566A"/>
    <w:rsid w:val="005356E1"/>
    <w:rsid w:val="005356F3"/>
    <w:rsid w:val="0053582F"/>
    <w:rsid w:val="00535831"/>
    <w:rsid w:val="00535952"/>
    <w:rsid w:val="005359F7"/>
    <w:rsid w:val="00535B16"/>
    <w:rsid w:val="00535B83"/>
    <w:rsid w:val="00535BB7"/>
    <w:rsid w:val="00535BBB"/>
    <w:rsid w:val="00535C00"/>
    <w:rsid w:val="00535C43"/>
    <w:rsid w:val="00535C9C"/>
    <w:rsid w:val="00535CA2"/>
    <w:rsid w:val="00535CB3"/>
    <w:rsid w:val="00535DE5"/>
    <w:rsid w:val="00535EF3"/>
    <w:rsid w:val="00536021"/>
    <w:rsid w:val="00536072"/>
    <w:rsid w:val="00536091"/>
    <w:rsid w:val="005360D7"/>
    <w:rsid w:val="005360E7"/>
    <w:rsid w:val="0053629D"/>
    <w:rsid w:val="005362BA"/>
    <w:rsid w:val="0053630B"/>
    <w:rsid w:val="005363EF"/>
    <w:rsid w:val="005363F0"/>
    <w:rsid w:val="005363F5"/>
    <w:rsid w:val="00536519"/>
    <w:rsid w:val="005365B4"/>
    <w:rsid w:val="00536614"/>
    <w:rsid w:val="0053662F"/>
    <w:rsid w:val="0053664A"/>
    <w:rsid w:val="005366A2"/>
    <w:rsid w:val="005366D3"/>
    <w:rsid w:val="005366D5"/>
    <w:rsid w:val="005366D8"/>
    <w:rsid w:val="00536735"/>
    <w:rsid w:val="00536738"/>
    <w:rsid w:val="00536823"/>
    <w:rsid w:val="0053690C"/>
    <w:rsid w:val="0053699B"/>
    <w:rsid w:val="005369D7"/>
    <w:rsid w:val="005369EA"/>
    <w:rsid w:val="00536A1E"/>
    <w:rsid w:val="00536A2E"/>
    <w:rsid w:val="00536A37"/>
    <w:rsid w:val="00536A90"/>
    <w:rsid w:val="00536B09"/>
    <w:rsid w:val="00536B10"/>
    <w:rsid w:val="00536B45"/>
    <w:rsid w:val="00536B78"/>
    <w:rsid w:val="00536BDE"/>
    <w:rsid w:val="00536C97"/>
    <w:rsid w:val="00536CA5"/>
    <w:rsid w:val="00536D72"/>
    <w:rsid w:val="00536DC8"/>
    <w:rsid w:val="00536E80"/>
    <w:rsid w:val="00536EA4"/>
    <w:rsid w:val="00536F1A"/>
    <w:rsid w:val="00536FE5"/>
    <w:rsid w:val="0053703B"/>
    <w:rsid w:val="005370CA"/>
    <w:rsid w:val="00537102"/>
    <w:rsid w:val="00537128"/>
    <w:rsid w:val="0053719D"/>
    <w:rsid w:val="005371A4"/>
    <w:rsid w:val="005371CF"/>
    <w:rsid w:val="005371FE"/>
    <w:rsid w:val="00537225"/>
    <w:rsid w:val="0053723D"/>
    <w:rsid w:val="00537277"/>
    <w:rsid w:val="00537285"/>
    <w:rsid w:val="005372D8"/>
    <w:rsid w:val="005373BF"/>
    <w:rsid w:val="0053745B"/>
    <w:rsid w:val="00537462"/>
    <w:rsid w:val="005374AF"/>
    <w:rsid w:val="005374E9"/>
    <w:rsid w:val="00537559"/>
    <w:rsid w:val="005375B4"/>
    <w:rsid w:val="005375CE"/>
    <w:rsid w:val="005375DB"/>
    <w:rsid w:val="005375F9"/>
    <w:rsid w:val="00537617"/>
    <w:rsid w:val="00537724"/>
    <w:rsid w:val="00537754"/>
    <w:rsid w:val="00537788"/>
    <w:rsid w:val="0053783F"/>
    <w:rsid w:val="00537872"/>
    <w:rsid w:val="00537912"/>
    <w:rsid w:val="00537B2D"/>
    <w:rsid w:val="00537BDF"/>
    <w:rsid w:val="00537BF0"/>
    <w:rsid w:val="00537BFB"/>
    <w:rsid w:val="00537C98"/>
    <w:rsid w:val="00537CB4"/>
    <w:rsid w:val="00537D1E"/>
    <w:rsid w:val="00537D4D"/>
    <w:rsid w:val="00537D81"/>
    <w:rsid w:val="00537E5A"/>
    <w:rsid w:val="005400C3"/>
    <w:rsid w:val="0054010E"/>
    <w:rsid w:val="00540139"/>
    <w:rsid w:val="00540167"/>
    <w:rsid w:val="005401B4"/>
    <w:rsid w:val="00540241"/>
    <w:rsid w:val="00540282"/>
    <w:rsid w:val="005402CA"/>
    <w:rsid w:val="005402FE"/>
    <w:rsid w:val="0054049C"/>
    <w:rsid w:val="0054050A"/>
    <w:rsid w:val="00540553"/>
    <w:rsid w:val="005405A2"/>
    <w:rsid w:val="00540634"/>
    <w:rsid w:val="005406AF"/>
    <w:rsid w:val="005406B7"/>
    <w:rsid w:val="005406B9"/>
    <w:rsid w:val="005406CC"/>
    <w:rsid w:val="0054074A"/>
    <w:rsid w:val="0054084A"/>
    <w:rsid w:val="0054089A"/>
    <w:rsid w:val="005408B7"/>
    <w:rsid w:val="005408F1"/>
    <w:rsid w:val="00540929"/>
    <w:rsid w:val="00540946"/>
    <w:rsid w:val="0054095A"/>
    <w:rsid w:val="005409A9"/>
    <w:rsid w:val="005409B5"/>
    <w:rsid w:val="00540A29"/>
    <w:rsid w:val="00540A65"/>
    <w:rsid w:val="00540AF1"/>
    <w:rsid w:val="00540B34"/>
    <w:rsid w:val="00540C1F"/>
    <w:rsid w:val="00540C83"/>
    <w:rsid w:val="00540CEE"/>
    <w:rsid w:val="00540D10"/>
    <w:rsid w:val="00540D40"/>
    <w:rsid w:val="00540D5D"/>
    <w:rsid w:val="00540D66"/>
    <w:rsid w:val="00540D69"/>
    <w:rsid w:val="00540D7B"/>
    <w:rsid w:val="00540D9C"/>
    <w:rsid w:val="00540E15"/>
    <w:rsid w:val="00540E49"/>
    <w:rsid w:val="00540E54"/>
    <w:rsid w:val="00540ECB"/>
    <w:rsid w:val="00540ECE"/>
    <w:rsid w:val="00540EE6"/>
    <w:rsid w:val="00540EF4"/>
    <w:rsid w:val="00540FCF"/>
    <w:rsid w:val="00541098"/>
    <w:rsid w:val="005410BB"/>
    <w:rsid w:val="005411A0"/>
    <w:rsid w:val="00541237"/>
    <w:rsid w:val="00541288"/>
    <w:rsid w:val="00541298"/>
    <w:rsid w:val="005412B9"/>
    <w:rsid w:val="005412E8"/>
    <w:rsid w:val="00541309"/>
    <w:rsid w:val="0054135A"/>
    <w:rsid w:val="0054140F"/>
    <w:rsid w:val="00541433"/>
    <w:rsid w:val="005414CF"/>
    <w:rsid w:val="005414FE"/>
    <w:rsid w:val="00541540"/>
    <w:rsid w:val="0054157D"/>
    <w:rsid w:val="00541587"/>
    <w:rsid w:val="005416E8"/>
    <w:rsid w:val="0054170F"/>
    <w:rsid w:val="0054177C"/>
    <w:rsid w:val="00541915"/>
    <w:rsid w:val="005419A9"/>
    <w:rsid w:val="00541AC1"/>
    <w:rsid w:val="00541B3E"/>
    <w:rsid w:val="00541B49"/>
    <w:rsid w:val="00541B71"/>
    <w:rsid w:val="00541C8A"/>
    <w:rsid w:val="00541CAC"/>
    <w:rsid w:val="00541CB2"/>
    <w:rsid w:val="00541D7B"/>
    <w:rsid w:val="00541D97"/>
    <w:rsid w:val="00541DAA"/>
    <w:rsid w:val="00541F70"/>
    <w:rsid w:val="00541FF1"/>
    <w:rsid w:val="0054201F"/>
    <w:rsid w:val="00542032"/>
    <w:rsid w:val="00542077"/>
    <w:rsid w:val="005420AF"/>
    <w:rsid w:val="00542106"/>
    <w:rsid w:val="00542182"/>
    <w:rsid w:val="005421C8"/>
    <w:rsid w:val="0054222F"/>
    <w:rsid w:val="005422E1"/>
    <w:rsid w:val="0054246E"/>
    <w:rsid w:val="00542493"/>
    <w:rsid w:val="005424FE"/>
    <w:rsid w:val="0054254E"/>
    <w:rsid w:val="00542590"/>
    <w:rsid w:val="005426A0"/>
    <w:rsid w:val="005426F4"/>
    <w:rsid w:val="00542733"/>
    <w:rsid w:val="00542798"/>
    <w:rsid w:val="00542811"/>
    <w:rsid w:val="0054281C"/>
    <w:rsid w:val="0054285F"/>
    <w:rsid w:val="00542892"/>
    <w:rsid w:val="005428C5"/>
    <w:rsid w:val="005428DD"/>
    <w:rsid w:val="005428E9"/>
    <w:rsid w:val="00542936"/>
    <w:rsid w:val="0054298F"/>
    <w:rsid w:val="00542A70"/>
    <w:rsid w:val="00542AC9"/>
    <w:rsid w:val="00542ADB"/>
    <w:rsid w:val="00542BC2"/>
    <w:rsid w:val="00542C05"/>
    <w:rsid w:val="00542C69"/>
    <w:rsid w:val="00542D46"/>
    <w:rsid w:val="00542E40"/>
    <w:rsid w:val="00542E7C"/>
    <w:rsid w:val="00542E85"/>
    <w:rsid w:val="00542ED1"/>
    <w:rsid w:val="00542F0F"/>
    <w:rsid w:val="00542F28"/>
    <w:rsid w:val="00542FE3"/>
    <w:rsid w:val="00543079"/>
    <w:rsid w:val="00543120"/>
    <w:rsid w:val="00543142"/>
    <w:rsid w:val="005431BC"/>
    <w:rsid w:val="005431C1"/>
    <w:rsid w:val="00543289"/>
    <w:rsid w:val="0054331F"/>
    <w:rsid w:val="0054332B"/>
    <w:rsid w:val="00543364"/>
    <w:rsid w:val="0054343A"/>
    <w:rsid w:val="0054355C"/>
    <w:rsid w:val="0054359A"/>
    <w:rsid w:val="0054361F"/>
    <w:rsid w:val="00543669"/>
    <w:rsid w:val="005436ED"/>
    <w:rsid w:val="0054371E"/>
    <w:rsid w:val="00543738"/>
    <w:rsid w:val="00543744"/>
    <w:rsid w:val="00543832"/>
    <w:rsid w:val="00543898"/>
    <w:rsid w:val="0054391A"/>
    <w:rsid w:val="0054391D"/>
    <w:rsid w:val="0054394F"/>
    <w:rsid w:val="005439CD"/>
    <w:rsid w:val="005439DD"/>
    <w:rsid w:val="005439F3"/>
    <w:rsid w:val="00543A0C"/>
    <w:rsid w:val="00543A30"/>
    <w:rsid w:val="00543A93"/>
    <w:rsid w:val="00543B5A"/>
    <w:rsid w:val="00543C1A"/>
    <w:rsid w:val="00543C43"/>
    <w:rsid w:val="00543CDF"/>
    <w:rsid w:val="00543D18"/>
    <w:rsid w:val="00543DDC"/>
    <w:rsid w:val="00543DE4"/>
    <w:rsid w:val="00543DF8"/>
    <w:rsid w:val="00543DFA"/>
    <w:rsid w:val="00543E44"/>
    <w:rsid w:val="00543E83"/>
    <w:rsid w:val="00543EF9"/>
    <w:rsid w:val="0054400B"/>
    <w:rsid w:val="00544059"/>
    <w:rsid w:val="0054416F"/>
    <w:rsid w:val="005441D5"/>
    <w:rsid w:val="00544245"/>
    <w:rsid w:val="005443C9"/>
    <w:rsid w:val="00544443"/>
    <w:rsid w:val="0054450E"/>
    <w:rsid w:val="0054470F"/>
    <w:rsid w:val="005447A8"/>
    <w:rsid w:val="00544836"/>
    <w:rsid w:val="0054491E"/>
    <w:rsid w:val="00544921"/>
    <w:rsid w:val="00544A20"/>
    <w:rsid w:val="00544AAA"/>
    <w:rsid w:val="00544AE4"/>
    <w:rsid w:val="00544B5A"/>
    <w:rsid w:val="00544BB0"/>
    <w:rsid w:val="00544C4D"/>
    <w:rsid w:val="00544D61"/>
    <w:rsid w:val="00544D6A"/>
    <w:rsid w:val="00544D73"/>
    <w:rsid w:val="00544E2C"/>
    <w:rsid w:val="00544E4A"/>
    <w:rsid w:val="00544F05"/>
    <w:rsid w:val="00544F06"/>
    <w:rsid w:val="00544FCA"/>
    <w:rsid w:val="00545125"/>
    <w:rsid w:val="0054513D"/>
    <w:rsid w:val="0054522C"/>
    <w:rsid w:val="005452E5"/>
    <w:rsid w:val="0054532F"/>
    <w:rsid w:val="00545352"/>
    <w:rsid w:val="0054539C"/>
    <w:rsid w:val="00545481"/>
    <w:rsid w:val="005454E5"/>
    <w:rsid w:val="005454F5"/>
    <w:rsid w:val="0054552E"/>
    <w:rsid w:val="0054554B"/>
    <w:rsid w:val="00545577"/>
    <w:rsid w:val="005455B0"/>
    <w:rsid w:val="005455E1"/>
    <w:rsid w:val="005455F9"/>
    <w:rsid w:val="0054565A"/>
    <w:rsid w:val="00545685"/>
    <w:rsid w:val="0054584B"/>
    <w:rsid w:val="005458F0"/>
    <w:rsid w:val="0054599A"/>
    <w:rsid w:val="005459D9"/>
    <w:rsid w:val="005459FB"/>
    <w:rsid w:val="00545A6F"/>
    <w:rsid w:val="00545B2F"/>
    <w:rsid w:val="00545B6A"/>
    <w:rsid w:val="00545BD5"/>
    <w:rsid w:val="00545D32"/>
    <w:rsid w:val="00545E2D"/>
    <w:rsid w:val="00545EF7"/>
    <w:rsid w:val="00545F11"/>
    <w:rsid w:val="00545FEE"/>
    <w:rsid w:val="005460B2"/>
    <w:rsid w:val="005460EC"/>
    <w:rsid w:val="00546108"/>
    <w:rsid w:val="0054611C"/>
    <w:rsid w:val="0054615A"/>
    <w:rsid w:val="0054617B"/>
    <w:rsid w:val="005461C4"/>
    <w:rsid w:val="005461F9"/>
    <w:rsid w:val="005462D5"/>
    <w:rsid w:val="005462F1"/>
    <w:rsid w:val="0054641A"/>
    <w:rsid w:val="00546509"/>
    <w:rsid w:val="00546517"/>
    <w:rsid w:val="00546555"/>
    <w:rsid w:val="005465A7"/>
    <w:rsid w:val="00546617"/>
    <w:rsid w:val="00546697"/>
    <w:rsid w:val="005466A1"/>
    <w:rsid w:val="005466F2"/>
    <w:rsid w:val="0054670F"/>
    <w:rsid w:val="00546807"/>
    <w:rsid w:val="00546961"/>
    <w:rsid w:val="00546A5C"/>
    <w:rsid w:val="00546AA0"/>
    <w:rsid w:val="00546ABC"/>
    <w:rsid w:val="00546C81"/>
    <w:rsid w:val="00546CA4"/>
    <w:rsid w:val="00546CD5"/>
    <w:rsid w:val="00546D08"/>
    <w:rsid w:val="00546ED5"/>
    <w:rsid w:val="00546F18"/>
    <w:rsid w:val="00546F3C"/>
    <w:rsid w:val="00546F86"/>
    <w:rsid w:val="00546FC3"/>
    <w:rsid w:val="00547018"/>
    <w:rsid w:val="005470E6"/>
    <w:rsid w:val="0054713E"/>
    <w:rsid w:val="0054716E"/>
    <w:rsid w:val="005471CF"/>
    <w:rsid w:val="0054724F"/>
    <w:rsid w:val="005472AF"/>
    <w:rsid w:val="005472E7"/>
    <w:rsid w:val="005472EA"/>
    <w:rsid w:val="00547363"/>
    <w:rsid w:val="005473E5"/>
    <w:rsid w:val="00547487"/>
    <w:rsid w:val="005474BF"/>
    <w:rsid w:val="005474FC"/>
    <w:rsid w:val="00547533"/>
    <w:rsid w:val="005475B8"/>
    <w:rsid w:val="005475B9"/>
    <w:rsid w:val="00547607"/>
    <w:rsid w:val="00547677"/>
    <w:rsid w:val="005478BF"/>
    <w:rsid w:val="005478FA"/>
    <w:rsid w:val="00547913"/>
    <w:rsid w:val="00547917"/>
    <w:rsid w:val="0054794C"/>
    <w:rsid w:val="00547ACB"/>
    <w:rsid w:val="00547B6D"/>
    <w:rsid w:val="00547BDF"/>
    <w:rsid w:val="00547C1C"/>
    <w:rsid w:val="00547C25"/>
    <w:rsid w:val="00547C41"/>
    <w:rsid w:val="00547EEE"/>
    <w:rsid w:val="00547EF7"/>
    <w:rsid w:val="00547FE2"/>
    <w:rsid w:val="005502D5"/>
    <w:rsid w:val="005502FD"/>
    <w:rsid w:val="0055044E"/>
    <w:rsid w:val="00550485"/>
    <w:rsid w:val="00550652"/>
    <w:rsid w:val="005506FB"/>
    <w:rsid w:val="005508BD"/>
    <w:rsid w:val="005508FE"/>
    <w:rsid w:val="0055090D"/>
    <w:rsid w:val="00550975"/>
    <w:rsid w:val="00550A77"/>
    <w:rsid w:val="00550AD4"/>
    <w:rsid w:val="00550B03"/>
    <w:rsid w:val="00550B1D"/>
    <w:rsid w:val="00550B51"/>
    <w:rsid w:val="00550BDF"/>
    <w:rsid w:val="00550C19"/>
    <w:rsid w:val="00550C49"/>
    <w:rsid w:val="00550C62"/>
    <w:rsid w:val="00550E09"/>
    <w:rsid w:val="00550E8D"/>
    <w:rsid w:val="00550EA1"/>
    <w:rsid w:val="00550F57"/>
    <w:rsid w:val="00550F5B"/>
    <w:rsid w:val="005510CA"/>
    <w:rsid w:val="005510F5"/>
    <w:rsid w:val="0055124D"/>
    <w:rsid w:val="005512AB"/>
    <w:rsid w:val="0055133E"/>
    <w:rsid w:val="00551357"/>
    <w:rsid w:val="005513E5"/>
    <w:rsid w:val="0055140F"/>
    <w:rsid w:val="00551597"/>
    <w:rsid w:val="005515EB"/>
    <w:rsid w:val="0055173C"/>
    <w:rsid w:val="00551796"/>
    <w:rsid w:val="00551858"/>
    <w:rsid w:val="00551966"/>
    <w:rsid w:val="00551A7D"/>
    <w:rsid w:val="00551AAD"/>
    <w:rsid w:val="00551B41"/>
    <w:rsid w:val="00551B5B"/>
    <w:rsid w:val="00551B78"/>
    <w:rsid w:val="00551B91"/>
    <w:rsid w:val="00551C92"/>
    <w:rsid w:val="00551D2E"/>
    <w:rsid w:val="00551D60"/>
    <w:rsid w:val="00551DB4"/>
    <w:rsid w:val="00551DCB"/>
    <w:rsid w:val="00551EA0"/>
    <w:rsid w:val="00551EA6"/>
    <w:rsid w:val="00551EC3"/>
    <w:rsid w:val="00551F3C"/>
    <w:rsid w:val="00551FCF"/>
    <w:rsid w:val="00551FE8"/>
    <w:rsid w:val="005520A5"/>
    <w:rsid w:val="005521DD"/>
    <w:rsid w:val="005522A8"/>
    <w:rsid w:val="005522C5"/>
    <w:rsid w:val="00552336"/>
    <w:rsid w:val="00552424"/>
    <w:rsid w:val="0055242A"/>
    <w:rsid w:val="005524DB"/>
    <w:rsid w:val="005524E7"/>
    <w:rsid w:val="00552558"/>
    <w:rsid w:val="00552640"/>
    <w:rsid w:val="0055265E"/>
    <w:rsid w:val="00552708"/>
    <w:rsid w:val="00552735"/>
    <w:rsid w:val="00552788"/>
    <w:rsid w:val="005527C0"/>
    <w:rsid w:val="005527D6"/>
    <w:rsid w:val="005527EB"/>
    <w:rsid w:val="00552892"/>
    <w:rsid w:val="005528C9"/>
    <w:rsid w:val="00552964"/>
    <w:rsid w:val="005529B8"/>
    <w:rsid w:val="00552AA5"/>
    <w:rsid w:val="00552AAF"/>
    <w:rsid w:val="00552BD0"/>
    <w:rsid w:val="00552C7F"/>
    <w:rsid w:val="00552C83"/>
    <w:rsid w:val="00552D11"/>
    <w:rsid w:val="00552D86"/>
    <w:rsid w:val="00552DC2"/>
    <w:rsid w:val="00552E1C"/>
    <w:rsid w:val="00552E7E"/>
    <w:rsid w:val="00552F19"/>
    <w:rsid w:val="00552F2C"/>
    <w:rsid w:val="00552F65"/>
    <w:rsid w:val="00552F7F"/>
    <w:rsid w:val="00552FD1"/>
    <w:rsid w:val="0055300D"/>
    <w:rsid w:val="00553028"/>
    <w:rsid w:val="0055304B"/>
    <w:rsid w:val="00553157"/>
    <w:rsid w:val="00553163"/>
    <w:rsid w:val="00553206"/>
    <w:rsid w:val="005532A5"/>
    <w:rsid w:val="00553312"/>
    <w:rsid w:val="0055334E"/>
    <w:rsid w:val="00553539"/>
    <w:rsid w:val="00553577"/>
    <w:rsid w:val="005535D2"/>
    <w:rsid w:val="005535F9"/>
    <w:rsid w:val="00553602"/>
    <w:rsid w:val="0055377B"/>
    <w:rsid w:val="005537DA"/>
    <w:rsid w:val="005537E3"/>
    <w:rsid w:val="00553838"/>
    <w:rsid w:val="00553873"/>
    <w:rsid w:val="0055390D"/>
    <w:rsid w:val="00553922"/>
    <w:rsid w:val="00553958"/>
    <w:rsid w:val="00553A2D"/>
    <w:rsid w:val="00553AD4"/>
    <w:rsid w:val="00553B1A"/>
    <w:rsid w:val="00553C49"/>
    <w:rsid w:val="00553C74"/>
    <w:rsid w:val="00553D13"/>
    <w:rsid w:val="00553D67"/>
    <w:rsid w:val="00553DAE"/>
    <w:rsid w:val="00553E12"/>
    <w:rsid w:val="00553E17"/>
    <w:rsid w:val="00553E65"/>
    <w:rsid w:val="00553F1B"/>
    <w:rsid w:val="00553F91"/>
    <w:rsid w:val="00553FA0"/>
    <w:rsid w:val="00553FEA"/>
    <w:rsid w:val="00554058"/>
    <w:rsid w:val="005540E7"/>
    <w:rsid w:val="00554126"/>
    <w:rsid w:val="00554146"/>
    <w:rsid w:val="0055423B"/>
    <w:rsid w:val="00554355"/>
    <w:rsid w:val="005543F5"/>
    <w:rsid w:val="00554425"/>
    <w:rsid w:val="00554488"/>
    <w:rsid w:val="00554519"/>
    <w:rsid w:val="0055452D"/>
    <w:rsid w:val="005545A3"/>
    <w:rsid w:val="005545CE"/>
    <w:rsid w:val="005545D1"/>
    <w:rsid w:val="005545F8"/>
    <w:rsid w:val="00554731"/>
    <w:rsid w:val="00554757"/>
    <w:rsid w:val="005547B3"/>
    <w:rsid w:val="005547F5"/>
    <w:rsid w:val="005548A6"/>
    <w:rsid w:val="005548BA"/>
    <w:rsid w:val="005548BC"/>
    <w:rsid w:val="00554937"/>
    <w:rsid w:val="00554948"/>
    <w:rsid w:val="00554954"/>
    <w:rsid w:val="00554957"/>
    <w:rsid w:val="005549A7"/>
    <w:rsid w:val="005549B3"/>
    <w:rsid w:val="005549F2"/>
    <w:rsid w:val="00554A2F"/>
    <w:rsid w:val="00554A3B"/>
    <w:rsid w:val="00554A73"/>
    <w:rsid w:val="00554BD0"/>
    <w:rsid w:val="00554C87"/>
    <w:rsid w:val="00554D68"/>
    <w:rsid w:val="00554D9F"/>
    <w:rsid w:val="00554DA0"/>
    <w:rsid w:val="00554DE6"/>
    <w:rsid w:val="00554E6E"/>
    <w:rsid w:val="00554EA8"/>
    <w:rsid w:val="00554F06"/>
    <w:rsid w:val="00554F33"/>
    <w:rsid w:val="00554FFF"/>
    <w:rsid w:val="0055502D"/>
    <w:rsid w:val="00555085"/>
    <w:rsid w:val="005550C5"/>
    <w:rsid w:val="0055514F"/>
    <w:rsid w:val="005551F6"/>
    <w:rsid w:val="0055527E"/>
    <w:rsid w:val="0055539B"/>
    <w:rsid w:val="005553D6"/>
    <w:rsid w:val="005553EE"/>
    <w:rsid w:val="00555425"/>
    <w:rsid w:val="0055545C"/>
    <w:rsid w:val="0055545D"/>
    <w:rsid w:val="00555473"/>
    <w:rsid w:val="00555490"/>
    <w:rsid w:val="005554F3"/>
    <w:rsid w:val="005555AC"/>
    <w:rsid w:val="0055567E"/>
    <w:rsid w:val="005556B3"/>
    <w:rsid w:val="00555704"/>
    <w:rsid w:val="0055581A"/>
    <w:rsid w:val="00555858"/>
    <w:rsid w:val="005558B3"/>
    <w:rsid w:val="00555A04"/>
    <w:rsid w:val="00555AC5"/>
    <w:rsid w:val="00555B08"/>
    <w:rsid w:val="00555B2C"/>
    <w:rsid w:val="00555BDF"/>
    <w:rsid w:val="00555BE7"/>
    <w:rsid w:val="00555CCE"/>
    <w:rsid w:val="00555CE4"/>
    <w:rsid w:val="00555CEB"/>
    <w:rsid w:val="00555D0F"/>
    <w:rsid w:val="00555D10"/>
    <w:rsid w:val="00555D39"/>
    <w:rsid w:val="00555E4D"/>
    <w:rsid w:val="00555E9F"/>
    <w:rsid w:val="00555ECC"/>
    <w:rsid w:val="00555EF5"/>
    <w:rsid w:val="00555F26"/>
    <w:rsid w:val="00555F82"/>
    <w:rsid w:val="00555FC7"/>
    <w:rsid w:val="00555FCA"/>
    <w:rsid w:val="00556046"/>
    <w:rsid w:val="00556079"/>
    <w:rsid w:val="0055614D"/>
    <w:rsid w:val="00556168"/>
    <w:rsid w:val="0055637B"/>
    <w:rsid w:val="00556393"/>
    <w:rsid w:val="005563BB"/>
    <w:rsid w:val="005563DD"/>
    <w:rsid w:val="005563F6"/>
    <w:rsid w:val="005563FC"/>
    <w:rsid w:val="005564BA"/>
    <w:rsid w:val="00556533"/>
    <w:rsid w:val="00556569"/>
    <w:rsid w:val="0055656A"/>
    <w:rsid w:val="00556765"/>
    <w:rsid w:val="0055679C"/>
    <w:rsid w:val="005567C1"/>
    <w:rsid w:val="005567C5"/>
    <w:rsid w:val="005567E4"/>
    <w:rsid w:val="005568A9"/>
    <w:rsid w:val="005568CF"/>
    <w:rsid w:val="00556904"/>
    <w:rsid w:val="005569DB"/>
    <w:rsid w:val="00556BED"/>
    <w:rsid w:val="00556C33"/>
    <w:rsid w:val="00556C3E"/>
    <w:rsid w:val="00556C6E"/>
    <w:rsid w:val="00556CA7"/>
    <w:rsid w:val="00556D8A"/>
    <w:rsid w:val="00556E9E"/>
    <w:rsid w:val="00556ED9"/>
    <w:rsid w:val="00556F42"/>
    <w:rsid w:val="0055703E"/>
    <w:rsid w:val="00557040"/>
    <w:rsid w:val="0055704F"/>
    <w:rsid w:val="0055709E"/>
    <w:rsid w:val="005570D4"/>
    <w:rsid w:val="00557141"/>
    <w:rsid w:val="0055714E"/>
    <w:rsid w:val="0055716E"/>
    <w:rsid w:val="0055718E"/>
    <w:rsid w:val="0055730F"/>
    <w:rsid w:val="00557329"/>
    <w:rsid w:val="005574CD"/>
    <w:rsid w:val="00557575"/>
    <w:rsid w:val="0055763E"/>
    <w:rsid w:val="00557688"/>
    <w:rsid w:val="005576C9"/>
    <w:rsid w:val="00557703"/>
    <w:rsid w:val="00557704"/>
    <w:rsid w:val="0055773F"/>
    <w:rsid w:val="0055774A"/>
    <w:rsid w:val="00557757"/>
    <w:rsid w:val="00557809"/>
    <w:rsid w:val="0055780F"/>
    <w:rsid w:val="0055785E"/>
    <w:rsid w:val="0055785F"/>
    <w:rsid w:val="0055786C"/>
    <w:rsid w:val="00557893"/>
    <w:rsid w:val="0055789D"/>
    <w:rsid w:val="005578C2"/>
    <w:rsid w:val="005579DA"/>
    <w:rsid w:val="005579DD"/>
    <w:rsid w:val="00557A7A"/>
    <w:rsid w:val="00557AA2"/>
    <w:rsid w:val="00557B82"/>
    <w:rsid w:val="00557BE2"/>
    <w:rsid w:val="00557C6F"/>
    <w:rsid w:val="00557DD2"/>
    <w:rsid w:val="00557DD7"/>
    <w:rsid w:val="00557EC0"/>
    <w:rsid w:val="00557EF8"/>
    <w:rsid w:val="00557EFB"/>
    <w:rsid w:val="005600A3"/>
    <w:rsid w:val="005600AC"/>
    <w:rsid w:val="005600C8"/>
    <w:rsid w:val="005600F9"/>
    <w:rsid w:val="005601A7"/>
    <w:rsid w:val="0056026D"/>
    <w:rsid w:val="005602A0"/>
    <w:rsid w:val="005602C7"/>
    <w:rsid w:val="00560326"/>
    <w:rsid w:val="00560378"/>
    <w:rsid w:val="005603C1"/>
    <w:rsid w:val="005603D5"/>
    <w:rsid w:val="00560413"/>
    <w:rsid w:val="00560440"/>
    <w:rsid w:val="00560455"/>
    <w:rsid w:val="005604AD"/>
    <w:rsid w:val="00560533"/>
    <w:rsid w:val="00560595"/>
    <w:rsid w:val="00560601"/>
    <w:rsid w:val="00560663"/>
    <w:rsid w:val="0056069D"/>
    <w:rsid w:val="005606B8"/>
    <w:rsid w:val="00560762"/>
    <w:rsid w:val="00560890"/>
    <w:rsid w:val="005608D2"/>
    <w:rsid w:val="00560929"/>
    <w:rsid w:val="00560A72"/>
    <w:rsid w:val="00560AE0"/>
    <w:rsid w:val="00560B84"/>
    <w:rsid w:val="00560BA4"/>
    <w:rsid w:val="00560BB1"/>
    <w:rsid w:val="00560C58"/>
    <w:rsid w:val="00560C5E"/>
    <w:rsid w:val="00560C7C"/>
    <w:rsid w:val="00560CB4"/>
    <w:rsid w:val="00560D93"/>
    <w:rsid w:val="00560E40"/>
    <w:rsid w:val="00560EAD"/>
    <w:rsid w:val="00560EE6"/>
    <w:rsid w:val="00560F0A"/>
    <w:rsid w:val="00560F99"/>
    <w:rsid w:val="00560F9A"/>
    <w:rsid w:val="00561157"/>
    <w:rsid w:val="00561215"/>
    <w:rsid w:val="0056134D"/>
    <w:rsid w:val="00561442"/>
    <w:rsid w:val="0056147B"/>
    <w:rsid w:val="00561487"/>
    <w:rsid w:val="005614A0"/>
    <w:rsid w:val="005614A3"/>
    <w:rsid w:val="00561521"/>
    <w:rsid w:val="0056172D"/>
    <w:rsid w:val="005617B1"/>
    <w:rsid w:val="00561802"/>
    <w:rsid w:val="00561831"/>
    <w:rsid w:val="0056183B"/>
    <w:rsid w:val="00561866"/>
    <w:rsid w:val="0056197A"/>
    <w:rsid w:val="005619C1"/>
    <w:rsid w:val="00561AD6"/>
    <w:rsid w:val="00561B63"/>
    <w:rsid w:val="00561B7E"/>
    <w:rsid w:val="00561B9B"/>
    <w:rsid w:val="00561CD8"/>
    <w:rsid w:val="00561ECA"/>
    <w:rsid w:val="00561F47"/>
    <w:rsid w:val="00561F5E"/>
    <w:rsid w:val="005621F1"/>
    <w:rsid w:val="005623B3"/>
    <w:rsid w:val="005624EF"/>
    <w:rsid w:val="00562606"/>
    <w:rsid w:val="0056263C"/>
    <w:rsid w:val="005626AB"/>
    <w:rsid w:val="005626D7"/>
    <w:rsid w:val="005626F9"/>
    <w:rsid w:val="0056270E"/>
    <w:rsid w:val="0056277E"/>
    <w:rsid w:val="0056283B"/>
    <w:rsid w:val="00562849"/>
    <w:rsid w:val="0056285B"/>
    <w:rsid w:val="005629D4"/>
    <w:rsid w:val="00562B45"/>
    <w:rsid w:val="00562B98"/>
    <w:rsid w:val="00562CBC"/>
    <w:rsid w:val="00562D31"/>
    <w:rsid w:val="00562D34"/>
    <w:rsid w:val="00562D56"/>
    <w:rsid w:val="00562D7F"/>
    <w:rsid w:val="00562DF0"/>
    <w:rsid w:val="00562E17"/>
    <w:rsid w:val="00562E5F"/>
    <w:rsid w:val="00562E74"/>
    <w:rsid w:val="00562EBE"/>
    <w:rsid w:val="00562EFB"/>
    <w:rsid w:val="00563000"/>
    <w:rsid w:val="0056305F"/>
    <w:rsid w:val="0056310A"/>
    <w:rsid w:val="00563123"/>
    <w:rsid w:val="0056315D"/>
    <w:rsid w:val="0056318D"/>
    <w:rsid w:val="00563220"/>
    <w:rsid w:val="00563294"/>
    <w:rsid w:val="005632DF"/>
    <w:rsid w:val="00563327"/>
    <w:rsid w:val="00563363"/>
    <w:rsid w:val="00563387"/>
    <w:rsid w:val="00563479"/>
    <w:rsid w:val="00563496"/>
    <w:rsid w:val="0056354B"/>
    <w:rsid w:val="0056358A"/>
    <w:rsid w:val="0056362E"/>
    <w:rsid w:val="005636D7"/>
    <w:rsid w:val="005636E6"/>
    <w:rsid w:val="0056373B"/>
    <w:rsid w:val="005637D4"/>
    <w:rsid w:val="0056394A"/>
    <w:rsid w:val="00563A2E"/>
    <w:rsid w:val="00563A73"/>
    <w:rsid w:val="00563A7E"/>
    <w:rsid w:val="00563A8F"/>
    <w:rsid w:val="00563B9B"/>
    <w:rsid w:val="00563C72"/>
    <w:rsid w:val="00563C89"/>
    <w:rsid w:val="00563D01"/>
    <w:rsid w:val="00563D14"/>
    <w:rsid w:val="00563D51"/>
    <w:rsid w:val="00563DE6"/>
    <w:rsid w:val="00563DF9"/>
    <w:rsid w:val="00563E91"/>
    <w:rsid w:val="00563F5D"/>
    <w:rsid w:val="00564121"/>
    <w:rsid w:val="0056414B"/>
    <w:rsid w:val="005641A1"/>
    <w:rsid w:val="005641F1"/>
    <w:rsid w:val="0056429D"/>
    <w:rsid w:val="005642A4"/>
    <w:rsid w:val="00564371"/>
    <w:rsid w:val="005643C9"/>
    <w:rsid w:val="005643D3"/>
    <w:rsid w:val="0056441B"/>
    <w:rsid w:val="00564454"/>
    <w:rsid w:val="0056452D"/>
    <w:rsid w:val="005645D5"/>
    <w:rsid w:val="005645E5"/>
    <w:rsid w:val="0056464E"/>
    <w:rsid w:val="00564661"/>
    <w:rsid w:val="00564680"/>
    <w:rsid w:val="005646DE"/>
    <w:rsid w:val="0056474D"/>
    <w:rsid w:val="00564769"/>
    <w:rsid w:val="0056477B"/>
    <w:rsid w:val="00564912"/>
    <w:rsid w:val="00564971"/>
    <w:rsid w:val="005649B3"/>
    <w:rsid w:val="00564A16"/>
    <w:rsid w:val="00564A2A"/>
    <w:rsid w:val="00564AE2"/>
    <w:rsid w:val="00564AEF"/>
    <w:rsid w:val="00564BC4"/>
    <w:rsid w:val="00564CA6"/>
    <w:rsid w:val="00564CD3"/>
    <w:rsid w:val="00564CD6"/>
    <w:rsid w:val="00564CE3"/>
    <w:rsid w:val="00564CE4"/>
    <w:rsid w:val="00564EE5"/>
    <w:rsid w:val="00564F14"/>
    <w:rsid w:val="00564F5A"/>
    <w:rsid w:val="00564F96"/>
    <w:rsid w:val="00564FB9"/>
    <w:rsid w:val="00564FBE"/>
    <w:rsid w:val="00564FF2"/>
    <w:rsid w:val="00564FFD"/>
    <w:rsid w:val="00565073"/>
    <w:rsid w:val="005650CE"/>
    <w:rsid w:val="005650FD"/>
    <w:rsid w:val="00565105"/>
    <w:rsid w:val="00565201"/>
    <w:rsid w:val="00565205"/>
    <w:rsid w:val="0056525F"/>
    <w:rsid w:val="005652AD"/>
    <w:rsid w:val="0056535D"/>
    <w:rsid w:val="005653DC"/>
    <w:rsid w:val="00565424"/>
    <w:rsid w:val="005655BE"/>
    <w:rsid w:val="005655FF"/>
    <w:rsid w:val="0056560E"/>
    <w:rsid w:val="00565636"/>
    <w:rsid w:val="0056586D"/>
    <w:rsid w:val="00565939"/>
    <w:rsid w:val="005659D6"/>
    <w:rsid w:val="00565A1E"/>
    <w:rsid w:val="00565A4A"/>
    <w:rsid w:val="00565ABB"/>
    <w:rsid w:val="00565B38"/>
    <w:rsid w:val="00565C17"/>
    <w:rsid w:val="00565D9D"/>
    <w:rsid w:val="00565DF4"/>
    <w:rsid w:val="00565DFA"/>
    <w:rsid w:val="00565E0E"/>
    <w:rsid w:val="00565EB2"/>
    <w:rsid w:val="00565EC0"/>
    <w:rsid w:val="00566077"/>
    <w:rsid w:val="0056610C"/>
    <w:rsid w:val="005661F0"/>
    <w:rsid w:val="00566262"/>
    <w:rsid w:val="00566279"/>
    <w:rsid w:val="00566280"/>
    <w:rsid w:val="005662B9"/>
    <w:rsid w:val="00566367"/>
    <w:rsid w:val="005663F4"/>
    <w:rsid w:val="005664BB"/>
    <w:rsid w:val="0056656B"/>
    <w:rsid w:val="00566618"/>
    <w:rsid w:val="0056665F"/>
    <w:rsid w:val="00566708"/>
    <w:rsid w:val="0056674F"/>
    <w:rsid w:val="00566784"/>
    <w:rsid w:val="0056679B"/>
    <w:rsid w:val="005667C3"/>
    <w:rsid w:val="005667CC"/>
    <w:rsid w:val="005667F5"/>
    <w:rsid w:val="00566897"/>
    <w:rsid w:val="00566A7A"/>
    <w:rsid w:val="00566A8F"/>
    <w:rsid w:val="00566AA9"/>
    <w:rsid w:val="00566AD7"/>
    <w:rsid w:val="00566B0C"/>
    <w:rsid w:val="00566B5E"/>
    <w:rsid w:val="00566D8B"/>
    <w:rsid w:val="00566DCF"/>
    <w:rsid w:val="00566E4D"/>
    <w:rsid w:val="00566E89"/>
    <w:rsid w:val="00566EE5"/>
    <w:rsid w:val="00566F36"/>
    <w:rsid w:val="00566F95"/>
    <w:rsid w:val="0056704D"/>
    <w:rsid w:val="00567059"/>
    <w:rsid w:val="00567116"/>
    <w:rsid w:val="0056712D"/>
    <w:rsid w:val="00567154"/>
    <w:rsid w:val="0056716C"/>
    <w:rsid w:val="005671A1"/>
    <w:rsid w:val="005671D9"/>
    <w:rsid w:val="00567271"/>
    <w:rsid w:val="005672CA"/>
    <w:rsid w:val="00567319"/>
    <w:rsid w:val="005673AC"/>
    <w:rsid w:val="0056749D"/>
    <w:rsid w:val="00567522"/>
    <w:rsid w:val="005675D3"/>
    <w:rsid w:val="005675DB"/>
    <w:rsid w:val="005675F7"/>
    <w:rsid w:val="00567690"/>
    <w:rsid w:val="005676EB"/>
    <w:rsid w:val="00567700"/>
    <w:rsid w:val="00567709"/>
    <w:rsid w:val="00567741"/>
    <w:rsid w:val="00567823"/>
    <w:rsid w:val="0056783F"/>
    <w:rsid w:val="005678B6"/>
    <w:rsid w:val="005678E3"/>
    <w:rsid w:val="005678F9"/>
    <w:rsid w:val="00567959"/>
    <w:rsid w:val="0056799A"/>
    <w:rsid w:val="005679DE"/>
    <w:rsid w:val="00567A5E"/>
    <w:rsid w:val="00567B04"/>
    <w:rsid w:val="00567BA2"/>
    <w:rsid w:val="00567C22"/>
    <w:rsid w:val="00567CB6"/>
    <w:rsid w:val="00567DF3"/>
    <w:rsid w:val="00567E1E"/>
    <w:rsid w:val="00567E2F"/>
    <w:rsid w:val="00567E9C"/>
    <w:rsid w:val="00567F5B"/>
    <w:rsid w:val="00567F6F"/>
    <w:rsid w:val="005700DC"/>
    <w:rsid w:val="00570109"/>
    <w:rsid w:val="00570166"/>
    <w:rsid w:val="005701E7"/>
    <w:rsid w:val="00570206"/>
    <w:rsid w:val="00570244"/>
    <w:rsid w:val="005702EF"/>
    <w:rsid w:val="005704B2"/>
    <w:rsid w:val="0057056C"/>
    <w:rsid w:val="00570595"/>
    <w:rsid w:val="00570660"/>
    <w:rsid w:val="005706D4"/>
    <w:rsid w:val="005706F8"/>
    <w:rsid w:val="005707A2"/>
    <w:rsid w:val="005707A7"/>
    <w:rsid w:val="00570990"/>
    <w:rsid w:val="005709A1"/>
    <w:rsid w:val="00570A45"/>
    <w:rsid w:val="00570A9F"/>
    <w:rsid w:val="00570AF5"/>
    <w:rsid w:val="00570BDA"/>
    <w:rsid w:val="00570CD7"/>
    <w:rsid w:val="00570D11"/>
    <w:rsid w:val="00570D4E"/>
    <w:rsid w:val="00570D89"/>
    <w:rsid w:val="00570E33"/>
    <w:rsid w:val="00570E3A"/>
    <w:rsid w:val="00570E49"/>
    <w:rsid w:val="00570E7B"/>
    <w:rsid w:val="00570EBE"/>
    <w:rsid w:val="00570F1F"/>
    <w:rsid w:val="00570F5E"/>
    <w:rsid w:val="00570FA9"/>
    <w:rsid w:val="00571029"/>
    <w:rsid w:val="00571039"/>
    <w:rsid w:val="005710F2"/>
    <w:rsid w:val="005711D6"/>
    <w:rsid w:val="0057122C"/>
    <w:rsid w:val="005712B6"/>
    <w:rsid w:val="005712DD"/>
    <w:rsid w:val="00571300"/>
    <w:rsid w:val="005713B8"/>
    <w:rsid w:val="0057141E"/>
    <w:rsid w:val="005714D2"/>
    <w:rsid w:val="005714E7"/>
    <w:rsid w:val="0057152A"/>
    <w:rsid w:val="0057157D"/>
    <w:rsid w:val="0057158D"/>
    <w:rsid w:val="005715BE"/>
    <w:rsid w:val="0057163A"/>
    <w:rsid w:val="005717F2"/>
    <w:rsid w:val="0057183B"/>
    <w:rsid w:val="005719A8"/>
    <w:rsid w:val="005719E5"/>
    <w:rsid w:val="00571A19"/>
    <w:rsid w:val="00571A27"/>
    <w:rsid w:val="00571A93"/>
    <w:rsid w:val="00571ABA"/>
    <w:rsid w:val="00571ACA"/>
    <w:rsid w:val="00571B1D"/>
    <w:rsid w:val="00571B20"/>
    <w:rsid w:val="00571BE1"/>
    <w:rsid w:val="00571C4A"/>
    <w:rsid w:val="00571C92"/>
    <w:rsid w:val="00571D20"/>
    <w:rsid w:val="00571D32"/>
    <w:rsid w:val="00571D80"/>
    <w:rsid w:val="00571EA0"/>
    <w:rsid w:val="00571ECA"/>
    <w:rsid w:val="00571EDD"/>
    <w:rsid w:val="00571F3F"/>
    <w:rsid w:val="00571FB9"/>
    <w:rsid w:val="00572042"/>
    <w:rsid w:val="005720BE"/>
    <w:rsid w:val="005720D8"/>
    <w:rsid w:val="0057215B"/>
    <w:rsid w:val="005721C4"/>
    <w:rsid w:val="005722AB"/>
    <w:rsid w:val="005722D0"/>
    <w:rsid w:val="005722D9"/>
    <w:rsid w:val="005723D6"/>
    <w:rsid w:val="005723E5"/>
    <w:rsid w:val="00572498"/>
    <w:rsid w:val="005724C2"/>
    <w:rsid w:val="005725D2"/>
    <w:rsid w:val="00572675"/>
    <w:rsid w:val="00572679"/>
    <w:rsid w:val="005726BE"/>
    <w:rsid w:val="005726DD"/>
    <w:rsid w:val="00572765"/>
    <w:rsid w:val="005728B1"/>
    <w:rsid w:val="005728BA"/>
    <w:rsid w:val="005728DF"/>
    <w:rsid w:val="00572992"/>
    <w:rsid w:val="005729DE"/>
    <w:rsid w:val="00572AA5"/>
    <w:rsid w:val="00572AAE"/>
    <w:rsid w:val="00572AC4"/>
    <w:rsid w:val="00572B3C"/>
    <w:rsid w:val="00572BBF"/>
    <w:rsid w:val="00572BCD"/>
    <w:rsid w:val="00572C44"/>
    <w:rsid w:val="00572C59"/>
    <w:rsid w:val="00572C9C"/>
    <w:rsid w:val="00572CDC"/>
    <w:rsid w:val="00572D6E"/>
    <w:rsid w:val="00572E2A"/>
    <w:rsid w:val="00572E51"/>
    <w:rsid w:val="00572EFB"/>
    <w:rsid w:val="00572FBF"/>
    <w:rsid w:val="0057300A"/>
    <w:rsid w:val="00573191"/>
    <w:rsid w:val="0057327F"/>
    <w:rsid w:val="005732CE"/>
    <w:rsid w:val="00573303"/>
    <w:rsid w:val="00573354"/>
    <w:rsid w:val="0057338D"/>
    <w:rsid w:val="005733FF"/>
    <w:rsid w:val="00573435"/>
    <w:rsid w:val="005734C5"/>
    <w:rsid w:val="00573535"/>
    <w:rsid w:val="00573589"/>
    <w:rsid w:val="005735E2"/>
    <w:rsid w:val="00573669"/>
    <w:rsid w:val="005736D9"/>
    <w:rsid w:val="00573722"/>
    <w:rsid w:val="00573AC8"/>
    <w:rsid w:val="00573B5E"/>
    <w:rsid w:val="00573B83"/>
    <w:rsid w:val="00573BA8"/>
    <w:rsid w:val="00573C0B"/>
    <w:rsid w:val="00573C61"/>
    <w:rsid w:val="00573E3E"/>
    <w:rsid w:val="00573F0C"/>
    <w:rsid w:val="00573F60"/>
    <w:rsid w:val="00573F8D"/>
    <w:rsid w:val="005740A0"/>
    <w:rsid w:val="00574176"/>
    <w:rsid w:val="005741F4"/>
    <w:rsid w:val="00574205"/>
    <w:rsid w:val="00574232"/>
    <w:rsid w:val="005743A7"/>
    <w:rsid w:val="0057443E"/>
    <w:rsid w:val="00574443"/>
    <w:rsid w:val="0057447B"/>
    <w:rsid w:val="005744C9"/>
    <w:rsid w:val="00574507"/>
    <w:rsid w:val="0057451C"/>
    <w:rsid w:val="00574524"/>
    <w:rsid w:val="0057456C"/>
    <w:rsid w:val="00574586"/>
    <w:rsid w:val="005746C3"/>
    <w:rsid w:val="00574719"/>
    <w:rsid w:val="005748E8"/>
    <w:rsid w:val="00574919"/>
    <w:rsid w:val="00574952"/>
    <w:rsid w:val="0057497E"/>
    <w:rsid w:val="005749C4"/>
    <w:rsid w:val="005749C5"/>
    <w:rsid w:val="005749EC"/>
    <w:rsid w:val="00574AE9"/>
    <w:rsid w:val="00574AF8"/>
    <w:rsid w:val="00574B61"/>
    <w:rsid w:val="00574BA7"/>
    <w:rsid w:val="00574C1F"/>
    <w:rsid w:val="00574D21"/>
    <w:rsid w:val="00574DBD"/>
    <w:rsid w:val="00574DE2"/>
    <w:rsid w:val="00574E44"/>
    <w:rsid w:val="00574E59"/>
    <w:rsid w:val="00574E8E"/>
    <w:rsid w:val="00575053"/>
    <w:rsid w:val="005750BB"/>
    <w:rsid w:val="00575204"/>
    <w:rsid w:val="00575259"/>
    <w:rsid w:val="0057528C"/>
    <w:rsid w:val="005752D6"/>
    <w:rsid w:val="005752D8"/>
    <w:rsid w:val="005752DC"/>
    <w:rsid w:val="00575365"/>
    <w:rsid w:val="00575420"/>
    <w:rsid w:val="005754D5"/>
    <w:rsid w:val="00575586"/>
    <w:rsid w:val="00575600"/>
    <w:rsid w:val="005756E6"/>
    <w:rsid w:val="0057577E"/>
    <w:rsid w:val="00575791"/>
    <w:rsid w:val="005757F6"/>
    <w:rsid w:val="005758FB"/>
    <w:rsid w:val="00575938"/>
    <w:rsid w:val="005759EF"/>
    <w:rsid w:val="00575A1D"/>
    <w:rsid w:val="00575A90"/>
    <w:rsid w:val="00575B52"/>
    <w:rsid w:val="00575C22"/>
    <w:rsid w:val="00575D73"/>
    <w:rsid w:val="00575E59"/>
    <w:rsid w:val="00575EE8"/>
    <w:rsid w:val="00575FFE"/>
    <w:rsid w:val="005760C0"/>
    <w:rsid w:val="0057614F"/>
    <w:rsid w:val="00576222"/>
    <w:rsid w:val="0057628E"/>
    <w:rsid w:val="00576306"/>
    <w:rsid w:val="0057637D"/>
    <w:rsid w:val="0057640F"/>
    <w:rsid w:val="00576475"/>
    <w:rsid w:val="005764B1"/>
    <w:rsid w:val="00576525"/>
    <w:rsid w:val="00576550"/>
    <w:rsid w:val="0057659F"/>
    <w:rsid w:val="00576629"/>
    <w:rsid w:val="00576689"/>
    <w:rsid w:val="005766E1"/>
    <w:rsid w:val="0057670C"/>
    <w:rsid w:val="00576808"/>
    <w:rsid w:val="0057684C"/>
    <w:rsid w:val="00576864"/>
    <w:rsid w:val="005768AD"/>
    <w:rsid w:val="005768E1"/>
    <w:rsid w:val="00576977"/>
    <w:rsid w:val="00576A08"/>
    <w:rsid w:val="00576A51"/>
    <w:rsid w:val="00576AA4"/>
    <w:rsid w:val="00576B0A"/>
    <w:rsid w:val="00576B8A"/>
    <w:rsid w:val="00576C23"/>
    <w:rsid w:val="00576CF8"/>
    <w:rsid w:val="00576D43"/>
    <w:rsid w:val="00576E8C"/>
    <w:rsid w:val="00576EEE"/>
    <w:rsid w:val="00576EFC"/>
    <w:rsid w:val="00576F12"/>
    <w:rsid w:val="00576F2C"/>
    <w:rsid w:val="00576F83"/>
    <w:rsid w:val="00576FDB"/>
    <w:rsid w:val="00576FDF"/>
    <w:rsid w:val="00577020"/>
    <w:rsid w:val="0057706D"/>
    <w:rsid w:val="00577160"/>
    <w:rsid w:val="0057719B"/>
    <w:rsid w:val="005771B6"/>
    <w:rsid w:val="0057722F"/>
    <w:rsid w:val="00577235"/>
    <w:rsid w:val="0057725A"/>
    <w:rsid w:val="005772CA"/>
    <w:rsid w:val="005772D1"/>
    <w:rsid w:val="005772E3"/>
    <w:rsid w:val="005773BD"/>
    <w:rsid w:val="005773D1"/>
    <w:rsid w:val="005773F6"/>
    <w:rsid w:val="0057744E"/>
    <w:rsid w:val="005775E8"/>
    <w:rsid w:val="00577629"/>
    <w:rsid w:val="0057762F"/>
    <w:rsid w:val="0057764E"/>
    <w:rsid w:val="00577661"/>
    <w:rsid w:val="00577709"/>
    <w:rsid w:val="005777E9"/>
    <w:rsid w:val="00577855"/>
    <w:rsid w:val="005778B8"/>
    <w:rsid w:val="005778D7"/>
    <w:rsid w:val="00577A40"/>
    <w:rsid w:val="00577AD1"/>
    <w:rsid w:val="00577AFD"/>
    <w:rsid w:val="00577C0C"/>
    <w:rsid w:val="00577C52"/>
    <w:rsid w:val="00577D13"/>
    <w:rsid w:val="00577D9E"/>
    <w:rsid w:val="00577DA1"/>
    <w:rsid w:val="00577DAE"/>
    <w:rsid w:val="00577E5A"/>
    <w:rsid w:val="00577EB3"/>
    <w:rsid w:val="00577EF2"/>
    <w:rsid w:val="00577F28"/>
    <w:rsid w:val="00577FC7"/>
    <w:rsid w:val="00577FF7"/>
    <w:rsid w:val="0058002E"/>
    <w:rsid w:val="005800AE"/>
    <w:rsid w:val="005800B8"/>
    <w:rsid w:val="005800D9"/>
    <w:rsid w:val="00580137"/>
    <w:rsid w:val="0058018A"/>
    <w:rsid w:val="005803DF"/>
    <w:rsid w:val="0058044D"/>
    <w:rsid w:val="00580467"/>
    <w:rsid w:val="005804DA"/>
    <w:rsid w:val="00580584"/>
    <w:rsid w:val="00580603"/>
    <w:rsid w:val="00580620"/>
    <w:rsid w:val="0058069A"/>
    <w:rsid w:val="0058072B"/>
    <w:rsid w:val="0058098A"/>
    <w:rsid w:val="0058099C"/>
    <w:rsid w:val="00580A0F"/>
    <w:rsid w:val="00580A18"/>
    <w:rsid w:val="00580A47"/>
    <w:rsid w:val="00580A74"/>
    <w:rsid w:val="00580A88"/>
    <w:rsid w:val="00580A9A"/>
    <w:rsid w:val="00580B94"/>
    <w:rsid w:val="00580BD9"/>
    <w:rsid w:val="00580C40"/>
    <w:rsid w:val="00580C8D"/>
    <w:rsid w:val="00580D9E"/>
    <w:rsid w:val="00580E1E"/>
    <w:rsid w:val="00580E23"/>
    <w:rsid w:val="00580E62"/>
    <w:rsid w:val="00580F16"/>
    <w:rsid w:val="00580F49"/>
    <w:rsid w:val="00580FEE"/>
    <w:rsid w:val="00581053"/>
    <w:rsid w:val="00581185"/>
    <w:rsid w:val="0058124F"/>
    <w:rsid w:val="0058125E"/>
    <w:rsid w:val="00581343"/>
    <w:rsid w:val="00581379"/>
    <w:rsid w:val="00581390"/>
    <w:rsid w:val="005813DD"/>
    <w:rsid w:val="005814B8"/>
    <w:rsid w:val="005814E7"/>
    <w:rsid w:val="0058158C"/>
    <w:rsid w:val="00581593"/>
    <w:rsid w:val="005815F2"/>
    <w:rsid w:val="005816E0"/>
    <w:rsid w:val="0058179B"/>
    <w:rsid w:val="005817A5"/>
    <w:rsid w:val="005818DD"/>
    <w:rsid w:val="0058193E"/>
    <w:rsid w:val="005819BB"/>
    <w:rsid w:val="00581B10"/>
    <w:rsid w:val="00581B2B"/>
    <w:rsid w:val="00581BD6"/>
    <w:rsid w:val="00581CE2"/>
    <w:rsid w:val="00581CE3"/>
    <w:rsid w:val="00581DA1"/>
    <w:rsid w:val="00581E19"/>
    <w:rsid w:val="00581F0A"/>
    <w:rsid w:val="00581F6E"/>
    <w:rsid w:val="0058204B"/>
    <w:rsid w:val="0058207E"/>
    <w:rsid w:val="00582136"/>
    <w:rsid w:val="005821AC"/>
    <w:rsid w:val="005821E7"/>
    <w:rsid w:val="0058220C"/>
    <w:rsid w:val="005822DE"/>
    <w:rsid w:val="00582329"/>
    <w:rsid w:val="00582350"/>
    <w:rsid w:val="005823B2"/>
    <w:rsid w:val="00582410"/>
    <w:rsid w:val="00582492"/>
    <w:rsid w:val="0058250E"/>
    <w:rsid w:val="005825B3"/>
    <w:rsid w:val="005825BC"/>
    <w:rsid w:val="005825FB"/>
    <w:rsid w:val="0058268F"/>
    <w:rsid w:val="00582770"/>
    <w:rsid w:val="005827E3"/>
    <w:rsid w:val="005827F4"/>
    <w:rsid w:val="00582813"/>
    <w:rsid w:val="00582922"/>
    <w:rsid w:val="005829A9"/>
    <w:rsid w:val="005829AF"/>
    <w:rsid w:val="00582A4C"/>
    <w:rsid w:val="00582BC4"/>
    <w:rsid w:val="00582BEE"/>
    <w:rsid w:val="00582C38"/>
    <w:rsid w:val="00582CDD"/>
    <w:rsid w:val="00582D86"/>
    <w:rsid w:val="00582F69"/>
    <w:rsid w:val="00582F72"/>
    <w:rsid w:val="00582FC4"/>
    <w:rsid w:val="00582FD5"/>
    <w:rsid w:val="00583059"/>
    <w:rsid w:val="0058307E"/>
    <w:rsid w:val="00583106"/>
    <w:rsid w:val="0058312C"/>
    <w:rsid w:val="005832EE"/>
    <w:rsid w:val="0058333E"/>
    <w:rsid w:val="00583377"/>
    <w:rsid w:val="00583390"/>
    <w:rsid w:val="005833E3"/>
    <w:rsid w:val="00583462"/>
    <w:rsid w:val="00583487"/>
    <w:rsid w:val="005834EC"/>
    <w:rsid w:val="00583518"/>
    <w:rsid w:val="0058358F"/>
    <w:rsid w:val="005835A1"/>
    <w:rsid w:val="005835E3"/>
    <w:rsid w:val="005835EF"/>
    <w:rsid w:val="0058361C"/>
    <w:rsid w:val="0058363C"/>
    <w:rsid w:val="005836A7"/>
    <w:rsid w:val="00583736"/>
    <w:rsid w:val="0058373F"/>
    <w:rsid w:val="00583780"/>
    <w:rsid w:val="00583789"/>
    <w:rsid w:val="005837F3"/>
    <w:rsid w:val="0058381D"/>
    <w:rsid w:val="00583822"/>
    <w:rsid w:val="00583858"/>
    <w:rsid w:val="005838EE"/>
    <w:rsid w:val="005839EB"/>
    <w:rsid w:val="00583A5E"/>
    <w:rsid w:val="00583A80"/>
    <w:rsid w:val="00583AE8"/>
    <w:rsid w:val="00583B0F"/>
    <w:rsid w:val="00583B2F"/>
    <w:rsid w:val="00583B52"/>
    <w:rsid w:val="00583BC5"/>
    <w:rsid w:val="00583C42"/>
    <w:rsid w:val="00583DC2"/>
    <w:rsid w:val="00583E62"/>
    <w:rsid w:val="00583E7A"/>
    <w:rsid w:val="00583E9E"/>
    <w:rsid w:val="00583EA4"/>
    <w:rsid w:val="00583FB9"/>
    <w:rsid w:val="00583FCC"/>
    <w:rsid w:val="00584203"/>
    <w:rsid w:val="00584220"/>
    <w:rsid w:val="00584274"/>
    <w:rsid w:val="0058428E"/>
    <w:rsid w:val="00584329"/>
    <w:rsid w:val="0058433E"/>
    <w:rsid w:val="005843A2"/>
    <w:rsid w:val="005843A4"/>
    <w:rsid w:val="005843D5"/>
    <w:rsid w:val="005843DB"/>
    <w:rsid w:val="00584443"/>
    <w:rsid w:val="005844DD"/>
    <w:rsid w:val="005844DF"/>
    <w:rsid w:val="00584543"/>
    <w:rsid w:val="0058456D"/>
    <w:rsid w:val="005845C5"/>
    <w:rsid w:val="005845EF"/>
    <w:rsid w:val="0058472F"/>
    <w:rsid w:val="0058474A"/>
    <w:rsid w:val="005847E8"/>
    <w:rsid w:val="005847EB"/>
    <w:rsid w:val="005848F5"/>
    <w:rsid w:val="00584942"/>
    <w:rsid w:val="00584A16"/>
    <w:rsid w:val="00584A20"/>
    <w:rsid w:val="00584A31"/>
    <w:rsid w:val="00584A37"/>
    <w:rsid w:val="00584A38"/>
    <w:rsid w:val="00584A5E"/>
    <w:rsid w:val="00584A62"/>
    <w:rsid w:val="00584AF6"/>
    <w:rsid w:val="00584B05"/>
    <w:rsid w:val="00584B80"/>
    <w:rsid w:val="00584B95"/>
    <w:rsid w:val="00584C35"/>
    <w:rsid w:val="00584C7B"/>
    <w:rsid w:val="00584C7E"/>
    <w:rsid w:val="00584F2E"/>
    <w:rsid w:val="00584F9D"/>
    <w:rsid w:val="00584FEA"/>
    <w:rsid w:val="005850D6"/>
    <w:rsid w:val="005850DE"/>
    <w:rsid w:val="0058515E"/>
    <w:rsid w:val="00585166"/>
    <w:rsid w:val="0058520E"/>
    <w:rsid w:val="0058529A"/>
    <w:rsid w:val="005852F0"/>
    <w:rsid w:val="0058533B"/>
    <w:rsid w:val="00585379"/>
    <w:rsid w:val="005853BA"/>
    <w:rsid w:val="005854A4"/>
    <w:rsid w:val="005854D2"/>
    <w:rsid w:val="00585543"/>
    <w:rsid w:val="005855E4"/>
    <w:rsid w:val="005855E6"/>
    <w:rsid w:val="005855EF"/>
    <w:rsid w:val="00585631"/>
    <w:rsid w:val="0058566B"/>
    <w:rsid w:val="00585690"/>
    <w:rsid w:val="0058570D"/>
    <w:rsid w:val="00585744"/>
    <w:rsid w:val="005857A8"/>
    <w:rsid w:val="00585837"/>
    <w:rsid w:val="00585910"/>
    <w:rsid w:val="005859AD"/>
    <w:rsid w:val="005859D0"/>
    <w:rsid w:val="005859E6"/>
    <w:rsid w:val="00585A3A"/>
    <w:rsid w:val="00585B3D"/>
    <w:rsid w:val="00585B91"/>
    <w:rsid w:val="00585BC4"/>
    <w:rsid w:val="00585C02"/>
    <w:rsid w:val="00585C0F"/>
    <w:rsid w:val="00585CBB"/>
    <w:rsid w:val="00585CD3"/>
    <w:rsid w:val="00585CEF"/>
    <w:rsid w:val="00585CF6"/>
    <w:rsid w:val="00585D51"/>
    <w:rsid w:val="00585D53"/>
    <w:rsid w:val="00585D6F"/>
    <w:rsid w:val="00585DD4"/>
    <w:rsid w:val="00585E54"/>
    <w:rsid w:val="00585E59"/>
    <w:rsid w:val="00585FA6"/>
    <w:rsid w:val="0058602B"/>
    <w:rsid w:val="0058606A"/>
    <w:rsid w:val="00586083"/>
    <w:rsid w:val="00586093"/>
    <w:rsid w:val="005860D7"/>
    <w:rsid w:val="0058616F"/>
    <w:rsid w:val="005862D0"/>
    <w:rsid w:val="00586337"/>
    <w:rsid w:val="0058634B"/>
    <w:rsid w:val="00586470"/>
    <w:rsid w:val="005864BD"/>
    <w:rsid w:val="005864D1"/>
    <w:rsid w:val="00586547"/>
    <w:rsid w:val="00586578"/>
    <w:rsid w:val="005866E4"/>
    <w:rsid w:val="00586789"/>
    <w:rsid w:val="00586847"/>
    <w:rsid w:val="00586864"/>
    <w:rsid w:val="0058689B"/>
    <w:rsid w:val="005868B0"/>
    <w:rsid w:val="005868CA"/>
    <w:rsid w:val="005868D5"/>
    <w:rsid w:val="00586946"/>
    <w:rsid w:val="005869C0"/>
    <w:rsid w:val="00586A29"/>
    <w:rsid w:val="00586AB2"/>
    <w:rsid w:val="00586B75"/>
    <w:rsid w:val="00586DA7"/>
    <w:rsid w:val="00586E26"/>
    <w:rsid w:val="00586E44"/>
    <w:rsid w:val="00586E49"/>
    <w:rsid w:val="00586F0C"/>
    <w:rsid w:val="00586F35"/>
    <w:rsid w:val="00586F69"/>
    <w:rsid w:val="00586FD3"/>
    <w:rsid w:val="0058713A"/>
    <w:rsid w:val="00587183"/>
    <w:rsid w:val="005871B4"/>
    <w:rsid w:val="00587242"/>
    <w:rsid w:val="00587268"/>
    <w:rsid w:val="005872CA"/>
    <w:rsid w:val="005872E0"/>
    <w:rsid w:val="00587325"/>
    <w:rsid w:val="0058738E"/>
    <w:rsid w:val="00587412"/>
    <w:rsid w:val="00587436"/>
    <w:rsid w:val="00587445"/>
    <w:rsid w:val="005874DA"/>
    <w:rsid w:val="00587521"/>
    <w:rsid w:val="0058758F"/>
    <w:rsid w:val="005875C6"/>
    <w:rsid w:val="00587622"/>
    <w:rsid w:val="00587669"/>
    <w:rsid w:val="00587697"/>
    <w:rsid w:val="005876A5"/>
    <w:rsid w:val="005876F8"/>
    <w:rsid w:val="0058770C"/>
    <w:rsid w:val="00587729"/>
    <w:rsid w:val="0058772D"/>
    <w:rsid w:val="0058774E"/>
    <w:rsid w:val="005877D1"/>
    <w:rsid w:val="005877E8"/>
    <w:rsid w:val="005877F8"/>
    <w:rsid w:val="005877FF"/>
    <w:rsid w:val="005878B5"/>
    <w:rsid w:val="00587992"/>
    <w:rsid w:val="005879C3"/>
    <w:rsid w:val="00587A82"/>
    <w:rsid w:val="00587A8B"/>
    <w:rsid w:val="00587EA8"/>
    <w:rsid w:val="00590042"/>
    <w:rsid w:val="005900EE"/>
    <w:rsid w:val="005902DE"/>
    <w:rsid w:val="0059031C"/>
    <w:rsid w:val="00590321"/>
    <w:rsid w:val="00590354"/>
    <w:rsid w:val="005903AE"/>
    <w:rsid w:val="0059047B"/>
    <w:rsid w:val="005904D2"/>
    <w:rsid w:val="005905C6"/>
    <w:rsid w:val="00590621"/>
    <w:rsid w:val="0059063F"/>
    <w:rsid w:val="0059068B"/>
    <w:rsid w:val="00590776"/>
    <w:rsid w:val="005907F7"/>
    <w:rsid w:val="00590832"/>
    <w:rsid w:val="0059084A"/>
    <w:rsid w:val="00590859"/>
    <w:rsid w:val="00590893"/>
    <w:rsid w:val="005908D5"/>
    <w:rsid w:val="005909C3"/>
    <w:rsid w:val="005909D4"/>
    <w:rsid w:val="005909E3"/>
    <w:rsid w:val="00590A0B"/>
    <w:rsid w:val="00590A4C"/>
    <w:rsid w:val="00590A5D"/>
    <w:rsid w:val="00590B13"/>
    <w:rsid w:val="00590B87"/>
    <w:rsid w:val="00590BB6"/>
    <w:rsid w:val="00590C9D"/>
    <w:rsid w:val="00590CC0"/>
    <w:rsid w:val="00590CC1"/>
    <w:rsid w:val="00590DA9"/>
    <w:rsid w:val="00590E26"/>
    <w:rsid w:val="00590E8C"/>
    <w:rsid w:val="0059102C"/>
    <w:rsid w:val="0059105E"/>
    <w:rsid w:val="00591088"/>
    <w:rsid w:val="005910B7"/>
    <w:rsid w:val="00591199"/>
    <w:rsid w:val="005911B1"/>
    <w:rsid w:val="0059125D"/>
    <w:rsid w:val="00591368"/>
    <w:rsid w:val="005914A7"/>
    <w:rsid w:val="005914B0"/>
    <w:rsid w:val="005914D3"/>
    <w:rsid w:val="00591519"/>
    <w:rsid w:val="00591615"/>
    <w:rsid w:val="005916FC"/>
    <w:rsid w:val="00591740"/>
    <w:rsid w:val="005917C5"/>
    <w:rsid w:val="005918D7"/>
    <w:rsid w:val="0059195E"/>
    <w:rsid w:val="0059196C"/>
    <w:rsid w:val="00591A7D"/>
    <w:rsid w:val="00591A89"/>
    <w:rsid w:val="00591A99"/>
    <w:rsid w:val="00591AAB"/>
    <w:rsid w:val="00591AAC"/>
    <w:rsid w:val="00591C25"/>
    <w:rsid w:val="00591C42"/>
    <w:rsid w:val="00591CEF"/>
    <w:rsid w:val="00591D56"/>
    <w:rsid w:val="00591F12"/>
    <w:rsid w:val="00591F2F"/>
    <w:rsid w:val="0059203E"/>
    <w:rsid w:val="005920E2"/>
    <w:rsid w:val="00592139"/>
    <w:rsid w:val="005921F8"/>
    <w:rsid w:val="0059228D"/>
    <w:rsid w:val="005922A8"/>
    <w:rsid w:val="00592310"/>
    <w:rsid w:val="00592321"/>
    <w:rsid w:val="00592417"/>
    <w:rsid w:val="00592542"/>
    <w:rsid w:val="0059259D"/>
    <w:rsid w:val="005925F0"/>
    <w:rsid w:val="005925F5"/>
    <w:rsid w:val="00592680"/>
    <w:rsid w:val="00592685"/>
    <w:rsid w:val="005926F4"/>
    <w:rsid w:val="00592764"/>
    <w:rsid w:val="005927B8"/>
    <w:rsid w:val="005927BA"/>
    <w:rsid w:val="005928B9"/>
    <w:rsid w:val="005928C3"/>
    <w:rsid w:val="00592A0D"/>
    <w:rsid w:val="00592A46"/>
    <w:rsid w:val="00592A7B"/>
    <w:rsid w:val="00592BA8"/>
    <w:rsid w:val="00592BB0"/>
    <w:rsid w:val="00592BED"/>
    <w:rsid w:val="00592C67"/>
    <w:rsid w:val="00592D13"/>
    <w:rsid w:val="00592DB0"/>
    <w:rsid w:val="00592DFA"/>
    <w:rsid w:val="00592E0D"/>
    <w:rsid w:val="00592F5A"/>
    <w:rsid w:val="00592F99"/>
    <w:rsid w:val="00592FD7"/>
    <w:rsid w:val="00593068"/>
    <w:rsid w:val="00593157"/>
    <w:rsid w:val="0059315C"/>
    <w:rsid w:val="0059322A"/>
    <w:rsid w:val="00593236"/>
    <w:rsid w:val="00593260"/>
    <w:rsid w:val="00593327"/>
    <w:rsid w:val="00593396"/>
    <w:rsid w:val="0059340B"/>
    <w:rsid w:val="00593430"/>
    <w:rsid w:val="0059348D"/>
    <w:rsid w:val="005936E7"/>
    <w:rsid w:val="00593726"/>
    <w:rsid w:val="0059372C"/>
    <w:rsid w:val="00593785"/>
    <w:rsid w:val="005937C9"/>
    <w:rsid w:val="0059380F"/>
    <w:rsid w:val="00593827"/>
    <w:rsid w:val="0059396D"/>
    <w:rsid w:val="005939BE"/>
    <w:rsid w:val="00593AE8"/>
    <w:rsid w:val="00593AED"/>
    <w:rsid w:val="00593B64"/>
    <w:rsid w:val="00593B79"/>
    <w:rsid w:val="00593B9D"/>
    <w:rsid w:val="00593BEE"/>
    <w:rsid w:val="00593C30"/>
    <w:rsid w:val="00593C88"/>
    <w:rsid w:val="00593CA6"/>
    <w:rsid w:val="00593CC0"/>
    <w:rsid w:val="00593CFE"/>
    <w:rsid w:val="00593D3E"/>
    <w:rsid w:val="00593DA6"/>
    <w:rsid w:val="00593E27"/>
    <w:rsid w:val="00593E5D"/>
    <w:rsid w:val="00593F8C"/>
    <w:rsid w:val="0059404C"/>
    <w:rsid w:val="00594054"/>
    <w:rsid w:val="005940E5"/>
    <w:rsid w:val="00594137"/>
    <w:rsid w:val="0059414F"/>
    <w:rsid w:val="00594150"/>
    <w:rsid w:val="00594175"/>
    <w:rsid w:val="005941C9"/>
    <w:rsid w:val="00594233"/>
    <w:rsid w:val="0059423B"/>
    <w:rsid w:val="00594246"/>
    <w:rsid w:val="00594280"/>
    <w:rsid w:val="0059428C"/>
    <w:rsid w:val="0059431A"/>
    <w:rsid w:val="00594325"/>
    <w:rsid w:val="0059438D"/>
    <w:rsid w:val="0059447E"/>
    <w:rsid w:val="0059448B"/>
    <w:rsid w:val="005944E4"/>
    <w:rsid w:val="00594501"/>
    <w:rsid w:val="00594591"/>
    <w:rsid w:val="005945BA"/>
    <w:rsid w:val="00594628"/>
    <w:rsid w:val="0059465C"/>
    <w:rsid w:val="005947BD"/>
    <w:rsid w:val="005947E4"/>
    <w:rsid w:val="005947F2"/>
    <w:rsid w:val="005947FA"/>
    <w:rsid w:val="0059484E"/>
    <w:rsid w:val="005948B3"/>
    <w:rsid w:val="005948DD"/>
    <w:rsid w:val="00594924"/>
    <w:rsid w:val="00594937"/>
    <w:rsid w:val="00594952"/>
    <w:rsid w:val="0059496A"/>
    <w:rsid w:val="005949C6"/>
    <w:rsid w:val="005949DB"/>
    <w:rsid w:val="00594A69"/>
    <w:rsid w:val="00594AB2"/>
    <w:rsid w:val="00594B06"/>
    <w:rsid w:val="00594B13"/>
    <w:rsid w:val="00594B22"/>
    <w:rsid w:val="00594B55"/>
    <w:rsid w:val="00594BD8"/>
    <w:rsid w:val="00594CA6"/>
    <w:rsid w:val="00594D22"/>
    <w:rsid w:val="00594D77"/>
    <w:rsid w:val="00594F57"/>
    <w:rsid w:val="00595137"/>
    <w:rsid w:val="00595187"/>
    <w:rsid w:val="005951B5"/>
    <w:rsid w:val="005951EC"/>
    <w:rsid w:val="00595238"/>
    <w:rsid w:val="005952FD"/>
    <w:rsid w:val="0059533A"/>
    <w:rsid w:val="005953EF"/>
    <w:rsid w:val="00595532"/>
    <w:rsid w:val="0059558F"/>
    <w:rsid w:val="00595590"/>
    <w:rsid w:val="005955B8"/>
    <w:rsid w:val="00595625"/>
    <w:rsid w:val="0059566E"/>
    <w:rsid w:val="005956B5"/>
    <w:rsid w:val="00595728"/>
    <w:rsid w:val="005957CD"/>
    <w:rsid w:val="0059586A"/>
    <w:rsid w:val="0059594A"/>
    <w:rsid w:val="005959B2"/>
    <w:rsid w:val="005959D5"/>
    <w:rsid w:val="00595A6A"/>
    <w:rsid w:val="00595AA7"/>
    <w:rsid w:val="00595AE3"/>
    <w:rsid w:val="00595B19"/>
    <w:rsid w:val="00595B37"/>
    <w:rsid w:val="00595B84"/>
    <w:rsid w:val="00595CC7"/>
    <w:rsid w:val="00595CDA"/>
    <w:rsid w:val="00595CDD"/>
    <w:rsid w:val="00595CE4"/>
    <w:rsid w:val="00595D79"/>
    <w:rsid w:val="00595E45"/>
    <w:rsid w:val="00595F8C"/>
    <w:rsid w:val="00596091"/>
    <w:rsid w:val="0059610F"/>
    <w:rsid w:val="005961E6"/>
    <w:rsid w:val="00596203"/>
    <w:rsid w:val="0059624E"/>
    <w:rsid w:val="005962B6"/>
    <w:rsid w:val="005962D6"/>
    <w:rsid w:val="005963DC"/>
    <w:rsid w:val="00596481"/>
    <w:rsid w:val="0059648E"/>
    <w:rsid w:val="005964EA"/>
    <w:rsid w:val="0059669D"/>
    <w:rsid w:val="0059670D"/>
    <w:rsid w:val="00596854"/>
    <w:rsid w:val="005968EA"/>
    <w:rsid w:val="00596905"/>
    <w:rsid w:val="00596999"/>
    <w:rsid w:val="005969A4"/>
    <w:rsid w:val="005969D0"/>
    <w:rsid w:val="00596A6D"/>
    <w:rsid w:val="00596A7F"/>
    <w:rsid w:val="00596AB1"/>
    <w:rsid w:val="00596AF2"/>
    <w:rsid w:val="00596B2A"/>
    <w:rsid w:val="00596B62"/>
    <w:rsid w:val="00596D65"/>
    <w:rsid w:val="00596DB3"/>
    <w:rsid w:val="00596EAC"/>
    <w:rsid w:val="00596EE7"/>
    <w:rsid w:val="00596F65"/>
    <w:rsid w:val="00597088"/>
    <w:rsid w:val="00597096"/>
    <w:rsid w:val="00597111"/>
    <w:rsid w:val="0059715B"/>
    <w:rsid w:val="00597236"/>
    <w:rsid w:val="0059732E"/>
    <w:rsid w:val="00597373"/>
    <w:rsid w:val="005973B9"/>
    <w:rsid w:val="00597413"/>
    <w:rsid w:val="00597471"/>
    <w:rsid w:val="005974D5"/>
    <w:rsid w:val="00597605"/>
    <w:rsid w:val="00597705"/>
    <w:rsid w:val="00597732"/>
    <w:rsid w:val="00597734"/>
    <w:rsid w:val="005977B3"/>
    <w:rsid w:val="005977C9"/>
    <w:rsid w:val="005977F5"/>
    <w:rsid w:val="00597819"/>
    <w:rsid w:val="00597894"/>
    <w:rsid w:val="0059789F"/>
    <w:rsid w:val="005978EF"/>
    <w:rsid w:val="005979CD"/>
    <w:rsid w:val="005979D8"/>
    <w:rsid w:val="00597A4F"/>
    <w:rsid w:val="00597B07"/>
    <w:rsid w:val="00597B41"/>
    <w:rsid w:val="00597BD1"/>
    <w:rsid w:val="00597CBE"/>
    <w:rsid w:val="00597D38"/>
    <w:rsid w:val="00597D53"/>
    <w:rsid w:val="00597D5A"/>
    <w:rsid w:val="00597D7C"/>
    <w:rsid w:val="00597D8E"/>
    <w:rsid w:val="00597DAA"/>
    <w:rsid w:val="00597DAC"/>
    <w:rsid w:val="00597DB7"/>
    <w:rsid w:val="00597DF3"/>
    <w:rsid w:val="00597E49"/>
    <w:rsid w:val="00597E7B"/>
    <w:rsid w:val="00597EB5"/>
    <w:rsid w:val="00597F57"/>
    <w:rsid w:val="005A005E"/>
    <w:rsid w:val="005A015F"/>
    <w:rsid w:val="005A0184"/>
    <w:rsid w:val="005A0198"/>
    <w:rsid w:val="005A01C2"/>
    <w:rsid w:val="005A01D7"/>
    <w:rsid w:val="005A0245"/>
    <w:rsid w:val="005A02BE"/>
    <w:rsid w:val="005A02C8"/>
    <w:rsid w:val="005A0359"/>
    <w:rsid w:val="005A0384"/>
    <w:rsid w:val="005A038F"/>
    <w:rsid w:val="005A043B"/>
    <w:rsid w:val="005A0531"/>
    <w:rsid w:val="005A0534"/>
    <w:rsid w:val="005A0575"/>
    <w:rsid w:val="005A05EF"/>
    <w:rsid w:val="005A063D"/>
    <w:rsid w:val="005A0655"/>
    <w:rsid w:val="005A06E9"/>
    <w:rsid w:val="005A0731"/>
    <w:rsid w:val="005A0759"/>
    <w:rsid w:val="005A0769"/>
    <w:rsid w:val="005A0880"/>
    <w:rsid w:val="005A08DA"/>
    <w:rsid w:val="005A08E6"/>
    <w:rsid w:val="005A08F6"/>
    <w:rsid w:val="005A0916"/>
    <w:rsid w:val="005A09D5"/>
    <w:rsid w:val="005A09FF"/>
    <w:rsid w:val="005A0AD8"/>
    <w:rsid w:val="005A0B19"/>
    <w:rsid w:val="005A0BB6"/>
    <w:rsid w:val="005A0D87"/>
    <w:rsid w:val="005A0D9D"/>
    <w:rsid w:val="005A0DCF"/>
    <w:rsid w:val="005A0DDC"/>
    <w:rsid w:val="005A0E8F"/>
    <w:rsid w:val="005A0E94"/>
    <w:rsid w:val="005A0F09"/>
    <w:rsid w:val="005A0F30"/>
    <w:rsid w:val="005A0F64"/>
    <w:rsid w:val="005A0FAA"/>
    <w:rsid w:val="005A0FD3"/>
    <w:rsid w:val="005A1034"/>
    <w:rsid w:val="005A1041"/>
    <w:rsid w:val="005A1141"/>
    <w:rsid w:val="005A117A"/>
    <w:rsid w:val="005A11A9"/>
    <w:rsid w:val="005A11AE"/>
    <w:rsid w:val="005A1214"/>
    <w:rsid w:val="005A12DE"/>
    <w:rsid w:val="005A13BD"/>
    <w:rsid w:val="005A13CC"/>
    <w:rsid w:val="005A144E"/>
    <w:rsid w:val="005A15E7"/>
    <w:rsid w:val="005A1619"/>
    <w:rsid w:val="005A16E0"/>
    <w:rsid w:val="005A16EE"/>
    <w:rsid w:val="005A1710"/>
    <w:rsid w:val="005A1758"/>
    <w:rsid w:val="005A175E"/>
    <w:rsid w:val="005A17A4"/>
    <w:rsid w:val="005A17F8"/>
    <w:rsid w:val="005A1879"/>
    <w:rsid w:val="005A1882"/>
    <w:rsid w:val="005A18CB"/>
    <w:rsid w:val="005A18EB"/>
    <w:rsid w:val="005A196F"/>
    <w:rsid w:val="005A1981"/>
    <w:rsid w:val="005A19FA"/>
    <w:rsid w:val="005A1A40"/>
    <w:rsid w:val="005A1B0C"/>
    <w:rsid w:val="005A1B8F"/>
    <w:rsid w:val="005A1BA2"/>
    <w:rsid w:val="005A1BE7"/>
    <w:rsid w:val="005A1BF9"/>
    <w:rsid w:val="005A1C17"/>
    <w:rsid w:val="005A1C2D"/>
    <w:rsid w:val="005A1CC7"/>
    <w:rsid w:val="005A1CF7"/>
    <w:rsid w:val="005A1D52"/>
    <w:rsid w:val="005A1D7F"/>
    <w:rsid w:val="005A1E55"/>
    <w:rsid w:val="005A1E7D"/>
    <w:rsid w:val="005A1EB0"/>
    <w:rsid w:val="005A1EBE"/>
    <w:rsid w:val="005A1EDF"/>
    <w:rsid w:val="005A1FC3"/>
    <w:rsid w:val="005A20BF"/>
    <w:rsid w:val="005A20C7"/>
    <w:rsid w:val="005A20CA"/>
    <w:rsid w:val="005A21AE"/>
    <w:rsid w:val="005A21C0"/>
    <w:rsid w:val="005A21EE"/>
    <w:rsid w:val="005A226F"/>
    <w:rsid w:val="005A2281"/>
    <w:rsid w:val="005A2284"/>
    <w:rsid w:val="005A22E1"/>
    <w:rsid w:val="005A2488"/>
    <w:rsid w:val="005A24AE"/>
    <w:rsid w:val="005A24E8"/>
    <w:rsid w:val="005A25C2"/>
    <w:rsid w:val="005A2628"/>
    <w:rsid w:val="005A26BC"/>
    <w:rsid w:val="005A26F8"/>
    <w:rsid w:val="005A2735"/>
    <w:rsid w:val="005A273F"/>
    <w:rsid w:val="005A2757"/>
    <w:rsid w:val="005A2798"/>
    <w:rsid w:val="005A2890"/>
    <w:rsid w:val="005A289F"/>
    <w:rsid w:val="005A28E8"/>
    <w:rsid w:val="005A290B"/>
    <w:rsid w:val="005A2922"/>
    <w:rsid w:val="005A293A"/>
    <w:rsid w:val="005A294A"/>
    <w:rsid w:val="005A29A8"/>
    <w:rsid w:val="005A2A99"/>
    <w:rsid w:val="005A2B2F"/>
    <w:rsid w:val="005A2B4F"/>
    <w:rsid w:val="005A2B7E"/>
    <w:rsid w:val="005A2BF2"/>
    <w:rsid w:val="005A2C63"/>
    <w:rsid w:val="005A2CF7"/>
    <w:rsid w:val="005A2DE1"/>
    <w:rsid w:val="005A2DFF"/>
    <w:rsid w:val="005A2E41"/>
    <w:rsid w:val="005A2E83"/>
    <w:rsid w:val="005A2F0E"/>
    <w:rsid w:val="005A2FB0"/>
    <w:rsid w:val="005A309B"/>
    <w:rsid w:val="005A3159"/>
    <w:rsid w:val="005A3253"/>
    <w:rsid w:val="005A32B4"/>
    <w:rsid w:val="005A34E1"/>
    <w:rsid w:val="005A35A4"/>
    <w:rsid w:val="005A35A7"/>
    <w:rsid w:val="005A35CE"/>
    <w:rsid w:val="005A3608"/>
    <w:rsid w:val="005A3681"/>
    <w:rsid w:val="005A36E4"/>
    <w:rsid w:val="005A3775"/>
    <w:rsid w:val="005A37B0"/>
    <w:rsid w:val="005A37C5"/>
    <w:rsid w:val="005A3809"/>
    <w:rsid w:val="005A381B"/>
    <w:rsid w:val="005A3887"/>
    <w:rsid w:val="005A38AF"/>
    <w:rsid w:val="005A38FE"/>
    <w:rsid w:val="005A3938"/>
    <w:rsid w:val="005A3C75"/>
    <w:rsid w:val="005A3CD3"/>
    <w:rsid w:val="005A3CF9"/>
    <w:rsid w:val="005A3D23"/>
    <w:rsid w:val="005A3DD5"/>
    <w:rsid w:val="005A3DDE"/>
    <w:rsid w:val="005A3E14"/>
    <w:rsid w:val="005A3F01"/>
    <w:rsid w:val="005A407B"/>
    <w:rsid w:val="005A40B1"/>
    <w:rsid w:val="005A416E"/>
    <w:rsid w:val="005A41C2"/>
    <w:rsid w:val="005A4225"/>
    <w:rsid w:val="005A4332"/>
    <w:rsid w:val="005A443E"/>
    <w:rsid w:val="005A4491"/>
    <w:rsid w:val="005A452F"/>
    <w:rsid w:val="005A4540"/>
    <w:rsid w:val="005A458D"/>
    <w:rsid w:val="005A4590"/>
    <w:rsid w:val="005A45AD"/>
    <w:rsid w:val="005A45FA"/>
    <w:rsid w:val="005A47B5"/>
    <w:rsid w:val="005A47EE"/>
    <w:rsid w:val="005A4842"/>
    <w:rsid w:val="005A4844"/>
    <w:rsid w:val="005A493C"/>
    <w:rsid w:val="005A493F"/>
    <w:rsid w:val="005A4950"/>
    <w:rsid w:val="005A49A7"/>
    <w:rsid w:val="005A4B52"/>
    <w:rsid w:val="005A4BA2"/>
    <w:rsid w:val="005A4BB6"/>
    <w:rsid w:val="005A4BD2"/>
    <w:rsid w:val="005A4C72"/>
    <w:rsid w:val="005A4CD3"/>
    <w:rsid w:val="005A4D22"/>
    <w:rsid w:val="005A4D33"/>
    <w:rsid w:val="005A4D71"/>
    <w:rsid w:val="005A4E39"/>
    <w:rsid w:val="005A4F33"/>
    <w:rsid w:val="005A4F9B"/>
    <w:rsid w:val="005A4FC4"/>
    <w:rsid w:val="005A4FD5"/>
    <w:rsid w:val="005A4FE0"/>
    <w:rsid w:val="005A4FE2"/>
    <w:rsid w:val="005A4FF8"/>
    <w:rsid w:val="005A5063"/>
    <w:rsid w:val="005A5077"/>
    <w:rsid w:val="005A5100"/>
    <w:rsid w:val="005A5134"/>
    <w:rsid w:val="005A5211"/>
    <w:rsid w:val="005A5241"/>
    <w:rsid w:val="005A528A"/>
    <w:rsid w:val="005A5345"/>
    <w:rsid w:val="005A53BE"/>
    <w:rsid w:val="005A53D7"/>
    <w:rsid w:val="005A5437"/>
    <w:rsid w:val="005A54DE"/>
    <w:rsid w:val="005A557D"/>
    <w:rsid w:val="005A5601"/>
    <w:rsid w:val="005A566B"/>
    <w:rsid w:val="005A56EC"/>
    <w:rsid w:val="005A5710"/>
    <w:rsid w:val="005A575E"/>
    <w:rsid w:val="005A57B7"/>
    <w:rsid w:val="005A57C7"/>
    <w:rsid w:val="005A5946"/>
    <w:rsid w:val="005A5A44"/>
    <w:rsid w:val="005A5A98"/>
    <w:rsid w:val="005A5AB3"/>
    <w:rsid w:val="005A5BB2"/>
    <w:rsid w:val="005A5BB5"/>
    <w:rsid w:val="005A5C05"/>
    <w:rsid w:val="005A5C60"/>
    <w:rsid w:val="005A5D00"/>
    <w:rsid w:val="005A5D4C"/>
    <w:rsid w:val="005A5D92"/>
    <w:rsid w:val="005A5E40"/>
    <w:rsid w:val="005A5E60"/>
    <w:rsid w:val="005A6067"/>
    <w:rsid w:val="005A60AB"/>
    <w:rsid w:val="005A61F9"/>
    <w:rsid w:val="005A6246"/>
    <w:rsid w:val="005A6293"/>
    <w:rsid w:val="005A630F"/>
    <w:rsid w:val="005A6326"/>
    <w:rsid w:val="005A6343"/>
    <w:rsid w:val="005A635F"/>
    <w:rsid w:val="005A63BC"/>
    <w:rsid w:val="005A644F"/>
    <w:rsid w:val="005A654E"/>
    <w:rsid w:val="005A655E"/>
    <w:rsid w:val="005A65A3"/>
    <w:rsid w:val="005A65FB"/>
    <w:rsid w:val="005A661F"/>
    <w:rsid w:val="005A6621"/>
    <w:rsid w:val="005A66A3"/>
    <w:rsid w:val="005A66A7"/>
    <w:rsid w:val="005A66BF"/>
    <w:rsid w:val="005A66E8"/>
    <w:rsid w:val="005A67CC"/>
    <w:rsid w:val="005A68A0"/>
    <w:rsid w:val="005A6A2C"/>
    <w:rsid w:val="005A6AE7"/>
    <w:rsid w:val="005A6B2D"/>
    <w:rsid w:val="005A6BD8"/>
    <w:rsid w:val="005A6CE6"/>
    <w:rsid w:val="005A6D01"/>
    <w:rsid w:val="005A6D0D"/>
    <w:rsid w:val="005A6D51"/>
    <w:rsid w:val="005A6D5A"/>
    <w:rsid w:val="005A6D5C"/>
    <w:rsid w:val="005A6DF8"/>
    <w:rsid w:val="005A6E35"/>
    <w:rsid w:val="005A6E4F"/>
    <w:rsid w:val="005A6E78"/>
    <w:rsid w:val="005A6EBD"/>
    <w:rsid w:val="005A6F29"/>
    <w:rsid w:val="005A6F30"/>
    <w:rsid w:val="005A6F9D"/>
    <w:rsid w:val="005A7045"/>
    <w:rsid w:val="005A7112"/>
    <w:rsid w:val="005A718B"/>
    <w:rsid w:val="005A7199"/>
    <w:rsid w:val="005A71CD"/>
    <w:rsid w:val="005A7236"/>
    <w:rsid w:val="005A7250"/>
    <w:rsid w:val="005A736F"/>
    <w:rsid w:val="005A7386"/>
    <w:rsid w:val="005A73CF"/>
    <w:rsid w:val="005A748B"/>
    <w:rsid w:val="005A74AD"/>
    <w:rsid w:val="005A752B"/>
    <w:rsid w:val="005A752E"/>
    <w:rsid w:val="005A7568"/>
    <w:rsid w:val="005A7596"/>
    <w:rsid w:val="005A75B8"/>
    <w:rsid w:val="005A75BD"/>
    <w:rsid w:val="005A76A3"/>
    <w:rsid w:val="005A76C2"/>
    <w:rsid w:val="005A7821"/>
    <w:rsid w:val="005A783D"/>
    <w:rsid w:val="005A7880"/>
    <w:rsid w:val="005A796C"/>
    <w:rsid w:val="005A79E9"/>
    <w:rsid w:val="005A7BBE"/>
    <w:rsid w:val="005A7BDF"/>
    <w:rsid w:val="005A7C2F"/>
    <w:rsid w:val="005A7C6C"/>
    <w:rsid w:val="005A7D19"/>
    <w:rsid w:val="005A7D55"/>
    <w:rsid w:val="005A7EA2"/>
    <w:rsid w:val="005A7ECD"/>
    <w:rsid w:val="005A7F0C"/>
    <w:rsid w:val="005A7F14"/>
    <w:rsid w:val="005A7F3D"/>
    <w:rsid w:val="005B0067"/>
    <w:rsid w:val="005B009B"/>
    <w:rsid w:val="005B01BB"/>
    <w:rsid w:val="005B03A7"/>
    <w:rsid w:val="005B042E"/>
    <w:rsid w:val="005B0518"/>
    <w:rsid w:val="005B0584"/>
    <w:rsid w:val="005B05DC"/>
    <w:rsid w:val="005B068C"/>
    <w:rsid w:val="005B06AA"/>
    <w:rsid w:val="005B075F"/>
    <w:rsid w:val="005B080C"/>
    <w:rsid w:val="005B084E"/>
    <w:rsid w:val="005B08CF"/>
    <w:rsid w:val="005B0909"/>
    <w:rsid w:val="005B0930"/>
    <w:rsid w:val="005B09C8"/>
    <w:rsid w:val="005B0A20"/>
    <w:rsid w:val="005B0A42"/>
    <w:rsid w:val="005B0A95"/>
    <w:rsid w:val="005B0AA3"/>
    <w:rsid w:val="005B0B1B"/>
    <w:rsid w:val="005B0B2D"/>
    <w:rsid w:val="005B0BA7"/>
    <w:rsid w:val="005B0C61"/>
    <w:rsid w:val="005B0C99"/>
    <w:rsid w:val="005B0CFF"/>
    <w:rsid w:val="005B0DA4"/>
    <w:rsid w:val="005B0DD3"/>
    <w:rsid w:val="005B0DE2"/>
    <w:rsid w:val="005B0F87"/>
    <w:rsid w:val="005B0FF4"/>
    <w:rsid w:val="005B1002"/>
    <w:rsid w:val="005B103F"/>
    <w:rsid w:val="005B1135"/>
    <w:rsid w:val="005B117A"/>
    <w:rsid w:val="005B124B"/>
    <w:rsid w:val="005B12B9"/>
    <w:rsid w:val="005B13B0"/>
    <w:rsid w:val="005B1452"/>
    <w:rsid w:val="005B157A"/>
    <w:rsid w:val="005B1597"/>
    <w:rsid w:val="005B161B"/>
    <w:rsid w:val="005B1621"/>
    <w:rsid w:val="005B1660"/>
    <w:rsid w:val="005B1690"/>
    <w:rsid w:val="005B16DE"/>
    <w:rsid w:val="005B179C"/>
    <w:rsid w:val="005B17A5"/>
    <w:rsid w:val="005B18CE"/>
    <w:rsid w:val="005B18E1"/>
    <w:rsid w:val="005B18F6"/>
    <w:rsid w:val="005B1A3D"/>
    <w:rsid w:val="005B1A6F"/>
    <w:rsid w:val="005B1C42"/>
    <w:rsid w:val="005B1D75"/>
    <w:rsid w:val="005B1E9B"/>
    <w:rsid w:val="005B1F66"/>
    <w:rsid w:val="005B207E"/>
    <w:rsid w:val="005B2085"/>
    <w:rsid w:val="005B20B1"/>
    <w:rsid w:val="005B21A2"/>
    <w:rsid w:val="005B2266"/>
    <w:rsid w:val="005B2279"/>
    <w:rsid w:val="005B22FD"/>
    <w:rsid w:val="005B2386"/>
    <w:rsid w:val="005B2402"/>
    <w:rsid w:val="005B2456"/>
    <w:rsid w:val="005B245F"/>
    <w:rsid w:val="005B249B"/>
    <w:rsid w:val="005B24C5"/>
    <w:rsid w:val="005B24FA"/>
    <w:rsid w:val="005B2575"/>
    <w:rsid w:val="005B257D"/>
    <w:rsid w:val="005B25A8"/>
    <w:rsid w:val="005B27B3"/>
    <w:rsid w:val="005B27F2"/>
    <w:rsid w:val="005B2959"/>
    <w:rsid w:val="005B29DD"/>
    <w:rsid w:val="005B2DCC"/>
    <w:rsid w:val="005B2E14"/>
    <w:rsid w:val="005B2E65"/>
    <w:rsid w:val="005B2E7E"/>
    <w:rsid w:val="005B303E"/>
    <w:rsid w:val="005B30EF"/>
    <w:rsid w:val="005B310C"/>
    <w:rsid w:val="005B310E"/>
    <w:rsid w:val="005B31B4"/>
    <w:rsid w:val="005B31F3"/>
    <w:rsid w:val="005B325E"/>
    <w:rsid w:val="005B32C3"/>
    <w:rsid w:val="005B32D9"/>
    <w:rsid w:val="005B33A7"/>
    <w:rsid w:val="005B33EB"/>
    <w:rsid w:val="005B3412"/>
    <w:rsid w:val="005B34D1"/>
    <w:rsid w:val="005B34E4"/>
    <w:rsid w:val="005B3547"/>
    <w:rsid w:val="005B354B"/>
    <w:rsid w:val="005B35BA"/>
    <w:rsid w:val="005B35BE"/>
    <w:rsid w:val="005B364A"/>
    <w:rsid w:val="005B3692"/>
    <w:rsid w:val="005B36F3"/>
    <w:rsid w:val="005B3723"/>
    <w:rsid w:val="005B381C"/>
    <w:rsid w:val="005B3932"/>
    <w:rsid w:val="005B396B"/>
    <w:rsid w:val="005B39BF"/>
    <w:rsid w:val="005B3A44"/>
    <w:rsid w:val="005B3C65"/>
    <w:rsid w:val="005B3C92"/>
    <w:rsid w:val="005B3CAB"/>
    <w:rsid w:val="005B3CD2"/>
    <w:rsid w:val="005B3D23"/>
    <w:rsid w:val="005B3D65"/>
    <w:rsid w:val="005B3D80"/>
    <w:rsid w:val="005B3DA9"/>
    <w:rsid w:val="005B3EB8"/>
    <w:rsid w:val="005B3EC3"/>
    <w:rsid w:val="005B3EE7"/>
    <w:rsid w:val="005B4048"/>
    <w:rsid w:val="005B4054"/>
    <w:rsid w:val="005B4065"/>
    <w:rsid w:val="005B4067"/>
    <w:rsid w:val="005B4073"/>
    <w:rsid w:val="005B408D"/>
    <w:rsid w:val="005B42A6"/>
    <w:rsid w:val="005B4393"/>
    <w:rsid w:val="005B43C1"/>
    <w:rsid w:val="005B43E6"/>
    <w:rsid w:val="005B4438"/>
    <w:rsid w:val="005B4450"/>
    <w:rsid w:val="005B446A"/>
    <w:rsid w:val="005B44CD"/>
    <w:rsid w:val="005B451B"/>
    <w:rsid w:val="005B453C"/>
    <w:rsid w:val="005B4578"/>
    <w:rsid w:val="005B45CD"/>
    <w:rsid w:val="005B45E5"/>
    <w:rsid w:val="005B4724"/>
    <w:rsid w:val="005B47DD"/>
    <w:rsid w:val="005B4835"/>
    <w:rsid w:val="005B4843"/>
    <w:rsid w:val="005B4854"/>
    <w:rsid w:val="005B4895"/>
    <w:rsid w:val="005B48D0"/>
    <w:rsid w:val="005B4915"/>
    <w:rsid w:val="005B496D"/>
    <w:rsid w:val="005B4971"/>
    <w:rsid w:val="005B49B9"/>
    <w:rsid w:val="005B49FE"/>
    <w:rsid w:val="005B4ACB"/>
    <w:rsid w:val="005B4AD1"/>
    <w:rsid w:val="005B4B29"/>
    <w:rsid w:val="005B4B32"/>
    <w:rsid w:val="005B4B45"/>
    <w:rsid w:val="005B4BBC"/>
    <w:rsid w:val="005B4BD2"/>
    <w:rsid w:val="005B4C13"/>
    <w:rsid w:val="005B4C8E"/>
    <w:rsid w:val="005B4CAB"/>
    <w:rsid w:val="005B4D53"/>
    <w:rsid w:val="005B4E02"/>
    <w:rsid w:val="005B4E9D"/>
    <w:rsid w:val="005B4F46"/>
    <w:rsid w:val="005B4F8D"/>
    <w:rsid w:val="005B4FE8"/>
    <w:rsid w:val="005B4FFC"/>
    <w:rsid w:val="005B50DE"/>
    <w:rsid w:val="005B5122"/>
    <w:rsid w:val="005B51EF"/>
    <w:rsid w:val="005B521F"/>
    <w:rsid w:val="005B527D"/>
    <w:rsid w:val="005B52DB"/>
    <w:rsid w:val="005B536E"/>
    <w:rsid w:val="005B547B"/>
    <w:rsid w:val="005B5519"/>
    <w:rsid w:val="005B5563"/>
    <w:rsid w:val="005B5798"/>
    <w:rsid w:val="005B57DB"/>
    <w:rsid w:val="005B58BE"/>
    <w:rsid w:val="005B58D6"/>
    <w:rsid w:val="005B58EC"/>
    <w:rsid w:val="005B58F3"/>
    <w:rsid w:val="005B58F6"/>
    <w:rsid w:val="005B58F9"/>
    <w:rsid w:val="005B5926"/>
    <w:rsid w:val="005B5952"/>
    <w:rsid w:val="005B5A05"/>
    <w:rsid w:val="005B5A3E"/>
    <w:rsid w:val="005B5A68"/>
    <w:rsid w:val="005B5C93"/>
    <w:rsid w:val="005B5CDA"/>
    <w:rsid w:val="005B5D15"/>
    <w:rsid w:val="005B5D4E"/>
    <w:rsid w:val="005B5F43"/>
    <w:rsid w:val="005B5F74"/>
    <w:rsid w:val="005B5FC1"/>
    <w:rsid w:val="005B5FD2"/>
    <w:rsid w:val="005B609D"/>
    <w:rsid w:val="005B60A4"/>
    <w:rsid w:val="005B61AB"/>
    <w:rsid w:val="005B61B3"/>
    <w:rsid w:val="005B61D7"/>
    <w:rsid w:val="005B61D8"/>
    <w:rsid w:val="005B6239"/>
    <w:rsid w:val="005B6290"/>
    <w:rsid w:val="005B65E4"/>
    <w:rsid w:val="005B6611"/>
    <w:rsid w:val="005B66BC"/>
    <w:rsid w:val="005B66DD"/>
    <w:rsid w:val="005B678A"/>
    <w:rsid w:val="005B679B"/>
    <w:rsid w:val="005B69FF"/>
    <w:rsid w:val="005B6A30"/>
    <w:rsid w:val="005B6A7F"/>
    <w:rsid w:val="005B6CAA"/>
    <w:rsid w:val="005B6CF9"/>
    <w:rsid w:val="005B6D5B"/>
    <w:rsid w:val="005B6DAB"/>
    <w:rsid w:val="005B6DB7"/>
    <w:rsid w:val="005B6DC6"/>
    <w:rsid w:val="005B6E0F"/>
    <w:rsid w:val="005B6E19"/>
    <w:rsid w:val="005B6E80"/>
    <w:rsid w:val="005B6F1C"/>
    <w:rsid w:val="005B7042"/>
    <w:rsid w:val="005B7080"/>
    <w:rsid w:val="005B7182"/>
    <w:rsid w:val="005B7191"/>
    <w:rsid w:val="005B7341"/>
    <w:rsid w:val="005B73A0"/>
    <w:rsid w:val="005B7442"/>
    <w:rsid w:val="005B74A3"/>
    <w:rsid w:val="005B74DD"/>
    <w:rsid w:val="005B7523"/>
    <w:rsid w:val="005B76D0"/>
    <w:rsid w:val="005B773E"/>
    <w:rsid w:val="005B77A4"/>
    <w:rsid w:val="005B7844"/>
    <w:rsid w:val="005B7A2D"/>
    <w:rsid w:val="005B7A32"/>
    <w:rsid w:val="005B7A83"/>
    <w:rsid w:val="005B7A9C"/>
    <w:rsid w:val="005B7AA1"/>
    <w:rsid w:val="005B7C04"/>
    <w:rsid w:val="005B7C87"/>
    <w:rsid w:val="005B7DFE"/>
    <w:rsid w:val="005B7EF7"/>
    <w:rsid w:val="005B7FCC"/>
    <w:rsid w:val="005C011B"/>
    <w:rsid w:val="005C021F"/>
    <w:rsid w:val="005C025B"/>
    <w:rsid w:val="005C0288"/>
    <w:rsid w:val="005C02DE"/>
    <w:rsid w:val="005C0318"/>
    <w:rsid w:val="005C0358"/>
    <w:rsid w:val="005C03A8"/>
    <w:rsid w:val="005C03D4"/>
    <w:rsid w:val="005C03E9"/>
    <w:rsid w:val="005C0497"/>
    <w:rsid w:val="005C04B8"/>
    <w:rsid w:val="005C04F5"/>
    <w:rsid w:val="005C056A"/>
    <w:rsid w:val="005C05EA"/>
    <w:rsid w:val="005C05F6"/>
    <w:rsid w:val="005C05FF"/>
    <w:rsid w:val="005C06B9"/>
    <w:rsid w:val="005C072C"/>
    <w:rsid w:val="005C0738"/>
    <w:rsid w:val="005C0751"/>
    <w:rsid w:val="005C0759"/>
    <w:rsid w:val="005C0836"/>
    <w:rsid w:val="005C0865"/>
    <w:rsid w:val="005C08B2"/>
    <w:rsid w:val="005C08D2"/>
    <w:rsid w:val="005C091F"/>
    <w:rsid w:val="005C0935"/>
    <w:rsid w:val="005C09C6"/>
    <w:rsid w:val="005C0A09"/>
    <w:rsid w:val="005C0A59"/>
    <w:rsid w:val="005C0A86"/>
    <w:rsid w:val="005C0ADB"/>
    <w:rsid w:val="005C0BF3"/>
    <w:rsid w:val="005C0BF6"/>
    <w:rsid w:val="005C0C7A"/>
    <w:rsid w:val="005C0D7A"/>
    <w:rsid w:val="005C0D84"/>
    <w:rsid w:val="005C0E51"/>
    <w:rsid w:val="005C0EB2"/>
    <w:rsid w:val="005C0FB8"/>
    <w:rsid w:val="005C0FC1"/>
    <w:rsid w:val="005C1009"/>
    <w:rsid w:val="005C10A3"/>
    <w:rsid w:val="005C10BA"/>
    <w:rsid w:val="005C1101"/>
    <w:rsid w:val="005C1135"/>
    <w:rsid w:val="005C113A"/>
    <w:rsid w:val="005C1295"/>
    <w:rsid w:val="005C12A8"/>
    <w:rsid w:val="005C12E5"/>
    <w:rsid w:val="005C133F"/>
    <w:rsid w:val="005C1354"/>
    <w:rsid w:val="005C1369"/>
    <w:rsid w:val="005C13E7"/>
    <w:rsid w:val="005C14F7"/>
    <w:rsid w:val="005C155C"/>
    <w:rsid w:val="005C15F0"/>
    <w:rsid w:val="005C166F"/>
    <w:rsid w:val="005C17C4"/>
    <w:rsid w:val="005C17F4"/>
    <w:rsid w:val="005C18D8"/>
    <w:rsid w:val="005C1929"/>
    <w:rsid w:val="005C1988"/>
    <w:rsid w:val="005C1A73"/>
    <w:rsid w:val="005C1A77"/>
    <w:rsid w:val="005C1AA7"/>
    <w:rsid w:val="005C1AE1"/>
    <w:rsid w:val="005C1AF1"/>
    <w:rsid w:val="005C1BCE"/>
    <w:rsid w:val="005C1C42"/>
    <w:rsid w:val="005C1D38"/>
    <w:rsid w:val="005C1DD9"/>
    <w:rsid w:val="005C1DE1"/>
    <w:rsid w:val="005C1E8C"/>
    <w:rsid w:val="005C1F31"/>
    <w:rsid w:val="005C1F95"/>
    <w:rsid w:val="005C2189"/>
    <w:rsid w:val="005C218C"/>
    <w:rsid w:val="005C21CA"/>
    <w:rsid w:val="005C21CD"/>
    <w:rsid w:val="005C220C"/>
    <w:rsid w:val="005C2233"/>
    <w:rsid w:val="005C23FA"/>
    <w:rsid w:val="005C25CF"/>
    <w:rsid w:val="005C26BD"/>
    <w:rsid w:val="005C2743"/>
    <w:rsid w:val="005C2773"/>
    <w:rsid w:val="005C2781"/>
    <w:rsid w:val="005C27D6"/>
    <w:rsid w:val="005C283C"/>
    <w:rsid w:val="005C2887"/>
    <w:rsid w:val="005C2937"/>
    <w:rsid w:val="005C298A"/>
    <w:rsid w:val="005C2B00"/>
    <w:rsid w:val="005C2B02"/>
    <w:rsid w:val="005C2B1C"/>
    <w:rsid w:val="005C2B9B"/>
    <w:rsid w:val="005C2C25"/>
    <w:rsid w:val="005C2C28"/>
    <w:rsid w:val="005C2CB3"/>
    <w:rsid w:val="005C2CE7"/>
    <w:rsid w:val="005C2D1D"/>
    <w:rsid w:val="005C2D48"/>
    <w:rsid w:val="005C2E27"/>
    <w:rsid w:val="005C2E70"/>
    <w:rsid w:val="005C2ED0"/>
    <w:rsid w:val="005C2FDC"/>
    <w:rsid w:val="005C301E"/>
    <w:rsid w:val="005C30E1"/>
    <w:rsid w:val="005C30E7"/>
    <w:rsid w:val="005C30F5"/>
    <w:rsid w:val="005C310B"/>
    <w:rsid w:val="005C319D"/>
    <w:rsid w:val="005C31EA"/>
    <w:rsid w:val="005C3278"/>
    <w:rsid w:val="005C32E8"/>
    <w:rsid w:val="005C3399"/>
    <w:rsid w:val="005C34ED"/>
    <w:rsid w:val="005C352B"/>
    <w:rsid w:val="005C3547"/>
    <w:rsid w:val="005C3549"/>
    <w:rsid w:val="005C3552"/>
    <w:rsid w:val="005C3609"/>
    <w:rsid w:val="005C36B4"/>
    <w:rsid w:val="005C37E5"/>
    <w:rsid w:val="005C37F6"/>
    <w:rsid w:val="005C3819"/>
    <w:rsid w:val="005C3827"/>
    <w:rsid w:val="005C382D"/>
    <w:rsid w:val="005C386E"/>
    <w:rsid w:val="005C38C3"/>
    <w:rsid w:val="005C38D7"/>
    <w:rsid w:val="005C3902"/>
    <w:rsid w:val="005C392F"/>
    <w:rsid w:val="005C3934"/>
    <w:rsid w:val="005C3937"/>
    <w:rsid w:val="005C3A1C"/>
    <w:rsid w:val="005C3B50"/>
    <w:rsid w:val="005C3B69"/>
    <w:rsid w:val="005C3B7C"/>
    <w:rsid w:val="005C3BBC"/>
    <w:rsid w:val="005C3BF7"/>
    <w:rsid w:val="005C3BFC"/>
    <w:rsid w:val="005C3C47"/>
    <w:rsid w:val="005C3D29"/>
    <w:rsid w:val="005C3E12"/>
    <w:rsid w:val="005C3E18"/>
    <w:rsid w:val="005C3E39"/>
    <w:rsid w:val="005C3E55"/>
    <w:rsid w:val="005C3EED"/>
    <w:rsid w:val="005C3FE8"/>
    <w:rsid w:val="005C4047"/>
    <w:rsid w:val="005C408C"/>
    <w:rsid w:val="005C410C"/>
    <w:rsid w:val="005C4197"/>
    <w:rsid w:val="005C4200"/>
    <w:rsid w:val="005C4276"/>
    <w:rsid w:val="005C42C0"/>
    <w:rsid w:val="005C4371"/>
    <w:rsid w:val="005C4377"/>
    <w:rsid w:val="005C439D"/>
    <w:rsid w:val="005C43DC"/>
    <w:rsid w:val="005C4400"/>
    <w:rsid w:val="005C448E"/>
    <w:rsid w:val="005C44AA"/>
    <w:rsid w:val="005C4512"/>
    <w:rsid w:val="005C4584"/>
    <w:rsid w:val="005C458A"/>
    <w:rsid w:val="005C4605"/>
    <w:rsid w:val="005C4607"/>
    <w:rsid w:val="005C46D1"/>
    <w:rsid w:val="005C4762"/>
    <w:rsid w:val="005C47FC"/>
    <w:rsid w:val="005C48A0"/>
    <w:rsid w:val="005C48D8"/>
    <w:rsid w:val="005C495F"/>
    <w:rsid w:val="005C49A2"/>
    <w:rsid w:val="005C49C7"/>
    <w:rsid w:val="005C4A03"/>
    <w:rsid w:val="005C4B38"/>
    <w:rsid w:val="005C4B40"/>
    <w:rsid w:val="005C4B8D"/>
    <w:rsid w:val="005C4C57"/>
    <w:rsid w:val="005C4CAB"/>
    <w:rsid w:val="005C4D56"/>
    <w:rsid w:val="005C4D97"/>
    <w:rsid w:val="005C4DF9"/>
    <w:rsid w:val="005C4E26"/>
    <w:rsid w:val="005C4EB5"/>
    <w:rsid w:val="005C4EDD"/>
    <w:rsid w:val="005C4FB3"/>
    <w:rsid w:val="005C4FC5"/>
    <w:rsid w:val="005C4FDD"/>
    <w:rsid w:val="005C4FF8"/>
    <w:rsid w:val="005C503A"/>
    <w:rsid w:val="005C5055"/>
    <w:rsid w:val="005C507F"/>
    <w:rsid w:val="005C50AB"/>
    <w:rsid w:val="005C50DA"/>
    <w:rsid w:val="005C5151"/>
    <w:rsid w:val="005C527E"/>
    <w:rsid w:val="005C52A5"/>
    <w:rsid w:val="005C52EB"/>
    <w:rsid w:val="005C52F8"/>
    <w:rsid w:val="005C5316"/>
    <w:rsid w:val="005C53A8"/>
    <w:rsid w:val="005C5531"/>
    <w:rsid w:val="005C5540"/>
    <w:rsid w:val="005C55C9"/>
    <w:rsid w:val="005C56C1"/>
    <w:rsid w:val="005C5760"/>
    <w:rsid w:val="005C57A7"/>
    <w:rsid w:val="005C57CE"/>
    <w:rsid w:val="005C57DE"/>
    <w:rsid w:val="005C583B"/>
    <w:rsid w:val="005C5879"/>
    <w:rsid w:val="005C58C1"/>
    <w:rsid w:val="005C5910"/>
    <w:rsid w:val="005C59C8"/>
    <w:rsid w:val="005C5A10"/>
    <w:rsid w:val="005C5A55"/>
    <w:rsid w:val="005C5B24"/>
    <w:rsid w:val="005C5B44"/>
    <w:rsid w:val="005C5BA4"/>
    <w:rsid w:val="005C5BF3"/>
    <w:rsid w:val="005C5C4B"/>
    <w:rsid w:val="005C5C6F"/>
    <w:rsid w:val="005C5CC0"/>
    <w:rsid w:val="005C5D08"/>
    <w:rsid w:val="005C5D25"/>
    <w:rsid w:val="005C5D38"/>
    <w:rsid w:val="005C5E4D"/>
    <w:rsid w:val="005C5E88"/>
    <w:rsid w:val="005C5F2C"/>
    <w:rsid w:val="005C60E5"/>
    <w:rsid w:val="005C6152"/>
    <w:rsid w:val="005C615D"/>
    <w:rsid w:val="005C617E"/>
    <w:rsid w:val="005C61C5"/>
    <w:rsid w:val="005C6212"/>
    <w:rsid w:val="005C622D"/>
    <w:rsid w:val="005C62A5"/>
    <w:rsid w:val="005C6357"/>
    <w:rsid w:val="005C63CC"/>
    <w:rsid w:val="005C64B2"/>
    <w:rsid w:val="005C660E"/>
    <w:rsid w:val="005C6627"/>
    <w:rsid w:val="005C6633"/>
    <w:rsid w:val="005C6640"/>
    <w:rsid w:val="005C676A"/>
    <w:rsid w:val="005C676D"/>
    <w:rsid w:val="005C67A3"/>
    <w:rsid w:val="005C6817"/>
    <w:rsid w:val="005C68FE"/>
    <w:rsid w:val="005C6A26"/>
    <w:rsid w:val="005C6A5F"/>
    <w:rsid w:val="005C6AE6"/>
    <w:rsid w:val="005C6B0B"/>
    <w:rsid w:val="005C6B5A"/>
    <w:rsid w:val="005C6BE0"/>
    <w:rsid w:val="005C6D3B"/>
    <w:rsid w:val="005C6D9F"/>
    <w:rsid w:val="005C6DE6"/>
    <w:rsid w:val="005C6E56"/>
    <w:rsid w:val="005C6E80"/>
    <w:rsid w:val="005C6EDB"/>
    <w:rsid w:val="005C6EF1"/>
    <w:rsid w:val="005C6F15"/>
    <w:rsid w:val="005C6FE2"/>
    <w:rsid w:val="005C6FF2"/>
    <w:rsid w:val="005C6FFF"/>
    <w:rsid w:val="005C70A7"/>
    <w:rsid w:val="005C70D5"/>
    <w:rsid w:val="005C7104"/>
    <w:rsid w:val="005C7140"/>
    <w:rsid w:val="005C71F3"/>
    <w:rsid w:val="005C725B"/>
    <w:rsid w:val="005C7273"/>
    <w:rsid w:val="005C72D5"/>
    <w:rsid w:val="005C72EA"/>
    <w:rsid w:val="005C7399"/>
    <w:rsid w:val="005C73BF"/>
    <w:rsid w:val="005C742A"/>
    <w:rsid w:val="005C7471"/>
    <w:rsid w:val="005C748A"/>
    <w:rsid w:val="005C74C6"/>
    <w:rsid w:val="005C74FA"/>
    <w:rsid w:val="005C75A5"/>
    <w:rsid w:val="005C75E2"/>
    <w:rsid w:val="005C7649"/>
    <w:rsid w:val="005C76D6"/>
    <w:rsid w:val="005C775B"/>
    <w:rsid w:val="005C7791"/>
    <w:rsid w:val="005C77E7"/>
    <w:rsid w:val="005C7901"/>
    <w:rsid w:val="005C7949"/>
    <w:rsid w:val="005C7A25"/>
    <w:rsid w:val="005C7A73"/>
    <w:rsid w:val="005C7B17"/>
    <w:rsid w:val="005C7B80"/>
    <w:rsid w:val="005C7BED"/>
    <w:rsid w:val="005C7C0F"/>
    <w:rsid w:val="005C7C69"/>
    <w:rsid w:val="005C7C88"/>
    <w:rsid w:val="005C7DA4"/>
    <w:rsid w:val="005C7E21"/>
    <w:rsid w:val="005C7E32"/>
    <w:rsid w:val="005C7EC9"/>
    <w:rsid w:val="005C7EDC"/>
    <w:rsid w:val="005C7F5B"/>
    <w:rsid w:val="005D000F"/>
    <w:rsid w:val="005D0075"/>
    <w:rsid w:val="005D0084"/>
    <w:rsid w:val="005D0092"/>
    <w:rsid w:val="005D013C"/>
    <w:rsid w:val="005D01DD"/>
    <w:rsid w:val="005D0242"/>
    <w:rsid w:val="005D02ED"/>
    <w:rsid w:val="005D0411"/>
    <w:rsid w:val="005D0486"/>
    <w:rsid w:val="005D04C5"/>
    <w:rsid w:val="005D0539"/>
    <w:rsid w:val="005D059F"/>
    <w:rsid w:val="005D05FA"/>
    <w:rsid w:val="005D0612"/>
    <w:rsid w:val="005D062D"/>
    <w:rsid w:val="005D0651"/>
    <w:rsid w:val="005D065C"/>
    <w:rsid w:val="005D0668"/>
    <w:rsid w:val="005D06D8"/>
    <w:rsid w:val="005D0793"/>
    <w:rsid w:val="005D07A0"/>
    <w:rsid w:val="005D088D"/>
    <w:rsid w:val="005D08D7"/>
    <w:rsid w:val="005D08EE"/>
    <w:rsid w:val="005D0939"/>
    <w:rsid w:val="005D093E"/>
    <w:rsid w:val="005D0953"/>
    <w:rsid w:val="005D097C"/>
    <w:rsid w:val="005D0AFC"/>
    <w:rsid w:val="005D0B4C"/>
    <w:rsid w:val="005D0B7B"/>
    <w:rsid w:val="005D0BE2"/>
    <w:rsid w:val="005D0C5F"/>
    <w:rsid w:val="005D0C9F"/>
    <w:rsid w:val="005D0CC9"/>
    <w:rsid w:val="005D0D0B"/>
    <w:rsid w:val="005D0DFC"/>
    <w:rsid w:val="005D0E0F"/>
    <w:rsid w:val="005D0E8E"/>
    <w:rsid w:val="005D0EB0"/>
    <w:rsid w:val="005D0EB7"/>
    <w:rsid w:val="005D0F2E"/>
    <w:rsid w:val="005D0F58"/>
    <w:rsid w:val="005D0F9C"/>
    <w:rsid w:val="005D0FFA"/>
    <w:rsid w:val="005D103B"/>
    <w:rsid w:val="005D1079"/>
    <w:rsid w:val="005D10E3"/>
    <w:rsid w:val="005D1140"/>
    <w:rsid w:val="005D1200"/>
    <w:rsid w:val="005D122A"/>
    <w:rsid w:val="005D13DC"/>
    <w:rsid w:val="005D152A"/>
    <w:rsid w:val="005D156C"/>
    <w:rsid w:val="005D15AC"/>
    <w:rsid w:val="005D15B2"/>
    <w:rsid w:val="005D15E2"/>
    <w:rsid w:val="005D1637"/>
    <w:rsid w:val="005D1670"/>
    <w:rsid w:val="005D1679"/>
    <w:rsid w:val="005D16D7"/>
    <w:rsid w:val="005D1770"/>
    <w:rsid w:val="005D178A"/>
    <w:rsid w:val="005D1888"/>
    <w:rsid w:val="005D1889"/>
    <w:rsid w:val="005D18A3"/>
    <w:rsid w:val="005D1976"/>
    <w:rsid w:val="005D1A76"/>
    <w:rsid w:val="005D1A96"/>
    <w:rsid w:val="005D1ABE"/>
    <w:rsid w:val="005D1AC7"/>
    <w:rsid w:val="005D1BD9"/>
    <w:rsid w:val="005D1C2A"/>
    <w:rsid w:val="005D1D7B"/>
    <w:rsid w:val="005D1DB5"/>
    <w:rsid w:val="005D1EC7"/>
    <w:rsid w:val="005D1F1F"/>
    <w:rsid w:val="005D1FA9"/>
    <w:rsid w:val="005D1FE3"/>
    <w:rsid w:val="005D20B7"/>
    <w:rsid w:val="005D2197"/>
    <w:rsid w:val="005D2267"/>
    <w:rsid w:val="005D2298"/>
    <w:rsid w:val="005D2322"/>
    <w:rsid w:val="005D23DC"/>
    <w:rsid w:val="005D2583"/>
    <w:rsid w:val="005D2602"/>
    <w:rsid w:val="005D2696"/>
    <w:rsid w:val="005D274D"/>
    <w:rsid w:val="005D283B"/>
    <w:rsid w:val="005D28EC"/>
    <w:rsid w:val="005D2933"/>
    <w:rsid w:val="005D293F"/>
    <w:rsid w:val="005D294C"/>
    <w:rsid w:val="005D29C7"/>
    <w:rsid w:val="005D2A8A"/>
    <w:rsid w:val="005D2AA7"/>
    <w:rsid w:val="005D2B46"/>
    <w:rsid w:val="005D2B60"/>
    <w:rsid w:val="005D2C18"/>
    <w:rsid w:val="005D2C9C"/>
    <w:rsid w:val="005D2CAA"/>
    <w:rsid w:val="005D2CB8"/>
    <w:rsid w:val="005D2CE8"/>
    <w:rsid w:val="005D2DB6"/>
    <w:rsid w:val="005D2E0F"/>
    <w:rsid w:val="005D2E7D"/>
    <w:rsid w:val="005D2F5C"/>
    <w:rsid w:val="005D2F74"/>
    <w:rsid w:val="005D2F83"/>
    <w:rsid w:val="005D2FDA"/>
    <w:rsid w:val="005D3067"/>
    <w:rsid w:val="005D306A"/>
    <w:rsid w:val="005D307D"/>
    <w:rsid w:val="005D3100"/>
    <w:rsid w:val="005D317C"/>
    <w:rsid w:val="005D31D4"/>
    <w:rsid w:val="005D329B"/>
    <w:rsid w:val="005D3307"/>
    <w:rsid w:val="005D333B"/>
    <w:rsid w:val="005D3461"/>
    <w:rsid w:val="005D35C2"/>
    <w:rsid w:val="005D35DD"/>
    <w:rsid w:val="005D3601"/>
    <w:rsid w:val="005D3660"/>
    <w:rsid w:val="005D368B"/>
    <w:rsid w:val="005D36DE"/>
    <w:rsid w:val="005D36F4"/>
    <w:rsid w:val="005D374F"/>
    <w:rsid w:val="005D37D4"/>
    <w:rsid w:val="005D3883"/>
    <w:rsid w:val="005D38D4"/>
    <w:rsid w:val="005D39CE"/>
    <w:rsid w:val="005D39D5"/>
    <w:rsid w:val="005D39DE"/>
    <w:rsid w:val="005D3A7C"/>
    <w:rsid w:val="005D3AE9"/>
    <w:rsid w:val="005D3B0B"/>
    <w:rsid w:val="005D3C01"/>
    <w:rsid w:val="005D3C27"/>
    <w:rsid w:val="005D3C39"/>
    <w:rsid w:val="005D3CC6"/>
    <w:rsid w:val="005D3CC8"/>
    <w:rsid w:val="005D3D10"/>
    <w:rsid w:val="005D3D12"/>
    <w:rsid w:val="005D3DA0"/>
    <w:rsid w:val="005D3DF0"/>
    <w:rsid w:val="005D3E11"/>
    <w:rsid w:val="005D3EE1"/>
    <w:rsid w:val="005D3EFF"/>
    <w:rsid w:val="005D3F64"/>
    <w:rsid w:val="005D3FB3"/>
    <w:rsid w:val="005D3FCC"/>
    <w:rsid w:val="005D4008"/>
    <w:rsid w:val="005D4069"/>
    <w:rsid w:val="005D4070"/>
    <w:rsid w:val="005D40B2"/>
    <w:rsid w:val="005D4128"/>
    <w:rsid w:val="005D4179"/>
    <w:rsid w:val="005D419B"/>
    <w:rsid w:val="005D426B"/>
    <w:rsid w:val="005D433C"/>
    <w:rsid w:val="005D4395"/>
    <w:rsid w:val="005D43B6"/>
    <w:rsid w:val="005D43D9"/>
    <w:rsid w:val="005D43F3"/>
    <w:rsid w:val="005D444F"/>
    <w:rsid w:val="005D4589"/>
    <w:rsid w:val="005D45E0"/>
    <w:rsid w:val="005D4659"/>
    <w:rsid w:val="005D46B0"/>
    <w:rsid w:val="005D4833"/>
    <w:rsid w:val="005D4843"/>
    <w:rsid w:val="005D4849"/>
    <w:rsid w:val="005D4854"/>
    <w:rsid w:val="005D4934"/>
    <w:rsid w:val="005D4942"/>
    <w:rsid w:val="005D4A3E"/>
    <w:rsid w:val="005D4A77"/>
    <w:rsid w:val="005D4AAC"/>
    <w:rsid w:val="005D4B1C"/>
    <w:rsid w:val="005D4B2F"/>
    <w:rsid w:val="005D4BBC"/>
    <w:rsid w:val="005D4CBF"/>
    <w:rsid w:val="005D4CD0"/>
    <w:rsid w:val="005D4CDE"/>
    <w:rsid w:val="005D4D9E"/>
    <w:rsid w:val="005D4E1D"/>
    <w:rsid w:val="005D4E4B"/>
    <w:rsid w:val="005D4E52"/>
    <w:rsid w:val="005D4E71"/>
    <w:rsid w:val="005D4E73"/>
    <w:rsid w:val="005D4E93"/>
    <w:rsid w:val="005D4EE3"/>
    <w:rsid w:val="005D4EF3"/>
    <w:rsid w:val="005D4F0F"/>
    <w:rsid w:val="005D4FC7"/>
    <w:rsid w:val="005D4FF8"/>
    <w:rsid w:val="005D5024"/>
    <w:rsid w:val="005D514D"/>
    <w:rsid w:val="005D5161"/>
    <w:rsid w:val="005D51DF"/>
    <w:rsid w:val="005D51E1"/>
    <w:rsid w:val="005D53C9"/>
    <w:rsid w:val="005D53ED"/>
    <w:rsid w:val="005D53F4"/>
    <w:rsid w:val="005D53FF"/>
    <w:rsid w:val="005D543D"/>
    <w:rsid w:val="005D54D9"/>
    <w:rsid w:val="005D54E0"/>
    <w:rsid w:val="005D5553"/>
    <w:rsid w:val="005D568F"/>
    <w:rsid w:val="005D56C8"/>
    <w:rsid w:val="005D56CA"/>
    <w:rsid w:val="005D576B"/>
    <w:rsid w:val="005D57CF"/>
    <w:rsid w:val="005D57FC"/>
    <w:rsid w:val="005D581E"/>
    <w:rsid w:val="005D5957"/>
    <w:rsid w:val="005D59AC"/>
    <w:rsid w:val="005D59B1"/>
    <w:rsid w:val="005D5A37"/>
    <w:rsid w:val="005D5A44"/>
    <w:rsid w:val="005D5B20"/>
    <w:rsid w:val="005D5B80"/>
    <w:rsid w:val="005D5BA2"/>
    <w:rsid w:val="005D5BE2"/>
    <w:rsid w:val="005D5C04"/>
    <w:rsid w:val="005D5C30"/>
    <w:rsid w:val="005D5C53"/>
    <w:rsid w:val="005D5D24"/>
    <w:rsid w:val="005D5D63"/>
    <w:rsid w:val="005D5D87"/>
    <w:rsid w:val="005D5D9D"/>
    <w:rsid w:val="005D5DB4"/>
    <w:rsid w:val="005D5DC0"/>
    <w:rsid w:val="005D5E25"/>
    <w:rsid w:val="005D5E59"/>
    <w:rsid w:val="005D5E95"/>
    <w:rsid w:val="005D5EC4"/>
    <w:rsid w:val="005D5FE9"/>
    <w:rsid w:val="005D6021"/>
    <w:rsid w:val="005D6134"/>
    <w:rsid w:val="005D6166"/>
    <w:rsid w:val="005D618A"/>
    <w:rsid w:val="005D624C"/>
    <w:rsid w:val="005D6333"/>
    <w:rsid w:val="005D636B"/>
    <w:rsid w:val="005D63B8"/>
    <w:rsid w:val="005D6439"/>
    <w:rsid w:val="005D643F"/>
    <w:rsid w:val="005D648A"/>
    <w:rsid w:val="005D6628"/>
    <w:rsid w:val="005D6665"/>
    <w:rsid w:val="005D6700"/>
    <w:rsid w:val="005D6794"/>
    <w:rsid w:val="005D6818"/>
    <w:rsid w:val="005D683D"/>
    <w:rsid w:val="005D6856"/>
    <w:rsid w:val="005D697F"/>
    <w:rsid w:val="005D6A41"/>
    <w:rsid w:val="005D6AA9"/>
    <w:rsid w:val="005D6AB3"/>
    <w:rsid w:val="005D6B6C"/>
    <w:rsid w:val="005D6B6E"/>
    <w:rsid w:val="005D6B7A"/>
    <w:rsid w:val="005D6BAB"/>
    <w:rsid w:val="005D6C27"/>
    <w:rsid w:val="005D6C9B"/>
    <w:rsid w:val="005D6CC3"/>
    <w:rsid w:val="005D6D01"/>
    <w:rsid w:val="005D6D0C"/>
    <w:rsid w:val="005D6D1E"/>
    <w:rsid w:val="005D6E76"/>
    <w:rsid w:val="005D6F5A"/>
    <w:rsid w:val="005D6F5F"/>
    <w:rsid w:val="005D6FD6"/>
    <w:rsid w:val="005D7031"/>
    <w:rsid w:val="005D7040"/>
    <w:rsid w:val="005D710F"/>
    <w:rsid w:val="005D714E"/>
    <w:rsid w:val="005D7169"/>
    <w:rsid w:val="005D71CD"/>
    <w:rsid w:val="005D7207"/>
    <w:rsid w:val="005D720D"/>
    <w:rsid w:val="005D7238"/>
    <w:rsid w:val="005D7278"/>
    <w:rsid w:val="005D72A8"/>
    <w:rsid w:val="005D72AB"/>
    <w:rsid w:val="005D733B"/>
    <w:rsid w:val="005D7390"/>
    <w:rsid w:val="005D739B"/>
    <w:rsid w:val="005D73D3"/>
    <w:rsid w:val="005D741D"/>
    <w:rsid w:val="005D748B"/>
    <w:rsid w:val="005D7574"/>
    <w:rsid w:val="005D76E9"/>
    <w:rsid w:val="005D776C"/>
    <w:rsid w:val="005D77A2"/>
    <w:rsid w:val="005D77E3"/>
    <w:rsid w:val="005D7870"/>
    <w:rsid w:val="005D79A6"/>
    <w:rsid w:val="005D79B3"/>
    <w:rsid w:val="005D79BE"/>
    <w:rsid w:val="005D7A51"/>
    <w:rsid w:val="005D7A99"/>
    <w:rsid w:val="005D7AA6"/>
    <w:rsid w:val="005D7B1D"/>
    <w:rsid w:val="005D7BB4"/>
    <w:rsid w:val="005D7BEC"/>
    <w:rsid w:val="005D7CAD"/>
    <w:rsid w:val="005D7CAF"/>
    <w:rsid w:val="005D7CC5"/>
    <w:rsid w:val="005D7CEE"/>
    <w:rsid w:val="005D7DD8"/>
    <w:rsid w:val="005D7E1A"/>
    <w:rsid w:val="005D7E32"/>
    <w:rsid w:val="005D7FB8"/>
    <w:rsid w:val="005D7FBA"/>
    <w:rsid w:val="005E0038"/>
    <w:rsid w:val="005E004F"/>
    <w:rsid w:val="005E00B5"/>
    <w:rsid w:val="005E00E1"/>
    <w:rsid w:val="005E010A"/>
    <w:rsid w:val="005E013A"/>
    <w:rsid w:val="005E013D"/>
    <w:rsid w:val="005E0188"/>
    <w:rsid w:val="005E01A0"/>
    <w:rsid w:val="005E0262"/>
    <w:rsid w:val="005E0320"/>
    <w:rsid w:val="005E0387"/>
    <w:rsid w:val="005E03BD"/>
    <w:rsid w:val="005E04A9"/>
    <w:rsid w:val="005E050E"/>
    <w:rsid w:val="005E0579"/>
    <w:rsid w:val="005E0587"/>
    <w:rsid w:val="005E065B"/>
    <w:rsid w:val="005E06A7"/>
    <w:rsid w:val="005E06A9"/>
    <w:rsid w:val="005E0739"/>
    <w:rsid w:val="005E088B"/>
    <w:rsid w:val="005E0904"/>
    <w:rsid w:val="005E0A35"/>
    <w:rsid w:val="005E0B1A"/>
    <w:rsid w:val="005E0B5D"/>
    <w:rsid w:val="005E0C5E"/>
    <w:rsid w:val="005E0D64"/>
    <w:rsid w:val="005E0E8A"/>
    <w:rsid w:val="005E0EF9"/>
    <w:rsid w:val="005E0FDD"/>
    <w:rsid w:val="005E10C6"/>
    <w:rsid w:val="005E1159"/>
    <w:rsid w:val="005E11A1"/>
    <w:rsid w:val="005E11F0"/>
    <w:rsid w:val="005E1283"/>
    <w:rsid w:val="005E130F"/>
    <w:rsid w:val="005E132A"/>
    <w:rsid w:val="005E136B"/>
    <w:rsid w:val="005E137C"/>
    <w:rsid w:val="005E1391"/>
    <w:rsid w:val="005E14FC"/>
    <w:rsid w:val="005E158A"/>
    <w:rsid w:val="005E15BA"/>
    <w:rsid w:val="005E15C6"/>
    <w:rsid w:val="005E1686"/>
    <w:rsid w:val="005E1786"/>
    <w:rsid w:val="005E17D1"/>
    <w:rsid w:val="005E18B7"/>
    <w:rsid w:val="005E1901"/>
    <w:rsid w:val="005E192D"/>
    <w:rsid w:val="005E1AC2"/>
    <w:rsid w:val="005E1B48"/>
    <w:rsid w:val="005E1BDC"/>
    <w:rsid w:val="005E1BF1"/>
    <w:rsid w:val="005E1BFC"/>
    <w:rsid w:val="005E1C36"/>
    <w:rsid w:val="005E1C5A"/>
    <w:rsid w:val="005E1C62"/>
    <w:rsid w:val="005E1C7F"/>
    <w:rsid w:val="005E1C8C"/>
    <w:rsid w:val="005E1CA3"/>
    <w:rsid w:val="005E1D69"/>
    <w:rsid w:val="005E1D6C"/>
    <w:rsid w:val="005E1D97"/>
    <w:rsid w:val="005E1DAA"/>
    <w:rsid w:val="005E1E2E"/>
    <w:rsid w:val="005E1E81"/>
    <w:rsid w:val="005E1ECE"/>
    <w:rsid w:val="005E1ED0"/>
    <w:rsid w:val="005E1F57"/>
    <w:rsid w:val="005E1FFB"/>
    <w:rsid w:val="005E2308"/>
    <w:rsid w:val="005E2309"/>
    <w:rsid w:val="005E2549"/>
    <w:rsid w:val="005E258E"/>
    <w:rsid w:val="005E2635"/>
    <w:rsid w:val="005E2724"/>
    <w:rsid w:val="005E2771"/>
    <w:rsid w:val="005E27BE"/>
    <w:rsid w:val="005E27D5"/>
    <w:rsid w:val="005E291F"/>
    <w:rsid w:val="005E2977"/>
    <w:rsid w:val="005E29A5"/>
    <w:rsid w:val="005E2A12"/>
    <w:rsid w:val="005E2A33"/>
    <w:rsid w:val="005E2B80"/>
    <w:rsid w:val="005E2BA1"/>
    <w:rsid w:val="005E2DFE"/>
    <w:rsid w:val="005E2EA7"/>
    <w:rsid w:val="005E2F98"/>
    <w:rsid w:val="005E2FF1"/>
    <w:rsid w:val="005E308D"/>
    <w:rsid w:val="005E3112"/>
    <w:rsid w:val="005E3188"/>
    <w:rsid w:val="005E31FB"/>
    <w:rsid w:val="005E3217"/>
    <w:rsid w:val="005E3235"/>
    <w:rsid w:val="005E3271"/>
    <w:rsid w:val="005E32CB"/>
    <w:rsid w:val="005E32F1"/>
    <w:rsid w:val="005E331C"/>
    <w:rsid w:val="005E3349"/>
    <w:rsid w:val="005E33CA"/>
    <w:rsid w:val="005E33D4"/>
    <w:rsid w:val="005E33E9"/>
    <w:rsid w:val="005E3422"/>
    <w:rsid w:val="005E34BB"/>
    <w:rsid w:val="005E34DF"/>
    <w:rsid w:val="005E34E7"/>
    <w:rsid w:val="005E3568"/>
    <w:rsid w:val="005E3584"/>
    <w:rsid w:val="005E364F"/>
    <w:rsid w:val="005E3682"/>
    <w:rsid w:val="005E36B6"/>
    <w:rsid w:val="005E36E3"/>
    <w:rsid w:val="005E3703"/>
    <w:rsid w:val="005E37F2"/>
    <w:rsid w:val="005E38F1"/>
    <w:rsid w:val="005E394D"/>
    <w:rsid w:val="005E3958"/>
    <w:rsid w:val="005E3AB2"/>
    <w:rsid w:val="005E3B2A"/>
    <w:rsid w:val="005E3BA5"/>
    <w:rsid w:val="005E3BA6"/>
    <w:rsid w:val="005E3BB6"/>
    <w:rsid w:val="005E3BD2"/>
    <w:rsid w:val="005E3BE7"/>
    <w:rsid w:val="005E3C3B"/>
    <w:rsid w:val="005E3E47"/>
    <w:rsid w:val="005E3ED1"/>
    <w:rsid w:val="005E3EF5"/>
    <w:rsid w:val="005E3F0B"/>
    <w:rsid w:val="005E3FA9"/>
    <w:rsid w:val="005E4026"/>
    <w:rsid w:val="005E404D"/>
    <w:rsid w:val="005E4092"/>
    <w:rsid w:val="005E40C1"/>
    <w:rsid w:val="005E40E8"/>
    <w:rsid w:val="005E4114"/>
    <w:rsid w:val="005E419D"/>
    <w:rsid w:val="005E41C8"/>
    <w:rsid w:val="005E4238"/>
    <w:rsid w:val="005E426E"/>
    <w:rsid w:val="005E42AB"/>
    <w:rsid w:val="005E42B8"/>
    <w:rsid w:val="005E438E"/>
    <w:rsid w:val="005E4416"/>
    <w:rsid w:val="005E44F4"/>
    <w:rsid w:val="005E4565"/>
    <w:rsid w:val="005E45B4"/>
    <w:rsid w:val="005E45FB"/>
    <w:rsid w:val="005E4624"/>
    <w:rsid w:val="005E4649"/>
    <w:rsid w:val="005E47A0"/>
    <w:rsid w:val="005E47FF"/>
    <w:rsid w:val="005E49DC"/>
    <w:rsid w:val="005E4AE2"/>
    <w:rsid w:val="005E4B26"/>
    <w:rsid w:val="005E4B70"/>
    <w:rsid w:val="005E4C58"/>
    <w:rsid w:val="005E4C76"/>
    <w:rsid w:val="005E4C8D"/>
    <w:rsid w:val="005E4C96"/>
    <w:rsid w:val="005E4D7A"/>
    <w:rsid w:val="005E4DEE"/>
    <w:rsid w:val="005E4F13"/>
    <w:rsid w:val="005E4FAF"/>
    <w:rsid w:val="005E4FE5"/>
    <w:rsid w:val="005E5003"/>
    <w:rsid w:val="005E5077"/>
    <w:rsid w:val="005E5133"/>
    <w:rsid w:val="005E51D3"/>
    <w:rsid w:val="005E522E"/>
    <w:rsid w:val="005E527B"/>
    <w:rsid w:val="005E5327"/>
    <w:rsid w:val="005E5336"/>
    <w:rsid w:val="005E5378"/>
    <w:rsid w:val="005E537C"/>
    <w:rsid w:val="005E5393"/>
    <w:rsid w:val="005E53BC"/>
    <w:rsid w:val="005E544D"/>
    <w:rsid w:val="005E54E4"/>
    <w:rsid w:val="005E54EE"/>
    <w:rsid w:val="005E551D"/>
    <w:rsid w:val="005E5537"/>
    <w:rsid w:val="005E5651"/>
    <w:rsid w:val="005E57C1"/>
    <w:rsid w:val="005E591D"/>
    <w:rsid w:val="005E596D"/>
    <w:rsid w:val="005E5973"/>
    <w:rsid w:val="005E5A6A"/>
    <w:rsid w:val="005E5A8C"/>
    <w:rsid w:val="005E5B84"/>
    <w:rsid w:val="005E5BA1"/>
    <w:rsid w:val="005E5BAB"/>
    <w:rsid w:val="005E5BE4"/>
    <w:rsid w:val="005E5C2A"/>
    <w:rsid w:val="005E5C8F"/>
    <w:rsid w:val="005E5CAC"/>
    <w:rsid w:val="005E5D28"/>
    <w:rsid w:val="005E5D95"/>
    <w:rsid w:val="005E5E73"/>
    <w:rsid w:val="005E5E85"/>
    <w:rsid w:val="005E5F4E"/>
    <w:rsid w:val="005E6098"/>
    <w:rsid w:val="005E61DB"/>
    <w:rsid w:val="005E6287"/>
    <w:rsid w:val="005E62E6"/>
    <w:rsid w:val="005E6364"/>
    <w:rsid w:val="005E6417"/>
    <w:rsid w:val="005E643C"/>
    <w:rsid w:val="005E6461"/>
    <w:rsid w:val="005E64E8"/>
    <w:rsid w:val="005E659C"/>
    <w:rsid w:val="005E660C"/>
    <w:rsid w:val="005E663D"/>
    <w:rsid w:val="005E6640"/>
    <w:rsid w:val="005E664D"/>
    <w:rsid w:val="005E664E"/>
    <w:rsid w:val="005E666D"/>
    <w:rsid w:val="005E6680"/>
    <w:rsid w:val="005E6690"/>
    <w:rsid w:val="005E6768"/>
    <w:rsid w:val="005E6792"/>
    <w:rsid w:val="005E67A1"/>
    <w:rsid w:val="005E67AA"/>
    <w:rsid w:val="005E6819"/>
    <w:rsid w:val="005E6938"/>
    <w:rsid w:val="005E69EC"/>
    <w:rsid w:val="005E69ED"/>
    <w:rsid w:val="005E69F8"/>
    <w:rsid w:val="005E6A10"/>
    <w:rsid w:val="005E6A25"/>
    <w:rsid w:val="005E6B97"/>
    <w:rsid w:val="005E6BA1"/>
    <w:rsid w:val="005E6C1F"/>
    <w:rsid w:val="005E6C5D"/>
    <w:rsid w:val="005E6CC0"/>
    <w:rsid w:val="005E6E2F"/>
    <w:rsid w:val="005E6E62"/>
    <w:rsid w:val="005E6EB2"/>
    <w:rsid w:val="005E6F02"/>
    <w:rsid w:val="005E6F05"/>
    <w:rsid w:val="005E6F12"/>
    <w:rsid w:val="005E6F2B"/>
    <w:rsid w:val="005E6F35"/>
    <w:rsid w:val="005E6F3A"/>
    <w:rsid w:val="005E7032"/>
    <w:rsid w:val="005E7102"/>
    <w:rsid w:val="005E716A"/>
    <w:rsid w:val="005E716F"/>
    <w:rsid w:val="005E7193"/>
    <w:rsid w:val="005E71B5"/>
    <w:rsid w:val="005E71B6"/>
    <w:rsid w:val="005E726C"/>
    <w:rsid w:val="005E728D"/>
    <w:rsid w:val="005E7367"/>
    <w:rsid w:val="005E73FB"/>
    <w:rsid w:val="005E7429"/>
    <w:rsid w:val="005E743D"/>
    <w:rsid w:val="005E750E"/>
    <w:rsid w:val="005E753A"/>
    <w:rsid w:val="005E75B2"/>
    <w:rsid w:val="005E75D2"/>
    <w:rsid w:val="005E75D3"/>
    <w:rsid w:val="005E7677"/>
    <w:rsid w:val="005E76B4"/>
    <w:rsid w:val="005E76EB"/>
    <w:rsid w:val="005E77A0"/>
    <w:rsid w:val="005E77BD"/>
    <w:rsid w:val="005E77EF"/>
    <w:rsid w:val="005E78CE"/>
    <w:rsid w:val="005E78F6"/>
    <w:rsid w:val="005E797E"/>
    <w:rsid w:val="005E79A7"/>
    <w:rsid w:val="005E7AAD"/>
    <w:rsid w:val="005E7AEC"/>
    <w:rsid w:val="005E7B04"/>
    <w:rsid w:val="005E7BA5"/>
    <w:rsid w:val="005E7BE3"/>
    <w:rsid w:val="005E7BEE"/>
    <w:rsid w:val="005E7CF7"/>
    <w:rsid w:val="005E7D9D"/>
    <w:rsid w:val="005E7DEC"/>
    <w:rsid w:val="005E7E2A"/>
    <w:rsid w:val="005E7E2C"/>
    <w:rsid w:val="005E7E9E"/>
    <w:rsid w:val="005E7EE2"/>
    <w:rsid w:val="005E7F71"/>
    <w:rsid w:val="005F003B"/>
    <w:rsid w:val="005F00A4"/>
    <w:rsid w:val="005F00CF"/>
    <w:rsid w:val="005F010E"/>
    <w:rsid w:val="005F0164"/>
    <w:rsid w:val="005F0196"/>
    <w:rsid w:val="005F01BC"/>
    <w:rsid w:val="005F0253"/>
    <w:rsid w:val="005F0281"/>
    <w:rsid w:val="005F02E7"/>
    <w:rsid w:val="005F03DF"/>
    <w:rsid w:val="005F043C"/>
    <w:rsid w:val="005F0445"/>
    <w:rsid w:val="005F05C7"/>
    <w:rsid w:val="005F062B"/>
    <w:rsid w:val="005F0649"/>
    <w:rsid w:val="005F06A9"/>
    <w:rsid w:val="005F07B7"/>
    <w:rsid w:val="005F07EA"/>
    <w:rsid w:val="005F0821"/>
    <w:rsid w:val="005F0996"/>
    <w:rsid w:val="005F0A4A"/>
    <w:rsid w:val="005F0A5E"/>
    <w:rsid w:val="005F0ABC"/>
    <w:rsid w:val="005F0C06"/>
    <w:rsid w:val="005F0CAF"/>
    <w:rsid w:val="005F0CE3"/>
    <w:rsid w:val="005F0DCC"/>
    <w:rsid w:val="005F0E01"/>
    <w:rsid w:val="005F0E02"/>
    <w:rsid w:val="005F0E3E"/>
    <w:rsid w:val="005F0E74"/>
    <w:rsid w:val="005F0EC6"/>
    <w:rsid w:val="005F0EE2"/>
    <w:rsid w:val="005F0FA6"/>
    <w:rsid w:val="005F0FDE"/>
    <w:rsid w:val="005F1065"/>
    <w:rsid w:val="005F1098"/>
    <w:rsid w:val="005F1189"/>
    <w:rsid w:val="005F1191"/>
    <w:rsid w:val="005F121D"/>
    <w:rsid w:val="005F1226"/>
    <w:rsid w:val="005F1241"/>
    <w:rsid w:val="005F12B7"/>
    <w:rsid w:val="005F12F0"/>
    <w:rsid w:val="005F13A9"/>
    <w:rsid w:val="005F13AA"/>
    <w:rsid w:val="005F13B0"/>
    <w:rsid w:val="005F1454"/>
    <w:rsid w:val="005F14E9"/>
    <w:rsid w:val="005F1657"/>
    <w:rsid w:val="005F176B"/>
    <w:rsid w:val="005F17A2"/>
    <w:rsid w:val="005F1843"/>
    <w:rsid w:val="005F186E"/>
    <w:rsid w:val="005F1899"/>
    <w:rsid w:val="005F1902"/>
    <w:rsid w:val="005F191C"/>
    <w:rsid w:val="005F1924"/>
    <w:rsid w:val="005F1952"/>
    <w:rsid w:val="005F1961"/>
    <w:rsid w:val="005F19BF"/>
    <w:rsid w:val="005F19C1"/>
    <w:rsid w:val="005F1AE0"/>
    <w:rsid w:val="005F1B05"/>
    <w:rsid w:val="005F1BE4"/>
    <w:rsid w:val="005F1BED"/>
    <w:rsid w:val="005F1C03"/>
    <w:rsid w:val="005F1C7A"/>
    <w:rsid w:val="005F1C9E"/>
    <w:rsid w:val="005F1CC0"/>
    <w:rsid w:val="005F1CD3"/>
    <w:rsid w:val="005F1D0B"/>
    <w:rsid w:val="005F1D82"/>
    <w:rsid w:val="005F1DAF"/>
    <w:rsid w:val="005F1DB3"/>
    <w:rsid w:val="005F1DCE"/>
    <w:rsid w:val="005F1EF5"/>
    <w:rsid w:val="005F1F0A"/>
    <w:rsid w:val="005F1F22"/>
    <w:rsid w:val="005F1F25"/>
    <w:rsid w:val="005F1F2F"/>
    <w:rsid w:val="005F1F30"/>
    <w:rsid w:val="005F2011"/>
    <w:rsid w:val="005F2032"/>
    <w:rsid w:val="005F2053"/>
    <w:rsid w:val="005F20F5"/>
    <w:rsid w:val="005F221A"/>
    <w:rsid w:val="005F2231"/>
    <w:rsid w:val="005F233D"/>
    <w:rsid w:val="005F23BA"/>
    <w:rsid w:val="005F23D0"/>
    <w:rsid w:val="005F23E9"/>
    <w:rsid w:val="005F24BB"/>
    <w:rsid w:val="005F2590"/>
    <w:rsid w:val="005F2597"/>
    <w:rsid w:val="005F2642"/>
    <w:rsid w:val="005F2654"/>
    <w:rsid w:val="005F2731"/>
    <w:rsid w:val="005F27C8"/>
    <w:rsid w:val="005F28B7"/>
    <w:rsid w:val="005F28D2"/>
    <w:rsid w:val="005F298C"/>
    <w:rsid w:val="005F29B6"/>
    <w:rsid w:val="005F2AE9"/>
    <w:rsid w:val="005F2B1A"/>
    <w:rsid w:val="005F2B7C"/>
    <w:rsid w:val="005F2C2A"/>
    <w:rsid w:val="005F2C39"/>
    <w:rsid w:val="005F2CE3"/>
    <w:rsid w:val="005F2DB7"/>
    <w:rsid w:val="005F2DC0"/>
    <w:rsid w:val="005F2DF4"/>
    <w:rsid w:val="005F2E91"/>
    <w:rsid w:val="005F2E92"/>
    <w:rsid w:val="005F2EB3"/>
    <w:rsid w:val="005F2F07"/>
    <w:rsid w:val="005F2F0E"/>
    <w:rsid w:val="005F2FC3"/>
    <w:rsid w:val="005F2FD5"/>
    <w:rsid w:val="005F3087"/>
    <w:rsid w:val="005F30A2"/>
    <w:rsid w:val="005F30C1"/>
    <w:rsid w:val="005F3164"/>
    <w:rsid w:val="005F3176"/>
    <w:rsid w:val="005F3202"/>
    <w:rsid w:val="005F3266"/>
    <w:rsid w:val="005F326D"/>
    <w:rsid w:val="005F32AA"/>
    <w:rsid w:val="005F32B3"/>
    <w:rsid w:val="005F3304"/>
    <w:rsid w:val="005F3620"/>
    <w:rsid w:val="005F36B4"/>
    <w:rsid w:val="005F3735"/>
    <w:rsid w:val="005F37E8"/>
    <w:rsid w:val="005F3909"/>
    <w:rsid w:val="005F3938"/>
    <w:rsid w:val="005F3939"/>
    <w:rsid w:val="005F3968"/>
    <w:rsid w:val="005F3A27"/>
    <w:rsid w:val="005F3A56"/>
    <w:rsid w:val="005F3AA9"/>
    <w:rsid w:val="005F3AAB"/>
    <w:rsid w:val="005F3AB3"/>
    <w:rsid w:val="005F3ADA"/>
    <w:rsid w:val="005F3B9E"/>
    <w:rsid w:val="005F3BD8"/>
    <w:rsid w:val="005F3C06"/>
    <w:rsid w:val="005F3C15"/>
    <w:rsid w:val="005F3C1D"/>
    <w:rsid w:val="005F3CDA"/>
    <w:rsid w:val="005F3CDE"/>
    <w:rsid w:val="005F3CF0"/>
    <w:rsid w:val="005F3DAD"/>
    <w:rsid w:val="005F3FAE"/>
    <w:rsid w:val="005F4009"/>
    <w:rsid w:val="005F4135"/>
    <w:rsid w:val="005F41F9"/>
    <w:rsid w:val="005F422D"/>
    <w:rsid w:val="005F42E4"/>
    <w:rsid w:val="005F4338"/>
    <w:rsid w:val="005F43B0"/>
    <w:rsid w:val="005F43BA"/>
    <w:rsid w:val="005F43F1"/>
    <w:rsid w:val="005F4429"/>
    <w:rsid w:val="005F4498"/>
    <w:rsid w:val="005F44AE"/>
    <w:rsid w:val="005F451C"/>
    <w:rsid w:val="005F4533"/>
    <w:rsid w:val="005F453C"/>
    <w:rsid w:val="005F46A2"/>
    <w:rsid w:val="005F4728"/>
    <w:rsid w:val="005F473C"/>
    <w:rsid w:val="005F47AA"/>
    <w:rsid w:val="005F47B3"/>
    <w:rsid w:val="005F4868"/>
    <w:rsid w:val="005F48D2"/>
    <w:rsid w:val="005F48F0"/>
    <w:rsid w:val="005F4916"/>
    <w:rsid w:val="005F4952"/>
    <w:rsid w:val="005F4987"/>
    <w:rsid w:val="005F4A0B"/>
    <w:rsid w:val="005F4ACA"/>
    <w:rsid w:val="005F4BFF"/>
    <w:rsid w:val="005F4CDE"/>
    <w:rsid w:val="005F4DA7"/>
    <w:rsid w:val="005F4F32"/>
    <w:rsid w:val="005F4F49"/>
    <w:rsid w:val="005F4FDB"/>
    <w:rsid w:val="005F4FF8"/>
    <w:rsid w:val="005F5037"/>
    <w:rsid w:val="005F5124"/>
    <w:rsid w:val="005F519C"/>
    <w:rsid w:val="005F528D"/>
    <w:rsid w:val="005F52AE"/>
    <w:rsid w:val="005F5481"/>
    <w:rsid w:val="005F555A"/>
    <w:rsid w:val="005F55EA"/>
    <w:rsid w:val="005F5621"/>
    <w:rsid w:val="005F5664"/>
    <w:rsid w:val="005F572C"/>
    <w:rsid w:val="005F595A"/>
    <w:rsid w:val="005F5967"/>
    <w:rsid w:val="005F596E"/>
    <w:rsid w:val="005F59F6"/>
    <w:rsid w:val="005F5A38"/>
    <w:rsid w:val="005F5A44"/>
    <w:rsid w:val="005F5AF1"/>
    <w:rsid w:val="005F5B07"/>
    <w:rsid w:val="005F5B2C"/>
    <w:rsid w:val="005F5BFC"/>
    <w:rsid w:val="005F5C74"/>
    <w:rsid w:val="005F5CAF"/>
    <w:rsid w:val="005F5CD8"/>
    <w:rsid w:val="005F5DBF"/>
    <w:rsid w:val="005F5DD4"/>
    <w:rsid w:val="005F5DD9"/>
    <w:rsid w:val="005F5E25"/>
    <w:rsid w:val="005F5E90"/>
    <w:rsid w:val="005F5F6D"/>
    <w:rsid w:val="005F5FC8"/>
    <w:rsid w:val="005F604B"/>
    <w:rsid w:val="005F60A3"/>
    <w:rsid w:val="005F60AD"/>
    <w:rsid w:val="005F610A"/>
    <w:rsid w:val="005F6214"/>
    <w:rsid w:val="005F6336"/>
    <w:rsid w:val="005F634D"/>
    <w:rsid w:val="005F64B2"/>
    <w:rsid w:val="005F64BE"/>
    <w:rsid w:val="005F64C5"/>
    <w:rsid w:val="005F64E2"/>
    <w:rsid w:val="005F64FA"/>
    <w:rsid w:val="005F652E"/>
    <w:rsid w:val="005F65D2"/>
    <w:rsid w:val="005F65E9"/>
    <w:rsid w:val="005F6631"/>
    <w:rsid w:val="005F6651"/>
    <w:rsid w:val="005F66E3"/>
    <w:rsid w:val="005F6725"/>
    <w:rsid w:val="005F67B0"/>
    <w:rsid w:val="005F6817"/>
    <w:rsid w:val="005F6826"/>
    <w:rsid w:val="005F686D"/>
    <w:rsid w:val="005F68ED"/>
    <w:rsid w:val="005F693D"/>
    <w:rsid w:val="005F6945"/>
    <w:rsid w:val="005F6A09"/>
    <w:rsid w:val="005F6A62"/>
    <w:rsid w:val="005F6B4D"/>
    <w:rsid w:val="005F6B6B"/>
    <w:rsid w:val="005F6B6E"/>
    <w:rsid w:val="005F6B72"/>
    <w:rsid w:val="005F6B96"/>
    <w:rsid w:val="005F6E66"/>
    <w:rsid w:val="005F6E96"/>
    <w:rsid w:val="005F6EB1"/>
    <w:rsid w:val="005F6EC2"/>
    <w:rsid w:val="005F6EFF"/>
    <w:rsid w:val="005F6F40"/>
    <w:rsid w:val="005F6FEB"/>
    <w:rsid w:val="005F700E"/>
    <w:rsid w:val="005F7029"/>
    <w:rsid w:val="005F7073"/>
    <w:rsid w:val="005F7090"/>
    <w:rsid w:val="005F70B3"/>
    <w:rsid w:val="005F70CE"/>
    <w:rsid w:val="005F70FE"/>
    <w:rsid w:val="005F7105"/>
    <w:rsid w:val="005F71AF"/>
    <w:rsid w:val="005F71B8"/>
    <w:rsid w:val="005F71DB"/>
    <w:rsid w:val="005F7210"/>
    <w:rsid w:val="005F7356"/>
    <w:rsid w:val="005F737B"/>
    <w:rsid w:val="005F73BC"/>
    <w:rsid w:val="005F749D"/>
    <w:rsid w:val="005F74EA"/>
    <w:rsid w:val="005F7670"/>
    <w:rsid w:val="005F7681"/>
    <w:rsid w:val="005F769D"/>
    <w:rsid w:val="005F76D0"/>
    <w:rsid w:val="005F773E"/>
    <w:rsid w:val="005F776F"/>
    <w:rsid w:val="005F78B5"/>
    <w:rsid w:val="005F792E"/>
    <w:rsid w:val="005F7954"/>
    <w:rsid w:val="005F79A7"/>
    <w:rsid w:val="005F79B0"/>
    <w:rsid w:val="005F7A6F"/>
    <w:rsid w:val="005F7A7C"/>
    <w:rsid w:val="005F7BD4"/>
    <w:rsid w:val="005F7C81"/>
    <w:rsid w:val="005F7CB1"/>
    <w:rsid w:val="005F7D03"/>
    <w:rsid w:val="005F7D4B"/>
    <w:rsid w:val="005F7D4D"/>
    <w:rsid w:val="005F7DA1"/>
    <w:rsid w:val="005F7DC2"/>
    <w:rsid w:val="005F7E02"/>
    <w:rsid w:val="005F7E4B"/>
    <w:rsid w:val="005F7E5B"/>
    <w:rsid w:val="005F7EB7"/>
    <w:rsid w:val="005F7EBC"/>
    <w:rsid w:val="005F7FBB"/>
    <w:rsid w:val="005F7FF4"/>
    <w:rsid w:val="0060005A"/>
    <w:rsid w:val="00600075"/>
    <w:rsid w:val="006000ED"/>
    <w:rsid w:val="0060013F"/>
    <w:rsid w:val="006001C3"/>
    <w:rsid w:val="00600214"/>
    <w:rsid w:val="006002FC"/>
    <w:rsid w:val="00600312"/>
    <w:rsid w:val="0060038F"/>
    <w:rsid w:val="00600414"/>
    <w:rsid w:val="00600446"/>
    <w:rsid w:val="006004F8"/>
    <w:rsid w:val="0060052F"/>
    <w:rsid w:val="0060077C"/>
    <w:rsid w:val="0060078B"/>
    <w:rsid w:val="006007C2"/>
    <w:rsid w:val="006007F9"/>
    <w:rsid w:val="00600800"/>
    <w:rsid w:val="006008FC"/>
    <w:rsid w:val="0060099D"/>
    <w:rsid w:val="006009F5"/>
    <w:rsid w:val="00600AAF"/>
    <w:rsid w:val="00600AB9"/>
    <w:rsid w:val="00600AE1"/>
    <w:rsid w:val="00600B29"/>
    <w:rsid w:val="00600B5F"/>
    <w:rsid w:val="00600B62"/>
    <w:rsid w:val="00600B8A"/>
    <w:rsid w:val="00600C16"/>
    <w:rsid w:val="00600C34"/>
    <w:rsid w:val="00600CCD"/>
    <w:rsid w:val="00600D16"/>
    <w:rsid w:val="00600D55"/>
    <w:rsid w:val="00600D9C"/>
    <w:rsid w:val="00600E18"/>
    <w:rsid w:val="00600E53"/>
    <w:rsid w:val="00600E6E"/>
    <w:rsid w:val="00600EC1"/>
    <w:rsid w:val="00600F23"/>
    <w:rsid w:val="00600F53"/>
    <w:rsid w:val="00600F85"/>
    <w:rsid w:val="00600FC2"/>
    <w:rsid w:val="00600FFB"/>
    <w:rsid w:val="0060108D"/>
    <w:rsid w:val="0060116D"/>
    <w:rsid w:val="00601289"/>
    <w:rsid w:val="00601298"/>
    <w:rsid w:val="006012E9"/>
    <w:rsid w:val="0060139E"/>
    <w:rsid w:val="006013C1"/>
    <w:rsid w:val="006013E5"/>
    <w:rsid w:val="00601536"/>
    <w:rsid w:val="006015CF"/>
    <w:rsid w:val="00601640"/>
    <w:rsid w:val="006016A6"/>
    <w:rsid w:val="0060187A"/>
    <w:rsid w:val="00601914"/>
    <w:rsid w:val="00601919"/>
    <w:rsid w:val="0060194F"/>
    <w:rsid w:val="00601A25"/>
    <w:rsid w:val="00601B04"/>
    <w:rsid w:val="00601B52"/>
    <w:rsid w:val="00601B61"/>
    <w:rsid w:val="00601C4C"/>
    <w:rsid w:val="00601C74"/>
    <w:rsid w:val="00601D48"/>
    <w:rsid w:val="00601D86"/>
    <w:rsid w:val="00601DC5"/>
    <w:rsid w:val="00601DDA"/>
    <w:rsid w:val="00601DE7"/>
    <w:rsid w:val="00601E19"/>
    <w:rsid w:val="00601E21"/>
    <w:rsid w:val="00601E22"/>
    <w:rsid w:val="00601EA3"/>
    <w:rsid w:val="00601F41"/>
    <w:rsid w:val="00601F5C"/>
    <w:rsid w:val="00601F9E"/>
    <w:rsid w:val="006020B7"/>
    <w:rsid w:val="00602140"/>
    <w:rsid w:val="006021A4"/>
    <w:rsid w:val="006021CA"/>
    <w:rsid w:val="006021CB"/>
    <w:rsid w:val="006022AF"/>
    <w:rsid w:val="0060239E"/>
    <w:rsid w:val="00602452"/>
    <w:rsid w:val="006024D8"/>
    <w:rsid w:val="00602513"/>
    <w:rsid w:val="006025E1"/>
    <w:rsid w:val="0060270A"/>
    <w:rsid w:val="00602828"/>
    <w:rsid w:val="0060285F"/>
    <w:rsid w:val="0060287E"/>
    <w:rsid w:val="006028AD"/>
    <w:rsid w:val="006028BD"/>
    <w:rsid w:val="00602943"/>
    <w:rsid w:val="00602970"/>
    <w:rsid w:val="00602975"/>
    <w:rsid w:val="00602979"/>
    <w:rsid w:val="006029A7"/>
    <w:rsid w:val="006029DA"/>
    <w:rsid w:val="00602A00"/>
    <w:rsid w:val="00602A1B"/>
    <w:rsid w:val="00602A1F"/>
    <w:rsid w:val="00602A34"/>
    <w:rsid w:val="00602A38"/>
    <w:rsid w:val="00602A8B"/>
    <w:rsid w:val="00602C97"/>
    <w:rsid w:val="00602CCC"/>
    <w:rsid w:val="00602CDA"/>
    <w:rsid w:val="00602CE6"/>
    <w:rsid w:val="00602D0A"/>
    <w:rsid w:val="00602D16"/>
    <w:rsid w:val="00602DA2"/>
    <w:rsid w:val="00602E88"/>
    <w:rsid w:val="00602FD6"/>
    <w:rsid w:val="00603029"/>
    <w:rsid w:val="00603090"/>
    <w:rsid w:val="00603178"/>
    <w:rsid w:val="006031DA"/>
    <w:rsid w:val="0060323B"/>
    <w:rsid w:val="00603276"/>
    <w:rsid w:val="006032F9"/>
    <w:rsid w:val="00603323"/>
    <w:rsid w:val="00603363"/>
    <w:rsid w:val="00603442"/>
    <w:rsid w:val="00603595"/>
    <w:rsid w:val="006035B5"/>
    <w:rsid w:val="00603670"/>
    <w:rsid w:val="00603676"/>
    <w:rsid w:val="0060368C"/>
    <w:rsid w:val="0060376A"/>
    <w:rsid w:val="0060376E"/>
    <w:rsid w:val="00603779"/>
    <w:rsid w:val="006037F5"/>
    <w:rsid w:val="006038B0"/>
    <w:rsid w:val="0060397A"/>
    <w:rsid w:val="00603998"/>
    <w:rsid w:val="006039AC"/>
    <w:rsid w:val="00603A3E"/>
    <w:rsid w:val="00603A53"/>
    <w:rsid w:val="00603ADB"/>
    <w:rsid w:val="00603AEF"/>
    <w:rsid w:val="00603B11"/>
    <w:rsid w:val="00603B66"/>
    <w:rsid w:val="00603BDD"/>
    <w:rsid w:val="00603C7B"/>
    <w:rsid w:val="00603CA2"/>
    <w:rsid w:val="00603CD5"/>
    <w:rsid w:val="00603D6B"/>
    <w:rsid w:val="00603DF5"/>
    <w:rsid w:val="00603E05"/>
    <w:rsid w:val="00603FA2"/>
    <w:rsid w:val="00603FA9"/>
    <w:rsid w:val="00603FC6"/>
    <w:rsid w:val="00604090"/>
    <w:rsid w:val="00604165"/>
    <w:rsid w:val="006041A8"/>
    <w:rsid w:val="006041DB"/>
    <w:rsid w:val="00604243"/>
    <w:rsid w:val="00604363"/>
    <w:rsid w:val="0060437E"/>
    <w:rsid w:val="0060445D"/>
    <w:rsid w:val="006044F5"/>
    <w:rsid w:val="00604522"/>
    <w:rsid w:val="00604555"/>
    <w:rsid w:val="006045D6"/>
    <w:rsid w:val="006045DC"/>
    <w:rsid w:val="006045EC"/>
    <w:rsid w:val="0060462D"/>
    <w:rsid w:val="006046BF"/>
    <w:rsid w:val="00604735"/>
    <w:rsid w:val="00604753"/>
    <w:rsid w:val="0060493B"/>
    <w:rsid w:val="0060495F"/>
    <w:rsid w:val="00604978"/>
    <w:rsid w:val="00604A18"/>
    <w:rsid w:val="00604A4F"/>
    <w:rsid w:val="00604AAF"/>
    <w:rsid w:val="00604BEB"/>
    <w:rsid w:val="00604C72"/>
    <w:rsid w:val="00604C74"/>
    <w:rsid w:val="00604CBB"/>
    <w:rsid w:val="00604CEA"/>
    <w:rsid w:val="00604D1C"/>
    <w:rsid w:val="00604E47"/>
    <w:rsid w:val="00604E53"/>
    <w:rsid w:val="00604E8F"/>
    <w:rsid w:val="00604F83"/>
    <w:rsid w:val="00604FB8"/>
    <w:rsid w:val="00604FBA"/>
    <w:rsid w:val="0060501C"/>
    <w:rsid w:val="00605080"/>
    <w:rsid w:val="006050C8"/>
    <w:rsid w:val="00605131"/>
    <w:rsid w:val="00605168"/>
    <w:rsid w:val="0060516D"/>
    <w:rsid w:val="00605193"/>
    <w:rsid w:val="00605206"/>
    <w:rsid w:val="00605217"/>
    <w:rsid w:val="006053B6"/>
    <w:rsid w:val="006053D5"/>
    <w:rsid w:val="006054A2"/>
    <w:rsid w:val="0060550D"/>
    <w:rsid w:val="0060558D"/>
    <w:rsid w:val="00605682"/>
    <w:rsid w:val="006056DF"/>
    <w:rsid w:val="0060571F"/>
    <w:rsid w:val="00605795"/>
    <w:rsid w:val="006057B1"/>
    <w:rsid w:val="006057B8"/>
    <w:rsid w:val="006057F6"/>
    <w:rsid w:val="00605804"/>
    <w:rsid w:val="00605855"/>
    <w:rsid w:val="0060586B"/>
    <w:rsid w:val="00605887"/>
    <w:rsid w:val="00605915"/>
    <w:rsid w:val="00605982"/>
    <w:rsid w:val="00605A8C"/>
    <w:rsid w:val="00605B49"/>
    <w:rsid w:val="00605B7A"/>
    <w:rsid w:val="00605BAA"/>
    <w:rsid w:val="00605C4D"/>
    <w:rsid w:val="00605C99"/>
    <w:rsid w:val="00605CC6"/>
    <w:rsid w:val="00605CF5"/>
    <w:rsid w:val="00605D18"/>
    <w:rsid w:val="00605D45"/>
    <w:rsid w:val="00605DA0"/>
    <w:rsid w:val="00605E12"/>
    <w:rsid w:val="00605E72"/>
    <w:rsid w:val="00605F92"/>
    <w:rsid w:val="00605FA3"/>
    <w:rsid w:val="00606053"/>
    <w:rsid w:val="00606154"/>
    <w:rsid w:val="006061A9"/>
    <w:rsid w:val="006061DF"/>
    <w:rsid w:val="00606264"/>
    <w:rsid w:val="006062BD"/>
    <w:rsid w:val="00606304"/>
    <w:rsid w:val="0060637D"/>
    <w:rsid w:val="006063A4"/>
    <w:rsid w:val="00606500"/>
    <w:rsid w:val="00606523"/>
    <w:rsid w:val="006066C5"/>
    <w:rsid w:val="00606760"/>
    <w:rsid w:val="006067C4"/>
    <w:rsid w:val="006067FA"/>
    <w:rsid w:val="006068AE"/>
    <w:rsid w:val="006068D8"/>
    <w:rsid w:val="00606965"/>
    <w:rsid w:val="006069A9"/>
    <w:rsid w:val="00606ADB"/>
    <w:rsid w:val="00606AEF"/>
    <w:rsid w:val="00606AF7"/>
    <w:rsid w:val="00606B1B"/>
    <w:rsid w:val="00606B24"/>
    <w:rsid w:val="00606BE2"/>
    <w:rsid w:val="00606C8A"/>
    <w:rsid w:val="00606E3F"/>
    <w:rsid w:val="00606E7D"/>
    <w:rsid w:val="00606FC8"/>
    <w:rsid w:val="0060707E"/>
    <w:rsid w:val="006070D7"/>
    <w:rsid w:val="006071A0"/>
    <w:rsid w:val="00607200"/>
    <w:rsid w:val="00607264"/>
    <w:rsid w:val="006072E4"/>
    <w:rsid w:val="00607343"/>
    <w:rsid w:val="0060745E"/>
    <w:rsid w:val="00607494"/>
    <w:rsid w:val="006074F3"/>
    <w:rsid w:val="00607521"/>
    <w:rsid w:val="006076A9"/>
    <w:rsid w:val="006076AB"/>
    <w:rsid w:val="0060779A"/>
    <w:rsid w:val="006077FE"/>
    <w:rsid w:val="006078BC"/>
    <w:rsid w:val="0060790F"/>
    <w:rsid w:val="0060795F"/>
    <w:rsid w:val="0060797B"/>
    <w:rsid w:val="00607B3E"/>
    <w:rsid w:val="00607B49"/>
    <w:rsid w:val="00607B4C"/>
    <w:rsid w:val="00607B78"/>
    <w:rsid w:val="00607C39"/>
    <w:rsid w:val="00607CDA"/>
    <w:rsid w:val="00607D81"/>
    <w:rsid w:val="00607D94"/>
    <w:rsid w:val="00607E80"/>
    <w:rsid w:val="00607EB5"/>
    <w:rsid w:val="00607EFF"/>
    <w:rsid w:val="00607F12"/>
    <w:rsid w:val="0061007D"/>
    <w:rsid w:val="00610089"/>
    <w:rsid w:val="0061008B"/>
    <w:rsid w:val="006100AF"/>
    <w:rsid w:val="006100F8"/>
    <w:rsid w:val="00610174"/>
    <w:rsid w:val="00610192"/>
    <w:rsid w:val="006101BB"/>
    <w:rsid w:val="006101D7"/>
    <w:rsid w:val="00610221"/>
    <w:rsid w:val="00610271"/>
    <w:rsid w:val="006102EC"/>
    <w:rsid w:val="00610349"/>
    <w:rsid w:val="0061036F"/>
    <w:rsid w:val="006105E3"/>
    <w:rsid w:val="0061060F"/>
    <w:rsid w:val="00610661"/>
    <w:rsid w:val="0061067A"/>
    <w:rsid w:val="00610681"/>
    <w:rsid w:val="006107F4"/>
    <w:rsid w:val="00610853"/>
    <w:rsid w:val="006108E4"/>
    <w:rsid w:val="00610932"/>
    <w:rsid w:val="00610991"/>
    <w:rsid w:val="006109B4"/>
    <w:rsid w:val="006109DF"/>
    <w:rsid w:val="00610AF3"/>
    <w:rsid w:val="00610BB9"/>
    <w:rsid w:val="00610BBC"/>
    <w:rsid w:val="00610BCA"/>
    <w:rsid w:val="00610CBB"/>
    <w:rsid w:val="00610D5D"/>
    <w:rsid w:val="00610E5B"/>
    <w:rsid w:val="00610E9E"/>
    <w:rsid w:val="00610FF9"/>
    <w:rsid w:val="00611057"/>
    <w:rsid w:val="006110FD"/>
    <w:rsid w:val="00611158"/>
    <w:rsid w:val="00611177"/>
    <w:rsid w:val="006111DB"/>
    <w:rsid w:val="0061121D"/>
    <w:rsid w:val="00611247"/>
    <w:rsid w:val="0061124D"/>
    <w:rsid w:val="006112F2"/>
    <w:rsid w:val="00611404"/>
    <w:rsid w:val="006114AA"/>
    <w:rsid w:val="0061159A"/>
    <w:rsid w:val="0061160C"/>
    <w:rsid w:val="0061162F"/>
    <w:rsid w:val="00611636"/>
    <w:rsid w:val="00611665"/>
    <w:rsid w:val="006116D6"/>
    <w:rsid w:val="0061171F"/>
    <w:rsid w:val="0061172E"/>
    <w:rsid w:val="00611757"/>
    <w:rsid w:val="0061183E"/>
    <w:rsid w:val="00611A16"/>
    <w:rsid w:val="00611A8E"/>
    <w:rsid w:val="00611A92"/>
    <w:rsid w:val="00611A94"/>
    <w:rsid w:val="00611CD9"/>
    <w:rsid w:val="00611D0E"/>
    <w:rsid w:val="00611D6D"/>
    <w:rsid w:val="00611D76"/>
    <w:rsid w:val="00611DE7"/>
    <w:rsid w:val="00611E0A"/>
    <w:rsid w:val="00611E23"/>
    <w:rsid w:val="00611F6D"/>
    <w:rsid w:val="00612020"/>
    <w:rsid w:val="00612027"/>
    <w:rsid w:val="0061204D"/>
    <w:rsid w:val="00612146"/>
    <w:rsid w:val="00612147"/>
    <w:rsid w:val="006121BD"/>
    <w:rsid w:val="006122A8"/>
    <w:rsid w:val="006122C0"/>
    <w:rsid w:val="00612579"/>
    <w:rsid w:val="006125E9"/>
    <w:rsid w:val="00612611"/>
    <w:rsid w:val="0061268B"/>
    <w:rsid w:val="00612762"/>
    <w:rsid w:val="00612783"/>
    <w:rsid w:val="006127A1"/>
    <w:rsid w:val="006127C0"/>
    <w:rsid w:val="00612853"/>
    <w:rsid w:val="00612887"/>
    <w:rsid w:val="006128E0"/>
    <w:rsid w:val="00612916"/>
    <w:rsid w:val="00612998"/>
    <w:rsid w:val="00612A30"/>
    <w:rsid w:val="00612A38"/>
    <w:rsid w:val="00612B0D"/>
    <w:rsid w:val="00612B7E"/>
    <w:rsid w:val="00612BB1"/>
    <w:rsid w:val="00612CA0"/>
    <w:rsid w:val="00612CA7"/>
    <w:rsid w:val="00612DC6"/>
    <w:rsid w:val="00612F08"/>
    <w:rsid w:val="00613044"/>
    <w:rsid w:val="00613062"/>
    <w:rsid w:val="00613148"/>
    <w:rsid w:val="006131F3"/>
    <w:rsid w:val="00613222"/>
    <w:rsid w:val="00613236"/>
    <w:rsid w:val="00613246"/>
    <w:rsid w:val="006132BA"/>
    <w:rsid w:val="00613332"/>
    <w:rsid w:val="00613341"/>
    <w:rsid w:val="0061334F"/>
    <w:rsid w:val="00613396"/>
    <w:rsid w:val="0061342C"/>
    <w:rsid w:val="006134B3"/>
    <w:rsid w:val="006135E3"/>
    <w:rsid w:val="0061368C"/>
    <w:rsid w:val="00613755"/>
    <w:rsid w:val="00613764"/>
    <w:rsid w:val="006137BA"/>
    <w:rsid w:val="006137D2"/>
    <w:rsid w:val="0061382F"/>
    <w:rsid w:val="00613887"/>
    <w:rsid w:val="006138EA"/>
    <w:rsid w:val="00613991"/>
    <w:rsid w:val="006139E0"/>
    <w:rsid w:val="00613A0B"/>
    <w:rsid w:val="00613A56"/>
    <w:rsid w:val="00613BC2"/>
    <w:rsid w:val="00613D10"/>
    <w:rsid w:val="00613D35"/>
    <w:rsid w:val="00613D55"/>
    <w:rsid w:val="00613D91"/>
    <w:rsid w:val="00613DAC"/>
    <w:rsid w:val="00613DF9"/>
    <w:rsid w:val="00613E06"/>
    <w:rsid w:val="00613F73"/>
    <w:rsid w:val="00614068"/>
    <w:rsid w:val="006140CE"/>
    <w:rsid w:val="00614137"/>
    <w:rsid w:val="00614151"/>
    <w:rsid w:val="00614155"/>
    <w:rsid w:val="00614236"/>
    <w:rsid w:val="00614244"/>
    <w:rsid w:val="00614280"/>
    <w:rsid w:val="0061430C"/>
    <w:rsid w:val="00614311"/>
    <w:rsid w:val="00614342"/>
    <w:rsid w:val="0061441D"/>
    <w:rsid w:val="00614443"/>
    <w:rsid w:val="006144BE"/>
    <w:rsid w:val="006144BF"/>
    <w:rsid w:val="006144E4"/>
    <w:rsid w:val="00614533"/>
    <w:rsid w:val="006145CD"/>
    <w:rsid w:val="00614622"/>
    <w:rsid w:val="006146BF"/>
    <w:rsid w:val="0061471E"/>
    <w:rsid w:val="0061475F"/>
    <w:rsid w:val="0061479D"/>
    <w:rsid w:val="00614803"/>
    <w:rsid w:val="00614827"/>
    <w:rsid w:val="00614882"/>
    <w:rsid w:val="0061492D"/>
    <w:rsid w:val="0061495C"/>
    <w:rsid w:val="00614971"/>
    <w:rsid w:val="006149A4"/>
    <w:rsid w:val="00614A01"/>
    <w:rsid w:val="00614A82"/>
    <w:rsid w:val="00614A89"/>
    <w:rsid w:val="00614AA4"/>
    <w:rsid w:val="00614B22"/>
    <w:rsid w:val="00614D2C"/>
    <w:rsid w:val="00614D57"/>
    <w:rsid w:val="00614E12"/>
    <w:rsid w:val="00614EDD"/>
    <w:rsid w:val="00614EE0"/>
    <w:rsid w:val="00614EF3"/>
    <w:rsid w:val="00614FDA"/>
    <w:rsid w:val="00615051"/>
    <w:rsid w:val="0061513D"/>
    <w:rsid w:val="006152C5"/>
    <w:rsid w:val="006153B0"/>
    <w:rsid w:val="006153C1"/>
    <w:rsid w:val="0061552C"/>
    <w:rsid w:val="00615556"/>
    <w:rsid w:val="0061556C"/>
    <w:rsid w:val="006156A0"/>
    <w:rsid w:val="00615740"/>
    <w:rsid w:val="006157F3"/>
    <w:rsid w:val="0061595B"/>
    <w:rsid w:val="0061598B"/>
    <w:rsid w:val="00615A3A"/>
    <w:rsid w:val="00615A4A"/>
    <w:rsid w:val="00615AC5"/>
    <w:rsid w:val="00615AE6"/>
    <w:rsid w:val="00615B08"/>
    <w:rsid w:val="00615B22"/>
    <w:rsid w:val="00615BE5"/>
    <w:rsid w:val="00615BF0"/>
    <w:rsid w:val="00615E24"/>
    <w:rsid w:val="00615E3A"/>
    <w:rsid w:val="00615E75"/>
    <w:rsid w:val="00615EB9"/>
    <w:rsid w:val="00615FC4"/>
    <w:rsid w:val="00615FE6"/>
    <w:rsid w:val="006160C4"/>
    <w:rsid w:val="0061615F"/>
    <w:rsid w:val="00616214"/>
    <w:rsid w:val="00616416"/>
    <w:rsid w:val="006164B2"/>
    <w:rsid w:val="006165A2"/>
    <w:rsid w:val="006165E3"/>
    <w:rsid w:val="00616646"/>
    <w:rsid w:val="00616660"/>
    <w:rsid w:val="00616669"/>
    <w:rsid w:val="006166B1"/>
    <w:rsid w:val="006166D8"/>
    <w:rsid w:val="006166EB"/>
    <w:rsid w:val="0061673D"/>
    <w:rsid w:val="00616759"/>
    <w:rsid w:val="006167D3"/>
    <w:rsid w:val="00616911"/>
    <w:rsid w:val="0061694E"/>
    <w:rsid w:val="00616C30"/>
    <w:rsid w:val="00616C90"/>
    <w:rsid w:val="00616D16"/>
    <w:rsid w:val="00616D1B"/>
    <w:rsid w:val="00616D28"/>
    <w:rsid w:val="00616D6E"/>
    <w:rsid w:val="00616DA5"/>
    <w:rsid w:val="00616E20"/>
    <w:rsid w:val="00616E93"/>
    <w:rsid w:val="00616F47"/>
    <w:rsid w:val="00617029"/>
    <w:rsid w:val="0061710E"/>
    <w:rsid w:val="0061717E"/>
    <w:rsid w:val="00617195"/>
    <w:rsid w:val="00617217"/>
    <w:rsid w:val="0061725D"/>
    <w:rsid w:val="00617272"/>
    <w:rsid w:val="006172A0"/>
    <w:rsid w:val="006173BC"/>
    <w:rsid w:val="00617498"/>
    <w:rsid w:val="0061749B"/>
    <w:rsid w:val="006174CB"/>
    <w:rsid w:val="00617524"/>
    <w:rsid w:val="00617571"/>
    <w:rsid w:val="0061784B"/>
    <w:rsid w:val="00617853"/>
    <w:rsid w:val="00617861"/>
    <w:rsid w:val="006178BC"/>
    <w:rsid w:val="006178E0"/>
    <w:rsid w:val="00617A6B"/>
    <w:rsid w:val="00617A92"/>
    <w:rsid w:val="00617BDD"/>
    <w:rsid w:val="00617C34"/>
    <w:rsid w:val="00617D67"/>
    <w:rsid w:val="00617DE1"/>
    <w:rsid w:val="00617E2A"/>
    <w:rsid w:val="00617F72"/>
    <w:rsid w:val="00617FAC"/>
    <w:rsid w:val="0062005F"/>
    <w:rsid w:val="0062015C"/>
    <w:rsid w:val="00620180"/>
    <w:rsid w:val="006201DB"/>
    <w:rsid w:val="006201E8"/>
    <w:rsid w:val="006202EE"/>
    <w:rsid w:val="0062037A"/>
    <w:rsid w:val="00620469"/>
    <w:rsid w:val="00620587"/>
    <w:rsid w:val="006205BE"/>
    <w:rsid w:val="00620625"/>
    <w:rsid w:val="0062064A"/>
    <w:rsid w:val="006206E8"/>
    <w:rsid w:val="0062073C"/>
    <w:rsid w:val="00620769"/>
    <w:rsid w:val="00620899"/>
    <w:rsid w:val="0062090C"/>
    <w:rsid w:val="00620933"/>
    <w:rsid w:val="00620B59"/>
    <w:rsid w:val="00620BD2"/>
    <w:rsid w:val="00620BF0"/>
    <w:rsid w:val="00620C37"/>
    <w:rsid w:val="00620C66"/>
    <w:rsid w:val="00620C8B"/>
    <w:rsid w:val="00620CF9"/>
    <w:rsid w:val="00620DF6"/>
    <w:rsid w:val="00620DF7"/>
    <w:rsid w:val="00620DF8"/>
    <w:rsid w:val="00620DFE"/>
    <w:rsid w:val="00620E25"/>
    <w:rsid w:val="00620EDA"/>
    <w:rsid w:val="00620FFF"/>
    <w:rsid w:val="00621057"/>
    <w:rsid w:val="00621074"/>
    <w:rsid w:val="006210A6"/>
    <w:rsid w:val="00621191"/>
    <w:rsid w:val="006211AF"/>
    <w:rsid w:val="006211F0"/>
    <w:rsid w:val="00621218"/>
    <w:rsid w:val="006212B7"/>
    <w:rsid w:val="006212FA"/>
    <w:rsid w:val="0062134E"/>
    <w:rsid w:val="0062139C"/>
    <w:rsid w:val="006213B6"/>
    <w:rsid w:val="0062144E"/>
    <w:rsid w:val="00621473"/>
    <w:rsid w:val="006214BD"/>
    <w:rsid w:val="00621527"/>
    <w:rsid w:val="0062152A"/>
    <w:rsid w:val="0062159A"/>
    <w:rsid w:val="006215D2"/>
    <w:rsid w:val="006216CA"/>
    <w:rsid w:val="00621719"/>
    <w:rsid w:val="00621747"/>
    <w:rsid w:val="006217C4"/>
    <w:rsid w:val="006217D4"/>
    <w:rsid w:val="006217DF"/>
    <w:rsid w:val="006217E7"/>
    <w:rsid w:val="006218E6"/>
    <w:rsid w:val="0062198D"/>
    <w:rsid w:val="00621995"/>
    <w:rsid w:val="00621A46"/>
    <w:rsid w:val="00621AB3"/>
    <w:rsid w:val="00621B13"/>
    <w:rsid w:val="00621B43"/>
    <w:rsid w:val="00621B87"/>
    <w:rsid w:val="00621C6C"/>
    <w:rsid w:val="00621CAA"/>
    <w:rsid w:val="00621CD0"/>
    <w:rsid w:val="00621DCA"/>
    <w:rsid w:val="00621DE5"/>
    <w:rsid w:val="00621E3A"/>
    <w:rsid w:val="00621EAE"/>
    <w:rsid w:val="00621EBD"/>
    <w:rsid w:val="00621ED9"/>
    <w:rsid w:val="00621F32"/>
    <w:rsid w:val="00621F62"/>
    <w:rsid w:val="00621F85"/>
    <w:rsid w:val="00621FEA"/>
    <w:rsid w:val="00622046"/>
    <w:rsid w:val="006220A6"/>
    <w:rsid w:val="006220BA"/>
    <w:rsid w:val="00622146"/>
    <w:rsid w:val="00622173"/>
    <w:rsid w:val="00622185"/>
    <w:rsid w:val="006221D0"/>
    <w:rsid w:val="006221E3"/>
    <w:rsid w:val="00622203"/>
    <w:rsid w:val="0062225A"/>
    <w:rsid w:val="00622369"/>
    <w:rsid w:val="00622373"/>
    <w:rsid w:val="006223D4"/>
    <w:rsid w:val="0062240C"/>
    <w:rsid w:val="00622543"/>
    <w:rsid w:val="00622587"/>
    <w:rsid w:val="0062265A"/>
    <w:rsid w:val="00622664"/>
    <w:rsid w:val="006226FA"/>
    <w:rsid w:val="0062282E"/>
    <w:rsid w:val="0062284E"/>
    <w:rsid w:val="00622886"/>
    <w:rsid w:val="00622A01"/>
    <w:rsid w:val="00622AB9"/>
    <w:rsid w:val="00622B14"/>
    <w:rsid w:val="00622B20"/>
    <w:rsid w:val="00622B45"/>
    <w:rsid w:val="00622B9F"/>
    <w:rsid w:val="00622BA8"/>
    <w:rsid w:val="00622BD3"/>
    <w:rsid w:val="00622BF4"/>
    <w:rsid w:val="00622C05"/>
    <w:rsid w:val="00622C35"/>
    <w:rsid w:val="00622C6B"/>
    <w:rsid w:val="00622C72"/>
    <w:rsid w:val="00622C92"/>
    <w:rsid w:val="00622D79"/>
    <w:rsid w:val="00622D89"/>
    <w:rsid w:val="00622DDC"/>
    <w:rsid w:val="00622E5C"/>
    <w:rsid w:val="00622E7C"/>
    <w:rsid w:val="00622ECA"/>
    <w:rsid w:val="00622EF7"/>
    <w:rsid w:val="00622F4D"/>
    <w:rsid w:val="00622F74"/>
    <w:rsid w:val="00623012"/>
    <w:rsid w:val="0062304D"/>
    <w:rsid w:val="0062314A"/>
    <w:rsid w:val="00623166"/>
    <w:rsid w:val="006232BA"/>
    <w:rsid w:val="006233CC"/>
    <w:rsid w:val="00623442"/>
    <w:rsid w:val="006234B8"/>
    <w:rsid w:val="00623573"/>
    <w:rsid w:val="00623620"/>
    <w:rsid w:val="0062363F"/>
    <w:rsid w:val="006236E5"/>
    <w:rsid w:val="006236EB"/>
    <w:rsid w:val="00623783"/>
    <w:rsid w:val="00623839"/>
    <w:rsid w:val="0062392E"/>
    <w:rsid w:val="006239B8"/>
    <w:rsid w:val="006239C6"/>
    <w:rsid w:val="006239F2"/>
    <w:rsid w:val="00623A1C"/>
    <w:rsid w:val="00623A5A"/>
    <w:rsid w:val="00623BDB"/>
    <w:rsid w:val="00623D06"/>
    <w:rsid w:val="00623DB9"/>
    <w:rsid w:val="00623E9E"/>
    <w:rsid w:val="00623EC9"/>
    <w:rsid w:val="00623ED5"/>
    <w:rsid w:val="00623EF6"/>
    <w:rsid w:val="00623F30"/>
    <w:rsid w:val="00623F82"/>
    <w:rsid w:val="00623FAA"/>
    <w:rsid w:val="00623FD3"/>
    <w:rsid w:val="00624022"/>
    <w:rsid w:val="00624025"/>
    <w:rsid w:val="00624058"/>
    <w:rsid w:val="006240E4"/>
    <w:rsid w:val="00624146"/>
    <w:rsid w:val="006241B9"/>
    <w:rsid w:val="006241DE"/>
    <w:rsid w:val="00624244"/>
    <w:rsid w:val="00624264"/>
    <w:rsid w:val="006242CD"/>
    <w:rsid w:val="0062434C"/>
    <w:rsid w:val="00624396"/>
    <w:rsid w:val="006243F3"/>
    <w:rsid w:val="00624586"/>
    <w:rsid w:val="00624628"/>
    <w:rsid w:val="0062477B"/>
    <w:rsid w:val="006247A5"/>
    <w:rsid w:val="006247EF"/>
    <w:rsid w:val="0062485E"/>
    <w:rsid w:val="00624863"/>
    <w:rsid w:val="0062486A"/>
    <w:rsid w:val="0062495C"/>
    <w:rsid w:val="006249A2"/>
    <w:rsid w:val="006249FD"/>
    <w:rsid w:val="00624A88"/>
    <w:rsid w:val="00624BB4"/>
    <w:rsid w:val="00624BB7"/>
    <w:rsid w:val="00624BCC"/>
    <w:rsid w:val="00624BE5"/>
    <w:rsid w:val="00624C8D"/>
    <w:rsid w:val="00624D60"/>
    <w:rsid w:val="00624E83"/>
    <w:rsid w:val="00624EB3"/>
    <w:rsid w:val="00624EBA"/>
    <w:rsid w:val="00624EDB"/>
    <w:rsid w:val="00624F8D"/>
    <w:rsid w:val="00624FF6"/>
    <w:rsid w:val="00625042"/>
    <w:rsid w:val="0062506D"/>
    <w:rsid w:val="0062507D"/>
    <w:rsid w:val="006250E2"/>
    <w:rsid w:val="00625111"/>
    <w:rsid w:val="00625172"/>
    <w:rsid w:val="00625184"/>
    <w:rsid w:val="006251D6"/>
    <w:rsid w:val="00625350"/>
    <w:rsid w:val="00625411"/>
    <w:rsid w:val="0062547D"/>
    <w:rsid w:val="0062551D"/>
    <w:rsid w:val="006255B3"/>
    <w:rsid w:val="006255DE"/>
    <w:rsid w:val="00625719"/>
    <w:rsid w:val="00625739"/>
    <w:rsid w:val="00625781"/>
    <w:rsid w:val="006257FB"/>
    <w:rsid w:val="00625835"/>
    <w:rsid w:val="00625854"/>
    <w:rsid w:val="006258A1"/>
    <w:rsid w:val="006258ED"/>
    <w:rsid w:val="0062599F"/>
    <w:rsid w:val="00625A42"/>
    <w:rsid w:val="00625A74"/>
    <w:rsid w:val="00625ABE"/>
    <w:rsid w:val="00625C19"/>
    <w:rsid w:val="00625C4F"/>
    <w:rsid w:val="00625C5E"/>
    <w:rsid w:val="00625C70"/>
    <w:rsid w:val="00625CE6"/>
    <w:rsid w:val="00625D77"/>
    <w:rsid w:val="00625DB4"/>
    <w:rsid w:val="00625E0D"/>
    <w:rsid w:val="00625E51"/>
    <w:rsid w:val="00625E56"/>
    <w:rsid w:val="00625E67"/>
    <w:rsid w:val="00625F2E"/>
    <w:rsid w:val="00625F37"/>
    <w:rsid w:val="00625F48"/>
    <w:rsid w:val="00625F53"/>
    <w:rsid w:val="00625F70"/>
    <w:rsid w:val="00625F7F"/>
    <w:rsid w:val="00625F9B"/>
    <w:rsid w:val="00625FDF"/>
    <w:rsid w:val="00626065"/>
    <w:rsid w:val="0062609A"/>
    <w:rsid w:val="006260D4"/>
    <w:rsid w:val="00626116"/>
    <w:rsid w:val="0062612F"/>
    <w:rsid w:val="006261D6"/>
    <w:rsid w:val="00626268"/>
    <w:rsid w:val="006262CC"/>
    <w:rsid w:val="006263C6"/>
    <w:rsid w:val="006263C7"/>
    <w:rsid w:val="0062644A"/>
    <w:rsid w:val="00626496"/>
    <w:rsid w:val="006264D9"/>
    <w:rsid w:val="006264DF"/>
    <w:rsid w:val="00626569"/>
    <w:rsid w:val="00626578"/>
    <w:rsid w:val="006265CD"/>
    <w:rsid w:val="006265EB"/>
    <w:rsid w:val="00626617"/>
    <w:rsid w:val="0062671F"/>
    <w:rsid w:val="006267B5"/>
    <w:rsid w:val="0062682E"/>
    <w:rsid w:val="00626838"/>
    <w:rsid w:val="006268CD"/>
    <w:rsid w:val="00626A37"/>
    <w:rsid w:val="00626A89"/>
    <w:rsid w:val="00626B42"/>
    <w:rsid w:val="00626B83"/>
    <w:rsid w:val="00626C33"/>
    <w:rsid w:val="00626C4E"/>
    <w:rsid w:val="00626CD9"/>
    <w:rsid w:val="00626DC0"/>
    <w:rsid w:val="00626DFB"/>
    <w:rsid w:val="00626E46"/>
    <w:rsid w:val="00626E47"/>
    <w:rsid w:val="00626EC6"/>
    <w:rsid w:val="00626F64"/>
    <w:rsid w:val="0062702A"/>
    <w:rsid w:val="006271DC"/>
    <w:rsid w:val="00627212"/>
    <w:rsid w:val="00627267"/>
    <w:rsid w:val="00627331"/>
    <w:rsid w:val="0062738A"/>
    <w:rsid w:val="00627393"/>
    <w:rsid w:val="00627399"/>
    <w:rsid w:val="006273C0"/>
    <w:rsid w:val="006273E4"/>
    <w:rsid w:val="006274A4"/>
    <w:rsid w:val="0062757F"/>
    <w:rsid w:val="00627599"/>
    <w:rsid w:val="006275DD"/>
    <w:rsid w:val="0062767A"/>
    <w:rsid w:val="006276C7"/>
    <w:rsid w:val="006276EA"/>
    <w:rsid w:val="006276FD"/>
    <w:rsid w:val="00627701"/>
    <w:rsid w:val="006278E9"/>
    <w:rsid w:val="006279A9"/>
    <w:rsid w:val="00627B8A"/>
    <w:rsid w:val="00627C2E"/>
    <w:rsid w:val="00627C7F"/>
    <w:rsid w:val="00627C80"/>
    <w:rsid w:val="00627D39"/>
    <w:rsid w:val="00627E18"/>
    <w:rsid w:val="00627ECF"/>
    <w:rsid w:val="00627F48"/>
    <w:rsid w:val="00627FC6"/>
    <w:rsid w:val="00630033"/>
    <w:rsid w:val="00630051"/>
    <w:rsid w:val="00630080"/>
    <w:rsid w:val="0063009F"/>
    <w:rsid w:val="006300CA"/>
    <w:rsid w:val="0063017E"/>
    <w:rsid w:val="006301E3"/>
    <w:rsid w:val="006301F5"/>
    <w:rsid w:val="0063037F"/>
    <w:rsid w:val="006303C1"/>
    <w:rsid w:val="006303E4"/>
    <w:rsid w:val="0063043B"/>
    <w:rsid w:val="0063045F"/>
    <w:rsid w:val="0063054F"/>
    <w:rsid w:val="0063059C"/>
    <w:rsid w:val="006307FD"/>
    <w:rsid w:val="00630896"/>
    <w:rsid w:val="006308BB"/>
    <w:rsid w:val="006308C1"/>
    <w:rsid w:val="006309CE"/>
    <w:rsid w:val="00630A8F"/>
    <w:rsid w:val="00630AD6"/>
    <w:rsid w:val="00630AEE"/>
    <w:rsid w:val="00630B9F"/>
    <w:rsid w:val="00630C71"/>
    <w:rsid w:val="00630CC1"/>
    <w:rsid w:val="00630D44"/>
    <w:rsid w:val="00630D4E"/>
    <w:rsid w:val="00630DD5"/>
    <w:rsid w:val="00630F3A"/>
    <w:rsid w:val="00630F58"/>
    <w:rsid w:val="00631046"/>
    <w:rsid w:val="00631056"/>
    <w:rsid w:val="006311CC"/>
    <w:rsid w:val="0063131D"/>
    <w:rsid w:val="0063139B"/>
    <w:rsid w:val="006313CE"/>
    <w:rsid w:val="00631522"/>
    <w:rsid w:val="00631545"/>
    <w:rsid w:val="00631595"/>
    <w:rsid w:val="00631604"/>
    <w:rsid w:val="0063164E"/>
    <w:rsid w:val="00631659"/>
    <w:rsid w:val="00631667"/>
    <w:rsid w:val="006316C0"/>
    <w:rsid w:val="0063172D"/>
    <w:rsid w:val="00631796"/>
    <w:rsid w:val="006317D6"/>
    <w:rsid w:val="006317E4"/>
    <w:rsid w:val="00631856"/>
    <w:rsid w:val="0063185D"/>
    <w:rsid w:val="00631AF9"/>
    <w:rsid w:val="00631B5B"/>
    <w:rsid w:val="00631C26"/>
    <w:rsid w:val="00631C55"/>
    <w:rsid w:val="00631C74"/>
    <w:rsid w:val="00631D36"/>
    <w:rsid w:val="00631D50"/>
    <w:rsid w:val="00631D99"/>
    <w:rsid w:val="00631DA9"/>
    <w:rsid w:val="00631DD6"/>
    <w:rsid w:val="00631E3A"/>
    <w:rsid w:val="00631EFF"/>
    <w:rsid w:val="00631F3B"/>
    <w:rsid w:val="00631FA8"/>
    <w:rsid w:val="00631FAE"/>
    <w:rsid w:val="006320B2"/>
    <w:rsid w:val="006320DF"/>
    <w:rsid w:val="006320E2"/>
    <w:rsid w:val="006320F7"/>
    <w:rsid w:val="00632117"/>
    <w:rsid w:val="00632148"/>
    <w:rsid w:val="006321B6"/>
    <w:rsid w:val="006321E4"/>
    <w:rsid w:val="00632228"/>
    <w:rsid w:val="006322C1"/>
    <w:rsid w:val="006322F0"/>
    <w:rsid w:val="006322FD"/>
    <w:rsid w:val="0063235E"/>
    <w:rsid w:val="006323E5"/>
    <w:rsid w:val="00632407"/>
    <w:rsid w:val="00632449"/>
    <w:rsid w:val="00632471"/>
    <w:rsid w:val="00632524"/>
    <w:rsid w:val="00632624"/>
    <w:rsid w:val="00632660"/>
    <w:rsid w:val="0063279F"/>
    <w:rsid w:val="0063284E"/>
    <w:rsid w:val="006328A5"/>
    <w:rsid w:val="00632910"/>
    <w:rsid w:val="00632A09"/>
    <w:rsid w:val="00632A52"/>
    <w:rsid w:val="00632ABD"/>
    <w:rsid w:val="00632BF1"/>
    <w:rsid w:val="00632C61"/>
    <w:rsid w:val="00632C8A"/>
    <w:rsid w:val="00632C93"/>
    <w:rsid w:val="00632DA6"/>
    <w:rsid w:val="00632DAF"/>
    <w:rsid w:val="00632E42"/>
    <w:rsid w:val="00632E69"/>
    <w:rsid w:val="00632E93"/>
    <w:rsid w:val="00632E9D"/>
    <w:rsid w:val="00632F16"/>
    <w:rsid w:val="00632F23"/>
    <w:rsid w:val="00632F2E"/>
    <w:rsid w:val="00632FD8"/>
    <w:rsid w:val="0063303E"/>
    <w:rsid w:val="00633043"/>
    <w:rsid w:val="0063307A"/>
    <w:rsid w:val="006330AA"/>
    <w:rsid w:val="006330D6"/>
    <w:rsid w:val="006331EF"/>
    <w:rsid w:val="0063320A"/>
    <w:rsid w:val="0063326E"/>
    <w:rsid w:val="006332CE"/>
    <w:rsid w:val="00633320"/>
    <w:rsid w:val="0063334E"/>
    <w:rsid w:val="0063346E"/>
    <w:rsid w:val="006334A8"/>
    <w:rsid w:val="00633517"/>
    <w:rsid w:val="00633568"/>
    <w:rsid w:val="006335B2"/>
    <w:rsid w:val="006335C3"/>
    <w:rsid w:val="00633631"/>
    <w:rsid w:val="006336D5"/>
    <w:rsid w:val="006337A2"/>
    <w:rsid w:val="0063388B"/>
    <w:rsid w:val="006338E1"/>
    <w:rsid w:val="0063392B"/>
    <w:rsid w:val="00633942"/>
    <w:rsid w:val="006339B9"/>
    <w:rsid w:val="006339E3"/>
    <w:rsid w:val="00633A76"/>
    <w:rsid w:val="00633A9D"/>
    <w:rsid w:val="00633ACB"/>
    <w:rsid w:val="00633B3C"/>
    <w:rsid w:val="00633B66"/>
    <w:rsid w:val="00633D44"/>
    <w:rsid w:val="00633D69"/>
    <w:rsid w:val="00633D8A"/>
    <w:rsid w:val="00633DD1"/>
    <w:rsid w:val="00633E1B"/>
    <w:rsid w:val="00633EE9"/>
    <w:rsid w:val="00633F26"/>
    <w:rsid w:val="00633FE1"/>
    <w:rsid w:val="0063400C"/>
    <w:rsid w:val="00634024"/>
    <w:rsid w:val="00634051"/>
    <w:rsid w:val="006340EB"/>
    <w:rsid w:val="00634139"/>
    <w:rsid w:val="00634177"/>
    <w:rsid w:val="00634230"/>
    <w:rsid w:val="0063426A"/>
    <w:rsid w:val="00634491"/>
    <w:rsid w:val="006344D5"/>
    <w:rsid w:val="0063454B"/>
    <w:rsid w:val="00634632"/>
    <w:rsid w:val="006347AF"/>
    <w:rsid w:val="006347CB"/>
    <w:rsid w:val="00634827"/>
    <w:rsid w:val="00634829"/>
    <w:rsid w:val="00634951"/>
    <w:rsid w:val="006349A1"/>
    <w:rsid w:val="006349DB"/>
    <w:rsid w:val="00634A16"/>
    <w:rsid w:val="00634A2B"/>
    <w:rsid w:val="00634A8D"/>
    <w:rsid w:val="00634ADF"/>
    <w:rsid w:val="00634AEA"/>
    <w:rsid w:val="00634B28"/>
    <w:rsid w:val="00634B58"/>
    <w:rsid w:val="00634BB4"/>
    <w:rsid w:val="00634C34"/>
    <w:rsid w:val="00634CC9"/>
    <w:rsid w:val="00634D92"/>
    <w:rsid w:val="00634DEC"/>
    <w:rsid w:val="00634DFE"/>
    <w:rsid w:val="00634E3A"/>
    <w:rsid w:val="00634E3C"/>
    <w:rsid w:val="00634E5A"/>
    <w:rsid w:val="00634EC8"/>
    <w:rsid w:val="00634F3E"/>
    <w:rsid w:val="00634F86"/>
    <w:rsid w:val="00634FDA"/>
    <w:rsid w:val="00635060"/>
    <w:rsid w:val="006350F8"/>
    <w:rsid w:val="00635105"/>
    <w:rsid w:val="0063512B"/>
    <w:rsid w:val="0063517D"/>
    <w:rsid w:val="006351D7"/>
    <w:rsid w:val="006351F0"/>
    <w:rsid w:val="00635287"/>
    <w:rsid w:val="006352B8"/>
    <w:rsid w:val="006353A9"/>
    <w:rsid w:val="00635409"/>
    <w:rsid w:val="006354D6"/>
    <w:rsid w:val="00635533"/>
    <w:rsid w:val="006356F3"/>
    <w:rsid w:val="00635712"/>
    <w:rsid w:val="00635742"/>
    <w:rsid w:val="00635821"/>
    <w:rsid w:val="00635887"/>
    <w:rsid w:val="006358AA"/>
    <w:rsid w:val="006358B1"/>
    <w:rsid w:val="006358B3"/>
    <w:rsid w:val="006358EC"/>
    <w:rsid w:val="006359A2"/>
    <w:rsid w:val="006359AD"/>
    <w:rsid w:val="006359B0"/>
    <w:rsid w:val="00635A31"/>
    <w:rsid w:val="00635A7C"/>
    <w:rsid w:val="00635AC8"/>
    <w:rsid w:val="00635ACD"/>
    <w:rsid w:val="00635BF6"/>
    <w:rsid w:val="00635C7A"/>
    <w:rsid w:val="00635C86"/>
    <w:rsid w:val="00635CAD"/>
    <w:rsid w:val="00635CD5"/>
    <w:rsid w:val="00635D32"/>
    <w:rsid w:val="00635D3F"/>
    <w:rsid w:val="00635E70"/>
    <w:rsid w:val="00635EC6"/>
    <w:rsid w:val="00635F23"/>
    <w:rsid w:val="00635F68"/>
    <w:rsid w:val="00635F6E"/>
    <w:rsid w:val="0063601D"/>
    <w:rsid w:val="006361CD"/>
    <w:rsid w:val="00636229"/>
    <w:rsid w:val="006362CF"/>
    <w:rsid w:val="00636313"/>
    <w:rsid w:val="00636340"/>
    <w:rsid w:val="006363AD"/>
    <w:rsid w:val="00636452"/>
    <w:rsid w:val="006364C1"/>
    <w:rsid w:val="00636542"/>
    <w:rsid w:val="0063654B"/>
    <w:rsid w:val="006365A8"/>
    <w:rsid w:val="006366A6"/>
    <w:rsid w:val="006366D9"/>
    <w:rsid w:val="006367BD"/>
    <w:rsid w:val="0063686A"/>
    <w:rsid w:val="006368B7"/>
    <w:rsid w:val="006368F7"/>
    <w:rsid w:val="0063691E"/>
    <w:rsid w:val="00636936"/>
    <w:rsid w:val="0063694F"/>
    <w:rsid w:val="00636974"/>
    <w:rsid w:val="006369F3"/>
    <w:rsid w:val="00636A25"/>
    <w:rsid w:val="00636AD1"/>
    <w:rsid w:val="00636AF1"/>
    <w:rsid w:val="00636B2E"/>
    <w:rsid w:val="00636B46"/>
    <w:rsid w:val="00636B60"/>
    <w:rsid w:val="00636B9D"/>
    <w:rsid w:val="00636BBC"/>
    <w:rsid w:val="00636CE9"/>
    <w:rsid w:val="00636CEC"/>
    <w:rsid w:val="00636D30"/>
    <w:rsid w:val="00636D79"/>
    <w:rsid w:val="00636DD8"/>
    <w:rsid w:val="00636E39"/>
    <w:rsid w:val="00636F18"/>
    <w:rsid w:val="00636F29"/>
    <w:rsid w:val="00636F53"/>
    <w:rsid w:val="00636F5B"/>
    <w:rsid w:val="00636FA9"/>
    <w:rsid w:val="00636FC4"/>
    <w:rsid w:val="0063702E"/>
    <w:rsid w:val="006371BD"/>
    <w:rsid w:val="0063723B"/>
    <w:rsid w:val="006372D5"/>
    <w:rsid w:val="006372E8"/>
    <w:rsid w:val="006372F5"/>
    <w:rsid w:val="00637338"/>
    <w:rsid w:val="00637351"/>
    <w:rsid w:val="00637444"/>
    <w:rsid w:val="00637456"/>
    <w:rsid w:val="0063747A"/>
    <w:rsid w:val="0063759D"/>
    <w:rsid w:val="006375A8"/>
    <w:rsid w:val="00637615"/>
    <w:rsid w:val="00637620"/>
    <w:rsid w:val="006376E6"/>
    <w:rsid w:val="0063771B"/>
    <w:rsid w:val="0063776B"/>
    <w:rsid w:val="00637787"/>
    <w:rsid w:val="0063784F"/>
    <w:rsid w:val="006379C0"/>
    <w:rsid w:val="00637A17"/>
    <w:rsid w:val="00637A4C"/>
    <w:rsid w:val="00637A7E"/>
    <w:rsid w:val="00637B5A"/>
    <w:rsid w:val="00637BA6"/>
    <w:rsid w:val="00637BBE"/>
    <w:rsid w:val="00637BE3"/>
    <w:rsid w:val="00637C15"/>
    <w:rsid w:val="00637C5A"/>
    <w:rsid w:val="00637C63"/>
    <w:rsid w:val="00637CAD"/>
    <w:rsid w:val="00637D05"/>
    <w:rsid w:val="00637D80"/>
    <w:rsid w:val="00637FCC"/>
    <w:rsid w:val="00637FF2"/>
    <w:rsid w:val="006400CE"/>
    <w:rsid w:val="00640131"/>
    <w:rsid w:val="0064013F"/>
    <w:rsid w:val="0064014A"/>
    <w:rsid w:val="00640176"/>
    <w:rsid w:val="00640223"/>
    <w:rsid w:val="00640331"/>
    <w:rsid w:val="00640344"/>
    <w:rsid w:val="00640352"/>
    <w:rsid w:val="0064036F"/>
    <w:rsid w:val="006403BA"/>
    <w:rsid w:val="0064061E"/>
    <w:rsid w:val="0064075E"/>
    <w:rsid w:val="006407F9"/>
    <w:rsid w:val="006407FA"/>
    <w:rsid w:val="006408BB"/>
    <w:rsid w:val="006408D9"/>
    <w:rsid w:val="006408FB"/>
    <w:rsid w:val="00640931"/>
    <w:rsid w:val="0064093D"/>
    <w:rsid w:val="00640954"/>
    <w:rsid w:val="00640AA6"/>
    <w:rsid w:val="00640AAD"/>
    <w:rsid w:val="00640AD3"/>
    <w:rsid w:val="00640AE9"/>
    <w:rsid w:val="00640B5D"/>
    <w:rsid w:val="00640BE0"/>
    <w:rsid w:val="00640C59"/>
    <w:rsid w:val="00640CBA"/>
    <w:rsid w:val="00640CE4"/>
    <w:rsid w:val="00640D7F"/>
    <w:rsid w:val="00640DB0"/>
    <w:rsid w:val="00640DB7"/>
    <w:rsid w:val="00640DF1"/>
    <w:rsid w:val="00640E2E"/>
    <w:rsid w:val="00640F24"/>
    <w:rsid w:val="00640F44"/>
    <w:rsid w:val="00640F52"/>
    <w:rsid w:val="00640F78"/>
    <w:rsid w:val="00640F89"/>
    <w:rsid w:val="00641029"/>
    <w:rsid w:val="00641054"/>
    <w:rsid w:val="0064105F"/>
    <w:rsid w:val="006410C3"/>
    <w:rsid w:val="006411C0"/>
    <w:rsid w:val="006411D1"/>
    <w:rsid w:val="006411D6"/>
    <w:rsid w:val="0064121E"/>
    <w:rsid w:val="00641241"/>
    <w:rsid w:val="006412DC"/>
    <w:rsid w:val="006412DE"/>
    <w:rsid w:val="0064134D"/>
    <w:rsid w:val="00641354"/>
    <w:rsid w:val="00641369"/>
    <w:rsid w:val="006413A7"/>
    <w:rsid w:val="00641414"/>
    <w:rsid w:val="006414EF"/>
    <w:rsid w:val="00641543"/>
    <w:rsid w:val="0064154B"/>
    <w:rsid w:val="00641569"/>
    <w:rsid w:val="00641628"/>
    <w:rsid w:val="00641644"/>
    <w:rsid w:val="00641679"/>
    <w:rsid w:val="00641695"/>
    <w:rsid w:val="006416E2"/>
    <w:rsid w:val="006416EE"/>
    <w:rsid w:val="0064174B"/>
    <w:rsid w:val="00641757"/>
    <w:rsid w:val="006417E9"/>
    <w:rsid w:val="0064184B"/>
    <w:rsid w:val="006418C4"/>
    <w:rsid w:val="00641906"/>
    <w:rsid w:val="0064194C"/>
    <w:rsid w:val="006419C4"/>
    <w:rsid w:val="00641AA8"/>
    <w:rsid w:val="00641AB5"/>
    <w:rsid w:val="00641ADF"/>
    <w:rsid w:val="00641AF7"/>
    <w:rsid w:val="00641B0A"/>
    <w:rsid w:val="00641B14"/>
    <w:rsid w:val="00641B48"/>
    <w:rsid w:val="00641B51"/>
    <w:rsid w:val="00641B9C"/>
    <w:rsid w:val="00641C3F"/>
    <w:rsid w:val="00641C40"/>
    <w:rsid w:val="00641CEA"/>
    <w:rsid w:val="00641D45"/>
    <w:rsid w:val="00641D9B"/>
    <w:rsid w:val="00641EAB"/>
    <w:rsid w:val="00641F26"/>
    <w:rsid w:val="00641F51"/>
    <w:rsid w:val="00642021"/>
    <w:rsid w:val="0064204B"/>
    <w:rsid w:val="006420B2"/>
    <w:rsid w:val="00642197"/>
    <w:rsid w:val="00642255"/>
    <w:rsid w:val="0064233D"/>
    <w:rsid w:val="0064236D"/>
    <w:rsid w:val="0064239F"/>
    <w:rsid w:val="006423AD"/>
    <w:rsid w:val="006423FA"/>
    <w:rsid w:val="006424B4"/>
    <w:rsid w:val="006425DD"/>
    <w:rsid w:val="00642654"/>
    <w:rsid w:val="0064268D"/>
    <w:rsid w:val="0064278E"/>
    <w:rsid w:val="006427CC"/>
    <w:rsid w:val="00642825"/>
    <w:rsid w:val="00642875"/>
    <w:rsid w:val="00642897"/>
    <w:rsid w:val="006428B5"/>
    <w:rsid w:val="00642927"/>
    <w:rsid w:val="0064294C"/>
    <w:rsid w:val="00642998"/>
    <w:rsid w:val="006429DB"/>
    <w:rsid w:val="00642A16"/>
    <w:rsid w:val="00642AAD"/>
    <w:rsid w:val="00642B03"/>
    <w:rsid w:val="00642BF2"/>
    <w:rsid w:val="00642BF6"/>
    <w:rsid w:val="00642CA0"/>
    <w:rsid w:val="00642D67"/>
    <w:rsid w:val="00642DD1"/>
    <w:rsid w:val="00642F46"/>
    <w:rsid w:val="0064314F"/>
    <w:rsid w:val="00643158"/>
    <w:rsid w:val="006431FE"/>
    <w:rsid w:val="00643208"/>
    <w:rsid w:val="00643216"/>
    <w:rsid w:val="0064326C"/>
    <w:rsid w:val="006432D0"/>
    <w:rsid w:val="006432DF"/>
    <w:rsid w:val="006433D9"/>
    <w:rsid w:val="006434DA"/>
    <w:rsid w:val="00643547"/>
    <w:rsid w:val="006435D6"/>
    <w:rsid w:val="00643658"/>
    <w:rsid w:val="00643660"/>
    <w:rsid w:val="006436D2"/>
    <w:rsid w:val="00643700"/>
    <w:rsid w:val="0064374F"/>
    <w:rsid w:val="006437AF"/>
    <w:rsid w:val="00643875"/>
    <w:rsid w:val="006438BD"/>
    <w:rsid w:val="00643960"/>
    <w:rsid w:val="006439DF"/>
    <w:rsid w:val="00643A61"/>
    <w:rsid w:val="00643B82"/>
    <w:rsid w:val="00643CE9"/>
    <w:rsid w:val="00643DBD"/>
    <w:rsid w:val="00643E64"/>
    <w:rsid w:val="00643E70"/>
    <w:rsid w:val="00643EAD"/>
    <w:rsid w:val="00643ECE"/>
    <w:rsid w:val="00643F0D"/>
    <w:rsid w:val="00643F5C"/>
    <w:rsid w:val="00643FDF"/>
    <w:rsid w:val="00644083"/>
    <w:rsid w:val="006440FC"/>
    <w:rsid w:val="006440FF"/>
    <w:rsid w:val="00644144"/>
    <w:rsid w:val="00644298"/>
    <w:rsid w:val="006442AF"/>
    <w:rsid w:val="0064436C"/>
    <w:rsid w:val="00644440"/>
    <w:rsid w:val="00644457"/>
    <w:rsid w:val="0064447D"/>
    <w:rsid w:val="006445D8"/>
    <w:rsid w:val="006445EC"/>
    <w:rsid w:val="006446CC"/>
    <w:rsid w:val="006446DE"/>
    <w:rsid w:val="006446FF"/>
    <w:rsid w:val="00644857"/>
    <w:rsid w:val="006448DE"/>
    <w:rsid w:val="00644919"/>
    <w:rsid w:val="0064491F"/>
    <w:rsid w:val="00644A4E"/>
    <w:rsid w:val="00644A7B"/>
    <w:rsid w:val="00644AB1"/>
    <w:rsid w:val="00644AC0"/>
    <w:rsid w:val="00644AFF"/>
    <w:rsid w:val="00644B11"/>
    <w:rsid w:val="00644B59"/>
    <w:rsid w:val="00644B63"/>
    <w:rsid w:val="00644B6A"/>
    <w:rsid w:val="00644C64"/>
    <w:rsid w:val="00644D4E"/>
    <w:rsid w:val="00644DD2"/>
    <w:rsid w:val="00644ED7"/>
    <w:rsid w:val="00644F2C"/>
    <w:rsid w:val="00644F51"/>
    <w:rsid w:val="00644FD4"/>
    <w:rsid w:val="00644FF7"/>
    <w:rsid w:val="0064502A"/>
    <w:rsid w:val="006450DE"/>
    <w:rsid w:val="006451F0"/>
    <w:rsid w:val="00645207"/>
    <w:rsid w:val="006452B9"/>
    <w:rsid w:val="00645347"/>
    <w:rsid w:val="0064534C"/>
    <w:rsid w:val="00645381"/>
    <w:rsid w:val="00645394"/>
    <w:rsid w:val="006453A7"/>
    <w:rsid w:val="006453B6"/>
    <w:rsid w:val="006453CC"/>
    <w:rsid w:val="00645573"/>
    <w:rsid w:val="006455A9"/>
    <w:rsid w:val="006455DB"/>
    <w:rsid w:val="00645667"/>
    <w:rsid w:val="0064568D"/>
    <w:rsid w:val="006456BA"/>
    <w:rsid w:val="00645736"/>
    <w:rsid w:val="0064573B"/>
    <w:rsid w:val="00645760"/>
    <w:rsid w:val="006457B3"/>
    <w:rsid w:val="006457D5"/>
    <w:rsid w:val="006457DD"/>
    <w:rsid w:val="0064586B"/>
    <w:rsid w:val="006458CD"/>
    <w:rsid w:val="006458FE"/>
    <w:rsid w:val="0064597E"/>
    <w:rsid w:val="0064598C"/>
    <w:rsid w:val="00645A75"/>
    <w:rsid w:val="00645AC8"/>
    <w:rsid w:val="00645ACC"/>
    <w:rsid w:val="00645B34"/>
    <w:rsid w:val="00645B6E"/>
    <w:rsid w:val="00645D61"/>
    <w:rsid w:val="00645D78"/>
    <w:rsid w:val="00645E5E"/>
    <w:rsid w:val="00645E78"/>
    <w:rsid w:val="00645EF4"/>
    <w:rsid w:val="00645FCE"/>
    <w:rsid w:val="00645FFA"/>
    <w:rsid w:val="0064603F"/>
    <w:rsid w:val="0064606F"/>
    <w:rsid w:val="00646195"/>
    <w:rsid w:val="006461C8"/>
    <w:rsid w:val="006462A0"/>
    <w:rsid w:val="006462A2"/>
    <w:rsid w:val="006462D3"/>
    <w:rsid w:val="00646385"/>
    <w:rsid w:val="006464EC"/>
    <w:rsid w:val="00646508"/>
    <w:rsid w:val="00646714"/>
    <w:rsid w:val="006467DE"/>
    <w:rsid w:val="006467E2"/>
    <w:rsid w:val="006467F2"/>
    <w:rsid w:val="00646818"/>
    <w:rsid w:val="00646867"/>
    <w:rsid w:val="00646876"/>
    <w:rsid w:val="006468F9"/>
    <w:rsid w:val="006469FA"/>
    <w:rsid w:val="00646A41"/>
    <w:rsid w:val="00646A81"/>
    <w:rsid w:val="00646A92"/>
    <w:rsid w:val="00646ABC"/>
    <w:rsid w:val="00646AED"/>
    <w:rsid w:val="00646B15"/>
    <w:rsid w:val="00646B18"/>
    <w:rsid w:val="00646B7A"/>
    <w:rsid w:val="00646B7E"/>
    <w:rsid w:val="00646C07"/>
    <w:rsid w:val="00646C0E"/>
    <w:rsid w:val="00646C43"/>
    <w:rsid w:val="00646CCF"/>
    <w:rsid w:val="00646D2B"/>
    <w:rsid w:val="00646D87"/>
    <w:rsid w:val="00646E6C"/>
    <w:rsid w:val="00646E71"/>
    <w:rsid w:val="00646E9D"/>
    <w:rsid w:val="00646EF3"/>
    <w:rsid w:val="00646F16"/>
    <w:rsid w:val="00646F49"/>
    <w:rsid w:val="00647006"/>
    <w:rsid w:val="00647041"/>
    <w:rsid w:val="006470A7"/>
    <w:rsid w:val="00647140"/>
    <w:rsid w:val="00647176"/>
    <w:rsid w:val="0064719C"/>
    <w:rsid w:val="006471AE"/>
    <w:rsid w:val="006471BF"/>
    <w:rsid w:val="00647208"/>
    <w:rsid w:val="00647210"/>
    <w:rsid w:val="0064728A"/>
    <w:rsid w:val="00647335"/>
    <w:rsid w:val="0064736D"/>
    <w:rsid w:val="0064743F"/>
    <w:rsid w:val="00647442"/>
    <w:rsid w:val="006474BE"/>
    <w:rsid w:val="006474E3"/>
    <w:rsid w:val="006474E7"/>
    <w:rsid w:val="0064751B"/>
    <w:rsid w:val="00647560"/>
    <w:rsid w:val="00647591"/>
    <w:rsid w:val="0064761B"/>
    <w:rsid w:val="0064762A"/>
    <w:rsid w:val="006476BC"/>
    <w:rsid w:val="00647733"/>
    <w:rsid w:val="00647758"/>
    <w:rsid w:val="00647766"/>
    <w:rsid w:val="006477F0"/>
    <w:rsid w:val="0064780A"/>
    <w:rsid w:val="00647833"/>
    <w:rsid w:val="006478F5"/>
    <w:rsid w:val="006478FF"/>
    <w:rsid w:val="00647956"/>
    <w:rsid w:val="0064798F"/>
    <w:rsid w:val="006479BE"/>
    <w:rsid w:val="00647A69"/>
    <w:rsid w:val="00647B07"/>
    <w:rsid w:val="00647B87"/>
    <w:rsid w:val="00647E0E"/>
    <w:rsid w:val="00647E3A"/>
    <w:rsid w:val="00647E68"/>
    <w:rsid w:val="00647E70"/>
    <w:rsid w:val="00647FE5"/>
    <w:rsid w:val="0065004A"/>
    <w:rsid w:val="0065004B"/>
    <w:rsid w:val="006500D0"/>
    <w:rsid w:val="006500D7"/>
    <w:rsid w:val="00650220"/>
    <w:rsid w:val="00650246"/>
    <w:rsid w:val="006502A1"/>
    <w:rsid w:val="006502CE"/>
    <w:rsid w:val="00650382"/>
    <w:rsid w:val="006503A5"/>
    <w:rsid w:val="006503AD"/>
    <w:rsid w:val="00650502"/>
    <w:rsid w:val="006505EB"/>
    <w:rsid w:val="00650633"/>
    <w:rsid w:val="00650665"/>
    <w:rsid w:val="00650703"/>
    <w:rsid w:val="00650735"/>
    <w:rsid w:val="00650759"/>
    <w:rsid w:val="00650771"/>
    <w:rsid w:val="0065085B"/>
    <w:rsid w:val="006508A4"/>
    <w:rsid w:val="006508AA"/>
    <w:rsid w:val="006508BF"/>
    <w:rsid w:val="006508D3"/>
    <w:rsid w:val="0065093B"/>
    <w:rsid w:val="006509AB"/>
    <w:rsid w:val="00650A0B"/>
    <w:rsid w:val="00650B02"/>
    <w:rsid w:val="00650B15"/>
    <w:rsid w:val="00650B97"/>
    <w:rsid w:val="00650BEF"/>
    <w:rsid w:val="00650C3E"/>
    <w:rsid w:val="00650D10"/>
    <w:rsid w:val="00650D48"/>
    <w:rsid w:val="00650E4C"/>
    <w:rsid w:val="00650EA6"/>
    <w:rsid w:val="00650EF6"/>
    <w:rsid w:val="00650EF8"/>
    <w:rsid w:val="00650F63"/>
    <w:rsid w:val="00650FD0"/>
    <w:rsid w:val="00651047"/>
    <w:rsid w:val="00651197"/>
    <w:rsid w:val="00651237"/>
    <w:rsid w:val="00651280"/>
    <w:rsid w:val="00651314"/>
    <w:rsid w:val="00651363"/>
    <w:rsid w:val="00651406"/>
    <w:rsid w:val="00651477"/>
    <w:rsid w:val="006514D8"/>
    <w:rsid w:val="006514D9"/>
    <w:rsid w:val="0065151D"/>
    <w:rsid w:val="00651540"/>
    <w:rsid w:val="00651555"/>
    <w:rsid w:val="00651594"/>
    <w:rsid w:val="006515BA"/>
    <w:rsid w:val="006515D1"/>
    <w:rsid w:val="006515E9"/>
    <w:rsid w:val="00651691"/>
    <w:rsid w:val="006517DA"/>
    <w:rsid w:val="00651811"/>
    <w:rsid w:val="0065182E"/>
    <w:rsid w:val="0065188A"/>
    <w:rsid w:val="00651977"/>
    <w:rsid w:val="006519B3"/>
    <w:rsid w:val="006519C8"/>
    <w:rsid w:val="00651A58"/>
    <w:rsid w:val="00651A9A"/>
    <w:rsid w:val="00651AF4"/>
    <w:rsid w:val="00651C4C"/>
    <w:rsid w:val="00651DFD"/>
    <w:rsid w:val="00651F81"/>
    <w:rsid w:val="00651F8E"/>
    <w:rsid w:val="00652024"/>
    <w:rsid w:val="006520AF"/>
    <w:rsid w:val="006520B0"/>
    <w:rsid w:val="00652157"/>
    <w:rsid w:val="00652247"/>
    <w:rsid w:val="00652275"/>
    <w:rsid w:val="0065232A"/>
    <w:rsid w:val="0065232B"/>
    <w:rsid w:val="00652352"/>
    <w:rsid w:val="00652427"/>
    <w:rsid w:val="00652517"/>
    <w:rsid w:val="0065257B"/>
    <w:rsid w:val="00652580"/>
    <w:rsid w:val="006525F4"/>
    <w:rsid w:val="00652636"/>
    <w:rsid w:val="00652698"/>
    <w:rsid w:val="006526D8"/>
    <w:rsid w:val="006526D9"/>
    <w:rsid w:val="006527C7"/>
    <w:rsid w:val="0065284A"/>
    <w:rsid w:val="006528DF"/>
    <w:rsid w:val="0065297D"/>
    <w:rsid w:val="006529FC"/>
    <w:rsid w:val="00652A42"/>
    <w:rsid w:val="00652A6A"/>
    <w:rsid w:val="00652A84"/>
    <w:rsid w:val="00652B2B"/>
    <w:rsid w:val="00652B8E"/>
    <w:rsid w:val="00652B8F"/>
    <w:rsid w:val="00652B97"/>
    <w:rsid w:val="00652B9F"/>
    <w:rsid w:val="00652D20"/>
    <w:rsid w:val="00652D43"/>
    <w:rsid w:val="00652D80"/>
    <w:rsid w:val="00652EAD"/>
    <w:rsid w:val="00652FA2"/>
    <w:rsid w:val="00652FAD"/>
    <w:rsid w:val="00652FD0"/>
    <w:rsid w:val="00653057"/>
    <w:rsid w:val="006530A1"/>
    <w:rsid w:val="006530D9"/>
    <w:rsid w:val="006530EA"/>
    <w:rsid w:val="00653184"/>
    <w:rsid w:val="006531CE"/>
    <w:rsid w:val="0065325A"/>
    <w:rsid w:val="006533AC"/>
    <w:rsid w:val="00653457"/>
    <w:rsid w:val="0065345A"/>
    <w:rsid w:val="0065356F"/>
    <w:rsid w:val="00653581"/>
    <w:rsid w:val="006535B8"/>
    <w:rsid w:val="006536A0"/>
    <w:rsid w:val="006536A7"/>
    <w:rsid w:val="00653767"/>
    <w:rsid w:val="00653783"/>
    <w:rsid w:val="006537C6"/>
    <w:rsid w:val="00653866"/>
    <w:rsid w:val="00653873"/>
    <w:rsid w:val="00653883"/>
    <w:rsid w:val="0065388F"/>
    <w:rsid w:val="006538A7"/>
    <w:rsid w:val="0065392F"/>
    <w:rsid w:val="0065395E"/>
    <w:rsid w:val="0065399C"/>
    <w:rsid w:val="006539EB"/>
    <w:rsid w:val="00653A3B"/>
    <w:rsid w:val="00653A4F"/>
    <w:rsid w:val="00653BA7"/>
    <w:rsid w:val="00653BC0"/>
    <w:rsid w:val="00653C46"/>
    <w:rsid w:val="00653CB6"/>
    <w:rsid w:val="00653CE0"/>
    <w:rsid w:val="00653FAC"/>
    <w:rsid w:val="00653FD8"/>
    <w:rsid w:val="00653FE1"/>
    <w:rsid w:val="00653FEB"/>
    <w:rsid w:val="00653FF8"/>
    <w:rsid w:val="006540D9"/>
    <w:rsid w:val="0065410A"/>
    <w:rsid w:val="00654126"/>
    <w:rsid w:val="0065414C"/>
    <w:rsid w:val="0065416F"/>
    <w:rsid w:val="006541AE"/>
    <w:rsid w:val="006541B4"/>
    <w:rsid w:val="00654285"/>
    <w:rsid w:val="006542E2"/>
    <w:rsid w:val="006542F3"/>
    <w:rsid w:val="00654312"/>
    <w:rsid w:val="00654356"/>
    <w:rsid w:val="00654382"/>
    <w:rsid w:val="006543A6"/>
    <w:rsid w:val="006543DB"/>
    <w:rsid w:val="00654462"/>
    <w:rsid w:val="00654477"/>
    <w:rsid w:val="00654563"/>
    <w:rsid w:val="0065471A"/>
    <w:rsid w:val="0065472D"/>
    <w:rsid w:val="006547EE"/>
    <w:rsid w:val="00654800"/>
    <w:rsid w:val="0065481A"/>
    <w:rsid w:val="00654894"/>
    <w:rsid w:val="006548FD"/>
    <w:rsid w:val="0065495F"/>
    <w:rsid w:val="0065497C"/>
    <w:rsid w:val="0065499A"/>
    <w:rsid w:val="006549A2"/>
    <w:rsid w:val="00654A49"/>
    <w:rsid w:val="00654A60"/>
    <w:rsid w:val="00654B43"/>
    <w:rsid w:val="00654B85"/>
    <w:rsid w:val="00654B9C"/>
    <w:rsid w:val="00654BD9"/>
    <w:rsid w:val="00654C54"/>
    <w:rsid w:val="00654C61"/>
    <w:rsid w:val="00654CBF"/>
    <w:rsid w:val="00654CEB"/>
    <w:rsid w:val="00654DBE"/>
    <w:rsid w:val="00654E33"/>
    <w:rsid w:val="00654E85"/>
    <w:rsid w:val="00654EAF"/>
    <w:rsid w:val="00654F9B"/>
    <w:rsid w:val="0065508F"/>
    <w:rsid w:val="006550C3"/>
    <w:rsid w:val="006550C4"/>
    <w:rsid w:val="00655318"/>
    <w:rsid w:val="00655320"/>
    <w:rsid w:val="0065537D"/>
    <w:rsid w:val="006553CC"/>
    <w:rsid w:val="006553D2"/>
    <w:rsid w:val="00655560"/>
    <w:rsid w:val="0065558D"/>
    <w:rsid w:val="006555DF"/>
    <w:rsid w:val="0065561D"/>
    <w:rsid w:val="00655670"/>
    <w:rsid w:val="00655681"/>
    <w:rsid w:val="006557CA"/>
    <w:rsid w:val="0065583E"/>
    <w:rsid w:val="00655861"/>
    <w:rsid w:val="00655893"/>
    <w:rsid w:val="0065593B"/>
    <w:rsid w:val="006559F9"/>
    <w:rsid w:val="00655A66"/>
    <w:rsid w:val="00655A6E"/>
    <w:rsid w:val="00655AC6"/>
    <w:rsid w:val="00655B19"/>
    <w:rsid w:val="00655BCF"/>
    <w:rsid w:val="00655BDB"/>
    <w:rsid w:val="00655C30"/>
    <w:rsid w:val="00655C5F"/>
    <w:rsid w:val="00655C9B"/>
    <w:rsid w:val="00655DFD"/>
    <w:rsid w:val="00655E11"/>
    <w:rsid w:val="00655E9F"/>
    <w:rsid w:val="00655FA9"/>
    <w:rsid w:val="00655FD4"/>
    <w:rsid w:val="00655FD7"/>
    <w:rsid w:val="006560C0"/>
    <w:rsid w:val="006560C9"/>
    <w:rsid w:val="00656104"/>
    <w:rsid w:val="0065614C"/>
    <w:rsid w:val="0065620F"/>
    <w:rsid w:val="006562CE"/>
    <w:rsid w:val="00656566"/>
    <w:rsid w:val="00656686"/>
    <w:rsid w:val="006566CB"/>
    <w:rsid w:val="006567B3"/>
    <w:rsid w:val="0065683C"/>
    <w:rsid w:val="00656894"/>
    <w:rsid w:val="006568A0"/>
    <w:rsid w:val="006569FD"/>
    <w:rsid w:val="006569FE"/>
    <w:rsid w:val="00656AFB"/>
    <w:rsid w:val="00656B52"/>
    <w:rsid w:val="00656BB3"/>
    <w:rsid w:val="00656C0A"/>
    <w:rsid w:val="00656C6E"/>
    <w:rsid w:val="00656C82"/>
    <w:rsid w:val="00656D44"/>
    <w:rsid w:val="00656D6A"/>
    <w:rsid w:val="00656E3B"/>
    <w:rsid w:val="00656E3F"/>
    <w:rsid w:val="00656E40"/>
    <w:rsid w:val="00656E45"/>
    <w:rsid w:val="00656E88"/>
    <w:rsid w:val="00656F80"/>
    <w:rsid w:val="00656FA2"/>
    <w:rsid w:val="00656FC6"/>
    <w:rsid w:val="00657006"/>
    <w:rsid w:val="0065715C"/>
    <w:rsid w:val="00657241"/>
    <w:rsid w:val="006572B2"/>
    <w:rsid w:val="006572B4"/>
    <w:rsid w:val="006572B8"/>
    <w:rsid w:val="006572F2"/>
    <w:rsid w:val="00657481"/>
    <w:rsid w:val="00657483"/>
    <w:rsid w:val="0065749B"/>
    <w:rsid w:val="00657630"/>
    <w:rsid w:val="00657664"/>
    <w:rsid w:val="00657750"/>
    <w:rsid w:val="00657781"/>
    <w:rsid w:val="0065788F"/>
    <w:rsid w:val="006578CB"/>
    <w:rsid w:val="00657989"/>
    <w:rsid w:val="006579A4"/>
    <w:rsid w:val="006579D0"/>
    <w:rsid w:val="006579EE"/>
    <w:rsid w:val="00657B3C"/>
    <w:rsid w:val="00657B42"/>
    <w:rsid w:val="00657B45"/>
    <w:rsid w:val="00657D1E"/>
    <w:rsid w:val="00657D33"/>
    <w:rsid w:val="00657D7B"/>
    <w:rsid w:val="00657D98"/>
    <w:rsid w:val="00657DB9"/>
    <w:rsid w:val="00657DE0"/>
    <w:rsid w:val="00657E20"/>
    <w:rsid w:val="00657E71"/>
    <w:rsid w:val="00657F7E"/>
    <w:rsid w:val="00660024"/>
    <w:rsid w:val="00660090"/>
    <w:rsid w:val="006600B1"/>
    <w:rsid w:val="006600F1"/>
    <w:rsid w:val="00660142"/>
    <w:rsid w:val="00660279"/>
    <w:rsid w:val="00660287"/>
    <w:rsid w:val="0066046D"/>
    <w:rsid w:val="00660470"/>
    <w:rsid w:val="0066049B"/>
    <w:rsid w:val="006604E3"/>
    <w:rsid w:val="00660578"/>
    <w:rsid w:val="006605AC"/>
    <w:rsid w:val="006605BD"/>
    <w:rsid w:val="006607D1"/>
    <w:rsid w:val="00660877"/>
    <w:rsid w:val="006609A7"/>
    <w:rsid w:val="006609DB"/>
    <w:rsid w:val="006609EA"/>
    <w:rsid w:val="00660A2B"/>
    <w:rsid w:val="00660A40"/>
    <w:rsid w:val="00660A44"/>
    <w:rsid w:val="00660A95"/>
    <w:rsid w:val="00660B24"/>
    <w:rsid w:val="00660B34"/>
    <w:rsid w:val="00660CC9"/>
    <w:rsid w:val="00660D27"/>
    <w:rsid w:val="00660D9C"/>
    <w:rsid w:val="00660E2B"/>
    <w:rsid w:val="00660ECD"/>
    <w:rsid w:val="00660EF5"/>
    <w:rsid w:val="00660F62"/>
    <w:rsid w:val="00660F79"/>
    <w:rsid w:val="00660FC9"/>
    <w:rsid w:val="00661095"/>
    <w:rsid w:val="0066112C"/>
    <w:rsid w:val="00661136"/>
    <w:rsid w:val="0066125B"/>
    <w:rsid w:val="0066128F"/>
    <w:rsid w:val="0066129A"/>
    <w:rsid w:val="006612B8"/>
    <w:rsid w:val="006613EB"/>
    <w:rsid w:val="006613F0"/>
    <w:rsid w:val="00661423"/>
    <w:rsid w:val="006614B0"/>
    <w:rsid w:val="006614DE"/>
    <w:rsid w:val="00661532"/>
    <w:rsid w:val="00661552"/>
    <w:rsid w:val="00661569"/>
    <w:rsid w:val="006615C9"/>
    <w:rsid w:val="006615E3"/>
    <w:rsid w:val="0066165C"/>
    <w:rsid w:val="00661729"/>
    <w:rsid w:val="0066176A"/>
    <w:rsid w:val="00661783"/>
    <w:rsid w:val="0066178A"/>
    <w:rsid w:val="006617A0"/>
    <w:rsid w:val="006617E8"/>
    <w:rsid w:val="00661832"/>
    <w:rsid w:val="00661841"/>
    <w:rsid w:val="00661849"/>
    <w:rsid w:val="006619A9"/>
    <w:rsid w:val="006619B8"/>
    <w:rsid w:val="00661A55"/>
    <w:rsid w:val="00661ACB"/>
    <w:rsid w:val="00661B0E"/>
    <w:rsid w:val="00661B84"/>
    <w:rsid w:val="00661C8B"/>
    <w:rsid w:val="00661D1E"/>
    <w:rsid w:val="00661D3C"/>
    <w:rsid w:val="00661D7A"/>
    <w:rsid w:val="00661DD8"/>
    <w:rsid w:val="00661ED2"/>
    <w:rsid w:val="00661EE9"/>
    <w:rsid w:val="00661F9A"/>
    <w:rsid w:val="006620CE"/>
    <w:rsid w:val="006620CF"/>
    <w:rsid w:val="00662109"/>
    <w:rsid w:val="006621FD"/>
    <w:rsid w:val="006622EB"/>
    <w:rsid w:val="0066233F"/>
    <w:rsid w:val="00662389"/>
    <w:rsid w:val="00662399"/>
    <w:rsid w:val="006623AB"/>
    <w:rsid w:val="006623DF"/>
    <w:rsid w:val="006623E8"/>
    <w:rsid w:val="00662425"/>
    <w:rsid w:val="00662477"/>
    <w:rsid w:val="00662526"/>
    <w:rsid w:val="00662535"/>
    <w:rsid w:val="006625A7"/>
    <w:rsid w:val="006625FE"/>
    <w:rsid w:val="00662609"/>
    <w:rsid w:val="00662666"/>
    <w:rsid w:val="006626F2"/>
    <w:rsid w:val="0066285E"/>
    <w:rsid w:val="006628B0"/>
    <w:rsid w:val="00662901"/>
    <w:rsid w:val="00662989"/>
    <w:rsid w:val="006629CD"/>
    <w:rsid w:val="00662A5D"/>
    <w:rsid w:val="00662B92"/>
    <w:rsid w:val="00662C14"/>
    <w:rsid w:val="00662C41"/>
    <w:rsid w:val="00662C9A"/>
    <w:rsid w:val="00662D68"/>
    <w:rsid w:val="00662E1A"/>
    <w:rsid w:val="00662E56"/>
    <w:rsid w:val="00662F6D"/>
    <w:rsid w:val="00662FA8"/>
    <w:rsid w:val="00662FAD"/>
    <w:rsid w:val="0066310F"/>
    <w:rsid w:val="00663157"/>
    <w:rsid w:val="006631C4"/>
    <w:rsid w:val="006632AF"/>
    <w:rsid w:val="006632B6"/>
    <w:rsid w:val="006632D6"/>
    <w:rsid w:val="006632EA"/>
    <w:rsid w:val="0066332B"/>
    <w:rsid w:val="00663375"/>
    <w:rsid w:val="00663384"/>
    <w:rsid w:val="00663408"/>
    <w:rsid w:val="006634BC"/>
    <w:rsid w:val="006634DA"/>
    <w:rsid w:val="006634EF"/>
    <w:rsid w:val="006634F8"/>
    <w:rsid w:val="00663593"/>
    <w:rsid w:val="0066365A"/>
    <w:rsid w:val="0066366C"/>
    <w:rsid w:val="006636F6"/>
    <w:rsid w:val="0066378A"/>
    <w:rsid w:val="0066383C"/>
    <w:rsid w:val="00663848"/>
    <w:rsid w:val="0066387C"/>
    <w:rsid w:val="00663895"/>
    <w:rsid w:val="00663896"/>
    <w:rsid w:val="00663932"/>
    <w:rsid w:val="00663945"/>
    <w:rsid w:val="0066395F"/>
    <w:rsid w:val="006639E4"/>
    <w:rsid w:val="006639E5"/>
    <w:rsid w:val="00663A44"/>
    <w:rsid w:val="00663A56"/>
    <w:rsid w:val="00663A84"/>
    <w:rsid w:val="00663A9C"/>
    <w:rsid w:val="00663AF3"/>
    <w:rsid w:val="00663B42"/>
    <w:rsid w:val="00663BA4"/>
    <w:rsid w:val="00663C2D"/>
    <w:rsid w:val="00663C4A"/>
    <w:rsid w:val="00663CA9"/>
    <w:rsid w:val="00663CC1"/>
    <w:rsid w:val="00663D16"/>
    <w:rsid w:val="00663D36"/>
    <w:rsid w:val="00663D82"/>
    <w:rsid w:val="00663DC3"/>
    <w:rsid w:val="00663E30"/>
    <w:rsid w:val="00663E60"/>
    <w:rsid w:val="00663F15"/>
    <w:rsid w:val="00663F33"/>
    <w:rsid w:val="00663FCA"/>
    <w:rsid w:val="00664002"/>
    <w:rsid w:val="00664027"/>
    <w:rsid w:val="00664069"/>
    <w:rsid w:val="00664093"/>
    <w:rsid w:val="00664096"/>
    <w:rsid w:val="006641CE"/>
    <w:rsid w:val="00664339"/>
    <w:rsid w:val="00664376"/>
    <w:rsid w:val="006643C2"/>
    <w:rsid w:val="00664410"/>
    <w:rsid w:val="006644B7"/>
    <w:rsid w:val="00664531"/>
    <w:rsid w:val="00664539"/>
    <w:rsid w:val="00664634"/>
    <w:rsid w:val="00664773"/>
    <w:rsid w:val="00664774"/>
    <w:rsid w:val="00664906"/>
    <w:rsid w:val="00664969"/>
    <w:rsid w:val="00664978"/>
    <w:rsid w:val="00664ADB"/>
    <w:rsid w:val="00664B0F"/>
    <w:rsid w:val="00664B1B"/>
    <w:rsid w:val="00664B8E"/>
    <w:rsid w:val="00664CE8"/>
    <w:rsid w:val="00664CFF"/>
    <w:rsid w:val="00664D3F"/>
    <w:rsid w:val="00664D7A"/>
    <w:rsid w:val="00664D83"/>
    <w:rsid w:val="00664E11"/>
    <w:rsid w:val="00664E2B"/>
    <w:rsid w:val="00664E4D"/>
    <w:rsid w:val="00664E72"/>
    <w:rsid w:val="00664E93"/>
    <w:rsid w:val="00664F2C"/>
    <w:rsid w:val="00664FCD"/>
    <w:rsid w:val="00664FD8"/>
    <w:rsid w:val="00665030"/>
    <w:rsid w:val="00665176"/>
    <w:rsid w:val="0066519C"/>
    <w:rsid w:val="006651BB"/>
    <w:rsid w:val="0066546D"/>
    <w:rsid w:val="006654D0"/>
    <w:rsid w:val="0066550C"/>
    <w:rsid w:val="0066551F"/>
    <w:rsid w:val="00665529"/>
    <w:rsid w:val="00665544"/>
    <w:rsid w:val="00665688"/>
    <w:rsid w:val="006656CD"/>
    <w:rsid w:val="006656F4"/>
    <w:rsid w:val="006657C2"/>
    <w:rsid w:val="00665826"/>
    <w:rsid w:val="0066588B"/>
    <w:rsid w:val="00665896"/>
    <w:rsid w:val="00665967"/>
    <w:rsid w:val="006659A4"/>
    <w:rsid w:val="006659B0"/>
    <w:rsid w:val="00665A24"/>
    <w:rsid w:val="00665ABE"/>
    <w:rsid w:val="00665BA3"/>
    <w:rsid w:val="00665BBC"/>
    <w:rsid w:val="00665BC9"/>
    <w:rsid w:val="00665C2E"/>
    <w:rsid w:val="00665C8E"/>
    <w:rsid w:val="00665CCE"/>
    <w:rsid w:val="00665CD9"/>
    <w:rsid w:val="00665D41"/>
    <w:rsid w:val="00665D52"/>
    <w:rsid w:val="00665E27"/>
    <w:rsid w:val="00665E84"/>
    <w:rsid w:val="00665E9D"/>
    <w:rsid w:val="00665F99"/>
    <w:rsid w:val="00665FFB"/>
    <w:rsid w:val="006660F6"/>
    <w:rsid w:val="00666122"/>
    <w:rsid w:val="006661D2"/>
    <w:rsid w:val="006661FA"/>
    <w:rsid w:val="00666225"/>
    <w:rsid w:val="006662E7"/>
    <w:rsid w:val="0066631B"/>
    <w:rsid w:val="0066634E"/>
    <w:rsid w:val="00666442"/>
    <w:rsid w:val="00666517"/>
    <w:rsid w:val="0066651E"/>
    <w:rsid w:val="00666536"/>
    <w:rsid w:val="00666580"/>
    <w:rsid w:val="0066668B"/>
    <w:rsid w:val="0066672D"/>
    <w:rsid w:val="00666799"/>
    <w:rsid w:val="006667C6"/>
    <w:rsid w:val="006667EC"/>
    <w:rsid w:val="00666827"/>
    <w:rsid w:val="00666947"/>
    <w:rsid w:val="0066695C"/>
    <w:rsid w:val="00666991"/>
    <w:rsid w:val="0066699D"/>
    <w:rsid w:val="00666A26"/>
    <w:rsid w:val="00666AB2"/>
    <w:rsid w:val="00666BA6"/>
    <w:rsid w:val="00666C04"/>
    <w:rsid w:val="00666C0F"/>
    <w:rsid w:val="00666C26"/>
    <w:rsid w:val="00666C43"/>
    <w:rsid w:val="00666C54"/>
    <w:rsid w:val="00666CD6"/>
    <w:rsid w:val="00666DC2"/>
    <w:rsid w:val="00666E5C"/>
    <w:rsid w:val="00666EB6"/>
    <w:rsid w:val="00666ED4"/>
    <w:rsid w:val="0066701B"/>
    <w:rsid w:val="00667043"/>
    <w:rsid w:val="006670FD"/>
    <w:rsid w:val="0066710D"/>
    <w:rsid w:val="00667165"/>
    <w:rsid w:val="00667219"/>
    <w:rsid w:val="0066730D"/>
    <w:rsid w:val="0066733B"/>
    <w:rsid w:val="00667351"/>
    <w:rsid w:val="0066746E"/>
    <w:rsid w:val="00667474"/>
    <w:rsid w:val="006674E2"/>
    <w:rsid w:val="00667502"/>
    <w:rsid w:val="0066751C"/>
    <w:rsid w:val="00667645"/>
    <w:rsid w:val="00667659"/>
    <w:rsid w:val="006676A6"/>
    <w:rsid w:val="0066776F"/>
    <w:rsid w:val="00667792"/>
    <w:rsid w:val="006677C9"/>
    <w:rsid w:val="006677D7"/>
    <w:rsid w:val="0066791A"/>
    <w:rsid w:val="00667A8A"/>
    <w:rsid w:val="00667AEF"/>
    <w:rsid w:val="00667B41"/>
    <w:rsid w:val="00667BCC"/>
    <w:rsid w:val="00667C22"/>
    <w:rsid w:val="00667C66"/>
    <w:rsid w:val="00667C83"/>
    <w:rsid w:val="00667D04"/>
    <w:rsid w:val="00667D27"/>
    <w:rsid w:val="00667DDD"/>
    <w:rsid w:val="00667DE5"/>
    <w:rsid w:val="00667E27"/>
    <w:rsid w:val="00667ED6"/>
    <w:rsid w:val="00667EF9"/>
    <w:rsid w:val="00667F19"/>
    <w:rsid w:val="00667F36"/>
    <w:rsid w:val="00667F5B"/>
    <w:rsid w:val="00667F69"/>
    <w:rsid w:val="00670009"/>
    <w:rsid w:val="00670236"/>
    <w:rsid w:val="00670245"/>
    <w:rsid w:val="0067025A"/>
    <w:rsid w:val="00670295"/>
    <w:rsid w:val="0067029E"/>
    <w:rsid w:val="006702BE"/>
    <w:rsid w:val="00670319"/>
    <w:rsid w:val="00670326"/>
    <w:rsid w:val="00670422"/>
    <w:rsid w:val="0067044D"/>
    <w:rsid w:val="006704AF"/>
    <w:rsid w:val="00670538"/>
    <w:rsid w:val="00670606"/>
    <w:rsid w:val="0067066F"/>
    <w:rsid w:val="006706BD"/>
    <w:rsid w:val="00670717"/>
    <w:rsid w:val="006709E3"/>
    <w:rsid w:val="006709F4"/>
    <w:rsid w:val="006709FE"/>
    <w:rsid w:val="00670A28"/>
    <w:rsid w:val="00670A2A"/>
    <w:rsid w:val="00670A40"/>
    <w:rsid w:val="00670AD8"/>
    <w:rsid w:val="00670B3C"/>
    <w:rsid w:val="00670B8D"/>
    <w:rsid w:val="00670BC0"/>
    <w:rsid w:val="00670BDD"/>
    <w:rsid w:val="00670CE4"/>
    <w:rsid w:val="00670D0D"/>
    <w:rsid w:val="00670D6B"/>
    <w:rsid w:val="00670DD3"/>
    <w:rsid w:val="00670DF8"/>
    <w:rsid w:val="00670DFD"/>
    <w:rsid w:val="00670E09"/>
    <w:rsid w:val="00670ECB"/>
    <w:rsid w:val="00670EDE"/>
    <w:rsid w:val="00670F18"/>
    <w:rsid w:val="00670F4E"/>
    <w:rsid w:val="00670F54"/>
    <w:rsid w:val="00670F73"/>
    <w:rsid w:val="00671007"/>
    <w:rsid w:val="00671024"/>
    <w:rsid w:val="006710BB"/>
    <w:rsid w:val="00671144"/>
    <w:rsid w:val="0067121B"/>
    <w:rsid w:val="0067121C"/>
    <w:rsid w:val="00671223"/>
    <w:rsid w:val="0067125E"/>
    <w:rsid w:val="00671278"/>
    <w:rsid w:val="006712AB"/>
    <w:rsid w:val="006712BE"/>
    <w:rsid w:val="00671339"/>
    <w:rsid w:val="0067148D"/>
    <w:rsid w:val="00671529"/>
    <w:rsid w:val="006715C7"/>
    <w:rsid w:val="00671643"/>
    <w:rsid w:val="00671762"/>
    <w:rsid w:val="00671772"/>
    <w:rsid w:val="00671831"/>
    <w:rsid w:val="006718D9"/>
    <w:rsid w:val="00671945"/>
    <w:rsid w:val="006719A6"/>
    <w:rsid w:val="00671A04"/>
    <w:rsid w:val="00671A51"/>
    <w:rsid w:val="00671A66"/>
    <w:rsid w:val="00671C6E"/>
    <w:rsid w:val="00671CAF"/>
    <w:rsid w:val="00671CD8"/>
    <w:rsid w:val="00671E3D"/>
    <w:rsid w:val="00671F65"/>
    <w:rsid w:val="00672056"/>
    <w:rsid w:val="006720A1"/>
    <w:rsid w:val="00672119"/>
    <w:rsid w:val="0067211C"/>
    <w:rsid w:val="00672135"/>
    <w:rsid w:val="00672197"/>
    <w:rsid w:val="006721C8"/>
    <w:rsid w:val="00672247"/>
    <w:rsid w:val="00672259"/>
    <w:rsid w:val="006722A2"/>
    <w:rsid w:val="006722B0"/>
    <w:rsid w:val="006722CB"/>
    <w:rsid w:val="00672345"/>
    <w:rsid w:val="006723BB"/>
    <w:rsid w:val="006723D3"/>
    <w:rsid w:val="00672452"/>
    <w:rsid w:val="00672483"/>
    <w:rsid w:val="006724E2"/>
    <w:rsid w:val="00672540"/>
    <w:rsid w:val="00672549"/>
    <w:rsid w:val="0067255B"/>
    <w:rsid w:val="00672571"/>
    <w:rsid w:val="006725A0"/>
    <w:rsid w:val="006726CA"/>
    <w:rsid w:val="00672724"/>
    <w:rsid w:val="006727C4"/>
    <w:rsid w:val="00672866"/>
    <w:rsid w:val="00672889"/>
    <w:rsid w:val="00672A93"/>
    <w:rsid w:val="00672AC5"/>
    <w:rsid w:val="00672B10"/>
    <w:rsid w:val="00672B8F"/>
    <w:rsid w:val="00672B97"/>
    <w:rsid w:val="00672BAA"/>
    <w:rsid w:val="00672CB3"/>
    <w:rsid w:val="00672CC9"/>
    <w:rsid w:val="00672CD2"/>
    <w:rsid w:val="00672CF3"/>
    <w:rsid w:val="00672D00"/>
    <w:rsid w:val="00672D1E"/>
    <w:rsid w:val="00672D69"/>
    <w:rsid w:val="00672D78"/>
    <w:rsid w:val="00672DFE"/>
    <w:rsid w:val="00672E06"/>
    <w:rsid w:val="00672E32"/>
    <w:rsid w:val="00672E8E"/>
    <w:rsid w:val="00672E9C"/>
    <w:rsid w:val="00672FB8"/>
    <w:rsid w:val="006730F4"/>
    <w:rsid w:val="006732CC"/>
    <w:rsid w:val="00673391"/>
    <w:rsid w:val="0067339B"/>
    <w:rsid w:val="0067339D"/>
    <w:rsid w:val="006735B9"/>
    <w:rsid w:val="006735C5"/>
    <w:rsid w:val="0067364A"/>
    <w:rsid w:val="00673694"/>
    <w:rsid w:val="0067379E"/>
    <w:rsid w:val="00673865"/>
    <w:rsid w:val="006738FC"/>
    <w:rsid w:val="00673958"/>
    <w:rsid w:val="00673A23"/>
    <w:rsid w:val="00673A50"/>
    <w:rsid w:val="00673CC7"/>
    <w:rsid w:val="00673DD3"/>
    <w:rsid w:val="00673E1C"/>
    <w:rsid w:val="00673E51"/>
    <w:rsid w:val="00673F11"/>
    <w:rsid w:val="00673F71"/>
    <w:rsid w:val="00674098"/>
    <w:rsid w:val="006740B6"/>
    <w:rsid w:val="006740EB"/>
    <w:rsid w:val="00674163"/>
    <w:rsid w:val="006741BD"/>
    <w:rsid w:val="006741C6"/>
    <w:rsid w:val="006741F8"/>
    <w:rsid w:val="006742C5"/>
    <w:rsid w:val="006742F0"/>
    <w:rsid w:val="00674376"/>
    <w:rsid w:val="006743C3"/>
    <w:rsid w:val="0067447B"/>
    <w:rsid w:val="006744F4"/>
    <w:rsid w:val="0067456E"/>
    <w:rsid w:val="006745E8"/>
    <w:rsid w:val="00674665"/>
    <w:rsid w:val="00674672"/>
    <w:rsid w:val="00674682"/>
    <w:rsid w:val="006746A3"/>
    <w:rsid w:val="0067470D"/>
    <w:rsid w:val="00674823"/>
    <w:rsid w:val="006748D5"/>
    <w:rsid w:val="006749DD"/>
    <w:rsid w:val="00674A51"/>
    <w:rsid w:val="00674BFB"/>
    <w:rsid w:val="00674C40"/>
    <w:rsid w:val="00674D7B"/>
    <w:rsid w:val="00674D7D"/>
    <w:rsid w:val="00674DF5"/>
    <w:rsid w:val="00674E07"/>
    <w:rsid w:val="00674E2B"/>
    <w:rsid w:val="00674E70"/>
    <w:rsid w:val="00674EDE"/>
    <w:rsid w:val="00674F3D"/>
    <w:rsid w:val="006751A3"/>
    <w:rsid w:val="006751BA"/>
    <w:rsid w:val="006751D5"/>
    <w:rsid w:val="00675243"/>
    <w:rsid w:val="0067527B"/>
    <w:rsid w:val="0067527D"/>
    <w:rsid w:val="006752FE"/>
    <w:rsid w:val="0067538C"/>
    <w:rsid w:val="00675468"/>
    <w:rsid w:val="006754F2"/>
    <w:rsid w:val="00675511"/>
    <w:rsid w:val="00675518"/>
    <w:rsid w:val="00675649"/>
    <w:rsid w:val="0067564B"/>
    <w:rsid w:val="00675703"/>
    <w:rsid w:val="00675725"/>
    <w:rsid w:val="00675770"/>
    <w:rsid w:val="0067588B"/>
    <w:rsid w:val="00675957"/>
    <w:rsid w:val="00675963"/>
    <w:rsid w:val="00675A00"/>
    <w:rsid w:val="00675A3A"/>
    <w:rsid w:val="00675A76"/>
    <w:rsid w:val="00675A93"/>
    <w:rsid w:val="00675AE5"/>
    <w:rsid w:val="00675AEF"/>
    <w:rsid w:val="00675B4E"/>
    <w:rsid w:val="00675B94"/>
    <w:rsid w:val="00675B96"/>
    <w:rsid w:val="00675BEA"/>
    <w:rsid w:val="00675C03"/>
    <w:rsid w:val="00675C36"/>
    <w:rsid w:val="00675D05"/>
    <w:rsid w:val="00675D2D"/>
    <w:rsid w:val="00675E55"/>
    <w:rsid w:val="00676039"/>
    <w:rsid w:val="006760A5"/>
    <w:rsid w:val="00676149"/>
    <w:rsid w:val="006761A7"/>
    <w:rsid w:val="00676257"/>
    <w:rsid w:val="0067627F"/>
    <w:rsid w:val="0067628C"/>
    <w:rsid w:val="006762F4"/>
    <w:rsid w:val="00676456"/>
    <w:rsid w:val="00676484"/>
    <w:rsid w:val="006764A5"/>
    <w:rsid w:val="006764F4"/>
    <w:rsid w:val="00676554"/>
    <w:rsid w:val="00676630"/>
    <w:rsid w:val="00676678"/>
    <w:rsid w:val="0067667A"/>
    <w:rsid w:val="0067671D"/>
    <w:rsid w:val="00676733"/>
    <w:rsid w:val="00676764"/>
    <w:rsid w:val="006767CD"/>
    <w:rsid w:val="0067686C"/>
    <w:rsid w:val="006768F7"/>
    <w:rsid w:val="00676941"/>
    <w:rsid w:val="00676955"/>
    <w:rsid w:val="00676B8E"/>
    <w:rsid w:val="00676C86"/>
    <w:rsid w:val="00676DBF"/>
    <w:rsid w:val="00676E73"/>
    <w:rsid w:val="00676EAC"/>
    <w:rsid w:val="00676EEB"/>
    <w:rsid w:val="00676F4D"/>
    <w:rsid w:val="00676FBB"/>
    <w:rsid w:val="00677094"/>
    <w:rsid w:val="006771C7"/>
    <w:rsid w:val="00677204"/>
    <w:rsid w:val="0067725D"/>
    <w:rsid w:val="00677290"/>
    <w:rsid w:val="0067733D"/>
    <w:rsid w:val="00677386"/>
    <w:rsid w:val="006774E5"/>
    <w:rsid w:val="006774F2"/>
    <w:rsid w:val="006774F7"/>
    <w:rsid w:val="0067756C"/>
    <w:rsid w:val="0067758E"/>
    <w:rsid w:val="0067762A"/>
    <w:rsid w:val="0067765E"/>
    <w:rsid w:val="006776FD"/>
    <w:rsid w:val="006777AD"/>
    <w:rsid w:val="006777C5"/>
    <w:rsid w:val="0067783B"/>
    <w:rsid w:val="0067786F"/>
    <w:rsid w:val="0067789C"/>
    <w:rsid w:val="006778F0"/>
    <w:rsid w:val="00677993"/>
    <w:rsid w:val="00677AFF"/>
    <w:rsid w:val="00677BE1"/>
    <w:rsid w:val="00677C21"/>
    <w:rsid w:val="00677C61"/>
    <w:rsid w:val="00677C7A"/>
    <w:rsid w:val="00677C88"/>
    <w:rsid w:val="00677CA1"/>
    <w:rsid w:val="00677CC1"/>
    <w:rsid w:val="00677D08"/>
    <w:rsid w:val="00677D49"/>
    <w:rsid w:val="00677D74"/>
    <w:rsid w:val="00677E19"/>
    <w:rsid w:val="00677ECF"/>
    <w:rsid w:val="00677F03"/>
    <w:rsid w:val="00677F68"/>
    <w:rsid w:val="00677FB3"/>
    <w:rsid w:val="00680015"/>
    <w:rsid w:val="00680045"/>
    <w:rsid w:val="006800BF"/>
    <w:rsid w:val="006801B4"/>
    <w:rsid w:val="00680219"/>
    <w:rsid w:val="00680271"/>
    <w:rsid w:val="00680298"/>
    <w:rsid w:val="006802A3"/>
    <w:rsid w:val="006802B5"/>
    <w:rsid w:val="006803BB"/>
    <w:rsid w:val="0068044E"/>
    <w:rsid w:val="00680521"/>
    <w:rsid w:val="0068054B"/>
    <w:rsid w:val="00680568"/>
    <w:rsid w:val="006805F3"/>
    <w:rsid w:val="0068074D"/>
    <w:rsid w:val="006807C6"/>
    <w:rsid w:val="006807CC"/>
    <w:rsid w:val="006807E4"/>
    <w:rsid w:val="0068080F"/>
    <w:rsid w:val="00680919"/>
    <w:rsid w:val="006809A0"/>
    <w:rsid w:val="00680A34"/>
    <w:rsid w:val="00680BAE"/>
    <w:rsid w:val="00680D2A"/>
    <w:rsid w:val="00680DDB"/>
    <w:rsid w:val="00680DFC"/>
    <w:rsid w:val="00680E2F"/>
    <w:rsid w:val="00680EEF"/>
    <w:rsid w:val="00680F9D"/>
    <w:rsid w:val="00680FBF"/>
    <w:rsid w:val="006810FB"/>
    <w:rsid w:val="00681125"/>
    <w:rsid w:val="00681148"/>
    <w:rsid w:val="006811DF"/>
    <w:rsid w:val="00681210"/>
    <w:rsid w:val="00681237"/>
    <w:rsid w:val="00681247"/>
    <w:rsid w:val="00681297"/>
    <w:rsid w:val="006812A9"/>
    <w:rsid w:val="00681393"/>
    <w:rsid w:val="006814A6"/>
    <w:rsid w:val="006814CF"/>
    <w:rsid w:val="006814F1"/>
    <w:rsid w:val="00681511"/>
    <w:rsid w:val="00681537"/>
    <w:rsid w:val="00681545"/>
    <w:rsid w:val="006815D9"/>
    <w:rsid w:val="00681775"/>
    <w:rsid w:val="006817BA"/>
    <w:rsid w:val="00681817"/>
    <w:rsid w:val="00681819"/>
    <w:rsid w:val="006818E9"/>
    <w:rsid w:val="0068190F"/>
    <w:rsid w:val="00681916"/>
    <w:rsid w:val="006819B7"/>
    <w:rsid w:val="00681A12"/>
    <w:rsid w:val="00681AA6"/>
    <w:rsid w:val="00681B43"/>
    <w:rsid w:val="00681BE7"/>
    <w:rsid w:val="00681C51"/>
    <w:rsid w:val="00681C7E"/>
    <w:rsid w:val="00681CF2"/>
    <w:rsid w:val="00681DBD"/>
    <w:rsid w:val="00681E07"/>
    <w:rsid w:val="00681E47"/>
    <w:rsid w:val="00681EBE"/>
    <w:rsid w:val="00681ED0"/>
    <w:rsid w:val="00681FDF"/>
    <w:rsid w:val="00681FEB"/>
    <w:rsid w:val="00682000"/>
    <w:rsid w:val="00682014"/>
    <w:rsid w:val="00682074"/>
    <w:rsid w:val="00682091"/>
    <w:rsid w:val="00682197"/>
    <w:rsid w:val="006821E8"/>
    <w:rsid w:val="00682226"/>
    <w:rsid w:val="00682235"/>
    <w:rsid w:val="0068224F"/>
    <w:rsid w:val="006822A1"/>
    <w:rsid w:val="0068238E"/>
    <w:rsid w:val="00682512"/>
    <w:rsid w:val="006825B8"/>
    <w:rsid w:val="006825D2"/>
    <w:rsid w:val="00682617"/>
    <w:rsid w:val="00682635"/>
    <w:rsid w:val="00682656"/>
    <w:rsid w:val="006826A1"/>
    <w:rsid w:val="006826AE"/>
    <w:rsid w:val="006826E8"/>
    <w:rsid w:val="00682703"/>
    <w:rsid w:val="0068279D"/>
    <w:rsid w:val="006827AB"/>
    <w:rsid w:val="006827AE"/>
    <w:rsid w:val="00682902"/>
    <w:rsid w:val="00682913"/>
    <w:rsid w:val="00682953"/>
    <w:rsid w:val="00682962"/>
    <w:rsid w:val="00682B2D"/>
    <w:rsid w:val="00682B6D"/>
    <w:rsid w:val="00682B7A"/>
    <w:rsid w:val="00682BA7"/>
    <w:rsid w:val="00682CC7"/>
    <w:rsid w:val="00682CEB"/>
    <w:rsid w:val="00682CFC"/>
    <w:rsid w:val="00682D5F"/>
    <w:rsid w:val="00682E4B"/>
    <w:rsid w:val="00682F15"/>
    <w:rsid w:val="00682F39"/>
    <w:rsid w:val="00682F7C"/>
    <w:rsid w:val="00682FAC"/>
    <w:rsid w:val="00682FBF"/>
    <w:rsid w:val="0068301C"/>
    <w:rsid w:val="0068304E"/>
    <w:rsid w:val="00683079"/>
    <w:rsid w:val="0068311F"/>
    <w:rsid w:val="006832CF"/>
    <w:rsid w:val="006832EC"/>
    <w:rsid w:val="0068331A"/>
    <w:rsid w:val="0068336C"/>
    <w:rsid w:val="006833E6"/>
    <w:rsid w:val="00683428"/>
    <w:rsid w:val="006834BA"/>
    <w:rsid w:val="0068351F"/>
    <w:rsid w:val="0068355E"/>
    <w:rsid w:val="0068358C"/>
    <w:rsid w:val="006835AA"/>
    <w:rsid w:val="00683602"/>
    <w:rsid w:val="006836FA"/>
    <w:rsid w:val="006837A0"/>
    <w:rsid w:val="006837FB"/>
    <w:rsid w:val="00683875"/>
    <w:rsid w:val="0068388A"/>
    <w:rsid w:val="00683987"/>
    <w:rsid w:val="006839B1"/>
    <w:rsid w:val="006839EE"/>
    <w:rsid w:val="00683A0C"/>
    <w:rsid w:val="00683B52"/>
    <w:rsid w:val="00683BF3"/>
    <w:rsid w:val="00683C33"/>
    <w:rsid w:val="00683C4F"/>
    <w:rsid w:val="00683C78"/>
    <w:rsid w:val="00683CB5"/>
    <w:rsid w:val="00683D8F"/>
    <w:rsid w:val="00683DDF"/>
    <w:rsid w:val="00683E3E"/>
    <w:rsid w:val="00683E93"/>
    <w:rsid w:val="00683ECA"/>
    <w:rsid w:val="00683F39"/>
    <w:rsid w:val="00683F96"/>
    <w:rsid w:val="00683FA2"/>
    <w:rsid w:val="00684078"/>
    <w:rsid w:val="00684079"/>
    <w:rsid w:val="0068411C"/>
    <w:rsid w:val="006841A6"/>
    <w:rsid w:val="00684348"/>
    <w:rsid w:val="006843E1"/>
    <w:rsid w:val="0068447E"/>
    <w:rsid w:val="006844B6"/>
    <w:rsid w:val="006845A5"/>
    <w:rsid w:val="00684693"/>
    <w:rsid w:val="00684710"/>
    <w:rsid w:val="00684755"/>
    <w:rsid w:val="006847FF"/>
    <w:rsid w:val="00684887"/>
    <w:rsid w:val="00684913"/>
    <w:rsid w:val="006849E5"/>
    <w:rsid w:val="00684A1E"/>
    <w:rsid w:val="00684A57"/>
    <w:rsid w:val="00684A95"/>
    <w:rsid w:val="00684A97"/>
    <w:rsid w:val="00684BC5"/>
    <w:rsid w:val="00684C98"/>
    <w:rsid w:val="00684CB9"/>
    <w:rsid w:val="00684D9B"/>
    <w:rsid w:val="00684EB7"/>
    <w:rsid w:val="00684EF8"/>
    <w:rsid w:val="00684F3B"/>
    <w:rsid w:val="00684FB8"/>
    <w:rsid w:val="00684FE8"/>
    <w:rsid w:val="00685094"/>
    <w:rsid w:val="00685095"/>
    <w:rsid w:val="00685139"/>
    <w:rsid w:val="0068523F"/>
    <w:rsid w:val="00685256"/>
    <w:rsid w:val="006852C3"/>
    <w:rsid w:val="00685387"/>
    <w:rsid w:val="00685391"/>
    <w:rsid w:val="00685451"/>
    <w:rsid w:val="00685480"/>
    <w:rsid w:val="006854AD"/>
    <w:rsid w:val="006854AE"/>
    <w:rsid w:val="0068552A"/>
    <w:rsid w:val="00685534"/>
    <w:rsid w:val="0068555B"/>
    <w:rsid w:val="006855FC"/>
    <w:rsid w:val="0068562F"/>
    <w:rsid w:val="00685657"/>
    <w:rsid w:val="006856B5"/>
    <w:rsid w:val="00685731"/>
    <w:rsid w:val="0068577C"/>
    <w:rsid w:val="006857BC"/>
    <w:rsid w:val="00685801"/>
    <w:rsid w:val="0068580F"/>
    <w:rsid w:val="00685838"/>
    <w:rsid w:val="00685A45"/>
    <w:rsid w:val="00685A67"/>
    <w:rsid w:val="00685A70"/>
    <w:rsid w:val="00685B66"/>
    <w:rsid w:val="00685B7D"/>
    <w:rsid w:val="00685BA4"/>
    <w:rsid w:val="00685BA5"/>
    <w:rsid w:val="00685C2A"/>
    <w:rsid w:val="00685C8C"/>
    <w:rsid w:val="00685CC2"/>
    <w:rsid w:val="00685D21"/>
    <w:rsid w:val="00685D42"/>
    <w:rsid w:val="00685E3E"/>
    <w:rsid w:val="00685E80"/>
    <w:rsid w:val="00685E96"/>
    <w:rsid w:val="00685F77"/>
    <w:rsid w:val="00685FA8"/>
    <w:rsid w:val="00685FCD"/>
    <w:rsid w:val="0068606F"/>
    <w:rsid w:val="0068608F"/>
    <w:rsid w:val="006860B6"/>
    <w:rsid w:val="006860D8"/>
    <w:rsid w:val="006860EC"/>
    <w:rsid w:val="00686109"/>
    <w:rsid w:val="006861C6"/>
    <w:rsid w:val="006861FB"/>
    <w:rsid w:val="0068624E"/>
    <w:rsid w:val="00686277"/>
    <w:rsid w:val="00686336"/>
    <w:rsid w:val="00686388"/>
    <w:rsid w:val="006863DA"/>
    <w:rsid w:val="00686456"/>
    <w:rsid w:val="00686558"/>
    <w:rsid w:val="006865D7"/>
    <w:rsid w:val="006865F5"/>
    <w:rsid w:val="0068683E"/>
    <w:rsid w:val="00686856"/>
    <w:rsid w:val="0068686A"/>
    <w:rsid w:val="00686917"/>
    <w:rsid w:val="00686945"/>
    <w:rsid w:val="00686A18"/>
    <w:rsid w:val="00686A5A"/>
    <w:rsid w:val="00686A92"/>
    <w:rsid w:val="00686AAF"/>
    <w:rsid w:val="00686BE4"/>
    <w:rsid w:val="00686C15"/>
    <w:rsid w:val="00686C98"/>
    <w:rsid w:val="00686CFD"/>
    <w:rsid w:val="00686D76"/>
    <w:rsid w:val="00686E02"/>
    <w:rsid w:val="00686E44"/>
    <w:rsid w:val="00686E47"/>
    <w:rsid w:val="00686E59"/>
    <w:rsid w:val="00686E95"/>
    <w:rsid w:val="00686E99"/>
    <w:rsid w:val="00686EB9"/>
    <w:rsid w:val="00686EC5"/>
    <w:rsid w:val="00686EF9"/>
    <w:rsid w:val="00686F5C"/>
    <w:rsid w:val="00686FCE"/>
    <w:rsid w:val="00686FF9"/>
    <w:rsid w:val="00687125"/>
    <w:rsid w:val="0068713D"/>
    <w:rsid w:val="00687156"/>
    <w:rsid w:val="00687194"/>
    <w:rsid w:val="0068728C"/>
    <w:rsid w:val="006872C8"/>
    <w:rsid w:val="006872E6"/>
    <w:rsid w:val="006872FF"/>
    <w:rsid w:val="0068732B"/>
    <w:rsid w:val="0068738B"/>
    <w:rsid w:val="006873D8"/>
    <w:rsid w:val="00687505"/>
    <w:rsid w:val="006875F1"/>
    <w:rsid w:val="0068771F"/>
    <w:rsid w:val="00687729"/>
    <w:rsid w:val="00687809"/>
    <w:rsid w:val="00687838"/>
    <w:rsid w:val="00687870"/>
    <w:rsid w:val="00687944"/>
    <w:rsid w:val="00687981"/>
    <w:rsid w:val="006879A1"/>
    <w:rsid w:val="00687A01"/>
    <w:rsid w:val="00687AA8"/>
    <w:rsid w:val="00687BA4"/>
    <w:rsid w:val="00687BAB"/>
    <w:rsid w:val="00687BC2"/>
    <w:rsid w:val="00687C76"/>
    <w:rsid w:val="00687D23"/>
    <w:rsid w:val="00687D65"/>
    <w:rsid w:val="00687D97"/>
    <w:rsid w:val="00687E63"/>
    <w:rsid w:val="00687EAC"/>
    <w:rsid w:val="00687EDE"/>
    <w:rsid w:val="00687F62"/>
    <w:rsid w:val="00687F7F"/>
    <w:rsid w:val="00687FA3"/>
    <w:rsid w:val="00690112"/>
    <w:rsid w:val="00690159"/>
    <w:rsid w:val="00690184"/>
    <w:rsid w:val="006901E1"/>
    <w:rsid w:val="0069023D"/>
    <w:rsid w:val="006902BA"/>
    <w:rsid w:val="006902F8"/>
    <w:rsid w:val="0069034D"/>
    <w:rsid w:val="0069043D"/>
    <w:rsid w:val="0069047E"/>
    <w:rsid w:val="00690658"/>
    <w:rsid w:val="0069069D"/>
    <w:rsid w:val="0069069E"/>
    <w:rsid w:val="006906FE"/>
    <w:rsid w:val="006907FE"/>
    <w:rsid w:val="0069088D"/>
    <w:rsid w:val="00690948"/>
    <w:rsid w:val="006909CC"/>
    <w:rsid w:val="00690ADE"/>
    <w:rsid w:val="00690C5D"/>
    <w:rsid w:val="00690D0A"/>
    <w:rsid w:val="00690D5B"/>
    <w:rsid w:val="00690D98"/>
    <w:rsid w:val="00690DFE"/>
    <w:rsid w:val="00690E26"/>
    <w:rsid w:val="00690EB5"/>
    <w:rsid w:val="00690EC4"/>
    <w:rsid w:val="00690F23"/>
    <w:rsid w:val="00690FB3"/>
    <w:rsid w:val="00690FD8"/>
    <w:rsid w:val="00691090"/>
    <w:rsid w:val="00691123"/>
    <w:rsid w:val="0069114B"/>
    <w:rsid w:val="006911BE"/>
    <w:rsid w:val="006911D0"/>
    <w:rsid w:val="00691222"/>
    <w:rsid w:val="006912CB"/>
    <w:rsid w:val="00691352"/>
    <w:rsid w:val="0069137E"/>
    <w:rsid w:val="006913CD"/>
    <w:rsid w:val="006913D5"/>
    <w:rsid w:val="00691412"/>
    <w:rsid w:val="00691414"/>
    <w:rsid w:val="00691579"/>
    <w:rsid w:val="006916AD"/>
    <w:rsid w:val="006916EB"/>
    <w:rsid w:val="0069178B"/>
    <w:rsid w:val="006917BD"/>
    <w:rsid w:val="00691844"/>
    <w:rsid w:val="0069187B"/>
    <w:rsid w:val="0069189D"/>
    <w:rsid w:val="00691910"/>
    <w:rsid w:val="00691A25"/>
    <w:rsid w:val="00691A29"/>
    <w:rsid w:val="00691A89"/>
    <w:rsid w:val="00691B6C"/>
    <w:rsid w:val="00691C72"/>
    <w:rsid w:val="00691D04"/>
    <w:rsid w:val="00691D10"/>
    <w:rsid w:val="00691D28"/>
    <w:rsid w:val="00691D94"/>
    <w:rsid w:val="00691E11"/>
    <w:rsid w:val="00691EDC"/>
    <w:rsid w:val="00691F28"/>
    <w:rsid w:val="00691F2C"/>
    <w:rsid w:val="00691F81"/>
    <w:rsid w:val="0069200A"/>
    <w:rsid w:val="00692025"/>
    <w:rsid w:val="00692029"/>
    <w:rsid w:val="006920A4"/>
    <w:rsid w:val="006920E7"/>
    <w:rsid w:val="00692103"/>
    <w:rsid w:val="0069212F"/>
    <w:rsid w:val="00692165"/>
    <w:rsid w:val="0069227B"/>
    <w:rsid w:val="006922D6"/>
    <w:rsid w:val="006922FE"/>
    <w:rsid w:val="0069232C"/>
    <w:rsid w:val="00692467"/>
    <w:rsid w:val="0069247D"/>
    <w:rsid w:val="00692520"/>
    <w:rsid w:val="00692529"/>
    <w:rsid w:val="0069252A"/>
    <w:rsid w:val="006926FD"/>
    <w:rsid w:val="0069275A"/>
    <w:rsid w:val="00692771"/>
    <w:rsid w:val="006927A2"/>
    <w:rsid w:val="00692829"/>
    <w:rsid w:val="00692880"/>
    <w:rsid w:val="0069297C"/>
    <w:rsid w:val="006929D9"/>
    <w:rsid w:val="00692A5F"/>
    <w:rsid w:val="00692ABF"/>
    <w:rsid w:val="00692B12"/>
    <w:rsid w:val="00692BAE"/>
    <w:rsid w:val="00692BDC"/>
    <w:rsid w:val="00692CAC"/>
    <w:rsid w:val="00692CF9"/>
    <w:rsid w:val="00692CFC"/>
    <w:rsid w:val="00692D01"/>
    <w:rsid w:val="00692D25"/>
    <w:rsid w:val="00692D26"/>
    <w:rsid w:val="00692E2C"/>
    <w:rsid w:val="00692E68"/>
    <w:rsid w:val="00692EA7"/>
    <w:rsid w:val="00692F18"/>
    <w:rsid w:val="00692F1C"/>
    <w:rsid w:val="00692F96"/>
    <w:rsid w:val="006930AD"/>
    <w:rsid w:val="006930B9"/>
    <w:rsid w:val="0069312C"/>
    <w:rsid w:val="00693161"/>
    <w:rsid w:val="006931E7"/>
    <w:rsid w:val="006931FD"/>
    <w:rsid w:val="0069328F"/>
    <w:rsid w:val="00693292"/>
    <w:rsid w:val="00693328"/>
    <w:rsid w:val="006933F1"/>
    <w:rsid w:val="006934D1"/>
    <w:rsid w:val="00693504"/>
    <w:rsid w:val="006935F0"/>
    <w:rsid w:val="00693762"/>
    <w:rsid w:val="006937A7"/>
    <w:rsid w:val="006938CD"/>
    <w:rsid w:val="006938D7"/>
    <w:rsid w:val="00693915"/>
    <w:rsid w:val="006939BD"/>
    <w:rsid w:val="006939ED"/>
    <w:rsid w:val="00693A2D"/>
    <w:rsid w:val="00693A63"/>
    <w:rsid w:val="00693B47"/>
    <w:rsid w:val="00693B80"/>
    <w:rsid w:val="00693BC6"/>
    <w:rsid w:val="00693C24"/>
    <w:rsid w:val="00693C3A"/>
    <w:rsid w:val="00693C3D"/>
    <w:rsid w:val="00693C78"/>
    <w:rsid w:val="00693CAC"/>
    <w:rsid w:val="00693CDC"/>
    <w:rsid w:val="00693CDE"/>
    <w:rsid w:val="00693D02"/>
    <w:rsid w:val="00693D84"/>
    <w:rsid w:val="00693E37"/>
    <w:rsid w:val="00693E91"/>
    <w:rsid w:val="00693F82"/>
    <w:rsid w:val="00693FE9"/>
    <w:rsid w:val="006940D4"/>
    <w:rsid w:val="00694109"/>
    <w:rsid w:val="0069415B"/>
    <w:rsid w:val="00694189"/>
    <w:rsid w:val="00694284"/>
    <w:rsid w:val="006943A8"/>
    <w:rsid w:val="00694419"/>
    <w:rsid w:val="00694477"/>
    <w:rsid w:val="006944AE"/>
    <w:rsid w:val="006944F9"/>
    <w:rsid w:val="00694673"/>
    <w:rsid w:val="006946A8"/>
    <w:rsid w:val="006946D8"/>
    <w:rsid w:val="006946EC"/>
    <w:rsid w:val="006947BE"/>
    <w:rsid w:val="006947BF"/>
    <w:rsid w:val="006947E5"/>
    <w:rsid w:val="00694881"/>
    <w:rsid w:val="006948F4"/>
    <w:rsid w:val="00694934"/>
    <w:rsid w:val="00694960"/>
    <w:rsid w:val="00694995"/>
    <w:rsid w:val="006949C4"/>
    <w:rsid w:val="00694BD9"/>
    <w:rsid w:val="00694C36"/>
    <w:rsid w:val="00694C82"/>
    <w:rsid w:val="00694CFC"/>
    <w:rsid w:val="00694D60"/>
    <w:rsid w:val="00694D9B"/>
    <w:rsid w:val="00694E18"/>
    <w:rsid w:val="00694ED9"/>
    <w:rsid w:val="00694F1C"/>
    <w:rsid w:val="00694F46"/>
    <w:rsid w:val="00694F8E"/>
    <w:rsid w:val="00694F9E"/>
    <w:rsid w:val="00694FAC"/>
    <w:rsid w:val="006950AF"/>
    <w:rsid w:val="0069512F"/>
    <w:rsid w:val="0069514F"/>
    <w:rsid w:val="0069518B"/>
    <w:rsid w:val="006951B1"/>
    <w:rsid w:val="006951BB"/>
    <w:rsid w:val="00695212"/>
    <w:rsid w:val="00695239"/>
    <w:rsid w:val="006952BC"/>
    <w:rsid w:val="00695302"/>
    <w:rsid w:val="00695358"/>
    <w:rsid w:val="00695396"/>
    <w:rsid w:val="00695446"/>
    <w:rsid w:val="00695472"/>
    <w:rsid w:val="0069549A"/>
    <w:rsid w:val="006954D4"/>
    <w:rsid w:val="006954E2"/>
    <w:rsid w:val="00695525"/>
    <w:rsid w:val="00695597"/>
    <w:rsid w:val="0069566C"/>
    <w:rsid w:val="00695694"/>
    <w:rsid w:val="00695769"/>
    <w:rsid w:val="006957DA"/>
    <w:rsid w:val="006957E2"/>
    <w:rsid w:val="00695913"/>
    <w:rsid w:val="006959A4"/>
    <w:rsid w:val="006959C1"/>
    <w:rsid w:val="00695A1E"/>
    <w:rsid w:val="00695A6E"/>
    <w:rsid w:val="00695B3A"/>
    <w:rsid w:val="00695C9A"/>
    <w:rsid w:val="00695DFB"/>
    <w:rsid w:val="00695E80"/>
    <w:rsid w:val="00695EA2"/>
    <w:rsid w:val="00695ECF"/>
    <w:rsid w:val="00695EDE"/>
    <w:rsid w:val="00695EE2"/>
    <w:rsid w:val="00695F84"/>
    <w:rsid w:val="00696026"/>
    <w:rsid w:val="00696032"/>
    <w:rsid w:val="00696074"/>
    <w:rsid w:val="006960E4"/>
    <w:rsid w:val="006960ED"/>
    <w:rsid w:val="00696173"/>
    <w:rsid w:val="006961A1"/>
    <w:rsid w:val="006961D5"/>
    <w:rsid w:val="006962CE"/>
    <w:rsid w:val="006962D0"/>
    <w:rsid w:val="00696343"/>
    <w:rsid w:val="006963AB"/>
    <w:rsid w:val="006963C1"/>
    <w:rsid w:val="006963F4"/>
    <w:rsid w:val="0069641F"/>
    <w:rsid w:val="00696577"/>
    <w:rsid w:val="006965B9"/>
    <w:rsid w:val="006966C9"/>
    <w:rsid w:val="0069672B"/>
    <w:rsid w:val="00696779"/>
    <w:rsid w:val="0069685C"/>
    <w:rsid w:val="0069695A"/>
    <w:rsid w:val="00696D04"/>
    <w:rsid w:val="00696E6D"/>
    <w:rsid w:val="00696F4E"/>
    <w:rsid w:val="00696FCD"/>
    <w:rsid w:val="00697069"/>
    <w:rsid w:val="006970C0"/>
    <w:rsid w:val="0069712B"/>
    <w:rsid w:val="00697173"/>
    <w:rsid w:val="0069719E"/>
    <w:rsid w:val="0069721D"/>
    <w:rsid w:val="00697303"/>
    <w:rsid w:val="00697373"/>
    <w:rsid w:val="006973C4"/>
    <w:rsid w:val="006973C8"/>
    <w:rsid w:val="00697405"/>
    <w:rsid w:val="006974B8"/>
    <w:rsid w:val="006974E3"/>
    <w:rsid w:val="00697536"/>
    <w:rsid w:val="00697609"/>
    <w:rsid w:val="0069766D"/>
    <w:rsid w:val="006976C3"/>
    <w:rsid w:val="006977F2"/>
    <w:rsid w:val="006978BE"/>
    <w:rsid w:val="006978FB"/>
    <w:rsid w:val="00697951"/>
    <w:rsid w:val="0069796F"/>
    <w:rsid w:val="00697A7E"/>
    <w:rsid w:val="00697A89"/>
    <w:rsid w:val="00697AE8"/>
    <w:rsid w:val="00697B53"/>
    <w:rsid w:val="00697B66"/>
    <w:rsid w:val="00697C3A"/>
    <w:rsid w:val="00697C49"/>
    <w:rsid w:val="00697CEC"/>
    <w:rsid w:val="00697D78"/>
    <w:rsid w:val="00697D7D"/>
    <w:rsid w:val="00697D87"/>
    <w:rsid w:val="00697EC5"/>
    <w:rsid w:val="00697F92"/>
    <w:rsid w:val="006A00CE"/>
    <w:rsid w:val="006A0124"/>
    <w:rsid w:val="006A014C"/>
    <w:rsid w:val="006A0189"/>
    <w:rsid w:val="006A01BF"/>
    <w:rsid w:val="006A0201"/>
    <w:rsid w:val="006A0271"/>
    <w:rsid w:val="006A02AD"/>
    <w:rsid w:val="006A0302"/>
    <w:rsid w:val="006A037F"/>
    <w:rsid w:val="006A03A6"/>
    <w:rsid w:val="006A03D2"/>
    <w:rsid w:val="006A03DF"/>
    <w:rsid w:val="006A0495"/>
    <w:rsid w:val="006A052E"/>
    <w:rsid w:val="006A0568"/>
    <w:rsid w:val="006A05C6"/>
    <w:rsid w:val="006A05EC"/>
    <w:rsid w:val="006A0833"/>
    <w:rsid w:val="006A0890"/>
    <w:rsid w:val="006A08CD"/>
    <w:rsid w:val="006A08D0"/>
    <w:rsid w:val="006A08E5"/>
    <w:rsid w:val="006A0901"/>
    <w:rsid w:val="006A0921"/>
    <w:rsid w:val="006A097B"/>
    <w:rsid w:val="006A09F6"/>
    <w:rsid w:val="006A0AAE"/>
    <w:rsid w:val="006A0B39"/>
    <w:rsid w:val="006A0BD7"/>
    <w:rsid w:val="006A0BFC"/>
    <w:rsid w:val="006A0CBD"/>
    <w:rsid w:val="006A0CEF"/>
    <w:rsid w:val="006A0CF7"/>
    <w:rsid w:val="006A0D27"/>
    <w:rsid w:val="006A0D44"/>
    <w:rsid w:val="006A0D4C"/>
    <w:rsid w:val="006A0D4E"/>
    <w:rsid w:val="006A0DD1"/>
    <w:rsid w:val="006A0E0A"/>
    <w:rsid w:val="006A0E9D"/>
    <w:rsid w:val="006A0EC6"/>
    <w:rsid w:val="006A0F9E"/>
    <w:rsid w:val="006A0FA9"/>
    <w:rsid w:val="006A0FB1"/>
    <w:rsid w:val="006A1013"/>
    <w:rsid w:val="006A1022"/>
    <w:rsid w:val="006A1141"/>
    <w:rsid w:val="006A1191"/>
    <w:rsid w:val="006A11B5"/>
    <w:rsid w:val="006A11C2"/>
    <w:rsid w:val="006A13FB"/>
    <w:rsid w:val="006A148C"/>
    <w:rsid w:val="006A14B2"/>
    <w:rsid w:val="006A14D2"/>
    <w:rsid w:val="006A151E"/>
    <w:rsid w:val="006A1585"/>
    <w:rsid w:val="006A15BC"/>
    <w:rsid w:val="006A1605"/>
    <w:rsid w:val="006A1652"/>
    <w:rsid w:val="006A1781"/>
    <w:rsid w:val="006A1784"/>
    <w:rsid w:val="006A17F4"/>
    <w:rsid w:val="006A1837"/>
    <w:rsid w:val="006A18C3"/>
    <w:rsid w:val="006A190E"/>
    <w:rsid w:val="006A191B"/>
    <w:rsid w:val="006A1926"/>
    <w:rsid w:val="006A1A9D"/>
    <w:rsid w:val="006A1B06"/>
    <w:rsid w:val="006A1B0E"/>
    <w:rsid w:val="006A1B16"/>
    <w:rsid w:val="006A1B1E"/>
    <w:rsid w:val="006A1BEA"/>
    <w:rsid w:val="006A1C73"/>
    <w:rsid w:val="006A1CB1"/>
    <w:rsid w:val="006A1CFF"/>
    <w:rsid w:val="006A1D10"/>
    <w:rsid w:val="006A1D52"/>
    <w:rsid w:val="006A1D6B"/>
    <w:rsid w:val="006A1D7C"/>
    <w:rsid w:val="006A1E91"/>
    <w:rsid w:val="006A1E9B"/>
    <w:rsid w:val="006A1F10"/>
    <w:rsid w:val="006A1F37"/>
    <w:rsid w:val="006A1F98"/>
    <w:rsid w:val="006A1FEA"/>
    <w:rsid w:val="006A209B"/>
    <w:rsid w:val="006A20F9"/>
    <w:rsid w:val="006A21DA"/>
    <w:rsid w:val="006A2265"/>
    <w:rsid w:val="006A2281"/>
    <w:rsid w:val="006A2294"/>
    <w:rsid w:val="006A22CE"/>
    <w:rsid w:val="006A238A"/>
    <w:rsid w:val="006A240A"/>
    <w:rsid w:val="006A242C"/>
    <w:rsid w:val="006A2484"/>
    <w:rsid w:val="006A260B"/>
    <w:rsid w:val="006A2613"/>
    <w:rsid w:val="006A274A"/>
    <w:rsid w:val="006A29C7"/>
    <w:rsid w:val="006A29D3"/>
    <w:rsid w:val="006A29E5"/>
    <w:rsid w:val="006A29EE"/>
    <w:rsid w:val="006A2A59"/>
    <w:rsid w:val="006A2ACE"/>
    <w:rsid w:val="006A2AEC"/>
    <w:rsid w:val="006A2B27"/>
    <w:rsid w:val="006A2B2D"/>
    <w:rsid w:val="006A2B61"/>
    <w:rsid w:val="006A2B7B"/>
    <w:rsid w:val="006A2B82"/>
    <w:rsid w:val="006A2BC2"/>
    <w:rsid w:val="006A2BD7"/>
    <w:rsid w:val="006A2D09"/>
    <w:rsid w:val="006A2D35"/>
    <w:rsid w:val="006A2D3C"/>
    <w:rsid w:val="006A2E29"/>
    <w:rsid w:val="006A2E83"/>
    <w:rsid w:val="006A2EC0"/>
    <w:rsid w:val="006A2EE4"/>
    <w:rsid w:val="006A3020"/>
    <w:rsid w:val="006A3084"/>
    <w:rsid w:val="006A30C2"/>
    <w:rsid w:val="006A3180"/>
    <w:rsid w:val="006A3186"/>
    <w:rsid w:val="006A31C9"/>
    <w:rsid w:val="006A32EF"/>
    <w:rsid w:val="006A3302"/>
    <w:rsid w:val="006A3318"/>
    <w:rsid w:val="006A331B"/>
    <w:rsid w:val="006A3366"/>
    <w:rsid w:val="006A33C8"/>
    <w:rsid w:val="006A3453"/>
    <w:rsid w:val="006A34C7"/>
    <w:rsid w:val="006A34F1"/>
    <w:rsid w:val="006A3533"/>
    <w:rsid w:val="006A353E"/>
    <w:rsid w:val="006A35C5"/>
    <w:rsid w:val="006A35F2"/>
    <w:rsid w:val="006A3636"/>
    <w:rsid w:val="006A374A"/>
    <w:rsid w:val="006A3819"/>
    <w:rsid w:val="006A391F"/>
    <w:rsid w:val="006A39E4"/>
    <w:rsid w:val="006A3A5C"/>
    <w:rsid w:val="006A3A65"/>
    <w:rsid w:val="006A3A9A"/>
    <w:rsid w:val="006A3B09"/>
    <w:rsid w:val="006A3BF2"/>
    <w:rsid w:val="006A3C2A"/>
    <w:rsid w:val="006A3D35"/>
    <w:rsid w:val="006A3E03"/>
    <w:rsid w:val="006A3F93"/>
    <w:rsid w:val="006A3FA0"/>
    <w:rsid w:val="006A3FCB"/>
    <w:rsid w:val="006A401A"/>
    <w:rsid w:val="006A4090"/>
    <w:rsid w:val="006A409F"/>
    <w:rsid w:val="006A4258"/>
    <w:rsid w:val="006A4265"/>
    <w:rsid w:val="006A42F0"/>
    <w:rsid w:val="006A43D4"/>
    <w:rsid w:val="006A43D7"/>
    <w:rsid w:val="006A43E3"/>
    <w:rsid w:val="006A4417"/>
    <w:rsid w:val="006A44B2"/>
    <w:rsid w:val="006A45BA"/>
    <w:rsid w:val="006A45E0"/>
    <w:rsid w:val="006A46B7"/>
    <w:rsid w:val="006A4706"/>
    <w:rsid w:val="006A472E"/>
    <w:rsid w:val="006A4768"/>
    <w:rsid w:val="006A47EC"/>
    <w:rsid w:val="006A485E"/>
    <w:rsid w:val="006A48A4"/>
    <w:rsid w:val="006A48F9"/>
    <w:rsid w:val="006A491B"/>
    <w:rsid w:val="006A492B"/>
    <w:rsid w:val="006A4934"/>
    <w:rsid w:val="006A497C"/>
    <w:rsid w:val="006A49F1"/>
    <w:rsid w:val="006A4A2B"/>
    <w:rsid w:val="006A4AFB"/>
    <w:rsid w:val="006A4B1D"/>
    <w:rsid w:val="006A4B24"/>
    <w:rsid w:val="006A4BA3"/>
    <w:rsid w:val="006A4BF7"/>
    <w:rsid w:val="006A4C42"/>
    <w:rsid w:val="006A4C90"/>
    <w:rsid w:val="006A4D51"/>
    <w:rsid w:val="006A4DCA"/>
    <w:rsid w:val="006A4E4E"/>
    <w:rsid w:val="006A4EBB"/>
    <w:rsid w:val="006A4FA3"/>
    <w:rsid w:val="006A4FC9"/>
    <w:rsid w:val="006A501D"/>
    <w:rsid w:val="006A504E"/>
    <w:rsid w:val="006A5094"/>
    <w:rsid w:val="006A50DF"/>
    <w:rsid w:val="006A51BA"/>
    <w:rsid w:val="006A523A"/>
    <w:rsid w:val="006A525D"/>
    <w:rsid w:val="006A53BD"/>
    <w:rsid w:val="006A5401"/>
    <w:rsid w:val="006A5431"/>
    <w:rsid w:val="006A54AB"/>
    <w:rsid w:val="006A54FC"/>
    <w:rsid w:val="006A55AD"/>
    <w:rsid w:val="006A55F2"/>
    <w:rsid w:val="006A55FB"/>
    <w:rsid w:val="006A5739"/>
    <w:rsid w:val="006A575C"/>
    <w:rsid w:val="006A57A6"/>
    <w:rsid w:val="006A583A"/>
    <w:rsid w:val="006A58C4"/>
    <w:rsid w:val="006A58C7"/>
    <w:rsid w:val="006A591E"/>
    <w:rsid w:val="006A59E5"/>
    <w:rsid w:val="006A5A8E"/>
    <w:rsid w:val="006A5B1A"/>
    <w:rsid w:val="006A5B50"/>
    <w:rsid w:val="006A5B63"/>
    <w:rsid w:val="006A5CC0"/>
    <w:rsid w:val="006A5CC3"/>
    <w:rsid w:val="006A5CE4"/>
    <w:rsid w:val="006A5D2C"/>
    <w:rsid w:val="006A5D3B"/>
    <w:rsid w:val="006A5D81"/>
    <w:rsid w:val="006A5DD2"/>
    <w:rsid w:val="006A5E4A"/>
    <w:rsid w:val="006A5E5E"/>
    <w:rsid w:val="006A5E7D"/>
    <w:rsid w:val="006A5F69"/>
    <w:rsid w:val="006A5FA0"/>
    <w:rsid w:val="006A5FF3"/>
    <w:rsid w:val="006A606B"/>
    <w:rsid w:val="006A61AD"/>
    <w:rsid w:val="006A61FF"/>
    <w:rsid w:val="006A622B"/>
    <w:rsid w:val="006A62C4"/>
    <w:rsid w:val="006A62D6"/>
    <w:rsid w:val="006A6310"/>
    <w:rsid w:val="006A65B7"/>
    <w:rsid w:val="006A65FB"/>
    <w:rsid w:val="006A667A"/>
    <w:rsid w:val="006A6833"/>
    <w:rsid w:val="006A6894"/>
    <w:rsid w:val="006A68EA"/>
    <w:rsid w:val="006A69A2"/>
    <w:rsid w:val="006A69F4"/>
    <w:rsid w:val="006A6A7F"/>
    <w:rsid w:val="006A6A91"/>
    <w:rsid w:val="006A6ABD"/>
    <w:rsid w:val="006A6ADC"/>
    <w:rsid w:val="006A6B12"/>
    <w:rsid w:val="006A6C68"/>
    <w:rsid w:val="006A6D34"/>
    <w:rsid w:val="006A6E57"/>
    <w:rsid w:val="006A6E83"/>
    <w:rsid w:val="006A6ED6"/>
    <w:rsid w:val="006A6F0F"/>
    <w:rsid w:val="006A6FC5"/>
    <w:rsid w:val="006A7049"/>
    <w:rsid w:val="006A70BC"/>
    <w:rsid w:val="006A70D2"/>
    <w:rsid w:val="006A7119"/>
    <w:rsid w:val="006A71AC"/>
    <w:rsid w:val="006A71BD"/>
    <w:rsid w:val="006A726E"/>
    <w:rsid w:val="006A72AB"/>
    <w:rsid w:val="006A7342"/>
    <w:rsid w:val="006A73A6"/>
    <w:rsid w:val="006A73FE"/>
    <w:rsid w:val="006A742A"/>
    <w:rsid w:val="006A7499"/>
    <w:rsid w:val="006A74A8"/>
    <w:rsid w:val="006A74C5"/>
    <w:rsid w:val="006A7549"/>
    <w:rsid w:val="006A75B4"/>
    <w:rsid w:val="006A75F1"/>
    <w:rsid w:val="006A762A"/>
    <w:rsid w:val="006A7648"/>
    <w:rsid w:val="006A76DB"/>
    <w:rsid w:val="006A7779"/>
    <w:rsid w:val="006A78D5"/>
    <w:rsid w:val="006A7955"/>
    <w:rsid w:val="006A79C3"/>
    <w:rsid w:val="006A7AD7"/>
    <w:rsid w:val="006A7AFF"/>
    <w:rsid w:val="006A7BA6"/>
    <w:rsid w:val="006A7C29"/>
    <w:rsid w:val="006A7C79"/>
    <w:rsid w:val="006A7D3D"/>
    <w:rsid w:val="006A7E7D"/>
    <w:rsid w:val="006A7EA3"/>
    <w:rsid w:val="006B0006"/>
    <w:rsid w:val="006B013F"/>
    <w:rsid w:val="006B0178"/>
    <w:rsid w:val="006B019B"/>
    <w:rsid w:val="006B01AF"/>
    <w:rsid w:val="006B01CF"/>
    <w:rsid w:val="006B029A"/>
    <w:rsid w:val="006B02B2"/>
    <w:rsid w:val="006B02D6"/>
    <w:rsid w:val="006B02DC"/>
    <w:rsid w:val="006B0321"/>
    <w:rsid w:val="006B04F0"/>
    <w:rsid w:val="006B0500"/>
    <w:rsid w:val="006B05DE"/>
    <w:rsid w:val="006B05FE"/>
    <w:rsid w:val="006B0646"/>
    <w:rsid w:val="006B0683"/>
    <w:rsid w:val="006B06FB"/>
    <w:rsid w:val="006B071E"/>
    <w:rsid w:val="006B077C"/>
    <w:rsid w:val="006B078B"/>
    <w:rsid w:val="006B0806"/>
    <w:rsid w:val="006B09CC"/>
    <w:rsid w:val="006B0A49"/>
    <w:rsid w:val="006B0A8F"/>
    <w:rsid w:val="006B0BB3"/>
    <w:rsid w:val="006B0BF4"/>
    <w:rsid w:val="006B0C0E"/>
    <w:rsid w:val="006B0C4F"/>
    <w:rsid w:val="006B0C55"/>
    <w:rsid w:val="006B0D4D"/>
    <w:rsid w:val="006B0DFD"/>
    <w:rsid w:val="006B0F31"/>
    <w:rsid w:val="006B0F5B"/>
    <w:rsid w:val="006B0F74"/>
    <w:rsid w:val="006B0FB2"/>
    <w:rsid w:val="006B0FB3"/>
    <w:rsid w:val="006B1004"/>
    <w:rsid w:val="006B104A"/>
    <w:rsid w:val="006B1070"/>
    <w:rsid w:val="006B10C3"/>
    <w:rsid w:val="006B113C"/>
    <w:rsid w:val="006B1292"/>
    <w:rsid w:val="006B12F0"/>
    <w:rsid w:val="006B138E"/>
    <w:rsid w:val="006B13B6"/>
    <w:rsid w:val="006B13C5"/>
    <w:rsid w:val="006B13D8"/>
    <w:rsid w:val="006B13EB"/>
    <w:rsid w:val="006B142E"/>
    <w:rsid w:val="006B1497"/>
    <w:rsid w:val="006B149D"/>
    <w:rsid w:val="006B14A6"/>
    <w:rsid w:val="006B150E"/>
    <w:rsid w:val="006B1520"/>
    <w:rsid w:val="006B153B"/>
    <w:rsid w:val="006B1564"/>
    <w:rsid w:val="006B160D"/>
    <w:rsid w:val="006B1618"/>
    <w:rsid w:val="006B16B9"/>
    <w:rsid w:val="006B1763"/>
    <w:rsid w:val="006B1766"/>
    <w:rsid w:val="006B17E8"/>
    <w:rsid w:val="006B182C"/>
    <w:rsid w:val="006B1871"/>
    <w:rsid w:val="006B18E4"/>
    <w:rsid w:val="006B1A02"/>
    <w:rsid w:val="006B1A15"/>
    <w:rsid w:val="006B1A6B"/>
    <w:rsid w:val="006B1CA1"/>
    <w:rsid w:val="006B1CC8"/>
    <w:rsid w:val="006B1D24"/>
    <w:rsid w:val="006B1D93"/>
    <w:rsid w:val="006B1EB6"/>
    <w:rsid w:val="006B1F02"/>
    <w:rsid w:val="006B1F41"/>
    <w:rsid w:val="006B1F6E"/>
    <w:rsid w:val="006B2080"/>
    <w:rsid w:val="006B212B"/>
    <w:rsid w:val="006B2144"/>
    <w:rsid w:val="006B222A"/>
    <w:rsid w:val="006B22F3"/>
    <w:rsid w:val="006B2345"/>
    <w:rsid w:val="006B2348"/>
    <w:rsid w:val="006B2377"/>
    <w:rsid w:val="006B2389"/>
    <w:rsid w:val="006B2434"/>
    <w:rsid w:val="006B24AA"/>
    <w:rsid w:val="006B25CE"/>
    <w:rsid w:val="006B2626"/>
    <w:rsid w:val="006B26BC"/>
    <w:rsid w:val="006B26CB"/>
    <w:rsid w:val="006B26D8"/>
    <w:rsid w:val="006B26EF"/>
    <w:rsid w:val="006B2710"/>
    <w:rsid w:val="006B2743"/>
    <w:rsid w:val="006B2767"/>
    <w:rsid w:val="006B288C"/>
    <w:rsid w:val="006B2982"/>
    <w:rsid w:val="006B299B"/>
    <w:rsid w:val="006B2C09"/>
    <w:rsid w:val="006B2D07"/>
    <w:rsid w:val="006B2E1E"/>
    <w:rsid w:val="006B2F6E"/>
    <w:rsid w:val="006B2FB3"/>
    <w:rsid w:val="006B3007"/>
    <w:rsid w:val="006B3012"/>
    <w:rsid w:val="006B307E"/>
    <w:rsid w:val="006B3153"/>
    <w:rsid w:val="006B3286"/>
    <w:rsid w:val="006B32E1"/>
    <w:rsid w:val="006B334A"/>
    <w:rsid w:val="006B3356"/>
    <w:rsid w:val="006B338A"/>
    <w:rsid w:val="006B33AC"/>
    <w:rsid w:val="006B33C4"/>
    <w:rsid w:val="006B33E1"/>
    <w:rsid w:val="006B3481"/>
    <w:rsid w:val="006B34E6"/>
    <w:rsid w:val="006B3507"/>
    <w:rsid w:val="006B356D"/>
    <w:rsid w:val="006B359A"/>
    <w:rsid w:val="006B35CC"/>
    <w:rsid w:val="006B35F3"/>
    <w:rsid w:val="006B36A5"/>
    <w:rsid w:val="006B37D8"/>
    <w:rsid w:val="006B37EF"/>
    <w:rsid w:val="006B381B"/>
    <w:rsid w:val="006B3857"/>
    <w:rsid w:val="006B38F0"/>
    <w:rsid w:val="006B3905"/>
    <w:rsid w:val="006B3906"/>
    <w:rsid w:val="006B393D"/>
    <w:rsid w:val="006B39A0"/>
    <w:rsid w:val="006B39C6"/>
    <w:rsid w:val="006B39CD"/>
    <w:rsid w:val="006B3A2B"/>
    <w:rsid w:val="006B3A4A"/>
    <w:rsid w:val="006B3A88"/>
    <w:rsid w:val="006B3AB9"/>
    <w:rsid w:val="006B3C22"/>
    <w:rsid w:val="006B3D4F"/>
    <w:rsid w:val="006B3DA1"/>
    <w:rsid w:val="006B3DBE"/>
    <w:rsid w:val="006B3EB6"/>
    <w:rsid w:val="006B3EF5"/>
    <w:rsid w:val="006B3F07"/>
    <w:rsid w:val="006B3F12"/>
    <w:rsid w:val="006B3F18"/>
    <w:rsid w:val="006B3FDB"/>
    <w:rsid w:val="006B4071"/>
    <w:rsid w:val="006B40C7"/>
    <w:rsid w:val="006B4277"/>
    <w:rsid w:val="006B4293"/>
    <w:rsid w:val="006B42F7"/>
    <w:rsid w:val="006B4328"/>
    <w:rsid w:val="006B4344"/>
    <w:rsid w:val="006B437D"/>
    <w:rsid w:val="006B440D"/>
    <w:rsid w:val="006B443E"/>
    <w:rsid w:val="006B465C"/>
    <w:rsid w:val="006B46A1"/>
    <w:rsid w:val="006B46B3"/>
    <w:rsid w:val="006B46D5"/>
    <w:rsid w:val="006B47AC"/>
    <w:rsid w:val="006B47CD"/>
    <w:rsid w:val="006B47D1"/>
    <w:rsid w:val="006B484E"/>
    <w:rsid w:val="006B496C"/>
    <w:rsid w:val="006B49D1"/>
    <w:rsid w:val="006B4A21"/>
    <w:rsid w:val="006B4AA0"/>
    <w:rsid w:val="006B4AE5"/>
    <w:rsid w:val="006B4B00"/>
    <w:rsid w:val="006B4B30"/>
    <w:rsid w:val="006B4B61"/>
    <w:rsid w:val="006B4C07"/>
    <w:rsid w:val="006B4C0A"/>
    <w:rsid w:val="006B4C60"/>
    <w:rsid w:val="006B4D4A"/>
    <w:rsid w:val="006B4EAF"/>
    <w:rsid w:val="006B4F0F"/>
    <w:rsid w:val="006B4FA2"/>
    <w:rsid w:val="006B4FC0"/>
    <w:rsid w:val="006B4FD2"/>
    <w:rsid w:val="006B50B2"/>
    <w:rsid w:val="006B5235"/>
    <w:rsid w:val="006B53E6"/>
    <w:rsid w:val="006B5406"/>
    <w:rsid w:val="006B55A3"/>
    <w:rsid w:val="006B563D"/>
    <w:rsid w:val="006B56CE"/>
    <w:rsid w:val="006B579F"/>
    <w:rsid w:val="006B57B7"/>
    <w:rsid w:val="006B57C0"/>
    <w:rsid w:val="006B57E1"/>
    <w:rsid w:val="006B58A1"/>
    <w:rsid w:val="006B58CA"/>
    <w:rsid w:val="006B5900"/>
    <w:rsid w:val="006B5928"/>
    <w:rsid w:val="006B5937"/>
    <w:rsid w:val="006B5954"/>
    <w:rsid w:val="006B596C"/>
    <w:rsid w:val="006B5B07"/>
    <w:rsid w:val="006B5B74"/>
    <w:rsid w:val="006B5BF4"/>
    <w:rsid w:val="006B5C58"/>
    <w:rsid w:val="006B5D49"/>
    <w:rsid w:val="006B5D91"/>
    <w:rsid w:val="006B5DC7"/>
    <w:rsid w:val="006B5DE5"/>
    <w:rsid w:val="006B5DEC"/>
    <w:rsid w:val="006B5DF8"/>
    <w:rsid w:val="006B5E18"/>
    <w:rsid w:val="006B5EFB"/>
    <w:rsid w:val="006B5F5D"/>
    <w:rsid w:val="006B5F63"/>
    <w:rsid w:val="006B5F79"/>
    <w:rsid w:val="006B5F7C"/>
    <w:rsid w:val="006B5F9C"/>
    <w:rsid w:val="006B5FAF"/>
    <w:rsid w:val="006B5FF0"/>
    <w:rsid w:val="006B6024"/>
    <w:rsid w:val="006B608E"/>
    <w:rsid w:val="006B60C0"/>
    <w:rsid w:val="006B60F6"/>
    <w:rsid w:val="006B6112"/>
    <w:rsid w:val="006B6150"/>
    <w:rsid w:val="006B622F"/>
    <w:rsid w:val="006B62DF"/>
    <w:rsid w:val="006B64BA"/>
    <w:rsid w:val="006B6504"/>
    <w:rsid w:val="006B66D4"/>
    <w:rsid w:val="006B671E"/>
    <w:rsid w:val="006B671F"/>
    <w:rsid w:val="006B678F"/>
    <w:rsid w:val="006B6813"/>
    <w:rsid w:val="006B69BA"/>
    <w:rsid w:val="006B69DE"/>
    <w:rsid w:val="006B6A25"/>
    <w:rsid w:val="006B6A7A"/>
    <w:rsid w:val="006B6A9E"/>
    <w:rsid w:val="006B6B0A"/>
    <w:rsid w:val="006B6C60"/>
    <w:rsid w:val="006B6D22"/>
    <w:rsid w:val="006B6D5F"/>
    <w:rsid w:val="006B6D87"/>
    <w:rsid w:val="006B6DE0"/>
    <w:rsid w:val="006B6DFF"/>
    <w:rsid w:val="006B6E63"/>
    <w:rsid w:val="006B6E86"/>
    <w:rsid w:val="006B6EC7"/>
    <w:rsid w:val="006B6EF8"/>
    <w:rsid w:val="006B6F29"/>
    <w:rsid w:val="006B6F83"/>
    <w:rsid w:val="006B6FA2"/>
    <w:rsid w:val="006B7075"/>
    <w:rsid w:val="006B70FD"/>
    <w:rsid w:val="006B712D"/>
    <w:rsid w:val="006B7174"/>
    <w:rsid w:val="006B720E"/>
    <w:rsid w:val="006B726E"/>
    <w:rsid w:val="006B73EE"/>
    <w:rsid w:val="006B74D4"/>
    <w:rsid w:val="006B74FC"/>
    <w:rsid w:val="006B75E0"/>
    <w:rsid w:val="006B7636"/>
    <w:rsid w:val="006B766C"/>
    <w:rsid w:val="006B7674"/>
    <w:rsid w:val="006B7757"/>
    <w:rsid w:val="006B77B7"/>
    <w:rsid w:val="006B7805"/>
    <w:rsid w:val="006B7861"/>
    <w:rsid w:val="006B78DE"/>
    <w:rsid w:val="006B799E"/>
    <w:rsid w:val="006B79BB"/>
    <w:rsid w:val="006B7AD9"/>
    <w:rsid w:val="006B7B85"/>
    <w:rsid w:val="006B7B91"/>
    <w:rsid w:val="006B7BA6"/>
    <w:rsid w:val="006B7CAB"/>
    <w:rsid w:val="006B7CF9"/>
    <w:rsid w:val="006B7D8B"/>
    <w:rsid w:val="006B7E5A"/>
    <w:rsid w:val="006B7E70"/>
    <w:rsid w:val="006B7EB8"/>
    <w:rsid w:val="006B7F2F"/>
    <w:rsid w:val="006B7F47"/>
    <w:rsid w:val="006B7F63"/>
    <w:rsid w:val="006B7F8A"/>
    <w:rsid w:val="006B7F9C"/>
    <w:rsid w:val="006C0004"/>
    <w:rsid w:val="006C0034"/>
    <w:rsid w:val="006C005F"/>
    <w:rsid w:val="006C00DA"/>
    <w:rsid w:val="006C0136"/>
    <w:rsid w:val="006C0142"/>
    <w:rsid w:val="006C0167"/>
    <w:rsid w:val="006C0171"/>
    <w:rsid w:val="006C01E1"/>
    <w:rsid w:val="006C0231"/>
    <w:rsid w:val="006C0269"/>
    <w:rsid w:val="006C02EB"/>
    <w:rsid w:val="006C03C4"/>
    <w:rsid w:val="006C03E8"/>
    <w:rsid w:val="006C050B"/>
    <w:rsid w:val="006C05F4"/>
    <w:rsid w:val="006C06B1"/>
    <w:rsid w:val="006C071E"/>
    <w:rsid w:val="006C0790"/>
    <w:rsid w:val="006C08A6"/>
    <w:rsid w:val="006C08A9"/>
    <w:rsid w:val="006C08CA"/>
    <w:rsid w:val="006C0929"/>
    <w:rsid w:val="006C0983"/>
    <w:rsid w:val="006C0A2A"/>
    <w:rsid w:val="006C0B64"/>
    <w:rsid w:val="006C0BA5"/>
    <w:rsid w:val="006C0C4B"/>
    <w:rsid w:val="006C0CA6"/>
    <w:rsid w:val="006C0D11"/>
    <w:rsid w:val="006C0D1F"/>
    <w:rsid w:val="006C0DCA"/>
    <w:rsid w:val="006C0E07"/>
    <w:rsid w:val="006C0E44"/>
    <w:rsid w:val="006C0EB9"/>
    <w:rsid w:val="006C0F0B"/>
    <w:rsid w:val="006C0F6E"/>
    <w:rsid w:val="006C0F76"/>
    <w:rsid w:val="006C0FBF"/>
    <w:rsid w:val="006C1009"/>
    <w:rsid w:val="006C103F"/>
    <w:rsid w:val="006C104F"/>
    <w:rsid w:val="006C10DE"/>
    <w:rsid w:val="006C1142"/>
    <w:rsid w:val="006C117C"/>
    <w:rsid w:val="006C1182"/>
    <w:rsid w:val="006C1184"/>
    <w:rsid w:val="006C11AA"/>
    <w:rsid w:val="006C11B2"/>
    <w:rsid w:val="006C11D3"/>
    <w:rsid w:val="006C121D"/>
    <w:rsid w:val="006C1233"/>
    <w:rsid w:val="006C1345"/>
    <w:rsid w:val="006C1378"/>
    <w:rsid w:val="006C1397"/>
    <w:rsid w:val="006C14A7"/>
    <w:rsid w:val="006C151A"/>
    <w:rsid w:val="006C163E"/>
    <w:rsid w:val="006C166B"/>
    <w:rsid w:val="006C1674"/>
    <w:rsid w:val="006C17A5"/>
    <w:rsid w:val="006C17CB"/>
    <w:rsid w:val="006C1908"/>
    <w:rsid w:val="006C191B"/>
    <w:rsid w:val="006C1946"/>
    <w:rsid w:val="006C195E"/>
    <w:rsid w:val="006C19EB"/>
    <w:rsid w:val="006C1B1B"/>
    <w:rsid w:val="006C1B3C"/>
    <w:rsid w:val="006C1C0A"/>
    <w:rsid w:val="006C1C9C"/>
    <w:rsid w:val="006C1D38"/>
    <w:rsid w:val="006C1DDC"/>
    <w:rsid w:val="006C1EB5"/>
    <w:rsid w:val="006C1EC8"/>
    <w:rsid w:val="006C1F37"/>
    <w:rsid w:val="006C20B0"/>
    <w:rsid w:val="006C20C5"/>
    <w:rsid w:val="006C21AC"/>
    <w:rsid w:val="006C221E"/>
    <w:rsid w:val="006C2220"/>
    <w:rsid w:val="006C224D"/>
    <w:rsid w:val="006C22F3"/>
    <w:rsid w:val="006C2383"/>
    <w:rsid w:val="006C23BD"/>
    <w:rsid w:val="006C2478"/>
    <w:rsid w:val="006C25F7"/>
    <w:rsid w:val="006C25FE"/>
    <w:rsid w:val="006C2686"/>
    <w:rsid w:val="006C26DA"/>
    <w:rsid w:val="006C26F4"/>
    <w:rsid w:val="006C2763"/>
    <w:rsid w:val="006C27B5"/>
    <w:rsid w:val="006C27C9"/>
    <w:rsid w:val="006C27F6"/>
    <w:rsid w:val="006C2865"/>
    <w:rsid w:val="006C2906"/>
    <w:rsid w:val="006C293E"/>
    <w:rsid w:val="006C2944"/>
    <w:rsid w:val="006C29EC"/>
    <w:rsid w:val="006C2A28"/>
    <w:rsid w:val="006C2A66"/>
    <w:rsid w:val="006C2AE5"/>
    <w:rsid w:val="006C2B07"/>
    <w:rsid w:val="006C2BB8"/>
    <w:rsid w:val="006C2BFE"/>
    <w:rsid w:val="006C2C95"/>
    <w:rsid w:val="006C2CDB"/>
    <w:rsid w:val="006C2D05"/>
    <w:rsid w:val="006C2D17"/>
    <w:rsid w:val="006C2DF9"/>
    <w:rsid w:val="006C2E3C"/>
    <w:rsid w:val="006C2F63"/>
    <w:rsid w:val="006C2F9F"/>
    <w:rsid w:val="006C2FBD"/>
    <w:rsid w:val="006C3081"/>
    <w:rsid w:val="006C30C0"/>
    <w:rsid w:val="006C30E0"/>
    <w:rsid w:val="006C3119"/>
    <w:rsid w:val="006C3128"/>
    <w:rsid w:val="006C316B"/>
    <w:rsid w:val="006C319F"/>
    <w:rsid w:val="006C31A8"/>
    <w:rsid w:val="006C31B1"/>
    <w:rsid w:val="006C31F0"/>
    <w:rsid w:val="006C3213"/>
    <w:rsid w:val="006C332C"/>
    <w:rsid w:val="006C332D"/>
    <w:rsid w:val="006C33CB"/>
    <w:rsid w:val="006C33E6"/>
    <w:rsid w:val="006C3412"/>
    <w:rsid w:val="006C3416"/>
    <w:rsid w:val="006C350F"/>
    <w:rsid w:val="006C352A"/>
    <w:rsid w:val="006C36A7"/>
    <w:rsid w:val="006C375B"/>
    <w:rsid w:val="006C3785"/>
    <w:rsid w:val="006C37EB"/>
    <w:rsid w:val="006C37EF"/>
    <w:rsid w:val="006C3971"/>
    <w:rsid w:val="006C39B8"/>
    <w:rsid w:val="006C3AD9"/>
    <w:rsid w:val="006C3B3A"/>
    <w:rsid w:val="006C3B7F"/>
    <w:rsid w:val="006C3E66"/>
    <w:rsid w:val="006C3EA8"/>
    <w:rsid w:val="006C3ECC"/>
    <w:rsid w:val="006C3F1E"/>
    <w:rsid w:val="006C3F63"/>
    <w:rsid w:val="006C3FAD"/>
    <w:rsid w:val="006C403C"/>
    <w:rsid w:val="006C40AF"/>
    <w:rsid w:val="006C40D5"/>
    <w:rsid w:val="006C423D"/>
    <w:rsid w:val="006C4312"/>
    <w:rsid w:val="006C4338"/>
    <w:rsid w:val="006C43C9"/>
    <w:rsid w:val="006C4424"/>
    <w:rsid w:val="006C44A6"/>
    <w:rsid w:val="006C4520"/>
    <w:rsid w:val="006C452B"/>
    <w:rsid w:val="006C4543"/>
    <w:rsid w:val="006C45C9"/>
    <w:rsid w:val="006C45F7"/>
    <w:rsid w:val="006C461B"/>
    <w:rsid w:val="006C466F"/>
    <w:rsid w:val="006C46C0"/>
    <w:rsid w:val="006C46EB"/>
    <w:rsid w:val="006C4724"/>
    <w:rsid w:val="006C4746"/>
    <w:rsid w:val="006C486D"/>
    <w:rsid w:val="006C4872"/>
    <w:rsid w:val="006C48D6"/>
    <w:rsid w:val="006C4A5F"/>
    <w:rsid w:val="006C4A81"/>
    <w:rsid w:val="006C4AD6"/>
    <w:rsid w:val="006C4B25"/>
    <w:rsid w:val="006C4B7E"/>
    <w:rsid w:val="006C4B87"/>
    <w:rsid w:val="006C4C42"/>
    <w:rsid w:val="006C4C4E"/>
    <w:rsid w:val="006C4C8F"/>
    <w:rsid w:val="006C4CC8"/>
    <w:rsid w:val="006C4D2E"/>
    <w:rsid w:val="006C4E0F"/>
    <w:rsid w:val="006C4E18"/>
    <w:rsid w:val="006C4E93"/>
    <w:rsid w:val="006C4E9C"/>
    <w:rsid w:val="006C4EB2"/>
    <w:rsid w:val="006C4EDB"/>
    <w:rsid w:val="006C4F4E"/>
    <w:rsid w:val="006C4F94"/>
    <w:rsid w:val="006C504C"/>
    <w:rsid w:val="006C5108"/>
    <w:rsid w:val="006C51BB"/>
    <w:rsid w:val="006C529F"/>
    <w:rsid w:val="006C52D2"/>
    <w:rsid w:val="006C5477"/>
    <w:rsid w:val="006C5520"/>
    <w:rsid w:val="006C5624"/>
    <w:rsid w:val="006C56B2"/>
    <w:rsid w:val="006C56BC"/>
    <w:rsid w:val="006C570D"/>
    <w:rsid w:val="006C574C"/>
    <w:rsid w:val="006C579D"/>
    <w:rsid w:val="006C57E2"/>
    <w:rsid w:val="006C5874"/>
    <w:rsid w:val="006C5898"/>
    <w:rsid w:val="006C58D6"/>
    <w:rsid w:val="006C5925"/>
    <w:rsid w:val="006C592E"/>
    <w:rsid w:val="006C59F6"/>
    <w:rsid w:val="006C5A3B"/>
    <w:rsid w:val="006C5A5D"/>
    <w:rsid w:val="006C5A6A"/>
    <w:rsid w:val="006C5A9D"/>
    <w:rsid w:val="006C5AF2"/>
    <w:rsid w:val="006C5B46"/>
    <w:rsid w:val="006C5BF7"/>
    <w:rsid w:val="006C5C81"/>
    <w:rsid w:val="006C5CA9"/>
    <w:rsid w:val="006C5D8B"/>
    <w:rsid w:val="006C5DFB"/>
    <w:rsid w:val="006C5E4F"/>
    <w:rsid w:val="006C5E70"/>
    <w:rsid w:val="006C5EE5"/>
    <w:rsid w:val="006C5F1E"/>
    <w:rsid w:val="006C5F60"/>
    <w:rsid w:val="006C6025"/>
    <w:rsid w:val="006C61AB"/>
    <w:rsid w:val="006C61DA"/>
    <w:rsid w:val="006C6213"/>
    <w:rsid w:val="006C6253"/>
    <w:rsid w:val="006C62F4"/>
    <w:rsid w:val="006C634A"/>
    <w:rsid w:val="006C639E"/>
    <w:rsid w:val="006C63F5"/>
    <w:rsid w:val="006C642E"/>
    <w:rsid w:val="006C64BC"/>
    <w:rsid w:val="006C6590"/>
    <w:rsid w:val="006C6646"/>
    <w:rsid w:val="006C665D"/>
    <w:rsid w:val="006C666F"/>
    <w:rsid w:val="006C671A"/>
    <w:rsid w:val="006C6775"/>
    <w:rsid w:val="006C680B"/>
    <w:rsid w:val="006C6890"/>
    <w:rsid w:val="006C6953"/>
    <w:rsid w:val="006C6978"/>
    <w:rsid w:val="006C69F3"/>
    <w:rsid w:val="006C6A1C"/>
    <w:rsid w:val="006C6A52"/>
    <w:rsid w:val="006C6B20"/>
    <w:rsid w:val="006C6C9B"/>
    <w:rsid w:val="006C6CF4"/>
    <w:rsid w:val="006C6E66"/>
    <w:rsid w:val="006C6FE4"/>
    <w:rsid w:val="006C70F3"/>
    <w:rsid w:val="006C70F6"/>
    <w:rsid w:val="006C712F"/>
    <w:rsid w:val="006C714B"/>
    <w:rsid w:val="006C7154"/>
    <w:rsid w:val="006C716D"/>
    <w:rsid w:val="006C7187"/>
    <w:rsid w:val="006C72C5"/>
    <w:rsid w:val="006C738F"/>
    <w:rsid w:val="006C73A6"/>
    <w:rsid w:val="006C758C"/>
    <w:rsid w:val="006C7606"/>
    <w:rsid w:val="006C7682"/>
    <w:rsid w:val="006C76D3"/>
    <w:rsid w:val="006C76EE"/>
    <w:rsid w:val="006C7791"/>
    <w:rsid w:val="006C77C3"/>
    <w:rsid w:val="006C77CF"/>
    <w:rsid w:val="006C78A5"/>
    <w:rsid w:val="006C78A9"/>
    <w:rsid w:val="006C7A05"/>
    <w:rsid w:val="006C7A26"/>
    <w:rsid w:val="006C7B24"/>
    <w:rsid w:val="006C7BA4"/>
    <w:rsid w:val="006C7C04"/>
    <w:rsid w:val="006C7C20"/>
    <w:rsid w:val="006C7C79"/>
    <w:rsid w:val="006C7D0A"/>
    <w:rsid w:val="006C7D0D"/>
    <w:rsid w:val="006C7D45"/>
    <w:rsid w:val="006C7E24"/>
    <w:rsid w:val="006C7E7F"/>
    <w:rsid w:val="006C7FBD"/>
    <w:rsid w:val="006D0060"/>
    <w:rsid w:val="006D00C2"/>
    <w:rsid w:val="006D010C"/>
    <w:rsid w:val="006D0132"/>
    <w:rsid w:val="006D0153"/>
    <w:rsid w:val="006D01D1"/>
    <w:rsid w:val="006D01D7"/>
    <w:rsid w:val="006D0335"/>
    <w:rsid w:val="006D038C"/>
    <w:rsid w:val="006D03B1"/>
    <w:rsid w:val="006D0457"/>
    <w:rsid w:val="006D04FA"/>
    <w:rsid w:val="006D05E7"/>
    <w:rsid w:val="006D0615"/>
    <w:rsid w:val="006D063B"/>
    <w:rsid w:val="006D0655"/>
    <w:rsid w:val="006D0679"/>
    <w:rsid w:val="006D07B8"/>
    <w:rsid w:val="006D081D"/>
    <w:rsid w:val="006D0898"/>
    <w:rsid w:val="006D08F3"/>
    <w:rsid w:val="006D0A2E"/>
    <w:rsid w:val="006D0AFB"/>
    <w:rsid w:val="006D0B2C"/>
    <w:rsid w:val="006D0B75"/>
    <w:rsid w:val="006D0BBF"/>
    <w:rsid w:val="006D0CDB"/>
    <w:rsid w:val="006D0D13"/>
    <w:rsid w:val="006D0D22"/>
    <w:rsid w:val="006D0D6A"/>
    <w:rsid w:val="006D0E05"/>
    <w:rsid w:val="006D0E4C"/>
    <w:rsid w:val="006D0E61"/>
    <w:rsid w:val="006D0E70"/>
    <w:rsid w:val="006D0E7E"/>
    <w:rsid w:val="006D0E83"/>
    <w:rsid w:val="006D0F9F"/>
    <w:rsid w:val="006D1081"/>
    <w:rsid w:val="006D10AD"/>
    <w:rsid w:val="006D110C"/>
    <w:rsid w:val="006D11BD"/>
    <w:rsid w:val="006D11F0"/>
    <w:rsid w:val="006D1219"/>
    <w:rsid w:val="006D14C6"/>
    <w:rsid w:val="006D1508"/>
    <w:rsid w:val="006D156D"/>
    <w:rsid w:val="006D15FD"/>
    <w:rsid w:val="006D160F"/>
    <w:rsid w:val="006D1628"/>
    <w:rsid w:val="006D1660"/>
    <w:rsid w:val="006D1698"/>
    <w:rsid w:val="006D1765"/>
    <w:rsid w:val="006D17AC"/>
    <w:rsid w:val="006D17C0"/>
    <w:rsid w:val="006D17C7"/>
    <w:rsid w:val="006D1829"/>
    <w:rsid w:val="006D1840"/>
    <w:rsid w:val="006D1925"/>
    <w:rsid w:val="006D19FC"/>
    <w:rsid w:val="006D1AAE"/>
    <w:rsid w:val="006D1AB5"/>
    <w:rsid w:val="006D1B28"/>
    <w:rsid w:val="006D1C05"/>
    <w:rsid w:val="006D1C5B"/>
    <w:rsid w:val="006D1DEE"/>
    <w:rsid w:val="006D1E4B"/>
    <w:rsid w:val="006D1F2A"/>
    <w:rsid w:val="006D1F4B"/>
    <w:rsid w:val="006D1F63"/>
    <w:rsid w:val="006D1F91"/>
    <w:rsid w:val="006D1FB9"/>
    <w:rsid w:val="006D1FE6"/>
    <w:rsid w:val="006D2061"/>
    <w:rsid w:val="006D20B0"/>
    <w:rsid w:val="006D20C9"/>
    <w:rsid w:val="006D2248"/>
    <w:rsid w:val="006D2277"/>
    <w:rsid w:val="006D22BC"/>
    <w:rsid w:val="006D230F"/>
    <w:rsid w:val="006D236B"/>
    <w:rsid w:val="006D2447"/>
    <w:rsid w:val="006D2450"/>
    <w:rsid w:val="006D24AA"/>
    <w:rsid w:val="006D24F2"/>
    <w:rsid w:val="006D251F"/>
    <w:rsid w:val="006D256D"/>
    <w:rsid w:val="006D2606"/>
    <w:rsid w:val="006D2694"/>
    <w:rsid w:val="006D2733"/>
    <w:rsid w:val="006D2785"/>
    <w:rsid w:val="006D2858"/>
    <w:rsid w:val="006D28E6"/>
    <w:rsid w:val="006D2919"/>
    <w:rsid w:val="006D2A1F"/>
    <w:rsid w:val="006D2A4F"/>
    <w:rsid w:val="006D2AC4"/>
    <w:rsid w:val="006D2B19"/>
    <w:rsid w:val="006D2B22"/>
    <w:rsid w:val="006D2BBA"/>
    <w:rsid w:val="006D2BF6"/>
    <w:rsid w:val="006D2DA1"/>
    <w:rsid w:val="006D2DAC"/>
    <w:rsid w:val="006D2DC5"/>
    <w:rsid w:val="006D2E08"/>
    <w:rsid w:val="006D2E3B"/>
    <w:rsid w:val="006D2E62"/>
    <w:rsid w:val="006D2E7A"/>
    <w:rsid w:val="006D2E7F"/>
    <w:rsid w:val="006D2E96"/>
    <w:rsid w:val="006D2F5E"/>
    <w:rsid w:val="006D2FD0"/>
    <w:rsid w:val="006D3045"/>
    <w:rsid w:val="006D3165"/>
    <w:rsid w:val="006D318F"/>
    <w:rsid w:val="006D3288"/>
    <w:rsid w:val="006D32D8"/>
    <w:rsid w:val="006D33CC"/>
    <w:rsid w:val="006D3489"/>
    <w:rsid w:val="006D34DD"/>
    <w:rsid w:val="006D3503"/>
    <w:rsid w:val="006D3570"/>
    <w:rsid w:val="006D35EC"/>
    <w:rsid w:val="006D368B"/>
    <w:rsid w:val="006D378D"/>
    <w:rsid w:val="006D3841"/>
    <w:rsid w:val="006D384B"/>
    <w:rsid w:val="006D3A28"/>
    <w:rsid w:val="006D3C28"/>
    <w:rsid w:val="006D3C44"/>
    <w:rsid w:val="006D3D73"/>
    <w:rsid w:val="006D41AE"/>
    <w:rsid w:val="006D4242"/>
    <w:rsid w:val="006D4298"/>
    <w:rsid w:val="006D42C9"/>
    <w:rsid w:val="006D42EA"/>
    <w:rsid w:val="006D437A"/>
    <w:rsid w:val="006D43AC"/>
    <w:rsid w:val="006D4490"/>
    <w:rsid w:val="006D4491"/>
    <w:rsid w:val="006D457D"/>
    <w:rsid w:val="006D45AA"/>
    <w:rsid w:val="006D46B2"/>
    <w:rsid w:val="006D46B6"/>
    <w:rsid w:val="006D46BB"/>
    <w:rsid w:val="006D46CB"/>
    <w:rsid w:val="006D4708"/>
    <w:rsid w:val="006D4733"/>
    <w:rsid w:val="006D47C3"/>
    <w:rsid w:val="006D4856"/>
    <w:rsid w:val="006D4905"/>
    <w:rsid w:val="006D4908"/>
    <w:rsid w:val="006D499A"/>
    <w:rsid w:val="006D49B1"/>
    <w:rsid w:val="006D4A3C"/>
    <w:rsid w:val="006D4A81"/>
    <w:rsid w:val="006D4AAD"/>
    <w:rsid w:val="006D4ADD"/>
    <w:rsid w:val="006D4B36"/>
    <w:rsid w:val="006D4B7D"/>
    <w:rsid w:val="006D4CF3"/>
    <w:rsid w:val="006D4D15"/>
    <w:rsid w:val="006D4D6C"/>
    <w:rsid w:val="006D4D7D"/>
    <w:rsid w:val="006D4DE9"/>
    <w:rsid w:val="006D50ED"/>
    <w:rsid w:val="006D5116"/>
    <w:rsid w:val="006D514D"/>
    <w:rsid w:val="006D5198"/>
    <w:rsid w:val="006D51F9"/>
    <w:rsid w:val="006D5206"/>
    <w:rsid w:val="006D5211"/>
    <w:rsid w:val="006D5224"/>
    <w:rsid w:val="006D535E"/>
    <w:rsid w:val="006D53AB"/>
    <w:rsid w:val="006D5593"/>
    <w:rsid w:val="006D55B5"/>
    <w:rsid w:val="006D55CC"/>
    <w:rsid w:val="006D56C5"/>
    <w:rsid w:val="006D58B5"/>
    <w:rsid w:val="006D591B"/>
    <w:rsid w:val="006D592C"/>
    <w:rsid w:val="006D59D3"/>
    <w:rsid w:val="006D59D8"/>
    <w:rsid w:val="006D5A41"/>
    <w:rsid w:val="006D5A60"/>
    <w:rsid w:val="006D5ACA"/>
    <w:rsid w:val="006D5B20"/>
    <w:rsid w:val="006D5C9A"/>
    <w:rsid w:val="006D5CF6"/>
    <w:rsid w:val="006D5E22"/>
    <w:rsid w:val="006D5E46"/>
    <w:rsid w:val="006D5EE7"/>
    <w:rsid w:val="006D5F95"/>
    <w:rsid w:val="006D5FB6"/>
    <w:rsid w:val="006D5FD3"/>
    <w:rsid w:val="006D5FE7"/>
    <w:rsid w:val="006D603C"/>
    <w:rsid w:val="006D60B0"/>
    <w:rsid w:val="006D60C8"/>
    <w:rsid w:val="006D6154"/>
    <w:rsid w:val="006D61A5"/>
    <w:rsid w:val="006D61CE"/>
    <w:rsid w:val="006D61EC"/>
    <w:rsid w:val="006D61F3"/>
    <w:rsid w:val="006D629D"/>
    <w:rsid w:val="006D6343"/>
    <w:rsid w:val="006D6369"/>
    <w:rsid w:val="006D63A4"/>
    <w:rsid w:val="006D63F5"/>
    <w:rsid w:val="006D64EB"/>
    <w:rsid w:val="006D64EE"/>
    <w:rsid w:val="006D659F"/>
    <w:rsid w:val="006D65A1"/>
    <w:rsid w:val="006D6683"/>
    <w:rsid w:val="006D669C"/>
    <w:rsid w:val="006D66D2"/>
    <w:rsid w:val="006D6892"/>
    <w:rsid w:val="006D68E2"/>
    <w:rsid w:val="006D69A6"/>
    <w:rsid w:val="006D69F5"/>
    <w:rsid w:val="006D6A61"/>
    <w:rsid w:val="006D6A78"/>
    <w:rsid w:val="006D6AD2"/>
    <w:rsid w:val="006D6B04"/>
    <w:rsid w:val="006D6B38"/>
    <w:rsid w:val="006D6BB6"/>
    <w:rsid w:val="006D6BEC"/>
    <w:rsid w:val="006D6C3F"/>
    <w:rsid w:val="006D6C59"/>
    <w:rsid w:val="006D6CAE"/>
    <w:rsid w:val="006D6CD5"/>
    <w:rsid w:val="006D6D25"/>
    <w:rsid w:val="006D6DD1"/>
    <w:rsid w:val="006D6DDF"/>
    <w:rsid w:val="006D6E74"/>
    <w:rsid w:val="006D6EC8"/>
    <w:rsid w:val="006D6FCC"/>
    <w:rsid w:val="006D6FE0"/>
    <w:rsid w:val="006D71C8"/>
    <w:rsid w:val="006D7217"/>
    <w:rsid w:val="006D72B3"/>
    <w:rsid w:val="006D7325"/>
    <w:rsid w:val="006D7411"/>
    <w:rsid w:val="006D750A"/>
    <w:rsid w:val="006D751F"/>
    <w:rsid w:val="006D7572"/>
    <w:rsid w:val="006D7595"/>
    <w:rsid w:val="006D7664"/>
    <w:rsid w:val="006D7674"/>
    <w:rsid w:val="006D776F"/>
    <w:rsid w:val="006D77B5"/>
    <w:rsid w:val="006D78A5"/>
    <w:rsid w:val="006D78F8"/>
    <w:rsid w:val="006D7960"/>
    <w:rsid w:val="006D796E"/>
    <w:rsid w:val="006D7981"/>
    <w:rsid w:val="006D79E7"/>
    <w:rsid w:val="006D79F7"/>
    <w:rsid w:val="006D7A56"/>
    <w:rsid w:val="006D7B8D"/>
    <w:rsid w:val="006D7BC4"/>
    <w:rsid w:val="006D7BE3"/>
    <w:rsid w:val="006D7BE8"/>
    <w:rsid w:val="006D7BFA"/>
    <w:rsid w:val="006D7C0E"/>
    <w:rsid w:val="006D7CFE"/>
    <w:rsid w:val="006D7DBF"/>
    <w:rsid w:val="006D7E65"/>
    <w:rsid w:val="006D7E6C"/>
    <w:rsid w:val="006D7E87"/>
    <w:rsid w:val="006D7F0D"/>
    <w:rsid w:val="006D7F78"/>
    <w:rsid w:val="006D7FDC"/>
    <w:rsid w:val="006E0037"/>
    <w:rsid w:val="006E006E"/>
    <w:rsid w:val="006E006F"/>
    <w:rsid w:val="006E0089"/>
    <w:rsid w:val="006E009B"/>
    <w:rsid w:val="006E00AC"/>
    <w:rsid w:val="006E0166"/>
    <w:rsid w:val="006E025D"/>
    <w:rsid w:val="006E0263"/>
    <w:rsid w:val="006E0283"/>
    <w:rsid w:val="006E035F"/>
    <w:rsid w:val="006E03C4"/>
    <w:rsid w:val="006E0416"/>
    <w:rsid w:val="006E0491"/>
    <w:rsid w:val="006E04C9"/>
    <w:rsid w:val="006E0517"/>
    <w:rsid w:val="006E058C"/>
    <w:rsid w:val="006E05C1"/>
    <w:rsid w:val="006E061B"/>
    <w:rsid w:val="006E06A2"/>
    <w:rsid w:val="006E073E"/>
    <w:rsid w:val="006E0850"/>
    <w:rsid w:val="006E0855"/>
    <w:rsid w:val="006E08A1"/>
    <w:rsid w:val="006E095F"/>
    <w:rsid w:val="006E0978"/>
    <w:rsid w:val="006E0A57"/>
    <w:rsid w:val="006E0AC2"/>
    <w:rsid w:val="006E0AFE"/>
    <w:rsid w:val="006E0C18"/>
    <w:rsid w:val="006E0C93"/>
    <w:rsid w:val="006E0CB5"/>
    <w:rsid w:val="006E0CD4"/>
    <w:rsid w:val="006E0CF1"/>
    <w:rsid w:val="006E0DB5"/>
    <w:rsid w:val="006E0DD2"/>
    <w:rsid w:val="006E0EE3"/>
    <w:rsid w:val="006E0EEE"/>
    <w:rsid w:val="006E0F4B"/>
    <w:rsid w:val="006E0F50"/>
    <w:rsid w:val="006E0FE2"/>
    <w:rsid w:val="006E1046"/>
    <w:rsid w:val="006E1079"/>
    <w:rsid w:val="006E10F2"/>
    <w:rsid w:val="006E112F"/>
    <w:rsid w:val="006E1182"/>
    <w:rsid w:val="006E1223"/>
    <w:rsid w:val="006E124E"/>
    <w:rsid w:val="006E1253"/>
    <w:rsid w:val="006E12D0"/>
    <w:rsid w:val="006E12DD"/>
    <w:rsid w:val="006E12F6"/>
    <w:rsid w:val="006E1439"/>
    <w:rsid w:val="006E1446"/>
    <w:rsid w:val="006E14D2"/>
    <w:rsid w:val="006E152E"/>
    <w:rsid w:val="006E169C"/>
    <w:rsid w:val="006E1775"/>
    <w:rsid w:val="006E18A3"/>
    <w:rsid w:val="006E19DF"/>
    <w:rsid w:val="006E1A20"/>
    <w:rsid w:val="006E1A35"/>
    <w:rsid w:val="006E1A46"/>
    <w:rsid w:val="006E1A9C"/>
    <w:rsid w:val="006E1B28"/>
    <w:rsid w:val="006E1B40"/>
    <w:rsid w:val="006E1C1A"/>
    <w:rsid w:val="006E1DAB"/>
    <w:rsid w:val="006E1E09"/>
    <w:rsid w:val="006E1EA3"/>
    <w:rsid w:val="006E1ECB"/>
    <w:rsid w:val="006E1ED2"/>
    <w:rsid w:val="006E1EED"/>
    <w:rsid w:val="006E1F0E"/>
    <w:rsid w:val="006E2010"/>
    <w:rsid w:val="006E20E6"/>
    <w:rsid w:val="006E20F3"/>
    <w:rsid w:val="006E214A"/>
    <w:rsid w:val="006E2170"/>
    <w:rsid w:val="006E2318"/>
    <w:rsid w:val="006E235C"/>
    <w:rsid w:val="006E2461"/>
    <w:rsid w:val="006E25DA"/>
    <w:rsid w:val="006E25E3"/>
    <w:rsid w:val="006E2615"/>
    <w:rsid w:val="006E263E"/>
    <w:rsid w:val="006E2673"/>
    <w:rsid w:val="006E2681"/>
    <w:rsid w:val="006E2821"/>
    <w:rsid w:val="006E28FF"/>
    <w:rsid w:val="006E2915"/>
    <w:rsid w:val="006E293D"/>
    <w:rsid w:val="006E2946"/>
    <w:rsid w:val="006E296D"/>
    <w:rsid w:val="006E2A30"/>
    <w:rsid w:val="006E2A36"/>
    <w:rsid w:val="006E2ABB"/>
    <w:rsid w:val="006E2B4C"/>
    <w:rsid w:val="006E2B9B"/>
    <w:rsid w:val="006E2C10"/>
    <w:rsid w:val="006E2C18"/>
    <w:rsid w:val="006E2CDE"/>
    <w:rsid w:val="006E2D08"/>
    <w:rsid w:val="006E2D65"/>
    <w:rsid w:val="006E2D67"/>
    <w:rsid w:val="006E2D9F"/>
    <w:rsid w:val="006E2E47"/>
    <w:rsid w:val="006E2E5F"/>
    <w:rsid w:val="006E2F57"/>
    <w:rsid w:val="006E2F5F"/>
    <w:rsid w:val="006E2FE5"/>
    <w:rsid w:val="006E2FF6"/>
    <w:rsid w:val="006E30AB"/>
    <w:rsid w:val="006E3259"/>
    <w:rsid w:val="006E3307"/>
    <w:rsid w:val="006E3357"/>
    <w:rsid w:val="006E3392"/>
    <w:rsid w:val="006E352E"/>
    <w:rsid w:val="006E3595"/>
    <w:rsid w:val="006E3643"/>
    <w:rsid w:val="006E3676"/>
    <w:rsid w:val="006E3774"/>
    <w:rsid w:val="006E37A0"/>
    <w:rsid w:val="006E37C6"/>
    <w:rsid w:val="006E38C4"/>
    <w:rsid w:val="006E3919"/>
    <w:rsid w:val="006E397A"/>
    <w:rsid w:val="006E3994"/>
    <w:rsid w:val="006E39B6"/>
    <w:rsid w:val="006E3A59"/>
    <w:rsid w:val="006E3B14"/>
    <w:rsid w:val="006E3B20"/>
    <w:rsid w:val="006E3B80"/>
    <w:rsid w:val="006E3BBD"/>
    <w:rsid w:val="006E3BFB"/>
    <w:rsid w:val="006E3C82"/>
    <w:rsid w:val="006E3E5A"/>
    <w:rsid w:val="006E3EB0"/>
    <w:rsid w:val="006E3ED3"/>
    <w:rsid w:val="006E3EE9"/>
    <w:rsid w:val="006E3F39"/>
    <w:rsid w:val="006E3FF3"/>
    <w:rsid w:val="006E40D7"/>
    <w:rsid w:val="006E4197"/>
    <w:rsid w:val="006E41A2"/>
    <w:rsid w:val="006E41CA"/>
    <w:rsid w:val="006E41E3"/>
    <w:rsid w:val="006E43BC"/>
    <w:rsid w:val="006E440D"/>
    <w:rsid w:val="006E4433"/>
    <w:rsid w:val="006E4469"/>
    <w:rsid w:val="006E44A2"/>
    <w:rsid w:val="006E44AE"/>
    <w:rsid w:val="006E452E"/>
    <w:rsid w:val="006E4545"/>
    <w:rsid w:val="006E456F"/>
    <w:rsid w:val="006E4591"/>
    <w:rsid w:val="006E45C2"/>
    <w:rsid w:val="006E45FF"/>
    <w:rsid w:val="006E4608"/>
    <w:rsid w:val="006E468D"/>
    <w:rsid w:val="006E473A"/>
    <w:rsid w:val="006E496E"/>
    <w:rsid w:val="006E4970"/>
    <w:rsid w:val="006E49AA"/>
    <w:rsid w:val="006E49D7"/>
    <w:rsid w:val="006E49E4"/>
    <w:rsid w:val="006E4A06"/>
    <w:rsid w:val="006E4AFF"/>
    <w:rsid w:val="006E4BCF"/>
    <w:rsid w:val="006E4BD8"/>
    <w:rsid w:val="006E4CA6"/>
    <w:rsid w:val="006E4D08"/>
    <w:rsid w:val="006E4D24"/>
    <w:rsid w:val="006E4D32"/>
    <w:rsid w:val="006E4D4A"/>
    <w:rsid w:val="006E4D76"/>
    <w:rsid w:val="006E4EC7"/>
    <w:rsid w:val="006E4EFE"/>
    <w:rsid w:val="006E4F35"/>
    <w:rsid w:val="006E4F40"/>
    <w:rsid w:val="006E4F82"/>
    <w:rsid w:val="006E4FA6"/>
    <w:rsid w:val="006E4FD0"/>
    <w:rsid w:val="006E4FD5"/>
    <w:rsid w:val="006E5067"/>
    <w:rsid w:val="006E5075"/>
    <w:rsid w:val="006E508F"/>
    <w:rsid w:val="006E50A5"/>
    <w:rsid w:val="006E5374"/>
    <w:rsid w:val="006E53EB"/>
    <w:rsid w:val="006E5495"/>
    <w:rsid w:val="006E5534"/>
    <w:rsid w:val="006E5549"/>
    <w:rsid w:val="006E565A"/>
    <w:rsid w:val="006E5683"/>
    <w:rsid w:val="006E56A6"/>
    <w:rsid w:val="006E56FB"/>
    <w:rsid w:val="006E5716"/>
    <w:rsid w:val="006E5720"/>
    <w:rsid w:val="006E5729"/>
    <w:rsid w:val="006E5758"/>
    <w:rsid w:val="006E5899"/>
    <w:rsid w:val="006E58A3"/>
    <w:rsid w:val="006E58BE"/>
    <w:rsid w:val="006E5923"/>
    <w:rsid w:val="006E5942"/>
    <w:rsid w:val="006E5A9C"/>
    <w:rsid w:val="006E5B44"/>
    <w:rsid w:val="006E5BB9"/>
    <w:rsid w:val="006E5C47"/>
    <w:rsid w:val="006E5CD4"/>
    <w:rsid w:val="006E5D1A"/>
    <w:rsid w:val="006E5DEA"/>
    <w:rsid w:val="006E5E20"/>
    <w:rsid w:val="006E5E8F"/>
    <w:rsid w:val="006E5EBE"/>
    <w:rsid w:val="006E5F17"/>
    <w:rsid w:val="006E5F76"/>
    <w:rsid w:val="006E5F86"/>
    <w:rsid w:val="006E5F93"/>
    <w:rsid w:val="006E6087"/>
    <w:rsid w:val="006E60FC"/>
    <w:rsid w:val="006E6114"/>
    <w:rsid w:val="006E6231"/>
    <w:rsid w:val="006E6279"/>
    <w:rsid w:val="006E62DA"/>
    <w:rsid w:val="006E6381"/>
    <w:rsid w:val="006E6396"/>
    <w:rsid w:val="006E642D"/>
    <w:rsid w:val="006E6431"/>
    <w:rsid w:val="006E6453"/>
    <w:rsid w:val="006E6504"/>
    <w:rsid w:val="006E6544"/>
    <w:rsid w:val="006E6592"/>
    <w:rsid w:val="006E65C4"/>
    <w:rsid w:val="006E6612"/>
    <w:rsid w:val="006E6741"/>
    <w:rsid w:val="006E67C6"/>
    <w:rsid w:val="006E67CD"/>
    <w:rsid w:val="006E681E"/>
    <w:rsid w:val="006E683D"/>
    <w:rsid w:val="006E6856"/>
    <w:rsid w:val="006E6878"/>
    <w:rsid w:val="006E68AE"/>
    <w:rsid w:val="006E68B6"/>
    <w:rsid w:val="006E69E6"/>
    <w:rsid w:val="006E6A25"/>
    <w:rsid w:val="006E6B1A"/>
    <w:rsid w:val="006E6C9F"/>
    <w:rsid w:val="006E6D6E"/>
    <w:rsid w:val="006E6E64"/>
    <w:rsid w:val="006E6F3E"/>
    <w:rsid w:val="006E6FF4"/>
    <w:rsid w:val="006E704A"/>
    <w:rsid w:val="006E711B"/>
    <w:rsid w:val="006E7134"/>
    <w:rsid w:val="006E7147"/>
    <w:rsid w:val="006E719C"/>
    <w:rsid w:val="006E721A"/>
    <w:rsid w:val="006E7275"/>
    <w:rsid w:val="006E72A9"/>
    <w:rsid w:val="006E73D3"/>
    <w:rsid w:val="006E73FA"/>
    <w:rsid w:val="006E742A"/>
    <w:rsid w:val="006E753B"/>
    <w:rsid w:val="006E759C"/>
    <w:rsid w:val="006E75A4"/>
    <w:rsid w:val="006E75A9"/>
    <w:rsid w:val="006E7624"/>
    <w:rsid w:val="006E7667"/>
    <w:rsid w:val="006E76BA"/>
    <w:rsid w:val="006E7702"/>
    <w:rsid w:val="006E7751"/>
    <w:rsid w:val="006E77BB"/>
    <w:rsid w:val="006E77DF"/>
    <w:rsid w:val="006E77E1"/>
    <w:rsid w:val="006E788F"/>
    <w:rsid w:val="006E7A02"/>
    <w:rsid w:val="006E7A72"/>
    <w:rsid w:val="006E7C91"/>
    <w:rsid w:val="006E7CFE"/>
    <w:rsid w:val="006E7D07"/>
    <w:rsid w:val="006E7D86"/>
    <w:rsid w:val="006E7E9D"/>
    <w:rsid w:val="006E7EBF"/>
    <w:rsid w:val="006E7F16"/>
    <w:rsid w:val="006E7F1B"/>
    <w:rsid w:val="006E7F29"/>
    <w:rsid w:val="006E7F3A"/>
    <w:rsid w:val="006F0025"/>
    <w:rsid w:val="006F0038"/>
    <w:rsid w:val="006F0061"/>
    <w:rsid w:val="006F00CC"/>
    <w:rsid w:val="006F0121"/>
    <w:rsid w:val="006F01B3"/>
    <w:rsid w:val="006F01CA"/>
    <w:rsid w:val="006F02F9"/>
    <w:rsid w:val="006F03A7"/>
    <w:rsid w:val="006F03B1"/>
    <w:rsid w:val="006F041D"/>
    <w:rsid w:val="006F0440"/>
    <w:rsid w:val="006F04FC"/>
    <w:rsid w:val="006F0588"/>
    <w:rsid w:val="006F05CD"/>
    <w:rsid w:val="006F0637"/>
    <w:rsid w:val="006F0667"/>
    <w:rsid w:val="006F066A"/>
    <w:rsid w:val="006F0760"/>
    <w:rsid w:val="006F0789"/>
    <w:rsid w:val="006F0797"/>
    <w:rsid w:val="006F086E"/>
    <w:rsid w:val="006F088F"/>
    <w:rsid w:val="006F08C3"/>
    <w:rsid w:val="006F093C"/>
    <w:rsid w:val="006F099D"/>
    <w:rsid w:val="006F0A66"/>
    <w:rsid w:val="006F0A8F"/>
    <w:rsid w:val="006F0AFF"/>
    <w:rsid w:val="006F0B3C"/>
    <w:rsid w:val="006F0B5C"/>
    <w:rsid w:val="006F0BA7"/>
    <w:rsid w:val="006F0BB1"/>
    <w:rsid w:val="006F0C50"/>
    <w:rsid w:val="006F0CB4"/>
    <w:rsid w:val="006F0D26"/>
    <w:rsid w:val="006F0D86"/>
    <w:rsid w:val="006F0E38"/>
    <w:rsid w:val="006F0EEA"/>
    <w:rsid w:val="006F0EEE"/>
    <w:rsid w:val="006F0FE5"/>
    <w:rsid w:val="006F1004"/>
    <w:rsid w:val="006F102A"/>
    <w:rsid w:val="006F1095"/>
    <w:rsid w:val="006F10AE"/>
    <w:rsid w:val="006F10E9"/>
    <w:rsid w:val="006F1155"/>
    <w:rsid w:val="006F1163"/>
    <w:rsid w:val="006F11F0"/>
    <w:rsid w:val="006F11FD"/>
    <w:rsid w:val="006F135E"/>
    <w:rsid w:val="006F139B"/>
    <w:rsid w:val="006F1427"/>
    <w:rsid w:val="006F1453"/>
    <w:rsid w:val="006F14A3"/>
    <w:rsid w:val="006F14DE"/>
    <w:rsid w:val="006F14E7"/>
    <w:rsid w:val="006F159A"/>
    <w:rsid w:val="006F1619"/>
    <w:rsid w:val="006F168D"/>
    <w:rsid w:val="006F16E6"/>
    <w:rsid w:val="006F1726"/>
    <w:rsid w:val="006F1777"/>
    <w:rsid w:val="006F17B8"/>
    <w:rsid w:val="006F17BF"/>
    <w:rsid w:val="006F17D2"/>
    <w:rsid w:val="006F17E3"/>
    <w:rsid w:val="006F17E6"/>
    <w:rsid w:val="006F1808"/>
    <w:rsid w:val="006F189E"/>
    <w:rsid w:val="006F18AF"/>
    <w:rsid w:val="006F18D4"/>
    <w:rsid w:val="006F1907"/>
    <w:rsid w:val="006F190F"/>
    <w:rsid w:val="006F1968"/>
    <w:rsid w:val="006F1978"/>
    <w:rsid w:val="006F19BD"/>
    <w:rsid w:val="006F19E0"/>
    <w:rsid w:val="006F1B17"/>
    <w:rsid w:val="006F1B3C"/>
    <w:rsid w:val="006F1B3E"/>
    <w:rsid w:val="006F1B60"/>
    <w:rsid w:val="006F1BDB"/>
    <w:rsid w:val="006F1BEC"/>
    <w:rsid w:val="006F1CCD"/>
    <w:rsid w:val="006F1CCF"/>
    <w:rsid w:val="006F1D28"/>
    <w:rsid w:val="006F1E3B"/>
    <w:rsid w:val="006F1EAD"/>
    <w:rsid w:val="006F1FAD"/>
    <w:rsid w:val="006F1FBB"/>
    <w:rsid w:val="006F1FE0"/>
    <w:rsid w:val="006F202A"/>
    <w:rsid w:val="006F2050"/>
    <w:rsid w:val="006F2085"/>
    <w:rsid w:val="006F20D4"/>
    <w:rsid w:val="006F21A4"/>
    <w:rsid w:val="006F21CA"/>
    <w:rsid w:val="006F21DB"/>
    <w:rsid w:val="006F2296"/>
    <w:rsid w:val="006F22B2"/>
    <w:rsid w:val="006F22C4"/>
    <w:rsid w:val="006F23E6"/>
    <w:rsid w:val="006F2404"/>
    <w:rsid w:val="006F242D"/>
    <w:rsid w:val="006F24E9"/>
    <w:rsid w:val="006F2574"/>
    <w:rsid w:val="006F25B8"/>
    <w:rsid w:val="006F266C"/>
    <w:rsid w:val="006F2678"/>
    <w:rsid w:val="006F269F"/>
    <w:rsid w:val="006F26BD"/>
    <w:rsid w:val="006F280C"/>
    <w:rsid w:val="006F28F4"/>
    <w:rsid w:val="006F299E"/>
    <w:rsid w:val="006F29B2"/>
    <w:rsid w:val="006F29CC"/>
    <w:rsid w:val="006F29EF"/>
    <w:rsid w:val="006F2A6C"/>
    <w:rsid w:val="006F2A77"/>
    <w:rsid w:val="006F2C0A"/>
    <w:rsid w:val="006F2C12"/>
    <w:rsid w:val="006F2CB4"/>
    <w:rsid w:val="006F2CCD"/>
    <w:rsid w:val="006F2D87"/>
    <w:rsid w:val="006F2E97"/>
    <w:rsid w:val="006F2EA4"/>
    <w:rsid w:val="006F2F83"/>
    <w:rsid w:val="006F2FFB"/>
    <w:rsid w:val="006F3045"/>
    <w:rsid w:val="006F3064"/>
    <w:rsid w:val="006F309E"/>
    <w:rsid w:val="006F331B"/>
    <w:rsid w:val="006F331C"/>
    <w:rsid w:val="006F33C6"/>
    <w:rsid w:val="006F3401"/>
    <w:rsid w:val="006F3471"/>
    <w:rsid w:val="006F34A8"/>
    <w:rsid w:val="006F34E5"/>
    <w:rsid w:val="006F35A3"/>
    <w:rsid w:val="006F3606"/>
    <w:rsid w:val="006F365C"/>
    <w:rsid w:val="006F376D"/>
    <w:rsid w:val="006F3773"/>
    <w:rsid w:val="006F37E4"/>
    <w:rsid w:val="006F3804"/>
    <w:rsid w:val="006F3841"/>
    <w:rsid w:val="006F38B2"/>
    <w:rsid w:val="006F38D2"/>
    <w:rsid w:val="006F38F1"/>
    <w:rsid w:val="006F3911"/>
    <w:rsid w:val="006F391E"/>
    <w:rsid w:val="006F3A0E"/>
    <w:rsid w:val="006F3ACF"/>
    <w:rsid w:val="006F3B0C"/>
    <w:rsid w:val="006F3B4B"/>
    <w:rsid w:val="006F3C13"/>
    <w:rsid w:val="006F3C33"/>
    <w:rsid w:val="006F3C47"/>
    <w:rsid w:val="006F3CD5"/>
    <w:rsid w:val="006F3CDF"/>
    <w:rsid w:val="006F3D02"/>
    <w:rsid w:val="006F3D27"/>
    <w:rsid w:val="006F3E84"/>
    <w:rsid w:val="006F3EBB"/>
    <w:rsid w:val="006F3F4A"/>
    <w:rsid w:val="006F3FBE"/>
    <w:rsid w:val="006F3FCE"/>
    <w:rsid w:val="006F3FF4"/>
    <w:rsid w:val="006F4010"/>
    <w:rsid w:val="006F404E"/>
    <w:rsid w:val="006F4113"/>
    <w:rsid w:val="006F4151"/>
    <w:rsid w:val="006F4152"/>
    <w:rsid w:val="006F4163"/>
    <w:rsid w:val="006F433E"/>
    <w:rsid w:val="006F4386"/>
    <w:rsid w:val="006F43AE"/>
    <w:rsid w:val="006F43F0"/>
    <w:rsid w:val="006F4586"/>
    <w:rsid w:val="006F45A0"/>
    <w:rsid w:val="006F4608"/>
    <w:rsid w:val="006F46A7"/>
    <w:rsid w:val="006F4727"/>
    <w:rsid w:val="006F47DF"/>
    <w:rsid w:val="006F4848"/>
    <w:rsid w:val="006F4888"/>
    <w:rsid w:val="006F48D6"/>
    <w:rsid w:val="006F48F9"/>
    <w:rsid w:val="006F492D"/>
    <w:rsid w:val="006F4ABA"/>
    <w:rsid w:val="006F4B2E"/>
    <w:rsid w:val="006F4B7F"/>
    <w:rsid w:val="006F4C12"/>
    <w:rsid w:val="006F4CD9"/>
    <w:rsid w:val="006F4CFA"/>
    <w:rsid w:val="006F4D82"/>
    <w:rsid w:val="006F4E6C"/>
    <w:rsid w:val="006F4E92"/>
    <w:rsid w:val="006F4EED"/>
    <w:rsid w:val="006F4F12"/>
    <w:rsid w:val="006F4F22"/>
    <w:rsid w:val="006F4F5D"/>
    <w:rsid w:val="006F5013"/>
    <w:rsid w:val="006F504E"/>
    <w:rsid w:val="006F51D8"/>
    <w:rsid w:val="006F523A"/>
    <w:rsid w:val="006F5285"/>
    <w:rsid w:val="006F52BC"/>
    <w:rsid w:val="006F52E1"/>
    <w:rsid w:val="006F5320"/>
    <w:rsid w:val="006F5342"/>
    <w:rsid w:val="006F5372"/>
    <w:rsid w:val="006F549F"/>
    <w:rsid w:val="006F54A3"/>
    <w:rsid w:val="006F551B"/>
    <w:rsid w:val="006F55A9"/>
    <w:rsid w:val="006F563E"/>
    <w:rsid w:val="006F568F"/>
    <w:rsid w:val="006F5697"/>
    <w:rsid w:val="006F56AB"/>
    <w:rsid w:val="006F56EF"/>
    <w:rsid w:val="006F5708"/>
    <w:rsid w:val="006F57C3"/>
    <w:rsid w:val="006F5885"/>
    <w:rsid w:val="006F594A"/>
    <w:rsid w:val="006F5994"/>
    <w:rsid w:val="006F599B"/>
    <w:rsid w:val="006F5B0A"/>
    <w:rsid w:val="006F5C27"/>
    <w:rsid w:val="006F5C33"/>
    <w:rsid w:val="006F5C66"/>
    <w:rsid w:val="006F5CAA"/>
    <w:rsid w:val="006F5D11"/>
    <w:rsid w:val="006F5E98"/>
    <w:rsid w:val="006F5F45"/>
    <w:rsid w:val="006F5F46"/>
    <w:rsid w:val="006F5F4C"/>
    <w:rsid w:val="006F5F76"/>
    <w:rsid w:val="006F5F7E"/>
    <w:rsid w:val="006F5FC1"/>
    <w:rsid w:val="006F602F"/>
    <w:rsid w:val="006F619A"/>
    <w:rsid w:val="006F62BA"/>
    <w:rsid w:val="006F63C3"/>
    <w:rsid w:val="006F6418"/>
    <w:rsid w:val="006F653B"/>
    <w:rsid w:val="006F65AF"/>
    <w:rsid w:val="006F663F"/>
    <w:rsid w:val="006F6760"/>
    <w:rsid w:val="006F68E3"/>
    <w:rsid w:val="006F6901"/>
    <w:rsid w:val="006F6A1D"/>
    <w:rsid w:val="006F6A9B"/>
    <w:rsid w:val="006F6AA7"/>
    <w:rsid w:val="006F6ACA"/>
    <w:rsid w:val="006F6B62"/>
    <w:rsid w:val="006F6C7C"/>
    <w:rsid w:val="006F6CA9"/>
    <w:rsid w:val="006F6CB9"/>
    <w:rsid w:val="006F6CC9"/>
    <w:rsid w:val="006F6CEF"/>
    <w:rsid w:val="006F6CF2"/>
    <w:rsid w:val="006F6D49"/>
    <w:rsid w:val="006F6EB6"/>
    <w:rsid w:val="006F6EBE"/>
    <w:rsid w:val="006F6F50"/>
    <w:rsid w:val="006F6F69"/>
    <w:rsid w:val="006F6F72"/>
    <w:rsid w:val="006F7004"/>
    <w:rsid w:val="006F7029"/>
    <w:rsid w:val="006F70E0"/>
    <w:rsid w:val="006F712F"/>
    <w:rsid w:val="006F7144"/>
    <w:rsid w:val="006F719E"/>
    <w:rsid w:val="006F72CA"/>
    <w:rsid w:val="006F72FB"/>
    <w:rsid w:val="006F7352"/>
    <w:rsid w:val="006F73C4"/>
    <w:rsid w:val="006F73D8"/>
    <w:rsid w:val="006F73DB"/>
    <w:rsid w:val="006F7414"/>
    <w:rsid w:val="006F7452"/>
    <w:rsid w:val="006F750E"/>
    <w:rsid w:val="006F75A7"/>
    <w:rsid w:val="006F75DC"/>
    <w:rsid w:val="006F75E2"/>
    <w:rsid w:val="006F7713"/>
    <w:rsid w:val="006F779C"/>
    <w:rsid w:val="006F77AF"/>
    <w:rsid w:val="006F78B9"/>
    <w:rsid w:val="006F79BE"/>
    <w:rsid w:val="006F7A46"/>
    <w:rsid w:val="006F7A77"/>
    <w:rsid w:val="006F7A96"/>
    <w:rsid w:val="006F7B19"/>
    <w:rsid w:val="006F7BA9"/>
    <w:rsid w:val="006F7BC7"/>
    <w:rsid w:val="006F7BF5"/>
    <w:rsid w:val="006F7C28"/>
    <w:rsid w:val="006F7D25"/>
    <w:rsid w:val="007000BB"/>
    <w:rsid w:val="007000BD"/>
    <w:rsid w:val="00700181"/>
    <w:rsid w:val="0070022F"/>
    <w:rsid w:val="007002CA"/>
    <w:rsid w:val="0070031A"/>
    <w:rsid w:val="00700342"/>
    <w:rsid w:val="007003C5"/>
    <w:rsid w:val="007003EE"/>
    <w:rsid w:val="00700442"/>
    <w:rsid w:val="007004A3"/>
    <w:rsid w:val="007004CF"/>
    <w:rsid w:val="00700507"/>
    <w:rsid w:val="007005DE"/>
    <w:rsid w:val="007006AB"/>
    <w:rsid w:val="00700819"/>
    <w:rsid w:val="00700908"/>
    <w:rsid w:val="00700948"/>
    <w:rsid w:val="00700980"/>
    <w:rsid w:val="007009B3"/>
    <w:rsid w:val="007009D1"/>
    <w:rsid w:val="00700A0B"/>
    <w:rsid w:val="00700A5C"/>
    <w:rsid w:val="00700A6A"/>
    <w:rsid w:val="00700AB4"/>
    <w:rsid w:val="00700AFF"/>
    <w:rsid w:val="00700B51"/>
    <w:rsid w:val="00700B65"/>
    <w:rsid w:val="00700B90"/>
    <w:rsid w:val="00700D78"/>
    <w:rsid w:val="00700D8A"/>
    <w:rsid w:val="00700DE2"/>
    <w:rsid w:val="00700E24"/>
    <w:rsid w:val="00700E34"/>
    <w:rsid w:val="00700E7A"/>
    <w:rsid w:val="00700EEA"/>
    <w:rsid w:val="00700F61"/>
    <w:rsid w:val="0070117B"/>
    <w:rsid w:val="007011CB"/>
    <w:rsid w:val="00701206"/>
    <w:rsid w:val="007013FB"/>
    <w:rsid w:val="0070144C"/>
    <w:rsid w:val="00701504"/>
    <w:rsid w:val="0070155D"/>
    <w:rsid w:val="00701582"/>
    <w:rsid w:val="0070162C"/>
    <w:rsid w:val="00701705"/>
    <w:rsid w:val="00701745"/>
    <w:rsid w:val="0070178F"/>
    <w:rsid w:val="0070183D"/>
    <w:rsid w:val="007018C6"/>
    <w:rsid w:val="0070191D"/>
    <w:rsid w:val="0070196E"/>
    <w:rsid w:val="00701988"/>
    <w:rsid w:val="007019C1"/>
    <w:rsid w:val="007019DB"/>
    <w:rsid w:val="00701A00"/>
    <w:rsid w:val="00701AFF"/>
    <w:rsid w:val="00701BA2"/>
    <w:rsid w:val="00701C31"/>
    <w:rsid w:val="00701CCA"/>
    <w:rsid w:val="00701D0B"/>
    <w:rsid w:val="00701E0F"/>
    <w:rsid w:val="00701EEF"/>
    <w:rsid w:val="00702071"/>
    <w:rsid w:val="00702130"/>
    <w:rsid w:val="00702191"/>
    <w:rsid w:val="00702289"/>
    <w:rsid w:val="007022C9"/>
    <w:rsid w:val="00702393"/>
    <w:rsid w:val="007023C2"/>
    <w:rsid w:val="00702538"/>
    <w:rsid w:val="00702593"/>
    <w:rsid w:val="007025A4"/>
    <w:rsid w:val="007025A9"/>
    <w:rsid w:val="007025B9"/>
    <w:rsid w:val="00702631"/>
    <w:rsid w:val="0070273A"/>
    <w:rsid w:val="0070283A"/>
    <w:rsid w:val="00702869"/>
    <w:rsid w:val="00702A5E"/>
    <w:rsid w:val="00702B21"/>
    <w:rsid w:val="00702B65"/>
    <w:rsid w:val="00702C71"/>
    <w:rsid w:val="00702CA5"/>
    <w:rsid w:val="00702D0D"/>
    <w:rsid w:val="00702D44"/>
    <w:rsid w:val="00702E1F"/>
    <w:rsid w:val="00702F5B"/>
    <w:rsid w:val="00702F66"/>
    <w:rsid w:val="00702F77"/>
    <w:rsid w:val="00702FE5"/>
    <w:rsid w:val="00703023"/>
    <w:rsid w:val="00703032"/>
    <w:rsid w:val="00703078"/>
    <w:rsid w:val="007030C4"/>
    <w:rsid w:val="007031D3"/>
    <w:rsid w:val="0070323A"/>
    <w:rsid w:val="007032A9"/>
    <w:rsid w:val="007032D5"/>
    <w:rsid w:val="00703357"/>
    <w:rsid w:val="00703381"/>
    <w:rsid w:val="0070339F"/>
    <w:rsid w:val="007033B2"/>
    <w:rsid w:val="007033ED"/>
    <w:rsid w:val="00703417"/>
    <w:rsid w:val="00703496"/>
    <w:rsid w:val="0070349F"/>
    <w:rsid w:val="00703559"/>
    <w:rsid w:val="00703657"/>
    <w:rsid w:val="007038F8"/>
    <w:rsid w:val="00703991"/>
    <w:rsid w:val="007039EA"/>
    <w:rsid w:val="00703A1A"/>
    <w:rsid w:val="00703A48"/>
    <w:rsid w:val="00703A7A"/>
    <w:rsid w:val="00703A99"/>
    <w:rsid w:val="00703B04"/>
    <w:rsid w:val="00703B4F"/>
    <w:rsid w:val="00703BE4"/>
    <w:rsid w:val="00703C04"/>
    <w:rsid w:val="00703C0B"/>
    <w:rsid w:val="00703C20"/>
    <w:rsid w:val="00703C8F"/>
    <w:rsid w:val="00703CDF"/>
    <w:rsid w:val="00703D18"/>
    <w:rsid w:val="00703D59"/>
    <w:rsid w:val="00703DA8"/>
    <w:rsid w:val="00703DCD"/>
    <w:rsid w:val="00703DE1"/>
    <w:rsid w:val="00703DF2"/>
    <w:rsid w:val="00703E9C"/>
    <w:rsid w:val="00703EB2"/>
    <w:rsid w:val="00703EFC"/>
    <w:rsid w:val="00703F3A"/>
    <w:rsid w:val="00703F64"/>
    <w:rsid w:val="00704063"/>
    <w:rsid w:val="00704070"/>
    <w:rsid w:val="007040BF"/>
    <w:rsid w:val="0070415D"/>
    <w:rsid w:val="007041E5"/>
    <w:rsid w:val="0070421F"/>
    <w:rsid w:val="00704283"/>
    <w:rsid w:val="0070432B"/>
    <w:rsid w:val="00704331"/>
    <w:rsid w:val="00704348"/>
    <w:rsid w:val="00704351"/>
    <w:rsid w:val="0070439E"/>
    <w:rsid w:val="007043B2"/>
    <w:rsid w:val="0070440F"/>
    <w:rsid w:val="0070448B"/>
    <w:rsid w:val="007044B6"/>
    <w:rsid w:val="007044F5"/>
    <w:rsid w:val="007045F6"/>
    <w:rsid w:val="00704655"/>
    <w:rsid w:val="00704741"/>
    <w:rsid w:val="00704799"/>
    <w:rsid w:val="007047B4"/>
    <w:rsid w:val="007048BF"/>
    <w:rsid w:val="007048C4"/>
    <w:rsid w:val="0070492F"/>
    <w:rsid w:val="007049E3"/>
    <w:rsid w:val="00704ACF"/>
    <w:rsid w:val="00704AF9"/>
    <w:rsid w:val="00704B04"/>
    <w:rsid w:val="00704B3C"/>
    <w:rsid w:val="00704B98"/>
    <w:rsid w:val="00704BA3"/>
    <w:rsid w:val="00704BD5"/>
    <w:rsid w:val="00704D34"/>
    <w:rsid w:val="00704ED3"/>
    <w:rsid w:val="00704F30"/>
    <w:rsid w:val="00704FAC"/>
    <w:rsid w:val="00705021"/>
    <w:rsid w:val="0070503F"/>
    <w:rsid w:val="007050D8"/>
    <w:rsid w:val="0070513D"/>
    <w:rsid w:val="00705154"/>
    <w:rsid w:val="0070516F"/>
    <w:rsid w:val="007051C0"/>
    <w:rsid w:val="007051F4"/>
    <w:rsid w:val="0070521B"/>
    <w:rsid w:val="00705232"/>
    <w:rsid w:val="00705255"/>
    <w:rsid w:val="00705339"/>
    <w:rsid w:val="0070538B"/>
    <w:rsid w:val="007053AB"/>
    <w:rsid w:val="00705411"/>
    <w:rsid w:val="00705453"/>
    <w:rsid w:val="00705455"/>
    <w:rsid w:val="007054A0"/>
    <w:rsid w:val="00705508"/>
    <w:rsid w:val="0070554B"/>
    <w:rsid w:val="00705688"/>
    <w:rsid w:val="007056AB"/>
    <w:rsid w:val="007056FA"/>
    <w:rsid w:val="00705704"/>
    <w:rsid w:val="00705759"/>
    <w:rsid w:val="00705787"/>
    <w:rsid w:val="00705884"/>
    <w:rsid w:val="00705909"/>
    <w:rsid w:val="00705932"/>
    <w:rsid w:val="007059A1"/>
    <w:rsid w:val="007059E5"/>
    <w:rsid w:val="00705A32"/>
    <w:rsid w:val="00705B14"/>
    <w:rsid w:val="00705C3A"/>
    <w:rsid w:val="00705C66"/>
    <w:rsid w:val="00705C97"/>
    <w:rsid w:val="00705CF6"/>
    <w:rsid w:val="00705D53"/>
    <w:rsid w:val="00705DB4"/>
    <w:rsid w:val="00705DE7"/>
    <w:rsid w:val="00705E25"/>
    <w:rsid w:val="00705E82"/>
    <w:rsid w:val="00705EDE"/>
    <w:rsid w:val="00705F41"/>
    <w:rsid w:val="00705FE5"/>
    <w:rsid w:val="00706002"/>
    <w:rsid w:val="00706061"/>
    <w:rsid w:val="00706096"/>
    <w:rsid w:val="00706162"/>
    <w:rsid w:val="00706205"/>
    <w:rsid w:val="007062A5"/>
    <w:rsid w:val="00706358"/>
    <w:rsid w:val="00706481"/>
    <w:rsid w:val="007064AD"/>
    <w:rsid w:val="00706519"/>
    <w:rsid w:val="007065AC"/>
    <w:rsid w:val="00706614"/>
    <w:rsid w:val="0070663A"/>
    <w:rsid w:val="0070668F"/>
    <w:rsid w:val="007066B3"/>
    <w:rsid w:val="007066F4"/>
    <w:rsid w:val="007067C6"/>
    <w:rsid w:val="007067EB"/>
    <w:rsid w:val="00706971"/>
    <w:rsid w:val="007069EC"/>
    <w:rsid w:val="00706A17"/>
    <w:rsid w:val="00706A22"/>
    <w:rsid w:val="00706B12"/>
    <w:rsid w:val="00706B9F"/>
    <w:rsid w:val="00706E00"/>
    <w:rsid w:val="00706ECF"/>
    <w:rsid w:val="00706EEE"/>
    <w:rsid w:val="00706EF8"/>
    <w:rsid w:val="00706F34"/>
    <w:rsid w:val="00706F8C"/>
    <w:rsid w:val="0070704C"/>
    <w:rsid w:val="00707088"/>
    <w:rsid w:val="00707148"/>
    <w:rsid w:val="00707156"/>
    <w:rsid w:val="00707167"/>
    <w:rsid w:val="00707172"/>
    <w:rsid w:val="00707289"/>
    <w:rsid w:val="00707299"/>
    <w:rsid w:val="007072BB"/>
    <w:rsid w:val="007072D8"/>
    <w:rsid w:val="007072F7"/>
    <w:rsid w:val="0070730E"/>
    <w:rsid w:val="007073D7"/>
    <w:rsid w:val="007073DE"/>
    <w:rsid w:val="00707426"/>
    <w:rsid w:val="0070742E"/>
    <w:rsid w:val="00707438"/>
    <w:rsid w:val="00707451"/>
    <w:rsid w:val="007074B5"/>
    <w:rsid w:val="007075EB"/>
    <w:rsid w:val="00707603"/>
    <w:rsid w:val="007076CB"/>
    <w:rsid w:val="007076D8"/>
    <w:rsid w:val="0070772D"/>
    <w:rsid w:val="007077A4"/>
    <w:rsid w:val="007077AF"/>
    <w:rsid w:val="0070784A"/>
    <w:rsid w:val="0070784F"/>
    <w:rsid w:val="007078DF"/>
    <w:rsid w:val="007078FE"/>
    <w:rsid w:val="0070790E"/>
    <w:rsid w:val="00707A08"/>
    <w:rsid w:val="00707A80"/>
    <w:rsid w:val="00707B0E"/>
    <w:rsid w:val="00707B16"/>
    <w:rsid w:val="00707B29"/>
    <w:rsid w:val="00707BE3"/>
    <w:rsid w:val="00707C03"/>
    <w:rsid w:val="00707C09"/>
    <w:rsid w:val="00707C5B"/>
    <w:rsid w:val="00707C7A"/>
    <w:rsid w:val="00707CD7"/>
    <w:rsid w:val="00707D56"/>
    <w:rsid w:val="00707D97"/>
    <w:rsid w:val="00707E48"/>
    <w:rsid w:val="00707F0B"/>
    <w:rsid w:val="00707F18"/>
    <w:rsid w:val="00707F7A"/>
    <w:rsid w:val="00707F9F"/>
    <w:rsid w:val="0071003E"/>
    <w:rsid w:val="007100DF"/>
    <w:rsid w:val="00710186"/>
    <w:rsid w:val="007101E3"/>
    <w:rsid w:val="00710394"/>
    <w:rsid w:val="007103B5"/>
    <w:rsid w:val="00710444"/>
    <w:rsid w:val="0071046D"/>
    <w:rsid w:val="0071052A"/>
    <w:rsid w:val="007105DF"/>
    <w:rsid w:val="0071069A"/>
    <w:rsid w:val="0071078B"/>
    <w:rsid w:val="007107A2"/>
    <w:rsid w:val="00710888"/>
    <w:rsid w:val="00710A75"/>
    <w:rsid w:val="00710B0A"/>
    <w:rsid w:val="00710B5D"/>
    <w:rsid w:val="00710B7F"/>
    <w:rsid w:val="00710C03"/>
    <w:rsid w:val="00710C06"/>
    <w:rsid w:val="00710C68"/>
    <w:rsid w:val="00710C7E"/>
    <w:rsid w:val="00710CC9"/>
    <w:rsid w:val="00710D56"/>
    <w:rsid w:val="00710D84"/>
    <w:rsid w:val="00710DDE"/>
    <w:rsid w:val="00710DE5"/>
    <w:rsid w:val="00710E45"/>
    <w:rsid w:val="00710E7D"/>
    <w:rsid w:val="007110CE"/>
    <w:rsid w:val="00711107"/>
    <w:rsid w:val="00711114"/>
    <w:rsid w:val="00711134"/>
    <w:rsid w:val="007111DF"/>
    <w:rsid w:val="00711257"/>
    <w:rsid w:val="0071127C"/>
    <w:rsid w:val="00711288"/>
    <w:rsid w:val="00711329"/>
    <w:rsid w:val="007113E0"/>
    <w:rsid w:val="00711446"/>
    <w:rsid w:val="0071146C"/>
    <w:rsid w:val="00711576"/>
    <w:rsid w:val="0071158E"/>
    <w:rsid w:val="007115D5"/>
    <w:rsid w:val="0071169F"/>
    <w:rsid w:val="007116EF"/>
    <w:rsid w:val="007117BD"/>
    <w:rsid w:val="00711801"/>
    <w:rsid w:val="00711857"/>
    <w:rsid w:val="00711899"/>
    <w:rsid w:val="0071191B"/>
    <w:rsid w:val="00711935"/>
    <w:rsid w:val="007119D3"/>
    <w:rsid w:val="007119D5"/>
    <w:rsid w:val="00711AAA"/>
    <w:rsid w:val="00711AB4"/>
    <w:rsid w:val="00711B4C"/>
    <w:rsid w:val="00711C21"/>
    <w:rsid w:val="00711C38"/>
    <w:rsid w:val="00711C3B"/>
    <w:rsid w:val="00711C3C"/>
    <w:rsid w:val="00711C76"/>
    <w:rsid w:val="00711CB4"/>
    <w:rsid w:val="00711DC8"/>
    <w:rsid w:val="00711EAC"/>
    <w:rsid w:val="00711ECA"/>
    <w:rsid w:val="00711F3C"/>
    <w:rsid w:val="00711F73"/>
    <w:rsid w:val="00711F82"/>
    <w:rsid w:val="00712028"/>
    <w:rsid w:val="007120A4"/>
    <w:rsid w:val="007120BD"/>
    <w:rsid w:val="0071211B"/>
    <w:rsid w:val="0071214A"/>
    <w:rsid w:val="0071219E"/>
    <w:rsid w:val="00712352"/>
    <w:rsid w:val="007123A6"/>
    <w:rsid w:val="007123EA"/>
    <w:rsid w:val="007123F9"/>
    <w:rsid w:val="00712456"/>
    <w:rsid w:val="007124AC"/>
    <w:rsid w:val="007124B6"/>
    <w:rsid w:val="00712562"/>
    <w:rsid w:val="007125A5"/>
    <w:rsid w:val="00712607"/>
    <w:rsid w:val="00712646"/>
    <w:rsid w:val="0071266C"/>
    <w:rsid w:val="007126BF"/>
    <w:rsid w:val="007126C3"/>
    <w:rsid w:val="007126E7"/>
    <w:rsid w:val="0071273F"/>
    <w:rsid w:val="007127B3"/>
    <w:rsid w:val="007128AE"/>
    <w:rsid w:val="007128EA"/>
    <w:rsid w:val="00712932"/>
    <w:rsid w:val="0071293A"/>
    <w:rsid w:val="0071296E"/>
    <w:rsid w:val="007129AF"/>
    <w:rsid w:val="007129D2"/>
    <w:rsid w:val="00712A52"/>
    <w:rsid w:val="00712AAE"/>
    <w:rsid w:val="00712B55"/>
    <w:rsid w:val="00712BD3"/>
    <w:rsid w:val="00712C08"/>
    <w:rsid w:val="00712C48"/>
    <w:rsid w:val="00712CB0"/>
    <w:rsid w:val="00712CDF"/>
    <w:rsid w:val="00712CF5"/>
    <w:rsid w:val="00712D52"/>
    <w:rsid w:val="00712DCA"/>
    <w:rsid w:val="00713113"/>
    <w:rsid w:val="00713135"/>
    <w:rsid w:val="00713179"/>
    <w:rsid w:val="00713277"/>
    <w:rsid w:val="00713351"/>
    <w:rsid w:val="00713366"/>
    <w:rsid w:val="007133B7"/>
    <w:rsid w:val="00713409"/>
    <w:rsid w:val="0071344A"/>
    <w:rsid w:val="00713647"/>
    <w:rsid w:val="007136CE"/>
    <w:rsid w:val="0071373F"/>
    <w:rsid w:val="0071376A"/>
    <w:rsid w:val="00713787"/>
    <w:rsid w:val="007137A1"/>
    <w:rsid w:val="007137D7"/>
    <w:rsid w:val="007137EA"/>
    <w:rsid w:val="0071382E"/>
    <w:rsid w:val="00713985"/>
    <w:rsid w:val="00713A9E"/>
    <w:rsid w:val="00713ADB"/>
    <w:rsid w:val="00713B01"/>
    <w:rsid w:val="00713BC1"/>
    <w:rsid w:val="00713CAC"/>
    <w:rsid w:val="00713CBB"/>
    <w:rsid w:val="00713CE8"/>
    <w:rsid w:val="00713D24"/>
    <w:rsid w:val="00713DAB"/>
    <w:rsid w:val="00713EC3"/>
    <w:rsid w:val="00713FD0"/>
    <w:rsid w:val="00713FF0"/>
    <w:rsid w:val="0071408F"/>
    <w:rsid w:val="007140F6"/>
    <w:rsid w:val="00714261"/>
    <w:rsid w:val="007142BF"/>
    <w:rsid w:val="007142FC"/>
    <w:rsid w:val="007143CF"/>
    <w:rsid w:val="007143F1"/>
    <w:rsid w:val="007144DB"/>
    <w:rsid w:val="007145BF"/>
    <w:rsid w:val="00714615"/>
    <w:rsid w:val="007146C5"/>
    <w:rsid w:val="007146EE"/>
    <w:rsid w:val="00714736"/>
    <w:rsid w:val="00714783"/>
    <w:rsid w:val="00714817"/>
    <w:rsid w:val="00714A08"/>
    <w:rsid w:val="00714A2B"/>
    <w:rsid w:val="00714A33"/>
    <w:rsid w:val="00714C01"/>
    <w:rsid w:val="00714C25"/>
    <w:rsid w:val="00714C2B"/>
    <w:rsid w:val="00714C61"/>
    <w:rsid w:val="00714CC3"/>
    <w:rsid w:val="00714CD7"/>
    <w:rsid w:val="00714D14"/>
    <w:rsid w:val="00714DFB"/>
    <w:rsid w:val="00714DFE"/>
    <w:rsid w:val="00714E27"/>
    <w:rsid w:val="00714EAB"/>
    <w:rsid w:val="00714EBB"/>
    <w:rsid w:val="00714F77"/>
    <w:rsid w:val="00714F82"/>
    <w:rsid w:val="0071503B"/>
    <w:rsid w:val="00715050"/>
    <w:rsid w:val="0071506B"/>
    <w:rsid w:val="00715078"/>
    <w:rsid w:val="00715154"/>
    <w:rsid w:val="00715174"/>
    <w:rsid w:val="007151FC"/>
    <w:rsid w:val="00715271"/>
    <w:rsid w:val="007152D3"/>
    <w:rsid w:val="007152E7"/>
    <w:rsid w:val="00715358"/>
    <w:rsid w:val="00715521"/>
    <w:rsid w:val="00715540"/>
    <w:rsid w:val="00715542"/>
    <w:rsid w:val="0071562C"/>
    <w:rsid w:val="00715642"/>
    <w:rsid w:val="00715686"/>
    <w:rsid w:val="007156DF"/>
    <w:rsid w:val="00715716"/>
    <w:rsid w:val="00715756"/>
    <w:rsid w:val="007157EB"/>
    <w:rsid w:val="0071590C"/>
    <w:rsid w:val="00715946"/>
    <w:rsid w:val="00715957"/>
    <w:rsid w:val="0071597F"/>
    <w:rsid w:val="00715A56"/>
    <w:rsid w:val="00715AC8"/>
    <w:rsid w:val="00715B3F"/>
    <w:rsid w:val="00715B6B"/>
    <w:rsid w:val="00715BA3"/>
    <w:rsid w:val="00715BB0"/>
    <w:rsid w:val="00715BF8"/>
    <w:rsid w:val="00715C22"/>
    <w:rsid w:val="00715C88"/>
    <w:rsid w:val="00715CA7"/>
    <w:rsid w:val="00715D1F"/>
    <w:rsid w:val="00715D73"/>
    <w:rsid w:val="00715DD8"/>
    <w:rsid w:val="00715E80"/>
    <w:rsid w:val="00716057"/>
    <w:rsid w:val="00716065"/>
    <w:rsid w:val="00716078"/>
    <w:rsid w:val="007160D1"/>
    <w:rsid w:val="00716108"/>
    <w:rsid w:val="00716196"/>
    <w:rsid w:val="007161A6"/>
    <w:rsid w:val="007161C7"/>
    <w:rsid w:val="007161CE"/>
    <w:rsid w:val="0071622B"/>
    <w:rsid w:val="00716273"/>
    <w:rsid w:val="00716327"/>
    <w:rsid w:val="007163E6"/>
    <w:rsid w:val="007164B8"/>
    <w:rsid w:val="00716558"/>
    <w:rsid w:val="007165DE"/>
    <w:rsid w:val="007165E2"/>
    <w:rsid w:val="00716664"/>
    <w:rsid w:val="007166F8"/>
    <w:rsid w:val="007167D1"/>
    <w:rsid w:val="00716803"/>
    <w:rsid w:val="00716830"/>
    <w:rsid w:val="007168F1"/>
    <w:rsid w:val="007169C6"/>
    <w:rsid w:val="00716ACA"/>
    <w:rsid w:val="00716B20"/>
    <w:rsid w:val="00716B79"/>
    <w:rsid w:val="00716BCE"/>
    <w:rsid w:val="00716CCC"/>
    <w:rsid w:val="00716D23"/>
    <w:rsid w:val="00716D41"/>
    <w:rsid w:val="00716DB0"/>
    <w:rsid w:val="00716DE4"/>
    <w:rsid w:val="00716DF4"/>
    <w:rsid w:val="00716EBA"/>
    <w:rsid w:val="00716ECC"/>
    <w:rsid w:val="00717008"/>
    <w:rsid w:val="00717044"/>
    <w:rsid w:val="0071708E"/>
    <w:rsid w:val="00717156"/>
    <w:rsid w:val="007171C9"/>
    <w:rsid w:val="00717276"/>
    <w:rsid w:val="0071730A"/>
    <w:rsid w:val="00717326"/>
    <w:rsid w:val="00717372"/>
    <w:rsid w:val="0071737C"/>
    <w:rsid w:val="0071739B"/>
    <w:rsid w:val="007173A3"/>
    <w:rsid w:val="0071740D"/>
    <w:rsid w:val="007174C6"/>
    <w:rsid w:val="0071752B"/>
    <w:rsid w:val="0071756C"/>
    <w:rsid w:val="00717625"/>
    <w:rsid w:val="007177C0"/>
    <w:rsid w:val="007177F9"/>
    <w:rsid w:val="00717837"/>
    <w:rsid w:val="00717873"/>
    <w:rsid w:val="007178F2"/>
    <w:rsid w:val="00717998"/>
    <w:rsid w:val="00717A63"/>
    <w:rsid w:val="00717AB9"/>
    <w:rsid w:val="00717BF7"/>
    <w:rsid w:val="00717C00"/>
    <w:rsid w:val="00717CAF"/>
    <w:rsid w:val="00717E9B"/>
    <w:rsid w:val="00717F87"/>
    <w:rsid w:val="00717F88"/>
    <w:rsid w:val="00717FB5"/>
    <w:rsid w:val="007200BA"/>
    <w:rsid w:val="007200EA"/>
    <w:rsid w:val="007200F5"/>
    <w:rsid w:val="007201AC"/>
    <w:rsid w:val="007201B2"/>
    <w:rsid w:val="0072032B"/>
    <w:rsid w:val="0072032F"/>
    <w:rsid w:val="00720433"/>
    <w:rsid w:val="00720467"/>
    <w:rsid w:val="00720503"/>
    <w:rsid w:val="00720527"/>
    <w:rsid w:val="00720558"/>
    <w:rsid w:val="007205B1"/>
    <w:rsid w:val="007205BF"/>
    <w:rsid w:val="007205DE"/>
    <w:rsid w:val="0072064F"/>
    <w:rsid w:val="007206D1"/>
    <w:rsid w:val="00720707"/>
    <w:rsid w:val="00720708"/>
    <w:rsid w:val="00720710"/>
    <w:rsid w:val="00720716"/>
    <w:rsid w:val="00720718"/>
    <w:rsid w:val="00720729"/>
    <w:rsid w:val="00720880"/>
    <w:rsid w:val="00720886"/>
    <w:rsid w:val="0072088B"/>
    <w:rsid w:val="0072088D"/>
    <w:rsid w:val="0072094B"/>
    <w:rsid w:val="0072095F"/>
    <w:rsid w:val="00720991"/>
    <w:rsid w:val="00720A16"/>
    <w:rsid w:val="00720B1E"/>
    <w:rsid w:val="00720B6C"/>
    <w:rsid w:val="00720C4E"/>
    <w:rsid w:val="00720C94"/>
    <w:rsid w:val="00720D4D"/>
    <w:rsid w:val="00720D8E"/>
    <w:rsid w:val="00720F06"/>
    <w:rsid w:val="00720FF9"/>
    <w:rsid w:val="0072101B"/>
    <w:rsid w:val="00721046"/>
    <w:rsid w:val="007210E3"/>
    <w:rsid w:val="00721136"/>
    <w:rsid w:val="0072113A"/>
    <w:rsid w:val="007212A7"/>
    <w:rsid w:val="007212C5"/>
    <w:rsid w:val="007212E8"/>
    <w:rsid w:val="0072136D"/>
    <w:rsid w:val="007213C4"/>
    <w:rsid w:val="00721429"/>
    <w:rsid w:val="007214BC"/>
    <w:rsid w:val="0072150E"/>
    <w:rsid w:val="007215FF"/>
    <w:rsid w:val="00721623"/>
    <w:rsid w:val="0072168E"/>
    <w:rsid w:val="00721739"/>
    <w:rsid w:val="00721778"/>
    <w:rsid w:val="0072177E"/>
    <w:rsid w:val="007217D2"/>
    <w:rsid w:val="00721810"/>
    <w:rsid w:val="00721837"/>
    <w:rsid w:val="007218CB"/>
    <w:rsid w:val="007218F1"/>
    <w:rsid w:val="00721A38"/>
    <w:rsid w:val="00721AED"/>
    <w:rsid w:val="00721B13"/>
    <w:rsid w:val="00721B85"/>
    <w:rsid w:val="00721BA4"/>
    <w:rsid w:val="00721BFD"/>
    <w:rsid w:val="00721C18"/>
    <w:rsid w:val="00721C90"/>
    <w:rsid w:val="00721CED"/>
    <w:rsid w:val="00721CF1"/>
    <w:rsid w:val="00721D09"/>
    <w:rsid w:val="00721D24"/>
    <w:rsid w:val="00721DC3"/>
    <w:rsid w:val="00721E6C"/>
    <w:rsid w:val="00721ED3"/>
    <w:rsid w:val="00721FB6"/>
    <w:rsid w:val="00722007"/>
    <w:rsid w:val="00722040"/>
    <w:rsid w:val="00722047"/>
    <w:rsid w:val="0072208F"/>
    <w:rsid w:val="00722103"/>
    <w:rsid w:val="00722124"/>
    <w:rsid w:val="00722162"/>
    <w:rsid w:val="007221F9"/>
    <w:rsid w:val="00722282"/>
    <w:rsid w:val="007222DD"/>
    <w:rsid w:val="00722303"/>
    <w:rsid w:val="00722338"/>
    <w:rsid w:val="007223A7"/>
    <w:rsid w:val="007224D7"/>
    <w:rsid w:val="00722505"/>
    <w:rsid w:val="00722579"/>
    <w:rsid w:val="00722649"/>
    <w:rsid w:val="00722663"/>
    <w:rsid w:val="007226D1"/>
    <w:rsid w:val="00722752"/>
    <w:rsid w:val="00722780"/>
    <w:rsid w:val="007227C7"/>
    <w:rsid w:val="007227FD"/>
    <w:rsid w:val="0072285E"/>
    <w:rsid w:val="00722946"/>
    <w:rsid w:val="007229C0"/>
    <w:rsid w:val="00722AA8"/>
    <w:rsid w:val="00722AB0"/>
    <w:rsid w:val="00722B22"/>
    <w:rsid w:val="00722BBA"/>
    <w:rsid w:val="00722BE6"/>
    <w:rsid w:val="00722C08"/>
    <w:rsid w:val="00722C50"/>
    <w:rsid w:val="00722C57"/>
    <w:rsid w:val="00722C74"/>
    <w:rsid w:val="00722CC2"/>
    <w:rsid w:val="00722CD1"/>
    <w:rsid w:val="00722CE0"/>
    <w:rsid w:val="00722EDE"/>
    <w:rsid w:val="00722F3A"/>
    <w:rsid w:val="00722F3C"/>
    <w:rsid w:val="00722F9F"/>
    <w:rsid w:val="00722FB6"/>
    <w:rsid w:val="0072300B"/>
    <w:rsid w:val="00723098"/>
    <w:rsid w:val="007230D2"/>
    <w:rsid w:val="007230E4"/>
    <w:rsid w:val="007230F2"/>
    <w:rsid w:val="00723167"/>
    <w:rsid w:val="0072318C"/>
    <w:rsid w:val="0072318D"/>
    <w:rsid w:val="007231D6"/>
    <w:rsid w:val="0072322C"/>
    <w:rsid w:val="0072329C"/>
    <w:rsid w:val="007232E1"/>
    <w:rsid w:val="007234A9"/>
    <w:rsid w:val="007234D2"/>
    <w:rsid w:val="007234D7"/>
    <w:rsid w:val="007234F4"/>
    <w:rsid w:val="007234F7"/>
    <w:rsid w:val="00723566"/>
    <w:rsid w:val="007235AB"/>
    <w:rsid w:val="00723659"/>
    <w:rsid w:val="00723792"/>
    <w:rsid w:val="00723876"/>
    <w:rsid w:val="007238E3"/>
    <w:rsid w:val="007239E7"/>
    <w:rsid w:val="00723AA7"/>
    <w:rsid w:val="00723B1A"/>
    <w:rsid w:val="00723BB2"/>
    <w:rsid w:val="00723BF3"/>
    <w:rsid w:val="00723C44"/>
    <w:rsid w:val="00723CB1"/>
    <w:rsid w:val="00723CD6"/>
    <w:rsid w:val="00723CE4"/>
    <w:rsid w:val="00723E27"/>
    <w:rsid w:val="00723E3C"/>
    <w:rsid w:val="00723EA7"/>
    <w:rsid w:val="00723ED0"/>
    <w:rsid w:val="00723F0A"/>
    <w:rsid w:val="00724082"/>
    <w:rsid w:val="007240A1"/>
    <w:rsid w:val="007240BA"/>
    <w:rsid w:val="00724153"/>
    <w:rsid w:val="00724164"/>
    <w:rsid w:val="0072435C"/>
    <w:rsid w:val="00724377"/>
    <w:rsid w:val="0072442B"/>
    <w:rsid w:val="007244A9"/>
    <w:rsid w:val="00724538"/>
    <w:rsid w:val="0072459F"/>
    <w:rsid w:val="00724620"/>
    <w:rsid w:val="0072469C"/>
    <w:rsid w:val="007247AA"/>
    <w:rsid w:val="007247C0"/>
    <w:rsid w:val="007247FC"/>
    <w:rsid w:val="00724896"/>
    <w:rsid w:val="007248E1"/>
    <w:rsid w:val="0072490B"/>
    <w:rsid w:val="00724958"/>
    <w:rsid w:val="00724A31"/>
    <w:rsid w:val="00724A54"/>
    <w:rsid w:val="00724A8E"/>
    <w:rsid w:val="00724AD8"/>
    <w:rsid w:val="00724AE8"/>
    <w:rsid w:val="00724B05"/>
    <w:rsid w:val="00724BFD"/>
    <w:rsid w:val="00724CF7"/>
    <w:rsid w:val="00724D82"/>
    <w:rsid w:val="00724DE2"/>
    <w:rsid w:val="00724E70"/>
    <w:rsid w:val="0072504E"/>
    <w:rsid w:val="00725055"/>
    <w:rsid w:val="00725081"/>
    <w:rsid w:val="007250D8"/>
    <w:rsid w:val="0072512A"/>
    <w:rsid w:val="0072513D"/>
    <w:rsid w:val="0072520F"/>
    <w:rsid w:val="00725291"/>
    <w:rsid w:val="007252C6"/>
    <w:rsid w:val="007252F1"/>
    <w:rsid w:val="007253D9"/>
    <w:rsid w:val="00725449"/>
    <w:rsid w:val="00725519"/>
    <w:rsid w:val="0072559E"/>
    <w:rsid w:val="007255CC"/>
    <w:rsid w:val="00725666"/>
    <w:rsid w:val="0072570E"/>
    <w:rsid w:val="007257F7"/>
    <w:rsid w:val="007258A1"/>
    <w:rsid w:val="007258AB"/>
    <w:rsid w:val="00725A4D"/>
    <w:rsid w:val="00725A5E"/>
    <w:rsid w:val="00725A61"/>
    <w:rsid w:val="00725B60"/>
    <w:rsid w:val="00725B8C"/>
    <w:rsid w:val="00725CFB"/>
    <w:rsid w:val="00725D8D"/>
    <w:rsid w:val="00725DFE"/>
    <w:rsid w:val="00725E0D"/>
    <w:rsid w:val="00725E3D"/>
    <w:rsid w:val="00725E7E"/>
    <w:rsid w:val="00725E94"/>
    <w:rsid w:val="00725F05"/>
    <w:rsid w:val="00725F17"/>
    <w:rsid w:val="00725F1B"/>
    <w:rsid w:val="00725F65"/>
    <w:rsid w:val="00725FBA"/>
    <w:rsid w:val="00726042"/>
    <w:rsid w:val="0072609D"/>
    <w:rsid w:val="007260C1"/>
    <w:rsid w:val="007260C6"/>
    <w:rsid w:val="007260C9"/>
    <w:rsid w:val="007261FD"/>
    <w:rsid w:val="0072623D"/>
    <w:rsid w:val="00726323"/>
    <w:rsid w:val="00726356"/>
    <w:rsid w:val="007263D2"/>
    <w:rsid w:val="0072645F"/>
    <w:rsid w:val="007264F4"/>
    <w:rsid w:val="007264F7"/>
    <w:rsid w:val="00726529"/>
    <w:rsid w:val="00726559"/>
    <w:rsid w:val="007265C9"/>
    <w:rsid w:val="0072662F"/>
    <w:rsid w:val="00726694"/>
    <w:rsid w:val="007266F4"/>
    <w:rsid w:val="00726738"/>
    <w:rsid w:val="00726769"/>
    <w:rsid w:val="00726829"/>
    <w:rsid w:val="007268D4"/>
    <w:rsid w:val="00726907"/>
    <w:rsid w:val="007269D2"/>
    <w:rsid w:val="007269F8"/>
    <w:rsid w:val="00726A19"/>
    <w:rsid w:val="00726B58"/>
    <w:rsid w:val="00726C1E"/>
    <w:rsid w:val="00726C79"/>
    <w:rsid w:val="00726D41"/>
    <w:rsid w:val="00726E0D"/>
    <w:rsid w:val="00726E9C"/>
    <w:rsid w:val="00726EC6"/>
    <w:rsid w:val="00726EFD"/>
    <w:rsid w:val="00726FC1"/>
    <w:rsid w:val="00726FF3"/>
    <w:rsid w:val="0072710F"/>
    <w:rsid w:val="0072718B"/>
    <w:rsid w:val="0072721E"/>
    <w:rsid w:val="00727272"/>
    <w:rsid w:val="00727282"/>
    <w:rsid w:val="00727286"/>
    <w:rsid w:val="007272CB"/>
    <w:rsid w:val="00727499"/>
    <w:rsid w:val="007274BD"/>
    <w:rsid w:val="0072756B"/>
    <w:rsid w:val="007275AD"/>
    <w:rsid w:val="00727627"/>
    <w:rsid w:val="0072763F"/>
    <w:rsid w:val="007276E8"/>
    <w:rsid w:val="0072776D"/>
    <w:rsid w:val="00727854"/>
    <w:rsid w:val="007278DF"/>
    <w:rsid w:val="00727971"/>
    <w:rsid w:val="00727B4B"/>
    <w:rsid w:val="00727B78"/>
    <w:rsid w:val="00727B89"/>
    <w:rsid w:val="00727B8C"/>
    <w:rsid w:val="00727C2C"/>
    <w:rsid w:val="00727C5A"/>
    <w:rsid w:val="00727CC0"/>
    <w:rsid w:val="00727CFC"/>
    <w:rsid w:val="00727D9C"/>
    <w:rsid w:val="00727DA1"/>
    <w:rsid w:val="00727DCE"/>
    <w:rsid w:val="00727DEE"/>
    <w:rsid w:val="00727E10"/>
    <w:rsid w:val="00727ECE"/>
    <w:rsid w:val="00727F13"/>
    <w:rsid w:val="00727F2F"/>
    <w:rsid w:val="00727F8C"/>
    <w:rsid w:val="00730002"/>
    <w:rsid w:val="0073005D"/>
    <w:rsid w:val="00730091"/>
    <w:rsid w:val="007300B8"/>
    <w:rsid w:val="007300EE"/>
    <w:rsid w:val="0073016C"/>
    <w:rsid w:val="00730172"/>
    <w:rsid w:val="0073037D"/>
    <w:rsid w:val="007303C2"/>
    <w:rsid w:val="00730421"/>
    <w:rsid w:val="00730513"/>
    <w:rsid w:val="0073059A"/>
    <w:rsid w:val="00730614"/>
    <w:rsid w:val="0073066E"/>
    <w:rsid w:val="007306DF"/>
    <w:rsid w:val="00730752"/>
    <w:rsid w:val="00730779"/>
    <w:rsid w:val="007307CF"/>
    <w:rsid w:val="007308A8"/>
    <w:rsid w:val="00730A4E"/>
    <w:rsid w:val="00730AB3"/>
    <w:rsid w:val="00730B66"/>
    <w:rsid w:val="00730C02"/>
    <w:rsid w:val="00730C70"/>
    <w:rsid w:val="00730DD8"/>
    <w:rsid w:val="00730E54"/>
    <w:rsid w:val="00730E6E"/>
    <w:rsid w:val="00730EE7"/>
    <w:rsid w:val="00730EED"/>
    <w:rsid w:val="00730F62"/>
    <w:rsid w:val="00730FAE"/>
    <w:rsid w:val="00730FD7"/>
    <w:rsid w:val="0073102B"/>
    <w:rsid w:val="00731032"/>
    <w:rsid w:val="00731138"/>
    <w:rsid w:val="00731166"/>
    <w:rsid w:val="007311AA"/>
    <w:rsid w:val="007311B7"/>
    <w:rsid w:val="007311CA"/>
    <w:rsid w:val="0073136B"/>
    <w:rsid w:val="007313A0"/>
    <w:rsid w:val="007313BB"/>
    <w:rsid w:val="007314DF"/>
    <w:rsid w:val="00731500"/>
    <w:rsid w:val="0073151A"/>
    <w:rsid w:val="0073152C"/>
    <w:rsid w:val="00731588"/>
    <w:rsid w:val="007315C8"/>
    <w:rsid w:val="00731604"/>
    <w:rsid w:val="00731642"/>
    <w:rsid w:val="0073164E"/>
    <w:rsid w:val="00731672"/>
    <w:rsid w:val="007316ED"/>
    <w:rsid w:val="0073172A"/>
    <w:rsid w:val="00731833"/>
    <w:rsid w:val="00731851"/>
    <w:rsid w:val="007318A9"/>
    <w:rsid w:val="007319A9"/>
    <w:rsid w:val="007319C0"/>
    <w:rsid w:val="00731A99"/>
    <w:rsid w:val="00731AC7"/>
    <w:rsid w:val="00731B95"/>
    <w:rsid w:val="00731BBF"/>
    <w:rsid w:val="00731BC2"/>
    <w:rsid w:val="00731BF2"/>
    <w:rsid w:val="00731C8D"/>
    <w:rsid w:val="00731CC3"/>
    <w:rsid w:val="00731D36"/>
    <w:rsid w:val="00731E43"/>
    <w:rsid w:val="00731E47"/>
    <w:rsid w:val="00731ED4"/>
    <w:rsid w:val="00731F11"/>
    <w:rsid w:val="00731F30"/>
    <w:rsid w:val="00731F36"/>
    <w:rsid w:val="00731F41"/>
    <w:rsid w:val="00731F85"/>
    <w:rsid w:val="00731FCE"/>
    <w:rsid w:val="00731FF9"/>
    <w:rsid w:val="0073201E"/>
    <w:rsid w:val="007321C5"/>
    <w:rsid w:val="00732411"/>
    <w:rsid w:val="0073247D"/>
    <w:rsid w:val="00732487"/>
    <w:rsid w:val="00732495"/>
    <w:rsid w:val="007324C8"/>
    <w:rsid w:val="007324E4"/>
    <w:rsid w:val="007325CD"/>
    <w:rsid w:val="00732687"/>
    <w:rsid w:val="00732722"/>
    <w:rsid w:val="007327D5"/>
    <w:rsid w:val="0073281E"/>
    <w:rsid w:val="00732882"/>
    <w:rsid w:val="007328B9"/>
    <w:rsid w:val="007328D6"/>
    <w:rsid w:val="0073290E"/>
    <w:rsid w:val="0073296C"/>
    <w:rsid w:val="007329AA"/>
    <w:rsid w:val="007329B6"/>
    <w:rsid w:val="007329E0"/>
    <w:rsid w:val="00732ADA"/>
    <w:rsid w:val="00732B31"/>
    <w:rsid w:val="00732B5A"/>
    <w:rsid w:val="00732C0E"/>
    <w:rsid w:val="00732C19"/>
    <w:rsid w:val="00732CC0"/>
    <w:rsid w:val="00732D75"/>
    <w:rsid w:val="00732F36"/>
    <w:rsid w:val="00732F80"/>
    <w:rsid w:val="00732FD1"/>
    <w:rsid w:val="00732FD2"/>
    <w:rsid w:val="00732FE9"/>
    <w:rsid w:val="0073301F"/>
    <w:rsid w:val="00733083"/>
    <w:rsid w:val="00733154"/>
    <w:rsid w:val="00733191"/>
    <w:rsid w:val="007331E4"/>
    <w:rsid w:val="0073327F"/>
    <w:rsid w:val="007332CC"/>
    <w:rsid w:val="007332CD"/>
    <w:rsid w:val="00733343"/>
    <w:rsid w:val="00733395"/>
    <w:rsid w:val="007333B4"/>
    <w:rsid w:val="007333BA"/>
    <w:rsid w:val="00733471"/>
    <w:rsid w:val="007334F9"/>
    <w:rsid w:val="007335AD"/>
    <w:rsid w:val="00733699"/>
    <w:rsid w:val="007336A0"/>
    <w:rsid w:val="007336A6"/>
    <w:rsid w:val="007336B2"/>
    <w:rsid w:val="007337D2"/>
    <w:rsid w:val="0073383D"/>
    <w:rsid w:val="00733864"/>
    <w:rsid w:val="007338B9"/>
    <w:rsid w:val="007339A7"/>
    <w:rsid w:val="007339F6"/>
    <w:rsid w:val="00733A10"/>
    <w:rsid w:val="00733A4D"/>
    <w:rsid w:val="00733B0B"/>
    <w:rsid w:val="00733BA6"/>
    <w:rsid w:val="00733BEB"/>
    <w:rsid w:val="00733C23"/>
    <w:rsid w:val="00733C84"/>
    <w:rsid w:val="00733D34"/>
    <w:rsid w:val="00733D39"/>
    <w:rsid w:val="00733E51"/>
    <w:rsid w:val="00733E7F"/>
    <w:rsid w:val="00733F78"/>
    <w:rsid w:val="00733F95"/>
    <w:rsid w:val="00733FFA"/>
    <w:rsid w:val="00734076"/>
    <w:rsid w:val="00734099"/>
    <w:rsid w:val="00734128"/>
    <w:rsid w:val="00734178"/>
    <w:rsid w:val="007341B1"/>
    <w:rsid w:val="007342B5"/>
    <w:rsid w:val="00734377"/>
    <w:rsid w:val="007343B5"/>
    <w:rsid w:val="007343DF"/>
    <w:rsid w:val="007344A0"/>
    <w:rsid w:val="00734525"/>
    <w:rsid w:val="0073454C"/>
    <w:rsid w:val="007345C6"/>
    <w:rsid w:val="007345D2"/>
    <w:rsid w:val="007345EA"/>
    <w:rsid w:val="007345F4"/>
    <w:rsid w:val="007346A2"/>
    <w:rsid w:val="007346AC"/>
    <w:rsid w:val="0073478D"/>
    <w:rsid w:val="007347A4"/>
    <w:rsid w:val="007347B1"/>
    <w:rsid w:val="007347C6"/>
    <w:rsid w:val="0073481A"/>
    <w:rsid w:val="0073481F"/>
    <w:rsid w:val="00734823"/>
    <w:rsid w:val="00734873"/>
    <w:rsid w:val="007348B4"/>
    <w:rsid w:val="007348BB"/>
    <w:rsid w:val="0073495F"/>
    <w:rsid w:val="00734963"/>
    <w:rsid w:val="007349B1"/>
    <w:rsid w:val="00734A8C"/>
    <w:rsid w:val="00734B1A"/>
    <w:rsid w:val="00734B43"/>
    <w:rsid w:val="00734C24"/>
    <w:rsid w:val="00734CAD"/>
    <w:rsid w:val="00734CBE"/>
    <w:rsid w:val="00734E58"/>
    <w:rsid w:val="00734EB7"/>
    <w:rsid w:val="00734F06"/>
    <w:rsid w:val="00734F56"/>
    <w:rsid w:val="00734F61"/>
    <w:rsid w:val="00734F66"/>
    <w:rsid w:val="00734F6A"/>
    <w:rsid w:val="00734FBD"/>
    <w:rsid w:val="00735034"/>
    <w:rsid w:val="00735047"/>
    <w:rsid w:val="0073513D"/>
    <w:rsid w:val="00735145"/>
    <w:rsid w:val="00735173"/>
    <w:rsid w:val="0073532F"/>
    <w:rsid w:val="00735416"/>
    <w:rsid w:val="00735436"/>
    <w:rsid w:val="00735483"/>
    <w:rsid w:val="007355CF"/>
    <w:rsid w:val="0073560F"/>
    <w:rsid w:val="0073573F"/>
    <w:rsid w:val="00735803"/>
    <w:rsid w:val="00735893"/>
    <w:rsid w:val="00735A51"/>
    <w:rsid w:val="00735A80"/>
    <w:rsid w:val="00735A81"/>
    <w:rsid w:val="00735C0F"/>
    <w:rsid w:val="00735C2A"/>
    <w:rsid w:val="00735C2E"/>
    <w:rsid w:val="00735C3D"/>
    <w:rsid w:val="00735CF6"/>
    <w:rsid w:val="00735DCD"/>
    <w:rsid w:val="00735E12"/>
    <w:rsid w:val="00735E3D"/>
    <w:rsid w:val="00735E60"/>
    <w:rsid w:val="00735EB7"/>
    <w:rsid w:val="00735F69"/>
    <w:rsid w:val="00735FD8"/>
    <w:rsid w:val="0073604A"/>
    <w:rsid w:val="0073608A"/>
    <w:rsid w:val="00736159"/>
    <w:rsid w:val="00736282"/>
    <w:rsid w:val="00736332"/>
    <w:rsid w:val="0073643D"/>
    <w:rsid w:val="0073645B"/>
    <w:rsid w:val="00736461"/>
    <w:rsid w:val="0073647C"/>
    <w:rsid w:val="007364C8"/>
    <w:rsid w:val="0073651C"/>
    <w:rsid w:val="0073657C"/>
    <w:rsid w:val="007365EF"/>
    <w:rsid w:val="00736618"/>
    <w:rsid w:val="00736659"/>
    <w:rsid w:val="0073673C"/>
    <w:rsid w:val="00736795"/>
    <w:rsid w:val="007367F1"/>
    <w:rsid w:val="00736872"/>
    <w:rsid w:val="0073688D"/>
    <w:rsid w:val="00736967"/>
    <w:rsid w:val="007369C9"/>
    <w:rsid w:val="007369F1"/>
    <w:rsid w:val="00736A5B"/>
    <w:rsid w:val="00736A5C"/>
    <w:rsid w:val="00736B85"/>
    <w:rsid w:val="00736BA1"/>
    <w:rsid w:val="00736BC7"/>
    <w:rsid w:val="00736C0D"/>
    <w:rsid w:val="00736C1D"/>
    <w:rsid w:val="00736C60"/>
    <w:rsid w:val="00736CA5"/>
    <w:rsid w:val="00736D96"/>
    <w:rsid w:val="00736E02"/>
    <w:rsid w:val="00736E34"/>
    <w:rsid w:val="00736E47"/>
    <w:rsid w:val="00736F29"/>
    <w:rsid w:val="0073701C"/>
    <w:rsid w:val="007370CB"/>
    <w:rsid w:val="007370DD"/>
    <w:rsid w:val="0073712D"/>
    <w:rsid w:val="00737182"/>
    <w:rsid w:val="007371BD"/>
    <w:rsid w:val="00737235"/>
    <w:rsid w:val="0073724E"/>
    <w:rsid w:val="00737300"/>
    <w:rsid w:val="00737316"/>
    <w:rsid w:val="00737327"/>
    <w:rsid w:val="00737366"/>
    <w:rsid w:val="007373DD"/>
    <w:rsid w:val="0073740B"/>
    <w:rsid w:val="007374C4"/>
    <w:rsid w:val="007374EC"/>
    <w:rsid w:val="00737511"/>
    <w:rsid w:val="007375A2"/>
    <w:rsid w:val="007375A5"/>
    <w:rsid w:val="0073772C"/>
    <w:rsid w:val="007377B6"/>
    <w:rsid w:val="00737834"/>
    <w:rsid w:val="0073788B"/>
    <w:rsid w:val="007378F8"/>
    <w:rsid w:val="0073790A"/>
    <w:rsid w:val="00737966"/>
    <w:rsid w:val="007379EB"/>
    <w:rsid w:val="00737A2A"/>
    <w:rsid w:val="00737A65"/>
    <w:rsid w:val="00737AE7"/>
    <w:rsid w:val="00737B30"/>
    <w:rsid w:val="00737C51"/>
    <w:rsid w:val="00737C59"/>
    <w:rsid w:val="00737CA1"/>
    <w:rsid w:val="00737CC6"/>
    <w:rsid w:val="00737CDD"/>
    <w:rsid w:val="00737DEA"/>
    <w:rsid w:val="00737DF3"/>
    <w:rsid w:val="00737E7A"/>
    <w:rsid w:val="00737F14"/>
    <w:rsid w:val="00737F89"/>
    <w:rsid w:val="00737FD6"/>
    <w:rsid w:val="00737FF0"/>
    <w:rsid w:val="007400C5"/>
    <w:rsid w:val="00740154"/>
    <w:rsid w:val="007401A2"/>
    <w:rsid w:val="00740251"/>
    <w:rsid w:val="0074031A"/>
    <w:rsid w:val="0074031C"/>
    <w:rsid w:val="0074036A"/>
    <w:rsid w:val="00740375"/>
    <w:rsid w:val="00740442"/>
    <w:rsid w:val="00740519"/>
    <w:rsid w:val="0074056D"/>
    <w:rsid w:val="0074060D"/>
    <w:rsid w:val="00740633"/>
    <w:rsid w:val="007406BB"/>
    <w:rsid w:val="00740716"/>
    <w:rsid w:val="0074083D"/>
    <w:rsid w:val="00740862"/>
    <w:rsid w:val="007409F5"/>
    <w:rsid w:val="00740A77"/>
    <w:rsid w:val="00740B9C"/>
    <w:rsid w:val="00740C10"/>
    <w:rsid w:val="00740C1B"/>
    <w:rsid w:val="00740C5F"/>
    <w:rsid w:val="00740C66"/>
    <w:rsid w:val="00740C8F"/>
    <w:rsid w:val="00740CD2"/>
    <w:rsid w:val="00740EC8"/>
    <w:rsid w:val="00740ED1"/>
    <w:rsid w:val="00740EDE"/>
    <w:rsid w:val="0074101B"/>
    <w:rsid w:val="0074107D"/>
    <w:rsid w:val="007410C2"/>
    <w:rsid w:val="007410CE"/>
    <w:rsid w:val="007410E2"/>
    <w:rsid w:val="00741145"/>
    <w:rsid w:val="007411A3"/>
    <w:rsid w:val="0074120B"/>
    <w:rsid w:val="0074121C"/>
    <w:rsid w:val="007412D4"/>
    <w:rsid w:val="00741302"/>
    <w:rsid w:val="007413BF"/>
    <w:rsid w:val="007413F3"/>
    <w:rsid w:val="007414C4"/>
    <w:rsid w:val="00741506"/>
    <w:rsid w:val="007415D3"/>
    <w:rsid w:val="00741797"/>
    <w:rsid w:val="007417E9"/>
    <w:rsid w:val="00741830"/>
    <w:rsid w:val="007418EC"/>
    <w:rsid w:val="007419A5"/>
    <w:rsid w:val="007419FD"/>
    <w:rsid w:val="00741AF9"/>
    <w:rsid w:val="00741B7D"/>
    <w:rsid w:val="00741C77"/>
    <w:rsid w:val="00741CA7"/>
    <w:rsid w:val="00741D90"/>
    <w:rsid w:val="00741EFE"/>
    <w:rsid w:val="00741F8A"/>
    <w:rsid w:val="00741FAB"/>
    <w:rsid w:val="00742010"/>
    <w:rsid w:val="00742147"/>
    <w:rsid w:val="007422FA"/>
    <w:rsid w:val="00742330"/>
    <w:rsid w:val="00742336"/>
    <w:rsid w:val="007423DE"/>
    <w:rsid w:val="0074241F"/>
    <w:rsid w:val="00742475"/>
    <w:rsid w:val="0074259C"/>
    <w:rsid w:val="00742615"/>
    <w:rsid w:val="007426CC"/>
    <w:rsid w:val="00742780"/>
    <w:rsid w:val="0074284D"/>
    <w:rsid w:val="007429BD"/>
    <w:rsid w:val="00742A29"/>
    <w:rsid w:val="00742A9C"/>
    <w:rsid w:val="00742BEB"/>
    <w:rsid w:val="00742C3F"/>
    <w:rsid w:val="00742C56"/>
    <w:rsid w:val="00742C94"/>
    <w:rsid w:val="00742D54"/>
    <w:rsid w:val="00742DA2"/>
    <w:rsid w:val="00742DE9"/>
    <w:rsid w:val="00742ECA"/>
    <w:rsid w:val="00742F7A"/>
    <w:rsid w:val="00742F9E"/>
    <w:rsid w:val="00742F9F"/>
    <w:rsid w:val="00742FC5"/>
    <w:rsid w:val="00742FD8"/>
    <w:rsid w:val="00743068"/>
    <w:rsid w:val="007430CA"/>
    <w:rsid w:val="007430FF"/>
    <w:rsid w:val="00743104"/>
    <w:rsid w:val="007432A1"/>
    <w:rsid w:val="007432C6"/>
    <w:rsid w:val="007432CB"/>
    <w:rsid w:val="00743390"/>
    <w:rsid w:val="00743439"/>
    <w:rsid w:val="00743485"/>
    <w:rsid w:val="007434B1"/>
    <w:rsid w:val="007434B6"/>
    <w:rsid w:val="007434ED"/>
    <w:rsid w:val="0074357A"/>
    <w:rsid w:val="007436BC"/>
    <w:rsid w:val="0074370E"/>
    <w:rsid w:val="0074376E"/>
    <w:rsid w:val="00743782"/>
    <w:rsid w:val="00743812"/>
    <w:rsid w:val="00743963"/>
    <w:rsid w:val="00743A0E"/>
    <w:rsid w:val="00743A39"/>
    <w:rsid w:val="00743A7B"/>
    <w:rsid w:val="00743A95"/>
    <w:rsid w:val="00743A9B"/>
    <w:rsid w:val="00743AB2"/>
    <w:rsid w:val="00743B14"/>
    <w:rsid w:val="00743B27"/>
    <w:rsid w:val="00743B90"/>
    <w:rsid w:val="00743BD5"/>
    <w:rsid w:val="00743C01"/>
    <w:rsid w:val="00743C09"/>
    <w:rsid w:val="00743C2D"/>
    <w:rsid w:val="00743C79"/>
    <w:rsid w:val="00743CDE"/>
    <w:rsid w:val="00743D0D"/>
    <w:rsid w:val="00743D80"/>
    <w:rsid w:val="00743FD2"/>
    <w:rsid w:val="00744016"/>
    <w:rsid w:val="007440EF"/>
    <w:rsid w:val="007440F8"/>
    <w:rsid w:val="00744154"/>
    <w:rsid w:val="0074418D"/>
    <w:rsid w:val="00744209"/>
    <w:rsid w:val="007442DD"/>
    <w:rsid w:val="0074437B"/>
    <w:rsid w:val="00744385"/>
    <w:rsid w:val="00744395"/>
    <w:rsid w:val="0074447C"/>
    <w:rsid w:val="007444AC"/>
    <w:rsid w:val="007444E4"/>
    <w:rsid w:val="007445C1"/>
    <w:rsid w:val="00744649"/>
    <w:rsid w:val="007446B4"/>
    <w:rsid w:val="007446FA"/>
    <w:rsid w:val="00744757"/>
    <w:rsid w:val="00744881"/>
    <w:rsid w:val="00744889"/>
    <w:rsid w:val="007448C3"/>
    <w:rsid w:val="00744935"/>
    <w:rsid w:val="007449D5"/>
    <w:rsid w:val="007449D8"/>
    <w:rsid w:val="007449E2"/>
    <w:rsid w:val="00744A8B"/>
    <w:rsid w:val="00744BE8"/>
    <w:rsid w:val="00744C30"/>
    <w:rsid w:val="00744C9F"/>
    <w:rsid w:val="00744CA7"/>
    <w:rsid w:val="00744CBA"/>
    <w:rsid w:val="00744D21"/>
    <w:rsid w:val="00744D39"/>
    <w:rsid w:val="00744D58"/>
    <w:rsid w:val="00744DC9"/>
    <w:rsid w:val="00744DF9"/>
    <w:rsid w:val="00744EBE"/>
    <w:rsid w:val="00744EC5"/>
    <w:rsid w:val="00744F39"/>
    <w:rsid w:val="00744FE7"/>
    <w:rsid w:val="00745094"/>
    <w:rsid w:val="007450DC"/>
    <w:rsid w:val="0074515B"/>
    <w:rsid w:val="0074517B"/>
    <w:rsid w:val="0074518D"/>
    <w:rsid w:val="00745249"/>
    <w:rsid w:val="007452E8"/>
    <w:rsid w:val="0074530B"/>
    <w:rsid w:val="0074531B"/>
    <w:rsid w:val="00745389"/>
    <w:rsid w:val="00745456"/>
    <w:rsid w:val="007454C3"/>
    <w:rsid w:val="00745517"/>
    <w:rsid w:val="00745554"/>
    <w:rsid w:val="007455DA"/>
    <w:rsid w:val="007456F6"/>
    <w:rsid w:val="007456FF"/>
    <w:rsid w:val="00745751"/>
    <w:rsid w:val="007457BD"/>
    <w:rsid w:val="00745847"/>
    <w:rsid w:val="00745885"/>
    <w:rsid w:val="007458C2"/>
    <w:rsid w:val="00745908"/>
    <w:rsid w:val="00745935"/>
    <w:rsid w:val="00745976"/>
    <w:rsid w:val="00745979"/>
    <w:rsid w:val="007459CF"/>
    <w:rsid w:val="00745AAF"/>
    <w:rsid w:val="00745B17"/>
    <w:rsid w:val="00745B29"/>
    <w:rsid w:val="00745BA9"/>
    <w:rsid w:val="00745C57"/>
    <w:rsid w:val="00745C61"/>
    <w:rsid w:val="00745C7D"/>
    <w:rsid w:val="00745C97"/>
    <w:rsid w:val="00745CC3"/>
    <w:rsid w:val="00745CD4"/>
    <w:rsid w:val="00745D08"/>
    <w:rsid w:val="00745E62"/>
    <w:rsid w:val="00745FCC"/>
    <w:rsid w:val="00746038"/>
    <w:rsid w:val="00746088"/>
    <w:rsid w:val="007460A6"/>
    <w:rsid w:val="007460C2"/>
    <w:rsid w:val="007460F1"/>
    <w:rsid w:val="00746220"/>
    <w:rsid w:val="007462C2"/>
    <w:rsid w:val="007462F5"/>
    <w:rsid w:val="0074640E"/>
    <w:rsid w:val="00746475"/>
    <w:rsid w:val="007464B2"/>
    <w:rsid w:val="00746597"/>
    <w:rsid w:val="007465BF"/>
    <w:rsid w:val="007465C5"/>
    <w:rsid w:val="007466EE"/>
    <w:rsid w:val="0074675D"/>
    <w:rsid w:val="007468BF"/>
    <w:rsid w:val="007468D9"/>
    <w:rsid w:val="0074690C"/>
    <w:rsid w:val="00746A15"/>
    <w:rsid w:val="00746AB9"/>
    <w:rsid w:val="00746BAB"/>
    <w:rsid w:val="00746BC6"/>
    <w:rsid w:val="00746BF8"/>
    <w:rsid w:val="00746C4C"/>
    <w:rsid w:val="00746E04"/>
    <w:rsid w:val="00746E75"/>
    <w:rsid w:val="00746EAC"/>
    <w:rsid w:val="00746EE6"/>
    <w:rsid w:val="00746F10"/>
    <w:rsid w:val="00746F44"/>
    <w:rsid w:val="00746F4B"/>
    <w:rsid w:val="0074706A"/>
    <w:rsid w:val="0074706E"/>
    <w:rsid w:val="007471A6"/>
    <w:rsid w:val="007471AE"/>
    <w:rsid w:val="007471D1"/>
    <w:rsid w:val="00747225"/>
    <w:rsid w:val="0074729B"/>
    <w:rsid w:val="007472D6"/>
    <w:rsid w:val="0074738A"/>
    <w:rsid w:val="00747407"/>
    <w:rsid w:val="0074742C"/>
    <w:rsid w:val="00747492"/>
    <w:rsid w:val="0074757A"/>
    <w:rsid w:val="007475AF"/>
    <w:rsid w:val="007475F9"/>
    <w:rsid w:val="007476C3"/>
    <w:rsid w:val="007476D5"/>
    <w:rsid w:val="007477B5"/>
    <w:rsid w:val="00747989"/>
    <w:rsid w:val="00747A7B"/>
    <w:rsid w:val="00747ADC"/>
    <w:rsid w:val="00747B6B"/>
    <w:rsid w:val="00747B82"/>
    <w:rsid w:val="00747B96"/>
    <w:rsid w:val="00747BCE"/>
    <w:rsid w:val="00747BD4"/>
    <w:rsid w:val="00747CC0"/>
    <w:rsid w:val="00747CD7"/>
    <w:rsid w:val="00747CF6"/>
    <w:rsid w:val="00747E15"/>
    <w:rsid w:val="00747E39"/>
    <w:rsid w:val="00747E41"/>
    <w:rsid w:val="00747EF8"/>
    <w:rsid w:val="00747F5F"/>
    <w:rsid w:val="00747F87"/>
    <w:rsid w:val="00747F92"/>
    <w:rsid w:val="007500D2"/>
    <w:rsid w:val="007500F9"/>
    <w:rsid w:val="00750145"/>
    <w:rsid w:val="00750151"/>
    <w:rsid w:val="00750234"/>
    <w:rsid w:val="007503A6"/>
    <w:rsid w:val="007503D5"/>
    <w:rsid w:val="00750421"/>
    <w:rsid w:val="007505EA"/>
    <w:rsid w:val="007506F8"/>
    <w:rsid w:val="007506F9"/>
    <w:rsid w:val="0075072A"/>
    <w:rsid w:val="00750786"/>
    <w:rsid w:val="007507AC"/>
    <w:rsid w:val="00750808"/>
    <w:rsid w:val="00750847"/>
    <w:rsid w:val="007508A3"/>
    <w:rsid w:val="00750977"/>
    <w:rsid w:val="00750980"/>
    <w:rsid w:val="007509C8"/>
    <w:rsid w:val="007509F2"/>
    <w:rsid w:val="00750A23"/>
    <w:rsid w:val="00750CF4"/>
    <w:rsid w:val="00750E33"/>
    <w:rsid w:val="00750E34"/>
    <w:rsid w:val="00750E3C"/>
    <w:rsid w:val="00750F64"/>
    <w:rsid w:val="00751011"/>
    <w:rsid w:val="00751143"/>
    <w:rsid w:val="00751187"/>
    <w:rsid w:val="007511E5"/>
    <w:rsid w:val="00751204"/>
    <w:rsid w:val="0075121A"/>
    <w:rsid w:val="00751277"/>
    <w:rsid w:val="0075134B"/>
    <w:rsid w:val="007513CA"/>
    <w:rsid w:val="007513D0"/>
    <w:rsid w:val="007513FD"/>
    <w:rsid w:val="0075140E"/>
    <w:rsid w:val="0075145B"/>
    <w:rsid w:val="0075148D"/>
    <w:rsid w:val="007514CE"/>
    <w:rsid w:val="0075151E"/>
    <w:rsid w:val="0075156A"/>
    <w:rsid w:val="0075156F"/>
    <w:rsid w:val="0075162B"/>
    <w:rsid w:val="00751705"/>
    <w:rsid w:val="007517CD"/>
    <w:rsid w:val="00751807"/>
    <w:rsid w:val="007518DB"/>
    <w:rsid w:val="00751906"/>
    <w:rsid w:val="00751969"/>
    <w:rsid w:val="007519B7"/>
    <w:rsid w:val="007519C1"/>
    <w:rsid w:val="007519C8"/>
    <w:rsid w:val="00751A29"/>
    <w:rsid w:val="00751A5A"/>
    <w:rsid w:val="00751A79"/>
    <w:rsid w:val="00751B72"/>
    <w:rsid w:val="00751BA5"/>
    <w:rsid w:val="00751C28"/>
    <w:rsid w:val="00751C37"/>
    <w:rsid w:val="00751D12"/>
    <w:rsid w:val="00751D26"/>
    <w:rsid w:val="00751D4C"/>
    <w:rsid w:val="00751DEF"/>
    <w:rsid w:val="00751DF4"/>
    <w:rsid w:val="00751E21"/>
    <w:rsid w:val="00751EE6"/>
    <w:rsid w:val="00751F3C"/>
    <w:rsid w:val="00751FF1"/>
    <w:rsid w:val="00751FFB"/>
    <w:rsid w:val="0075207F"/>
    <w:rsid w:val="007520A1"/>
    <w:rsid w:val="007520B7"/>
    <w:rsid w:val="007520C4"/>
    <w:rsid w:val="0075215B"/>
    <w:rsid w:val="00752193"/>
    <w:rsid w:val="007521AA"/>
    <w:rsid w:val="00752217"/>
    <w:rsid w:val="0075224F"/>
    <w:rsid w:val="007522A3"/>
    <w:rsid w:val="007522E8"/>
    <w:rsid w:val="00752377"/>
    <w:rsid w:val="007523C3"/>
    <w:rsid w:val="007523EB"/>
    <w:rsid w:val="00752459"/>
    <w:rsid w:val="00752546"/>
    <w:rsid w:val="0075254D"/>
    <w:rsid w:val="00752557"/>
    <w:rsid w:val="0075264B"/>
    <w:rsid w:val="0075274F"/>
    <w:rsid w:val="007527BA"/>
    <w:rsid w:val="0075283C"/>
    <w:rsid w:val="007528D8"/>
    <w:rsid w:val="007528E9"/>
    <w:rsid w:val="0075293C"/>
    <w:rsid w:val="00752964"/>
    <w:rsid w:val="007529BC"/>
    <w:rsid w:val="007529EF"/>
    <w:rsid w:val="00752A97"/>
    <w:rsid w:val="00752AC6"/>
    <w:rsid w:val="00752BAF"/>
    <w:rsid w:val="00752C1F"/>
    <w:rsid w:val="00752C34"/>
    <w:rsid w:val="00752C65"/>
    <w:rsid w:val="00752C83"/>
    <w:rsid w:val="00752C8B"/>
    <w:rsid w:val="00752CB2"/>
    <w:rsid w:val="00752D00"/>
    <w:rsid w:val="0075301E"/>
    <w:rsid w:val="00753064"/>
    <w:rsid w:val="007530B3"/>
    <w:rsid w:val="007530CF"/>
    <w:rsid w:val="007530E1"/>
    <w:rsid w:val="007530E3"/>
    <w:rsid w:val="00753130"/>
    <w:rsid w:val="007531FC"/>
    <w:rsid w:val="00753210"/>
    <w:rsid w:val="007532F8"/>
    <w:rsid w:val="0075330B"/>
    <w:rsid w:val="00753382"/>
    <w:rsid w:val="007533DA"/>
    <w:rsid w:val="0075344F"/>
    <w:rsid w:val="00753470"/>
    <w:rsid w:val="00753497"/>
    <w:rsid w:val="0075349E"/>
    <w:rsid w:val="007534A0"/>
    <w:rsid w:val="007534AC"/>
    <w:rsid w:val="0075351F"/>
    <w:rsid w:val="00753609"/>
    <w:rsid w:val="0075362C"/>
    <w:rsid w:val="00753696"/>
    <w:rsid w:val="007536AD"/>
    <w:rsid w:val="007536CA"/>
    <w:rsid w:val="007536EB"/>
    <w:rsid w:val="007536ED"/>
    <w:rsid w:val="00753732"/>
    <w:rsid w:val="007537AD"/>
    <w:rsid w:val="007537CC"/>
    <w:rsid w:val="00753854"/>
    <w:rsid w:val="00753886"/>
    <w:rsid w:val="00753897"/>
    <w:rsid w:val="0075390F"/>
    <w:rsid w:val="0075391A"/>
    <w:rsid w:val="00753939"/>
    <w:rsid w:val="00753A09"/>
    <w:rsid w:val="00753B84"/>
    <w:rsid w:val="00753C51"/>
    <w:rsid w:val="00753CC8"/>
    <w:rsid w:val="00753D52"/>
    <w:rsid w:val="00753D6D"/>
    <w:rsid w:val="00753DAE"/>
    <w:rsid w:val="00753DFA"/>
    <w:rsid w:val="00753EAA"/>
    <w:rsid w:val="00753EEE"/>
    <w:rsid w:val="00753F55"/>
    <w:rsid w:val="00754015"/>
    <w:rsid w:val="00754060"/>
    <w:rsid w:val="00754070"/>
    <w:rsid w:val="007540AE"/>
    <w:rsid w:val="00754218"/>
    <w:rsid w:val="007542B8"/>
    <w:rsid w:val="00754340"/>
    <w:rsid w:val="00754426"/>
    <w:rsid w:val="00754475"/>
    <w:rsid w:val="007545A4"/>
    <w:rsid w:val="007545F5"/>
    <w:rsid w:val="0075462E"/>
    <w:rsid w:val="00754704"/>
    <w:rsid w:val="0075470C"/>
    <w:rsid w:val="00754715"/>
    <w:rsid w:val="00754753"/>
    <w:rsid w:val="00754787"/>
    <w:rsid w:val="0075478F"/>
    <w:rsid w:val="007547E7"/>
    <w:rsid w:val="007547EE"/>
    <w:rsid w:val="0075487F"/>
    <w:rsid w:val="007548EA"/>
    <w:rsid w:val="00754980"/>
    <w:rsid w:val="007549EB"/>
    <w:rsid w:val="00754A31"/>
    <w:rsid w:val="00754A86"/>
    <w:rsid w:val="00754B4F"/>
    <w:rsid w:val="00754CDE"/>
    <w:rsid w:val="00754D82"/>
    <w:rsid w:val="00754DA8"/>
    <w:rsid w:val="00754DB1"/>
    <w:rsid w:val="00754DEC"/>
    <w:rsid w:val="00754E07"/>
    <w:rsid w:val="00754E5C"/>
    <w:rsid w:val="00754ECE"/>
    <w:rsid w:val="00755009"/>
    <w:rsid w:val="007550E4"/>
    <w:rsid w:val="00755156"/>
    <w:rsid w:val="0075518C"/>
    <w:rsid w:val="007551AF"/>
    <w:rsid w:val="00755228"/>
    <w:rsid w:val="0075523B"/>
    <w:rsid w:val="007552B2"/>
    <w:rsid w:val="007552B5"/>
    <w:rsid w:val="00755331"/>
    <w:rsid w:val="00755332"/>
    <w:rsid w:val="00755379"/>
    <w:rsid w:val="0075543C"/>
    <w:rsid w:val="00755528"/>
    <w:rsid w:val="0075558B"/>
    <w:rsid w:val="007555C9"/>
    <w:rsid w:val="00755662"/>
    <w:rsid w:val="007556C2"/>
    <w:rsid w:val="00755721"/>
    <w:rsid w:val="007557A1"/>
    <w:rsid w:val="00755807"/>
    <w:rsid w:val="00755810"/>
    <w:rsid w:val="00755820"/>
    <w:rsid w:val="0075583D"/>
    <w:rsid w:val="0075584C"/>
    <w:rsid w:val="0075585A"/>
    <w:rsid w:val="007559EC"/>
    <w:rsid w:val="00755A05"/>
    <w:rsid w:val="00755A1C"/>
    <w:rsid w:val="00755ADC"/>
    <w:rsid w:val="00755B0C"/>
    <w:rsid w:val="00755C5D"/>
    <w:rsid w:val="00755CDA"/>
    <w:rsid w:val="00755D3A"/>
    <w:rsid w:val="00755E0A"/>
    <w:rsid w:val="00755F0D"/>
    <w:rsid w:val="00755F79"/>
    <w:rsid w:val="00756048"/>
    <w:rsid w:val="00756093"/>
    <w:rsid w:val="007560B4"/>
    <w:rsid w:val="00756100"/>
    <w:rsid w:val="0075612D"/>
    <w:rsid w:val="007562A3"/>
    <w:rsid w:val="007562D4"/>
    <w:rsid w:val="00756343"/>
    <w:rsid w:val="00756352"/>
    <w:rsid w:val="0075640B"/>
    <w:rsid w:val="0075640D"/>
    <w:rsid w:val="00756513"/>
    <w:rsid w:val="0075658A"/>
    <w:rsid w:val="007565BA"/>
    <w:rsid w:val="007565C6"/>
    <w:rsid w:val="00756694"/>
    <w:rsid w:val="007566F4"/>
    <w:rsid w:val="0075680C"/>
    <w:rsid w:val="00756897"/>
    <w:rsid w:val="0075696F"/>
    <w:rsid w:val="00756B6E"/>
    <w:rsid w:val="00756C22"/>
    <w:rsid w:val="00756C2C"/>
    <w:rsid w:val="00756CB3"/>
    <w:rsid w:val="00756CBE"/>
    <w:rsid w:val="00756CBF"/>
    <w:rsid w:val="00756CEA"/>
    <w:rsid w:val="00756DD0"/>
    <w:rsid w:val="00756E16"/>
    <w:rsid w:val="00756E5D"/>
    <w:rsid w:val="00756F39"/>
    <w:rsid w:val="00756FCF"/>
    <w:rsid w:val="00757089"/>
    <w:rsid w:val="0075716E"/>
    <w:rsid w:val="00757260"/>
    <w:rsid w:val="00757275"/>
    <w:rsid w:val="00757279"/>
    <w:rsid w:val="007572AF"/>
    <w:rsid w:val="00757330"/>
    <w:rsid w:val="0075738F"/>
    <w:rsid w:val="007573A3"/>
    <w:rsid w:val="00757500"/>
    <w:rsid w:val="00757538"/>
    <w:rsid w:val="007575D6"/>
    <w:rsid w:val="007575FE"/>
    <w:rsid w:val="00757654"/>
    <w:rsid w:val="007576FA"/>
    <w:rsid w:val="007577AC"/>
    <w:rsid w:val="0075786F"/>
    <w:rsid w:val="007578FE"/>
    <w:rsid w:val="00757992"/>
    <w:rsid w:val="00757995"/>
    <w:rsid w:val="007579BC"/>
    <w:rsid w:val="007579F0"/>
    <w:rsid w:val="00757A36"/>
    <w:rsid w:val="00757B03"/>
    <w:rsid w:val="00757B54"/>
    <w:rsid w:val="00757B6C"/>
    <w:rsid w:val="00757BFC"/>
    <w:rsid w:val="00757C14"/>
    <w:rsid w:val="00757D11"/>
    <w:rsid w:val="00757D29"/>
    <w:rsid w:val="00757D57"/>
    <w:rsid w:val="00757DA2"/>
    <w:rsid w:val="00757E2A"/>
    <w:rsid w:val="00757E6A"/>
    <w:rsid w:val="00757E6B"/>
    <w:rsid w:val="00757E72"/>
    <w:rsid w:val="00757F67"/>
    <w:rsid w:val="0076000F"/>
    <w:rsid w:val="007600F4"/>
    <w:rsid w:val="007601A6"/>
    <w:rsid w:val="00760325"/>
    <w:rsid w:val="00760347"/>
    <w:rsid w:val="007604DE"/>
    <w:rsid w:val="00760518"/>
    <w:rsid w:val="00760562"/>
    <w:rsid w:val="0076057D"/>
    <w:rsid w:val="00760666"/>
    <w:rsid w:val="0076068C"/>
    <w:rsid w:val="007606B8"/>
    <w:rsid w:val="0076072B"/>
    <w:rsid w:val="00760775"/>
    <w:rsid w:val="007607E0"/>
    <w:rsid w:val="00760A5B"/>
    <w:rsid w:val="00760A9A"/>
    <w:rsid w:val="00760ADC"/>
    <w:rsid w:val="00760BDD"/>
    <w:rsid w:val="00760C0B"/>
    <w:rsid w:val="00760C1A"/>
    <w:rsid w:val="00760C1D"/>
    <w:rsid w:val="00760C80"/>
    <w:rsid w:val="00760CA4"/>
    <w:rsid w:val="00760EBC"/>
    <w:rsid w:val="00760EC6"/>
    <w:rsid w:val="00760ECF"/>
    <w:rsid w:val="00760EFC"/>
    <w:rsid w:val="00760F19"/>
    <w:rsid w:val="00760FFE"/>
    <w:rsid w:val="00761056"/>
    <w:rsid w:val="00761069"/>
    <w:rsid w:val="00761107"/>
    <w:rsid w:val="007611F9"/>
    <w:rsid w:val="0076122A"/>
    <w:rsid w:val="00761260"/>
    <w:rsid w:val="0076129B"/>
    <w:rsid w:val="007612FE"/>
    <w:rsid w:val="00761375"/>
    <w:rsid w:val="0076138E"/>
    <w:rsid w:val="00761471"/>
    <w:rsid w:val="007614C7"/>
    <w:rsid w:val="00761562"/>
    <w:rsid w:val="0076156F"/>
    <w:rsid w:val="00761829"/>
    <w:rsid w:val="00761924"/>
    <w:rsid w:val="00761A69"/>
    <w:rsid w:val="00761AA6"/>
    <w:rsid w:val="00761B70"/>
    <w:rsid w:val="00761B91"/>
    <w:rsid w:val="00761BD3"/>
    <w:rsid w:val="00761C36"/>
    <w:rsid w:val="00761CA2"/>
    <w:rsid w:val="00761CC8"/>
    <w:rsid w:val="00761CCF"/>
    <w:rsid w:val="00761CE8"/>
    <w:rsid w:val="00761D73"/>
    <w:rsid w:val="00761DAC"/>
    <w:rsid w:val="00761E49"/>
    <w:rsid w:val="00761ED7"/>
    <w:rsid w:val="00761EDA"/>
    <w:rsid w:val="00761EE1"/>
    <w:rsid w:val="00761EF4"/>
    <w:rsid w:val="00761F00"/>
    <w:rsid w:val="00761F57"/>
    <w:rsid w:val="00762018"/>
    <w:rsid w:val="00762027"/>
    <w:rsid w:val="00762030"/>
    <w:rsid w:val="00762068"/>
    <w:rsid w:val="00762083"/>
    <w:rsid w:val="00762128"/>
    <w:rsid w:val="0076214F"/>
    <w:rsid w:val="007622E7"/>
    <w:rsid w:val="00762306"/>
    <w:rsid w:val="0076231D"/>
    <w:rsid w:val="007623E5"/>
    <w:rsid w:val="00762414"/>
    <w:rsid w:val="007624A6"/>
    <w:rsid w:val="007624B4"/>
    <w:rsid w:val="00762601"/>
    <w:rsid w:val="0076263C"/>
    <w:rsid w:val="007626A9"/>
    <w:rsid w:val="007626B7"/>
    <w:rsid w:val="00762748"/>
    <w:rsid w:val="007627A7"/>
    <w:rsid w:val="00762834"/>
    <w:rsid w:val="0076283C"/>
    <w:rsid w:val="0076285C"/>
    <w:rsid w:val="0076286A"/>
    <w:rsid w:val="007628F6"/>
    <w:rsid w:val="007628F8"/>
    <w:rsid w:val="00762AB3"/>
    <w:rsid w:val="00762B1B"/>
    <w:rsid w:val="00762B50"/>
    <w:rsid w:val="00762BA1"/>
    <w:rsid w:val="00762C28"/>
    <w:rsid w:val="00762C83"/>
    <w:rsid w:val="00762DAE"/>
    <w:rsid w:val="00762DB5"/>
    <w:rsid w:val="00762DC9"/>
    <w:rsid w:val="00762DF5"/>
    <w:rsid w:val="00762E1C"/>
    <w:rsid w:val="00762E5C"/>
    <w:rsid w:val="00762E7C"/>
    <w:rsid w:val="00762E80"/>
    <w:rsid w:val="00762F07"/>
    <w:rsid w:val="00762F20"/>
    <w:rsid w:val="00762F2F"/>
    <w:rsid w:val="00762F40"/>
    <w:rsid w:val="00762FED"/>
    <w:rsid w:val="00763014"/>
    <w:rsid w:val="00763166"/>
    <w:rsid w:val="0076318F"/>
    <w:rsid w:val="0076327A"/>
    <w:rsid w:val="007632A7"/>
    <w:rsid w:val="0076348B"/>
    <w:rsid w:val="0076349E"/>
    <w:rsid w:val="007634B0"/>
    <w:rsid w:val="00763612"/>
    <w:rsid w:val="00763686"/>
    <w:rsid w:val="0076368F"/>
    <w:rsid w:val="007637F3"/>
    <w:rsid w:val="0076382C"/>
    <w:rsid w:val="0076383C"/>
    <w:rsid w:val="00763889"/>
    <w:rsid w:val="007638C2"/>
    <w:rsid w:val="00763910"/>
    <w:rsid w:val="007639B9"/>
    <w:rsid w:val="00763A16"/>
    <w:rsid w:val="00763A78"/>
    <w:rsid w:val="00763B29"/>
    <w:rsid w:val="00763B57"/>
    <w:rsid w:val="00763B6E"/>
    <w:rsid w:val="00763BF3"/>
    <w:rsid w:val="00763C0E"/>
    <w:rsid w:val="00763C49"/>
    <w:rsid w:val="00763C53"/>
    <w:rsid w:val="00763CDE"/>
    <w:rsid w:val="00763CE2"/>
    <w:rsid w:val="00763CF9"/>
    <w:rsid w:val="00763D85"/>
    <w:rsid w:val="00763D9C"/>
    <w:rsid w:val="00763DD7"/>
    <w:rsid w:val="00763DE4"/>
    <w:rsid w:val="00763E72"/>
    <w:rsid w:val="00763ED5"/>
    <w:rsid w:val="00763F6A"/>
    <w:rsid w:val="00763F7E"/>
    <w:rsid w:val="00763F90"/>
    <w:rsid w:val="00763FE1"/>
    <w:rsid w:val="00763FE8"/>
    <w:rsid w:val="0076406B"/>
    <w:rsid w:val="007640A4"/>
    <w:rsid w:val="007640EA"/>
    <w:rsid w:val="00764128"/>
    <w:rsid w:val="00764177"/>
    <w:rsid w:val="007641C3"/>
    <w:rsid w:val="00764202"/>
    <w:rsid w:val="00764214"/>
    <w:rsid w:val="00764297"/>
    <w:rsid w:val="007643ED"/>
    <w:rsid w:val="007643F0"/>
    <w:rsid w:val="0076441F"/>
    <w:rsid w:val="00764566"/>
    <w:rsid w:val="007645BF"/>
    <w:rsid w:val="0076460C"/>
    <w:rsid w:val="00764617"/>
    <w:rsid w:val="00764794"/>
    <w:rsid w:val="007648C6"/>
    <w:rsid w:val="007648F4"/>
    <w:rsid w:val="0076494F"/>
    <w:rsid w:val="00764972"/>
    <w:rsid w:val="0076498E"/>
    <w:rsid w:val="00764A45"/>
    <w:rsid w:val="00764AB7"/>
    <w:rsid w:val="00764AC3"/>
    <w:rsid w:val="00764B2B"/>
    <w:rsid w:val="00764C30"/>
    <w:rsid w:val="00764CAA"/>
    <w:rsid w:val="00764CAF"/>
    <w:rsid w:val="00764CE7"/>
    <w:rsid w:val="00764D23"/>
    <w:rsid w:val="00764D3A"/>
    <w:rsid w:val="00764DC9"/>
    <w:rsid w:val="00764F22"/>
    <w:rsid w:val="00764F69"/>
    <w:rsid w:val="0076501C"/>
    <w:rsid w:val="00765026"/>
    <w:rsid w:val="0076505C"/>
    <w:rsid w:val="0076512E"/>
    <w:rsid w:val="00765139"/>
    <w:rsid w:val="00765239"/>
    <w:rsid w:val="0076524B"/>
    <w:rsid w:val="00765302"/>
    <w:rsid w:val="00765354"/>
    <w:rsid w:val="00765464"/>
    <w:rsid w:val="007654CC"/>
    <w:rsid w:val="007654F6"/>
    <w:rsid w:val="00765530"/>
    <w:rsid w:val="00765571"/>
    <w:rsid w:val="0076573B"/>
    <w:rsid w:val="007657CB"/>
    <w:rsid w:val="007658B8"/>
    <w:rsid w:val="007658EF"/>
    <w:rsid w:val="007659D1"/>
    <w:rsid w:val="00765A34"/>
    <w:rsid w:val="00765AAD"/>
    <w:rsid w:val="00765AEE"/>
    <w:rsid w:val="00765B87"/>
    <w:rsid w:val="00765CBA"/>
    <w:rsid w:val="00765CC7"/>
    <w:rsid w:val="00765CF4"/>
    <w:rsid w:val="00765D37"/>
    <w:rsid w:val="00765D84"/>
    <w:rsid w:val="00765D94"/>
    <w:rsid w:val="00765E02"/>
    <w:rsid w:val="00765EB4"/>
    <w:rsid w:val="00765EDD"/>
    <w:rsid w:val="00765F24"/>
    <w:rsid w:val="00765F93"/>
    <w:rsid w:val="00766054"/>
    <w:rsid w:val="00766077"/>
    <w:rsid w:val="0076615D"/>
    <w:rsid w:val="00766183"/>
    <w:rsid w:val="0076618E"/>
    <w:rsid w:val="00766256"/>
    <w:rsid w:val="0076635C"/>
    <w:rsid w:val="007663B9"/>
    <w:rsid w:val="007663D7"/>
    <w:rsid w:val="00766478"/>
    <w:rsid w:val="007664F5"/>
    <w:rsid w:val="00766517"/>
    <w:rsid w:val="007665A0"/>
    <w:rsid w:val="007665D9"/>
    <w:rsid w:val="007666CD"/>
    <w:rsid w:val="00766700"/>
    <w:rsid w:val="0076673C"/>
    <w:rsid w:val="007667A6"/>
    <w:rsid w:val="007667E8"/>
    <w:rsid w:val="0076681C"/>
    <w:rsid w:val="00766850"/>
    <w:rsid w:val="007668D2"/>
    <w:rsid w:val="007668DA"/>
    <w:rsid w:val="00766935"/>
    <w:rsid w:val="0076698B"/>
    <w:rsid w:val="007669B3"/>
    <w:rsid w:val="007669B4"/>
    <w:rsid w:val="00766A14"/>
    <w:rsid w:val="00766AFE"/>
    <w:rsid w:val="00766BBD"/>
    <w:rsid w:val="00766BE2"/>
    <w:rsid w:val="00766CA5"/>
    <w:rsid w:val="00766DE5"/>
    <w:rsid w:val="00766ECC"/>
    <w:rsid w:val="0076702B"/>
    <w:rsid w:val="00767070"/>
    <w:rsid w:val="00767095"/>
    <w:rsid w:val="00767149"/>
    <w:rsid w:val="0076714A"/>
    <w:rsid w:val="007671A8"/>
    <w:rsid w:val="00767213"/>
    <w:rsid w:val="007672D6"/>
    <w:rsid w:val="007672DC"/>
    <w:rsid w:val="007673BB"/>
    <w:rsid w:val="0076741B"/>
    <w:rsid w:val="00767423"/>
    <w:rsid w:val="007674FB"/>
    <w:rsid w:val="0076757B"/>
    <w:rsid w:val="00767617"/>
    <w:rsid w:val="00767776"/>
    <w:rsid w:val="0076778E"/>
    <w:rsid w:val="00767797"/>
    <w:rsid w:val="0076779A"/>
    <w:rsid w:val="007677C3"/>
    <w:rsid w:val="007678A4"/>
    <w:rsid w:val="00767955"/>
    <w:rsid w:val="00767957"/>
    <w:rsid w:val="00767AD7"/>
    <w:rsid w:val="00767B7E"/>
    <w:rsid w:val="00767C08"/>
    <w:rsid w:val="00767C0E"/>
    <w:rsid w:val="00767C11"/>
    <w:rsid w:val="00767C8F"/>
    <w:rsid w:val="00767CDF"/>
    <w:rsid w:val="00767D65"/>
    <w:rsid w:val="00767D92"/>
    <w:rsid w:val="00767D94"/>
    <w:rsid w:val="00767F3F"/>
    <w:rsid w:val="00767F47"/>
    <w:rsid w:val="00767FF5"/>
    <w:rsid w:val="00770013"/>
    <w:rsid w:val="007700D6"/>
    <w:rsid w:val="0077019D"/>
    <w:rsid w:val="0077034B"/>
    <w:rsid w:val="00770356"/>
    <w:rsid w:val="007703FF"/>
    <w:rsid w:val="0077040E"/>
    <w:rsid w:val="00770463"/>
    <w:rsid w:val="0077052D"/>
    <w:rsid w:val="0077058F"/>
    <w:rsid w:val="0077059C"/>
    <w:rsid w:val="00770696"/>
    <w:rsid w:val="007706CE"/>
    <w:rsid w:val="007706F1"/>
    <w:rsid w:val="0077072D"/>
    <w:rsid w:val="00770741"/>
    <w:rsid w:val="00770792"/>
    <w:rsid w:val="007707ED"/>
    <w:rsid w:val="0077086C"/>
    <w:rsid w:val="00770891"/>
    <w:rsid w:val="00770892"/>
    <w:rsid w:val="007709B4"/>
    <w:rsid w:val="007709F7"/>
    <w:rsid w:val="00770A16"/>
    <w:rsid w:val="00770B51"/>
    <w:rsid w:val="00770B5C"/>
    <w:rsid w:val="00770B66"/>
    <w:rsid w:val="00770B88"/>
    <w:rsid w:val="00770B9E"/>
    <w:rsid w:val="00770C24"/>
    <w:rsid w:val="00770C63"/>
    <w:rsid w:val="00770CF6"/>
    <w:rsid w:val="00770D13"/>
    <w:rsid w:val="00770D53"/>
    <w:rsid w:val="00770E1A"/>
    <w:rsid w:val="00770E87"/>
    <w:rsid w:val="00770EBD"/>
    <w:rsid w:val="00770EED"/>
    <w:rsid w:val="00771096"/>
    <w:rsid w:val="007711DD"/>
    <w:rsid w:val="00771240"/>
    <w:rsid w:val="007712D3"/>
    <w:rsid w:val="007713A1"/>
    <w:rsid w:val="00771421"/>
    <w:rsid w:val="0077143F"/>
    <w:rsid w:val="00771507"/>
    <w:rsid w:val="00771560"/>
    <w:rsid w:val="007717B5"/>
    <w:rsid w:val="007718A6"/>
    <w:rsid w:val="00771911"/>
    <w:rsid w:val="00771AB8"/>
    <w:rsid w:val="00771C37"/>
    <w:rsid w:val="00771C5F"/>
    <w:rsid w:val="00771CCF"/>
    <w:rsid w:val="00771CFB"/>
    <w:rsid w:val="00771D06"/>
    <w:rsid w:val="00771E85"/>
    <w:rsid w:val="00771E9C"/>
    <w:rsid w:val="00771EB3"/>
    <w:rsid w:val="00771F62"/>
    <w:rsid w:val="00771F64"/>
    <w:rsid w:val="00771F8E"/>
    <w:rsid w:val="00772007"/>
    <w:rsid w:val="00772067"/>
    <w:rsid w:val="007720D6"/>
    <w:rsid w:val="007721FF"/>
    <w:rsid w:val="0077226A"/>
    <w:rsid w:val="0077229D"/>
    <w:rsid w:val="00772308"/>
    <w:rsid w:val="00772343"/>
    <w:rsid w:val="007724D2"/>
    <w:rsid w:val="007724EC"/>
    <w:rsid w:val="0077250A"/>
    <w:rsid w:val="00772534"/>
    <w:rsid w:val="00772559"/>
    <w:rsid w:val="007725EB"/>
    <w:rsid w:val="00772675"/>
    <w:rsid w:val="00772703"/>
    <w:rsid w:val="007727E5"/>
    <w:rsid w:val="00772881"/>
    <w:rsid w:val="00772A8D"/>
    <w:rsid w:val="00772B64"/>
    <w:rsid w:val="00772CBB"/>
    <w:rsid w:val="00772CC8"/>
    <w:rsid w:val="00772D69"/>
    <w:rsid w:val="00772E57"/>
    <w:rsid w:val="00772EEA"/>
    <w:rsid w:val="00772F58"/>
    <w:rsid w:val="00772FB0"/>
    <w:rsid w:val="00773155"/>
    <w:rsid w:val="007733F2"/>
    <w:rsid w:val="00773421"/>
    <w:rsid w:val="00773466"/>
    <w:rsid w:val="00773469"/>
    <w:rsid w:val="00773512"/>
    <w:rsid w:val="00773590"/>
    <w:rsid w:val="007735C5"/>
    <w:rsid w:val="00773625"/>
    <w:rsid w:val="007736AB"/>
    <w:rsid w:val="00773787"/>
    <w:rsid w:val="007737BD"/>
    <w:rsid w:val="007737D6"/>
    <w:rsid w:val="007737E2"/>
    <w:rsid w:val="007737E7"/>
    <w:rsid w:val="00773845"/>
    <w:rsid w:val="0077388B"/>
    <w:rsid w:val="007738C1"/>
    <w:rsid w:val="0077399E"/>
    <w:rsid w:val="00773A0C"/>
    <w:rsid w:val="00773A27"/>
    <w:rsid w:val="00773A59"/>
    <w:rsid w:val="00773A5C"/>
    <w:rsid w:val="00773B2A"/>
    <w:rsid w:val="00773BC2"/>
    <w:rsid w:val="00773C2A"/>
    <w:rsid w:val="00773D27"/>
    <w:rsid w:val="00773DAD"/>
    <w:rsid w:val="00773E03"/>
    <w:rsid w:val="00773E6B"/>
    <w:rsid w:val="00773E71"/>
    <w:rsid w:val="00773E91"/>
    <w:rsid w:val="00773F74"/>
    <w:rsid w:val="00773FA8"/>
    <w:rsid w:val="00774039"/>
    <w:rsid w:val="007740C0"/>
    <w:rsid w:val="0077421E"/>
    <w:rsid w:val="00774265"/>
    <w:rsid w:val="007743D8"/>
    <w:rsid w:val="007744B6"/>
    <w:rsid w:val="00774666"/>
    <w:rsid w:val="00774686"/>
    <w:rsid w:val="007746C8"/>
    <w:rsid w:val="007746EF"/>
    <w:rsid w:val="0077470A"/>
    <w:rsid w:val="00774740"/>
    <w:rsid w:val="00774751"/>
    <w:rsid w:val="00774927"/>
    <w:rsid w:val="007749B6"/>
    <w:rsid w:val="00774B25"/>
    <w:rsid w:val="00774B7B"/>
    <w:rsid w:val="00774BD0"/>
    <w:rsid w:val="00774C77"/>
    <w:rsid w:val="00774C88"/>
    <w:rsid w:val="00774CF1"/>
    <w:rsid w:val="00774D85"/>
    <w:rsid w:val="00774D9A"/>
    <w:rsid w:val="00774E5B"/>
    <w:rsid w:val="00774EDA"/>
    <w:rsid w:val="00774FA0"/>
    <w:rsid w:val="00774FB4"/>
    <w:rsid w:val="00774FC4"/>
    <w:rsid w:val="00774FD3"/>
    <w:rsid w:val="00774FFD"/>
    <w:rsid w:val="0077501E"/>
    <w:rsid w:val="0077503F"/>
    <w:rsid w:val="0077504D"/>
    <w:rsid w:val="0077507A"/>
    <w:rsid w:val="00775097"/>
    <w:rsid w:val="007750AC"/>
    <w:rsid w:val="007751B8"/>
    <w:rsid w:val="007751CC"/>
    <w:rsid w:val="007751F1"/>
    <w:rsid w:val="00775208"/>
    <w:rsid w:val="00775344"/>
    <w:rsid w:val="0077553D"/>
    <w:rsid w:val="0077561A"/>
    <w:rsid w:val="00775653"/>
    <w:rsid w:val="007756CA"/>
    <w:rsid w:val="0077580C"/>
    <w:rsid w:val="007758A4"/>
    <w:rsid w:val="00775968"/>
    <w:rsid w:val="0077598B"/>
    <w:rsid w:val="007759C2"/>
    <w:rsid w:val="00775A1E"/>
    <w:rsid w:val="00775AB3"/>
    <w:rsid w:val="00775AE9"/>
    <w:rsid w:val="00775B43"/>
    <w:rsid w:val="00775BAA"/>
    <w:rsid w:val="00775BB3"/>
    <w:rsid w:val="00775BC9"/>
    <w:rsid w:val="00775C6B"/>
    <w:rsid w:val="00775D11"/>
    <w:rsid w:val="00775D22"/>
    <w:rsid w:val="00775DF6"/>
    <w:rsid w:val="00775EA3"/>
    <w:rsid w:val="00775EA9"/>
    <w:rsid w:val="00775EC3"/>
    <w:rsid w:val="00775EC4"/>
    <w:rsid w:val="00775FFD"/>
    <w:rsid w:val="00776039"/>
    <w:rsid w:val="00776066"/>
    <w:rsid w:val="007761DB"/>
    <w:rsid w:val="00776370"/>
    <w:rsid w:val="007763C5"/>
    <w:rsid w:val="007764A5"/>
    <w:rsid w:val="007764D8"/>
    <w:rsid w:val="00776515"/>
    <w:rsid w:val="0077653A"/>
    <w:rsid w:val="0077653E"/>
    <w:rsid w:val="0077664C"/>
    <w:rsid w:val="007766C0"/>
    <w:rsid w:val="00776762"/>
    <w:rsid w:val="007767EB"/>
    <w:rsid w:val="00776817"/>
    <w:rsid w:val="007768B5"/>
    <w:rsid w:val="007768EF"/>
    <w:rsid w:val="00776907"/>
    <w:rsid w:val="00776929"/>
    <w:rsid w:val="00776957"/>
    <w:rsid w:val="00776A3A"/>
    <w:rsid w:val="00776A40"/>
    <w:rsid w:val="00776A72"/>
    <w:rsid w:val="00776BAF"/>
    <w:rsid w:val="00776D23"/>
    <w:rsid w:val="00776DC9"/>
    <w:rsid w:val="00776E65"/>
    <w:rsid w:val="00776F9C"/>
    <w:rsid w:val="00777182"/>
    <w:rsid w:val="00777186"/>
    <w:rsid w:val="00777209"/>
    <w:rsid w:val="00777237"/>
    <w:rsid w:val="00777242"/>
    <w:rsid w:val="007772B7"/>
    <w:rsid w:val="00777380"/>
    <w:rsid w:val="007773BC"/>
    <w:rsid w:val="007773F8"/>
    <w:rsid w:val="007773FA"/>
    <w:rsid w:val="00777485"/>
    <w:rsid w:val="00777489"/>
    <w:rsid w:val="007774F3"/>
    <w:rsid w:val="00777554"/>
    <w:rsid w:val="007775A9"/>
    <w:rsid w:val="00777659"/>
    <w:rsid w:val="0077767B"/>
    <w:rsid w:val="007776FF"/>
    <w:rsid w:val="0077776C"/>
    <w:rsid w:val="007777AE"/>
    <w:rsid w:val="007779FE"/>
    <w:rsid w:val="00777A4A"/>
    <w:rsid w:val="00777A74"/>
    <w:rsid w:val="00777B08"/>
    <w:rsid w:val="00777BD0"/>
    <w:rsid w:val="00777BE9"/>
    <w:rsid w:val="00777C71"/>
    <w:rsid w:val="00777CF7"/>
    <w:rsid w:val="00777D66"/>
    <w:rsid w:val="00777E5E"/>
    <w:rsid w:val="00777E8C"/>
    <w:rsid w:val="00777EFD"/>
    <w:rsid w:val="00777F0D"/>
    <w:rsid w:val="00777F41"/>
    <w:rsid w:val="00777F53"/>
    <w:rsid w:val="00777FAA"/>
    <w:rsid w:val="00780035"/>
    <w:rsid w:val="00780111"/>
    <w:rsid w:val="0078020F"/>
    <w:rsid w:val="007802C2"/>
    <w:rsid w:val="00780382"/>
    <w:rsid w:val="00780384"/>
    <w:rsid w:val="007803B2"/>
    <w:rsid w:val="007803D8"/>
    <w:rsid w:val="0078047A"/>
    <w:rsid w:val="007805EF"/>
    <w:rsid w:val="0078067E"/>
    <w:rsid w:val="007806AB"/>
    <w:rsid w:val="00780712"/>
    <w:rsid w:val="00780733"/>
    <w:rsid w:val="007807A5"/>
    <w:rsid w:val="007807F6"/>
    <w:rsid w:val="00780886"/>
    <w:rsid w:val="007809E4"/>
    <w:rsid w:val="00780A13"/>
    <w:rsid w:val="00780A42"/>
    <w:rsid w:val="00780A4A"/>
    <w:rsid w:val="00780A67"/>
    <w:rsid w:val="00780A9A"/>
    <w:rsid w:val="00780AC1"/>
    <w:rsid w:val="00780B3A"/>
    <w:rsid w:val="00780C04"/>
    <w:rsid w:val="00780C81"/>
    <w:rsid w:val="00780D1D"/>
    <w:rsid w:val="00780D3D"/>
    <w:rsid w:val="00780E33"/>
    <w:rsid w:val="00780EDB"/>
    <w:rsid w:val="00780F11"/>
    <w:rsid w:val="00780F91"/>
    <w:rsid w:val="00781009"/>
    <w:rsid w:val="007810B4"/>
    <w:rsid w:val="00781115"/>
    <w:rsid w:val="007811B5"/>
    <w:rsid w:val="007811CE"/>
    <w:rsid w:val="00781225"/>
    <w:rsid w:val="00781240"/>
    <w:rsid w:val="0078129F"/>
    <w:rsid w:val="007812DB"/>
    <w:rsid w:val="00781353"/>
    <w:rsid w:val="00781387"/>
    <w:rsid w:val="0078139A"/>
    <w:rsid w:val="00781400"/>
    <w:rsid w:val="007814A1"/>
    <w:rsid w:val="007814AC"/>
    <w:rsid w:val="00781578"/>
    <w:rsid w:val="007815F2"/>
    <w:rsid w:val="0078166C"/>
    <w:rsid w:val="00781720"/>
    <w:rsid w:val="007817A1"/>
    <w:rsid w:val="00781824"/>
    <w:rsid w:val="007819BA"/>
    <w:rsid w:val="007819E7"/>
    <w:rsid w:val="00781A9D"/>
    <w:rsid w:val="00781AAA"/>
    <w:rsid w:val="00781ABA"/>
    <w:rsid w:val="00781AF0"/>
    <w:rsid w:val="00781B2F"/>
    <w:rsid w:val="00781BAC"/>
    <w:rsid w:val="00781BAD"/>
    <w:rsid w:val="00781D1D"/>
    <w:rsid w:val="00781D84"/>
    <w:rsid w:val="00781D9B"/>
    <w:rsid w:val="00781DEF"/>
    <w:rsid w:val="00781E42"/>
    <w:rsid w:val="00781E44"/>
    <w:rsid w:val="00781F6B"/>
    <w:rsid w:val="00781F71"/>
    <w:rsid w:val="00781FDE"/>
    <w:rsid w:val="007820B0"/>
    <w:rsid w:val="007820F9"/>
    <w:rsid w:val="00782287"/>
    <w:rsid w:val="0078231D"/>
    <w:rsid w:val="0078235A"/>
    <w:rsid w:val="007823EB"/>
    <w:rsid w:val="00782470"/>
    <w:rsid w:val="007824B6"/>
    <w:rsid w:val="0078252C"/>
    <w:rsid w:val="00782553"/>
    <w:rsid w:val="007825DA"/>
    <w:rsid w:val="007825DD"/>
    <w:rsid w:val="007825FE"/>
    <w:rsid w:val="00782680"/>
    <w:rsid w:val="007826BB"/>
    <w:rsid w:val="007826FA"/>
    <w:rsid w:val="007827C7"/>
    <w:rsid w:val="00782857"/>
    <w:rsid w:val="00782861"/>
    <w:rsid w:val="00782909"/>
    <w:rsid w:val="007829B4"/>
    <w:rsid w:val="00782C00"/>
    <w:rsid w:val="00782C1B"/>
    <w:rsid w:val="00782C21"/>
    <w:rsid w:val="00782C4D"/>
    <w:rsid w:val="00782CC2"/>
    <w:rsid w:val="00782CE6"/>
    <w:rsid w:val="00782D7C"/>
    <w:rsid w:val="00782DCA"/>
    <w:rsid w:val="00782DE6"/>
    <w:rsid w:val="00782E13"/>
    <w:rsid w:val="00782EA4"/>
    <w:rsid w:val="00782EDC"/>
    <w:rsid w:val="00782EE2"/>
    <w:rsid w:val="00782F9D"/>
    <w:rsid w:val="00782FF6"/>
    <w:rsid w:val="0078303F"/>
    <w:rsid w:val="00783158"/>
    <w:rsid w:val="0078315F"/>
    <w:rsid w:val="0078317E"/>
    <w:rsid w:val="00783248"/>
    <w:rsid w:val="007832A7"/>
    <w:rsid w:val="007832C9"/>
    <w:rsid w:val="0078348C"/>
    <w:rsid w:val="00783516"/>
    <w:rsid w:val="0078353B"/>
    <w:rsid w:val="0078358C"/>
    <w:rsid w:val="00783596"/>
    <w:rsid w:val="007835B8"/>
    <w:rsid w:val="0078371A"/>
    <w:rsid w:val="00783785"/>
    <w:rsid w:val="007837B0"/>
    <w:rsid w:val="00783902"/>
    <w:rsid w:val="00783954"/>
    <w:rsid w:val="0078395E"/>
    <w:rsid w:val="007839BA"/>
    <w:rsid w:val="00783B06"/>
    <w:rsid w:val="00783B3E"/>
    <w:rsid w:val="00783B71"/>
    <w:rsid w:val="00783BFA"/>
    <w:rsid w:val="00783C5D"/>
    <w:rsid w:val="00783D2A"/>
    <w:rsid w:val="00783D46"/>
    <w:rsid w:val="00783D65"/>
    <w:rsid w:val="00783D96"/>
    <w:rsid w:val="00783DFD"/>
    <w:rsid w:val="00783E22"/>
    <w:rsid w:val="00783E35"/>
    <w:rsid w:val="00783E5E"/>
    <w:rsid w:val="00783E6E"/>
    <w:rsid w:val="00783E8B"/>
    <w:rsid w:val="00783F98"/>
    <w:rsid w:val="00783FCD"/>
    <w:rsid w:val="00784000"/>
    <w:rsid w:val="007840A8"/>
    <w:rsid w:val="007840D8"/>
    <w:rsid w:val="0078419E"/>
    <w:rsid w:val="007841F5"/>
    <w:rsid w:val="00784222"/>
    <w:rsid w:val="0078422B"/>
    <w:rsid w:val="00784232"/>
    <w:rsid w:val="007842EB"/>
    <w:rsid w:val="0078438D"/>
    <w:rsid w:val="0078440F"/>
    <w:rsid w:val="00784456"/>
    <w:rsid w:val="007844F4"/>
    <w:rsid w:val="007845C8"/>
    <w:rsid w:val="007845CD"/>
    <w:rsid w:val="00784675"/>
    <w:rsid w:val="00784713"/>
    <w:rsid w:val="0078471D"/>
    <w:rsid w:val="007847C7"/>
    <w:rsid w:val="007847F1"/>
    <w:rsid w:val="007847FA"/>
    <w:rsid w:val="00784857"/>
    <w:rsid w:val="007848FE"/>
    <w:rsid w:val="0078492F"/>
    <w:rsid w:val="00784949"/>
    <w:rsid w:val="007849F4"/>
    <w:rsid w:val="00784A48"/>
    <w:rsid w:val="00784A53"/>
    <w:rsid w:val="00784A82"/>
    <w:rsid w:val="00784A8E"/>
    <w:rsid w:val="00784AD3"/>
    <w:rsid w:val="00784B17"/>
    <w:rsid w:val="00784C28"/>
    <w:rsid w:val="00784C6F"/>
    <w:rsid w:val="00784C96"/>
    <w:rsid w:val="00784D4E"/>
    <w:rsid w:val="00784D97"/>
    <w:rsid w:val="00784F07"/>
    <w:rsid w:val="00784F39"/>
    <w:rsid w:val="00785018"/>
    <w:rsid w:val="0078507B"/>
    <w:rsid w:val="007850D9"/>
    <w:rsid w:val="0078519C"/>
    <w:rsid w:val="007851C4"/>
    <w:rsid w:val="00785200"/>
    <w:rsid w:val="0078525B"/>
    <w:rsid w:val="00785263"/>
    <w:rsid w:val="007852B5"/>
    <w:rsid w:val="007852EB"/>
    <w:rsid w:val="0078542F"/>
    <w:rsid w:val="00785481"/>
    <w:rsid w:val="007854FD"/>
    <w:rsid w:val="00785508"/>
    <w:rsid w:val="00785570"/>
    <w:rsid w:val="007855D6"/>
    <w:rsid w:val="007856D3"/>
    <w:rsid w:val="00785728"/>
    <w:rsid w:val="00785758"/>
    <w:rsid w:val="00785783"/>
    <w:rsid w:val="007857CA"/>
    <w:rsid w:val="007858AE"/>
    <w:rsid w:val="0078591C"/>
    <w:rsid w:val="00785958"/>
    <w:rsid w:val="00785985"/>
    <w:rsid w:val="00785A3D"/>
    <w:rsid w:val="00785BC9"/>
    <w:rsid w:val="00785C0A"/>
    <w:rsid w:val="00785C72"/>
    <w:rsid w:val="00785C9A"/>
    <w:rsid w:val="00785E60"/>
    <w:rsid w:val="00785EDF"/>
    <w:rsid w:val="00785F3D"/>
    <w:rsid w:val="00785F84"/>
    <w:rsid w:val="00786003"/>
    <w:rsid w:val="00786020"/>
    <w:rsid w:val="00786174"/>
    <w:rsid w:val="007861AE"/>
    <w:rsid w:val="007861C1"/>
    <w:rsid w:val="007862DF"/>
    <w:rsid w:val="007862F5"/>
    <w:rsid w:val="0078634B"/>
    <w:rsid w:val="00786400"/>
    <w:rsid w:val="00786428"/>
    <w:rsid w:val="0078646C"/>
    <w:rsid w:val="007864B8"/>
    <w:rsid w:val="007864BD"/>
    <w:rsid w:val="007864FE"/>
    <w:rsid w:val="007865D3"/>
    <w:rsid w:val="007865E0"/>
    <w:rsid w:val="00786640"/>
    <w:rsid w:val="007867D3"/>
    <w:rsid w:val="007868B6"/>
    <w:rsid w:val="007868C5"/>
    <w:rsid w:val="0078699A"/>
    <w:rsid w:val="00786A71"/>
    <w:rsid w:val="00786AB1"/>
    <w:rsid w:val="00786AEE"/>
    <w:rsid w:val="00786BBF"/>
    <w:rsid w:val="00786BF3"/>
    <w:rsid w:val="00786C03"/>
    <w:rsid w:val="00786C8B"/>
    <w:rsid w:val="00786DDD"/>
    <w:rsid w:val="00786E87"/>
    <w:rsid w:val="00786ECB"/>
    <w:rsid w:val="00786FC4"/>
    <w:rsid w:val="0078704C"/>
    <w:rsid w:val="00787054"/>
    <w:rsid w:val="0078709E"/>
    <w:rsid w:val="0078716E"/>
    <w:rsid w:val="00787226"/>
    <w:rsid w:val="0078728B"/>
    <w:rsid w:val="00787324"/>
    <w:rsid w:val="007873E1"/>
    <w:rsid w:val="0078743D"/>
    <w:rsid w:val="00787451"/>
    <w:rsid w:val="0078746C"/>
    <w:rsid w:val="0078748B"/>
    <w:rsid w:val="007874E3"/>
    <w:rsid w:val="00787509"/>
    <w:rsid w:val="0078752A"/>
    <w:rsid w:val="0078757C"/>
    <w:rsid w:val="007875B2"/>
    <w:rsid w:val="007875FF"/>
    <w:rsid w:val="00787615"/>
    <w:rsid w:val="007876B5"/>
    <w:rsid w:val="00787701"/>
    <w:rsid w:val="0078774D"/>
    <w:rsid w:val="00787761"/>
    <w:rsid w:val="00787770"/>
    <w:rsid w:val="00787788"/>
    <w:rsid w:val="007877EA"/>
    <w:rsid w:val="007877FD"/>
    <w:rsid w:val="00787809"/>
    <w:rsid w:val="0078786E"/>
    <w:rsid w:val="007878F5"/>
    <w:rsid w:val="00787970"/>
    <w:rsid w:val="00787A59"/>
    <w:rsid w:val="00787AAA"/>
    <w:rsid w:val="00787AF4"/>
    <w:rsid w:val="00787B41"/>
    <w:rsid w:val="00787BE7"/>
    <w:rsid w:val="00787BF7"/>
    <w:rsid w:val="00787C47"/>
    <w:rsid w:val="00787C70"/>
    <w:rsid w:val="00787CC7"/>
    <w:rsid w:val="00787D5D"/>
    <w:rsid w:val="00787D95"/>
    <w:rsid w:val="00787E05"/>
    <w:rsid w:val="00787E43"/>
    <w:rsid w:val="00787E53"/>
    <w:rsid w:val="00790045"/>
    <w:rsid w:val="007900ED"/>
    <w:rsid w:val="007900F2"/>
    <w:rsid w:val="007901BC"/>
    <w:rsid w:val="00790234"/>
    <w:rsid w:val="0079024B"/>
    <w:rsid w:val="0079024D"/>
    <w:rsid w:val="0079028C"/>
    <w:rsid w:val="0079029E"/>
    <w:rsid w:val="007903C6"/>
    <w:rsid w:val="00790463"/>
    <w:rsid w:val="007905B4"/>
    <w:rsid w:val="007905F4"/>
    <w:rsid w:val="00790701"/>
    <w:rsid w:val="00790734"/>
    <w:rsid w:val="00790768"/>
    <w:rsid w:val="007907F4"/>
    <w:rsid w:val="007908BF"/>
    <w:rsid w:val="007908D2"/>
    <w:rsid w:val="007908D4"/>
    <w:rsid w:val="0079093B"/>
    <w:rsid w:val="00790963"/>
    <w:rsid w:val="007909A2"/>
    <w:rsid w:val="007909B7"/>
    <w:rsid w:val="00790A11"/>
    <w:rsid w:val="00790A26"/>
    <w:rsid w:val="00790A7D"/>
    <w:rsid w:val="00790AD9"/>
    <w:rsid w:val="00790BD2"/>
    <w:rsid w:val="00790BFE"/>
    <w:rsid w:val="00790C47"/>
    <w:rsid w:val="00790D04"/>
    <w:rsid w:val="00790D1F"/>
    <w:rsid w:val="00790DAC"/>
    <w:rsid w:val="00790DBE"/>
    <w:rsid w:val="00790F04"/>
    <w:rsid w:val="00790FB7"/>
    <w:rsid w:val="00790FE2"/>
    <w:rsid w:val="00790FF6"/>
    <w:rsid w:val="00791101"/>
    <w:rsid w:val="00791126"/>
    <w:rsid w:val="0079116C"/>
    <w:rsid w:val="00791268"/>
    <w:rsid w:val="007912D5"/>
    <w:rsid w:val="007912ED"/>
    <w:rsid w:val="0079136B"/>
    <w:rsid w:val="0079138C"/>
    <w:rsid w:val="007913A2"/>
    <w:rsid w:val="007913B9"/>
    <w:rsid w:val="007913FE"/>
    <w:rsid w:val="0079151E"/>
    <w:rsid w:val="00791520"/>
    <w:rsid w:val="0079152F"/>
    <w:rsid w:val="0079153A"/>
    <w:rsid w:val="00791570"/>
    <w:rsid w:val="00791619"/>
    <w:rsid w:val="00791659"/>
    <w:rsid w:val="007916A8"/>
    <w:rsid w:val="00791723"/>
    <w:rsid w:val="0079175C"/>
    <w:rsid w:val="007917B1"/>
    <w:rsid w:val="0079191D"/>
    <w:rsid w:val="0079192F"/>
    <w:rsid w:val="007919AB"/>
    <w:rsid w:val="007919B6"/>
    <w:rsid w:val="007919BA"/>
    <w:rsid w:val="00791A0F"/>
    <w:rsid w:val="00791A62"/>
    <w:rsid w:val="00791B34"/>
    <w:rsid w:val="00791B5A"/>
    <w:rsid w:val="00791BBA"/>
    <w:rsid w:val="00791CA3"/>
    <w:rsid w:val="00791CD3"/>
    <w:rsid w:val="00791D73"/>
    <w:rsid w:val="00791D98"/>
    <w:rsid w:val="00791DBB"/>
    <w:rsid w:val="00791DD1"/>
    <w:rsid w:val="00791DF6"/>
    <w:rsid w:val="00791FC0"/>
    <w:rsid w:val="00792009"/>
    <w:rsid w:val="00792093"/>
    <w:rsid w:val="0079217D"/>
    <w:rsid w:val="00792233"/>
    <w:rsid w:val="00792257"/>
    <w:rsid w:val="00792260"/>
    <w:rsid w:val="0079233F"/>
    <w:rsid w:val="00792343"/>
    <w:rsid w:val="007923CE"/>
    <w:rsid w:val="00792443"/>
    <w:rsid w:val="0079245B"/>
    <w:rsid w:val="0079247A"/>
    <w:rsid w:val="007924DE"/>
    <w:rsid w:val="007924FA"/>
    <w:rsid w:val="0079250E"/>
    <w:rsid w:val="007926F0"/>
    <w:rsid w:val="007927DF"/>
    <w:rsid w:val="007927E7"/>
    <w:rsid w:val="0079286D"/>
    <w:rsid w:val="0079288C"/>
    <w:rsid w:val="007928A1"/>
    <w:rsid w:val="00792936"/>
    <w:rsid w:val="00792A70"/>
    <w:rsid w:val="00792AD2"/>
    <w:rsid w:val="00792B02"/>
    <w:rsid w:val="00792B38"/>
    <w:rsid w:val="00792C0D"/>
    <w:rsid w:val="00792D50"/>
    <w:rsid w:val="00792E1E"/>
    <w:rsid w:val="00792EBC"/>
    <w:rsid w:val="00792EC9"/>
    <w:rsid w:val="00792F21"/>
    <w:rsid w:val="00792F7D"/>
    <w:rsid w:val="00792FA2"/>
    <w:rsid w:val="00792FBD"/>
    <w:rsid w:val="00792FEC"/>
    <w:rsid w:val="00793043"/>
    <w:rsid w:val="0079306E"/>
    <w:rsid w:val="00793149"/>
    <w:rsid w:val="007931B0"/>
    <w:rsid w:val="007931C2"/>
    <w:rsid w:val="00793253"/>
    <w:rsid w:val="00793259"/>
    <w:rsid w:val="0079335F"/>
    <w:rsid w:val="0079339F"/>
    <w:rsid w:val="007933E1"/>
    <w:rsid w:val="0079340A"/>
    <w:rsid w:val="00793411"/>
    <w:rsid w:val="00793462"/>
    <w:rsid w:val="007935AA"/>
    <w:rsid w:val="007935EA"/>
    <w:rsid w:val="00793637"/>
    <w:rsid w:val="00793657"/>
    <w:rsid w:val="00793689"/>
    <w:rsid w:val="00793761"/>
    <w:rsid w:val="007937BD"/>
    <w:rsid w:val="00793886"/>
    <w:rsid w:val="00793933"/>
    <w:rsid w:val="00793999"/>
    <w:rsid w:val="007939DD"/>
    <w:rsid w:val="00793A1F"/>
    <w:rsid w:val="00793A8D"/>
    <w:rsid w:val="00793BF0"/>
    <w:rsid w:val="00793BF9"/>
    <w:rsid w:val="00793C16"/>
    <w:rsid w:val="00793C93"/>
    <w:rsid w:val="00793C98"/>
    <w:rsid w:val="00793CA3"/>
    <w:rsid w:val="00793CB0"/>
    <w:rsid w:val="00793CE9"/>
    <w:rsid w:val="00793CED"/>
    <w:rsid w:val="00793D29"/>
    <w:rsid w:val="00793D44"/>
    <w:rsid w:val="00793D5B"/>
    <w:rsid w:val="00793E44"/>
    <w:rsid w:val="00793E55"/>
    <w:rsid w:val="00793E7B"/>
    <w:rsid w:val="00793F50"/>
    <w:rsid w:val="00793F73"/>
    <w:rsid w:val="00793FC1"/>
    <w:rsid w:val="0079411D"/>
    <w:rsid w:val="00794254"/>
    <w:rsid w:val="007942E7"/>
    <w:rsid w:val="00794366"/>
    <w:rsid w:val="00794380"/>
    <w:rsid w:val="00794387"/>
    <w:rsid w:val="00794421"/>
    <w:rsid w:val="00794580"/>
    <w:rsid w:val="00794692"/>
    <w:rsid w:val="007946FB"/>
    <w:rsid w:val="0079470C"/>
    <w:rsid w:val="00794761"/>
    <w:rsid w:val="007947FE"/>
    <w:rsid w:val="00794950"/>
    <w:rsid w:val="00794971"/>
    <w:rsid w:val="00794A0B"/>
    <w:rsid w:val="00794A23"/>
    <w:rsid w:val="00794A91"/>
    <w:rsid w:val="00794AAF"/>
    <w:rsid w:val="00794AC2"/>
    <w:rsid w:val="00794BFC"/>
    <w:rsid w:val="00794C62"/>
    <w:rsid w:val="00794C68"/>
    <w:rsid w:val="00794D5E"/>
    <w:rsid w:val="00794D88"/>
    <w:rsid w:val="00794E14"/>
    <w:rsid w:val="00794E76"/>
    <w:rsid w:val="00794E85"/>
    <w:rsid w:val="00794F87"/>
    <w:rsid w:val="00794F97"/>
    <w:rsid w:val="00795020"/>
    <w:rsid w:val="007950E9"/>
    <w:rsid w:val="00795100"/>
    <w:rsid w:val="007952EF"/>
    <w:rsid w:val="0079531F"/>
    <w:rsid w:val="00795323"/>
    <w:rsid w:val="00795325"/>
    <w:rsid w:val="007953C2"/>
    <w:rsid w:val="007953E9"/>
    <w:rsid w:val="00795436"/>
    <w:rsid w:val="0079546E"/>
    <w:rsid w:val="00795490"/>
    <w:rsid w:val="00795517"/>
    <w:rsid w:val="00795602"/>
    <w:rsid w:val="007956A4"/>
    <w:rsid w:val="007956AF"/>
    <w:rsid w:val="00795728"/>
    <w:rsid w:val="0079578A"/>
    <w:rsid w:val="007957B8"/>
    <w:rsid w:val="007957FF"/>
    <w:rsid w:val="0079581F"/>
    <w:rsid w:val="0079582A"/>
    <w:rsid w:val="0079596B"/>
    <w:rsid w:val="00795A53"/>
    <w:rsid w:val="00795C59"/>
    <w:rsid w:val="00795CC0"/>
    <w:rsid w:val="00795CE1"/>
    <w:rsid w:val="00795D2C"/>
    <w:rsid w:val="00795D3D"/>
    <w:rsid w:val="00795D3E"/>
    <w:rsid w:val="00795D7C"/>
    <w:rsid w:val="00795DA3"/>
    <w:rsid w:val="00795DD4"/>
    <w:rsid w:val="00795DE8"/>
    <w:rsid w:val="00795F19"/>
    <w:rsid w:val="00795FAF"/>
    <w:rsid w:val="00796082"/>
    <w:rsid w:val="007960D9"/>
    <w:rsid w:val="0079614D"/>
    <w:rsid w:val="00796256"/>
    <w:rsid w:val="007962BB"/>
    <w:rsid w:val="00796304"/>
    <w:rsid w:val="0079634D"/>
    <w:rsid w:val="00796350"/>
    <w:rsid w:val="007963FB"/>
    <w:rsid w:val="007965B2"/>
    <w:rsid w:val="007965CE"/>
    <w:rsid w:val="007965D2"/>
    <w:rsid w:val="00796660"/>
    <w:rsid w:val="00796725"/>
    <w:rsid w:val="00796734"/>
    <w:rsid w:val="00796765"/>
    <w:rsid w:val="00796770"/>
    <w:rsid w:val="0079682C"/>
    <w:rsid w:val="0079684A"/>
    <w:rsid w:val="00796870"/>
    <w:rsid w:val="0079687F"/>
    <w:rsid w:val="007968AA"/>
    <w:rsid w:val="00796980"/>
    <w:rsid w:val="00796A30"/>
    <w:rsid w:val="00796A91"/>
    <w:rsid w:val="00796AA4"/>
    <w:rsid w:val="00796ADA"/>
    <w:rsid w:val="00796B0C"/>
    <w:rsid w:val="00796C30"/>
    <w:rsid w:val="00796DC5"/>
    <w:rsid w:val="00796F47"/>
    <w:rsid w:val="00796F7F"/>
    <w:rsid w:val="0079708B"/>
    <w:rsid w:val="00797172"/>
    <w:rsid w:val="00797215"/>
    <w:rsid w:val="00797220"/>
    <w:rsid w:val="0079722B"/>
    <w:rsid w:val="00797279"/>
    <w:rsid w:val="007972C0"/>
    <w:rsid w:val="00797357"/>
    <w:rsid w:val="007973A8"/>
    <w:rsid w:val="00797439"/>
    <w:rsid w:val="00797449"/>
    <w:rsid w:val="007974C9"/>
    <w:rsid w:val="007975D3"/>
    <w:rsid w:val="0079760C"/>
    <w:rsid w:val="0079762E"/>
    <w:rsid w:val="00797650"/>
    <w:rsid w:val="00797840"/>
    <w:rsid w:val="00797879"/>
    <w:rsid w:val="00797918"/>
    <w:rsid w:val="007979D9"/>
    <w:rsid w:val="00797A3D"/>
    <w:rsid w:val="00797A6A"/>
    <w:rsid w:val="00797A8D"/>
    <w:rsid w:val="00797B3E"/>
    <w:rsid w:val="00797C1B"/>
    <w:rsid w:val="00797D81"/>
    <w:rsid w:val="00797E48"/>
    <w:rsid w:val="00797E8C"/>
    <w:rsid w:val="00797EA5"/>
    <w:rsid w:val="00797F81"/>
    <w:rsid w:val="007A0036"/>
    <w:rsid w:val="007A009F"/>
    <w:rsid w:val="007A00B0"/>
    <w:rsid w:val="007A00E7"/>
    <w:rsid w:val="007A0141"/>
    <w:rsid w:val="007A019D"/>
    <w:rsid w:val="007A01AF"/>
    <w:rsid w:val="007A0355"/>
    <w:rsid w:val="007A039B"/>
    <w:rsid w:val="007A03CF"/>
    <w:rsid w:val="007A0484"/>
    <w:rsid w:val="007A04DC"/>
    <w:rsid w:val="007A04F6"/>
    <w:rsid w:val="007A056A"/>
    <w:rsid w:val="007A05A4"/>
    <w:rsid w:val="007A0694"/>
    <w:rsid w:val="007A0700"/>
    <w:rsid w:val="007A0778"/>
    <w:rsid w:val="007A07D5"/>
    <w:rsid w:val="007A08FE"/>
    <w:rsid w:val="007A0A64"/>
    <w:rsid w:val="007A0ACA"/>
    <w:rsid w:val="007A0ADA"/>
    <w:rsid w:val="007A0ADB"/>
    <w:rsid w:val="007A0B52"/>
    <w:rsid w:val="007A0B9E"/>
    <w:rsid w:val="007A0BB5"/>
    <w:rsid w:val="007A0C4E"/>
    <w:rsid w:val="007A0C8A"/>
    <w:rsid w:val="007A0CF1"/>
    <w:rsid w:val="007A0D42"/>
    <w:rsid w:val="007A0D5F"/>
    <w:rsid w:val="007A0D6E"/>
    <w:rsid w:val="007A0E2B"/>
    <w:rsid w:val="007A0E8B"/>
    <w:rsid w:val="007A0EFC"/>
    <w:rsid w:val="007A0FCA"/>
    <w:rsid w:val="007A0FE6"/>
    <w:rsid w:val="007A1042"/>
    <w:rsid w:val="007A10CA"/>
    <w:rsid w:val="007A1185"/>
    <w:rsid w:val="007A1263"/>
    <w:rsid w:val="007A131C"/>
    <w:rsid w:val="007A137F"/>
    <w:rsid w:val="007A1387"/>
    <w:rsid w:val="007A13A7"/>
    <w:rsid w:val="007A1531"/>
    <w:rsid w:val="007A153D"/>
    <w:rsid w:val="007A15D9"/>
    <w:rsid w:val="007A1633"/>
    <w:rsid w:val="007A1750"/>
    <w:rsid w:val="007A17CD"/>
    <w:rsid w:val="007A19DE"/>
    <w:rsid w:val="007A1B54"/>
    <w:rsid w:val="007A1B75"/>
    <w:rsid w:val="007A1BA8"/>
    <w:rsid w:val="007A1C16"/>
    <w:rsid w:val="007A1CBF"/>
    <w:rsid w:val="007A1CDB"/>
    <w:rsid w:val="007A1D2E"/>
    <w:rsid w:val="007A1D41"/>
    <w:rsid w:val="007A1D93"/>
    <w:rsid w:val="007A1DD2"/>
    <w:rsid w:val="007A1DE4"/>
    <w:rsid w:val="007A1F5F"/>
    <w:rsid w:val="007A1F89"/>
    <w:rsid w:val="007A1F8D"/>
    <w:rsid w:val="007A1FE8"/>
    <w:rsid w:val="007A2019"/>
    <w:rsid w:val="007A206C"/>
    <w:rsid w:val="007A208E"/>
    <w:rsid w:val="007A20AB"/>
    <w:rsid w:val="007A20D1"/>
    <w:rsid w:val="007A20E9"/>
    <w:rsid w:val="007A2121"/>
    <w:rsid w:val="007A2170"/>
    <w:rsid w:val="007A2218"/>
    <w:rsid w:val="007A2327"/>
    <w:rsid w:val="007A2349"/>
    <w:rsid w:val="007A24FB"/>
    <w:rsid w:val="007A2512"/>
    <w:rsid w:val="007A256D"/>
    <w:rsid w:val="007A2580"/>
    <w:rsid w:val="007A262A"/>
    <w:rsid w:val="007A2643"/>
    <w:rsid w:val="007A2710"/>
    <w:rsid w:val="007A2711"/>
    <w:rsid w:val="007A27D2"/>
    <w:rsid w:val="007A27DE"/>
    <w:rsid w:val="007A2832"/>
    <w:rsid w:val="007A2935"/>
    <w:rsid w:val="007A295F"/>
    <w:rsid w:val="007A2996"/>
    <w:rsid w:val="007A2A2C"/>
    <w:rsid w:val="007A2A2D"/>
    <w:rsid w:val="007A2A9F"/>
    <w:rsid w:val="007A2AC9"/>
    <w:rsid w:val="007A2C14"/>
    <w:rsid w:val="007A2C40"/>
    <w:rsid w:val="007A2C95"/>
    <w:rsid w:val="007A2C97"/>
    <w:rsid w:val="007A2CB0"/>
    <w:rsid w:val="007A2D4E"/>
    <w:rsid w:val="007A2D65"/>
    <w:rsid w:val="007A2D95"/>
    <w:rsid w:val="007A2E24"/>
    <w:rsid w:val="007A2E30"/>
    <w:rsid w:val="007A2E63"/>
    <w:rsid w:val="007A2E69"/>
    <w:rsid w:val="007A2EEF"/>
    <w:rsid w:val="007A2F5E"/>
    <w:rsid w:val="007A2F73"/>
    <w:rsid w:val="007A2F7F"/>
    <w:rsid w:val="007A2F92"/>
    <w:rsid w:val="007A3039"/>
    <w:rsid w:val="007A3041"/>
    <w:rsid w:val="007A3097"/>
    <w:rsid w:val="007A30B3"/>
    <w:rsid w:val="007A31DD"/>
    <w:rsid w:val="007A334B"/>
    <w:rsid w:val="007A337E"/>
    <w:rsid w:val="007A3392"/>
    <w:rsid w:val="007A33B9"/>
    <w:rsid w:val="007A33E7"/>
    <w:rsid w:val="007A33FC"/>
    <w:rsid w:val="007A3400"/>
    <w:rsid w:val="007A346E"/>
    <w:rsid w:val="007A34DD"/>
    <w:rsid w:val="007A3511"/>
    <w:rsid w:val="007A356B"/>
    <w:rsid w:val="007A35CC"/>
    <w:rsid w:val="007A35F6"/>
    <w:rsid w:val="007A36B2"/>
    <w:rsid w:val="007A36C0"/>
    <w:rsid w:val="007A377F"/>
    <w:rsid w:val="007A37D5"/>
    <w:rsid w:val="007A37E3"/>
    <w:rsid w:val="007A38E4"/>
    <w:rsid w:val="007A3964"/>
    <w:rsid w:val="007A3980"/>
    <w:rsid w:val="007A3A67"/>
    <w:rsid w:val="007A3AB2"/>
    <w:rsid w:val="007A3AD3"/>
    <w:rsid w:val="007A3C5C"/>
    <w:rsid w:val="007A3CB2"/>
    <w:rsid w:val="007A3CDF"/>
    <w:rsid w:val="007A3CF8"/>
    <w:rsid w:val="007A3D06"/>
    <w:rsid w:val="007A3D41"/>
    <w:rsid w:val="007A3D9F"/>
    <w:rsid w:val="007A3DFA"/>
    <w:rsid w:val="007A3E7D"/>
    <w:rsid w:val="007A3EC3"/>
    <w:rsid w:val="007A3F68"/>
    <w:rsid w:val="007A3F94"/>
    <w:rsid w:val="007A402B"/>
    <w:rsid w:val="007A40D8"/>
    <w:rsid w:val="007A4199"/>
    <w:rsid w:val="007A42AA"/>
    <w:rsid w:val="007A42AE"/>
    <w:rsid w:val="007A4323"/>
    <w:rsid w:val="007A4370"/>
    <w:rsid w:val="007A438B"/>
    <w:rsid w:val="007A43D2"/>
    <w:rsid w:val="007A445A"/>
    <w:rsid w:val="007A44B9"/>
    <w:rsid w:val="007A44E9"/>
    <w:rsid w:val="007A4505"/>
    <w:rsid w:val="007A452F"/>
    <w:rsid w:val="007A45F3"/>
    <w:rsid w:val="007A46E5"/>
    <w:rsid w:val="007A46ED"/>
    <w:rsid w:val="007A473C"/>
    <w:rsid w:val="007A47B1"/>
    <w:rsid w:val="007A48AB"/>
    <w:rsid w:val="007A491E"/>
    <w:rsid w:val="007A4965"/>
    <w:rsid w:val="007A49AA"/>
    <w:rsid w:val="007A4A36"/>
    <w:rsid w:val="007A4A3B"/>
    <w:rsid w:val="007A4AC6"/>
    <w:rsid w:val="007A4BB5"/>
    <w:rsid w:val="007A4CB2"/>
    <w:rsid w:val="007A4CBA"/>
    <w:rsid w:val="007A4D04"/>
    <w:rsid w:val="007A4D2B"/>
    <w:rsid w:val="007A4DAF"/>
    <w:rsid w:val="007A4E31"/>
    <w:rsid w:val="007A4EA1"/>
    <w:rsid w:val="007A4EA3"/>
    <w:rsid w:val="007A4EE5"/>
    <w:rsid w:val="007A4F3C"/>
    <w:rsid w:val="007A4F4C"/>
    <w:rsid w:val="007A4F82"/>
    <w:rsid w:val="007A509F"/>
    <w:rsid w:val="007A50C8"/>
    <w:rsid w:val="007A511B"/>
    <w:rsid w:val="007A5122"/>
    <w:rsid w:val="007A5153"/>
    <w:rsid w:val="007A5173"/>
    <w:rsid w:val="007A5208"/>
    <w:rsid w:val="007A522C"/>
    <w:rsid w:val="007A52B3"/>
    <w:rsid w:val="007A531B"/>
    <w:rsid w:val="007A538B"/>
    <w:rsid w:val="007A53C5"/>
    <w:rsid w:val="007A5467"/>
    <w:rsid w:val="007A5468"/>
    <w:rsid w:val="007A54AB"/>
    <w:rsid w:val="007A54D9"/>
    <w:rsid w:val="007A5538"/>
    <w:rsid w:val="007A5561"/>
    <w:rsid w:val="007A55D5"/>
    <w:rsid w:val="007A5695"/>
    <w:rsid w:val="007A5772"/>
    <w:rsid w:val="007A5810"/>
    <w:rsid w:val="007A582F"/>
    <w:rsid w:val="007A5851"/>
    <w:rsid w:val="007A586D"/>
    <w:rsid w:val="007A5880"/>
    <w:rsid w:val="007A58C2"/>
    <w:rsid w:val="007A592E"/>
    <w:rsid w:val="007A59A6"/>
    <w:rsid w:val="007A5A3B"/>
    <w:rsid w:val="007A5A3C"/>
    <w:rsid w:val="007A5A78"/>
    <w:rsid w:val="007A5B3E"/>
    <w:rsid w:val="007A5BDB"/>
    <w:rsid w:val="007A5DD1"/>
    <w:rsid w:val="007A5E91"/>
    <w:rsid w:val="007A5F07"/>
    <w:rsid w:val="007A5F87"/>
    <w:rsid w:val="007A601C"/>
    <w:rsid w:val="007A6076"/>
    <w:rsid w:val="007A6167"/>
    <w:rsid w:val="007A6190"/>
    <w:rsid w:val="007A61C0"/>
    <w:rsid w:val="007A6205"/>
    <w:rsid w:val="007A62D1"/>
    <w:rsid w:val="007A632F"/>
    <w:rsid w:val="007A6355"/>
    <w:rsid w:val="007A6381"/>
    <w:rsid w:val="007A6443"/>
    <w:rsid w:val="007A645C"/>
    <w:rsid w:val="007A65F3"/>
    <w:rsid w:val="007A6623"/>
    <w:rsid w:val="007A66D3"/>
    <w:rsid w:val="007A66D5"/>
    <w:rsid w:val="007A66DC"/>
    <w:rsid w:val="007A6824"/>
    <w:rsid w:val="007A68D1"/>
    <w:rsid w:val="007A6926"/>
    <w:rsid w:val="007A69BF"/>
    <w:rsid w:val="007A6ACF"/>
    <w:rsid w:val="007A6BBA"/>
    <w:rsid w:val="007A6F40"/>
    <w:rsid w:val="007A6F88"/>
    <w:rsid w:val="007A6F89"/>
    <w:rsid w:val="007A700A"/>
    <w:rsid w:val="007A7073"/>
    <w:rsid w:val="007A70BD"/>
    <w:rsid w:val="007A716D"/>
    <w:rsid w:val="007A7256"/>
    <w:rsid w:val="007A7265"/>
    <w:rsid w:val="007A7278"/>
    <w:rsid w:val="007A72E6"/>
    <w:rsid w:val="007A733F"/>
    <w:rsid w:val="007A73C6"/>
    <w:rsid w:val="007A755F"/>
    <w:rsid w:val="007A75FC"/>
    <w:rsid w:val="007A76ED"/>
    <w:rsid w:val="007A778C"/>
    <w:rsid w:val="007A7878"/>
    <w:rsid w:val="007A78C7"/>
    <w:rsid w:val="007A78D4"/>
    <w:rsid w:val="007A7942"/>
    <w:rsid w:val="007A79B3"/>
    <w:rsid w:val="007A79E5"/>
    <w:rsid w:val="007A79FC"/>
    <w:rsid w:val="007A7A1D"/>
    <w:rsid w:val="007A7A54"/>
    <w:rsid w:val="007A7AF4"/>
    <w:rsid w:val="007A7AFA"/>
    <w:rsid w:val="007A7C60"/>
    <w:rsid w:val="007A7CAB"/>
    <w:rsid w:val="007A7D11"/>
    <w:rsid w:val="007A7D23"/>
    <w:rsid w:val="007A7D65"/>
    <w:rsid w:val="007A7F28"/>
    <w:rsid w:val="007A7F57"/>
    <w:rsid w:val="007A7F7F"/>
    <w:rsid w:val="007A7FB1"/>
    <w:rsid w:val="007B00C8"/>
    <w:rsid w:val="007B01E5"/>
    <w:rsid w:val="007B01FB"/>
    <w:rsid w:val="007B024C"/>
    <w:rsid w:val="007B02A3"/>
    <w:rsid w:val="007B02EF"/>
    <w:rsid w:val="007B044B"/>
    <w:rsid w:val="007B04C6"/>
    <w:rsid w:val="007B04FD"/>
    <w:rsid w:val="007B0533"/>
    <w:rsid w:val="007B0556"/>
    <w:rsid w:val="007B0595"/>
    <w:rsid w:val="007B05CE"/>
    <w:rsid w:val="007B0657"/>
    <w:rsid w:val="007B0668"/>
    <w:rsid w:val="007B06AE"/>
    <w:rsid w:val="007B06EC"/>
    <w:rsid w:val="007B0723"/>
    <w:rsid w:val="007B0764"/>
    <w:rsid w:val="007B07B1"/>
    <w:rsid w:val="007B07D0"/>
    <w:rsid w:val="007B09A5"/>
    <w:rsid w:val="007B09CC"/>
    <w:rsid w:val="007B09FE"/>
    <w:rsid w:val="007B0AAD"/>
    <w:rsid w:val="007B0B6E"/>
    <w:rsid w:val="007B0C8B"/>
    <w:rsid w:val="007B0C95"/>
    <w:rsid w:val="007B0CB9"/>
    <w:rsid w:val="007B0CC4"/>
    <w:rsid w:val="007B0CF2"/>
    <w:rsid w:val="007B0D28"/>
    <w:rsid w:val="007B0E45"/>
    <w:rsid w:val="007B0FE2"/>
    <w:rsid w:val="007B1013"/>
    <w:rsid w:val="007B1030"/>
    <w:rsid w:val="007B1126"/>
    <w:rsid w:val="007B1155"/>
    <w:rsid w:val="007B11DF"/>
    <w:rsid w:val="007B1209"/>
    <w:rsid w:val="007B122F"/>
    <w:rsid w:val="007B1236"/>
    <w:rsid w:val="007B12B9"/>
    <w:rsid w:val="007B12CB"/>
    <w:rsid w:val="007B1337"/>
    <w:rsid w:val="007B1432"/>
    <w:rsid w:val="007B14A8"/>
    <w:rsid w:val="007B172E"/>
    <w:rsid w:val="007B1760"/>
    <w:rsid w:val="007B176D"/>
    <w:rsid w:val="007B17B2"/>
    <w:rsid w:val="007B17F8"/>
    <w:rsid w:val="007B180E"/>
    <w:rsid w:val="007B1851"/>
    <w:rsid w:val="007B187C"/>
    <w:rsid w:val="007B1945"/>
    <w:rsid w:val="007B1948"/>
    <w:rsid w:val="007B19BC"/>
    <w:rsid w:val="007B19C2"/>
    <w:rsid w:val="007B1B79"/>
    <w:rsid w:val="007B1B7B"/>
    <w:rsid w:val="007B1B8A"/>
    <w:rsid w:val="007B1C04"/>
    <w:rsid w:val="007B1C43"/>
    <w:rsid w:val="007B1C6B"/>
    <w:rsid w:val="007B1E43"/>
    <w:rsid w:val="007B1EE9"/>
    <w:rsid w:val="007B1EEE"/>
    <w:rsid w:val="007B1F1D"/>
    <w:rsid w:val="007B1FAE"/>
    <w:rsid w:val="007B204A"/>
    <w:rsid w:val="007B2060"/>
    <w:rsid w:val="007B20F8"/>
    <w:rsid w:val="007B2102"/>
    <w:rsid w:val="007B2236"/>
    <w:rsid w:val="007B225E"/>
    <w:rsid w:val="007B22B1"/>
    <w:rsid w:val="007B22EA"/>
    <w:rsid w:val="007B2365"/>
    <w:rsid w:val="007B23B8"/>
    <w:rsid w:val="007B2431"/>
    <w:rsid w:val="007B243C"/>
    <w:rsid w:val="007B24A9"/>
    <w:rsid w:val="007B24C8"/>
    <w:rsid w:val="007B252D"/>
    <w:rsid w:val="007B2591"/>
    <w:rsid w:val="007B25C0"/>
    <w:rsid w:val="007B25C9"/>
    <w:rsid w:val="007B2715"/>
    <w:rsid w:val="007B274A"/>
    <w:rsid w:val="007B2836"/>
    <w:rsid w:val="007B2872"/>
    <w:rsid w:val="007B28A9"/>
    <w:rsid w:val="007B2AD9"/>
    <w:rsid w:val="007B2D8E"/>
    <w:rsid w:val="007B2D9F"/>
    <w:rsid w:val="007B2DFE"/>
    <w:rsid w:val="007B2E5E"/>
    <w:rsid w:val="007B2E7F"/>
    <w:rsid w:val="007B2EE3"/>
    <w:rsid w:val="007B2F4E"/>
    <w:rsid w:val="007B303A"/>
    <w:rsid w:val="007B3069"/>
    <w:rsid w:val="007B30BD"/>
    <w:rsid w:val="007B3122"/>
    <w:rsid w:val="007B3179"/>
    <w:rsid w:val="007B31C4"/>
    <w:rsid w:val="007B3223"/>
    <w:rsid w:val="007B322C"/>
    <w:rsid w:val="007B3282"/>
    <w:rsid w:val="007B32C0"/>
    <w:rsid w:val="007B3354"/>
    <w:rsid w:val="007B33A9"/>
    <w:rsid w:val="007B341B"/>
    <w:rsid w:val="007B3451"/>
    <w:rsid w:val="007B346C"/>
    <w:rsid w:val="007B34AB"/>
    <w:rsid w:val="007B354A"/>
    <w:rsid w:val="007B3551"/>
    <w:rsid w:val="007B357B"/>
    <w:rsid w:val="007B35B6"/>
    <w:rsid w:val="007B35C3"/>
    <w:rsid w:val="007B3670"/>
    <w:rsid w:val="007B36AB"/>
    <w:rsid w:val="007B37A4"/>
    <w:rsid w:val="007B37E9"/>
    <w:rsid w:val="007B382A"/>
    <w:rsid w:val="007B391E"/>
    <w:rsid w:val="007B3934"/>
    <w:rsid w:val="007B3939"/>
    <w:rsid w:val="007B3B0B"/>
    <w:rsid w:val="007B3B19"/>
    <w:rsid w:val="007B3B47"/>
    <w:rsid w:val="007B3BCC"/>
    <w:rsid w:val="007B3C09"/>
    <w:rsid w:val="007B3C4E"/>
    <w:rsid w:val="007B3D7A"/>
    <w:rsid w:val="007B3D9D"/>
    <w:rsid w:val="007B3DB0"/>
    <w:rsid w:val="007B3DF7"/>
    <w:rsid w:val="007B3E4A"/>
    <w:rsid w:val="007B3FA7"/>
    <w:rsid w:val="007B3FF5"/>
    <w:rsid w:val="007B4032"/>
    <w:rsid w:val="007B4058"/>
    <w:rsid w:val="007B4085"/>
    <w:rsid w:val="007B40B9"/>
    <w:rsid w:val="007B413C"/>
    <w:rsid w:val="007B4160"/>
    <w:rsid w:val="007B418C"/>
    <w:rsid w:val="007B41C9"/>
    <w:rsid w:val="007B4221"/>
    <w:rsid w:val="007B427C"/>
    <w:rsid w:val="007B4280"/>
    <w:rsid w:val="007B42DB"/>
    <w:rsid w:val="007B4335"/>
    <w:rsid w:val="007B43B3"/>
    <w:rsid w:val="007B43DB"/>
    <w:rsid w:val="007B440D"/>
    <w:rsid w:val="007B44C1"/>
    <w:rsid w:val="007B456E"/>
    <w:rsid w:val="007B460B"/>
    <w:rsid w:val="007B46C5"/>
    <w:rsid w:val="007B46F2"/>
    <w:rsid w:val="007B472C"/>
    <w:rsid w:val="007B47EA"/>
    <w:rsid w:val="007B489E"/>
    <w:rsid w:val="007B48D1"/>
    <w:rsid w:val="007B4AB9"/>
    <w:rsid w:val="007B4ACA"/>
    <w:rsid w:val="007B4B9B"/>
    <w:rsid w:val="007B4BEC"/>
    <w:rsid w:val="007B4C6C"/>
    <w:rsid w:val="007B4CF8"/>
    <w:rsid w:val="007B4D5C"/>
    <w:rsid w:val="007B4DF4"/>
    <w:rsid w:val="007B4E23"/>
    <w:rsid w:val="007B4E51"/>
    <w:rsid w:val="007B4E88"/>
    <w:rsid w:val="007B4FF5"/>
    <w:rsid w:val="007B5028"/>
    <w:rsid w:val="007B503C"/>
    <w:rsid w:val="007B509B"/>
    <w:rsid w:val="007B50A5"/>
    <w:rsid w:val="007B518B"/>
    <w:rsid w:val="007B5241"/>
    <w:rsid w:val="007B527F"/>
    <w:rsid w:val="007B5323"/>
    <w:rsid w:val="007B5357"/>
    <w:rsid w:val="007B53AD"/>
    <w:rsid w:val="007B5421"/>
    <w:rsid w:val="007B552F"/>
    <w:rsid w:val="007B557D"/>
    <w:rsid w:val="007B55A1"/>
    <w:rsid w:val="007B55EB"/>
    <w:rsid w:val="007B563F"/>
    <w:rsid w:val="007B5699"/>
    <w:rsid w:val="007B5702"/>
    <w:rsid w:val="007B57F4"/>
    <w:rsid w:val="007B5829"/>
    <w:rsid w:val="007B583F"/>
    <w:rsid w:val="007B5851"/>
    <w:rsid w:val="007B58D0"/>
    <w:rsid w:val="007B5968"/>
    <w:rsid w:val="007B5A20"/>
    <w:rsid w:val="007B5A80"/>
    <w:rsid w:val="007B5B18"/>
    <w:rsid w:val="007B5B69"/>
    <w:rsid w:val="007B5C65"/>
    <w:rsid w:val="007B5D91"/>
    <w:rsid w:val="007B5D96"/>
    <w:rsid w:val="007B5D99"/>
    <w:rsid w:val="007B5DA8"/>
    <w:rsid w:val="007B5E0F"/>
    <w:rsid w:val="007B5E25"/>
    <w:rsid w:val="007B5E4B"/>
    <w:rsid w:val="007B5E59"/>
    <w:rsid w:val="007B5EB5"/>
    <w:rsid w:val="007B5ECB"/>
    <w:rsid w:val="007B5F13"/>
    <w:rsid w:val="007B5F31"/>
    <w:rsid w:val="007B5F76"/>
    <w:rsid w:val="007B600D"/>
    <w:rsid w:val="007B6010"/>
    <w:rsid w:val="007B603A"/>
    <w:rsid w:val="007B6095"/>
    <w:rsid w:val="007B60EE"/>
    <w:rsid w:val="007B61B1"/>
    <w:rsid w:val="007B61D1"/>
    <w:rsid w:val="007B61E8"/>
    <w:rsid w:val="007B630F"/>
    <w:rsid w:val="007B643B"/>
    <w:rsid w:val="007B6444"/>
    <w:rsid w:val="007B6451"/>
    <w:rsid w:val="007B64C2"/>
    <w:rsid w:val="007B64D3"/>
    <w:rsid w:val="007B6550"/>
    <w:rsid w:val="007B6566"/>
    <w:rsid w:val="007B6590"/>
    <w:rsid w:val="007B659D"/>
    <w:rsid w:val="007B6697"/>
    <w:rsid w:val="007B66D5"/>
    <w:rsid w:val="007B671B"/>
    <w:rsid w:val="007B6737"/>
    <w:rsid w:val="007B67AA"/>
    <w:rsid w:val="007B685F"/>
    <w:rsid w:val="007B68AC"/>
    <w:rsid w:val="007B6919"/>
    <w:rsid w:val="007B6954"/>
    <w:rsid w:val="007B6ADB"/>
    <w:rsid w:val="007B6ADC"/>
    <w:rsid w:val="007B6AED"/>
    <w:rsid w:val="007B6BA9"/>
    <w:rsid w:val="007B6BC4"/>
    <w:rsid w:val="007B6D63"/>
    <w:rsid w:val="007B6EE3"/>
    <w:rsid w:val="007B6F64"/>
    <w:rsid w:val="007B6FE7"/>
    <w:rsid w:val="007B7037"/>
    <w:rsid w:val="007B7061"/>
    <w:rsid w:val="007B725C"/>
    <w:rsid w:val="007B72A2"/>
    <w:rsid w:val="007B72AC"/>
    <w:rsid w:val="007B72DD"/>
    <w:rsid w:val="007B72FB"/>
    <w:rsid w:val="007B7340"/>
    <w:rsid w:val="007B7353"/>
    <w:rsid w:val="007B735D"/>
    <w:rsid w:val="007B738B"/>
    <w:rsid w:val="007B746A"/>
    <w:rsid w:val="007B749A"/>
    <w:rsid w:val="007B74CF"/>
    <w:rsid w:val="007B753C"/>
    <w:rsid w:val="007B7626"/>
    <w:rsid w:val="007B7634"/>
    <w:rsid w:val="007B767D"/>
    <w:rsid w:val="007B76CF"/>
    <w:rsid w:val="007B7741"/>
    <w:rsid w:val="007B7773"/>
    <w:rsid w:val="007B777C"/>
    <w:rsid w:val="007B7863"/>
    <w:rsid w:val="007B78C6"/>
    <w:rsid w:val="007B7928"/>
    <w:rsid w:val="007B7A09"/>
    <w:rsid w:val="007B7A0A"/>
    <w:rsid w:val="007B7A32"/>
    <w:rsid w:val="007B7A36"/>
    <w:rsid w:val="007B7AF4"/>
    <w:rsid w:val="007B7BF5"/>
    <w:rsid w:val="007B7C24"/>
    <w:rsid w:val="007B7CB2"/>
    <w:rsid w:val="007B7DD4"/>
    <w:rsid w:val="007B7E5C"/>
    <w:rsid w:val="007B7E7D"/>
    <w:rsid w:val="007B7E88"/>
    <w:rsid w:val="007B7F25"/>
    <w:rsid w:val="007B7F99"/>
    <w:rsid w:val="007B7FF3"/>
    <w:rsid w:val="007C0184"/>
    <w:rsid w:val="007C01BB"/>
    <w:rsid w:val="007C0239"/>
    <w:rsid w:val="007C0281"/>
    <w:rsid w:val="007C02BD"/>
    <w:rsid w:val="007C0340"/>
    <w:rsid w:val="007C045D"/>
    <w:rsid w:val="007C0499"/>
    <w:rsid w:val="007C04F5"/>
    <w:rsid w:val="007C054E"/>
    <w:rsid w:val="007C0552"/>
    <w:rsid w:val="007C05E0"/>
    <w:rsid w:val="007C0607"/>
    <w:rsid w:val="007C0615"/>
    <w:rsid w:val="007C066B"/>
    <w:rsid w:val="007C0754"/>
    <w:rsid w:val="007C0929"/>
    <w:rsid w:val="007C0952"/>
    <w:rsid w:val="007C0999"/>
    <w:rsid w:val="007C0A6F"/>
    <w:rsid w:val="007C0A93"/>
    <w:rsid w:val="007C0B71"/>
    <w:rsid w:val="007C0B91"/>
    <w:rsid w:val="007C0D0E"/>
    <w:rsid w:val="007C0E7D"/>
    <w:rsid w:val="007C103F"/>
    <w:rsid w:val="007C1093"/>
    <w:rsid w:val="007C1151"/>
    <w:rsid w:val="007C115B"/>
    <w:rsid w:val="007C1162"/>
    <w:rsid w:val="007C11BB"/>
    <w:rsid w:val="007C12B1"/>
    <w:rsid w:val="007C12C8"/>
    <w:rsid w:val="007C136A"/>
    <w:rsid w:val="007C1370"/>
    <w:rsid w:val="007C1391"/>
    <w:rsid w:val="007C13AD"/>
    <w:rsid w:val="007C13FF"/>
    <w:rsid w:val="007C14FB"/>
    <w:rsid w:val="007C1521"/>
    <w:rsid w:val="007C1600"/>
    <w:rsid w:val="007C1631"/>
    <w:rsid w:val="007C168B"/>
    <w:rsid w:val="007C1690"/>
    <w:rsid w:val="007C16BC"/>
    <w:rsid w:val="007C16FF"/>
    <w:rsid w:val="007C171E"/>
    <w:rsid w:val="007C1722"/>
    <w:rsid w:val="007C175A"/>
    <w:rsid w:val="007C1783"/>
    <w:rsid w:val="007C17A2"/>
    <w:rsid w:val="007C17C9"/>
    <w:rsid w:val="007C17DE"/>
    <w:rsid w:val="007C17E7"/>
    <w:rsid w:val="007C180E"/>
    <w:rsid w:val="007C1904"/>
    <w:rsid w:val="007C1AE0"/>
    <w:rsid w:val="007C1B3F"/>
    <w:rsid w:val="007C1B6B"/>
    <w:rsid w:val="007C1C14"/>
    <w:rsid w:val="007C1C16"/>
    <w:rsid w:val="007C1C24"/>
    <w:rsid w:val="007C1C26"/>
    <w:rsid w:val="007C1C5B"/>
    <w:rsid w:val="007C1C93"/>
    <w:rsid w:val="007C1CCC"/>
    <w:rsid w:val="007C1D46"/>
    <w:rsid w:val="007C1E6A"/>
    <w:rsid w:val="007C1F40"/>
    <w:rsid w:val="007C1F94"/>
    <w:rsid w:val="007C1FD9"/>
    <w:rsid w:val="007C205C"/>
    <w:rsid w:val="007C20E2"/>
    <w:rsid w:val="007C216E"/>
    <w:rsid w:val="007C21DD"/>
    <w:rsid w:val="007C2263"/>
    <w:rsid w:val="007C22BA"/>
    <w:rsid w:val="007C22EC"/>
    <w:rsid w:val="007C2376"/>
    <w:rsid w:val="007C23F9"/>
    <w:rsid w:val="007C24C8"/>
    <w:rsid w:val="007C24F7"/>
    <w:rsid w:val="007C2531"/>
    <w:rsid w:val="007C253A"/>
    <w:rsid w:val="007C2659"/>
    <w:rsid w:val="007C2682"/>
    <w:rsid w:val="007C2693"/>
    <w:rsid w:val="007C2777"/>
    <w:rsid w:val="007C27E2"/>
    <w:rsid w:val="007C27F4"/>
    <w:rsid w:val="007C2813"/>
    <w:rsid w:val="007C2837"/>
    <w:rsid w:val="007C291B"/>
    <w:rsid w:val="007C2931"/>
    <w:rsid w:val="007C2A96"/>
    <w:rsid w:val="007C2C14"/>
    <w:rsid w:val="007C2C6B"/>
    <w:rsid w:val="007C2CE2"/>
    <w:rsid w:val="007C2D36"/>
    <w:rsid w:val="007C2D88"/>
    <w:rsid w:val="007C2E00"/>
    <w:rsid w:val="007C2E5E"/>
    <w:rsid w:val="007C2E9A"/>
    <w:rsid w:val="007C2EBC"/>
    <w:rsid w:val="007C2EF0"/>
    <w:rsid w:val="007C2F82"/>
    <w:rsid w:val="007C2F8E"/>
    <w:rsid w:val="007C2FF6"/>
    <w:rsid w:val="007C3026"/>
    <w:rsid w:val="007C302D"/>
    <w:rsid w:val="007C30BD"/>
    <w:rsid w:val="007C30CC"/>
    <w:rsid w:val="007C3157"/>
    <w:rsid w:val="007C31A8"/>
    <w:rsid w:val="007C323A"/>
    <w:rsid w:val="007C328B"/>
    <w:rsid w:val="007C32BC"/>
    <w:rsid w:val="007C32C0"/>
    <w:rsid w:val="007C337E"/>
    <w:rsid w:val="007C33E0"/>
    <w:rsid w:val="007C35C6"/>
    <w:rsid w:val="007C35CD"/>
    <w:rsid w:val="007C35CE"/>
    <w:rsid w:val="007C3653"/>
    <w:rsid w:val="007C3706"/>
    <w:rsid w:val="007C3762"/>
    <w:rsid w:val="007C3803"/>
    <w:rsid w:val="007C38BC"/>
    <w:rsid w:val="007C38EA"/>
    <w:rsid w:val="007C39DD"/>
    <w:rsid w:val="007C3A4E"/>
    <w:rsid w:val="007C3A76"/>
    <w:rsid w:val="007C3A7A"/>
    <w:rsid w:val="007C3AD7"/>
    <w:rsid w:val="007C3B60"/>
    <w:rsid w:val="007C3BD8"/>
    <w:rsid w:val="007C3CAA"/>
    <w:rsid w:val="007C3D06"/>
    <w:rsid w:val="007C3DD3"/>
    <w:rsid w:val="007C3DF1"/>
    <w:rsid w:val="007C3E05"/>
    <w:rsid w:val="007C3E20"/>
    <w:rsid w:val="007C3E78"/>
    <w:rsid w:val="007C3EF4"/>
    <w:rsid w:val="007C3F66"/>
    <w:rsid w:val="007C3F97"/>
    <w:rsid w:val="007C3FB8"/>
    <w:rsid w:val="007C4104"/>
    <w:rsid w:val="007C41A1"/>
    <w:rsid w:val="007C42E4"/>
    <w:rsid w:val="007C4357"/>
    <w:rsid w:val="007C4394"/>
    <w:rsid w:val="007C43BA"/>
    <w:rsid w:val="007C445E"/>
    <w:rsid w:val="007C4503"/>
    <w:rsid w:val="007C4602"/>
    <w:rsid w:val="007C4678"/>
    <w:rsid w:val="007C46BA"/>
    <w:rsid w:val="007C46EB"/>
    <w:rsid w:val="007C470A"/>
    <w:rsid w:val="007C4710"/>
    <w:rsid w:val="007C4747"/>
    <w:rsid w:val="007C47A3"/>
    <w:rsid w:val="007C47C0"/>
    <w:rsid w:val="007C47E3"/>
    <w:rsid w:val="007C483D"/>
    <w:rsid w:val="007C4991"/>
    <w:rsid w:val="007C4995"/>
    <w:rsid w:val="007C4999"/>
    <w:rsid w:val="007C4A24"/>
    <w:rsid w:val="007C4A4A"/>
    <w:rsid w:val="007C4A5D"/>
    <w:rsid w:val="007C4A5F"/>
    <w:rsid w:val="007C4B57"/>
    <w:rsid w:val="007C4B7B"/>
    <w:rsid w:val="007C4CA7"/>
    <w:rsid w:val="007C4E24"/>
    <w:rsid w:val="007C4E2E"/>
    <w:rsid w:val="007C4E40"/>
    <w:rsid w:val="007C4EE5"/>
    <w:rsid w:val="007C4F19"/>
    <w:rsid w:val="007C4F2A"/>
    <w:rsid w:val="007C5046"/>
    <w:rsid w:val="007C50E9"/>
    <w:rsid w:val="007C512C"/>
    <w:rsid w:val="007C51A0"/>
    <w:rsid w:val="007C52CA"/>
    <w:rsid w:val="007C52ED"/>
    <w:rsid w:val="007C536C"/>
    <w:rsid w:val="007C5377"/>
    <w:rsid w:val="007C537C"/>
    <w:rsid w:val="007C53F4"/>
    <w:rsid w:val="007C542F"/>
    <w:rsid w:val="007C5443"/>
    <w:rsid w:val="007C55CC"/>
    <w:rsid w:val="007C5775"/>
    <w:rsid w:val="007C589B"/>
    <w:rsid w:val="007C593A"/>
    <w:rsid w:val="007C5946"/>
    <w:rsid w:val="007C5960"/>
    <w:rsid w:val="007C59EF"/>
    <w:rsid w:val="007C59F1"/>
    <w:rsid w:val="007C5A04"/>
    <w:rsid w:val="007C5A46"/>
    <w:rsid w:val="007C5A4A"/>
    <w:rsid w:val="007C5AAE"/>
    <w:rsid w:val="007C5ADB"/>
    <w:rsid w:val="007C5B0F"/>
    <w:rsid w:val="007C5BE9"/>
    <w:rsid w:val="007C5C7D"/>
    <w:rsid w:val="007C5E00"/>
    <w:rsid w:val="007C5EBC"/>
    <w:rsid w:val="007C6015"/>
    <w:rsid w:val="007C6054"/>
    <w:rsid w:val="007C6086"/>
    <w:rsid w:val="007C627A"/>
    <w:rsid w:val="007C62A8"/>
    <w:rsid w:val="007C62D2"/>
    <w:rsid w:val="007C6319"/>
    <w:rsid w:val="007C63C8"/>
    <w:rsid w:val="007C6440"/>
    <w:rsid w:val="007C6495"/>
    <w:rsid w:val="007C64AD"/>
    <w:rsid w:val="007C6687"/>
    <w:rsid w:val="007C6691"/>
    <w:rsid w:val="007C6742"/>
    <w:rsid w:val="007C6766"/>
    <w:rsid w:val="007C6776"/>
    <w:rsid w:val="007C6816"/>
    <w:rsid w:val="007C68DF"/>
    <w:rsid w:val="007C6993"/>
    <w:rsid w:val="007C6AA7"/>
    <w:rsid w:val="007C6C8A"/>
    <w:rsid w:val="007C6CAA"/>
    <w:rsid w:val="007C6F92"/>
    <w:rsid w:val="007C6FB8"/>
    <w:rsid w:val="007C7004"/>
    <w:rsid w:val="007C70F3"/>
    <w:rsid w:val="007C7112"/>
    <w:rsid w:val="007C716D"/>
    <w:rsid w:val="007C7284"/>
    <w:rsid w:val="007C7338"/>
    <w:rsid w:val="007C7392"/>
    <w:rsid w:val="007C73D3"/>
    <w:rsid w:val="007C74E9"/>
    <w:rsid w:val="007C7536"/>
    <w:rsid w:val="007C75A0"/>
    <w:rsid w:val="007C75B8"/>
    <w:rsid w:val="007C75F6"/>
    <w:rsid w:val="007C7677"/>
    <w:rsid w:val="007C7770"/>
    <w:rsid w:val="007C77D0"/>
    <w:rsid w:val="007C781F"/>
    <w:rsid w:val="007C7864"/>
    <w:rsid w:val="007C7867"/>
    <w:rsid w:val="007C786E"/>
    <w:rsid w:val="007C7874"/>
    <w:rsid w:val="007C7A45"/>
    <w:rsid w:val="007C7A4C"/>
    <w:rsid w:val="007C7A75"/>
    <w:rsid w:val="007C7A81"/>
    <w:rsid w:val="007C7AB4"/>
    <w:rsid w:val="007C7AC4"/>
    <w:rsid w:val="007C7ADC"/>
    <w:rsid w:val="007C7B2D"/>
    <w:rsid w:val="007C7CED"/>
    <w:rsid w:val="007C7D12"/>
    <w:rsid w:val="007C7E26"/>
    <w:rsid w:val="007C7E41"/>
    <w:rsid w:val="007C7EBA"/>
    <w:rsid w:val="007C7EEB"/>
    <w:rsid w:val="007C7F88"/>
    <w:rsid w:val="007D004A"/>
    <w:rsid w:val="007D00C8"/>
    <w:rsid w:val="007D0105"/>
    <w:rsid w:val="007D0194"/>
    <w:rsid w:val="007D0231"/>
    <w:rsid w:val="007D034B"/>
    <w:rsid w:val="007D03AC"/>
    <w:rsid w:val="007D043B"/>
    <w:rsid w:val="007D04B8"/>
    <w:rsid w:val="007D04C5"/>
    <w:rsid w:val="007D04D7"/>
    <w:rsid w:val="007D0577"/>
    <w:rsid w:val="007D059B"/>
    <w:rsid w:val="007D067A"/>
    <w:rsid w:val="007D06FD"/>
    <w:rsid w:val="007D0716"/>
    <w:rsid w:val="007D0721"/>
    <w:rsid w:val="007D072D"/>
    <w:rsid w:val="007D0795"/>
    <w:rsid w:val="007D07AF"/>
    <w:rsid w:val="007D07DD"/>
    <w:rsid w:val="007D07F4"/>
    <w:rsid w:val="007D0827"/>
    <w:rsid w:val="007D08A0"/>
    <w:rsid w:val="007D0A57"/>
    <w:rsid w:val="007D0A5F"/>
    <w:rsid w:val="007D0A7E"/>
    <w:rsid w:val="007D0AA7"/>
    <w:rsid w:val="007D0BC3"/>
    <w:rsid w:val="007D0BF9"/>
    <w:rsid w:val="007D0BFF"/>
    <w:rsid w:val="007D0C3D"/>
    <w:rsid w:val="007D0C60"/>
    <w:rsid w:val="007D0CC2"/>
    <w:rsid w:val="007D0D78"/>
    <w:rsid w:val="007D0DCF"/>
    <w:rsid w:val="007D0E23"/>
    <w:rsid w:val="007D0E40"/>
    <w:rsid w:val="007D0EDD"/>
    <w:rsid w:val="007D0F8B"/>
    <w:rsid w:val="007D103A"/>
    <w:rsid w:val="007D1089"/>
    <w:rsid w:val="007D10FC"/>
    <w:rsid w:val="007D1115"/>
    <w:rsid w:val="007D1130"/>
    <w:rsid w:val="007D1133"/>
    <w:rsid w:val="007D114D"/>
    <w:rsid w:val="007D1150"/>
    <w:rsid w:val="007D1151"/>
    <w:rsid w:val="007D1177"/>
    <w:rsid w:val="007D11F7"/>
    <w:rsid w:val="007D11FA"/>
    <w:rsid w:val="007D1206"/>
    <w:rsid w:val="007D124B"/>
    <w:rsid w:val="007D1288"/>
    <w:rsid w:val="007D12CD"/>
    <w:rsid w:val="007D12F1"/>
    <w:rsid w:val="007D1371"/>
    <w:rsid w:val="007D1510"/>
    <w:rsid w:val="007D155B"/>
    <w:rsid w:val="007D1643"/>
    <w:rsid w:val="007D166D"/>
    <w:rsid w:val="007D1808"/>
    <w:rsid w:val="007D1811"/>
    <w:rsid w:val="007D1924"/>
    <w:rsid w:val="007D194F"/>
    <w:rsid w:val="007D1968"/>
    <w:rsid w:val="007D19A8"/>
    <w:rsid w:val="007D19C1"/>
    <w:rsid w:val="007D1A8B"/>
    <w:rsid w:val="007D1AAB"/>
    <w:rsid w:val="007D1BA3"/>
    <w:rsid w:val="007D1BC1"/>
    <w:rsid w:val="007D1BE1"/>
    <w:rsid w:val="007D1C0F"/>
    <w:rsid w:val="007D1C46"/>
    <w:rsid w:val="007D1E19"/>
    <w:rsid w:val="007D1E57"/>
    <w:rsid w:val="007D1E6C"/>
    <w:rsid w:val="007D1F47"/>
    <w:rsid w:val="007D1F81"/>
    <w:rsid w:val="007D1F88"/>
    <w:rsid w:val="007D20BB"/>
    <w:rsid w:val="007D21B9"/>
    <w:rsid w:val="007D223A"/>
    <w:rsid w:val="007D2317"/>
    <w:rsid w:val="007D23A6"/>
    <w:rsid w:val="007D2413"/>
    <w:rsid w:val="007D242B"/>
    <w:rsid w:val="007D2478"/>
    <w:rsid w:val="007D24A1"/>
    <w:rsid w:val="007D24B7"/>
    <w:rsid w:val="007D251D"/>
    <w:rsid w:val="007D2535"/>
    <w:rsid w:val="007D2537"/>
    <w:rsid w:val="007D2578"/>
    <w:rsid w:val="007D25BC"/>
    <w:rsid w:val="007D25BD"/>
    <w:rsid w:val="007D25C0"/>
    <w:rsid w:val="007D25C4"/>
    <w:rsid w:val="007D25CD"/>
    <w:rsid w:val="007D2606"/>
    <w:rsid w:val="007D26B0"/>
    <w:rsid w:val="007D27EB"/>
    <w:rsid w:val="007D281B"/>
    <w:rsid w:val="007D2834"/>
    <w:rsid w:val="007D2850"/>
    <w:rsid w:val="007D299E"/>
    <w:rsid w:val="007D29E7"/>
    <w:rsid w:val="007D2A25"/>
    <w:rsid w:val="007D2A26"/>
    <w:rsid w:val="007D2A3B"/>
    <w:rsid w:val="007D2AB2"/>
    <w:rsid w:val="007D2B24"/>
    <w:rsid w:val="007D2B39"/>
    <w:rsid w:val="007D2B3F"/>
    <w:rsid w:val="007D2BA4"/>
    <w:rsid w:val="007D2BC5"/>
    <w:rsid w:val="007D2BDB"/>
    <w:rsid w:val="007D2C5F"/>
    <w:rsid w:val="007D2C67"/>
    <w:rsid w:val="007D2CA0"/>
    <w:rsid w:val="007D2CD5"/>
    <w:rsid w:val="007D2D52"/>
    <w:rsid w:val="007D2DA3"/>
    <w:rsid w:val="007D2DBC"/>
    <w:rsid w:val="007D2EBD"/>
    <w:rsid w:val="007D306D"/>
    <w:rsid w:val="007D306F"/>
    <w:rsid w:val="007D3106"/>
    <w:rsid w:val="007D32FA"/>
    <w:rsid w:val="007D334E"/>
    <w:rsid w:val="007D33D0"/>
    <w:rsid w:val="007D357F"/>
    <w:rsid w:val="007D362A"/>
    <w:rsid w:val="007D3630"/>
    <w:rsid w:val="007D365A"/>
    <w:rsid w:val="007D367F"/>
    <w:rsid w:val="007D373E"/>
    <w:rsid w:val="007D3770"/>
    <w:rsid w:val="007D377B"/>
    <w:rsid w:val="007D3807"/>
    <w:rsid w:val="007D3861"/>
    <w:rsid w:val="007D393F"/>
    <w:rsid w:val="007D3987"/>
    <w:rsid w:val="007D39B8"/>
    <w:rsid w:val="007D3A64"/>
    <w:rsid w:val="007D3B2D"/>
    <w:rsid w:val="007D3B54"/>
    <w:rsid w:val="007D3BA8"/>
    <w:rsid w:val="007D3C70"/>
    <w:rsid w:val="007D3D2C"/>
    <w:rsid w:val="007D3FC6"/>
    <w:rsid w:val="007D3FDD"/>
    <w:rsid w:val="007D425C"/>
    <w:rsid w:val="007D428C"/>
    <w:rsid w:val="007D42FA"/>
    <w:rsid w:val="007D4313"/>
    <w:rsid w:val="007D44B1"/>
    <w:rsid w:val="007D44D4"/>
    <w:rsid w:val="007D459B"/>
    <w:rsid w:val="007D45C8"/>
    <w:rsid w:val="007D45CD"/>
    <w:rsid w:val="007D46BD"/>
    <w:rsid w:val="007D46EE"/>
    <w:rsid w:val="007D4710"/>
    <w:rsid w:val="007D4790"/>
    <w:rsid w:val="007D47FB"/>
    <w:rsid w:val="007D4869"/>
    <w:rsid w:val="007D4874"/>
    <w:rsid w:val="007D48F7"/>
    <w:rsid w:val="007D4980"/>
    <w:rsid w:val="007D4A4F"/>
    <w:rsid w:val="007D4A7A"/>
    <w:rsid w:val="007D4A97"/>
    <w:rsid w:val="007D4ACA"/>
    <w:rsid w:val="007D4AD4"/>
    <w:rsid w:val="007D4AE3"/>
    <w:rsid w:val="007D4AE4"/>
    <w:rsid w:val="007D4B05"/>
    <w:rsid w:val="007D4B1C"/>
    <w:rsid w:val="007D4B63"/>
    <w:rsid w:val="007D4BB0"/>
    <w:rsid w:val="007D4C07"/>
    <w:rsid w:val="007D4C12"/>
    <w:rsid w:val="007D4C14"/>
    <w:rsid w:val="007D4C1C"/>
    <w:rsid w:val="007D4CE3"/>
    <w:rsid w:val="007D4CF7"/>
    <w:rsid w:val="007D4D32"/>
    <w:rsid w:val="007D4E10"/>
    <w:rsid w:val="007D4E7E"/>
    <w:rsid w:val="007D4EFD"/>
    <w:rsid w:val="007D4F2A"/>
    <w:rsid w:val="007D4F35"/>
    <w:rsid w:val="007D4F4B"/>
    <w:rsid w:val="007D4FB0"/>
    <w:rsid w:val="007D4FF5"/>
    <w:rsid w:val="007D50A1"/>
    <w:rsid w:val="007D50EA"/>
    <w:rsid w:val="007D511D"/>
    <w:rsid w:val="007D5134"/>
    <w:rsid w:val="007D5188"/>
    <w:rsid w:val="007D51E4"/>
    <w:rsid w:val="007D51EE"/>
    <w:rsid w:val="007D5243"/>
    <w:rsid w:val="007D5271"/>
    <w:rsid w:val="007D527A"/>
    <w:rsid w:val="007D52F6"/>
    <w:rsid w:val="007D53AF"/>
    <w:rsid w:val="007D53D0"/>
    <w:rsid w:val="007D53D4"/>
    <w:rsid w:val="007D5443"/>
    <w:rsid w:val="007D5455"/>
    <w:rsid w:val="007D547A"/>
    <w:rsid w:val="007D5499"/>
    <w:rsid w:val="007D5548"/>
    <w:rsid w:val="007D5559"/>
    <w:rsid w:val="007D55A1"/>
    <w:rsid w:val="007D569C"/>
    <w:rsid w:val="007D5729"/>
    <w:rsid w:val="007D5794"/>
    <w:rsid w:val="007D579C"/>
    <w:rsid w:val="007D57C5"/>
    <w:rsid w:val="007D580C"/>
    <w:rsid w:val="007D5911"/>
    <w:rsid w:val="007D59BC"/>
    <w:rsid w:val="007D5A90"/>
    <w:rsid w:val="007D5B36"/>
    <w:rsid w:val="007D5B78"/>
    <w:rsid w:val="007D5B81"/>
    <w:rsid w:val="007D5BE8"/>
    <w:rsid w:val="007D5C3D"/>
    <w:rsid w:val="007D5C49"/>
    <w:rsid w:val="007D5D62"/>
    <w:rsid w:val="007D5D88"/>
    <w:rsid w:val="007D5DA0"/>
    <w:rsid w:val="007D5DF7"/>
    <w:rsid w:val="007D5ED7"/>
    <w:rsid w:val="007D5F0C"/>
    <w:rsid w:val="007D5F41"/>
    <w:rsid w:val="007D5F67"/>
    <w:rsid w:val="007D5F68"/>
    <w:rsid w:val="007D5F82"/>
    <w:rsid w:val="007D6067"/>
    <w:rsid w:val="007D607F"/>
    <w:rsid w:val="007D609B"/>
    <w:rsid w:val="007D60E9"/>
    <w:rsid w:val="007D61FF"/>
    <w:rsid w:val="007D625A"/>
    <w:rsid w:val="007D62C0"/>
    <w:rsid w:val="007D6380"/>
    <w:rsid w:val="007D6391"/>
    <w:rsid w:val="007D6420"/>
    <w:rsid w:val="007D6562"/>
    <w:rsid w:val="007D65AB"/>
    <w:rsid w:val="007D6707"/>
    <w:rsid w:val="007D6796"/>
    <w:rsid w:val="007D6856"/>
    <w:rsid w:val="007D6884"/>
    <w:rsid w:val="007D6896"/>
    <w:rsid w:val="007D68B6"/>
    <w:rsid w:val="007D68FB"/>
    <w:rsid w:val="007D694C"/>
    <w:rsid w:val="007D6973"/>
    <w:rsid w:val="007D69B9"/>
    <w:rsid w:val="007D69DB"/>
    <w:rsid w:val="007D6A04"/>
    <w:rsid w:val="007D6AD2"/>
    <w:rsid w:val="007D6AD4"/>
    <w:rsid w:val="007D6AFB"/>
    <w:rsid w:val="007D6C97"/>
    <w:rsid w:val="007D6CF2"/>
    <w:rsid w:val="007D6D3A"/>
    <w:rsid w:val="007D6D42"/>
    <w:rsid w:val="007D6D76"/>
    <w:rsid w:val="007D6DAE"/>
    <w:rsid w:val="007D6E24"/>
    <w:rsid w:val="007D6E8A"/>
    <w:rsid w:val="007D6EF0"/>
    <w:rsid w:val="007D6F29"/>
    <w:rsid w:val="007D6F30"/>
    <w:rsid w:val="007D6F39"/>
    <w:rsid w:val="007D6F95"/>
    <w:rsid w:val="007D6F9D"/>
    <w:rsid w:val="007D701E"/>
    <w:rsid w:val="007D70AD"/>
    <w:rsid w:val="007D70E0"/>
    <w:rsid w:val="007D7148"/>
    <w:rsid w:val="007D7238"/>
    <w:rsid w:val="007D727E"/>
    <w:rsid w:val="007D7284"/>
    <w:rsid w:val="007D737B"/>
    <w:rsid w:val="007D7396"/>
    <w:rsid w:val="007D7406"/>
    <w:rsid w:val="007D7535"/>
    <w:rsid w:val="007D7550"/>
    <w:rsid w:val="007D756F"/>
    <w:rsid w:val="007D767C"/>
    <w:rsid w:val="007D7772"/>
    <w:rsid w:val="007D77A8"/>
    <w:rsid w:val="007D77E8"/>
    <w:rsid w:val="007D7804"/>
    <w:rsid w:val="007D786E"/>
    <w:rsid w:val="007D78EB"/>
    <w:rsid w:val="007D7A84"/>
    <w:rsid w:val="007D7AE7"/>
    <w:rsid w:val="007D7AEA"/>
    <w:rsid w:val="007D7BBF"/>
    <w:rsid w:val="007D7C3F"/>
    <w:rsid w:val="007D7D12"/>
    <w:rsid w:val="007D7D3E"/>
    <w:rsid w:val="007D7D58"/>
    <w:rsid w:val="007D7DA6"/>
    <w:rsid w:val="007D7EA1"/>
    <w:rsid w:val="007D7F30"/>
    <w:rsid w:val="007D7FA3"/>
    <w:rsid w:val="007D7FC8"/>
    <w:rsid w:val="007D7FE2"/>
    <w:rsid w:val="007D7FEC"/>
    <w:rsid w:val="007E0017"/>
    <w:rsid w:val="007E0024"/>
    <w:rsid w:val="007E002A"/>
    <w:rsid w:val="007E0039"/>
    <w:rsid w:val="007E0064"/>
    <w:rsid w:val="007E0098"/>
    <w:rsid w:val="007E00F3"/>
    <w:rsid w:val="007E0286"/>
    <w:rsid w:val="007E02A9"/>
    <w:rsid w:val="007E0348"/>
    <w:rsid w:val="007E03BF"/>
    <w:rsid w:val="007E0540"/>
    <w:rsid w:val="007E0548"/>
    <w:rsid w:val="007E0689"/>
    <w:rsid w:val="007E0887"/>
    <w:rsid w:val="007E088F"/>
    <w:rsid w:val="007E08BC"/>
    <w:rsid w:val="007E08E8"/>
    <w:rsid w:val="007E09A2"/>
    <w:rsid w:val="007E09AC"/>
    <w:rsid w:val="007E09D3"/>
    <w:rsid w:val="007E0AEA"/>
    <w:rsid w:val="007E0B93"/>
    <w:rsid w:val="007E0BB8"/>
    <w:rsid w:val="007E0C09"/>
    <w:rsid w:val="007E0C6B"/>
    <w:rsid w:val="007E0C77"/>
    <w:rsid w:val="007E0C8F"/>
    <w:rsid w:val="007E0C94"/>
    <w:rsid w:val="007E0CAB"/>
    <w:rsid w:val="007E0CC7"/>
    <w:rsid w:val="007E0E6C"/>
    <w:rsid w:val="007E0EC8"/>
    <w:rsid w:val="007E108A"/>
    <w:rsid w:val="007E10AA"/>
    <w:rsid w:val="007E10F2"/>
    <w:rsid w:val="007E1164"/>
    <w:rsid w:val="007E1183"/>
    <w:rsid w:val="007E1204"/>
    <w:rsid w:val="007E1275"/>
    <w:rsid w:val="007E1294"/>
    <w:rsid w:val="007E12A4"/>
    <w:rsid w:val="007E12AD"/>
    <w:rsid w:val="007E1382"/>
    <w:rsid w:val="007E13B3"/>
    <w:rsid w:val="007E144E"/>
    <w:rsid w:val="007E1471"/>
    <w:rsid w:val="007E1489"/>
    <w:rsid w:val="007E15FB"/>
    <w:rsid w:val="007E1616"/>
    <w:rsid w:val="007E1637"/>
    <w:rsid w:val="007E16C4"/>
    <w:rsid w:val="007E1787"/>
    <w:rsid w:val="007E17A3"/>
    <w:rsid w:val="007E1966"/>
    <w:rsid w:val="007E1992"/>
    <w:rsid w:val="007E19F5"/>
    <w:rsid w:val="007E1AF5"/>
    <w:rsid w:val="007E1B0B"/>
    <w:rsid w:val="007E1BE0"/>
    <w:rsid w:val="007E1C26"/>
    <w:rsid w:val="007E1CCD"/>
    <w:rsid w:val="007E1D06"/>
    <w:rsid w:val="007E1D4C"/>
    <w:rsid w:val="007E1D62"/>
    <w:rsid w:val="007E1DBE"/>
    <w:rsid w:val="007E1E35"/>
    <w:rsid w:val="007E1E60"/>
    <w:rsid w:val="007E1E8B"/>
    <w:rsid w:val="007E1F3B"/>
    <w:rsid w:val="007E1F52"/>
    <w:rsid w:val="007E1F87"/>
    <w:rsid w:val="007E1F89"/>
    <w:rsid w:val="007E2099"/>
    <w:rsid w:val="007E21D1"/>
    <w:rsid w:val="007E221D"/>
    <w:rsid w:val="007E2312"/>
    <w:rsid w:val="007E232E"/>
    <w:rsid w:val="007E23A4"/>
    <w:rsid w:val="007E23DC"/>
    <w:rsid w:val="007E2501"/>
    <w:rsid w:val="007E2515"/>
    <w:rsid w:val="007E257A"/>
    <w:rsid w:val="007E2591"/>
    <w:rsid w:val="007E25C7"/>
    <w:rsid w:val="007E25E4"/>
    <w:rsid w:val="007E25FA"/>
    <w:rsid w:val="007E2633"/>
    <w:rsid w:val="007E27D9"/>
    <w:rsid w:val="007E28B9"/>
    <w:rsid w:val="007E2900"/>
    <w:rsid w:val="007E2A28"/>
    <w:rsid w:val="007E2AA8"/>
    <w:rsid w:val="007E2B4B"/>
    <w:rsid w:val="007E2C80"/>
    <w:rsid w:val="007E2CAB"/>
    <w:rsid w:val="007E2CAF"/>
    <w:rsid w:val="007E2CE8"/>
    <w:rsid w:val="007E2D1A"/>
    <w:rsid w:val="007E2D34"/>
    <w:rsid w:val="007E2D9F"/>
    <w:rsid w:val="007E2ED3"/>
    <w:rsid w:val="007E2EEA"/>
    <w:rsid w:val="007E2F9E"/>
    <w:rsid w:val="007E3082"/>
    <w:rsid w:val="007E308B"/>
    <w:rsid w:val="007E30BE"/>
    <w:rsid w:val="007E3100"/>
    <w:rsid w:val="007E3166"/>
    <w:rsid w:val="007E3201"/>
    <w:rsid w:val="007E3239"/>
    <w:rsid w:val="007E32FF"/>
    <w:rsid w:val="007E33BC"/>
    <w:rsid w:val="007E3418"/>
    <w:rsid w:val="007E34BA"/>
    <w:rsid w:val="007E34C3"/>
    <w:rsid w:val="007E3533"/>
    <w:rsid w:val="007E35FD"/>
    <w:rsid w:val="007E3645"/>
    <w:rsid w:val="007E3663"/>
    <w:rsid w:val="007E3790"/>
    <w:rsid w:val="007E3795"/>
    <w:rsid w:val="007E37B4"/>
    <w:rsid w:val="007E37D3"/>
    <w:rsid w:val="007E38D6"/>
    <w:rsid w:val="007E38D8"/>
    <w:rsid w:val="007E38FA"/>
    <w:rsid w:val="007E3921"/>
    <w:rsid w:val="007E392E"/>
    <w:rsid w:val="007E3967"/>
    <w:rsid w:val="007E39FA"/>
    <w:rsid w:val="007E3AED"/>
    <w:rsid w:val="007E3B8D"/>
    <w:rsid w:val="007E3BB8"/>
    <w:rsid w:val="007E3BCA"/>
    <w:rsid w:val="007E3C29"/>
    <w:rsid w:val="007E3C5C"/>
    <w:rsid w:val="007E3C94"/>
    <w:rsid w:val="007E3CF4"/>
    <w:rsid w:val="007E3D48"/>
    <w:rsid w:val="007E3D60"/>
    <w:rsid w:val="007E3DE2"/>
    <w:rsid w:val="007E3F31"/>
    <w:rsid w:val="007E3F83"/>
    <w:rsid w:val="007E404F"/>
    <w:rsid w:val="007E40BD"/>
    <w:rsid w:val="007E40FD"/>
    <w:rsid w:val="007E4127"/>
    <w:rsid w:val="007E416D"/>
    <w:rsid w:val="007E41D2"/>
    <w:rsid w:val="007E429F"/>
    <w:rsid w:val="007E4394"/>
    <w:rsid w:val="007E4398"/>
    <w:rsid w:val="007E4415"/>
    <w:rsid w:val="007E4486"/>
    <w:rsid w:val="007E44A7"/>
    <w:rsid w:val="007E44C1"/>
    <w:rsid w:val="007E45C8"/>
    <w:rsid w:val="007E46A1"/>
    <w:rsid w:val="007E46AB"/>
    <w:rsid w:val="007E470D"/>
    <w:rsid w:val="007E477E"/>
    <w:rsid w:val="007E4780"/>
    <w:rsid w:val="007E4788"/>
    <w:rsid w:val="007E47E6"/>
    <w:rsid w:val="007E4803"/>
    <w:rsid w:val="007E486C"/>
    <w:rsid w:val="007E48C3"/>
    <w:rsid w:val="007E4953"/>
    <w:rsid w:val="007E49E6"/>
    <w:rsid w:val="007E4A02"/>
    <w:rsid w:val="007E4A05"/>
    <w:rsid w:val="007E4A1F"/>
    <w:rsid w:val="007E4B34"/>
    <w:rsid w:val="007E4B80"/>
    <w:rsid w:val="007E4BA8"/>
    <w:rsid w:val="007E4D3F"/>
    <w:rsid w:val="007E4E20"/>
    <w:rsid w:val="007E4F73"/>
    <w:rsid w:val="007E4FC8"/>
    <w:rsid w:val="007E4FD4"/>
    <w:rsid w:val="007E529B"/>
    <w:rsid w:val="007E5382"/>
    <w:rsid w:val="007E53DB"/>
    <w:rsid w:val="007E5421"/>
    <w:rsid w:val="007E552C"/>
    <w:rsid w:val="007E55C0"/>
    <w:rsid w:val="007E55ED"/>
    <w:rsid w:val="007E562A"/>
    <w:rsid w:val="007E5855"/>
    <w:rsid w:val="007E5889"/>
    <w:rsid w:val="007E59B5"/>
    <w:rsid w:val="007E59CB"/>
    <w:rsid w:val="007E5AA3"/>
    <w:rsid w:val="007E5AEA"/>
    <w:rsid w:val="007E5CEE"/>
    <w:rsid w:val="007E5D65"/>
    <w:rsid w:val="007E5D78"/>
    <w:rsid w:val="007E5DFF"/>
    <w:rsid w:val="007E5F56"/>
    <w:rsid w:val="007E5FC4"/>
    <w:rsid w:val="007E6038"/>
    <w:rsid w:val="007E60B3"/>
    <w:rsid w:val="007E611F"/>
    <w:rsid w:val="007E61DD"/>
    <w:rsid w:val="007E620F"/>
    <w:rsid w:val="007E6226"/>
    <w:rsid w:val="007E6247"/>
    <w:rsid w:val="007E625F"/>
    <w:rsid w:val="007E62AF"/>
    <w:rsid w:val="007E633F"/>
    <w:rsid w:val="007E639D"/>
    <w:rsid w:val="007E63E7"/>
    <w:rsid w:val="007E6459"/>
    <w:rsid w:val="007E6497"/>
    <w:rsid w:val="007E6505"/>
    <w:rsid w:val="007E6564"/>
    <w:rsid w:val="007E65BA"/>
    <w:rsid w:val="007E65D8"/>
    <w:rsid w:val="007E6643"/>
    <w:rsid w:val="007E6718"/>
    <w:rsid w:val="007E671A"/>
    <w:rsid w:val="007E6806"/>
    <w:rsid w:val="007E6808"/>
    <w:rsid w:val="007E6849"/>
    <w:rsid w:val="007E68B4"/>
    <w:rsid w:val="007E6A4A"/>
    <w:rsid w:val="007E6BCC"/>
    <w:rsid w:val="007E6CBC"/>
    <w:rsid w:val="007E6D03"/>
    <w:rsid w:val="007E6D06"/>
    <w:rsid w:val="007E6D7D"/>
    <w:rsid w:val="007E6D89"/>
    <w:rsid w:val="007E6DD0"/>
    <w:rsid w:val="007E6E16"/>
    <w:rsid w:val="007E6E85"/>
    <w:rsid w:val="007E6FE8"/>
    <w:rsid w:val="007E6FED"/>
    <w:rsid w:val="007E72D5"/>
    <w:rsid w:val="007E72D8"/>
    <w:rsid w:val="007E7400"/>
    <w:rsid w:val="007E7508"/>
    <w:rsid w:val="007E756A"/>
    <w:rsid w:val="007E75A9"/>
    <w:rsid w:val="007E75CD"/>
    <w:rsid w:val="007E75F2"/>
    <w:rsid w:val="007E7601"/>
    <w:rsid w:val="007E7836"/>
    <w:rsid w:val="007E785B"/>
    <w:rsid w:val="007E786D"/>
    <w:rsid w:val="007E791B"/>
    <w:rsid w:val="007E7998"/>
    <w:rsid w:val="007E79AF"/>
    <w:rsid w:val="007E7A44"/>
    <w:rsid w:val="007E7AA5"/>
    <w:rsid w:val="007E7BC3"/>
    <w:rsid w:val="007E7D09"/>
    <w:rsid w:val="007E7D81"/>
    <w:rsid w:val="007E7DDD"/>
    <w:rsid w:val="007E7E6F"/>
    <w:rsid w:val="007E7E74"/>
    <w:rsid w:val="007E7EB6"/>
    <w:rsid w:val="007E7F4D"/>
    <w:rsid w:val="007E7F74"/>
    <w:rsid w:val="007E7F9F"/>
    <w:rsid w:val="007E7FB0"/>
    <w:rsid w:val="007F0010"/>
    <w:rsid w:val="007F0074"/>
    <w:rsid w:val="007F0108"/>
    <w:rsid w:val="007F018E"/>
    <w:rsid w:val="007F036C"/>
    <w:rsid w:val="007F0377"/>
    <w:rsid w:val="007F03F1"/>
    <w:rsid w:val="007F043E"/>
    <w:rsid w:val="007F0474"/>
    <w:rsid w:val="007F04A2"/>
    <w:rsid w:val="007F04E9"/>
    <w:rsid w:val="007F056B"/>
    <w:rsid w:val="007F05D8"/>
    <w:rsid w:val="007F07A8"/>
    <w:rsid w:val="007F080F"/>
    <w:rsid w:val="007F082D"/>
    <w:rsid w:val="007F087E"/>
    <w:rsid w:val="007F0885"/>
    <w:rsid w:val="007F08C6"/>
    <w:rsid w:val="007F0977"/>
    <w:rsid w:val="007F0A0A"/>
    <w:rsid w:val="007F0A63"/>
    <w:rsid w:val="007F0ABE"/>
    <w:rsid w:val="007F0B15"/>
    <w:rsid w:val="007F0C40"/>
    <w:rsid w:val="007F0CC4"/>
    <w:rsid w:val="007F0CE4"/>
    <w:rsid w:val="007F0D8C"/>
    <w:rsid w:val="007F0DE9"/>
    <w:rsid w:val="007F0DFF"/>
    <w:rsid w:val="007F0E4C"/>
    <w:rsid w:val="007F0E57"/>
    <w:rsid w:val="007F0E66"/>
    <w:rsid w:val="007F0EC5"/>
    <w:rsid w:val="007F0F81"/>
    <w:rsid w:val="007F1021"/>
    <w:rsid w:val="007F104F"/>
    <w:rsid w:val="007F105F"/>
    <w:rsid w:val="007F10C0"/>
    <w:rsid w:val="007F1143"/>
    <w:rsid w:val="007F11B3"/>
    <w:rsid w:val="007F1237"/>
    <w:rsid w:val="007F1340"/>
    <w:rsid w:val="007F1344"/>
    <w:rsid w:val="007F1390"/>
    <w:rsid w:val="007F1419"/>
    <w:rsid w:val="007F145D"/>
    <w:rsid w:val="007F155E"/>
    <w:rsid w:val="007F15B5"/>
    <w:rsid w:val="007F161F"/>
    <w:rsid w:val="007F1730"/>
    <w:rsid w:val="007F17C0"/>
    <w:rsid w:val="007F17E7"/>
    <w:rsid w:val="007F1873"/>
    <w:rsid w:val="007F187A"/>
    <w:rsid w:val="007F18B7"/>
    <w:rsid w:val="007F19C5"/>
    <w:rsid w:val="007F1A92"/>
    <w:rsid w:val="007F1AF5"/>
    <w:rsid w:val="007F1B37"/>
    <w:rsid w:val="007F1B60"/>
    <w:rsid w:val="007F1BA1"/>
    <w:rsid w:val="007F1BB1"/>
    <w:rsid w:val="007F1CA3"/>
    <w:rsid w:val="007F1CAC"/>
    <w:rsid w:val="007F1D50"/>
    <w:rsid w:val="007F1E41"/>
    <w:rsid w:val="007F1EA4"/>
    <w:rsid w:val="007F1FC6"/>
    <w:rsid w:val="007F1FDD"/>
    <w:rsid w:val="007F1FE4"/>
    <w:rsid w:val="007F1FEB"/>
    <w:rsid w:val="007F1FFC"/>
    <w:rsid w:val="007F2172"/>
    <w:rsid w:val="007F218B"/>
    <w:rsid w:val="007F2251"/>
    <w:rsid w:val="007F225B"/>
    <w:rsid w:val="007F226C"/>
    <w:rsid w:val="007F2295"/>
    <w:rsid w:val="007F22AD"/>
    <w:rsid w:val="007F22C9"/>
    <w:rsid w:val="007F22F9"/>
    <w:rsid w:val="007F22FE"/>
    <w:rsid w:val="007F232E"/>
    <w:rsid w:val="007F23C8"/>
    <w:rsid w:val="007F2448"/>
    <w:rsid w:val="007F2465"/>
    <w:rsid w:val="007F2587"/>
    <w:rsid w:val="007F2654"/>
    <w:rsid w:val="007F2699"/>
    <w:rsid w:val="007F2953"/>
    <w:rsid w:val="007F2976"/>
    <w:rsid w:val="007F29D5"/>
    <w:rsid w:val="007F2A0D"/>
    <w:rsid w:val="007F2A6B"/>
    <w:rsid w:val="007F2AD8"/>
    <w:rsid w:val="007F2B51"/>
    <w:rsid w:val="007F2B84"/>
    <w:rsid w:val="007F2C0D"/>
    <w:rsid w:val="007F2C26"/>
    <w:rsid w:val="007F2C31"/>
    <w:rsid w:val="007F2C57"/>
    <w:rsid w:val="007F2C63"/>
    <w:rsid w:val="007F2CC6"/>
    <w:rsid w:val="007F2CF3"/>
    <w:rsid w:val="007F2D67"/>
    <w:rsid w:val="007F2EE3"/>
    <w:rsid w:val="007F2F97"/>
    <w:rsid w:val="007F2FB4"/>
    <w:rsid w:val="007F302A"/>
    <w:rsid w:val="007F3081"/>
    <w:rsid w:val="007F309D"/>
    <w:rsid w:val="007F30B9"/>
    <w:rsid w:val="007F30E1"/>
    <w:rsid w:val="007F3106"/>
    <w:rsid w:val="007F3179"/>
    <w:rsid w:val="007F317B"/>
    <w:rsid w:val="007F3310"/>
    <w:rsid w:val="007F33BA"/>
    <w:rsid w:val="007F33D4"/>
    <w:rsid w:val="007F33D6"/>
    <w:rsid w:val="007F33EB"/>
    <w:rsid w:val="007F33F4"/>
    <w:rsid w:val="007F34BA"/>
    <w:rsid w:val="007F3561"/>
    <w:rsid w:val="007F3562"/>
    <w:rsid w:val="007F3566"/>
    <w:rsid w:val="007F35B0"/>
    <w:rsid w:val="007F35E6"/>
    <w:rsid w:val="007F36E6"/>
    <w:rsid w:val="007F376B"/>
    <w:rsid w:val="007F37C8"/>
    <w:rsid w:val="007F37D3"/>
    <w:rsid w:val="007F3801"/>
    <w:rsid w:val="007F38BC"/>
    <w:rsid w:val="007F38C9"/>
    <w:rsid w:val="007F39FC"/>
    <w:rsid w:val="007F3A39"/>
    <w:rsid w:val="007F3ACB"/>
    <w:rsid w:val="007F3C11"/>
    <w:rsid w:val="007F3C32"/>
    <w:rsid w:val="007F3C84"/>
    <w:rsid w:val="007F3D07"/>
    <w:rsid w:val="007F3D24"/>
    <w:rsid w:val="007F3D40"/>
    <w:rsid w:val="007F3D74"/>
    <w:rsid w:val="007F3D88"/>
    <w:rsid w:val="007F3DA2"/>
    <w:rsid w:val="007F3E0C"/>
    <w:rsid w:val="007F3ED0"/>
    <w:rsid w:val="007F3F48"/>
    <w:rsid w:val="007F3F50"/>
    <w:rsid w:val="007F3F5E"/>
    <w:rsid w:val="007F3F8B"/>
    <w:rsid w:val="007F3F8E"/>
    <w:rsid w:val="007F3FA4"/>
    <w:rsid w:val="007F3FB1"/>
    <w:rsid w:val="007F417C"/>
    <w:rsid w:val="007F4186"/>
    <w:rsid w:val="007F41E7"/>
    <w:rsid w:val="007F421B"/>
    <w:rsid w:val="007F422D"/>
    <w:rsid w:val="007F42B0"/>
    <w:rsid w:val="007F4346"/>
    <w:rsid w:val="007F4360"/>
    <w:rsid w:val="007F4388"/>
    <w:rsid w:val="007F43C6"/>
    <w:rsid w:val="007F44EB"/>
    <w:rsid w:val="007F4581"/>
    <w:rsid w:val="007F45A4"/>
    <w:rsid w:val="007F45FE"/>
    <w:rsid w:val="007F4616"/>
    <w:rsid w:val="007F461A"/>
    <w:rsid w:val="007F4637"/>
    <w:rsid w:val="007F46C5"/>
    <w:rsid w:val="007F46EF"/>
    <w:rsid w:val="007F4753"/>
    <w:rsid w:val="007F475B"/>
    <w:rsid w:val="007F4846"/>
    <w:rsid w:val="007F48F0"/>
    <w:rsid w:val="007F4921"/>
    <w:rsid w:val="007F4977"/>
    <w:rsid w:val="007F49AA"/>
    <w:rsid w:val="007F4A2A"/>
    <w:rsid w:val="007F4A8D"/>
    <w:rsid w:val="007F4AF2"/>
    <w:rsid w:val="007F4B81"/>
    <w:rsid w:val="007F4BE5"/>
    <w:rsid w:val="007F4C75"/>
    <w:rsid w:val="007F4C8D"/>
    <w:rsid w:val="007F4D0C"/>
    <w:rsid w:val="007F4D16"/>
    <w:rsid w:val="007F4D90"/>
    <w:rsid w:val="007F4DAB"/>
    <w:rsid w:val="007F4E57"/>
    <w:rsid w:val="007F4E58"/>
    <w:rsid w:val="007F4E82"/>
    <w:rsid w:val="007F4F80"/>
    <w:rsid w:val="007F4FBD"/>
    <w:rsid w:val="007F506C"/>
    <w:rsid w:val="007F511B"/>
    <w:rsid w:val="007F5223"/>
    <w:rsid w:val="007F5234"/>
    <w:rsid w:val="007F5254"/>
    <w:rsid w:val="007F5256"/>
    <w:rsid w:val="007F52B6"/>
    <w:rsid w:val="007F5348"/>
    <w:rsid w:val="007F53B3"/>
    <w:rsid w:val="007F53D6"/>
    <w:rsid w:val="007F541F"/>
    <w:rsid w:val="007F5432"/>
    <w:rsid w:val="007F55BE"/>
    <w:rsid w:val="007F55D8"/>
    <w:rsid w:val="007F55EB"/>
    <w:rsid w:val="007F5641"/>
    <w:rsid w:val="007F5656"/>
    <w:rsid w:val="007F57B3"/>
    <w:rsid w:val="007F5873"/>
    <w:rsid w:val="007F59C9"/>
    <w:rsid w:val="007F5AEB"/>
    <w:rsid w:val="007F5BA7"/>
    <w:rsid w:val="007F5BC0"/>
    <w:rsid w:val="007F5C17"/>
    <w:rsid w:val="007F5C1F"/>
    <w:rsid w:val="007F5C40"/>
    <w:rsid w:val="007F5CED"/>
    <w:rsid w:val="007F5D9A"/>
    <w:rsid w:val="007F5DF7"/>
    <w:rsid w:val="007F5EA1"/>
    <w:rsid w:val="007F5F01"/>
    <w:rsid w:val="007F610E"/>
    <w:rsid w:val="007F62AB"/>
    <w:rsid w:val="007F6312"/>
    <w:rsid w:val="007F637A"/>
    <w:rsid w:val="007F639E"/>
    <w:rsid w:val="007F63AB"/>
    <w:rsid w:val="007F64D3"/>
    <w:rsid w:val="007F64F5"/>
    <w:rsid w:val="007F64F6"/>
    <w:rsid w:val="007F66A0"/>
    <w:rsid w:val="007F6734"/>
    <w:rsid w:val="007F6764"/>
    <w:rsid w:val="007F6775"/>
    <w:rsid w:val="007F69C5"/>
    <w:rsid w:val="007F69D7"/>
    <w:rsid w:val="007F69DB"/>
    <w:rsid w:val="007F6A07"/>
    <w:rsid w:val="007F6B73"/>
    <w:rsid w:val="007F6BF5"/>
    <w:rsid w:val="007F6C65"/>
    <w:rsid w:val="007F6DDA"/>
    <w:rsid w:val="007F6E0A"/>
    <w:rsid w:val="007F6E97"/>
    <w:rsid w:val="007F7089"/>
    <w:rsid w:val="007F70B4"/>
    <w:rsid w:val="007F711B"/>
    <w:rsid w:val="007F71E1"/>
    <w:rsid w:val="007F72D6"/>
    <w:rsid w:val="007F72F1"/>
    <w:rsid w:val="007F7312"/>
    <w:rsid w:val="007F73B0"/>
    <w:rsid w:val="007F7489"/>
    <w:rsid w:val="007F74BE"/>
    <w:rsid w:val="007F74FD"/>
    <w:rsid w:val="007F7537"/>
    <w:rsid w:val="007F753A"/>
    <w:rsid w:val="007F7562"/>
    <w:rsid w:val="007F7604"/>
    <w:rsid w:val="007F76AB"/>
    <w:rsid w:val="007F77C5"/>
    <w:rsid w:val="007F782A"/>
    <w:rsid w:val="007F78AC"/>
    <w:rsid w:val="007F78B6"/>
    <w:rsid w:val="007F78D3"/>
    <w:rsid w:val="007F7907"/>
    <w:rsid w:val="007F7A09"/>
    <w:rsid w:val="007F7A10"/>
    <w:rsid w:val="007F7A1F"/>
    <w:rsid w:val="007F7A63"/>
    <w:rsid w:val="007F7ADB"/>
    <w:rsid w:val="007F7C2A"/>
    <w:rsid w:val="007F7C70"/>
    <w:rsid w:val="007F7C99"/>
    <w:rsid w:val="007F7D0B"/>
    <w:rsid w:val="007F7D15"/>
    <w:rsid w:val="007F7DDF"/>
    <w:rsid w:val="007F7DE1"/>
    <w:rsid w:val="007F7F61"/>
    <w:rsid w:val="007F7F98"/>
    <w:rsid w:val="007F7FC5"/>
    <w:rsid w:val="007F7FE6"/>
    <w:rsid w:val="00800062"/>
    <w:rsid w:val="00800078"/>
    <w:rsid w:val="008000DB"/>
    <w:rsid w:val="00800113"/>
    <w:rsid w:val="00800182"/>
    <w:rsid w:val="00800317"/>
    <w:rsid w:val="0080037E"/>
    <w:rsid w:val="008004FC"/>
    <w:rsid w:val="00800524"/>
    <w:rsid w:val="00800549"/>
    <w:rsid w:val="0080054C"/>
    <w:rsid w:val="00800565"/>
    <w:rsid w:val="0080062B"/>
    <w:rsid w:val="008006BF"/>
    <w:rsid w:val="00800743"/>
    <w:rsid w:val="00800795"/>
    <w:rsid w:val="008007F8"/>
    <w:rsid w:val="008008D5"/>
    <w:rsid w:val="00800C3F"/>
    <w:rsid w:val="00800C74"/>
    <w:rsid w:val="00800CAC"/>
    <w:rsid w:val="00800D19"/>
    <w:rsid w:val="00800D7A"/>
    <w:rsid w:val="00800D94"/>
    <w:rsid w:val="00800E61"/>
    <w:rsid w:val="00800EA2"/>
    <w:rsid w:val="00800EA4"/>
    <w:rsid w:val="00800F02"/>
    <w:rsid w:val="00800F46"/>
    <w:rsid w:val="00800F87"/>
    <w:rsid w:val="00800F8F"/>
    <w:rsid w:val="00801304"/>
    <w:rsid w:val="0080130F"/>
    <w:rsid w:val="00801387"/>
    <w:rsid w:val="0080138D"/>
    <w:rsid w:val="008013F5"/>
    <w:rsid w:val="008013F7"/>
    <w:rsid w:val="0080141A"/>
    <w:rsid w:val="00801464"/>
    <w:rsid w:val="00801512"/>
    <w:rsid w:val="008015C3"/>
    <w:rsid w:val="0080166F"/>
    <w:rsid w:val="008016F6"/>
    <w:rsid w:val="0080180D"/>
    <w:rsid w:val="0080184F"/>
    <w:rsid w:val="00801872"/>
    <w:rsid w:val="00801880"/>
    <w:rsid w:val="008018CB"/>
    <w:rsid w:val="0080193C"/>
    <w:rsid w:val="00801A9D"/>
    <w:rsid w:val="00801B3A"/>
    <w:rsid w:val="00801B78"/>
    <w:rsid w:val="00801CE7"/>
    <w:rsid w:val="00801D05"/>
    <w:rsid w:val="00801D4E"/>
    <w:rsid w:val="00801E4D"/>
    <w:rsid w:val="00801E59"/>
    <w:rsid w:val="00801E7E"/>
    <w:rsid w:val="00801F02"/>
    <w:rsid w:val="00801F05"/>
    <w:rsid w:val="00801FCF"/>
    <w:rsid w:val="008020C7"/>
    <w:rsid w:val="008020ED"/>
    <w:rsid w:val="00802107"/>
    <w:rsid w:val="00802142"/>
    <w:rsid w:val="0080218F"/>
    <w:rsid w:val="00802202"/>
    <w:rsid w:val="0080220E"/>
    <w:rsid w:val="0080223D"/>
    <w:rsid w:val="0080231A"/>
    <w:rsid w:val="008023AA"/>
    <w:rsid w:val="00802420"/>
    <w:rsid w:val="008024BA"/>
    <w:rsid w:val="008024D2"/>
    <w:rsid w:val="0080262D"/>
    <w:rsid w:val="008026D7"/>
    <w:rsid w:val="0080271D"/>
    <w:rsid w:val="00802788"/>
    <w:rsid w:val="008027D1"/>
    <w:rsid w:val="008027E8"/>
    <w:rsid w:val="008028BC"/>
    <w:rsid w:val="008028E2"/>
    <w:rsid w:val="0080298D"/>
    <w:rsid w:val="008029ED"/>
    <w:rsid w:val="00802ABB"/>
    <w:rsid w:val="00802B18"/>
    <w:rsid w:val="00802B33"/>
    <w:rsid w:val="00802B6A"/>
    <w:rsid w:val="00802BFF"/>
    <w:rsid w:val="00802C60"/>
    <w:rsid w:val="00802C99"/>
    <w:rsid w:val="00802E3E"/>
    <w:rsid w:val="00802E89"/>
    <w:rsid w:val="00802F42"/>
    <w:rsid w:val="008030B3"/>
    <w:rsid w:val="008031F2"/>
    <w:rsid w:val="00803203"/>
    <w:rsid w:val="0080326F"/>
    <w:rsid w:val="0080329C"/>
    <w:rsid w:val="008032BC"/>
    <w:rsid w:val="008033D7"/>
    <w:rsid w:val="0080344A"/>
    <w:rsid w:val="0080345A"/>
    <w:rsid w:val="008034FB"/>
    <w:rsid w:val="00803548"/>
    <w:rsid w:val="008035A8"/>
    <w:rsid w:val="0080361A"/>
    <w:rsid w:val="00803690"/>
    <w:rsid w:val="008036EB"/>
    <w:rsid w:val="0080373C"/>
    <w:rsid w:val="008037B2"/>
    <w:rsid w:val="00803868"/>
    <w:rsid w:val="00803880"/>
    <w:rsid w:val="008038F0"/>
    <w:rsid w:val="00803932"/>
    <w:rsid w:val="00803A5F"/>
    <w:rsid w:val="00803A75"/>
    <w:rsid w:val="00803A8C"/>
    <w:rsid w:val="00803ACE"/>
    <w:rsid w:val="00803AE7"/>
    <w:rsid w:val="00803B73"/>
    <w:rsid w:val="00803B8E"/>
    <w:rsid w:val="00803BAD"/>
    <w:rsid w:val="00803BBB"/>
    <w:rsid w:val="00803C1B"/>
    <w:rsid w:val="00803C86"/>
    <w:rsid w:val="00803D14"/>
    <w:rsid w:val="00803D66"/>
    <w:rsid w:val="00803D8C"/>
    <w:rsid w:val="00803DA1"/>
    <w:rsid w:val="00803DEA"/>
    <w:rsid w:val="00803E05"/>
    <w:rsid w:val="00803E32"/>
    <w:rsid w:val="00803F43"/>
    <w:rsid w:val="00803F5F"/>
    <w:rsid w:val="00803F73"/>
    <w:rsid w:val="00803FAD"/>
    <w:rsid w:val="00804019"/>
    <w:rsid w:val="0080412F"/>
    <w:rsid w:val="00804184"/>
    <w:rsid w:val="008041A2"/>
    <w:rsid w:val="008041CB"/>
    <w:rsid w:val="00804240"/>
    <w:rsid w:val="00804257"/>
    <w:rsid w:val="00804258"/>
    <w:rsid w:val="008042BF"/>
    <w:rsid w:val="00804484"/>
    <w:rsid w:val="008044C9"/>
    <w:rsid w:val="00804599"/>
    <w:rsid w:val="008045CB"/>
    <w:rsid w:val="008045EA"/>
    <w:rsid w:val="008046D3"/>
    <w:rsid w:val="0080471C"/>
    <w:rsid w:val="00804743"/>
    <w:rsid w:val="008048A4"/>
    <w:rsid w:val="008048EF"/>
    <w:rsid w:val="00804902"/>
    <w:rsid w:val="00804938"/>
    <w:rsid w:val="0080493B"/>
    <w:rsid w:val="00804945"/>
    <w:rsid w:val="008049F6"/>
    <w:rsid w:val="00804A04"/>
    <w:rsid w:val="00804A1E"/>
    <w:rsid w:val="00804AA5"/>
    <w:rsid w:val="00804ABA"/>
    <w:rsid w:val="00804AD9"/>
    <w:rsid w:val="00804B52"/>
    <w:rsid w:val="00804B82"/>
    <w:rsid w:val="00804BBA"/>
    <w:rsid w:val="00804C89"/>
    <w:rsid w:val="00804CF3"/>
    <w:rsid w:val="00804D1C"/>
    <w:rsid w:val="00804DD9"/>
    <w:rsid w:val="00804E04"/>
    <w:rsid w:val="00804E5E"/>
    <w:rsid w:val="00804EFE"/>
    <w:rsid w:val="00804F53"/>
    <w:rsid w:val="00804F6C"/>
    <w:rsid w:val="0080508C"/>
    <w:rsid w:val="008050CF"/>
    <w:rsid w:val="00805173"/>
    <w:rsid w:val="00805301"/>
    <w:rsid w:val="00805383"/>
    <w:rsid w:val="008053A8"/>
    <w:rsid w:val="008053D8"/>
    <w:rsid w:val="00805406"/>
    <w:rsid w:val="00805416"/>
    <w:rsid w:val="0080546A"/>
    <w:rsid w:val="0080547C"/>
    <w:rsid w:val="00805484"/>
    <w:rsid w:val="00805567"/>
    <w:rsid w:val="0080558A"/>
    <w:rsid w:val="008055A2"/>
    <w:rsid w:val="008055A5"/>
    <w:rsid w:val="008055CF"/>
    <w:rsid w:val="0080560F"/>
    <w:rsid w:val="0080570D"/>
    <w:rsid w:val="0080573B"/>
    <w:rsid w:val="0080574C"/>
    <w:rsid w:val="008057F3"/>
    <w:rsid w:val="0080581E"/>
    <w:rsid w:val="008058A9"/>
    <w:rsid w:val="008058B9"/>
    <w:rsid w:val="00805AAB"/>
    <w:rsid w:val="00805AD7"/>
    <w:rsid w:val="00805B87"/>
    <w:rsid w:val="00805BBE"/>
    <w:rsid w:val="00805C73"/>
    <w:rsid w:val="00805CDB"/>
    <w:rsid w:val="00805D73"/>
    <w:rsid w:val="00805D77"/>
    <w:rsid w:val="00805E08"/>
    <w:rsid w:val="00805E62"/>
    <w:rsid w:val="00805E70"/>
    <w:rsid w:val="00805E96"/>
    <w:rsid w:val="00805EAE"/>
    <w:rsid w:val="00805EAF"/>
    <w:rsid w:val="00805F74"/>
    <w:rsid w:val="00805FAD"/>
    <w:rsid w:val="00806036"/>
    <w:rsid w:val="008060F3"/>
    <w:rsid w:val="00806164"/>
    <w:rsid w:val="008061E3"/>
    <w:rsid w:val="00806272"/>
    <w:rsid w:val="008062DB"/>
    <w:rsid w:val="0080633A"/>
    <w:rsid w:val="00806364"/>
    <w:rsid w:val="008063B1"/>
    <w:rsid w:val="0080642F"/>
    <w:rsid w:val="0080649B"/>
    <w:rsid w:val="008065F4"/>
    <w:rsid w:val="008066E9"/>
    <w:rsid w:val="008066ED"/>
    <w:rsid w:val="00806722"/>
    <w:rsid w:val="00806785"/>
    <w:rsid w:val="008067F7"/>
    <w:rsid w:val="00806941"/>
    <w:rsid w:val="00806A15"/>
    <w:rsid w:val="00806AAF"/>
    <w:rsid w:val="00806AB5"/>
    <w:rsid w:val="00806ADC"/>
    <w:rsid w:val="00806AEF"/>
    <w:rsid w:val="00806CB3"/>
    <w:rsid w:val="00806CC7"/>
    <w:rsid w:val="00806D4C"/>
    <w:rsid w:val="00806DA1"/>
    <w:rsid w:val="00806DB7"/>
    <w:rsid w:val="00806DBF"/>
    <w:rsid w:val="00806FF0"/>
    <w:rsid w:val="00807047"/>
    <w:rsid w:val="0080710B"/>
    <w:rsid w:val="00807114"/>
    <w:rsid w:val="0080713A"/>
    <w:rsid w:val="00807192"/>
    <w:rsid w:val="0080724F"/>
    <w:rsid w:val="008072F2"/>
    <w:rsid w:val="0080739B"/>
    <w:rsid w:val="008073AF"/>
    <w:rsid w:val="008073FB"/>
    <w:rsid w:val="00807470"/>
    <w:rsid w:val="008074C0"/>
    <w:rsid w:val="00807517"/>
    <w:rsid w:val="00807563"/>
    <w:rsid w:val="00807639"/>
    <w:rsid w:val="0080763A"/>
    <w:rsid w:val="00807698"/>
    <w:rsid w:val="00807722"/>
    <w:rsid w:val="008077B2"/>
    <w:rsid w:val="008077EC"/>
    <w:rsid w:val="0080783A"/>
    <w:rsid w:val="00807863"/>
    <w:rsid w:val="008078D4"/>
    <w:rsid w:val="008078E7"/>
    <w:rsid w:val="0080792F"/>
    <w:rsid w:val="0080794E"/>
    <w:rsid w:val="00807A56"/>
    <w:rsid w:val="00807A8B"/>
    <w:rsid w:val="00807A98"/>
    <w:rsid w:val="00807B32"/>
    <w:rsid w:val="00807B56"/>
    <w:rsid w:val="00807C23"/>
    <w:rsid w:val="00807C9A"/>
    <w:rsid w:val="00807C9B"/>
    <w:rsid w:val="00807CC8"/>
    <w:rsid w:val="00807CCE"/>
    <w:rsid w:val="00807CE4"/>
    <w:rsid w:val="00807D01"/>
    <w:rsid w:val="00807D40"/>
    <w:rsid w:val="00807D57"/>
    <w:rsid w:val="00807D89"/>
    <w:rsid w:val="00807EF5"/>
    <w:rsid w:val="00807F2C"/>
    <w:rsid w:val="00807F41"/>
    <w:rsid w:val="00807F44"/>
    <w:rsid w:val="00807F88"/>
    <w:rsid w:val="00807F99"/>
    <w:rsid w:val="00807FED"/>
    <w:rsid w:val="00810044"/>
    <w:rsid w:val="00810064"/>
    <w:rsid w:val="0081008F"/>
    <w:rsid w:val="0081012A"/>
    <w:rsid w:val="0081014E"/>
    <w:rsid w:val="00810195"/>
    <w:rsid w:val="00810214"/>
    <w:rsid w:val="0081027A"/>
    <w:rsid w:val="008102FB"/>
    <w:rsid w:val="00810301"/>
    <w:rsid w:val="00810316"/>
    <w:rsid w:val="00810364"/>
    <w:rsid w:val="0081038F"/>
    <w:rsid w:val="008103BF"/>
    <w:rsid w:val="00810421"/>
    <w:rsid w:val="00810426"/>
    <w:rsid w:val="0081044F"/>
    <w:rsid w:val="008104B9"/>
    <w:rsid w:val="0081051E"/>
    <w:rsid w:val="008105D8"/>
    <w:rsid w:val="00810626"/>
    <w:rsid w:val="00810737"/>
    <w:rsid w:val="00810759"/>
    <w:rsid w:val="00810762"/>
    <w:rsid w:val="00810873"/>
    <w:rsid w:val="008108CB"/>
    <w:rsid w:val="008108CD"/>
    <w:rsid w:val="00810926"/>
    <w:rsid w:val="008109F1"/>
    <w:rsid w:val="00810A11"/>
    <w:rsid w:val="00810A48"/>
    <w:rsid w:val="00810A49"/>
    <w:rsid w:val="00810A5F"/>
    <w:rsid w:val="00810A84"/>
    <w:rsid w:val="00810ACA"/>
    <w:rsid w:val="00810B09"/>
    <w:rsid w:val="00810B6B"/>
    <w:rsid w:val="00810B7C"/>
    <w:rsid w:val="00810C5E"/>
    <w:rsid w:val="00810C88"/>
    <w:rsid w:val="00810D10"/>
    <w:rsid w:val="00810D8D"/>
    <w:rsid w:val="00810E02"/>
    <w:rsid w:val="00810E7C"/>
    <w:rsid w:val="00810EB0"/>
    <w:rsid w:val="00810EB9"/>
    <w:rsid w:val="00810EFA"/>
    <w:rsid w:val="00810F8D"/>
    <w:rsid w:val="0081109F"/>
    <w:rsid w:val="008110ED"/>
    <w:rsid w:val="008110F9"/>
    <w:rsid w:val="0081110E"/>
    <w:rsid w:val="00811145"/>
    <w:rsid w:val="00811187"/>
    <w:rsid w:val="008111CC"/>
    <w:rsid w:val="008111E6"/>
    <w:rsid w:val="008113AB"/>
    <w:rsid w:val="008113C3"/>
    <w:rsid w:val="008113F6"/>
    <w:rsid w:val="00811425"/>
    <w:rsid w:val="0081143E"/>
    <w:rsid w:val="008114B4"/>
    <w:rsid w:val="0081153A"/>
    <w:rsid w:val="008115B5"/>
    <w:rsid w:val="008115FB"/>
    <w:rsid w:val="00811618"/>
    <w:rsid w:val="008116D0"/>
    <w:rsid w:val="008116E2"/>
    <w:rsid w:val="008116EA"/>
    <w:rsid w:val="0081173A"/>
    <w:rsid w:val="0081173E"/>
    <w:rsid w:val="008117E6"/>
    <w:rsid w:val="008117E8"/>
    <w:rsid w:val="00811800"/>
    <w:rsid w:val="00811801"/>
    <w:rsid w:val="0081198D"/>
    <w:rsid w:val="00811AD6"/>
    <w:rsid w:val="00811AD9"/>
    <w:rsid w:val="00811D7F"/>
    <w:rsid w:val="00811DA3"/>
    <w:rsid w:val="00811E0F"/>
    <w:rsid w:val="00811F2C"/>
    <w:rsid w:val="00811F8A"/>
    <w:rsid w:val="00811FB9"/>
    <w:rsid w:val="00812000"/>
    <w:rsid w:val="0081207C"/>
    <w:rsid w:val="00812080"/>
    <w:rsid w:val="00812081"/>
    <w:rsid w:val="0081208A"/>
    <w:rsid w:val="0081208B"/>
    <w:rsid w:val="0081215C"/>
    <w:rsid w:val="00812207"/>
    <w:rsid w:val="00812279"/>
    <w:rsid w:val="008122A5"/>
    <w:rsid w:val="008122E7"/>
    <w:rsid w:val="00812359"/>
    <w:rsid w:val="0081235D"/>
    <w:rsid w:val="008123B5"/>
    <w:rsid w:val="008123BD"/>
    <w:rsid w:val="00812450"/>
    <w:rsid w:val="00812485"/>
    <w:rsid w:val="00812550"/>
    <w:rsid w:val="00812551"/>
    <w:rsid w:val="0081255C"/>
    <w:rsid w:val="008125A5"/>
    <w:rsid w:val="00812605"/>
    <w:rsid w:val="0081263B"/>
    <w:rsid w:val="008126B9"/>
    <w:rsid w:val="008126DC"/>
    <w:rsid w:val="00812701"/>
    <w:rsid w:val="008127A1"/>
    <w:rsid w:val="008127D6"/>
    <w:rsid w:val="00812853"/>
    <w:rsid w:val="0081286B"/>
    <w:rsid w:val="008128D3"/>
    <w:rsid w:val="00812988"/>
    <w:rsid w:val="008129F4"/>
    <w:rsid w:val="00812A20"/>
    <w:rsid w:val="00812AB5"/>
    <w:rsid w:val="00812B26"/>
    <w:rsid w:val="00812BE1"/>
    <w:rsid w:val="00812CB8"/>
    <w:rsid w:val="00812D24"/>
    <w:rsid w:val="00812D6E"/>
    <w:rsid w:val="00812D7E"/>
    <w:rsid w:val="00812EB8"/>
    <w:rsid w:val="00813037"/>
    <w:rsid w:val="008130A9"/>
    <w:rsid w:val="0081310D"/>
    <w:rsid w:val="00813188"/>
    <w:rsid w:val="008131CF"/>
    <w:rsid w:val="00813290"/>
    <w:rsid w:val="008133EC"/>
    <w:rsid w:val="00813450"/>
    <w:rsid w:val="0081345E"/>
    <w:rsid w:val="00813480"/>
    <w:rsid w:val="00813696"/>
    <w:rsid w:val="008137B4"/>
    <w:rsid w:val="008137D1"/>
    <w:rsid w:val="00813844"/>
    <w:rsid w:val="0081387B"/>
    <w:rsid w:val="0081389B"/>
    <w:rsid w:val="008138EF"/>
    <w:rsid w:val="00813912"/>
    <w:rsid w:val="00813B0A"/>
    <w:rsid w:val="00813B47"/>
    <w:rsid w:val="00813BF6"/>
    <w:rsid w:val="00813CD9"/>
    <w:rsid w:val="00813D68"/>
    <w:rsid w:val="00813DD1"/>
    <w:rsid w:val="00813E47"/>
    <w:rsid w:val="00813E82"/>
    <w:rsid w:val="00813E90"/>
    <w:rsid w:val="00813EFC"/>
    <w:rsid w:val="00813F19"/>
    <w:rsid w:val="00813F51"/>
    <w:rsid w:val="00813F9D"/>
    <w:rsid w:val="00813FAB"/>
    <w:rsid w:val="0081409C"/>
    <w:rsid w:val="008140B8"/>
    <w:rsid w:val="008141F1"/>
    <w:rsid w:val="008142D6"/>
    <w:rsid w:val="00814479"/>
    <w:rsid w:val="0081450A"/>
    <w:rsid w:val="00814559"/>
    <w:rsid w:val="008145C2"/>
    <w:rsid w:val="008145CA"/>
    <w:rsid w:val="0081463C"/>
    <w:rsid w:val="00814661"/>
    <w:rsid w:val="0081474D"/>
    <w:rsid w:val="00814777"/>
    <w:rsid w:val="008147C1"/>
    <w:rsid w:val="00814828"/>
    <w:rsid w:val="00814839"/>
    <w:rsid w:val="0081487A"/>
    <w:rsid w:val="0081494D"/>
    <w:rsid w:val="008149B4"/>
    <w:rsid w:val="00814AC7"/>
    <w:rsid w:val="00814AD4"/>
    <w:rsid w:val="00814B23"/>
    <w:rsid w:val="00814B5D"/>
    <w:rsid w:val="00814BE0"/>
    <w:rsid w:val="00814C00"/>
    <w:rsid w:val="00814C6F"/>
    <w:rsid w:val="00814C7E"/>
    <w:rsid w:val="00814C9F"/>
    <w:rsid w:val="00814DA7"/>
    <w:rsid w:val="00814DC9"/>
    <w:rsid w:val="00814DD0"/>
    <w:rsid w:val="00814DEB"/>
    <w:rsid w:val="00814E85"/>
    <w:rsid w:val="00814E95"/>
    <w:rsid w:val="00814F49"/>
    <w:rsid w:val="00814FF8"/>
    <w:rsid w:val="00815014"/>
    <w:rsid w:val="00815092"/>
    <w:rsid w:val="008150F0"/>
    <w:rsid w:val="00815143"/>
    <w:rsid w:val="008151CB"/>
    <w:rsid w:val="008152B9"/>
    <w:rsid w:val="00815309"/>
    <w:rsid w:val="00815345"/>
    <w:rsid w:val="00815432"/>
    <w:rsid w:val="00815547"/>
    <w:rsid w:val="008156D0"/>
    <w:rsid w:val="008157C8"/>
    <w:rsid w:val="008158D0"/>
    <w:rsid w:val="00815A26"/>
    <w:rsid w:val="00815AFB"/>
    <w:rsid w:val="00815B0C"/>
    <w:rsid w:val="00815BFB"/>
    <w:rsid w:val="00815C1F"/>
    <w:rsid w:val="00815C3C"/>
    <w:rsid w:val="00815C60"/>
    <w:rsid w:val="00815D45"/>
    <w:rsid w:val="00815D8B"/>
    <w:rsid w:val="00815D93"/>
    <w:rsid w:val="00815E18"/>
    <w:rsid w:val="00815E27"/>
    <w:rsid w:val="00815E6D"/>
    <w:rsid w:val="00815EFB"/>
    <w:rsid w:val="00815FB2"/>
    <w:rsid w:val="00815FF6"/>
    <w:rsid w:val="008162E0"/>
    <w:rsid w:val="008162EC"/>
    <w:rsid w:val="008165BD"/>
    <w:rsid w:val="00816664"/>
    <w:rsid w:val="00816741"/>
    <w:rsid w:val="00816778"/>
    <w:rsid w:val="0081686F"/>
    <w:rsid w:val="00816904"/>
    <w:rsid w:val="0081695A"/>
    <w:rsid w:val="00816A57"/>
    <w:rsid w:val="00816AC5"/>
    <w:rsid w:val="00816B22"/>
    <w:rsid w:val="00816BA3"/>
    <w:rsid w:val="00816C6F"/>
    <w:rsid w:val="00816F0E"/>
    <w:rsid w:val="00816F11"/>
    <w:rsid w:val="00816FE0"/>
    <w:rsid w:val="00816FE9"/>
    <w:rsid w:val="00817012"/>
    <w:rsid w:val="0081701B"/>
    <w:rsid w:val="0081701C"/>
    <w:rsid w:val="00817063"/>
    <w:rsid w:val="00817077"/>
    <w:rsid w:val="0081707E"/>
    <w:rsid w:val="00817281"/>
    <w:rsid w:val="0081728C"/>
    <w:rsid w:val="00817306"/>
    <w:rsid w:val="008174F8"/>
    <w:rsid w:val="0081756B"/>
    <w:rsid w:val="008175A6"/>
    <w:rsid w:val="00817696"/>
    <w:rsid w:val="008176AF"/>
    <w:rsid w:val="008176F8"/>
    <w:rsid w:val="0081778B"/>
    <w:rsid w:val="00817833"/>
    <w:rsid w:val="0081783C"/>
    <w:rsid w:val="0081783D"/>
    <w:rsid w:val="00817858"/>
    <w:rsid w:val="0081797A"/>
    <w:rsid w:val="00817A00"/>
    <w:rsid w:val="00817A10"/>
    <w:rsid w:val="00817A8C"/>
    <w:rsid w:val="00817AD5"/>
    <w:rsid w:val="00817BF6"/>
    <w:rsid w:val="00817C21"/>
    <w:rsid w:val="00817C26"/>
    <w:rsid w:val="00817C56"/>
    <w:rsid w:val="00817CCE"/>
    <w:rsid w:val="00817D28"/>
    <w:rsid w:val="00817E5B"/>
    <w:rsid w:val="00817EB5"/>
    <w:rsid w:val="00817F0B"/>
    <w:rsid w:val="00817F26"/>
    <w:rsid w:val="00817F71"/>
    <w:rsid w:val="00817F7E"/>
    <w:rsid w:val="00820099"/>
    <w:rsid w:val="0082029F"/>
    <w:rsid w:val="008202EE"/>
    <w:rsid w:val="00820364"/>
    <w:rsid w:val="008204A6"/>
    <w:rsid w:val="008204F4"/>
    <w:rsid w:val="0082058E"/>
    <w:rsid w:val="008205C3"/>
    <w:rsid w:val="008205CE"/>
    <w:rsid w:val="0082079F"/>
    <w:rsid w:val="008207A0"/>
    <w:rsid w:val="008207E8"/>
    <w:rsid w:val="00820830"/>
    <w:rsid w:val="008208F7"/>
    <w:rsid w:val="0082094F"/>
    <w:rsid w:val="00820961"/>
    <w:rsid w:val="00820AFE"/>
    <w:rsid w:val="00820B74"/>
    <w:rsid w:val="00820BB2"/>
    <w:rsid w:val="00820C49"/>
    <w:rsid w:val="00820CC9"/>
    <w:rsid w:val="00820D0E"/>
    <w:rsid w:val="00820E70"/>
    <w:rsid w:val="00820EBA"/>
    <w:rsid w:val="00820F47"/>
    <w:rsid w:val="00820F6F"/>
    <w:rsid w:val="00820FC4"/>
    <w:rsid w:val="00821051"/>
    <w:rsid w:val="00821103"/>
    <w:rsid w:val="00821164"/>
    <w:rsid w:val="0082119D"/>
    <w:rsid w:val="008211B6"/>
    <w:rsid w:val="00821205"/>
    <w:rsid w:val="0082129F"/>
    <w:rsid w:val="008212CE"/>
    <w:rsid w:val="00821311"/>
    <w:rsid w:val="0082131F"/>
    <w:rsid w:val="008213B3"/>
    <w:rsid w:val="00821474"/>
    <w:rsid w:val="008214CD"/>
    <w:rsid w:val="00821613"/>
    <w:rsid w:val="008216A9"/>
    <w:rsid w:val="008216B7"/>
    <w:rsid w:val="008216D4"/>
    <w:rsid w:val="00821704"/>
    <w:rsid w:val="008217A1"/>
    <w:rsid w:val="00821829"/>
    <w:rsid w:val="00821860"/>
    <w:rsid w:val="0082187C"/>
    <w:rsid w:val="00821AE9"/>
    <w:rsid w:val="00821B06"/>
    <w:rsid w:val="00821B5B"/>
    <w:rsid w:val="00821B77"/>
    <w:rsid w:val="00821B8A"/>
    <w:rsid w:val="00821CA6"/>
    <w:rsid w:val="00821CCE"/>
    <w:rsid w:val="00821CE6"/>
    <w:rsid w:val="00821D2C"/>
    <w:rsid w:val="00821E43"/>
    <w:rsid w:val="00821EEA"/>
    <w:rsid w:val="00821F6D"/>
    <w:rsid w:val="00821F8A"/>
    <w:rsid w:val="00821F8E"/>
    <w:rsid w:val="00821F94"/>
    <w:rsid w:val="00821FFB"/>
    <w:rsid w:val="00822009"/>
    <w:rsid w:val="00822016"/>
    <w:rsid w:val="00822141"/>
    <w:rsid w:val="00822173"/>
    <w:rsid w:val="0082218B"/>
    <w:rsid w:val="00822375"/>
    <w:rsid w:val="00822444"/>
    <w:rsid w:val="008224BD"/>
    <w:rsid w:val="0082250E"/>
    <w:rsid w:val="00822536"/>
    <w:rsid w:val="00822557"/>
    <w:rsid w:val="00822695"/>
    <w:rsid w:val="0082269F"/>
    <w:rsid w:val="008226B1"/>
    <w:rsid w:val="008226D3"/>
    <w:rsid w:val="008226D9"/>
    <w:rsid w:val="008226FB"/>
    <w:rsid w:val="00822799"/>
    <w:rsid w:val="008227D2"/>
    <w:rsid w:val="00822993"/>
    <w:rsid w:val="008229EA"/>
    <w:rsid w:val="008229EF"/>
    <w:rsid w:val="00822AB3"/>
    <w:rsid w:val="00822AC5"/>
    <w:rsid w:val="00822B17"/>
    <w:rsid w:val="00822B58"/>
    <w:rsid w:val="00822B5F"/>
    <w:rsid w:val="00822BFB"/>
    <w:rsid w:val="00822BFD"/>
    <w:rsid w:val="00822C00"/>
    <w:rsid w:val="00822C36"/>
    <w:rsid w:val="00822C44"/>
    <w:rsid w:val="00822ECF"/>
    <w:rsid w:val="00822F07"/>
    <w:rsid w:val="00822FD4"/>
    <w:rsid w:val="00822FD6"/>
    <w:rsid w:val="00822FDF"/>
    <w:rsid w:val="00822FEF"/>
    <w:rsid w:val="00823049"/>
    <w:rsid w:val="008230FF"/>
    <w:rsid w:val="00823106"/>
    <w:rsid w:val="00823122"/>
    <w:rsid w:val="00823171"/>
    <w:rsid w:val="00823193"/>
    <w:rsid w:val="008231E3"/>
    <w:rsid w:val="0082331A"/>
    <w:rsid w:val="0082334D"/>
    <w:rsid w:val="00823377"/>
    <w:rsid w:val="00823454"/>
    <w:rsid w:val="008236ED"/>
    <w:rsid w:val="008236EE"/>
    <w:rsid w:val="0082380D"/>
    <w:rsid w:val="00823877"/>
    <w:rsid w:val="0082388D"/>
    <w:rsid w:val="0082389F"/>
    <w:rsid w:val="008238ED"/>
    <w:rsid w:val="0082395D"/>
    <w:rsid w:val="00823A21"/>
    <w:rsid w:val="00823B0C"/>
    <w:rsid w:val="00823B38"/>
    <w:rsid w:val="00823B95"/>
    <w:rsid w:val="00823D9B"/>
    <w:rsid w:val="00823E05"/>
    <w:rsid w:val="00823E52"/>
    <w:rsid w:val="00823ED2"/>
    <w:rsid w:val="00823EE5"/>
    <w:rsid w:val="00823F61"/>
    <w:rsid w:val="00823FC2"/>
    <w:rsid w:val="00824073"/>
    <w:rsid w:val="00824119"/>
    <w:rsid w:val="0082419C"/>
    <w:rsid w:val="0082419D"/>
    <w:rsid w:val="008241CD"/>
    <w:rsid w:val="008241E1"/>
    <w:rsid w:val="00824221"/>
    <w:rsid w:val="00824240"/>
    <w:rsid w:val="00824274"/>
    <w:rsid w:val="0082430A"/>
    <w:rsid w:val="0082430C"/>
    <w:rsid w:val="008243EA"/>
    <w:rsid w:val="00824473"/>
    <w:rsid w:val="008245BA"/>
    <w:rsid w:val="008245D0"/>
    <w:rsid w:val="008245DF"/>
    <w:rsid w:val="008245EB"/>
    <w:rsid w:val="008245EC"/>
    <w:rsid w:val="0082461C"/>
    <w:rsid w:val="0082464D"/>
    <w:rsid w:val="008246A8"/>
    <w:rsid w:val="0082472A"/>
    <w:rsid w:val="008247B8"/>
    <w:rsid w:val="008247D9"/>
    <w:rsid w:val="0082483B"/>
    <w:rsid w:val="00824893"/>
    <w:rsid w:val="0082489D"/>
    <w:rsid w:val="0082492D"/>
    <w:rsid w:val="008249A8"/>
    <w:rsid w:val="008249EF"/>
    <w:rsid w:val="00824A44"/>
    <w:rsid w:val="00824A65"/>
    <w:rsid w:val="00824AD2"/>
    <w:rsid w:val="00824ADE"/>
    <w:rsid w:val="00824B04"/>
    <w:rsid w:val="00824B47"/>
    <w:rsid w:val="00824C19"/>
    <w:rsid w:val="00824C1C"/>
    <w:rsid w:val="00824C28"/>
    <w:rsid w:val="00824DCF"/>
    <w:rsid w:val="00824DD0"/>
    <w:rsid w:val="00824E4D"/>
    <w:rsid w:val="00824E92"/>
    <w:rsid w:val="00825023"/>
    <w:rsid w:val="008250F4"/>
    <w:rsid w:val="0082513E"/>
    <w:rsid w:val="008252F8"/>
    <w:rsid w:val="00825359"/>
    <w:rsid w:val="00825370"/>
    <w:rsid w:val="00825388"/>
    <w:rsid w:val="0082540D"/>
    <w:rsid w:val="00825468"/>
    <w:rsid w:val="00825483"/>
    <w:rsid w:val="008255A0"/>
    <w:rsid w:val="008255DF"/>
    <w:rsid w:val="00825614"/>
    <w:rsid w:val="00825639"/>
    <w:rsid w:val="00825667"/>
    <w:rsid w:val="0082567A"/>
    <w:rsid w:val="00825760"/>
    <w:rsid w:val="008257CB"/>
    <w:rsid w:val="00825876"/>
    <w:rsid w:val="00825912"/>
    <w:rsid w:val="00825918"/>
    <w:rsid w:val="0082593C"/>
    <w:rsid w:val="008259C3"/>
    <w:rsid w:val="00825A1C"/>
    <w:rsid w:val="00825AD3"/>
    <w:rsid w:val="00825AD4"/>
    <w:rsid w:val="00825AFF"/>
    <w:rsid w:val="00825B4E"/>
    <w:rsid w:val="00825C82"/>
    <w:rsid w:val="00825D81"/>
    <w:rsid w:val="00825DA0"/>
    <w:rsid w:val="00825DB7"/>
    <w:rsid w:val="00825E0E"/>
    <w:rsid w:val="00825F29"/>
    <w:rsid w:val="00825F57"/>
    <w:rsid w:val="00826014"/>
    <w:rsid w:val="0082605D"/>
    <w:rsid w:val="00826095"/>
    <w:rsid w:val="0082613E"/>
    <w:rsid w:val="0082616B"/>
    <w:rsid w:val="00826198"/>
    <w:rsid w:val="0082637D"/>
    <w:rsid w:val="0082643D"/>
    <w:rsid w:val="0082646A"/>
    <w:rsid w:val="008264EF"/>
    <w:rsid w:val="0082652D"/>
    <w:rsid w:val="00826627"/>
    <w:rsid w:val="0082664F"/>
    <w:rsid w:val="00826711"/>
    <w:rsid w:val="00826713"/>
    <w:rsid w:val="0082681E"/>
    <w:rsid w:val="0082683C"/>
    <w:rsid w:val="008268F6"/>
    <w:rsid w:val="00826904"/>
    <w:rsid w:val="00826939"/>
    <w:rsid w:val="008269D5"/>
    <w:rsid w:val="00826A08"/>
    <w:rsid w:val="00826A73"/>
    <w:rsid w:val="00826ABB"/>
    <w:rsid w:val="00826B7E"/>
    <w:rsid w:val="00826BED"/>
    <w:rsid w:val="00826C0F"/>
    <w:rsid w:val="00826C26"/>
    <w:rsid w:val="00826C99"/>
    <w:rsid w:val="00826C9F"/>
    <w:rsid w:val="00826CA5"/>
    <w:rsid w:val="00826CD3"/>
    <w:rsid w:val="00826CF2"/>
    <w:rsid w:val="00826D02"/>
    <w:rsid w:val="00826D5B"/>
    <w:rsid w:val="00826D7F"/>
    <w:rsid w:val="00826DAF"/>
    <w:rsid w:val="00826DF7"/>
    <w:rsid w:val="00826E5C"/>
    <w:rsid w:val="00826EC9"/>
    <w:rsid w:val="00826FB9"/>
    <w:rsid w:val="00826FE8"/>
    <w:rsid w:val="0082705D"/>
    <w:rsid w:val="0082706E"/>
    <w:rsid w:val="008270CC"/>
    <w:rsid w:val="00827118"/>
    <w:rsid w:val="008271A1"/>
    <w:rsid w:val="008271D5"/>
    <w:rsid w:val="00827307"/>
    <w:rsid w:val="00827335"/>
    <w:rsid w:val="00827391"/>
    <w:rsid w:val="008274A4"/>
    <w:rsid w:val="008274C8"/>
    <w:rsid w:val="008274F4"/>
    <w:rsid w:val="00827505"/>
    <w:rsid w:val="00827585"/>
    <w:rsid w:val="008275A8"/>
    <w:rsid w:val="008275B2"/>
    <w:rsid w:val="00827668"/>
    <w:rsid w:val="0082775E"/>
    <w:rsid w:val="00827771"/>
    <w:rsid w:val="008277B3"/>
    <w:rsid w:val="008277FA"/>
    <w:rsid w:val="008278D0"/>
    <w:rsid w:val="00827923"/>
    <w:rsid w:val="0082795D"/>
    <w:rsid w:val="00827A5A"/>
    <w:rsid w:val="00827ACA"/>
    <w:rsid w:val="00827ACF"/>
    <w:rsid w:val="00827B5E"/>
    <w:rsid w:val="00827CE9"/>
    <w:rsid w:val="00827F6F"/>
    <w:rsid w:val="0082CBC0"/>
    <w:rsid w:val="008300F4"/>
    <w:rsid w:val="00830114"/>
    <w:rsid w:val="00830137"/>
    <w:rsid w:val="0083015D"/>
    <w:rsid w:val="00830164"/>
    <w:rsid w:val="00830184"/>
    <w:rsid w:val="00830188"/>
    <w:rsid w:val="008302E3"/>
    <w:rsid w:val="008304BA"/>
    <w:rsid w:val="00830598"/>
    <w:rsid w:val="008305C4"/>
    <w:rsid w:val="0083061C"/>
    <w:rsid w:val="00830683"/>
    <w:rsid w:val="0083068A"/>
    <w:rsid w:val="0083071A"/>
    <w:rsid w:val="00830784"/>
    <w:rsid w:val="008307A0"/>
    <w:rsid w:val="008307D4"/>
    <w:rsid w:val="008307FF"/>
    <w:rsid w:val="00830814"/>
    <w:rsid w:val="008308A4"/>
    <w:rsid w:val="008308F2"/>
    <w:rsid w:val="008309E2"/>
    <w:rsid w:val="00830A43"/>
    <w:rsid w:val="00830A62"/>
    <w:rsid w:val="00830AF3"/>
    <w:rsid w:val="00830B5E"/>
    <w:rsid w:val="00830B67"/>
    <w:rsid w:val="00830B9D"/>
    <w:rsid w:val="00830BAF"/>
    <w:rsid w:val="00830C62"/>
    <w:rsid w:val="00830C85"/>
    <w:rsid w:val="00830CA0"/>
    <w:rsid w:val="00830EA6"/>
    <w:rsid w:val="00830EDE"/>
    <w:rsid w:val="00830F4E"/>
    <w:rsid w:val="00830F91"/>
    <w:rsid w:val="00830FFE"/>
    <w:rsid w:val="008310BC"/>
    <w:rsid w:val="00831226"/>
    <w:rsid w:val="0083122B"/>
    <w:rsid w:val="008312B4"/>
    <w:rsid w:val="008313A3"/>
    <w:rsid w:val="008313FE"/>
    <w:rsid w:val="00831472"/>
    <w:rsid w:val="00831495"/>
    <w:rsid w:val="00831496"/>
    <w:rsid w:val="008314ED"/>
    <w:rsid w:val="00831510"/>
    <w:rsid w:val="00831550"/>
    <w:rsid w:val="00831568"/>
    <w:rsid w:val="0083157E"/>
    <w:rsid w:val="008316B2"/>
    <w:rsid w:val="008316F2"/>
    <w:rsid w:val="008317B8"/>
    <w:rsid w:val="008317F2"/>
    <w:rsid w:val="00831981"/>
    <w:rsid w:val="00831A6B"/>
    <w:rsid w:val="00831B05"/>
    <w:rsid w:val="00831B28"/>
    <w:rsid w:val="00831BD2"/>
    <w:rsid w:val="00831CAA"/>
    <w:rsid w:val="00831D83"/>
    <w:rsid w:val="00831DA9"/>
    <w:rsid w:val="00831E09"/>
    <w:rsid w:val="00831E2D"/>
    <w:rsid w:val="00831F72"/>
    <w:rsid w:val="00831F8D"/>
    <w:rsid w:val="00831FAE"/>
    <w:rsid w:val="00831FC2"/>
    <w:rsid w:val="00832043"/>
    <w:rsid w:val="008320D5"/>
    <w:rsid w:val="00832138"/>
    <w:rsid w:val="00832141"/>
    <w:rsid w:val="008321B7"/>
    <w:rsid w:val="00832217"/>
    <w:rsid w:val="0083221C"/>
    <w:rsid w:val="0083227B"/>
    <w:rsid w:val="0083232B"/>
    <w:rsid w:val="008323C8"/>
    <w:rsid w:val="00832486"/>
    <w:rsid w:val="0083253C"/>
    <w:rsid w:val="0083256D"/>
    <w:rsid w:val="008325DA"/>
    <w:rsid w:val="00832797"/>
    <w:rsid w:val="00832866"/>
    <w:rsid w:val="00832877"/>
    <w:rsid w:val="008328D0"/>
    <w:rsid w:val="008329A6"/>
    <w:rsid w:val="008329C7"/>
    <w:rsid w:val="00832A61"/>
    <w:rsid w:val="00832AA5"/>
    <w:rsid w:val="00832ACF"/>
    <w:rsid w:val="00832B34"/>
    <w:rsid w:val="00832B6E"/>
    <w:rsid w:val="00832B71"/>
    <w:rsid w:val="00832BB7"/>
    <w:rsid w:val="00832C02"/>
    <w:rsid w:val="00832C4F"/>
    <w:rsid w:val="00832CFF"/>
    <w:rsid w:val="00832D74"/>
    <w:rsid w:val="00832D81"/>
    <w:rsid w:val="00832E03"/>
    <w:rsid w:val="00832E9C"/>
    <w:rsid w:val="00832EF3"/>
    <w:rsid w:val="00832FB8"/>
    <w:rsid w:val="00832FF4"/>
    <w:rsid w:val="00833147"/>
    <w:rsid w:val="0083314C"/>
    <w:rsid w:val="0083324D"/>
    <w:rsid w:val="008333C3"/>
    <w:rsid w:val="00833415"/>
    <w:rsid w:val="00833426"/>
    <w:rsid w:val="0083359F"/>
    <w:rsid w:val="008335A3"/>
    <w:rsid w:val="008335BC"/>
    <w:rsid w:val="00833742"/>
    <w:rsid w:val="008337CA"/>
    <w:rsid w:val="008337E4"/>
    <w:rsid w:val="008337EF"/>
    <w:rsid w:val="00833829"/>
    <w:rsid w:val="00833856"/>
    <w:rsid w:val="008339D6"/>
    <w:rsid w:val="00833AB9"/>
    <w:rsid w:val="00833C03"/>
    <w:rsid w:val="00833D48"/>
    <w:rsid w:val="00833D9C"/>
    <w:rsid w:val="00833DE3"/>
    <w:rsid w:val="00833E0F"/>
    <w:rsid w:val="00833F1F"/>
    <w:rsid w:val="00833F8D"/>
    <w:rsid w:val="0083403B"/>
    <w:rsid w:val="00834045"/>
    <w:rsid w:val="00834054"/>
    <w:rsid w:val="008340EC"/>
    <w:rsid w:val="008340FB"/>
    <w:rsid w:val="00834312"/>
    <w:rsid w:val="00834353"/>
    <w:rsid w:val="00834368"/>
    <w:rsid w:val="00834457"/>
    <w:rsid w:val="0083449C"/>
    <w:rsid w:val="008344AA"/>
    <w:rsid w:val="00834585"/>
    <w:rsid w:val="00834598"/>
    <w:rsid w:val="008346B4"/>
    <w:rsid w:val="008346ED"/>
    <w:rsid w:val="0083471E"/>
    <w:rsid w:val="008347C3"/>
    <w:rsid w:val="00834802"/>
    <w:rsid w:val="00834808"/>
    <w:rsid w:val="0083483B"/>
    <w:rsid w:val="0083484E"/>
    <w:rsid w:val="00834889"/>
    <w:rsid w:val="008348D8"/>
    <w:rsid w:val="00834918"/>
    <w:rsid w:val="00834924"/>
    <w:rsid w:val="00834967"/>
    <w:rsid w:val="008349F0"/>
    <w:rsid w:val="00834A1F"/>
    <w:rsid w:val="00834A51"/>
    <w:rsid w:val="00834B50"/>
    <w:rsid w:val="00834B94"/>
    <w:rsid w:val="00834B9F"/>
    <w:rsid w:val="00834BB3"/>
    <w:rsid w:val="00834C42"/>
    <w:rsid w:val="00834CB5"/>
    <w:rsid w:val="00834CF5"/>
    <w:rsid w:val="00834DA1"/>
    <w:rsid w:val="00834E26"/>
    <w:rsid w:val="00834EAC"/>
    <w:rsid w:val="00834ED8"/>
    <w:rsid w:val="00834EF6"/>
    <w:rsid w:val="00834F42"/>
    <w:rsid w:val="00834F74"/>
    <w:rsid w:val="00834F99"/>
    <w:rsid w:val="008350D0"/>
    <w:rsid w:val="0083510D"/>
    <w:rsid w:val="0083517C"/>
    <w:rsid w:val="0083520F"/>
    <w:rsid w:val="0083526C"/>
    <w:rsid w:val="00835301"/>
    <w:rsid w:val="00835328"/>
    <w:rsid w:val="00835397"/>
    <w:rsid w:val="008353F3"/>
    <w:rsid w:val="0083549C"/>
    <w:rsid w:val="008354E7"/>
    <w:rsid w:val="00835569"/>
    <w:rsid w:val="008355B4"/>
    <w:rsid w:val="00835602"/>
    <w:rsid w:val="00835619"/>
    <w:rsid w:val="0083567A"/>
    <w:rsid w:val="008356AA"/>
    <w:rsid w:val="0083570C"/>
    <w:rsid w:val="008357B2"/>
    <w:rsid w:val="008357D4"/>
    <w:rsid w:val="00835846"/>
    <w:rsid w:val="0083588E"/>
    <w:rsid w:val="00835955"/>
    <w:rsid w:val="00835991"/>
    <w:rsid w:val="00835A4C"/>
    <w:rsid w:val="00835AA4"/>
    <w:rsid w:val="00835B65"/>
    <w:rsid w:val="00835C13"/>
    <w:rsid w:val="00835CC0"/>
    <w:rsid w:val="00835DC7"/>
    <w:rsid w:val="00835E9C"/>
    <w:rsid w:val="00835EAB"/>
    <w:rsid w:val="00835F11"/>
    <w:rsid w:val="00835F35"/>
    <w:rsid w:val="00835F6D"/>
    <w:rsid w:val="00835FC2"/>
    <w:rsid w:val="00835FDD"/>
    <w:rsid w:val="00835FE2"/>
    <w:rsid w:val="00836033"/>
    <w:rsid w:val="0083603B"/>
    <w:rsid w:val="0083607F"/>
    <w:rsid w:val="008360C1"/>
    <w:rsid w:val="008360D2"/>
    <w:rsid w:val="00836181"/>
    <w:rsid w:val="00836197"/>
    <w:rsid w:val="008361A1"/>
    <w:rsid w:val="008362C8"/>
    <w:rsid w:val="008362D7"/>
    <w:rsid w:val="00836304"/>
    <w:rsid w:val="00836307"/>
    <w:rsid w:val="008363A1"/>
    <w:rsid w:val="008363E6"/>
    <w:rsid w:val="00836409"/>
    <w:rsid w:val="008364CD"/>
    <w:rsid w:val="00836528"/>
    <w:rsid w:val="0083656B"/>
    <w:rsid w:val="00836580"/>
    <w:rsid w:val="0083663E"/>
    <w:rsid w:val="008366D3"/>
    <w:rsid w:val="008366F9"/>
    <w:rsid w:val="00836804"/>
    <w:rsid w:val="0083688F"/>
    <w:rsid w:val="00836978"/>
    <w:rsid w:val="008369C2"/>
    <w:rsid w:val="00836B07"/>
    <w:rsid w:val="00836B20"/>
    <w:rsid w:val="00836B92"/>
    <w:rsid w:val="00836BDD"/>
    <w:rsid w:val="00836C30"/>
    <w:rsid w:val="00836C34"/>
    <w:rsid w:val="00836C5B"/>
    <w:rsid w:val="00836CA5"/>
    <w:rsid w:val="00836CDA"/>
    <w:rsid w:val="00836DF8"/>
    <w:rsid w:val="00836E37"/>
    <w:rsid w:val="00836F47"/>
    <w:rsid w:val="00836FAD"/>
    <w:rsid w:val="0083700B"/>
    <w:rsid w:val="00837111"/>
    <w:rsid w:val="008372D1"/>
    <w:rsid w:val="00837346"/>
    <w:rsid w:val="00837348"/>
    <w:rsid w:val="008373DA"/>
    <w:rsid w:val="00837537"/>
    <w:rsid w:val="00837547"/>
    <w:rsid w:val="00837633"/>
    <w:rsid w:val="0083768F"/>
    <w:rsid w:val="008376AD"/>
    <w:rsid w:val="00837779"/>
    <w:rsid w:val="0083780E"/>
    <w:rsid w:val="00837810"/>
    <w:rsid w:val="0083789C"/>
    <w:rsid w:val="008379B3"/>
    <w:rsid w:val="00837AD3"/>
    <w:rsid w:val="00837B67"/>
    <w:rsid w:val="00837BFE"/>
    <w:rsid w:val="00837C65"/>
    <w:rsid w:val="00837E6B"/>
    <w:rsid w:val="00837EC8"/>
    <w:rsid w:val="00837F0E"/>
    <w:rsid w:val="008400B2"/>
    <w:rsid w:val="0084018E"/>
    <w:rsid w:val="0084021E"/>
    <w:rsid w:val="00840254"/>
    <w:rsid w:val="00840256"/>
    <w:rsid w:val="0084026A"/>
    <w:rsid w:val="008402B9"/>
    <w:rsid w:val="00840302"/>
    <w:rsid w:val="008403C9"/>
    <w:rsid w:val="008404A6"/>
    <w:rsid w:val="008405F5"/>
    <w:rsid w:val="008406CD"/>
    <w:rsid w:val="008406D6"/>
    <w:rsid w:val="00840762"/>
    <w:rsid w:val="00840822"/>
    <w:rsid w:val="00840855"/>
    <w:rsid w:val="00840937"/>
    <w:rsid w:val="00840956"/>
    <w:rsid w:val="0084096A"/>
    <w:rsid w:val="008409FB"/>
    <w:rsid w:val="00840A23"/>
    <w:rsid w:val="00840A7D"/>
    <w:rsid w:val="00840A90"/>
    <w:rsid w:val="00840A96"/>
    <w:rsid w:val="00840A9D"/>
    <w:rsid w:val="00840AB1"/>
    <w:rsid w:val="00840B1D"/>
    <w:rsid w:val="00840B8A"/>
    <w:rsid w:val="00840BE3"/>
    <w:rsid w:val="00840C1F"/>
    <w:rsid w:val="00840C46"/>
    <w:rsid w:val="00840C78"/>
    <w:rsid w:val="00840C8D"/>
    <w:rsid w:val="00840CD9"/>
    <w:rsid w:val="00840D00"/>
    <w:rsid w:val="00840D8C"/>
    <w:rsid w:val="00840E6B"/>
    <w:rsid w:val="00840E6D"/>
    <w:rsid w:val="00840EDC"/>
    <w:rsid w:val="00840F48"/>
    <w:rsid w:val="00840F92"/>
    <w:rsid w:val="0084104E"/>
    <w:rsid w:val="008410B5"/>
    <w:rsid w:val="008410BE"/>
    <w:rsid w:val="008410F9"/>
    <w:rsid w:val="0084114A"/>
    <w:rsid w:val="0084116A"/>
    <w:rsid w:val="008411B5"/>
    <w:rsid w:val="008411FF"/>
    <w:rsid w:val="00841302"/>
    <w:rsid w:val="008414B8"/>
    <w:rsid w:val="008415A6"/>
    <w:rsid w:val="008415BE"/>
    <w:rsid w:val="008415C8"/>
    <w:rsid w:val="008415E8"/>
    <w:rsid w:val="008415E9"/>
    <w:rsid w:val="00841629"/>
    <w:rsid w:val="00841660"/>
    <w:rsid w:val="008416B7"/>
    <w:rsid w:val="008418E6"/>
    <w:rsid w:val="0084193C"/>
    <w:rsid w:val="0084195F"/>
    <w:rsid w:val="008419A8"/>
    <w:rsid w:val="008419D6"/>
    <w:rsid w:val="00841AB1"/>
    <w:rsid w:val="00841BEF"/>
    <w:rsid w:val="00841BF5"/>
    <w:rsid w:val="00841D58"/>
    <w:rsid w:val="00841DF3"/>
    <w:rsid w:val="00841E51"/>
    <w:rsid w:val="00841E62"/>
    <w:rsid w:val="00841F48"/>
    <w:rsid w:val="00841FAD"/>
    <w:rsid w:val="00842121"/>
    <w:rsid w:val="00842241"/>
    <w:rsid w:val="0084237F"/>
    <w:rsid w:val="008423BF"/>
    <w:rsid w:val="0084243D"/>
    <w:rsid w:val="00842533"/>
    <w:rsid w:val="0084278F"/>
    <w:rsid w:val="00842894"/>
    <w:rsid w:val="00842901"/>
    <w:rsid w:val="00842907"/>
    <w:rsid w:val="00842935"/>
    <w:rsid w:val="008429B7"/>
    <w:rsid w:val="00842A12"/>
    <w:rsid w:val="00842A56"/>
    <w:rsid w:val="00842A62"/>
    <w:rsid w:val="00842B15"/>
    <w:rsid w:val="00842B74"/>
    <w:rsid w:val="00842C6E"/>
    <w:rsid w:val="00842CB7"/>
    <w:rsid w:val="00842CDA"/>
    <w:rsid w:val="00842CDB"/>
    <w:rsid w:val="00842D07"/>
    <w:rsid w:val="00842D08"/>
    <w:rsid w:val="00842D14"/>
    <w:rsid w:val="00842D5F"/>
    <w:rsid w:val="00842D6E"/>
    <w:rsid w:val="00842DA3"/>
    <w:rsid w:val="00842DCD"/>
    <w:rsid w:val="00842DE3"/>
    <w:rsid w:val="00842E03"/>
    <w:rsid w:val="00842E07"/>
    <w:rsid w:val="00842E5E"/>
    <w:rsid w:val="00842E8F"/>
    <w:rsid w:val="00842F22"/>
    <w:rsid w:val="00842F26"/>
    <w:rsid w:val="00842FA6"/>
    <w:rsid w:val="0084300F"/>
    <w:rsid w:val="00843139"/>
    <w:rsid w:val="00843195"/>
    <w:rsid w:val="00843230"/>
    <w:rsid w:val="00843258"/>
    <w:rsid w:val="008432CD"/>
    <w:rsid w:val="008432D0"/>
    <w:rsid w:val="008433EE"/>
    <w:rsid w:val="00843563"/>
    <w:rsid w:val="00843591"/>
    <w:rsid w:val="008435AA"/>
    <w:rsid w:val="0084362C"/>
    <w:rsid w:val="008436B5"/>
    <w:rsid w:val="008436FF"/>
    <w:rsid w:val="00843707"/>
    <w:rsid w:val="008438A5"/>
    <w:rsid w:val="00843944"/>
    <w:rsid w:val="00843949"/>
    <w:rsid w:val="0084397B"/>
    <w:rsid w:val="00843A63"/>
    <w:rsid w:val="00843A72"/>
    <w:rsid w:val="00843B57"/>
    <w:rsid w:val="00843B93"/>
    <w:rsid w:val="00843BCD"/>
    <w:rsid w:val="00843C2D"/>
    <w:rsid w:val="00843CD0"/>
    <w:rsid w:val="00843D33"/>
    <w:rsid w:val="00843D38"/>
    <w:rsid w:val="00843D70"/>
    <w:rsid w:val="00843DCC"/>
    <w:rsid w:val="00843EB7"/>
    <w:rsid w:val="00843F00"/>
    <w:rsid w:val="00844123"/>
    <w:rsid w:val="0084417F"/>
    <w:rsid w:val="008441B8"/>
    <w:rsid w:val="00844202"/>
    <w:rsid w:val="00844218"/>
    <w:rsid w:val="00844230"/>
    <w:rsid w:val="00844246"/>
    <w:rsid w:val="00844291"/>
    <w:rsid w:val="008442C2"/>
    <w:rsid w:val="00844339"/>
    <w:rsid w:val="00844349"/>
    <w:rsid w:val="00844368"/>
    <w:rsid w:val="008443EF"/>
    <w:rsid w:val="00844406"/>
    <w:rsid w:val="0084442E"/>
    <w:rsid w:val="008444BE"/>
    <w:rsid w:val="008444F3"/>
    <w:rsid w:val="00844616"/>
    <w:rsid w:val="0084463B"/>
    <w:rsid w:val="008447C8"/>
    <w:rsid w:val="0084486A"/>
    <w:rsid w:val="008448A9"/>
    <w:rsid w:val="008448E9"/>
    <w:rsid w:val="0084493E"/>
    <w:rsid w:val="0084494C"/>
    <w:rsid w:val="0084495C"/>
    <w:rsid w:val="00844A16"/>
    <w:rsid w:val="00844AE2"/>
    <w:rsid w:val="00844B07"/>
    <w:rsid w:val="00844B25"/>
    <w:rsid w:val="00844B7C"/>
    <w:rsid w:val="00844B8A"/>
    <w:rsid w:val="00844C05"/>
    <w:rsid w:val="00844C13"/>
    <w:rsid w:val="00844C81"/>
    <w:rsid w:val="00844CED"/>
    <w:rsid w:val="00844D26"/>
    <w:rsid w:val="00844E91"/>
    <w:rsid w:val="00844EBA"/>
    <w:rsid w:val="00845048"/>
    <w:rsid w:val="0084509C"/>
    <w:rsid w:val="0084513E"/>
    <w:rsid w:val="00845172"/>
    <w:rsid w:val="008451A9"/>
    <w:rsid w:val="00845212"/>
    <w:rsid w:val="00845216"/>
    <w:rsid w:val="0084528E"/>
    <w:rsid w:val="008452A6"/>
    <w:rsid w:val="008453A2"/>
    <w:rsid w:val="008453AA"/>
    <w:rsid w:val="0084548B"/>
    <w:rsid w:val="0084552D"/>
    <w:rsid w:val="008455A1"/>
    <w:rsid w:val="0084565E"/>
    <w:rsid w:val="00845686"/>
    <w:rsid w:val="0084569D"/>
    <w:rsid w:val="00845710"/>
    <w:rsid w:val="00845754"/>
    <w:rsid w:val="00845759"/>
    <w:rsid w:val="008457D3"/>
    <w:rsid w:val="0084583C"/>
    <w:rsid w:val="0084595E"/>
    <w:rsid w:val="00845BD4"/>
    <w:rsid w:val="00845C48"/>
    <w:rsid w:val="00845C91"/>
    <w:rsid w:val="00845CCE"/>
    <w:rsid w:val="00845D38"/>
    <w:rsid w:val="00845D53"/>
    <w:rsid w:val="00845D59"/>
    <w:rsid w:val="00845D5E"/>
    <w:rsid w:val="00845DB3"/>
    <w:rsid w:val="00845DEC"/>
    <w:rsid w:val="00845E35"/>
    <w:rsid w:val="00845EB8"/>
    <w:rsid w:val="00845EFF"/>
    <w:rsid w:val="00845F32"/>
    <w:rsid w:val="00846098"/>
    <w:rsid w:val="008460F4"/>
    <w:rsid w:val="00846115"/>
    <w:rsid w:val="00846188"/>
    <w:rsid w:val="00846211"/>
    <w:rsid w:val="008462CC"/>
    <w:rsid w:val="008463C5"/>
    <w:rsid w:val="008463DC"/>
    <w:rsid w:val="00846473"/>
    <w:rsid w:val="0084647F"/>
    <w:rsid w:val="008464FB"/>
    <w:rsid w:val="0084658D"/>
    <w:rsid w:val="0084663C"/>
    <w:rsid w:val="008466F4"/>
    <w:rsid w:val="00846795"/>
    <w:rsid w:val="008467A1"/>
    <w:rsid w:val="0084682B"/>
    <w:rsid w:val="008468F8"/>
    <w:rsid w:val="0084695A"/>
    <w:rsid w:val="008469FE"/>
    <w:rsid w:val="00846A09"/>
    <w:rsid w:val="00846A6B"/>
    <w:rsid w:val="00846AA1"/>
    <w:rsid w:val="00846C26"/>
    <w:rsid w:val="00846C74"/>
    <w:rsid w:val="00846CFE"/>
    <w:rsid w:val="00846DA1"/>
    <w:rsid w:val="00846DAD"/>
    <w:rsid w:val="00846E4F"/>
    <w:rsid w:val="00846F09"/>
    <w:rsid w:val="00846FD8"/>
    <w:rsid w:val="00846FF0"/>
    <w:rsid w:val="00847037"/>
    <w:rsid w:val="00847065"/>
    <w:rsid w:val="00847092"/>
    <w:rsid w:val="008470CF"/>
    <w:rsid w:val="008471AF"/>
    <w:rsid w:val="00847297"/>
    <w:rsid w:val="0084729B"/>
    <w:rsid w:val="008472B5"/>
    <w:rsid w:val="008472F5"/>
    <w:rsid w:val="0084733C"/>
    <w:rsid w:val="00847341"/>
    <w:rsid w:val="008473E6"/>
    <w:rsid w:val="008474CE"/>
    <w:rsid w:val="008474FF"/>
    <w:rsid w:val="00847536"/>
    <w:rsid w:val="00847541"/>
    <w:rsid w:val="0084767F"/>
    <w:rsid w:val="008477A3"/>
    <w:rsid w:val="008477F1"/>
    <w:rsid w:val="00847861"/>
    <w:rsid w:val="008478C2"/>
    <w:rsid w:val="0084794F"/>
    <w:rsid w:val="00847AD0"/>
    <w:rsid w:val="00847B28"/>
    <w:rsid w:val="00847BDE"/>
    <w:rsid w:val="00847BE8"/>
    <w:rsid w:val="00847C24"/>
    <w:rsid w:val="00847C3C"/>
    <w:rsid w:val="00847DB1"/>
    <w:rsid w:val="00847E28"/>
    <w:rsid w:val="00847E37"/>
    <w:rsid w:val="00847F22"/>
    <w:rsid w:val="00847FBB"/>
    <w:rsid w:val="00847FF7"/>
    <w:rsid w:val="00850023"/>
    <w:rsid w:val="0085008F"/>
    <w:rsid w:val="008500EC"/>
    <w:rsid w:val="008501C0"/>
    <w:rsid w:val="00850227"/>
    <w:rsid w:val="0085036B"/>
    <w:rsid w:val="008503A3"/>
    <w:rsid w:val="008503ED"/>
    <w:rsid w:val="008504EC"/>
    <w:rsid w:val="0085050D"/>
    <w:rsid w:val="0085054F"/>
    <w:rsid w:val="00850594"/>
    <w:rsid w:val="00850630"/>
    <w:rsid w:val="008506FF"/>
    <w:rsid w:val="00850700"/>
    <w:rsid w:val="00850705"/>
    <w:rsid w:val="00850736"/>
    <w:rsid w:val="00850755"/>
    <w:rsid w:val="0085076F"/>
    <w:rsid w:val="008508AC"/>
    <w:rsid w:val="008508F1"/>
    <w:rsid w:val="0085099F"/>
    <w:rsid w:val="00850B62"/>
    <w:rsid w:val="00850B7A"/>
    <w:rsid w:val="00850B7F"/>
    <w:rsid w:val="00850D56"/>
    <w:rsid w:val="00850DD2"/>
    <w:rsid w:val="00850DF5"/>
    <w:rsid w:val="00850E62"/>
    <w:rsid w:val="00850F9C"/>
    <w:rsid w:val="0085101C"/>
    <w:rsid w:val="00851026"/>
    <w:rsid w:val="008510E7"/>
    <w:rsid w:val="00851139"/>
    <w:rsid w:val="0085122A"/>
    <w:rsid w:val="00851251"/>
    <w:rsid w:val="008513C9"/>
    <w:rsid w:val="008513DD"/>
    <w:rsid w:val="008513EC"/>
    <w:rsid w:val="0085141E"/>
    <w:rsid w:val="00851429"/>
    <w:rsid w:val="00851568"/>
    <w:rsid w:val="00851585"/>
    <w:rsid w:val="00851794"/>
    <w:rsid w:val="008517C1"/>
    <w:rsid w:val="0085191B"/>
    <w:rsid w:val="00851985"/>
    <w:rsid w:val="008519C8"/>
    <w:rsid w:val="00851A29"/>
    <w:rsid w:val="00851B10"/>
    <w:rsid w:val="00851BC0"/>
    <w:rsid w:val="00851C64"/>
    <w:rsid w:val="00851CC4"/>
    <w:rsid w:val="00851CDE"/>
    <w:rsid w:val="00851D09"/>
    <w:rsid w:val="00851D36"/>
    <w:rsid w:val="00851D42"/>
    <w:rsid w:val="00851D47"/>
    <w:rsid w:val="00851D69"/>
    <w:rsid w:val="00851D84"/>
    <w:rsid w:val="00851DE0"/>
    <w:rsid w:val="00851E24"/>
    <w:rsid w:val="00851E51"/>
    <w:rsid w:val="00851EA7"/>
    <w:rsid w:val="00851EAE"/>
    <w:rsid w:val="00851EDA"/>
    <w:rsid w:val="00851F20"/>
    <w:rsid w:val="00851F41"/>
    <w:rsid w:val="00852047"/>
    <w:rsid w:val="00852099"/>
    <w:rsid w:val="00852132"/>
    <w:rsid w:val="00852190"/>
    <w:rsid w:val="00852295"/>
    <w:rsid w:val="008522E2"/>
    <w:rsid w:val="008522E9"/>
    <w:rsid w:val="008524C1"/>
    <w:rsid w:val="00852528"/>
    <w:rsid w:val="00852549"/>
    <w:rsid w:val="008525E3"/>
    <w:rsid w:val="008527F9"/>
    <w:rsid w:val="00852919"/>
    <w:rsid w:val="00852989"/>
    <w:rsid w:val="008529B3"/>
    <w:rsid w:val="008529D6"/>
    <w:rsid w:val="008529DF"/>
    <w:rsid w:val="008529E5"/>
    <w:rsid w:val="00852B2D"/>
    <w:rsid w:val="00852B3C"/>
    <w:rsid w:val="00852C63"/>
    <w:rsid w:val="00852DD5"/>
    <w:rsid w:val="00852E88"/>
    <w:rsid w:val="00852E89"/>
    <w:rsid w:val="00852EAC"/>
    <w:rsid w:val="00852ECB"/>
    <w:rsid w:val="00852F16"/>
    <w:rsid w:val="00853011"/>
    <w:rsid w:val="008530B1"/>
    <w:rsid w:val="0085319E"/>
    <w:rsid w:val="008531C7"/>
    <w:rsid w:val="00853213"/>
    <w:rsid w:val="0085339C"/>
    <w:rsid w:val="008533E4"/>
    <w:rsid w:val="0085342E"/>
    <w:rsid w:val="008534C0"/>
    <w:rsid w:val="00853521"/>
    <w:rsid w:val="0085355B"/>
    <w:rsid w:val="008535CC"/>
    <w:rsid w:val="008535CE"/>
    <w:rsid w:val="0085363C"/>
    <w:rsid w:val="008536E6"/>
    <w:rsid w:val="00853735"/>
    <w:rsid w:val="0085373B"/>
    <w:rsid w:val="0085380D"/>
    <w:rsid w:val="008538BE"/>
    <w:rsid w:val="008538DC"/>
    <w:rsid w:val="00853A13"/>
    <w:rsid w:val="00853A61"/>
    <w:rsid w:val="00853AC0"/>
    <w:rsid w:val="00853ACB"/>
    <w:rsid w:val="00853B66"/>
    <w:rsid w:val="00853B79"/>
    <w:rsid w:val="00853BEC"/>
    <w:rsid w:val="00853C3B"/>
    <w:rsid w:val="00853CB4"/>
    <w:rsid w:val="00853D61"/>
    <w:rsid w:val="00853DE0"/>
    <w:rsid w:val="00853E46"/>
    <w:rsid w:val="00853E60"/>
    <w:rsid w:val="00853F2F"/>
    <w:rsid w:val="00853F3D"/>
    <w:rsid w:val="00853FC1"/>
    <w:rsid w:val="0085405A"/>
    <w:rsid w:val="008540F4"/>
    <w:rsid w:val="00854125"/>
    <w:rsid w:val="0085413D"/>
    <w:rsid w:val="0085418F"/>
    <w:rsid w:val="008541AF"/>
    <w:rsid w:val="008541BD"/>
    <w:rsid w:val="0085427A"/>
    <w:rsid w:val="008542E0"/>
    <w:rsid w:val="0085435C"/>
    <w:rsid w:val="00854382"/>
    <w:rsid w:val="00854455"/>
    <w:rsid w:val="00854485"/>
    <w:rsid w:val="008544B8"/>
    <w:rsid w:val="0085454B"/>
    <w:rsid w:val="00854564"/>
    <w:rsid w:val="0085458B"/>
    <w:rsid w:val="0085459C"/>
    <w:rsid w:val="0085478B"/>
    <w:rsid w:val="008547C3"/>
    <w:rsid w:val="008547DD"/>
    <w:rsid w:val="00854833"/>
    <w:rsid w:val="0085486F"/>
    <w:rsid w:val="00854893"/>
    <w:rsid w:val="008548D8"/>
    <w:rsid w:val="008549C8"/>
    <w:rsid w:val="00854B92"/>
    <w:rsid w:val="00854BAC"/>
    <w:rsid w:val="00854C04"/>
    <w:rsid w:val="00854C42"/>
    <w:rsid w:val="00854CBC"/>
    <w:rsid w:val="00854CC0"/>
    <w:rsid w:val="00854DA2"/>
    <w:rsid w:val="00854DE4"/>
    <w:rsid w:val="00854E45"/>
    <w:rsid w:val="00854E5D"/>
    <w:rsid w:val="00854ECD"/>
    <w:rsid w:val="00854F98"/>
    <w:rsid w:val="008550E5"/>
    <w:rsid w:val="00855219"/>
    <w:rsid w:val="00855225"/>
    <w:rsid w:val="0085528C"/>
    <w:rsid w:val="0085529C"/>
    <w:rsid w:val="0085535B"/>
    <w:rsid w:val="0085538D"/>
    <w:rsid w:val="008553C2"/>
    <w:rsid w:val="00855449"/>
    <w:rsid w:val="0085544E"/>
    <w:rsid w:val="00855510"/>
    <w:rsid w:val="00855516"/>
    <w:rsid w:val="00855523"/>
    <w:rsid w:val="00855566"/>
    <w:rsid w:val="0085556F"/>
    <w:rsid w:val="008555C4"/>
    <w:rsid w:val="008555D1"/>
    <w:rsid w:val="008555D2"/>
    <w:rsid w:val="0085568D"/>
    <w:rsid w:val="0085573F"/>
    <w:rsid w:val="00855852"/>
    <w:rsid w:val="008558BF"/>
    <w:rsid w:val="00855974"/>
    <w:rsid w:val="008559D9"/>
    <w:rsid w:val="008559E7"/>
    <w:rsid w:val="008559FE"/>
    <w:rsid w:val="00855A2E"/>
    <w:rsid w:val="00855B06"/>
    <w:rsid w:val="00855B78"/>
    <w:rsid w:val="00855B7D"/>
    <w:rsid w:val="00855B7F"/>
    <w:rsid w:val="00855C0E"/>
    <w:rsid w:val="00855CA3"/>
    <w:rsid w:val="00855CDA"/>
    <w:rsid w:val="00855D19"/>
    <w:rsid w:val="00855D3F"/>
    <w:rsid w:val="00855E10"/>
    <w:rsid w:val="00855EE1"/>
    <w:rsid w:val="00855F68"/>
    <w:rsid w:val="00855F90"/>
    <w:rsid w:val="00856100"/>
    <w:rsid w:val="00856119"/>
    <w:rsid w:val="00856132"/>
    <w:rsid w:val="00856391"/>
    <w:rsid w:val="00856445"/>
    <w:rsid w:val="0085649C"/>
    <w:rsid w:val="008564C7"/>
    <w:rsid w:val="00856564"/>
    <w:rsid w:val="00856650"/>
    <w:rsid w:val="0085673B"/>
    <w:rsid w:val="00856751"/>
    <w:rsid w:val="00856860"/>
    <w:rsid w:val="00856869"/>
    <w:rsid w:val="0085688B"/>
    <w:rsid w:val="00856894"/>
    <w:rsid w:val="0085691B"/>
    <w:rsid w:val="00856974"/>
    <w:rsid w:val="008569E1"/>
    <w:rsid w:val="00856C21"/>
    <w:rsid w:val="00856C31"/>
    <w:rsid w:val="00856C36"/>
    <w:rsid w:val="00856C62"/>
    <w:rsid w:val="00856D6D"/>
    <w:rsid w:val="00856D77"/>
    <w:rsid w:val="00856D79"/>
    <w:rsid w:val="00856D7B"/>
    <w:rsid w:val="00856DF8"/>
    <w:rsid w:val="00856E5A"/>
    <w:rsid w:val="00856E90"/>
    <w:rsid w:val="00856EA6"/>
    <w:rsid w:val="00856F2B"/>
    <w:rsid w:val="00856FC5"/>
    <w:rsid w:val="00857015"/>
    <w:rsid w:val="0085705F"/>
    <w:rsid w:val="00857067"/>
    <w:rsid w:val="00857106"/>
    <w:rsid w:val="00857123"/>
    <w:rsid w:val="00857156"/>
    <w:rsid w:val="008571C5"/>
    <w:rsid w:val="008571E0"/>
    <w:rsid w:val="00857204"/>
    <w:rsid w:val="00857223"/>
    <w:rsid w:val="0085722D"/>
    <w:rsid w:val="00857383"/>
    <w:rsid w:val="00857408"/>
    <w:rsid w:val="0085743A"/>
    <w:rsid w:val="00857459"/>
    <w:rsid w:val="0085747F"/>
    <w:rsid w:val="008574AB"/>
    <w:rsid w:val="0085753E"/>
    <w:rsid w:val="008575F2"/>
    <w:rsid w:val="008576F5"/>
    <w:rsid w:val="008576FD"/>
    <w:rsid w:val="0085770F"/>
    <w:rsid w:val="00857748"/>
    <w:rsid w:val="0085774E"/>
    <w:rsid w:val="0085776B"/>
    <w:rsid w:val="00857829"/>
    <w:rsid w:val="00857A48"/>
    <w:rsid w:val="00857AD7"/>
    <w:rsid w:val="00857C28"/>
    <w:rsid w:val="00857C50"/>
    <w:rsid w:val="00857DAF"/>
    <w:rsid w:val="00857E6F"/>
    <w:rsid w:val="00857F06"/>
    <w:rsid w:val="00857F07"/>
    <w:rsid w:val="00857F32"/>
    <w:rsid w:val="00857F45"/>
    <w:rsid w:val="00857F5C"/>
    <w:rsid w:val="00857F6A"/>
    <w:rsid w:val="00857F79"/>
    <w:rsid w:val="00860027"/>
    <w:rsid w:val="00860096"/>
    <w:rsid w:val="008600AA"/>
    <w:rsid w:val="008600D5"/>
    <w:rsid w:val="008601C0"/>
    <w:rsid w:val="00860203"/>
    <w:rsid w:val="00860234"/>
    <w:rsid w:val="008602A8"/>
    <w:rsid w:val="00860303"/>
    <w:rsid w:val="00860308"/>
    <w:rsid w:val="00860465"/>
    <w:rsid w:val="00860492"/>
    <w:rsid w:val="0086053C"/>
    <w:rsid w:val="0086056E"/>
    <w:rsid w:val="008605C4"/>
    <w:rsid w:val="008605CB"/>
    <w:rsid w:val="00860676"/>
    <w:rsid w:val="00860783"/>
    <w:rsid w:val="0086079D"/>
    <w:rsid w:val="008607CE"/>
    <w:rsid w:val="008607DB"/>
    <w:rsid w:val="008607FD"/>
    <w:rsid w:val="00860803"/>
    <w:rsid w:val="00860871"/>
    <w:rsid w:val="008608AC"/>
    <w:rsid w:val="008608B1"/>
    <w:rsid w:val="008608D3"/>
    <w:rsid w:val="00860919"/>
    <w:rsid w:val="008609A4"/>
    <w:rsid w:val="008609B4"/>
    <w:rsid w:val="008609D5"/>
    <w:rsid w:val="00860A94"/>
    <w:rsid w:val="00860AEE"/>
    <w:rsid w:val="00860B46"/>
    <w:rsid w:val="00860B94"/>
    <w:rsid w:val="00860C2B"/>
    <w:rsid w:val="00860C74"/>
    <w:rsid w:val="00860C8E"/>
    <w:rsid w:val="00860D64"/>
    <w:rsid w:val="00860D8D"/>
    <w:rsid w:val="00860DEE"/>
    <w:rsid w:val="00860E30"/>
    <w:rsid w:val="00860F34"/>
    <w:rsid w:val="00861015"/>
    <w:rsid w:val="0086107E"/>
    <w:rsid w:val="0086109D"/>
    <w:rsid w:val="008610E0"/>
    <w:rsid w:val="008610E9"/>
    <w:rsid w:val="00861138"/>
    <w:rsid w:val="00861205"/>
    <w:rsid w:val="00861213"/>
    <w:rsid w:val="008612C7"/>
    <w:rsid w:val="00861346"/>
    <w:rsid w:val="008613F7"/>
    <w:rsid w:val="00861471"/>
    <w:rsid w:val="008614C9"/>
    <w:rsid w:val="00861585"/>
    <w:rsid w:val="0086158C"/>
    <w:rsid w:val="008615DF"/>
    <w:rsid w:val="00861642"/>
    <w:rsid w:val="00861661"/>
    <w:rsid w:val="00861680"/>
    <w:rsid w:val="008616A6"/>
    <w:rsid w:val="00861722"/>
    <w:rsid w:val="00861772"/>
    <w:rsid w:val="00861820"/>
    <w:rsid w:val="00861849"/>
    <w:rsid w:val="00861882"/>
    <w:rsid w:val="008619F2"/>
    <w:rsid w:val="008619FF"/>
    <w:rsid w:val="00861A19"/>
    <w:rsid w:val="00861A7F"/>
    <w:rsid w:val="00861B03"/>
    <w:rsid w:val="00861B1D"/>
    <w:rsid w:val="00861B24"/>
    <w:rsid w:val="00861C1F"/>
    <w:rsid w:val="00861C72"/>
    <w:rsid w:val="00861CCF"/>
    <w:rsid w:val="00861D07"/>
    <w:rsid w:val="00861D98"/>
    <w:rsid w:val="00861DB6"/>
    <w:rsid w:val="00861DB9"/>
    <w:rsid w:val="00861E58"/>
    <w:rsid w:val="00861E82"/>
    <w:rsid w:val="00861E84"/>
    <w:rsid w:val="00862043"/>
    <w:rsid w:val="0086214A"/>
    <w:rsid w:val="00862150"/>
    <w:rsid w:val="00862168"/>
    <w:rsid w:val="0086220F"/>
    <w:rsid w:val="00862261"/>
    <w:rsid w:val="008622AA"/>
    <w:rsid w:val="00862308"/>
    <w:rsid w:val="00862366"/>
    <w:rsid w:val="00862386"/>
    <w:rsid w:val="008623D4"/>
    <w:rsid w:val="008623F1"/>
    <w:rsid w:val="00862480"/>
    <w:rsid w:val="0086249F"/>
    <w:rsid w:val="008624C6"/>
    <w:rsid w:val="008624D8"/>
    <w:rsid w:val="00862515"/>
    <w:rsid w:val="00862592"/>
    <w:rsid w:val="00862664"/>
    <w:rsid w:val="0086269E"/>
    <w:rsid w:val="008626C4"/>
    <w:rsid w:val="008627A2"/>
    <w:rsid w:val="00862959"/>
    <w:rsid w:val="0086297D"/>
    <w:rsid w:val="00862A25"/>
    <w:rsid w:val="00862BDA"/>
    <w:rsid w:val="00862C0D"/>
    <w:rsid w:val="00862C66"/>
    <w:rsid w:val="00862CAC"/>
    <w:rsid w:val="00862CF3"/>
    <w:rsid w:val="00862D9F"/>
    <w:rsid w:val="00862DB1"/>
    <w:rsid w:val="00862DDF"/>
    <w:rsid w:val="00862E20"/>
    <w:rsid w:val="00862E36"/>
    <w:rsid w:val="00862EE2"/>
    <w:rsid w:val="00862EE8"/>
    <w:rsid w:val="00862F1A"/>
    <w:rsid w:val="00863021"/>
    <w:rsid w:val="0086304F"/>
    <w:rsid w:val="0086310C"/>
    <w:rsid w:val="008631B2"/>
    <w:rsid w:val="00863263"/>
    <w:rsid w:val="008632A4"/>
    <w:rsid w:val="008632E8"/>
    <w:rsid w:val="00863309"/>
    <w:rsid w:val="0086332C"/>
    <w:rsid w:val="0086334A"/>
    <w:rsid w:val="00863432"/>
    <w:rsid w:val="008634B8"/>
    <w:rsid w:val="00863568"/>
    <w:rsid w:val="0086360F"/>
    <w:rsid w:val="00863746"/>
    <w:rsid w:val="008637D5"/>
    <w:rsid w:val="008638E1"/>
    <w:rsid w:val="0086399C"/>
    <w:rsid w:val="00863B91"/>
    <w:rsid w:val="00863C92"/>
    <w:rsid w:val="00863D2A"/>
    <w:rsid w:val="00863DA4"/>
    <w:rsid w:val="00863E30"/>
    <w:rsid w:val="00863E31"/>
    <w:rsid w:val="00863EAE"/>
    <w:rsid w:val="00863EB2"/>
    <w:rsid w:val="00863EFF"/>
    <w:rsid w:val="00863F5E"/>
    <w:rsid w:val="008640B0"/>
    <w:rsid w:val="00864188"/>
    <w:rsid w:val="00864227"/>
    <w:rsid w:val="008642C8"/>
    <w:rsid w:val="008642D8"/>
    <w:rsid w:val="00864368"/>
    <w:rsid w:val="00864372"/>
    <w:rsid w:val="008643BE"/>
    <w:rsid w:val="008643BF"/>
    <w:rsid w:val="00864409"/>
    <w:rsid w:val="008644D3"/>
    <w:rsid w:val="008644EA"/>
    <w:rsid w:val="00864517"/>
    <w:rsid w:val="0086455A"/>
    <w:rsid w:val="0086460D"/>
    <w:rsid w:val="008646DD"/>
    <w:rsid w:val="008647BC"/>
    <w:rsid w:val="008648B2"/>
    <w:rsid w:val="00864927"/>
    <w:rsid w:val="008649AE"/>
    <w:rsid w:val="008649BF"/>
    <w:rsid w:val="00864A62"/>
    <w:rsid w:val="00864ABB"/>
    <w:rsid w:val="00864AC8"/>
    <w:rsid w:val="00864AD8"/>
    <w:rsid w:val="00864AE9"/>
    <w:rsid w:val="00864B3D"/>
    <w:rsid w:val="00864B3E"/>
    <w:rsid w:val="00864B5C"/>
    <w:rsid w:val="00864B7F"/>
    <w:rsid w:val="00864BBC"/>
    <w:rsid w:val="00864BFA"/>
    <w:rsid w:val="00864C3C"/>
    <w:rsid w:val="00864D19"/>
    <w:rsid w:val="00864D70"/>
    <w:rsid w:val="00864D7D"/>
    <w:rsid w:val="00864DCC"/>
    <w:rsid w:val="00864E63"/>
    <w:rsid w:val="00864E9F"/>
    <w:rsid w:val="00864ECF"/>
    <w:rsid w:val="00864F7C"/>
    <w:rsid w:val="00865169"/>
    <w:rsid w:val="008651B6"/>
    <w:rsid w:val="00865237"/>
    <w:rsid w:val="0086525E"/>
    <w:rsid w:val="008652AD"/>
    <w:rsid w:val="008652DB"/>
    <w:rsid w:val="008653BB"/>
    <w:rsid w:val="008653C5"/>
    <w:rsid w:val="00865401"/>
    <w:rsid w:val="00865471"/>
    <w:rsid w:val="008654F9"/>
    <w:rsid w:val="008655A0"/>
    <w:rsid w:val="008655BA"/>
    <w:rsid w:val="008655E1"/>
    <w:rsid w:val="008656BE"/>
    <w:rsid w:val="008656C5"/>
    <w:rsid w:val="0086571E"/>
    <w:rsid w:val="00865835"/>
    <w:rsid w:val="00865876"/>
    <w:rsid w:val="008658D3"/>
    <w:rsid w:val="008658F2"/>
    <w:rsid w:val="00865905"/>
    <w:rsid w:val="00865958"/>
    <w:rsid w:val="00865AEF"/>
    <w:rsid w:val="00865B0B"/>
    <w:rsid w:val="00865CF4"/>
    <w:rsid w:val="00865D0C"/>
    <w:rsid w:val="00865D3B"/>
    <w:rsid w:val="00865DB9"/>
    <w:rsid w:val="00865EAF"/>
    <w:rsid w:val="0086600F"/>
    <w:rsid w:val="00866095"/>
    <w:rsid w:val="008660AA"/>
    <w:rsid w:val="0086616B"/>
    <w:rsid w:val="00866176"/>
    <w:rsid w:val="008661ED"/>
    <w:rsid w:val="00866219"/>
    <w:rsid w:val="00866348"/>
    <w:rsid w:val="00866353"/>
    <w:rsid w:val="00866357"/>
    <w:rsid w:val="0086637A"/>
    <w:rsid w:val="00866405"/>
    <w:rsid w:val="0086647B"/>
    <w:rsid w:val="00866488"/>
    <w:rsid w:val="00866698"/>
    <w:rsid w:val="0086673A"/>
    <w:rsid w:val="008667D0"/>
    <w:rsid w:val="00866849"/>
    <w:rsid w:val="008668DF"/>
    <w:rsid w:val="00866917"/>
    <w:rsid w:val="0086692F"/>
    <w:rsid w:val="008669FF"/>
    <w:rsid w:val="00866A25"/>
    <w:rsid w:val="00866AA9"/>
    <w:rsid w:val="00866ABA"/>
    <w:rsid w:val="00866AC6"/>
    <w:rsid w:val="00866B17"/>
    <w:rsid w:val="00866B94"/>
    <w:rsid w:val="00866BEC"/>
    <w:rsid w:val="00866C0B"/>
    <w:rsid w:val="00866C5E"/>
    <w:rsid w:val="00866CD5"/>
    <w:rsid w:val="00866DC4"/>
    <w:rsid w:val="00866DD6"/>
    <w:rsid w:val="00866EF0"/>
    <w:rsid w:val="00867001"/>
    <w:rsid w:val="0086700C"/>
    <w:rsid w:val="008671B4"/>
    <w:rsid w:val="008671C9"/>
    <w:rsid w:val="00867284"/>
    <w:rsid w:val="008672DC"/>
    <w:rsid w:val="00867406"/>
    <w:rsid w:val="008674D2"/>
    <w:rsid w:val="008675DC"/>
    <w:rsid w:val="0086767A"/>
    <w:rsid w:val="00867681"/>
    <w:rsid w:val="00867699"/>
    <w:rsid w:val="008676ED"/>
    <w:rsid w:val="008677D4"/>
    <w:rsid w:val="00867851"/>
    <w:rsid w:val="0086786B"/>
    <w:rsid w:val="008678E5"/>
    <w:rsid w:val="00867913"/>
    <w:rsid w:val="00867991"/>
    <w:rsid w:val="00867A9B"/>
    <w:rsid w:val="00867AEA"/>
    <w:rsid w:val="00867B08"/>
    <w:rsid w:val="00867B72"/>
    <w:rsid w:val="00867BA3"/>
    <w:rsid w:val="00867C2A"/>
    <w:rsid w:val="00867C54"/>
    <w:rsid w:val="00867C77"/>
    <w:rsid w:val="00867C7E"/>
    <w:rsid w:val="00867D69"/>
    <w:rsid w:val="00867D88"/>
    <w:rsid w:val="00867D9A"/>
    <w:rsid w:val="00867DC3"/>
    <w:rsid w:val="00867E3F"/>
    <w:rsid w:val="00867E44"/>
    <w:rsid w:val="00867E77"/>
    <w:rsid w:val="00867EDE"/>
    <w:rsid w:val="00867F5A"/>
    <w:rsid w:val="00867FFC"/>
    <w:rsid w:val="00870007"/>
    <w:rsid w:val="00870119"/>
    <w:rsid w:val="0087014C"/>
    <w:rsid w:val="008701FA"/>
    <w:rsid w:val="00870230"/>
    <w:rsid w:val="00870248"/>
    <w:rsid w:val="00870324"/>
    <w:rsid w:val="00870377"/>
    <w:rsid w:val="00870386"/>
    <w:rsid w:val="008703D8"/>
    <w:rsid w:val="0087042D"/>
    <w:rsid w:val="0087046C"/>
    <w:rsid w:val="00870516"/>
    <w:rsid w:val="00870608"/>
    <w:rsid w:val="00870690"/>
    <w:rsid w:val="008707C4"/>
    <w:rsid w:val="008707C5"/>
    <w:rsid w:val="008707EF"/>
    <w:rsid w:val="0087081D"/>
    <w:rsid w:val="00870849"/>
    <w:rsid w:val="0087087F"/>
    <w:rsid w:val="008708C4"/>
    <w:rsid w:val="008708F5"/>
    <w:rsid w:val="0087091C"/>
    <w:rsid w:val="008709EE"/>
    <w:rsid w:val="00870A19"/>
    <w:rsid w:val="00870A4F"/>
    <w:rsid w:val="00870A62"/>
    <w:rsid w:val="00870A93"/>
    <w:rsid w:val="00870B09"/>
    <w:rsid w:val="00870B2A"/>
    <w:rsid w:val="00870B96"/>
    <w:rsid w:val="00870BF0"/>
    <w:rsid w:val="00870BF8"/>
    <w:rsid w:val="00870C25"/>
    <w:rsid w:val="00870C54"/>
    <w:rsid w:val="00870CAF"/>
    <w:rsid w:val="00870CE6"/>
    <w:rsid w:val="00870D34"/>
    <w:rsid w:val="00870D4F"/>
    <w:rsid w:val="00870D92"/>
    <w:rsid w:val="00870DC8"/>
    <w:rsid w:val="00870DE0"/>
    <w:rsid w:val="00870DF0"/>
    <w:rsid w:val="00870E89"/>
    <w:rsid w:val="00870EA2"/>
    <w:rsid w:val="00870EE6"/>
    <w:rsid w:val="00870F50"/>
    <w:rsid w:val="00870F52"/>
    <w:rsid w:val="00870F6A"/>
    <w:rsid w:val="00870F9E"/>
    <w:rsid w:val="0087109E"/>
    <w:rsid w:val="0087115D"/>
    <w:rsid w:val="00871170"/>
    <w:rsid w:val="00871183"/>
    <w:rsid w:val="008711CA"/>
    <w:rsid w:val="008712E5"/>
    <w:rsid w:val="0087133B"/>
    <w:rsid w:val="0087142F"/>
    <w:rsid w:val="00871432"/>
    <w:rsid w:val="0087146E"/>
    <w:rsid w:val="00871489"/>
    <w:rsid w:val="00871545"/>
    <w:rsid w:val="00871579"/>
    <w:rsid w:val="00871581"/>
    <w:rsid w:val="0087158A"/>
    <w:rsid w:val="0087163A"/>
    <w:rsid w:val="008716B1"/>
    <w:rsid w:val="008716E6"/>
    <w:rsid w:val="0087170A"/>
    <w:rsid w:val="00871734"/>
    <w:rsid w:val="00871794"/>
    <w:rsid w:val="008717B8"/>
    <w:rsid w:val="008718A7"/>
    <w:rsid w:val="008718E5"/>
    <w:rsid w:val="00871920"/>
    <w:rsid w:val="0087196C"/>
    <w:rsid w:val="008719EA"/>
    <w:rsid w:val="008719EE"/>
    <w:rsid w:val="00871A04"/>
    <w:rsid w:val="00871A4F"/>
    <w:rsid w:val="00871A6D"/>
    <w:rsid w:val="00871B05"/>
    <w:rsid w:val="00871B53"/>
    <w:rsid w:val="00871BB2"/>
    <w:rsid w:val="00871BD3"/>
    <w:rsid w:val="00871C1A"/>
    <w:rsid w:val="00871D1B"/>
    <w:rsid w:val="00871D6F"/>
    <w:rsid w:val="00871DA3"/>
    <w:rsid w:val="00871DFE"/>
    <w:rsid w:val="00871E93"/>
    <w:rsid w:val="00871FF4"/>
    <w:rsid w:val="00872048"/>
    <w:rsid w:val="008720C5"/>
    <w:rsid w:val="008720E2"/>
    <w:rsid w:val="00872160"/>
    <w:rsid w:val="0087216C"/>
    <w:rsid w:val="008721D0"/>
    <w:rsid w:val="00872257"/>
    <w:rsid w:val="008722EB"/>
    <w:rsid w:val="0087235F"/>
    <w:rsid w:val="00872387"/>
    <w:rsid w:val="008723AF"/>
    <w:rsid w:val="0087243B"/>
    <w:rsid w:val="008724E1"/>
    <w:rsid w:val="008724FA"/>
    <w:rsid w:val="008725F9"/>
    <w:rsid w:val="0087267D"/>
    <w:rsid w:val="00872697"/>
    <w:rsid w:val="008726A9"/>
    <w:rsid w:val="008726C4"/>
    <w:rsid w:val="008726D8"/>
    <w:rsid w:val="008727AB"/>
    <w:rsid w:val="00872822"/>
    <w:rsid w:val="008728BE"/>
    <w:rsid w:val="00872989"/>
    <w:rsid w:val="008729A4"/>
    <w:rsid w:val="008729DA"/>
    <w:rsid w:val="00872A3D"/>
    <w:rsid w:val="00872BB7"/>
    <w:rsid w:val="00872C5E"/>
    <w:rsid w:val="00872CB0"/>
    <w:rsid w:val="00872D54"/>
    <w:rsid w:val="00872D75"/>
    <w:rsid w:val="00872DA7"/>
    <w:rsid w:val="00872E6F"/>
    <w:rsid w:val="00872FA9"/>
    <w:rsid w:val="008730A6"/>
    <w:rsid w:val="00873131"/>
    <w:rsid w:val="00873132"/>
    <w:rsid w:val="0087319A"/>
    <w:rsid w:val="00873266"/>
    <w:rsid w:val="008732A7"/>
    <w:rsid w:val="00873313"/>
    <w:rsid w:val="008733BA"/>
    <w:rsid w:val="0087342B"/>
    <w:rsid w:val="008735CF"/>
    <w:rsid w:val="00873634"/>
    <w:rsid w:val="008736F6"/>
    <w:rsid w:val="0087372C"/>
    <w:rsid w:val="00873795"/>
    <w:rsid w:val="008737C6"/>
    <w:rsid w:val="008737FD"/>
    <w:rsid w:val="0087389E"/>
    <w:rsid w:val="008739C4"/>
    <w:rsid w:val="00873B03"/>
    <w:rsid w:val="00873B85"/>
    <w:rsid w:val="00873BFD"/>
    <w:rsid w:val="00873C51"/>
    <w:rsid w:val="00873CDE"/>
    <w:rsid w:val="00873CE5"/>
    <w:rsid w:val="00873D78"/>
    <w:rsid w:val="00873DD4"/>
    <w:rsid w:val="00873E6B"/>
    <w:rsid w:val="00873F00"/>
    <w:rsid w:val="00873F36"/>
    <w:rsid w:val="00874015"/>
    <w:rsid w:val="0087402E"/>
    <w:rsid w:val="00874054"/>
    <w:rsid w:val="008740AE"/>
    <w:rsid w:val="008740C7"/>
    <w:rsid w:val="008740DE"/>
    <w:rsid w:val="00874107"/>
    <w:rsid w:val="00874160"/>
    <w:rsid w:val="00874176"/>
    <w:rsid w:val="00874183"/>
    <w:rsid w:val="008741A9"/>
    <w:rsid w:val="008741D8"/>
    <w:rsid w:val="0087423C"/>
    <w:rsid w:val="00874244"/>
    <w:rsid w:val="008742CA"/>
    <w:rsid w:val="008742ED"/>
    <w:rsid w:val="008743A7"/>
    <w:rsid w:val="00874426"/>
    <w:rsid w:val="00874430"/>
    <w:rsid w:val="008744D7"/>
    <w:rsid w:val="008744DE"/>
    <w:rsid w:val="0087452A"/>
    <w:rsid w:val="008745C8"/>
    <w:rsid w:val="00874688"/>
    <w:rsid w:val="008746BF"/>
    <w:rsid w:val="008746FB"/>
    <w:rsid w:val="00874791"/>
    <w:rsid w:val="00874888"/>
    <w:rsid w:val="008748E9"/>
    <w:rsid w:val="008748F3"/>
    <w:rsid w:val="0087494E"/>
    <w:rsid w:val="0087497E"/>
    <w:rsid w:val="008749C5"/>
    <w:rsid w:val="008749DB"/>
    <w:rsid w:val="008749FC"/>
    <w:rsid w:val="00874B90"/>
    <w:rsid w:val="00874C1D"/>
    <w:rsid w:val="00874C2D"/>
    <w:rsid w:val="00874C85"/>
    <w:rsid w:val="00874CBB"/>
    <w:rsid w:val="00874D0F"/>
    <w:rsid w:val="00874D52"/>
    <w:rsid w:val="00874D5C"/>
    <w:rsid w:val="00874D7F"/>
    <w:rsid w:val="00874DFC"/>
    <w:rsid w:val="00874E16"/>
    <w:rsid w:val="00874E21"/>
    <w:rsid w:val="00874E34"/>
    <w:rsid w:val="00874E6E"/>
    <w:rsid w:val="00874F8A"/>
    <w:rsid w:val="00874FEA"/>
    <w:rsid w:val="00875018"/>
    <w:rsid w:val="00875093"/>
    <w:rsid w:val="00875098"/>
    <w:rsid w:val="008750B4"/>
    <w:rsid w:val="00875110"/>
    <w:rsid w:val="008751B6"/>
    <w:rsid w:val="0087531A"/>
    <w:rsid w:val="008753C4"/>
    <w:rsid w:val="008753C6"/>
    <w:rsid w:val="00875403"/>
    <w:rsid w:val="00875454"/>
    <w:rsid w:val="00875466"/>
    <w:rsid w:val="0087557B"/>
    <w:rsid w:val="0087560E"/>
    <w:rsid w:val="00875656"/>
    <w:rsid w:val="008756A8"/>
    <w:rsid w:val="00875709"/>
    <w:rsid w:val="00875726"/>
    <w:rsid w:val="00875794"/>
    <w:rsid w:val="008757DF"/>
    <w:rsid w:val="008757E0"/>
    <w:rsid w:val="008757EA"/>
    <w:rsid w:val="008757EF"/>
    <w:rsid w:val="00875812"/>
    <w:rsid w:val="00875886"/>
    <w:rsid w:val="008759CA"/>
    <w:rsid w:val="00875A83"/>
    <w:rsid w:val="00875ACA"/>
    <w:rsid w:val="00875BE8"/>
    <w:rsid w:val="00875C45"/>
    <w:rsid w:val="00875C7D"/>
    <w:rsid w:val="00875CBE"/>
    <w:rsid w:val="00875CF6"/>
    <w:rsid w:val="00875D09"/>
    <w:rsid w:val="00875D0B"/>
    <w:rsid w:val="00875E53"/>
    <w:rsid w:val="00875E54"/>
    <w:rsid w:val="00875F5F"/>
    <w:rsid w:val="00875FBA"/>
    <w:rsid w:val="00875FDD"/>
    <w:rsid w:val="008760C6"/>
    <w:rsid w:val="00876140"/>
    <w:rsid w:val="008761A6"/>
    <w:rsid w:val="008761D4"/>
    <w:rsid w:val="00876204"/>
    <w:rsid w:val="00876227"/>
    <w:rsid w:val="0087623B"/>
    <w:rsid w:val="00876278"/>
    <w:rsid w:val="00876296"/>
    <w:rsid w:val="008762C8"/>
    <w:rsid w:val="008762FC"/>
    <w:rsid w:val="0087632D"/>
    <w:rsid w:val="0087633B"/>
    <w:rsid w:val="0087643A"/>
    <w:rsid w:val="008764D4"/>
    <w:rsid w:val="00876524"/>
    <w:rsid w:val="00876543"/>
    <w:rsid w:val="008765C2"/>
    <w:rsid w:val="0087661D"/>
    <w:rsid w:val="00876691"/>
    <w:rsid w:val="008766CE"/>
    <w:rsid w:val="00876732"/>
    <w:rsid w:val="00876743"/>
    <w:rsid w:val="00876A56"/>
    <w:rsid w:val="00876A81"/>
    <w:rsid w:val="00876A84"/>
    <w:rsid w:val="00876A8A"/>
    <w:rsid w:val="00876B40"/>
    <w:rsid w:val="00876B87"/>
    <w:rsid w:val="00876CD8"/>
    <w:rsid w:val="00876CE8"/>
    <w:rsid w:val="00876D0B"/>
    <w:rsid w:val="00876D5F"/>
    <w:rsid w:val="00876DE8"/>
    <w:rsid w:val="00876EC3"/>
    <w:rsid w:val="00876F06"/>
    <w:rsid w:val="00876F16"/>
    <w:rsid w:val="00876F26"/>
    <w:rsid w:val="00876F9E"/>
    <w:rsid w:val="00876FA8"/>
    <w:rsid w:val="00877014"/>
    <w:rsid w:val="00877046"/>
    <w:rsid w:val="0087704A"/>
    <w:rsid w:val="0087709A"/>
    <w:rsid w:val="008770EA"/>
    <w:rsid w:val="00877144"/>
    <w:rsid w:val="0087717E"/>
    <w:rsid w:val="00877196"/>
    <w:rsid w:val="008771FD"/>
    <w:rsid w:val="0087721F"/>
    <w:rsid w:val="00877281"/>
    <w:rsid w:val="0087745D"/>
    <w:rsid w:val="008774AD"/>
    <w:rsid w:val="008774B7"/>
    <w:rsid w:val="008774B9"/>
    <w:rsid w:val="00877572"/>
    <w:rsid w:val="008775CB"/>
    <w:rsid w:val="008775E4"/>
    <w:rsid w:val="008777A8"/>
    <w:rsid w:val="00877802"/>
    <w:rsid w:val="00877804"/>
    <w:rsid w:val="0087793C"/>
    <w:rsid w:val="008779D3"/>
    <w:rsid w:val="00877A1A"/>
    <w:rsid w:val="00877ADA"/>
    <w:rsid w:val="00877CB0"/>
    <w:rsid w:val="00877CE4"/>
    <w:rsid w:val="00877E02"/>
    <w:rsid w:val="00877EB7"/>
    <w:rsid w:val="00877FC0"/>
    <w:rsid w:val="00880043"/>
    <w:rsid w:val="008800CA"/>
    <w:rsid w:val="008800DC"/>
    <w:rsid w:val="008801B9"/>
    <w:rsid w:val="008801CD"/>
    <w:rsid w:val="00880267"/>
    <w:rsid w:val="00880309"/>
    <w:rsid w:val="0088036C"/>
    <w:rsid w:val="00880391"/>
    <w:rsid w:val="008803BC"/>
    <w:rsid w:val="00880412"/>
    <w:rsid w:val="0088041A"/>
    <w:rsid w:val="00880455"/>
    <w:rsid w:val="00880460"/>
    <w:rsid w:val="008804A7"/>
    <w:rsid w:val="008804E6"/>
    <w:rsid w:val="008804FA"/>
    <w:rsid w:val="00880748"/>
    <w:rsid w:val="008807E0"/>
    <w:rsid w:val="00880849"/>
    <w:rsid w:val="00880956"/>
    <w:rsid w:val="00880977"/>
    <w:rsid w:val="008809C2"/>
    <w:rsid w:val="00880BC5"/>
    <w:rsid w:val="00880C18"/>
    <w:rsid w:val="00880C38"/>
    <w:rsid w:val="00880C4D"/>
    <w:rsid w:val="00880CB7"/>
    <w:rsid w:val="00880CE7"/>
    <w:rsid w:val="00880CEE"/>
    <w:rsid w:val="00880D27"/>
    <w:rsid w:val="00880DF2"/>
    <w:rsid w:val="00880F4E"/>
    <w:rsid w:val="00880FC9"/>
    <w:rsid w:val="0088104D"/>
    <w:rsid w:val="008810B3"/>
    <w:rsid w:val="008810EC"/>
    <w:rsid w:val="00881165"/>
    <w:rsid w:val="00881199"/>
    <w:rsid w:val="008811B2"/>
    <w:rsid w:val="0088132E"/>
    <w:rsid w:val="008813A2"/>
    <w:rsid w:val="008813AB"/>
    <w:rsid w:val="00881422"/>
    <w:rsid w:val="00881453"/>
    <w:rsid w:val="00881465"/>
    <w:rsid w:val="00881489"/>
    <w:rsid w:val="008814DC"/>
    <w:rsid w:val="008814E3"/>
    <w:rsid w:val="00881503"/>
    <w:rsid w:val="00881557"/>
    <w:rsid w:val="0088167A"/>
    <w:rsid w:val="00881717"/>
    <w:rsid w:val="00881751"/>
    <w:rsid w:val="00881759"/>
    <w:rsid w:val="0088176E"/>
    <w:rsid w:val="008817D4"/>
    <w:rsid w:val="008817DF"/>
    <w:rsid w:val="00881808"/>
    <w:rsid w:val="00881859"/>
    <w:rsid w:val="0088186C"/>
    <w:rsid w:val="008818E0"/>
    <w:rsid w:val="0088196F"/>
    <w:rsid w:val="008819A6"/>
    <w:rsid w:val="00881A79"/>
    <w:rsid w:val="00881AE8"/>
    <w:rsid w:val="00881BE5"/>
    <w:rsid w:val="00881C7E"/>
    <w:rsid w:val="00881D5C"/>
    <w:rsid w:val="00881D7A"/>
    <w:rsid w:val="00881D7B"/>
    <w:rsid w:val="00881E39"/>
    <w:rsid w:val="00881EA2"/>
    <w:rsid w:val="00881F18"/>
    <w:rsid w:val="00881F5D"/>
    <w:rsid w:val="00882024"/>
    <w:rsid w:val="0088204F"/>
    <w:rsid w:val="008820B2"/>
    <w:rsid w:val="008820E9"/>
    <w:rsid w:val="0088225C"/>
    <w:rsid w:val="00882299"/>
    <w:rsid w:val="008822AC"/>
    <w:rsid w:val="008822D2"/>
    <w:rsid w:val="008822D4"/>
    <w:rsid w:val="00882319"/>
    <w:rsid w:val="00882327"/>
    <w:rsid w:val="008823CF"/>
    <w:rsid w:val="008823FB"/>
    <w:rsid w:val="008824C7"/>
    <w:rsid w:val="008824D0"/>
    <w:rsid w:val="008824EB"/>
    <w:rsid w:val="0088258D"/>
    <w:rsid w:val="00882781"/>
    <w:rsid w:val="0088280F"/>
    <w:rsid w:val="0088281F"/>
    <w:rsid w:val="00882965"/>
    <w:rsid w:val="008829B5"/>
    <w:rsid w:val="00882A73"/>
    <w:rsid w:val="00882AC3"/>
    <w:rsid w:val="00882AC8"/>
    <w:rsid w:val="00882BB3"/>
    <w:rsid w:val="00882BC2"/>
    <w:rsid w:val="00882C5D"/>
    <w:rsid w:val="00882C7D"/>
    <w:rsid w:val="00882C80"/>
    <w:rsid w:val="00882CE6"/>
    <w:rsid w:val="00882E07"/>
    <w:rsid w:val="00882E4D"/>
    <w:rsid w:val="00882ED4"/>
    <w:rsid w:val="00882F06"/>
    <w:rsid w:val="00882F79"/>
    <w:rsid w:val="00882FEF"/>
    <w:rsid w:val="00883069"/>
    <w:rsid w:val="00883192"/>
    <w:rsid w:val="00883249"/>
    <w:rsid w:val="008833BF"/>
    <w:rsid w:val="00883461"/>
    <w:rsid w:val="0088347C"/>
    <w:rsid w:val="008834E2"/>
    <w:rsid w:val="0088358A"/>
    <w:rsid w:val="008835A2"/>
    <w:rsid w:val="008835D4"/>
    <w:rsid w:val="0088367C"/>
    <w:rsid w:val="00883688"/>
    <w:rsid w:val="008836FE"/>
    <w:rsid w:val="008837AD"/>
    <w:rsid w:val="00883875"/>
    <w:rsid w:val="0088390A"/>
    <w:rsid w:val="00883940"/>
    <w:rsid w:val="0088399B"/>
    <w:rsid w:val="00883A1C"/>
    <w:rsid w:val="00883A6D"/>
    <w:rsid w:val="00883A7B"/>
    <w:rsid w:val="00883A7E"/>
    <w:rsid w:val="00883ACB"/>
    <w:rsid w:val="00883B56"/>
    <w:rsid w:val="00883B9C"/>
    <w:rsid w:val="00883BB5"/>
    <w:rsid w:val="00883C63"/>
    <w:rsid w:val="00883CBB"/>
    <w:rsid w:val="00883D8C"/>
    <w:rsid w:val="00883F68"/>
    <w:rsid w:val="00883F9C"/>
    <w:rsid w:val="00883FF3"/>
    <w:rsid w:val="00883FFE"/>
    <w:rsid w:val="00884025"/>
    <w:rsid w:val="00884042"/>
    <w:rsid w:val="00884060"/>
    <w:rsid w:val="00884095"/>
    <w:rsid w:val="0088409B"/>
    <w:rsid w:val="008840A0"/>
    <w:rsid w:val="00884180"/>
    <w:rsid w:val="008841FC"/>
    <w:rsid w:val="00884435"/>
    <w:rsid w:val="008844A1"/>
    <w:rsid w:val="00884613"/>
    <w:rsid w:val="00884689"/>
    <w:rsid w:val="0088479B"/>
    <w:rsid w:val="008847D2"/>
    <w:rsid w:val="0088492E"/>
    <w:rsid w:val="008849BF"/>
    <w:rsid w:val="008849C8"/>
    <w:rsid w:val="00884AB9"/>
    <w:rsid w:val="00884AD3"/>
    <w:rsid w:val="00884AD5"/>
    <w:rsid w:val="00884BB3"/>
    <w:rsid w:val="00884C71"/>
    <w:rsid w:val="00884CCA"/>
    <w:rsid w:val="00884D49"/>
    <w:rsid w:val="00884DE1"/>
    <w:rsid w:val="00884E46"/>
    <w:rsid w:val="00884EC2"/>
    <w:rsid w:val="00884F4C"/>
    <w:rsid w:val="00884F7F"/>
    <w:rsid w:val="0088500E"/>
    <w:rsid w:val="00885052"/>
    <w:rsid w:val="008852A4"/>
    <w:rsid w:val="0088531A"/>
    <w:rsid w:val="00885333"/>
    <w:rsid w:val="00885386"/>
    <w:rsid w:val="00885388"/>
    <w:rsid w:val="008853A7"/>
    <w:rsid w:val="0088541D"/>
    <w:rsid w:val="00885553"/>
    <w:rsid w:val="0088557B"/>
    <w:rsid w:val="008856EF"/>
    <w:rsid w:val="0088578B"/>
    <w:rsid w:val="008857A1"/>
    <w:rsid w:val="008857BA"/>
    <w:rsid w:val="008857D0"/>
    <w:rsid w:val="0088583E"/>
    <w:rsid w:val="00885879"/>
    <w:rsid w:val="0088593F"/>
    <w:rsid w:val="00885992"/>
    <w:rsid w:val="008859AC"/>
    <w:rsid w:val="00885AB3"/>
    <w:rsid w:val="00885AFC"/>
    <w:rsid w:val="00885B9A"/>
    <w:rsid w:val="00885C17"/>
    <w:rsid w:val="00885C29"/>
    <w:rsid w:val="00885C98"/>
    <w:rsid w:val="00885D70"/>
    <w:rsid w:val="00885EBF"/>
    <w:rsid w:val="00885EE6"/>
    <w:rsid w:val="00885F6C"/>
    <w:rsid w:val="00885FD4"/>
    <w:rsid w:val="0088603B"/>
    <w:rsid w:val="0088603F"/>
    <w:rsid w:val="00886137"/>
    <w:rsid w:val="0088619D"/>
    <w:rsid w:val="008861DA"/>
    <w:rsid w:val="00886224"/>
    <w:rsid w:val="00886281"/>
    <w:rsid w:val="00886343"/>
    <w:rsid w:val="0088635A"/>
    <w:rsid w:val="00886376"/>
    <w:rsid w:val="00886471"/>
    <w:rsid w:val="0088647C"/>
    <w:rsid w:val="008864E8"/>
    <w:rsid w:val="00886509"/>
    <w:rsid w:val="00886670"/>
    <w:rsid w:val="00886681"/>
    <w:rsid w:val="00886692"/>
    <w:rsid w:val="0088671B"/>
    <w:rsid w:val="00886741"/>
    <w:rsid w:val="0088679E"/>
    <w:rsid w:val="008867E8"/>
    <w:rsid w:val="008867ED"/>
    <w:rsid w:val="0088681D"/>
    <w:rsid w:val="00886902"/>
    <w:rsid w:val="00886905"/>
    <w:rsid w:val="008869AE"/>
    <w:rsid w:val="00886A1B"/>
    <w:rsid w:val="00886ADD"/>
    <w:rsid w:val="00886B16"/>
    <w:rsid w:val="00886B79"/>
    <w:rsid w:val="00886D9D"/>
    <w:rsid w:val="00886DAA"/>
    <w:rsid w:val="00886EEC"/>
    <w:rsid w:val="00886F01"/>
    <w:rsid w:val="00886FA7"/>
    <w:rsid w:val="00887056"/>
    <w:rsid w:val="00887284"/>
    <w:rsid w:val="008872AB"/>
    <w:rsid w:val="008872D3"/>
    <w:rsid w:val="008872EC"/>
    <w:rsid w:val="00887346"/>
    <w:rsid w:val="00887398"/>
    <w:rsid w:val="0088750B"/>
    <w:rsid w:val="00887536"/>
    <w:rsid w:val="008875B5"/>
    <w:rsid w:val="00887644"/>
    <w:rsid w:val="008876AA"/>
    <w:rsid w:val="0088777F"/>
    <w:rsid w:val="00887782"/>
    <w:rsid w:val="008877A2"/>
    <w:rsid w:val="0088783E"/>
    <w:rsid w:val="008878D5"/>
    <w:rsid w:val="00887983"/>
    <w:rsid w:val="0088799C"/>
    <w:rsid w:val="008879A6"/>
    <w:rsid w:val="008879C8"/>
    <w:rsid w:val="00887A5F"/>
    <w:rsid w:val="00887A77"/>
    <w:rsid w:val="00887AE1"/>
    <w:rsid w:val="00887B2A"/>
    <w:rsid w:val="00887B60"/>
    <w:rsid w:val="00887BC1"/>
    <w:rsid w:val="00887C24"/>
    <w:rsid w:val="00887CC6"/>
    <w:rsid w:val="00887D04"/>
    <w:rsid w:val="00887D3A"/>
    <w:rsid w:val="00887E20"/>
    <w:rsid w:val="00887E54"/>
    <w:rsid w:val="00887E79"/>
    <w:rsid w:val="00887F64"/>
    <w:rsid w:val="00887FB4"/>
    <w:rsid w:val="00890016"/>
    <w:rsid w:val="008901A4"/>
    <w:rsid w:val="008901A9"/>
    <w:rsid w:val="0089023F"/>
    <w:rsid w:val="00890246"/>
    <w:rsid w:val="008902D1"/>
    <w:rsid w:val="00890377"/>
    <w:rsid w:val="008903DA"/>
    <w:rsid w:val="00890404"/>
    <w:rsid w:val="00890450"/>
    <w:rsid w:val="00890462"/>
    <w:rsid w:val="00890470"/>
    <w:rsid w:val="00890474"/>
    <w:rsid w:val="008904BC"/>
    <w:rsid w:val="008904C1"/>
    <w:rsid w:val="008904CE"/>
    <w:rsid w:val="00890540"/>
    <w:rsid w:val="0089056D"/>
    <w:rsid w:val="008905E1"/>
    <w:rsid w:val="00890615"/>
    <w:rsid w:val="0089068C"/>
    <w:rsid w:val="008906A2"/>
    <w:rsid w:val="008906A8"/>
    <w:rsid w:val="008907B0"/>
    <w:rsid w:val="008907D2"/>
    <w:rsid w:val="0089087E"/>
    <w:rsid w:val="0089088F"/>
    <w:rsid w:val="008908E3"/>
    <w:rsid w:val="008908F3"/>
    <w:rsid w:val="0089097F"/>
    <w:rsid w:val="00890A5F"/>
    <w:rsid w:val="00890B51"/>
    <w:rsid w:val="00890BCA"/>
    <w:rsid w:val="00890CE8"/>
    <w:rsid w:val="00890D6A"/>
    <w:rsid w:val="00890E0E"/>
    <w:rsid w:val="00890E6F"/>
    <w:rsid w:val="00890F32"/>
    <w:rsid w:val="00890F4D"/>
    <w:rsid w:val="00891184"/>
    <w:rsid w:val="008911E3"/>
    <w:rsid w:val="008912A3"/>
    <w:rsid w:val="008913D8"/>
    <w:rsid w:val="00891421"/>
    <w:rsid w:val="00891490"/>
    <w:rsid w:val="008914E2"/>
    <w:rsid w:val="00891514"/>
    <w:rsid w:val="0089162B"/>
    <w:rsid w:val="00891640"/>
    <w:rsid w:val="008916E1"/>
    <w:rsid w:val="00891704"/>
    <w:rsid w:val="00891793"/>
    <w:rsid w:val="008917D2"/>
    <w:rsid w:val="00891833"/>
    <w:rsid w:val="00891872"/>
    <w:rsid w:val="008918A4"/>
    <w:rsid w:val="008918D8"/>
    <w:rsid w:val="00891925"/>
    <w:rsid w:val="00891C41"/>
    <w:rsid w:val="00891C7D"/>
    <w:rsid w:val="00891CC1"/>
    <w:rsid w:val="00891D5F"/>
    <w:rsid w:val="00891E51"/>
    <w:rsid w:val="00891EF8"/>
    <w:rsid w:val="00891FE4"/>
    <w:rsid w:val="00892067"/>
    <w:rsid w:val="008921B0"/>
    <w:rsid w:val="00892227"/>
    <w:rsid w:val="00892243"/>
    <w:rsid w:val="0089224A"/>
    <w:rsid w:val="00892263"/>
    <w:rsid w:val="0089228A"/>
    <w:rsid w:val="0089237B"/>
    <w:rsid w:val="008923E6"/>
    <w:rsid w:val="008924B2"/>
    <w:rsid w:val="008924B9"/>
    <w:rsid w:val="008924BC"/>
    <w:rsid w:val="008924D9"/>
    <w:rsid w:val="00892504"/>
    <w:rsid w:val="00892594"/>
    <w:rsid w:val="00892612"/>
    <w:rsid w:val="00892658"/>
    <w:rsid w:val="008926C0"/>
    <w:rsid w:val="008926DB"/>
    <w:rsid w:val="008926FF"/>
    <w:rsid w:val="008927E7"/>
    <w:rsid w:val="00892855"/>
    <w:rsid w:val="00892950"/>
    <w:rsid w:val="008929AE"/>
    <w:rsid w:val="008929CD"/>
    <w:rsid w:val="008929FD"/>
    <w:rsid w:val="00892A56"/>
    <w:rsid w:val="00892A80"/>
    <w:rsid w:val="00892AA7"/>
    <w:rsid w:val="00892AAC"/>
    <w:rsid w:val="00892AB3"/>
    <w:rsid w:val="00892B45"/>
    <w:rsid w:val="00892B66"/>
    <w:rsid w:val="00892BB2"/>
    <w:rsid w:val="00892BF3"/>
    <w:rsid w:val="00892C20"/>
    <w:rsid w:val="00892C37"/>
    <w:rsid w:val="00892CA2"/>
    <w:rsid w:val="00892D1C"/>
    <w:rsid w:val="00892D2E"/>
    <w:rsid w:val="00892D8C"/>
    <w:rsid w:val="00892D8D"/>
    <w:rsid w:val="00892D96"/>
    <w:rsid w:val="00892D9F"/>
    <w:rsid w:val="00892DBA"/>
    <w:rsid w:val="00892ED6"/>
    <w:rsid w:val="0089326F"/>
    <w:rsid w:val="0089327F"/>
    <w:rsid w:val="008932D7"/>
    <w:rsid w:val="00893316"/>
    <w:rsid w:val="0089333C"/>
    <w:rsid w:val="00893357"/>
    <w:rsid w:val="00893385"/>
    <w:rsid w:val="008933FF"/>
    <w:rsid w:val="008935CD"/>
    <w:rsid w:val="008935FC"/>
    <w:rsid w:val="00893794"/>
    <w:rsid w:val="0089382A"/>
    <w:rsid w:val="00893859"/>
    <w:rsid w:val="00893882"/>
    <w:rsid w:val="00893917"/>
    <w:rsid w:val="00893923"/>
    <w:rsid w:val="00893981"/>
    <w:rsid w:val="008939A1"/>
    <w:rsid w:val="00893AE0"/>
    <w:rsid w:val="00893B0C"/>
    <w:rsid w:val="00893BBF"/>
    <w:rsid w:val="00893C6C"/>
    <w:rsid w:val="00893CCA"/>
    <w:rsid w:val="00893CE8"/>
    <w:rsid w:val="00893DC1"/>
    <w:rsid w:val="00893DD5"/>
    <w:rsid w:val="00893E93"/>
    <w:rsid w:val="00893F07"/>
    <w:rsid w:val="00893F1D"/>
    <w:rsid w:val="00893F96"/>
    <w:rsid w:val="008940F2"/>
    <w:rsid w:val="00894148"/>
    <w:rsid w:val="00894164"/>
    <w:rsid w:val="008941A5"/>
    <w:rsid w:val="008941D8"/>
    <w:rsid w:val="008941DA"/>
    <w:rsid w:val="00894292"/>
    <w:rsid w:val="008942DC"/>
    <w:rsid w:val="00894359"/>
    <w:rsid w:val="00894383"/>
    <w:rsid w:val="008943ED"/>
    <w:rsid w:val="0089468A"/>
    <w:rsid w:val="00894739"/>
    <w:rsid w:val="008947C3"/>
    <w:rsid w:val="0089485C"/>
    <w:rsid w:val="008948D3"/>
    <w:rsid w:val="0089492A"/>
    <w:rsid w:val="00894997"/>
    <w:rsid w:val="00894A1B"/>
    <w:rsid w:val="00894AA9"/>
    <w:rsid w:val="00894ADE"/>
    <w:rsid w:val="00894B08"/>
    <w:rsid w:val="00894B18"/>
    <w:rsid w:val="00894B48"/>
    <w:rsid w:val="00894B85"/>
    <w:rsid w:val="00894BB9"/>
    <w:rsid w:val="00894CA3"/>
    <w:rsid w:val="00894CB5"/>
    <w:rsid w:val="00894CFA"/>
    <w:rsid w:val="00894D9E"/>
    <w:rsid w:val="00894DAB"/>
    <w:rsid w:val="00894DAD"/>
    <w:rsid w:val="00894DB7"/>
    <w:rsid w:val="00894F92"/>
    <w:rsid w:val="00894F98"/>
    <w:rsid w:val="00894FF2"/>
    <w:rsid w:val="00894FFB"/>
    <w:rsid w:val="008950BC"/>
    <w:rsid w:val="00895104"/>
    <w:rsid w:val="0089510E"/>
    <w:rsid w:val="00895174"/>
    <w:rsid w:val="008951A7"/>
    <w:rsid w:val="00895233"/>
    <w:rsid w:val="008952D3"/>
    <w:rsid w:val="008952FA"/>
    <w:rsid w:val="0089533C"/>
    <w:rsid w:val="00895382"/>
    <w:rsid w:val="008953F8"/>
    <w:rsid w:val="00895427"/>
    <w:rsid w:val="00895428"/>
    <w:rsid w:val="0089548D"/>
    <w:rsid w:val="008954B4"/>
    <w:rsid w:val="008955EB"/>
    <w:rsid w:val="00895642"/>
    <w:rsid w:val="008956AB"/>
    <w:rsid w:val="00895708"/>
    <w:rsid w:val="008957AE"/>
    <w:rsid w:val="00895808"/>
    <w:rsid w:val="0089586E"/>
    <w:rsid w:val="0089593C"/>
    <w:rsid w:val="00895946"/>
    <w:rsid w:val="00895972"/>
    <w:rsid w:val="008959A8"/>
    <w:rsid w:val="008959F4"/>
    <w:rsid w:val="00895ABC"/>
    <w:rsid w:val="00895BDB"/>
    <w:rsid w:val="00895BED"/>
    <w:rsid w:val="00895C17"/>
    <w:rsid w:val="00895C4E"/>
    <w:rsid w:val="00895C61"/>
    <w:rsid w:val="00895C8C"/>
    <w:rsid w:val="00895CB8"/>
    <w:rsid w:val="00895CF9"/>
    <w:rsid w:val="00895E16"/>
    <w:rsid w:val="00895F08"/>
    <w:rsid w:val="00895F09"/>
    <w:rsid w:val="00895F1A"/>
    <w:rsid w:val="00895F4B"/>
    <w:rsid w:val="0089614D"/>
    <w:rsid w:val="0089626C"/>
    <w:rsid w:val="008962F1"/>
    <w:rsid w:val="008962FC"/>
    <w:rsid w:val="00896362"/>
    <w:rsid w:val="008963FF"/>
    <w:rsid w:val="008964DC"/>
    <w:rsid w:val="008965A1"/>
    <w:rsid w:val="00896637"/>
    <w:rsid w:val="008966FB"/>
    <w:rsid w:val="00896752"/>
    <w:rsid w:val="008967DF"/>
    <w:rsid w:val="00896805"/>
    <w:rsid w:val="0089680C"/>
    <w:rsid w:val="00896870"/>
    <w:rsid w:val="00896906"/>
    <w:rsid w:val="00896942"/>
    <w:rsid w:val="00896964"/>
    <w:rsid w:val="00896987"/>
    <w:rsid w:val="00896A47"/>
    <w:rsid w:val="00896A68"/>
    <w:rsid w:val="00896AFD"/>
    <w:rsid w:val="00896B27"/>
    <w:rsid w:val="00896D02"/>
    <w:rsid w:val="00896D29"/>
    <w:rsid w:val="00896DD6"/>
    <w:rsid w:val="00896E34"/>
    <w:rsid w:val="00896E39"/>
    <w:rsid w:val="00896EA6"/>
    <w:rsid w:val="00896F40"/>
    <w:rsid w:val="0089713F"/>
    <w:rsid w:val="00897157"/>
    <w:rsid w:val="00897161"/>
    <w:rsid w:val="008971E2"/>
    <w:rsid w:val="00897203"/>
    <w:rsid w:val="00897216"/>
    <w:rsid w:val="0089726F"/>
    <w:rsid w:val="008972F9"/>
    <w:rsid w:val="00897304"/>
    <w:rsid w:val="00897318"/>
    <w:rsid w:val="0089732D"/>
    <w:rsid w:val="00897469"/>
    <w:rsid w:val="0089749B"/>
    <w:rsid w:val="008974C2"/>
    <w:rsid w:val="0089766C"/>
    <w:rsid w:val="008977A8"/>
    <w:rsid w:val="008977E9"/>
    <w:rsid w:val="0089781B"/>
    <w:rsid w:val="00897829"/>
    <w:rsid w:val="00897881"/>
    <w:rsid w:val="0089795E"/>
    <w:rsid w:val="008979B7"/>
    <w:rsid w:val="008979C1"/>
    <w:rsid w:val="00897A2E"/>
    <w:rsid w:val="00897A35"/>
    <w:rsid w:val="00897A5B"/>
    <w:rsid w:val="00897AD3"/>
    <w:rsid w:val="00897AD8"/>
    <w:rsid w:val="00897B1A"/>
    <w:rsid w:val="00897B3F"/>
    <w:rsid w:val="00897BA6"/>
    <w:rsid w:val="00897BCC"/>
    <w:rsid w:val="00897C14"/>
    <w:rsid w:val="00897C50"/>
    <w:rsid w:val="00897D4F"/>
    <w:rsid w:val="00897DA3"/>
    <w:rsid w:val="00897DDD"/>
    <w:rsid w:val="00897E42"/>
    <w:rsid w:val="00897F33"/>
    <w:rsid w:val="00897F55"/>
    <w:rsid w:val="008A0039"/>
    <w:rsid w:val="008A009B"/>
    <w:rsid w:val="008A00A2"/>
    <w:rsid w:val="008A0128"/>
    <w:rsid w:val="008A0206"/>
    <w:rsid w:val="008A0251"/>
    <w:rsid w:val="008A0371"/>
    <w:rsid w:val="008A038C"/>
    <w:rsid w:val="008A03D8"/>
    <w:rsid w:val="008A065E"/>
    <w:rsid w:val="008A067A"/>
    <w:rsid w:val="008A06A7"/>
    <w:rsid w:val="008A075C"/>
    <w:rsid w:val="008A0799"/>
    <w:rsid w:val="008A079F"/>
    <w:rsid w:val="008A088A"/>
    <w:rsid w:val="008A08D4"/>
    <w:rsid w:val="008A0A30"/>
    <w:rsid w:val="008A0AB5"/>
    <w:rsid w:val="008A0BEC"/>
    <w:rsid w:val="008A0C0A"/>
    <w:rsid w:val="008A0C21"/>
    <w:rsid w:val="008A0C8B"/>
    <w:rsid w:val="008A0CDA"/>
    <w:rsid w:val="008A0D18"/>
    <w:rsid w:val="008A0D7D"/>
    <w:rsid w:val="008A0DF9"/>
    <w:rsid w:val="008A0EB0"/>
    <w:rsid w:val="008A0EC0"/>
    <w:rsid w:val="008A0F18"/>
    <w:rsid w:val="008A0F8A"/>
    <w:rsid w:val="008A0FF6"/>
    <w:rsid w:val="008A105A"/>
    <w:rsid w:val="008A111C"/>
    <w:rsid w:val="008A119A"/>
    <w:rsid w:val="008A124F"/>
    <w:rsid w:val="008A1257"/>
    <w:rsid w:val="008A12F5"/>
    <w:rsid w:val="008A1400"/>
    <w:rsid w:val="008A1449"/>
    <w:rsid w:val="008A1459"/>
    <w:rsid w:val="008A146C"/>
    <w:rsid w:val="008A1503"/>
    <w:rsid w:val="008A163B"/>
    <w:rsid w:val="008A1653"/>
    <w:rsid w:val="008A16D1"/>
    <w:rsid w:val="008A1722"/>
    <w:rsid w:val="008A1764"/>
    <w:rsid w:val="008A17A0"/>
    <w:rsid w:val="008A188D"/>
    <w:rsid w:val="008A18E2"/>
    <w:rsid w:val="008A1910"/>
    <w:rsid w:val="008A1911"/>
    <w:rsid w:val="008A19D8"/>
    <w:rsid w:val="008A1A69"/>
    <w:rsid w:val="008A1A9E"/>
    <w:rsid w:val="008A1B5A"/>
    <w:rsid w:val="008A1B79"/>
    <w:rsid w:val="008A1BC6"/>
    <w:rsid w:val="008A1C21"/>
    <w:rsid w:val="008A1C23"/>
    <w:rsid w:val="008A1C48"/>
    <w:rsid w:val="008A1D0C"/>
    <w:rsid w:val="008A1DFF"/>
    <w:rsid w:val="008A1E63"/>
    <w:rsid w:val="008A1EF7"/>
    <w:rsid w:val="008A1F09"/>
    <w:rsid w:val="008A1F73"/>
    <w:rsid w:val="008A1F8A"/>
    <w:rsid w:val="008A1FE4"/>
    <w:rsid w:val="008A2079"/>
    <w:rsid w:val="008A215E"/>
    <w:rsid w:val="008A2188"/>
    <w:rsid w:val="008A21CA"/>
    <w:rsid w:val="008A227C"/>
    <w:rsid w:val="008A22BA"/>
    <w:rsid w:val="008A237D"/>
    <w:rsid w:val="008A241F"/>
    <w:rsid w:val="008A2442"/>
    <w:rsid w:val="008A24AD"/>
    <w:rsid w:val="008A2525"/>
    <w:rsid w:val="008A2632"/>
    <w:rsid w:val="008A2700"/>
    <w:rsid w:val="008A2747"/>
    <w:rsid w:val="008A2885"/>
    <w:rsid w:val="008A29CB"/>
    <w:rsid w:val="008A2A09"/>
    <w:rsid w:val="008A2AF4"/>
    <w:rsid w:val="008A2B25"/>
    <w:rsid w:val="008A2BE1"/>
    <w:rsid w:val="008A2C01"/>
    <w:rsid w:val="008A2C42"/>
    <w:rsid w:val="008A2C8E"/>
    <w:rsid w:val="008A2CC5"/>
    <w:rsid w:val="008A2DDC"/>
    <w:rsid w:val="008A2E03"/>
    <w:rsid w:val="008A2E56"/>
    <w:rsid w:val="008A2FA7"/>
    <w:rsid w:val="008A3067"/>
    <w:rsid w:val="008A31BE"/>
    <w:rsid w:val="008A31D1"/>
    <w:rsid w:val="008A31DA"/>
    <w:rsid w:val="008A32B1"/>
    <w:rsid w:val="008A32CB"/>
    <w:rsid w:val="008A350A"/>
    <w:rsid w:val="008A35B8"/>
    <w:rsid w:val="008A3621"/>
    <w:rsid w:val="008A37A9"/>
    <w:rsid w:val="008A37EC"/>
    <w:rsid w:val="008A381C"/>
    <w:rsid w:val="008A3863"/>
    <w:rsid w:val="008A387F"/>
    <w:rsid w:val="008A38A6"/>
    <w:rsid w:val="008A3947"/>
    <w:rsid w:val="008A3993"/>
    <w:rsid w:val="008A3A7F"/>
    <w:rsid w:val="008A3B00"/>
    <w:rsid w:val="008A3B1A"/>
    <w:rsid w:val="008A3B27"/>
    <w:rsid w:val="008A3BD5"/>
    <w:rsid w:val="008A3C7A"/>
    <w:rsid w:val="008A3C95"/>
    <w:rsid w:val="008A3CBA"/>
    <w:rsid w:val="008A3DAC"/>
    <w:rsid w:val="008A3E65"/>
    <w:rsid w:val="008A3E8C"/>
    <w:rsid w:val="008A3EE6"/>
    <w:rsid w:val="008A3F62"/>
    <w:rsid w:val="008A3F81"/>
    <w:rsid w:val="008A3F96"/>
    <w:rsid w:val="008A3FAE"/>
    <w:rsid w:val="008A4052"/>
    <w:rsid w:val="008A40C5"/>
    <w:rsid w:val="008A40D3"/>
    <w:rsid w:val="008A411A"/>
    <w:rsid w:val="008A4131"/>
    <w:rsid w:val="008A415B"/>
    <w:rsid w:val="008A415F"/>
    <w:rsid w:val="008A41E4"/>
    <w:rsid w:val="008A42F1"/>
    <w:rsid w:val="008A4385"/>
    <w:rsid w:val="008A43CB"/>
    <w:rsid w:val="008A4497"/>
    <w:rsid w:val="008A44C4"/>
    <w:rsid w:val="008A4535"/>
    <w:rsid w:val="008A464E"/>
    <w:rsid w:val="008A4677"/>
    <w:rsid w:val="008A46A7"/>
    <w:rsid w:val="008A4718"/>
    <w:rsid w:val="008A4789"/>
    <w:rsid w:val="008A47E9"/>
    <w:rsid w:val="008A48AB"/>
    <w:rsid w:val="008A48D4"/>
    <w:rsid w:val="008A4A1C"/>
    <w:rsid w:val="008A4A5C"/>
    <w:rsid w:val="008A4A95"/>
    <w:rsid w:val="008A4AC4"/>
    <w:rsid w:val="008A4B13"/>
    <w:rsid w:val="008A4B18"/>
    <w:rsid w:val="008A4B5E"/>
    <w:rsid w:val="008A4BC1"/>
    <w:rsid w:val="008A4C6F"/>
    <w:rsid w:val="008A4D71"/>
    <w:rsid w:val="008A4EAE"/>
    <w:rsid w:val="008A4EF3"/>
    <w:rsid w:val="008A4EFD"/>
    <w:rsid w:val="008A50B8"/>
    <w:rsid w:val="008A50FC"/>
    <w:rsid w:val="008A5144"/>
    <w:rsid w:val="008A51A8"/>
    <w:rsid w:val="008A5209"/>
    <w:rsid w:val="008A5213"/>
    <w:rsid w:val="008A52C0"/>
    <w:rsid w:val="008A5301"/>
    <w:rsid w:val="008A5313"/>
    <w:rsid w:val="008A5334"/>
    <w:rsid w:val="008A5374"/>
    <w:rsid w:val="008A53D1"/>
    <w:rsid w:val="008A53F3"/>
    <w:rsid w:val="008A545E"/>
    <w:rsid w:val="008A5463"/>
    <w:rsid w:val="008A548A"/>
    <w:rsid w:val="008A5495"/>
    <w:rsid w:val="008A555A"/>
    <w:rsid w:val="008A55C7"/>
    <w:rsid w:val="008A55E8"/>
    <w:rsid w:val="008A56A0"/>
    <w:rsid w:val="008A56D1"/>
    <w:rsid w:val="008A571A"/>
    <w:rsid w:val="008A57E3"/>
    <w:rsid w:val="008A5846"/>
    <w:rsid w:val="008A5893"/>
    <w:rsid w:val="008A58E6"/>
    <w:rsid w:val="008A5911"/>
    <w:rsid w:val="008A591B"/>
    <w:rsid w:val="008A5994"/>
    <w:rsid w:val="008A5A4A"/>
    <w:rsid w:val="008A5AD4"/>
    <w:rsid w:val="008A5B05"/>
    <w:rsid w:val="008A5B28"/>
    <w:rsid w:val="008A5C14"/>
    <w:rsid w:val="008A5D20"/>
    <w:rsid w:val="008A5D7D"/>
    <w:rsid w:val="008A5D9D"/>
    <w:rsid w:val="008A5E37"/>
    <w:rsid w:val="008A5E5F"/>
    <w:rsid w:val="008A5EA3"/>
    <w:rsid w:val="008A5F24"/>
    <w:rsid w:val="008A5F96"/>
    <w:rsid w:val="008A60D2"/>
    <w:rsid w:val="008A612C"/>
    <w:rsid w:val="008A6166"/>
    <w:rsid w:val="008A6173"/>
    <w:rsid w:val="008A6188"/>
    <w:rsid w:val="008A61D3"/>
    <w:rsid w:val="008A61DA"/>
    <w:rsid w:val="008A6257"/>
    <w:rsid w:val="008A62BA"/>
    <w:rsid w:val="008A62CA"/>
    <w:rsid w:val="008A630A"/>
    <w:rsid w:val="008A6317"/>
    <w:rsid w:val="008A63D7"/>
    <w:rsid w:val="008A6408"/>
    <w:rsid w:val="008A643E"/>
    <w:rsid w:val="008A644C"/>
    <w:rsid w:val="008A6454"/>
    <w:rsid w:val="008A64B0"/>
    <w:rsid w:val="008A6506"/>
    <w:rsid w:val="008A6583"/>
    <w:rsid w:val="008A6643"/>
    <w:rsid w:val="008A6652"/>
    <w:rsid w:val="008A66FC"/>
    <w:rsid w:val="008A6738"/>
    <w:rsid w:val="008A67FB"/>
    <w:rsid w:val="008A6834"/>
    <w:rsid w:val="008A6855"/>
    <w:rsid w:val="008A68E4"/>
    <w:rsid w:val="008A6928"/>
    <w:rsid w:val="008A6943"/>
    <w:rsid w:val="008A695F"/>
    <w:rsid w:val="008A69D4"/>
    <w:rsid w:val="008A69E5"/>
    <w:rsid w:val="008A6A8B"/>
    <w:rsid w:val="008A6B98"/>
    <w:rsid w:val="008A6BB6"/>
    <w:rsid w:val="008A6BC9"/>
    <w:rsid w:val="008A6C57"/>
    <w:rsid w:val="008A6C6F"/>
    <w:rsid w:val="008A6CC6"/>
    <w:rsid w:val="008A6D0D"/>
    <w:rsid w:val="008A6D22"/>
    <w:rsid w:val="008A6D69"/>
    <w:rsid w:val="008A6E39"/>
    <w:rsid w:val="008A6F3B"/>
    <w:rsid w:val="008A6FB4"/>
    <w:rsid w:val="008A6FB5"/>
    <w:rsid w:val="008A70AF"/>
    <w:rsid w:val="008A717E"/>
    <w:rsid w:val="008A7202"/>
    <w:rsid w:val="008A72C8"/>
    <w:rsid w:val="008A7325"/>
    <w:rsid w:val="008A7336"/>
    <w:rsid w:val="008A7387"/>
    <w:rsid w:val="008A739E"/>
    <w:rsid w:val="008A742A"/>
    <w:rsid w:val="008A7447"/>
    <w:rsid w:val="008A750F"/>
    <w:rsid w:val="008A75DB"/>
    <w:rsid w:val="008A7620"/>
    <w:rsid w:val="008A762F"/>
    <w:rsid w:val="008A76C3"/>
    <w:rsid w:val="008A7700"/>
    <w:rsid w:val="008A773D"/>
    <w:rsid w:val="008A78EB"/>
    <w:rsid w:val="008A79AD"/>
    <w:rsid w:val="008A79F8"/>
    <w:rsid w:val="008A7A83"/>
    <w:rsid w:val="008A7AD0"/>
    <w:rsid w:val="008A7B76"/>
    <w:rsid w:val="008A7C97"/>
    <w:rsid w:val="008A7CA7"/>
    <w:rsid w:val="008A7D45"/>
    <w:rsid w:val="008A7D47"/>
    <w:rsid w:val="008A7DA8"/>
    <w:rsid w:val="008A7DD9"/>
    <w:rsid w:val="008A7E35"/>
    <w:rsid w:val="008A7E43"/>
    <w:rsid w:val="008A7FD7"/>
    <w:rsid w:val="008B0018"/>
    <w:rsid w:val="008B0145"/>
    <w:rsid w:val="008B01EB"/>
    <w:rsid w:val="008B01EC"/>
    <w:rsid w:val="008B01FC"/>
    <w:rsid w:val="008B0252"/>
    <w:rsid w:val="008B035E"/>
    <w:rsid w:val="008B0475"/>
    <w:rsid w:val="008B051F"/>
    <w:rsid w:val="008B05BF"/>
    <w:rsid w:val="008B05D4"/>
    <w:rsid w:val="008B0607"/>
    <w:rsid w:val="008B06B8"/>
    <w:rsid w:val="008B06CC"/>
    <w:rsid w:val="008B0737"/>
    <w:rsid w:val="008B07B8"/>
    <w:rsid w:val="008B07D6"/>
    <w:rsid w:val="008B07DB"/>
    <w:rsid w:val="008B08AF"/>
    <w:rsid w:val="008B08CC"/>
    <w:rsid w:val="008B0939"/>
    <w:rsid w:val="008B099B"/>
    <w:rsid w:val="008B09C8"/>
    <w:rsid w:val="008B09DF"/>
    <w:rsid w:val="008B0A35"/>
    <w:rsid w:val="008B0A9A"/>
    <w:rsid w:val="008B0B35"/>
    <w:rsid w:val="008B0C60"/>
    <w:rsid w:val="008B0CD4"/>
    <w:rsid w:val="008B0E25"/>
    <w:rsid w:val="008B0E9D"/>
    <w:rsid w:val="008B0F24"/>
    <w:rsid w:val="008B0F9E"/>
    <w:rsid w:val="008B1033"/>
    <w:rsid w:val="008B106C"/>
    <w:rsid w:val="008B10BD"/>
    <w:rsid w:val="008B113A"/>
    <w:rsid w:val="008B1158"/>
    <w:rsid w:val="008B11A6"/>
    <w:rsid w:val="008B123D"/>
    <w:rsid w:val="008B1277"/>
    <w:rsid w:val="008B1463"/>
    <w:rsid w:val="008B1492"/>
    <w:rsid w:val="008B14FD"/>
    <w:rsid w:val="008B160B"/>
    <w:rsid w:val="008B1616"/>
    <w:rsid w:val="008B1646"/>
    <w:rsid w:val="008B1692"/>
    <w:rsid w:val="008B16B0"/>
    <w:rsid w:val="008B16E2"/>
    <w:rsid w:val="008B16F7"/>
    <w:rsid w:val="008B186D"/>
    <w:rsid w:val="008B1898"/>
    <w:rsid w:val="008B18D8"/>
    <w:rsid w:val="008B1951"/>
    <w:rsid w:val="008B195C"/>
    <w:rsid w:val="008B19EB"/>
    <w:rsid w:val="008B1B01"/>
    <w:rsid w:val="008B1B51"/>
    <w:rsid w:val="008B1B87"/>
    <w:rsid w:val="008B1BBE"/>
    <w:rsid w:val="008B1C0A"/>
    <w:rsid w:val="008B1C8F"/>
    <w:rsid w:val="008B1CDE"/>
    <w:rsid w:val="008B1CF1"/>
    <w:rsid w:val="008B1D04"/>
    <w:rsid w:val="008B1D5C"/>
    <w:rsid w:val="008B1E3B"/>
    <w:rsid w:val="008B1E3C"/>
    <w:rsid w:val="008B1E89"/>
    <w:rsid w:val="008B1F4D"/>
    <w:rsid w:val="008B1FD0"/>
    <w:rsid w:val="008B2049"/>
    <w:rsid w:val="008B20D7"/>
    <w:rsid w:val="008B213F"/>
    <w:rsid w:val="008B2156"/>
    <w:rsid w:val="008B2262"/>
    <w:rsid w:val="008B229B"/>
    <w:rsid w:val="008B2350"/>
    <w:rsid w:val="008B2486"/>
    <w:rsid w:val="008B24E3"/>
    <w:rsid w:val="008B250E"/>
    <w:rsid w:val="008B250F"/>
    <w:rsid w:val="008B276F"/>
    <w:rsid w:val="008B281E"/>
    <w:rsid w:val="008B28B8"/>
    <w:rsid w:val="008B28E2"/>
    <w:rsid w:val="008B2980"/>
    <w:rsid w:val="008B2AA8"/>
    <w:rsid w:val="008B2B3A"/>
    <w:rsid w:val="008B2B48"/>
    <w:rsid w:val="008B2B4F"/>
    <w:rsid w:val="008B2BAE"/>
    <w:rsid w:val="008B2BD0"/>
    <w:rsid w:val="008B2D01"/>
    <w:rsid w:val="008B2D0C"/>
    <w:rsid w:val="008B2D97"/>
    <w:rsid w:val="008B2E9D"/>
    <w:rsid w:val="008B2EF9"/>
    <w:rsid w:val="008B2F05"/>
    <w:rsid w:val="008B2F89"/>
    <w:rsid w:val="008B2FEB"/>
    <w:rsid w:val="008B319B"/>
    <w:rsid w:val="008B31F2"/>
    <w:rsid w:val="008B3203"/>
    <w:rsid w:val="008B3212"/>
    <w:rsid w:val="008B32B2"/>
    <w:rsid w:val="008B3303"/>
    <w:rsid w:val="008B331B"/>
    <w:rsid w:val="008B3333"/>
    <w:rsid w:val="008B33E9"/>
    <w:rsid w:val="008B345D"/>
    <w:rsid w:val="008B3581"/>
    <w:rsid w:val="008B3627"/>
    <w:rsid w:val="008B36E1"/>
    <w:rsid w:val="008B36F1"/>
    <w:rsid w:val="008B3784"/>
    <w:rsid w:val="008B3854"/>
    <w:rsid w:val="008B3881"/>
    <w:rsid w:val="008B3920"/>
    <w:rsid w:val="008B3969"/>
    <w:rsid w:val="008B39A2"/>
    <w:rsid w:val="008B39AC"/>
    <w:rsid w:val="008B3B38"/>
    <w:rsid w:val="008B3C5F"/>
    <w:rsid w:val="008B3D2C"/>
    <w:rsid w:val="008B3D64"/>
    <w:rsid w:val="008B3E07"/>
    <w:rsid w:val="008B3E27"/>
    <w:rsid w:val="008B3E4D"/>
    <w:rsid w:val="008B3E5C"/>
    <w:rsid w:val="008B3EC5"/>
    <w:rsid w:val="008B3EFF"/>
    <w:rsid w:val="008B3F37"/>
    <w:rsid w:val="008B3F59"/>
    <w:rsid w:val="008B3F64"/>
    <w:rsid w:val="008B3F8F"/>
    <w:rsid w:val="008B3F96"/>
    <w:rsid w:val="008B3FBE"/>
    <w:rsid w:val="008B4000"/>
    <w:rsid w:val="008B402D"/>
    <w:rsid w:val="008B40E3"/>
    <w:rsid w:val="008B40F0"/>
    <w:rsid w:val="008B40FB"/>
    <w:rsid w:val="008B411E"/>
    <w:rsid w:val="008B41CD"/>
    <w:rsid w:val="008B42A0"/>
    <w:rsid w:val="008B431C"/>
    <w:rsid w:val="008B4359"/>
    <w:rsid w:val="008B4360"/>
    <w:rsid w:val="008B438D"/>
    <w:rsid w:val="008B4390"/>
    <w:rsid w:val="008B4428"/>
    <w:rsid w:val="008B44E8"/>
    <w:rsid w:val="008B45F6"/>
    <w:rsid w:val="008B4624"/>
    <w:rsid w:val="008B4699"/>
    <w:rsid w:val="008B46CD"/>
    <w:rsid w:val="008B471D"/>
    <w:rsid w:val="008B488C"/>
    <w:rsid w:val="008B48A2"/>
    <w:rsid w:val="008B490C"/>
    <w:rsid w:val="008B4992"/>
    <w:rsid w:val="008B49A4"/>
    <w:rsid w:val="008B4A93"/>
    <w:rsid w:val="008B4B76"/>
    <w:rsid w:val="008B4B8B"/>
    <w:rsid w:val="008B4C36"/>
    <w:rsid w:val="008B4C4C"/>
    <w:rsid w:val="008B4CD3"/>
    <w:rsid w:val="008B4D15"/>
    <w:rsid w:val="008B4DA4"/>
    <w:rsid w:val="008B4DBC"/>
    <w:rsid w:val="008B4DF8"/>
    <w:rsid w:val="008B4DFC"/>
    <w:rsid w:val="008B4E1F"/>
    <w:rsid w:val="008B4E5C"/>
    <w:rsid w:val="008B4ECA"/>
    <w:rsid w:val="008B4EDE"/>
    <w:rsid w:val="008B4F5C"/>
    <w:rsid w:val="008B4F5F"/>
    <w:rsid w:val="008B4F7A"/>
    <w:rsid w:val="008B4FA5"/>
    <w:rsid w:val="008B500A"/>
    <w:rsid w:val="008B504B"/>
    <w:rsid w:val="008B512A"/>
    <w:rsid w:val="008B51A2"/>
    <w:rsid w:val="008B524B"/>
    <w:rsid w:val="008B5313"/>
    <w:rsid w:val="008B5482"/>
    <w:rsid w:val="008B55BC"/>
    <w:rsid w:val="008B55D4"/>
    <w:rsid w:val="008B560B"/>
    <w:rsid w:val="008B5643"/>
    <w:rsid w:val="008B5695"/>
    <w:rsid w:val="008B573B"/>
    <w:rsid w:val="008B573C"/>
    <w:rsid w:val="008B57EB"/>
    <w:rsid w:val="008B5A4B"/>
    <w:rsid w:val="008B5AF5"/>
    <w:rsid w:val="008B5CA1"/>
    <w:rsid w:val="008B5CBD"/>
    <w:rsid w:val="008B5CEA"/>
    <w:rsid w:val="008B5DEE"/>
    <w:rsid w:val="008B5E12"/>
    <w:rsid w:val="008B5E22"/>
    <w:rsid w:val="008B5E59"/>
    <w:rsid w:val="008B5FD8"/>
    <w:rsid w:val="008B6117"/>
    <w:rsid w:val="008B6118"/>
    <w:rsid w:val="008B6133"/>
    <w:rsid w:val="008B619C"/>
    <w:rsid w:val="008B61EB"/>
    <w:rsid w:val="008B6235"/>
    <w:rsid w:val="008B62B5"/>
    <w:rsid w:val="008B630A"/>
    <w:rsid w:val="008B6399"/>
    <w:rsid w:val="008B63C3"/>
    <w:rsid w:val="008B63F4"/>
    <w:rsid w:val="008B641D"/>
    <w:rsid w:val="008B6479"/>
    <w:rsid w:val="008B64A8"/>
    <w:rsid w:val="008B64B2"/>
    <w:rsid w:val="008B64D1"/>
    <w:rsid w:val="008B6601"/>
    <w:rsid w:val="008B67A7"/>
    <w:rsid w:val="008B67BC"/>
    <w:rsid w:val="008B681E"/>
    <w:rsid w:val="008B682F"/>
    <w:rsid w:val="008B683C"/>
    <w:rsid w:val="008B6847"/>
    <w:rsid w:val="008B68CC"/>
    <w:rsid w:val="008B68E8"/>
    <w:rsid w:val="008B698E"/>
    <w:rsid w:val="008B69EE"/>
    <w:rsid w:val="008B6A12"/>
    <w:rsid w:val="008B6A4A"/>
    <w:rsid w:val="008B6AE8"/>
    <w:rsid w:val="008B6C14"/>
    <w:rsid w:val="008B6C32"/>
    <w:rsid w:val="008B6CD3"/>
    <w:rsid w:val="008B6DA9"/>
    <w:rsid w:val="008B6E48"/>
    <w:rsid w:val="008B6E75"/>
    <w:rsid w:val="008B6EAB"/>
    <w:rsid w:val="008B6EC3"/>
    <w:rsid w:val="008B6F04"/>
    <w:rsid w:val="008B6F65"/>
    <w:rsid w:val="008B6FCA"/>
    <w:rsid w:val="008B7009"/>
    <w:rsid w:val="008B7045"/>
    <w:rsid w:val="008B7075"/>
    <w:rsid w:val="008B7167"/>
    <w:rsid w:val="008B7182"/>
    <w:rsid w:val="008B71F4"/>
    <w:rsid w:val="008B729D"/>
    <w:rsid w:val="008B72D1"/>
    <w:rsid w:val="008B7384"/>
    <w:rsid w:val="008B7396"/>
    <w:rsid w:val="008B7436"/>
    <w:rsid w:val="008B759D"/>
    <w:rsid w:val="008B7683"/>
    <w:rsid w:val="008B76A8"/>
    <w:rsid w:val="008B770A"/>
    <w:rsid w:val="008B7766"/>
    <w:rsid w:val="008B77E4"/>
    <w:rsid w:val="008B7828"/>
    <w:rsid w:val="008B78FE"/>
    <w:rsid w:val="008B7944"/>
    <w:rsid w:val="008B79D8"/>
    <w:rsid w:val="008B79DE"/>
    <w:rsid w:val="008B7BAB"/>
    <w:rsid w:val="008B7C03"/>
    <w:rsid w:val="008B7C82"/>
    <w:rsid w:val="008B7CC2"/>
    <w:rsid w:val="008B7E68"/>
    <w:rsid w:val="008B7E6E"/>
    <w:rsid w:val="008B7F36"/>
    <w:rsid w:val="008C0008"/>
    <w:rsid w:val="008C00AA"/>
    <w:rsid w:val="008C023A"/>
    <w:rsid w:val="008C02EB"/>
    <w:rsid w:val="008C0317"/>
    <w:rsid w:val="008C0318"/>
    <w:rsid w:val="008C032D"/>
    <w:rsid w:val="008C032E"/>
    <w:rsid w:val="008C0342"/>
    <w:rsid w:val="008C03CB"/>
    <w:rsid w:val="008C047D"/>
    <w:rsid w:val="008C04A9"/>
    <w:rsid w:val="008C04EE"/>
    <w:rsid w:val="008C04FB"/>
    <w:rsid w:val="008C064F"/>
    <w:rsid w:val="008C067E"/>
    <w:rsid w:val="008C0715"/>
    <w:rsid w:val="008C071C"/>
    <w:rsid w:val="008C077F"/>
    <w:rsid w:val="008C078F"/>
    <w:rsid w:val="008C07C6"/>
    <w:rsid w:val="008C07FE"/>
    <w:rsid w:val="008C0894"/>
    <w:rsid w:val="008C08BE"/>
    <w:rsid w:val="008C094F"/>
    <w:rsid w:val="008C0970"/>
    <w:rsid w:val="008C0AAC"/>
    <w:rsid w:val="008C0B60"/>
    <w:rsid w:val="008C0BAE"/>
    <w:rsid w:val="008C0C14"/>
    <w:rsid w:val="008C0C9B"/>
    <w:rsid w:val="008C0CB1"/>
    <w:rsid w:val="008C0CE8"/>
    <w:rsid w:val="008C0D49"/>
    <w:rsid w:val="008C0DCC"/>
    <w:rsid w:val="008C0E0F"/>
    <w:rsid w:val="008C0E5F"/>
    <w:rsid w:val="008C0EDB"/>
    <w:rsid w:val="008C0FAD"/>
    <w:rsid w:val="008C0FD4"/>
    <w:rsid w:val="008C1022"/>
    <w:rsid w:val="008C1027"/>
    <w:rsid w:val="008C10AF"/>
    <w:rsid w:val="008C11B2"/>
    <w:rsid w:val="008C11E2"/>
    <w:rsid w:val="008C11FC"/>
    <w:rsid w:val="008C1212"/>
    <w:rsid w:val="008C12B1"/>
    <w:rsid w:val="008C12C2"/>
    <w:rsid w:val="008C13D0"/>
    <w:rsid w:val="008C1412"/>
    <w:rsid w:val="008C143E"/>
    <w:rsid w:val="008C1458"/>
    <w:rsid w:val="008C14EC"/>
    <w:rsid w:val="008C1652"/>
    <w:rsid w:val="008C177C"/>
    <w:rsid w:val="008C17B8"/>
    <w:rsid w:val="008C17E2"/>
    <w:rsid w:val="008C1930"/>
    <w:rsid w:val="008C19EE"/>
    <w:rsid w:val="008C1A48"/>
    <w:rsid w:val="008C1A53"/>
    <w:rsid w:val="008C1A59"/>
    <w:rsid w:val="008C1B4C"/>
    <w:rsid w:val="008C1BDA"/>
    <w:rsid w:val="008C1C69"/>
    <w:rsid w:val="008C1CD3"/>
    <w:rsid w:val="008C1E02"/>
    <w:rsid w:val="008C1E17"/>
    <w:rsid w:val="008C1E85"/>
    <w:rsid w:val="008C1E8A"/>
    <w:rsid w:val="008C1EAC"/>
    <w:rsid w:val="008C1F9A"/>
    <w:rsid w:val="008C1FB0"/>
    <w:rsid w:val="008C1FF8"/>
    <w:rsid w:val="008C2036"/>
    <w:rsid w:val="008C2037"/>
    <w:rsid w:val="008C203B"/>
    <w:rsid w:val="008C21BE"/>
    <w:rsid w:val="008C220D"/>
    <w:rsid w:val="008C2245"/>
    <w:rsid w:val="008C2246"/>
    <w:rsid w:val="008C22A4"/>
    <w:rsid w:val="008C22DD"/>
    <w:rsid w:val="008C235D"/>
    <w:rsid w:val="008C23C2"/>
    <w:rsid w:val="008C2431"/>
    <w:rsid w:val="008C2449"/>
    <w:rsid w:val="008C2480"/>
    <w:rsid w:val="008C24E3"/>
    <w:rsid w:val="008C250A"/>
    <w:rsid w:val="008C250D"/>
    <w:rsid w:val="008C2591"/>
    <w:rsid w:val="008C259C"/>
    <w:rsid w:val="008C25FD"/>
    <w:rsid w:val="008C262F"/>
    <w:rsid w:val="008C276E"/>
    <w:rsid w:val="008C27CA"/>
    <w:rsid w:val="008C287F"/>
    <w:rsid w:val="008C2936"/>
    <w:rsid w:val="008C2A72"/>
    <w:rsid w:val="008C2B2F"/>
    <w:rsid w:val="008C2B69"/>
    <w:rsid w:val="008C2B73"/>
    <w:rsid w:val="008C2D36"/>
    <w:rsid w:val="008C2FB1"/>
    <w:rsid w:val="008C2FE6"/>
    <w:rsid w:val="008C3078"/>
    <w:rsid w:val="008C312C"/>
    <w:rsid w:val="008C31FE"/>
    <w:rsid w:val="008C3262"/>
    <w:rsid w:val="008C3268"/>
    <w:rsid w:val="008C3288"/>
    <w:rsid w:val="008C332B"/>
    <w:rsid w:val="008C3362"/>
    <w:rsid w:val="008C3363"/>
    <w:rsid w:val="008C3366"/>
    <w:rsid w:val="008C35CA"/>
    <w:rsid w:val="008C3667"/>
    <w:rsid w:val="008C3682"/>
    <w:rsid w:val="008C3690"/>
    <w:rsid w:val="008C36B7"/>
    <w:rsid w:val="008C3768"/>
    <w:rsid w:val="008C378C"/>
    <w:rsid w:val="008C3862"/>
    <w:rsid w:val="008C3885"/>
    <w:rsid w:val="008C38EA"/>
    <w:rsid w:val="008C3929"/>
    <w:rsid w:val="008C3942"/>
    <w:rsid w:val="008C3962"/>
    <w:rsid w:val="008C3965"/>
    <w:rsid w:val="008C39A5"/>
    <w:rsid w:val="008C39E0"/>
    <w:rsid w:val="008C3A0B"/>
    <w:rsid w:val="008C3A8B"/>
    <w:rsid w:val="008C3ABE"/>
    <w:rsid w:val="008C3BCA"/>
    <w:rsid w:val="008C3BD7"/>
    <w:rsid w:val="008C3CC4"/>
    <w:rsid w:val="008C3CE6"/>
    <w:rsid w:val="008C3D20"/>
    <w:rsid w:val="008C3D74"/>
    <w:rsid w:val="008C3DB9"/>
    <w:rsid w:val="008C3DCF"/>
    <w:rsid w:val="008C3E9D"/>
    <w:rsid w:val="008C3EC9"/>
    <w:rsid w:val="008C3F3C"/>
    <w:rsid w:val="008C3F63"/>
    <w:rsid w:val="008C4156"/>
    <w:rsid w:val="008C4163"/>
    <w:rsid w:val="008C4172"/>
    <w:rsid w:val="008C41E1"/>
    <w:rsid w:val="008C4250"/>
    <w:rsid w:val="008C428D"/>
    <w:rsid w:val="008C42BE"/>
    <w:rsid w:val="008C437D"/>
    <w:rsid w:val="008C441B"/>
    <w:rsid w:val="008C4455"/>
    <w:rsid w:val="008C4554"/>
    <w:rsid w:val="008C45E8"/>
    <w:rsid w:val="008C465D"/>
    <w:rsid w:val="008C4704"/>
    <w:rsid w:val="008C4722"/>
    <w:rsid w:val="008C475C"/>
    <w:rsid w:val="008C4841"/>
    <w:rsid w:val="008C486A"/>
    <w:rsid w:val="008C48AB"/>
    <w:rsid w:val="008C48C8"/>
    <w:rsid w:val="008C4902"/>
    <w:rsid w:val="008C494A"/>
    <w:rsid w:val="008C495C"/>
    <w:rsid w:val="008C49E6"/>
    <w:rsid w:val="008C49EF"/>
    <w:rsid w:val="008C4A12"/>
    <w:rsid w:val="008C4A18"/>
    <w:rsid w:val="008C4A59"/>
    <w:rsid w:val="008C4A98"/>
    <w:rsid w:val="008C4AB3"/>
    <w:rsid w:val="008C4AE9"/>
    <w:rsid w:val="008C4B05"/>
    <w:rsid w:val="008C4C2C"/>
    <w:rsid w:val="008C4C89"/>
    <w:rsid w:val="008C4CA3"/>
    <w:rsid w:val="008C4D07"/>
    <w:rsid w:val="008C4D1C"/>
    <w:rsid w:val="008C4D2D"/>
    <w:rsid w:val="008C4D66"/>
    <w:rsid w:val="008C4E40"/>
    <w:rsid w:val="008C4E57"/>
    <w:rsid w:val="008C4EFE"/>
    <w:rsid w:val="008C4F80"/>
    <w:rsid w:val="008C4FA7"/>
    <w:rsid w:val="008C504B"/>
    <w:rsid w:val="008C5053"/>
    <w:rsid w:val="008C5055"/>
    <w:rsid w:val="008C50C2"/>
    <w:rsid w:val="008C50FE"/>
    <w:rsid w:val="008C5192"/>
    <w:rsid w:val="008C51F9"/>
    <w:rsid w:val="008C5264"/>
    <w:rsid w:val="008C53F3"/>
    <w:rsid w:val="008C55D3"/>
    <w:rsid w:val="008C55DE"/>
    <w:rsid w:val="008C565C"/>
    <w:rsid w:val="008C5698"/>
    <w:rsid w:val="008C56A3"/>
    <w:rsid w:val="008C5809"/>
    <w:rsid w:val="008C5842"/>
    <w:rsid w:val="008C5923"/>
    <w:rsid w:val="008C5939"/>
    <w:rsid w:val="008C594C"/>
    <w:rsid w:val="008C597F"/>
    <w:rsid w:val="008C59D8"/>
    <w:rsid w:val="008C5A9E"/>
    <w:rsid w:val="008C5AC3"/>
    <w:rsid w:val="008C5AC7"/>
    <w:rsid w:val="008C5C37"/>
    <w:rsid w:val="008C5CC8"/>
    <w:rsid w:val="008C5D78"/>
    <w:rsid w:val="008C5EA8"/>
    <w:rsid w:val="008C5F56"/>
    <w:rsid w:val="008C6043"/>
    <w:rsid w:val="008C6067"/>
    <w:rsid w:val="008C6080"/>
    <w:rsid w:val="008C615B"/>
    <w:rsid w:val="008C6189"/>
    <w:rsid w:val="008C6199"/>
    <w:rsid w:val="008C61E3"/>
    <w:rsid w:val="008C62A4"/>
    <w:rsid w:val="008C651C"/>
    <w:rsid w:val="008C6533"/>
    <w:rsid w:val="008C6560"/>
    <w:rsid w:val="008C65B4"/>
    <w:rsid w:val="008C65D4"/>
    <w:rsid w:val="008C6610"/>
    <w:rsid w:val="008C6635"/>
    <w:rsid w:val="008C6639"/>
    <w:rsid w:val="008C6675"/>
    <w:rsid w:val="008C6774"/>
    <w:rsid w:val="008C678F"/>
    <w:rsid w:val="008C67EC"/>
    <w:rsid w:val="008C6912"/>
    <w:rsid w:val="008C69C9"/>
    <w:rsid w:val="008C6A22"/>
    <w:rsid w:val="008C6AA2"/>
    <w:rsid w:val="008C6B7B"/>
    <w:rsid w:val="008C6C5B"/>
    <w:rsid w:val="008C6CA9"/>
    <w:rsid w:val="008C6D66"/>
    <w:rsid w:val="008C6DC2"/>
    <w:rsid w:val="008C6DEB"/>
    <w:rsid w:val="008C6E84"/>
    <w:rsid w:val="008C6F35"/>
    <w:rsid w:val="008C6F7F"/>
    <w:rsid w:val="008C6F89"/>
    <w:rsid w:val="008C6FB4"/>
    <w:rsid w:val="008C6FCC"/>
    <w:rsid w:val="008C7077"/>
    <w:rsid w:val="008C7112"/>
    <w:rsid w:val="008C7155"/>
    <w:rsid w:val="008C717D"/>
    <w:rsid w:val="008C719B"/>
    <w:rsid w:val="008C71A1"/>
    <w:rsid w:val="008C72CC"/>
    <w:rsid w:val="008C72CF"/>
    <w:rsid w:val="008C7309"/>
    <w:rsid w:val="008C73CD"/>
    <w:rsid w:val="008C743E"/>
    <w:rsid w:val="008C7456"/>
    <w:rsid w:val="008C748E"/>
    <w:rsid w:val="008C757E"/>
    <w:rsid w:val="008C75A3"/>
    <w:rsid w:val="008C75B9"/>
    <w:rsid w:val="008C75BC"/>
    <w:rsid w:val="008C75EC"/>
    <w:rsid w:val="008C76E9"/>
    <w:rsid w:val="008C773F"/>
    <w:rsid w:val="008C78F8"/>
    <w:rsid w:val="008C793C"/>
    <w:rsid w:val="008C7948"/>
    <w:rsid w:val="008C797D"/>
    <w:rsid w:val="008C79DF"/>
    <w:rsid w:val="008C7A32"/>
    <w:rsid w:val="008C7AA7"/>
    <w:rsid w:val="008C7AC4"/>
    <w:rsid w:val="008C7B2D"/>
    <w:rsid w:val="008C7C7A"/>
    <w:rsid w:val="008C7CC7"/>
    <w:rsid w:val="008C7D00"/>
    <w:rsid w:val="008C7D18"/>
    <w:rsid w:val="008C7D33"/>
    <w:rsid w:val="008C7D64"/>
    <w:rsid w:val="008C7D8E"/>
    <w:rsid w:val="008C7DC0"/>
    <w:rsid w:val="008C7E01"/>
    <w:rsid w:val="008C7E3C"/>
    <w:rsid w:val="008C7F26"/>
    <w:rsid w:val="008C7F73"/>
    <w:rsid w:val="008C7F7A"/>
    <w:rsid w:val="008C7FF2"/>
    <w:rsid w:val="008D00A3"/>
    <w:rsid w:val="008D0107"/>
    <w:rsid w:val="008D016F"/>
    <w:rsid w:val="008D0173"/>
    <w:rsid w:val="008D01C7"/>
    <w:rsid w:val="008D024A"/>
    <w:rsid w:val="008D0308"/>
    <w:rsid w:val="008D0390"/>
    <w:rsid w:val="008D039A"/>
    <w:rsid w:val="008D0444"/>
    <w:rsid w:val="008D04D3"/>
    <w:rsid w:val="008D04D5"/>
    <w:rsid w:val="008D05C8"/>
    <w:rsid w:val="008D060B"/>
    <w:rsid w:val="008D062B"/>
    <w:rsid w:val="008D0675"/>
    <w:rsid w:val="008D0685"/>
    <w:rsid w:val="008D06C5"/>
    <w:rsid w:val="008D0787"/>
    <w:rsid w:val="008D0807"/>
    <w:rsid w:val="008D0A25"/>
    <w:rsid w:val="008D0A94"/>
    <w:rsid w:val="008D0A9F"/>
    <w:rsid w:val="008D0B27"/>
    <w:rsid w:val="008D0B63"/>
    <w:rsid w:val="008D0B89"/>
    <w:rsid w:val="008D0BB5"/>
    <w:rsid w:val="008D0BDA"/>
    <w:rsid w:val="008D0C61"/>
    <w:rsid w:val="008D0C70"/>
    <w:rsid w:val="008D0C87"/>
    <w:rsid w:val="008D0CBB"/>
    <w:rsid w:val="008D0D51"/>
    <w:rsid w:val="008D0DCC"/>
    <w:rsid w:val="008D0E4C"/>
    <w:rsid w:val="008D0E54"/>
    <w:rsid w:val="008D0FBA"/>
    <w:rsid w:val="008D112B"/>
    <w:rsid w:val="008D1154"/>
    <w:rsid w:val="008D11EE"/>
    <w:rsid w:val="008D129A"/>
    <w:rsid w:val="008D1317"/>
    <w:rsid w:val="008D13C8"/>
    <w:rsid w:val="008D13CE"/>
    <w:rsid w:val="008D13F4"/>
    <w:rsid w:val="008D142E"/>
    <w:rsid w:val="008D14B3"/>
    <w:rsid w:val="008D1530"/>
    <w:rsid w:val="008D159D"/>
    <w:rsid w:val="008D1647"/>
    <w:rsid w:val="008D16A7"/>
    <w:rsid w:val="008D1750"/>
    <w:rsid w:val="008D177E"/>
    <w:rsid w:val="008D17D5"/>
    <w:rsid w:val="008D18AD"/>
    <w:rsid w:val="008D18B5"/>
    <w:rsid w:val="008D18C8"/>
    <w:rsid w:val="008D1954"/>
    <w:rsid w:val="008D1AC0"/>
    <w:rsid w:val="008D1AD2"/>
    <w:rsid w:val="008D1B2B"/>
    <w:rsid w:val="008D1BA2"/>
    <w:rsid w:val="008D1C28"/>
    <w:rsid w:val="008D1C57"/>
    <w:rsid w:val="008D1C8C"/>
    <w:rsid w:val="008D1CC9"/>
    <w:rsid w:val="008D1D52"/>
    <w:rsid w:val="008D1D92"/>
    <w:rsid w:val="008D1DD1"/>
    <w:rsid w:val="008D1E4C"/>
    <w:rsid w:val="008D1F64"/>
    <w:rsid w:val="008D1FC2"/>
    <w:rsid w:val="008D204F"/>
    <w:rsid w:val="008D2061"/>
    <w:rsid w:val="008D20A1"/>
    <w:rsid w:val="008D20FA"/>
    <w:rsid w:val="008D2108"/>
    <w:rsid w:val="008D219A"/>
    <w:rsid w:val="008D223F"/>
    <w:rsid w:val="008D2247"/>
    <w:rsid w:val="008D230A"/>
    <w:rsid w:val="008D245D"/>
    <w:rsid w:val="008D2575"/>
    <w:rsid w:val="008D26E3"/>
    <w:rsid w:val="008D273F"/>
    <w:rsid w:val="008D27A2"/>
    <w:rsid w:val="008D280D"/>
    <w:rsid w:val="008D2886"/>
    <w:rsid w:val="008D29A2"/>
    <w:rsid w:val="008D29DB"/>
    <w:rsid w:val="008D2A0F"/>
    <w:rsid w:val="008D2B55"/>
    <w:rsid w:val="008D2BB9"/>
    <w:rsid w:val="008D2BC5"/>
    <w:rsid w:val="008D2BDB"/>
    <w:rsid w:val="008D2CA9"/>
    <w:rsid w:val="008D2CDD"/>
    <w:rsid w:val="008D2D6F"/>
    <w:rsid w:val="008D2DA7"/>
    <w:rsid w:val="008D2DDF"/>
    <w:rsid w:val="008D2E78"/>
    <w:rsid w:val="008D2EC5"/>
    <w:rsid w:val="008D2ED6"/>
    <w:rsid w:val="008D2F0E"/>
    <w:rsid w:val="008D2F15"/>
    <w:rsid w:val="008D2F8A"/>
    <w:rsid w:val="008D2F9A"/>
    <w:rsid w:val="008D2FB7"/>
    <w:rsid w:val="008D3050"/>
    <w:rsid w:val="008D3052"/>
    <w:rsid w:val="008D30B7"/>
    <w:rsid w:val="008D30BB"/>
    <w:rsid w:val="008D30E2"/>
    <w:rsid w:val="008D3129"/>
    <w:rsid w:val="008D31FD"/>
    <w:rsid w:val="008D32A1"/>
    <w:rsid w:val="008D333D"/>
    <w:rsid w:val="008D333E"/>
    <w:rsid w:val="008D3408"/>
    <w:rsid w:val="008D3437"/>
    <w:rsid w:val="008D343D"/>
    <w:rsid w:val="008D345F"/>
    <w:rsid w:val="008D3487"/>
    <w:rsid w:val="008D34F4"/>
    <w:rsid w:val="008D350C"/>
    <w:rsid w:val="008D35ED"/>
    <w:rsid w:val="008D363D"/>
    <w:rsid w:val="008D3651"/>
    <w:rsid w:val="008D3677"/>
    <w:rsid w:val="008D3707"/>
    <w:rsid w:val="008D3749"/>
    <w:rsid w:val="008D375E"/>
    <w:rsid w:val="008D37A6"/>
    <w:rsid w:val="008D37E5"/>
    <w:rsid w:val="008D3845"/>
    <w:rsid w:val="008D3860"/>
    <w:rsid w:val="008D3877"/>
    <w:rsid w:val="008D38A5"/>
    <w:rsid w:val="008D391D"/>
    <w:rsid w:val="008D394D"/>
    <w:rsid w:val="008D3A0B"/>
    <w:rsid w:val="008D3AA5"/>
    <w:rsid w:val="008D3B46"/>
    <w:rsid w:val="008D3C36"/>
    <w:rsid w:val="008D3C56"/>
    <w:rsid w:val="008D3CE0"/>
    <w:rsid w:val="008D3D09"/>
    <w:rsid w:val="008D3D66"/>
    <w:rsid w:val="008D3D95"/>
    <w:rsid w:val="008D3DAB"/>
    <w:rsid w:val="008D3DC2"/>
    <w:rsid w:val="008D3DEB"/>
    <w:rsid w:val="008D3DEF"/>
    <w:rsid w:val="008D3E04"/>
    <w:rsid w:val="008D3E12"/>
    <w:rsid w:val="008D3E37"/>
    <w:rsid w:val="008D3E47"/>
    <w:rsid w:val="008D3E62"/>
    <w:rsid w:val="008D3FB3"/>
    <w:rsid w:val="008D4006"/>
    <w:rsid w:val="008D4053"/>
    <w:rsid w:val="008D40BF"/>
    <w:rsid w:val="008D4123"/>
    <w:rsid w:val="008D4189"/>
    <w:rsid w:val="008D4220"/>
    <w:rsid w:val="008D4286"/>
    <w:rsid w:val="008D42D5"/>
    <w:rsid w:val="008D4400"/>
    <w:rsid w:val="008D4454"/>
    <w:rsid w:val="008D449D"/>
    <w:rsid w:val="008D44BD"/>
    <w:rsid w:val="008D44EE"/>
    <w:rsid w:val="008D450B"/>
    <w:rsid w:val="008D4515"/>
    <w:rsid w:val="008D4537"/>
    <w:rsid w:val="008D4547"/>
    <w:rsid w:val="008D4587"/>
    <w:rsid w:val="008D46A5"/>
    <w:rsid w:val="008D4730"/>
    <w:rsid w:val="008D4778"/>
    <w:rsid w:val="008D48AC"/>
    <w:rsid w:val="008D4975"/>
    <w:rsid w:val="008D4988"/>
    <w:rsid w:val="008D49CB"/>
    <w:rsid w:val="008D49E4"/>
    <w:rsid w:val="008D4A0F"/>
    <w:rsid w:val="008D4A4B"/>
    <w:rsid w:val="008D4AC7"/>
    <w:rsid w:val="008D4C01"/>
    <w:rsid w:val="008D4CD4"/>
    <w:rsid w:val="008D4E15"/>
    <w:rsid w:val="008D4EA1"/>
    <w:rsid w:val="008D4F21"/>
    <w:rsid w:val="008D4FD7"/>
    <w:rsid w:val="008D4FE7"/>
    <w:rsid w:val="008D5040"/>
    <w:rsid w:val="008D5048"/>
    <w:rsid w:val="008D5164"/>
    <w:rsid w:val="008D5188"/>
    <w:rsid w:val="008D51F1"/>
    <w:rsid w:val="008D52D7"/>
    <w:rsid w:val="008D5397"/>
    <w:rsid w:val="008D53C2"/>
    <w:rsid w:val="008D53C5"/>
    <w:rsid w:val="008D5403"/>
    <w:rsid w:val="008D54AC"/>
    <w:rsid w:val="008D54B4"/>
    <w:rsid w:val="008D55DF"/>
    <w:rsid w:val="008D5706"/>
    <w:rsid w:val="008D5740"/>
    <w:rsid w:val="008D575C"/>
    <w:rsid w:val="008D57CB"/>
    <w:rsid w:val="008D57EA"/>
    <w:rsid w:val="008D58E2"/>
    <w:rsid w:val="008D58F0"/>
    <w:rsid w:val="008D597F"/>
    <w:rsid w:val="008D5980"/>
    <w:rsid w:val="008D59C1"/>
    <w:rsid w:val="008D5A90"/>
    <w:rsid w:val="008D5BC5"/>
    <w:rsid w:val="008D5C57"/>
    <w:rsid w:val="008D5C74"/>
    <w:rsid w:val="008D5C93"/>
    <w:rsid w:val="008D5CDA"/>
    <w:rsid w:val="008D5D03"/>
    <w:rsid w:val="008D5D48"/>
    <w:rsid w:val="008D5E3C"/>
    <w:rsid w:val="008D5EEC"/>
    <w:rsid w:val="008D6016"/>
    <w:rsid w:val="008D60F8"/>
    <w:rsid w:val="008D6108"/>
    <w:rsid w:val="008D61C2"/>
    <w:rsid w:val="008D61EF"/>
    <w:rsid w:val="008D6355"/>
    <w:rsid w:val="008D6372"/>
    <w:rsid w:val="008D63A2"/>
    <w:rsid w:val="008D64C6"/>
    <w:rsid w:val="008D6524"/>
    <w:rsid w:val="008D6575"/>
    <w:rsid w:val="008D6665"/>
    <w:rsid w:val="008D6684"/>
    <w:rsid w:val="008D6732"/>
    <w:rsid w:val="008D676E"/>
    <w:rsid w:val="008D67CB"/>
    <w:rsid w:val="008D6820"/>
    <w:rsid w:val="008D68D9"/>
    <w:rsid w:val="008D6ABE"/>
    <w:rsid w:val="008D6B95"/>
    <w:rsid w:val="008D6CA1"/>
    <w:rsid w:val="008D6EA7"/>
    <w:rsid w:val="008D6F2F"/>
    <w:rsid w:val="008D6FBC"/>
    <w:rsid w:val="008D7056"/>
    <w:rsid w:val="008D70E8"/>
    <w:rsid w:val="008D7159"/>
    <w:rsid w:val="008D7299"/>
    <w:rsid w:val="008D739D"/>
    <w:rsid w:val="008D747D"/>
    <w:rsid w:val="008D74E0"/>
    <w:rsid w:val="008D757D"/>
    <w:rsid w:val="008D764E"/>
    <w:rsid w:val="008D77BB"/>
    <w:rsid w:val="008D77D2"/>
    <w:rsid w:val="008D77D6"/>
    <w:rsid w:val="008D7810"/>
    <w:rsid w:val="008D7906"/>
    <w:rsid w:val="008D7934"/>
    <w:rsid w:val="008D7949"/>
    <w:rsid w:val="008D79D3"/>
    <w:rsid w:val="008D7A10"/>
    <w:rsid w:val="008D7A1F"/>
    <w:rsid w:val="008D7A35"/>
    <w:rsid w:val="008D7A7C"/>
    <w:rsid w:val="008D7BB3"/>
    <w:rsid w:val="008D7BC2"/>
    <w:rsid w:val="008D7C0D"/>
    <w:rsid w:val="008D7D5B"/>
    <w:rsid w:val="008D7ED0"/>
    <w:rsid w:val="008E0086"/>
    <w:rsid w:val="008E00AF"/>
    <w:rsid w:val="008E0111"/>
    <w:rsid w:val="008E0119"/>
    <w:rsid w:val="008E01AA"/>
    <w:rsid w:val="008E024C"/>
    <w:rsid w:val="008E03D9"/>
    <w:rsid w:val="008E0450"/>
    <w:rsid w:val="008E0570"/>
    <w:rsid w:val="008E0645"/>
    <w:rsid w:val="008E068E"/>
    <w:rsid w:val="008E06B9"/>
    <w:rsid w:val="008E079B"/>
    <w:rsid w:val="008E0961"/>
    <w:rsid w:val="008E09CF"/>
    <w:rsid w:val="008E0A14"/>
    <w:rsid w:val="008E0B40"/>
    <w:rsid w:val="008E0B4E"/>
    <w:rsid w:val="008E0B7A"/>
    <w:rsid w:val="008E0BDE"/>
    <w:rsid w:val="008E0CE7"/>
    <w:rsid w:val="008E0D30"/>
    <w:rsid w:val="008E0DC1"/>
    <w:rsid w:val="008E0DE7"/>
    <w:rsid w:val="008E0DF5"/>
    <w:rsid w:val="008E0E1D"/>
    <w:rsid w:val="008E0E29"/>
    <w:rsid w:val="008E0E52"/>
    <w:rsid w:val="008E0E6D"/>
    <w:rsid w:val="008E0FCD"/>
    <w:rsid w:val="008E1041"/>
    <w:rsid w:val="008E1073"/>
    <w:rsid w:val="008E10C5"/>
    <w:rsid w:val="008E116C"/>
    <w:rsid w:val="008E11DE"/>
    <w:rsid w:val="008E1266"/>
    <w:rsid w:val="008E12CE"/>
    <w:rsid w:val="008E134C"/>
    <w:rsid w:val="008E1413"/>
    <w:rsid w:val="008E14CB"/>
    <w:rsid w:val="008E1535"/>
    <w:rsid w:val="008E1686"/>
    <w:rsid w:val="008E16A2"/>
    <w:rsid w:val="008E16FB"/>
    <w:rsid w:val="008E17C3"/>
    <w:rsid w:val="008E17EE"/>
    <w:rsid w:val="008E1816"/>
    <w:rsid w:val="008E1827"/>
    <w:rsid w:val="008E1833"/>
    <w:rsid w:val="008E1951"/>
    <w:rsid w:val="008E1981"/>
    <w:rsid w:val="008E19D8"/>
    <w:rsid w:val="008E1A1A"/>
    <w:rsid w:val="008E1A24"/>
    <w:rsid w:val="008E1A74"/>
    <w:rsid w:val="008E1A95"/>
    <w:rsid w:val="008E1AE2"/>
    <w:rsid w:val="008E1B52"/>
    <w:rsid w:val="008E1B75"/>
    <w:rsid w:val="008E1BB1"/>
    <w:rsid w:val="008E1C2F"/>
    <w:rsid w:val="008E1D71"/>
    <w:rsid w:val="008E1DF3"/>
    <w:rsid w:val="008E1E27"/>
    <w:rsid w:val="008E1E9B"/>
    <w:rsid w:val="008E1EA9"/>
    <w:rsid w:val="008E1F57"/>
    <w:rsid w:val="008E1FA5"/>
    <w:rsid w:val="008E1FF6"/>
    <w:rsid w:val="008E2009"/>
    <w:rsid w:val="008E200D"/>
    <w:rsid w:val="008E2053"/>
    <w:rsid w:val="008E2056"/>
    <w:rsid w:val="008E21AF"/>
    <w:rsid w:val="008E21DB"/>
    <w:rsid w:val="008E222D"/>
    <w:rsid w:val="008E222E"/>
    <w:rsid w:val="008E222F"/>
    <w:rsid w:val="008E2350"/>
    <w:rsid w:val="008E23D5"/>
    <w:rsid w:val="008E2429"/>
    <w:rsid w:val="008E244F"/>
    <w:rsid w:val="008E2455"/>
    <w:rsid w:val="008E245C"/>
    <w:rsid w:val="008E24D0"/>
    <w:rsid w:val="008E2582"/>
    <w:rsid w:val="008E25B7"/>
    <w:rsid w:val="008E25D0"/>
    <w:rsid w:val="008E262D"/>
    <w:rsid w:val="008E273C"/>
    <w:rsid w:val="008E275B"/>
    <w:rsid w:val="008E27D7"/>
    <w:rsid w:val="008E2912"/>
    <w:rsid w:val="008E293D"/>
    <w:rsid w:val="008E29E1"/>
    <w:rsid w:val="008E2B70"/>
    <w:rsid w:val="008E2B88"/>
    <w:rsid w:val="008E2C28"/>
    <w:rsid w:val="008E2CD9"/>
    <w:rsid w:val="008E2D5C"/>
    <w:rsid w:val="008E2DD7"/>
    <w:rsid w:val="008E2DF3"/>
    <w:rsid w:val="008E2EFA"/>
    <w:rsid w:val="008E2F1B"/>
    <w:rsid w:val="008E2F50"/>
    <w:rsid w:val="008E2F61"/>
    <w:rsid w:val="008E3023"/>
    <w:rsid w:val="008E3092"/>
    <w:rsid w:val="008E30A5"/>
    <w:rsid w:val="008E30CD"/>
    <w:rsid w:val="008E30F5"/>
    <w:rsid w:val="008E315F"/>
    <w:rsid w:val="008E3240"/>
    <w:rsid w:val="008E325E"/>
    <w:rsid w:val="008E32AA"/>
    <w:rsid w:val="008E3374"/>
    <w:rsid w:val="008E3399"/>
    <w:rsid w:val="008E344E"/>
    <w:rsid w:val="008E34A4"/>
    <w:rsid w:val="008E35EC"/>
    <w:rsid w:val="008E36F8"/>
    <w:rsid w:val="008E3753"/>
    <w:rsid w:val="008E3796"/>
    <w:rsid w:val="008E37CD"/>
    <w:rsid w:val="008E38D8"/>
    <w:rsid w:val="008E393C"/>
    <w:rsid w:val="008E39A8"/>
    <w:rsid w:val="008E39CD"/>
    <w:rsid w:val="008E3A20"/>
    <w:rsid w:val="008E3AAE"/>
    <w:rsid w:val="008E3AE0"/>
    <w:rsid w:val="008E3AEC"/>
    <w:rsid w:val="008E3C36"/>
    <w:rsid w:val="008E3C38"/>
    <w:rsid w:val="008E3C54"/>
    <w:rsid w:val="008E3CA2"/>
    <w:rsid w:val="008E3CB6"/>
    <w:rsid w:val="008E3CC7"/>
    <w:rsid w:val="008E3CE5"/>
    <w:rsid w:val="008E3DAF"/>
    <w:rsid w:val="008E3E4B"/>
    <w:rsid w:val="008E3E53"/>
    <w:rsid w:val="008E3E8B"/>
    <w:rsid w:val="008E3F48"/>
    <w:rsid w:val="008E3FDA"/>
    <w:rsid w:val="008E4008"/>
    <w:rsid w:val="008E4109"/>
    <w:rsid w:val="008E421D"/>
    <w:rsid w:val="008E42EF"/>
    <w:rsid w:val="008E43AB"/>
    <w:rsid w:val="008E43E6"/>
    <w:rsid w:val="008E43FD"/>
    <w:rsid w:val="008E44C4"/>
    <w:rsid w:val="008E4543"/>
    <w:rsid w:val="008E4591"/>
    <w:rsid w:val="008E459E"/>
    <w:rsid w:val="008E460C"/>
    <w:rsid w:val="008E470C"/>
    <w:rsid w:val="008E4730"/>
    <w:rsid w:val="008E480B"/>
    <w:rsid w:val="008E484D"/>
    <w:rsid w:val="008E484F"/>
    <w:rsid w:val="008E48C7"/>
    <w:rsid w:val="008E4979"/>
    <w:rsid w:val="008E49DE"/>
    <w:rsid w:val="008E4AA2"/>
    <w:rsid w:val="008E4B06"/>
    <w:rsid w:val="008E4B33"/>
    <w:rsid w:val="008E4B98"/>
    <w:rsid w:val="008E4BB7"/>
    <w:rsid w:val="008E4CC8"/>
    <w:rsid w:val="008E4CCB"/>
    <w:rsid w:val="008E4D90"/>
    <w:rsid w:val="008E4D93"/>
    <w:rsid w:val="008E4DD0"/>
    <w:rsid w:val="008E4E09"/>
    <w:rsid w:val="008E4E46"/>
    <w:rsid w:val="008E4ECB"/>
    <w:rsid w:val="008E4F5F"/>
    <w:rsid w:val="008E4FD7"/>
    <w:rsid w:val="008E4FF2"/>
    <w:rsid w:val="008E5006"/>
    <w:rsid w:val="008E506A"/>
    <w:rsid w:val="008E5097"/>
    <w:rsid w:val="008E5209"/>
    <w:rsid w:val="008E52FD"/>
    <w:rsid w:val="008E54D6"/>
    <w:rsid w:val="008E54EF"/>
    <w:rsid w:val="008E5562"/>
    <w:rsid w:val="008E556F"/>
    <w:rsid w:val="008E5570"/>
    <w:rsid w:val="008E561D"/>
    <w:rsid w:val="008E5656"/>
    <w:rsid w:val="008E5662"/>
    <w:rsid w:val="008E56CE"/>
    <w:rsid w:val="008E56D9"/>
    <w:rsid w:val="008E57DF"/>
    <w:rsid w:val="008E57F1"/>
    <w:rsid w:val="008E5807"/>
    <w:rsid w:val="008E5817"/>
    <w:rsid w:val="008E58B5"/>
    <w:rsid w:val="008E58B8"/>
    <w:rsid w:val="008E59AF"/>
    <w:rsid w:val="008E59EF"/>
    <w:rsid w:val="008E5A1D"/>
    <w:rsid w:val="008E5A72"/>
    <w:rsid w:val="008E5ABC"/>
    <w:rsid w:val="008E5BC2"/>
    <w:rsid w:val="008E5BD9"/>
    <w:rsid w:val="008E5C6C"/>
    <w:rsid w:val="008E5CAD"/>
    <w:rsid w:val="008E5D80"/>
    <w:rsid w:val="008E5E92"/>
    <w:rsid w:val="008E5F4C"/>
    <w:rsid w:val="008E5F6E"/>
    <w:rsid w:val="008E5FB8"/>
    <w:rsid w:val="008E5FC0"/>
    <w:rsid w:val="008E60B5"/>
    <w:rsid w:val="008E61C2"/>
    <w:rsid w:val="008E6255"/>
    <w:rsid w:val="008E62DB"/>
    <w:rsid w:val="008E6378"/>
    <w:rsid w:val="008E63CF"/>
    <w:rsid w:val="008E63F3"/>
    <w:rsid w:val="008E6421"/>
    <w:rsid w:val="008E6439"/>
    <w:rsid w:val="008E6452"/>
    <w:rsid w:val="008E6487"/>
    <w:rsid w:val="008E6542"/>
    <w:rsid w:val="008E65E9"/>
    <w:rsid w:val="008E665E"/>
    <w:rsid w:val="008E6749"/>
    <w:rsid w:val="008E6789"/>
    <w:rsid w:val="008E6818"/>
    <w:rsid w:val="008E682F"/>
    <w:rsid w:val="008E6987"/>
    <w:rsid w:val="008E6990"/>
    <w:rsid w:val="008E699E"/>
    <w:rsid w:val="008E6ABB"/>
    <w:rsid w:val="008E6B28"/>
    <w:rsid w:val="008E6C18"/>
    <w:rsid w:val="008E6C84"/>
    <w:rsid w:val="008E6D99"/>
    <w:rsid w:val="008E6DB6"/>
    <w:rsid w:val="008E6E13"/>
    <w:rsid w:val="008E6E44"/>
    <w:rsid w:val="008E6E7F"/>
    <w:rsid w:val="008E6EB5"/>
    <w:rsid w:val="008E6EFE"/>
    <w:rsid w:val="008E700D"/>
    <w:rsid w:val="008E714B"/>
    <w:rsid w:val="008E71E8"/>
    <w:rsid w:val="008E7219"/>
    <w:rsid w:val="008E726F"/>
    <w:rsid w:val="008E72AC"/>
    <w:rsid w:val="008E7314"/>
    <w:rsid w:val="008E7344"/>
    <w:rsid w:val="008E7356"/>
    <w:rsid w:val="008E73B2"/>
    <w:rsid w:val="008E7421"/>
    <w:rsid w:val="008E7427"/>
    <w:rsid w:val="008E7465"/>
    <w:rsid w:val="008E74CD"/>
    <w:rsid w:val="008E74F0"/>
    <w:rsid w:val="008E7640"/>
    <w:rsid w:val="008E7684"/>
    <w:rsid w:val="008E779C"/>
    <w:rsid w:val="008E77A1"/>
    <w:rsid w:val="008E77AA"/>
    <w:rsid w:val="008E77C8"/>
    <w:rsid w:val="008E7807"/>
    <w:rsid w:val="008E79E5"/>
    <w:rsid w:val="008E7A18"/>
    <w:rsid w:val="008E7A7B"/>
    <w:rsid w:val="008E7B0E"/>
    <w:rsid w:val="008E7BF7"/>
    <w:rsid w:val="008E7C93"/>
    <w:rsid w:val="008E7D4F"/>
    <w:rsid w:val="008E7D98"/>
    <w:rsid w:val="008E7E20"/>
    <w:rsid w:val="008E7F40"/>
    <w:rsid w:val="008E7F7D"/>
    <w:rsid w:val="008E7FE2"/>
    <w:rsid w:val="008F004B"/>
    <w:rsid w:val="008F0158"/>
    <w:rsid w:val="008F01B1"/>
    <w:rsid w:val="008F01FB"/>
    <w:rsid w:val="008F0281"/>
    <w:rsid w:val="008F02A3"/>
    <w:rsid w:val="008F02F9"/>
    <w:rsid w:val="008F030C"/>
    <w:rsid w:val="008F0361"/>
    <w:rsid w:val="008F03CA"/>
    <w:rsid w:val="008F040B"/>
    <w:rsid w:val="008F05E0"/>
    <w:rsid w:val="008F0621"/>
    <w:rsid w:val="008F0647"/>
    <w:rsid w:val="008F0657"/>
    <w:rsid w:val="008F078A"/>
    <w:rsid w:val="008F08B4"/>
    <w:rsid w:val="008F08BD"/>
    <w:rsid w:val="008F0905"/>
    <w:rsid w:val="008F0908"/>
    <w:rsid w:val="008F09DE"/>
    <w:rsid w:val="008F0A25"/>
    <w:rsid w:val="008F0A85"/>
    <w:rsid w:val="008F0AC0"/>
    <w:rsid w:val="008F0CC5"/>
    <w:rsid w:val="008F0DAC"/>
    <w:rsid w:val="008F0E40"/>
    <w:rsid w:val="008F0E67"/>
    <w:rsid w:val="008F0E71"/>
    <w:rsid w:val="008F0EA4"/>
    <w:rsid w:val="008F0F85"/>
    <w:rsid w:val="008F0FCA"/>
    <w:rsid w:val="008F10E0"/>
    <w:rsid w:val="008F10E9"/>
    <w:rsid w:val="008F11E7"/>
    <w:rsid w:val="008F123C"/>
    <w:rsid w:val="008F138C"/>
    <w:rsid w:val="008F1604"/>
    <w:rsid w:val="008F162A"/>
    <w:rsid w:val="008F1653"/>
    <w:rsid w:val="008F1675"/>
    <w:rsid w:val="008F16C4"/>
    <w:rsid w:val="008F16D5"/>
    <w:rsid w:val="008F17E5"/>
    <w:rsid w:val="008F1872"/>
    <w:rsid w:val="008F18D9"/>
    <w:rsid w:val="008F18DB"/>
    <w:rsid w:val="008F19DC"/>
    <w:rsid w:val="008F19F4"/>
    <w:rsid w:val="008F1A3D"/>
    <w:rsid w:val="008F1A3E"/>
    <w:rsid w:val="008F1A79"/>
    <w:rsid w:val="008F1AE6"/>
    <w:rsid w:val="008F1B22"/>
    <w:rsid w:val="008F1CFC"/>
    <w:rsid w:val="008F1D7E"/>
    <w:rsid w:val="008F1D9B"/>
    <w:rsid w:val="008F1DC8"/>
    <w:rsid w:val="008F1E80"/>
    <w:rsid w:val="008F1F02"/>
    <w:rsid w:val="008F1FA4"/>
    <w:rsid w:val="008F1FB0"/>
    <w:rsid w:val="008F2275"/>
    <w:rsid w:val="008F2291"/>
    <w:rsid w:val="008F2326"/>
    <w:rsid w:val="008F2365"/>
    <w:rsid w:val="008F23F2"/>
    <w:rsid w:val="008F242D"/>
    <w:rsid w:val="008F2575"/>
    <w:rsid w:val="008F25B5"/>
    <w:rsid w:val="008F2635"/>
    <w:rsid w:val="008F267D"/>
    <w:rsid w:val="008F26E2"/>
    <w:rsid w:val="008F26E5"/>
    <w:rsid w:val="008F2855"/>
    <w:rsid w:val="008F285A"/>
    <w:rsid w:val="008F2878"/>
    <w:rsid w:val="008F28A1"/>
    <w:rsid w:val="008F28CB"/>
    <w:rsid w:val="008F2984"/>
    <w:rsid w:val="008F29D9"/>
    <w:rsid w:val="008F29E5"/>
    <w:rsid w:val="008F2A7F"/>
    <w:rsid w:val="008F2B09"/>
    <w:rsid w:val="008F2B4D"/>
    <w:rsid w:val="008F2B4F"/>
    <w:rsid w:val="008F2B81"/>
    <w:rsid w:val="008F2BED"/>
    <w:rsid w:val="008F2BF0"/>
    <w:rsid w:val="008F2BFB"/>
    <w:rsid w:val="008F2CAE"/>
    <w:rsid w:val="008F2CC4"/>
    <w:rsid w:val="008F2CCE"/>
    <w:rsid w:val="008F2CDE"/>
    <w:rsid w:val="008F2CFB"/>
    <w:rsid w:val="008F2D2F"/>
    <w:rsid w:val="008F2D51"/>
    <w:rsid w:val="008F2E1C"/>
    <w:rsid w:val="008F2E56"/>
    <w:rsid w:val="008F2F34"/>
    <w:rsid w:val="008F2F42"/>
    <w:rsid w:val="008F2F9B"/>
    <w:rsid w:val="008F2FA7"/>
    <w:rsid w:val="008F2FDF"/>
    <w:rsid w:val="008F303B"/>
    <w:rsid w:val="008F3072"/>
    <w:rsid w:val="008F309E"/>
    <w:rsid w:val="008F3148"/>
    <w:rsid w:val="008F3177"/>
    <w:rsid w:val="008F31E7"/>
    <w:rsid w:val="008F3209"/>
    <w:rsid w:val="008F326A"/>
    <w:rsid w:val="008F32DA"/>
    <w:rsid w:val="008F3308"/>
    <w:rsid w:val="008F332D"/>
    <w:rsid w:val="008F3330"/>
    <w:rsid w:val="008F337F"/>
    <w:rsid w:val="008F33E2"/>
    <w:rsid w:val="008F3504"/>
    <w:rsid w:val="008F3505"/>
    <w:rsid w:val="008F35A6"/>
    <w:rsid w:val="008F3628"/>
    <w:rsid w:val="008F3685"/>
    <w:rsid w:val="008F376E"/>
    <w:rsid w:val="008F38F0"/>
    <w:rsid w:val="008F38F6"/>
    <w:rsid w:val="008F38FF"/>
    <w:rsid w:val="008F39D1"/>
    <w:rsid w:val="008F3A1A"/>
    <w:rsid w:val="008F3A65"/>
    <w:rsid w:val="008F3AB9"/>
    <w:rsid w:val="008F3B12"/>
    <w:rsid w:val="008F3B90"/>
    <w:rsid w:val="008F3BAE"/>
    <w:rsid w:val="008F3C39"/>
    <w:rsid w:val="008F3DBA"/>
    <w:rsid w:val="008F3DC4"/>
    <w:rsid w:val="008F3DDE"/>
    <w:rsid w:val="008F3E8C"/>
    <w:rsid w:val="008F3E8E"/>
    <w:rsid w:val="008F3ED2"/>
    <w:rsid w:val="008F3EDB"/>
    <w:rsid w:val="008F3F6E"/>
    <w:rsid w:val="008F3F7B"/>
    <w:rsid w:val="008F3FC1"/>
    <w:rsid w:val="008F3FEB"/>
    <w:rsid w:val="008F4065"/>
    <w:rsid w:val="008F410A"/>
    <w:rsid w:val="008F4297"/>
    <w:rsid w:val="008F429D"/>
    <w:rsid w:val="008F42B6"/>
    <w:rsid w:val="008F42D9"/>
    <w:rsid w:val="008F43DC"/>
    <w:rsid w:val="008F43E8"/>
    <w:rsid w:val="008F44DD"/>
    <w:rsid w:val="008F4526"/>
    <w:rsid w:val="008F4551"/>
    <w:rsid w:val="008F457C"/>
    <w:rsid w:val="008F458A"/>
    <w:rsid w:val="008F458C"/>
    <w:rsid w:val="008F45A7"/>
    <w:rsid w:val="008F45B8"/>
    <w:rsid w:val="008F45F5"/>
    <w:rsid w:val="008F465D"/>
    <w:rsid w:val="008F47B2"/>
    <w:rsid w:val="008F483A"/>
    <w:rsid w:val="008F4843"/>
    <w:rsid w:val="008F48B9"/>
    <w:rsid w:val="008F492D"/>
    <w:rsid w:val="008F4946"/>
    <w:rsid w:val="008F49F2"/>
    <w:rsid w:val="008F49FD"/>
    <w:rsid w:val="008F4A07"/>
    <w:rsid w:val="008F4A0F"/>
    <w:rsid w:val="008F4A14"/>
    <w:rsid w:val="008F4A67"/>
    <w:rsid w:val="008F4BFB"/>
    <w:rsid w:val="008F4C5D"/>
    <w:rsid w:val="008F4C5F"/>
    <w:rsid w:val="008F4C65"/>
    <w:rsid w:val="008F4CA8"/>
    <w:rsid w:val="008F4D49"/>
    <w:rsid w:val="008F4DC7"/>
    <w:rsid w:val="008F4E07"/>
    <w:rsid w:val="008F4E2C"/>
    <w:rsid w:val="008F4E39"/>
    <w:rsid w:val="008F4E69"/>
    <w:rsid w:val="008F4E89"/>
    <w:rsid w:val="008F4F8E"/>
    <w:rsid w:val="008F4FBC"/>
    <w:rsid w:val="008F5066"/>
    <w:rsid w:val="008F507E"/>
    <w:rsid w:val="008F50FD"/>
    <w:rsid w:val="008F5102"/>
    <w:rsid w:val="008F51B4"/>
    <w:rsid w:val="008F5208"/>
    <w:rsid w:val="008F5246"/>
    <w:rsid w:val="008F5258"/>
    <w:rsid w:val="008F5291"/>
    <w:rsid w:val="008F52C8"/>
    <w:rsid w:val="008F543A"/>
    <w:rsid w:val="008F5557"/>
    <w:rsid w:val="008F559C"/>
    <w:rsid w:val="008F5674"/>
    <w:rsid w:val="008F569E"/>
    <w:rsid w:val="008F56A2"/>
    <w:rsid w:val="008F56A9"/>
    <w:rsid w:val="008F56E9"/>
    <w:rsid w:val="008F570A"/>
    <w:rsid w:val="008F5741"/>
    <w:rsid w:val="008F5748"/>
    <w:rsid w:val="008F579B"/>
    <w:rsid w:val="008F58BD"/>
    <w:rsid w:val="008F58D8"/>
    <w:rsid w:val="008F59DA"/>
    <w:rsid w:val="008F5ABD"/>
    <w:rsid w:val="008F5BDA"/>
    <w:rsid w:val="008F5BE8"/>
    <w:rsid w:val="008F5C23"/>
    <w:rsid w:val="008F5C37"/>
    <w:rsid w:val="008F5C40"/>
    <w:rsid w:val="008F5C62"/>
    <w:rsid w:val="008F5DD1"/>
    <w:rsid w:val="008F5E5A"/>
    <w:rsid w:val="008F5F07"/>
    <w:rsid w:val="008F5F40"/>
    <w:rsid w:val="008F5F43"/>
    <w:rsid w:val="008F5F45"/>
    <w:rsid w:val="008F5F69"/>
    <w:rsid w:val="008F5FD0"/>
    <w:rsid w:val="008F5FEB"/>
    <w:rsid w:val="008F6023"/>
    <w:rsid w:val="008F607B"/>
    <w:rsid w:val="008F61EE"/>
    <w:rsid w:val="008F6228"/>
    <w:rsid w:val="008F624C"/>
    <w:rsid w:val="008F62BA"/>
    <w:rsid w:val="008F6466"/>
    <w:rsid w:val="008F64B0"/>
    <w:rsid w:val="008F6639"/>
    <w:rsid w:val="008F663A"/>
    <w:rsid w:val="008F6648"/>
    <w:rsid w:val="008F669F"/>
    <w:rsid w:val="008F66AB"/>
    <w:rsid w:val="008F6781"/>
    <w:rsid w:val="008F67A9"/>
    <w:rsid w:val="008F6828"/>
    <w:rsid w:val="008F682C"/>
    <w:rsid w:val="008F6856"/>
    <w:rsid w:val="008F6862"/>
    <w:rsid w:val="008F69FC"/>
    <w:rsid w:val="008F6AD3"/>
    <w:rsid w:val="008F6AF0"/>
    <w:rsid w:val="008F6B74"/>
    <w:rsid w:val="008F6BF8"/>
    <w:rsid w:val="008F6C26"/>
    <w:rsid w:val="008F6C44"/>
    <w:rsid w:val="008F6D1D"/>
    <w:rsid w:val="008F6D57"/>
    <w:rsid w:val="008F6DCD"/>
    <w:rsid w:val="008F6EC6"/>
    <w:rsid w:val="008F6F33"/>
    <w:rsid w:val="008F6F62"/>
    <w:rsid w:val="008F6FAB"/>
    <w:rsid w:val="008F6FED"/>
    <w:rsid w:val="008F70B4"/>
    <w:rsid w:val="008F70DE"/>
    <w:rsid w:val="008F70E4"/>
    <w:rsid w:val="008F714D"/>
    <w:rsid w:val="008F729E"/>
    <w:rsid w:val="008F72A2"/>
    <w:rsid w:val="008F72C4"/>
    <w:rsid w:val="008F731A"/>
    <w:rsid w:val="008F734B"/>
    <w:rsid w:val="008F7444"/>
    <w:rsid w:val="008F75C1"/>
    <w:rsid w:val="008F75F5"/>
    <w:rsid w:val="008F7640"/>
    <w:rsid w:val="008F7744"/>
    <w:rsid w:val="008F7798"/>
    <w:rsid w:val="008F77E5"/>
    <w:rsid w:val="008F7829"/>
    <w:rsid w:val="008F786A"/>
    <w:rsid w:val="008F788C"/>
    <w:rsid w:val="008F7890"/>
    <w:rsid w:val="008F78C7"/>
    <w:rsid w:val="008F79B8"/>
    <w:rsid w:val="008F79DE"/>
    <w:rsid w:val="008F7A06"/>
    <w:rsid w:val="008F7A25"/>
    <w:rsid w:val="008F7A28"/>
    <w:rsid w:val="008F7A64"/>
    <w:rsid w:val="008F7B06"/>
    <w:rsid w:val="008F7BA4"/>
    <w:rsid w:val="008F7BB0"/>
    <w:rsid w:val="008F7BB1"/>
    <w:rsid w:val="008F7BC9"/>
    <w:rsid w:val="008F7C04"/>
    <w:rsid w:val="008F7C13"/>
    <w:rsid w:val="008F7C20"/>
    <w:rsid w:val="008F7C58"/>
    <w:rsid w:val="008F7C66"/>
    <w:rsid w:val="008F7CA6"/>
    <w:rsid w:val="008F7CD2"/>
    <w:rsid w:val="008F7CD5"/>
    <w:rsid w:val="008F7CFB"/>
    <w:rsid w:val="008F7D59"/>
    <w:rsid w:val="008F7D70"/>
    <w:rsid w:val="008F7DE9"/>
    <w:rsid w:val="008F7DFA"/>
    <w:rsid w:val="008F7E6D"/>
    <w:rsid w:val="008F7EF6"/>
    <w:rsid w:val="008F7EFF"/>
    <w:rsid w:val="008F7F08"/>
    <w:rsid w:val="008F7F14"/>
    <w:rsid w:val="008F7F42"/>
    <w:rsid w:val="009000BB"/>
    <w:rsid w:val="00900184"/>
    <w:rsid w:val="009001E8"/>
    <w:rsid w:val="00900263"/>
    <w:rsid w:val="00900322"/>
    <w:rsid w:val="00900353"/>
    <w:rsid w:val="00900384"/>
    <w:rsid w:val="00900389"/>
    <w:rsid w:val="009003D3"/>
    <w:rsid w:val="009003D4"/>
    <w:rsid w:val="00900488"/>
    <w:rsid w:val="009004D6"/>
    <w:rsid w:val="0090080C"/>
    <w:rsid w:val="0090082E"/>
    <w:rsid w:val="00900898"/>
    <w:rsid w:val="00900907"/>
    <w:rsid w:val="0090090E"/>
    <w:rsid w:val="00900949"/>
    <w:rsid w:val="00900967"/>
    <w:rsid w:val="009009BF"/>
    <w:rsid w:val="009009EA"/>
    <w:rsid w:val="00900ACD"/>
    <w:rsid w:val="00900B13"/>
    <w:rsid w:val="00900B39"/>
    <w:rsid w:val="00900B95"/>
    <w:rsid w:val="00900BB4"/>
    <w:rsid w:val="00900BEB"/>
    <w:rsid w:val="00900C0C"/>
    <w:rsid w:val="00900D20"/>
    <w:rsid w:val="00900D9C"/>
    <w:rsid w:val="00900DED"/>
    <w:rsid w:val="00900E0C"/>
    <w:rsid w:val="00900E3F"/>
    <w:rsid w:val="00900E9A"/>
    <w:rsid w:val="00900F62"/>
    <w:rsid w:val="009010BF"/>
    <w:rsid w:val="009011A9"/>
    <w:rsid w:val="009011AB"/>
    <w:rsid w:val="009011BB"/>
    <w:rsid w:val="00901201"/>
    <w:rsid w:val="00901237"/>
    <w:rsid w:val="0090124E"/>
    <w:rsid w:val="00901334"/>
    <w:rsid w:val="0090136B"/>
    <w:rsid w:val="0090139D"/>
    <w:rsid w:val="009013B0"/>
    <w:rsid w:val="0090140D"/>
    <w:rsid w:val="009014D9"/>
    <w:rsid w:val="009014DE"/>
    <w:rsid w:val="009014EE"/>
    <w:rsid w:val="00901502"/>
    <w:rsid w:val="009016A9"/>
    <w:rsid w:val="00901710"/>
    <w:rsid w:val="009017ED"/>
    <w:rsid w:val="0090194D"/>
    <w:rsid w:val="00901968"/>
    <w:rsid w:val="00901ADE"/>
    <w:rsid w:val="00901B47"/>
    <w:rsid w:val="00901BF9"/>
    <w:rsid w:val="00901C5F"/>
    <w:rsid w:val="00901C69"/>
    <w:rsid w:val="00901C83"/>
    <w:rsid w:val="00901DBF"/>
    <w:rsid w:val="00901EAA"/>
    <w:rsid w:val="00901EF5"/>
    <w:rsid w:val="00901FE2"/>
    <w:rsid w:val="00902104"/>
    <w:rsid w:val="00902139"/>
    <w:rsid w:val="009021D8"/>
    <w:rsid w:val="0090223F"/>
    <w:rsid w:val="00902264"/>
    <w:rsid w:val="009024FE"/>
    <w:rsid w:val="0090250B"/>
    <w:rsid w:val="009025E8"/>
    <w:rsid w:val="00902692"/>
    <w:rsid w:val="009026BC"/>
    <w:rsid w:val="009026C1"/>
    <w:rsid w:val="0090271F"/>
    <w:rsid w:val="009027D8"/>
    <w:rsid w:val="009027E9"/>
    <w:rsid w:val="009027F8"/>
    <w:rsid w:val="00902815"/>
    <w:rsid w:val="00902876"/>
    <w:rsid w:val="009028AC"/>
    <w:rsid w:val="00902974"/>
    <w:rsid w:val="009029A3"/>
    <w:rsid w:val="00902A3E"/>
    <w:rsid w:val="00902A45"/>
    <w:rsid w:val="00902A4A"/>
    <w:rsid w:val="00902AA6"/>
    <w:rsid w:val="00902B94"/>
    <w:rsid w:val="00902B9F"/>
    <w:rsid w:val="00902BF8"/>
    <w:rsid w:val="00902C1B"/>
    <w:rsid w:val="00902C44"/>
    <w:rsid w:val="00902C9E"/>
    <w:rsid w:val="00902CC5"/>
    <w:rsid w:val="00902CF5"/>
    <w:rsid w:val="00902DA4"/>
    <w:rsid w:val="00902DEC"/>
    <w:rsid w:val="00902E0A"/>
    <w:rsid w:val="00902EC1"/>
    <w:rsid w:val="00902ED3"/>
    <w:rsid w:val="00902F39"/>
    <w:rsid w:val="00902F3D"/>
    <w:rsid w:val="00903010"/>
    <w:rsid w:val="0090302F"/>
    <w:rsid w:val="00903070"/>
    <w:rsid w:val="009030B7"/>
    <w:rsid w:val="009031B3"/>
    <w:rsid w:val="009032AB"/>
    <w:rsid w:val="009032F5"/>
    <w:rsid w:val="0090340A"/>
    <w:rsid w:val="00903440"/>
    <w:rsid w:val="0090344E"/>
    <w:rsid w:val="00903479"/>
    <w:rsid w:val="00903488"/>
    <w:rsid w:val="009034CF"/>
    <w:rsid w:val="00903528"/>
    <w:rsid w:val="00903595"/>
    <w:rsid w:val="009036FF"/>
    <w:rsid w:val="00903707"/>
    <w:rsid w:val="0090373C"/>
    <w:rsid w:val="009037F6"/>
    <w:rsid w:val="00903894"/>
    <w:rsid w:val="009038A7"/>
    <w:rsid w:val="009039EA"/>
    <w:rsid w:val="00903B2D"/>
    <w:rsid w:val="00903B3A"/>
    <w:rsid w:val="00903B57"/>
    <w:rsid w:val="00903CB3"/>
    <w:rsid w:val="00903D22"/>
    <w:rsid w:val="00903EE2"/>
    <w:rsid w:val="00903F8F"/>
    <w:rsid w:val="00903FC5"/>
    <w:rsid w:val="00903FE9"/>
    <w:rsid w:val="0090413F"/>
    <w:rsid w:val="00904177"/>
    <w:rsid w:val="009041C0"/>
    <w:rsid w:val="009041C4"/>
    <w:rsid w:val="009041E5"/>
    <w:rsid w:val="00904212"/>
    <w:rsid w:val="0090423F"/>
    <w:rsid w:val="009042E7"/>
    <w:rsid w:val="00904310"/>
    <w:rsid w:val="0090432C"/>
    <w:rsid w:val="00904331"/>
    <w:rsid w:val="00904389"/>
    <w:rsid w:val="009043EC"/>
    <w:rsid w:val="00904457"/>
    <w:rsid w:val="009045FD"/>
    <w:rsid w:val="0090478F"/>
    <w:rsid w:val="00904799"/>
    <w:rsid w:val="009047E2"/>
    <w:rsid w:val="00904831"/>
    <w:rsid w:val="00904861"/>
    <w:rsid w:val="00904A3E"/>
    <w:rsid w:val="00904A56"/>
    <w:rsid w:val="00904ABF"/>
    <w:rsid w:val="00904B04"/>
    <w:rsid w:val="00904B1F"/>
    <w:rsid w:val="00904B82"/>
    <w:rsid w:val="00904BD6"/>
    <w:rsid w:val="00904BF5"/>
    <w:rsid w:val="00904CF7"/>
    <w:rsid w:val="00904DC9"/>
    <w:rsid w:val="00904E9F"/>
    <w:rsid w:val="00904F04"/>
    <w:rsid w:val="00904FB9"/>
    <w:rsid w:val="00904FFF"/>
    <w:rsid w:val="0090504C"/>
    <w:rsid w:val="0090509F"/>
    <w:rsid w:val="009050B9"/>
    <w:rsid w:val="0090510B"/>
    <w:rsid w:val="0090514D"/>
    <w:rsid w:val="00905266"/>
    <w:rsid w:val="009052AB"/>
    <w:rsid w:val="009052B3"/>
    <w:rsid w:val="0090531E"/>
    <w:rsid w:val="00905327"/>
    <w:rsid w:val="00905355"/>
    <w:rsid w:val="0090536B"/>
    <w:rsid w:val="009053BB"/>
    <w:rsid w:val="00905413"/>
    <w:rsid w:val="0090542A"/>
    <w:rsid w:val="009054AE"/>
    <w:rsid w:val="00905509"/>
    <w:rsid w:val="00905585"/>
    <w:rsid w:val="00905698"/>
    <w:rsid w:val="009056A0"/>
    <w:rsid w:val="00905711"/>
    <w:rsid w:val="00905761"/>
    <w:rsid w:val="009057D2"/>
    <w:rsid w:val="00905847"/>
    <w:rsid w:val="0090584D"/>
    <w:rsid w:val="00905904"/>
    <w:rsid w:val="00905997"/>
    <w:rsid w:val="009059EE"/>
    <w:rsid w:val="009059FF"/>
    <w:rsid w:val="00905A2C"/>
    <w:rsid w:val="00905ADB"/>
    <w:rsid w:val="00905B19"/>
    <w:rsid w:val="00905B5D"/>
    <w:rsid w:val="00905B94"/>
    <w:rsid w:val="00905BAA"/>
    <w:rsid w:val="00905BAB"/>
    <w:rsid w:val="00905BB0"/>
    <w:rsid w:val="00905C7C"/>
    <w:rsid w:val="00905DAF"/>
    <w:rsid w:val="00905DBB"/>
    <w:rsid w:val="00905DDD"/>
    <w:rsid w:val="00905DEF"/>
    <w:rsid w:val="00905E8B"/>
    <w:rsid w:val="00905EC2"/>
    <w:rsid w:val="00905F44"/>
    <w:rsid w:val="00905FF5"/>
    <w:rsid w:val="0090601F"/>
    <w:rsid w:val="00906070"/>
    <w:rsid w:val="009060A9"/>
    <w:rsid w:val="009060DA"/>
    <w:rsid w:val="009060FD"/>
    <w:rsid w:val="0090626C"/>
    <w:rsid w:val="00906285"/>
    <w:rsid w:val="009062D2"/>
    <w:rsid w:val="009064E0"/>
    <w:rsid w:val="00906593"/>
    <w:rsid w:val="009065AA"/>
    <w:rsid w:val="00906604"/>
    <w:rsid w:val="00906666"/>
    <w:rsid w:val="009068A5"/>
    <w:rsid w:val="00906929"/>
    <w:rsid w:val="00906983"/>
    <w:rsid w:val="009069D7"/>
    <w:rsid w:val="009069E6"/>
    <w:rsid w:val="009069EF"/>
    <w:rsid w:val="00906A03"/>
    <w:rsid w:val="00906A74"/>
    <w:rsid w:val="00906B22"/>
    <w:rsid w:val="00906B44"/>
    <w:rsid w:val="00906CF9"/>
    <w:rsid w:val="00906D9C"/>
    <w:rsid w:val="00906EB9"/>
    <w:rsid w:val="00906EE6"/>
    <w:rsid w:val="00907097"/>
    <w:rsid w:val="009070AB"/>
    <w:rsid w:val="009070B3"/>
    <w:rsid w:val="0090718E"/>
    <w:rsid w:val="009072B4"/>
    <w:rsid w:val="009072BA"/>
    <w:rsid w:val="0090740C"/>
    <w:rsid w:val="00907477"/>
    <w:rsid w:val="0090747F"/>
    <w:rsid w:val="00907560"/>
    <w:rsid w:val="009075C9"/>
    <w:rsid w:val="0090764A"/>
    <w:rsid w:val="00907677"/>
    <w:rsid w:val="00907687"/>
    <w:rsid w:val="00907698"/>
    <w:rsid w:val="0090777B"/>
    <w:rsid w:val="009077AB"/>
    <w:rsid w:val="009077D7"/>
    <w:rsid w:val="0090789F"/>
    <w:rsid w:val="009078AD"/>
    <w:rsid w:val="00907977"/>
    <w:rsid w:val="009079B9"/>
    <w:rsid w:val="009079E2"/>
    <w:rsid w:val="009079F4"/>
    <w:rsid w:val="00907A51"/>
    <w:rsid w:val="00907B36"/>
    <w:rsid w:val="00907C57"/>
    <w:rsid w:val="00907D0B"/>
    <w:rsid w:val="00907D5B"/>
    <w:rsid w:val="00907DF1"/>
    <w:rsid w:val="00907E1A"/>
    <w:rsid w:val="00907E38"/>
    <w:rsid w:val="00907EEB"/>
    <w:rsid w:val="00907FBF"/>
    <w:rsid w:val="00907FC3"/>
    <w:rsid w:val="009100C2"/>
    <w:rsid w:val="009100C4"/>
    <w:rsid w:val="009100D6"/>
    <w:rsid w:val="009100DE"/>
    <w:rsid w:val="009102FF"/>
    <w:rsid w:val="00910338"/>
    <w:rsid w:val="00910372"/>
    <w:rsid w:val="00910403"/>
    <w:rsid w:val="009106D6"/>
    <w:rsid w:val="009106E3"/>
    <w:rsid w:val="00910764"/>
    <w:rsid w:val="0091090A"/>
    <w:rsid w:val="00910910"/>
    <w:rsid w:val="00910AAC"/>
    <w:rsid w:val="00910B0C"/>
    <w:rsid w:val="00910B68"/>
    <w:rsid w:val="00910BA3"/>
    <w:rsid w:val="00910C2B"/>
    <w:rsid w:val="00910C3F"/>
    <w:rsid w:val="00910C43"/>
    <w:rsid w:val="00910CB8"/>
    <w:rsid w:val="00910CC1"/>
    <w:rsid w:val="00910D1C"/>
    <w:rsid w:val="00910D57"/>
    <w:rsid w:val="00910DAE"/>
    <w:rsid w:val="00910E44"/>
    <w:rsid w:val="00910E83"/>
    <w:rsid w:val="00910F72"/>
    <w:rsid w:val="00910F83"/>
    <w:rsid w:val="009110DB"/>
    <w:rsid w:val="0091111C"/>
    <w:rsid w:val="00911273"/>
    <w:rsid w:val="009112F7"/>
    <w:rsid w:val="0091137B"/>
    <w:rsid w:val="009113BC"/>
    <w:rsid w:val="009113D2"/>
    <w:rsid w:val="009114D7"/>
    <w:rsid w:val="009114DC"/>
    <w:rsid w:val="0091159D"/>
    <w:rsid w:val="009115AF"/>
    <w:rsid w:val="00911652"/>
    <w:rsid w:val="00911660"/>
    <w:rsid w:val="009116AB"/>
    <w:rsid w:val="009116BF"/>
    <w:rsid w:val="00911705"/>
    <w:rsid w:val="0091170D"/>
    <w:rsid w:val="00911738"/>
    <w:rsid w:val="00911811"/>
    <w:rsid w:val="0091181C"/>
    <w:rsid w:val="00911864"/>
    <w:rsid w:val="009118DB"/>
    <w:rsid w:val="009119FB"/>
    <w:rsid w:val="00911AA8"/>
    <w:rsid w:val="00911AB3"/>
    <w:rsid w:val="00911ABF"/>
    <w:rsid w:val="00911B01"/>
    <w:rsid w:val="00911B56"/>
    <w:rsid w:val="00911B80"/>
    <w:rsid w:val="00911B81"/>
    <w:rsid w:val="00911B9C"/>
    <w:rsid w:val="00911C66"/>
    <w:rsid w:val="00911D11"/>
    <w:rsid w:val="00911DB5"/>
    <w:rsid w:val="00911E72"/>
    <w:rsid w:val="00911FB4"/>
    <w:rsid w:val="00911FFA"/>
    <w:rsid w:val="00912041"/>
    <w:rsid w:val="0091204A"/>
    <w:rsid w:val="00912133"/>
    <w:rsid w:val="0091224D"/>
    <w:rsid w:val="009123B4"/>
    <w:rsid w:val="009123C1"/>
    <w:rsid w:val="0091248E"/>
    <w:rsid w:val="00912496"/>
    <w:rsid w:val="00912556"/>
    <w:rsid w:val="0091259C"/>
    <w:rsid w:val="009125BD"/>
    <w:rsid w:val="0091261F"/>
    <w:rsid w:val="00912637"/>
    <w:rsid w:val="009126C1"/>
    <w:rsid w:val="00912968"/>
    <w:rsid w:val="009129CC"/>
    <w:rsid w:val="00912ACC"/>
    <w:rsid w:val="00912ADD"/>
    <w:rsid w:val="00912C8C"/>
    <w:rsid w:val="00912C99"/>
    <w:rsid w:val="00912D26"/>
    <w:rsid w:val="00912D8D"/>
    <w:rsid w:val="00912DC3"/>
    <w:rsid w:val="00912E31"/>
    <w:rsid w:val="00912EC5"/>
    <w:rsid w:val="00912FAD"/>
    <w:rsid w:val="00913094"/>
    <w:rsid w:val="009130E3"/>
    <w:rsid w:val="0091315D"/>
    <w:rsid w:val="009132FC"/>
    <w:rsid w:val="00913316"/>
    <w:rsid w:val="0091335F"/>
    <w:rsid w:val="009133EB"/>
    <w:rsid w:val="00913455"/>
    <w:rsid w:val="009134BE"/>
    <w:rsid w:val="009134D2"/>
    <w:rsid w:val="00913557"/>
    <w:rsid w:val="009135F7"/>
    <w:rsid w:val="00913668"/>
    <w:rsid w:val="009136B3"/>
    <w:rsid w:val="00913764"/>
    <w:rsid w:val="0091380F"/>
    <w:rsid w:val="0091392C"/>
    <w:rsid w:val="0091395F"/>
    <w:rsid w:val="0091398C"/>
    <w:rsid w:val="00913A13"/>
    <w:rsid w:val="00913A6C"/>
    <w:rsid w:val="00913C6F"/>
    <w:rsid w:val="00913C7F"/>
    <w:rsid w:val="00913CAD"/>
    <w:rsid w:val="00913CAF"/>
    <w:rsid w:val="00913CD5"/>
    <w:rsid w:val="00913D01"/>
    <w:rsid w:val="00913D54"/>
    <w:rsid w:val="00913D86"/>
    <w:rsid w:val="00913DD4"/>
    <w:rsid w:val="00913ED1"/>
    <w:rsid w:val="00913F21"/>
    <w:rsid w:val="00913F8B"/>
    <w:rsid w:val="00913FE8"/>
    <w:rsid w:val="00914065"/>
    <w:rsid w:val="00914066"/>
    <w:rsid w:val="00914206"/>
    <w:rsid w:val="00914274"/>
    <w:rsid w:val="00914276"/>
    <w:rsid w:val="0091434A"/>
    <w:rsid w:val="00914449"/>
    <w:rsid w:val="00914496"/>
    <w:rsid w:val="009144DB"/>
    <w:rsid w:val="00914516"/>
    <w:rsid w:val="0091466D"/>
    <w:rsid w:val="009146DF"/>
    <w:rsid w:val="00914706"/>
    <w:rsid w:val="00914723"/>
    <w:rsid w:val="0091473D"/>
    <w:rsid w:val="00914764"/>
    <w:rsid w:val="0091476F"/>
    <w:rsid w:val="00914791"/>
    <w:rsid w:val="009147C4"/>
    <w:rsid w:val="00914850"/>
    <w:rsid w:val="0091486D"/>
    <w:rsid w:val="00914890"/>
    <w:rsid w:val="00914927"/>
    <w:rsid w:val="00914974"/>
    <w:rsid w:val="0091499B"/>
    <w:rsid w:val="009149AD"/>
    <w:rsid w:val="00914AD6"/>
    <w:rsid w:val="00914B87"/>
    <w:rsid w:val="00914BBF"/>
    <w:rsid w:val="00914C48"/>
    <w:rsid w:val="00914C81"/>
    <w:rsid w:val="00914D2F"/>
    <w:rsid w:val="00914D6E"/>
    <w:rsid w:val="00914D7B"/>
    <w:rsid w:val="00914D8F"/>
    <w:rsid w:val="00914DB4"/>
    <w:rsid w:val="00914E11"/>
    <w:rsid w:val="00914E42"/>
    <w:rsid w:val="00914FEE"/>
    <w:rsid w:val="00915180"/>
    <w:rsid w:val="0091518A"/>
    <w:rsid w:val="009151A4"/>
    <w:rsid w:val="009152C5"/>
    <w:rsid w:val="0091533F"/>
    <w:rsid w:val="0091535C"/>
    <w:rsid w:val="00915474"/>
    <w:rsid w:val="00915496"/>
    <w:rsid w:val="009155FA"/>
    <w:rsid w:val="009155FF"/>
    <w:rsid w:val="00915646"/>
    <w:rsid w:val="00915769"/>
    <w:rsid w:val="00915778"/>
    <w:rsid w:val="0091591E"/>
    <w:rsid w:val="00915931"/>
    <w:rsid w:val="00915967"/>
    <w:rsid w:val="00915976"/>
    <w:rsid w:val="00915A01"/>
    <w:rsid w:val="00915A64"/>
    <w:rsid w:val="00915BE8"/>
    <w:rsid w:val="00915BF2"/>
    <w:rsid w:val="00915C45"/>
    <w:rsid w:val="00915C65"/>
    <w:rsid w:val="00915C72"/>
    <w:rsid w:val="00915C9E"/>
    <w:rsid w:val="00915D10"/>
    <w:rsid w:val="00915D60"/>
    <w:rsid w:val="00915D86"/>
    <w:rsid w:val="00915F24"/>
    <w:rsid w:val="00915F84"/>
    <w:rsid w:val="00916019"/>
    <w:rsid w:val="00916074"/>
    <w:rsid w:val="009160D9"/>
    <w:rsid w:val="009160EA"/>
    <w:rsid w:val="0091615C"/>
    <w:rsid w:val="009161B8"/>
    <w:rsid w:val="009161C6"/>
    <w:rsid w:val="0091620D"/>
    <w:rsid w:val="00916257"/>
    <w:rsid w:val="009162BA"/>
    <w:rsid w:val="00916320"/>
    <w:rsid w:val="0091637B"/>
    <w:rsid w:val="0091638D"/>
    <w:rsid w:val="009163B2"/>
    <w:rsid w:val="009164DE"/>
    <w:rsid w:val="009164E3"/>
    <w:rsid w:val="00916501"/>
    <w:rsid w:val="009165CC"/>
    <w:rsid w:val="009165DD"/>
    <w:rsid w:val="0091682D"/>
    <w:rsid w:val="00916931"/>
    <w:rsid w:val="00916939"/>
    <w:rsid w:val="00916A9D"/>
    <w:rsid w:val="00916AF0"/>
    <w:rsid w:val="00916C22"/>
    <w:rsid w:val="00916C81"/>
    <w:rsid w:val="00916D23"/>
    <w:rsid w:val="00916D4B"/>
    <w:rsid w:val="00916D55"/>
    <w:rsid w:val="00916EA5"/>
    <w:rsid w:val="00916F09"/>
    <w:rsid w:val="00916F41"/>
    <w:rsid w:val="00916FE8"/>
    <w:rsid w:val="00917110"/>
    <w:rsid w:val="00917165"/>
    <w:rsid w:val="009171BB"/>
    <w:rsid w:val="00917258"/>
    <w:rsid w:val="009172F8"/>
    <w:rsid w:val="00917305"/>
    <w:rsid w:val="0091732B"/>
    <w:rsid w:val="00917330"/>
    <w:rsid w:val="00917340"/>
    <w:rsid w:val="00917363"/>
    <w:rsid w:val="009173F8"/>
    <w:rsid w:val="0091741C"/>
    <w:rsid w:val="0091750E"/>
    <w:rsid w:val="00917537"/>
    <w:rsid w:val="00917643"/>
    <w:rsid w:val="00917649"/>
    <w:rsid w:val="0091765B"/>
    <w:rsid w:val="00917673"/>
    <w:rsid w:val="009176E8"/>
    <w:rsid w:val="009178EF"/>
    <w:rsid w:val="0091791B"/>
    <w:rsid w:val="0091795D"/>
    <w:rsid w:val="00917965"/>
    <w:rsid w:val="009179D9"/>
    <w:rsid w:val="00917A29"/>
    <w:rsid w:val="00917B15"/>
    <w:rsid w:val="00917B2D"/>
    <w:rsid w:val="00917B85"/>
    <w:rsid w:val="00917C0E"/>
    <w:rsid w:val="00917C42"/>
    <w:rsid w:val="00917C6D"/>
    <w:rsid w:val="00917DCC"/>
    <w:rsid w:val="00917F74"/>
    <w:rsid w:val="00917FD8"/>
    <w:rsid w:val="00920097"/>
    <w:rsid w:val="009200A7"/>
    <w:rsid w:val="00920115"/>
    <w:rsid w:val="0092023D"/>
    <w:rsid w:val="00920345"/>
    <w:rsid w:val="00920394"/>
    <w:rsid w:val="00920495"/>
    <w:rsid w:val="0092052A"/>
    <w:rsid w:val="00920594"/>
    <w:rsid w:val="00920597"/>
    <w:rsid w:val="009205A8"/>
    <w:rsid w:val="009205B6"/>
    <w:rsid w:val="009205D1"/>
    <w:rsid w:val="009205D5"/>
    <w:rsid w:val="00920603"/>
    <w:rsid w:val="0092061B"/>
    <w:rsid w:val="0092065F"/>
    <w:rsid w:val="009206F4"/>
    <w:rsid w:val="0092077B"/>
    <w:rsid w:val="009207A6"/>
    <w:rsid w:val="009207D6"/>
    <w:rsid w:val="009207FA"/>
    <w:rsid w:val="0092080C"/>
    <w:rsid w:val="00920857"/>
    <w:rsid w:val="009208C7"/>
    <w:rsid w:val="00920A05"/>
    <w:rsid w:val="00920A74"/>
    <w:rsid w:val="00920AAF"/>
    <w:rsid w:val="00920ADE"/>
    <w:rsid w:val="00920AFA"/>
    <w:rsid w:val="00920B83"/>
    <w:rsid w:val="00920BF1"/>
    <w:rsid w:val="00920C17"/>
    <w:rsid w:val="00920C60"/>
    <w:rsid w:val="00920C73"/>
    <w:rsid w:val="00920CB3"/>
    <w:rsid w:val="00920D26"/>
    <w:rsid w:val="00920DCC"/>
    <w:rsid w:val="009210D5"/>
    <w:rsid w:val="00921188"/>
    <w:rsid w:val="009211C8"/>
    <w:rsid w:val="0092123D"/>
    <w:rsid w:val="00921357"/>
    <w:rsid w:val="0092137C"/>
    <w:rsid w:val="00921410"/>
    <w:rsid w:val="00921415"/>
    <w:rsid w:val="00921419"/>
    <w:rsid w:val="00921429"/>
    <w:rsid w:val="0092149A"/>
    <w:rsid w:val="00921532"/>
    <w:rsid w:val="00921556"/>
    <w:rsid w:val="009215A4"/>
    <w:rsid w:val="00921662"/>
    <w:rsid w:val="0092166C"/>
    <w:rsid w:val="0092167E"/>
    <w:rsid w:val="009216D9"/>
    <w:rsid w:val="009216E3"/>
    <w:rsid w:val="00921716"/>
    <w:rsid w:val="00921725"/>
    <w:rsid w:val="00921788"/>
    <w:rsid w:val="009218C1"/>
    <w:rsid w:val="0092190C"/>
    <w:rsid w:val="0092194B"/>
    <w:rsid w:val="00921AE8"/>
    <w:rsid w:val="00921B3C"/>
    <w:rsid w:val="00921B55"/>
    <w:rsid w:val="00921B5B"/>
    <w:rsid w:val="00921B74"/>
    <w:rsid w:val="00921B78"/>
    <w:rsid w:val="00921D0B"/>
    <w:rsid w:val="00921D94"/>
    <w:rsid w:val="00921DBC"/>
    <w:rsid w:val="00921DE2"/>
    <w:rsid w:val="00921E91"/>
    <w:rsid w:val="00921EF8"/>
    <w:rsid w:val="00921F14"/>
    <w:rsid w:val="00921F56"/>
    <w:rsid w:val="00921FD0"/>
    <w:rsid w:val="00921FF8"/>
    <w:rsid w:val="00922152"/>
    <w:rsid w:val="00922237"/>
    <w:rsid w:val="0092224D"/>
    <w:rsid w:val="00922256"/>
    <w:rsid w:val="0092226C"/>
    <w:rsid w:val="0092229A"/>
    <w:rsid w:val="0092245E"/>
    <w:rsid w:val="0092247D"/>
    <w:rsid w:val="00922648"/>
    <w:rsid w:val="00922819"/>
    <w:rsid w:val="0092282B"/>
    <w:rsid w:val="0092293E"/>
    <w:rsid w:val="00922A27"/>
    <w:rsid w:val="00922B35"/>
    <w:rsid w:val="00922B63"/>
    <w:rsid w:val="00922BC7"/>
    <w:rsid w:val="00922BF5"/>
    <w:rsid w:val="00922D12"/>
    <w:rsid w:val="00922D15"/>
    <w:rsid w:val="00922DD2"/>
    <w:rsid w:val="00922E65"/>
    <w:rsid w:val="00922EB1"/>
    <w:rsid w:val="00922F26"/>
    <w:rsid w:val="00922F71"/>
    <w:rsid w:val="00922F8D"/>
    <w:rsid w:val="00922FEE"/>
    <w:rsid w:val="0092300F"/>
    <w:rsid w:val="00923072"/>
    <w:rsid w:val="009230A3"/>
    <w:rsid w:val="009230A8"/>
    <w:rsid w:val="0092321A"/>
    <w:rsid w:val="0092322A"/>
    <w:rsid w:val="0092323A"/>
    <w:rsid w:val="009232E0"/>
    <w:rsid w:val="009233BC"/>
    <w:rsid w:val="009233CE"/>
    <w:rsid w:val="009233E8"/>
    <w:rsid w:val="00923411"/>
    <w:rsid w:val="0092343F"/>
    <w:rsid w:val="00923475"/>
    <w:rsid w:val="009234C8"/>
    <w:rsid w:val="00923535"/>
    <w:rsid w:val="00923561"/>
    <w:rsid w:val="00923568"/>
    <w:rsid w:val="009235C1"/>
    <w:rsid w:val="00923621"/>
    <w:rsid w:val="00923630"/>
    <w:rsid w:val="00923670"/>
    <w:rsid w:val="009237C1"/>
    <w:rsid w:val="00923812"/>
    <w:rsid w:val="00923819"/>
    <w:rsid w:val="00923830"/>
    <w:rsid w:val="00923835"/>
    <w:rsid w:val="009239E6"/>
    <w:rsid w:val="009239F4"/>
    <w:rsid w:val="00923A55"/>
    <w:rsid w:val="00923B78"/>
    <w:rsid w:val="00923B7F"/>
    <w:rsid w:val="00923C05"/>
    <w:rsid w:val="00923C8A"/>
    <w:rsid w:val="00923D10"/>
    <w:rsid w:val="00923D9F"/>
    <w:rsid w:val="00923DC4"/>
    <w:rsid w:val="00923DF6"/>
    <w:rsid w:val="00923E2E"/>
    <w:rsid w:val="00923E61"/>
    <w:rsid w:val="00923E80"/>
    <w:rsid w:val="00923EA2"/>
    <w:rsid w:val="00923F52"/>
    <w:rsid w:val="00923FB5"/>
    <w:rsid w:val="00923FC8"/>
    <w:rsid w:val="009240C5"/>
    <w:rsid w:val="009240CE"/>
    <w:rsid w:val="009240F6"/>
    <w:rsid w:val="00924100"/>
    <w:rsid w:val="0092419A"/>
    <w:rsid w:val="009241FF"/>
    <w:rsid w:val="00924201"/>
    <w:rsid w:val="00924203"/>
    <w:rsid w:val="009242C3"/>
    <w:rsid w:val="009242DB"/>
    <w:rsid w:val="009242FC"/>
    <w:rsid w:val="00924469"/>
    <w:rsid w:val="009244F6"/>
    <w:rsid w:val="00924502"/>
    <w:rsid w:val="00924507"/>
    <w:rsid w:val="0092459C"/>
    <w:rsid w:val="009245BA"/>
    <w:rsid w:val="009245D1"/>
    <w:rsid w:val="0092460B"/>
    <w:rsid w:val="0092471E"/>
    <w:rsid w:val="00924782"/>
    <w:rsid w:val="00924863"/>
    <w:rsid w:val="00924910"/>
    <w:rsid w:val="00924953"/>
    <w:rsid w:val="00924A0E"/>
    <w:rsid w:val="00924B65"/>
    <w:rsid w:val="00924C03"/>
    <w:rsid w:val="00924C30"/>
    <w:rsid w:val="00924C99"/>
    <w:rsid w:val="00924CC3"/>
    <w:rsid w:val="00924D13"/>
    <w:rsid w:val="00924D29"/>
    <w:rsid w:val="00924DA0"/>
    <w:rsid w:val="00924EBC"/>
    <w:rsid w:val="00924F45"/>
    <w:rsid w:val="00924FBE"/>
    <w:rsid w:val="00924FC8"/>
    <w:rsid w:val="00924FD8"/>
    <w:rsid w:val="00924FF6"/>
    <w:rsid w:val="0092500F"/>
    <w:rsid w:val="009250B1"/>
    <w:rsid w:val="009251C0"/>
    <w:rsid w:val="009251C2"/>
    <w:rsid w:val="0092523A"/>
    <w:rsid w:val="009252F8"/>
    <w:rsid w:val="00925375"/>
    <w:rsid w:val="00925381"/>
    <w:rsid w:val="00925421"/>
    <w:rsid w:val="00925449"/>
    <w:rsid w:val="0092549D"/>
    <w:rsid w:val="009254C2"/>
    <w:rsid w:val="009255BF"/>
    <w:rsid w:val="00925623"/>
    <w:rsid w:val="00925730"/>
    <w:rsid w:val="00925755"/>
    <w:rsid w:val="009257EC"/>
    <w:rsid w:val="009258CD"/>
    <w:rsid w:val="00925981"/>
    <w:rsid w:val="0092598E"/>
    <w:rsid w:val="00925A70"/>
    <w:rsid w:val="00925A76"/>
    <w:rsid w:val="00925AF0"/>
    <w:rsid w:val="00925B18"/>
    <w:rsid w:val="00925B8B"/>
    <w:rsid w:val="00925C04"/>
    <w:rsid w:val="00925CF3"/>
    <w:rsid w:val="00925D0A"/>
    <w:rsid w:val="00925DBE"/>
    <w:rsid w:val="00925DDA"/>
    <w:rsid w:val="00925E33"/>
    <w:rsid w:val="00925F09"/>
    <w:rsid w:val="00925F1D"/>
    <w:rsid w:val="00925F88"/>
    <w:rsid w:val="00925F95"/>
    <w:rsid w:val="0092604D"/>
    <w:rsid w:val="0092606A"/>
    <w:rsid w:val="00926087"/>
    <w:rsid w:val="00926094"/>
    <w:rsid w:val="009260BD"/>
    <w:rsid w:val="009260F4"/>
    <w:rsid w:val="0092615E"/>
    <w:rsid w:val="00926162"/>
    <w:rsid w:val="0092632F"/>
    <w:rsid w:val="0092636F"/>
    <w:rsid w:val="00926532"/>
    <w:rsid w:val="009265B7"/>
    <w:rsid w:val="009265F3"/>
    <w:rsid w:val="00926606"/>
    <w:rsid w:val="0092661C"/>
    <w:rsid w:val="00926631"/>
    <w:rsid w:val="0092664D"/>
    <w:rsid w:val="009266E2"/>
    <w:rsid w:val="00926793"/>
    <w:rsid w:val="009268A8"/>
    <w:rsid w:val="0092692C"/>
    <w:rsid w:val="00926995"/>
    <w:rsid w:val="00926A46"/>
    <w:rsid w:val="00926AA1"/>
    <w:rsid w:val="00926AAF"/>
    <w:rsid w:val="00926B69"/>
    <w:rsid w:val="00926B6E"/>
    <w:rsid w:val="00926C17"/>
    <w:rsid w:val="00926C7D"/>
    <w:rsid w:val="00926C7E"/>
    <w:rsid w:val="00926DB0"/>
    <w:rsid w:val="00926DEC"/>
    <w:rsid w:val="00926E05"/>
    <w:rsid w:val="00926E2E"/>
    <w:rsid w:val="00926E30"/>
    <w:rsid w:val="00926EE4"/>
    <w:rsid w:val="00926EFA"/>
    <w:rsid w:val="00926F25"/>
    <w:rsid w:val="00926FA7"/>
    <w:rsid w:val="00926FC9"/>
    <w:rsid w:val="00926FD5"/>
    <w:rsid w:val="00926FEB"/>
    <w:rsid w:val="00927040"/>
    <w:rsid w:val="00927064"/>
    <w:rsid w:val="00927088"/>
    <w:rsid w:val="00927184"/>
    <w:rsid w:val="009271BC"/>
    <w:rsid w:val="0092720F"/>
    <w:rsid w:val="00927226"/>
    <w:rsid w:val="0092722B"/>
    <w:rsid w:val="00927328"/>
    <w:rsid w:val="009273AE"/>
    <w:rsid w:val="009274F0"/>
    <w:rsid w:val="00927500"/>
    <w:rsid w:val="00927516"/>
    <w:rsid w:val="0092757B"/>
    <w:rsid w:val="00927659"/>
    <w:rsid w:val="0092768D"/>
    <w:rsid w:val="00927695"/>
    <w:rsid w:val="009276A8"/>
    <w:rsid w:val="0092772E"/>
    <w:rsid w:val="00927776"/>
    <w:rsid w:val="00927782"/>
    <w:rsid w:val="00927844"/>
    <w:rsid w:val="0092787C"/>
    <w:rsid w:val="0092789D"/>
    <w:rsid w:val="009278D7"/>
    <w:rsid w:val="009278F4"/>
    <w:rsid w:val="00927938"/>
    <w:rsid w:val="00927A72"/>
    <w:rsid w:val="00927AB8"/>
    <w:rsid w:val="00927ABC"/>
    <w:rsid w:val="00927B02"/>
    <w:rsid w:val="00927B10"/>
    <w:rsid w:val="00927B26"/>
    <w:rsid w:val="00927B42"/>
    <w:rsid w:val="00927B4B"/>
    <w:rsid w:val="00927C53"/>
    <w:rsid w:val="00927C7E"/>
    <w:rsid w:val="00927E20"/>
    <w:rsid w:val="00927E71"/>
    <w:rsid w:val="00927E84"/>
    <w:rsid w:val="00927EC9"/>
    <w:rsid w:val="00927EEC"/>
    <w:rsid w:val="0093006A"/>
    <w:rsid w:val="00930125"/>
    <w:rsid w:val="0093015B"/>
    <w:rsid w:val="00930189"/>
    <w:rsid w:val="009301B0"/>
    <w:rsid w:val="0093023C"/>
    <w:rsid w:val="00930257"/>
    <w:rsid w:val="0093026D"/>
    <w:rsid w:val="00930337"/>
    <w:rsid w:val="009303A2"/>
    <w:rsid w:val="0093054C"/>
    <w:rsid w:val="00930563"/>
    <w:rsid w:val="0093056A"/>
    <w:rsid w:val="00930576"/>
    <w:rsid w:val="009306B9"/>
    <w:rsid w:val="009306E4"/>
    <w:rsid w:val="009306F7"/>
    <w:rsid w:val="00930736"/>
    <w:rsid w:val="00930738"/>
    <w:rsid w:val="009307C1"/>
    <w:rsid w:val="009307F9"/>
    <w:rsid w:val="0093096B"/>
    <w:rsid w:val="009309A4"/>
    <w:rsid w:val="00930A39"/>
    <w:rsid w:val="00930BBA"/>
    <w:rsid w:val="00930DAB"/>
    <w:rsid w:val="00930DAF"/>
    <w:rsid w:val="00930F05"/>
    <w:rsid w:val="009310BD"/>
    <w:rsid w:val="009310EB"/>
    <w:rsid w:val="00931239"/>
    <w:rsid w:val="00931270"/>
    <w:rsid w:val="00931275"/>
    <w:rsid w:val="009312C7"/>
    <w:rsid w:val="009312D7"/>
    <w:rsid w:val="00931310"/>
    <w:rsid w:val="0093131B"/>
    <w:rsid w:val="0093137B"/>
    <w:rsid w:val="009313C5"/>
    <w:rsid w:val="00931402"/>
    <w:rsid w:val="00931407"/>
    <w:rsid w:val="0093140B"/>
    <w:rsid w:val="00931441"/>
    <w:rsid w:val="0093145C"/>
    <w:rsid w:val="009314EA"/>
    <w:rsid w:val="009315E9"/>
    <w:rsid w:val="00931658"/>
    <w:rsid w:val="009316B9"/>
    <w:rsid w:val="009316DC"/>
    <w:rsid w:val="0093174C"/>
    <w:rsid w:val="00931775"/>
    <w:rsid w:val="009317A3"/>
    <w:rsid w:val="009317F6"/>
    <w:rsid w:val="00931839"/>
    <w:rsid w:val="0093183B"/>
    <w:rsid w:val="0093185C"/>
    <w:rsid w:val="0093187A"/>
    <w:rsid w:val="009318B4"/>
    <w:rsid w:val="00931A33"/>
    <w:rsid w:val="00931A66"/>
    <w:rsid w:val="00931A78"/>
    <w:rsid w:val="00931A9C"/>
    <w:rsid w:val="00931AB3"/>
    <w:rsid w:val="00931B13"/>
    <w:rsid w:val="00931B33"/>
    <w:rsid w:val="00931BFD"/>
    <w:rsid w:val="00931CF1"/>
    <w:rsid w:val="00931D83"/>
    <w:rsid w:val="00931DC2"/>
    <w:rsid w:val="00931DF2"/>
    <w:rsid w:val="00931E1A"/>
    <w:rsid w:val="00931E75"/>
    <w:rsid w:val="00931F4A"/>
    <w:rsid w:val="00931FC9"/>
    <w:rsid w:val="00932037"/>
    <w:rsid w:val="0093204A"/>
    <w:rsid w:val="0093210D"/>
    <w:rsid w:val="00932111"/>
    <w:rsid w:val="00932130"/>
    <w:rsid w:val="0093215F"/>
    <w:rsid w:val="00932265"/>
    <w:rsid w:val="009322EE"/>
    <w:rsid w:val="00932392"/>
    <w:rsid w:val="0093247B"/>
    <w:rsid w:val="00932482"/>
    <w:rsid w:val="009324BD"/>
    <w:rsid w:val="009324C8"/>
    <w:rsid w:val="0093253E"/>
    <w:rsid w:val="009325D7"/>
    <w:rsid w:val="009325E2"/>
    <w:rsid w:val="009325EC"/>
    <w:rsid w:val="0093260D"/>
    <w:rsid w:val="0093263D"/>
    <w:rsid w:val="0093265D"/>
    <w:rsid w:val="00932678"/>
    <w:rsid w:val="00932734"/>
    <w:rsid w:val="009327C9"/>
    <w:rsid w:val="009327D5"/>
    <w:rsid w:val="00932814"/>
    <w:rsid w:val="00932819"/>
    <w:rsid w:val="00932821"/>
    <w:rsid w:val="0093287C"/>
    <w:rsid w:val="009328BE"/>
    <w:rsid w:val="0093295D"/>
    <w:rsid w:val="009329D3"/>
    <w:rsid w:val="00932B38"/>
    <w:rsid w:val="00932BFD"/>
    <w:rsid w:val="00932C48"/>
    <w:rsid w:val="00932CA1"/>
    <w:rsid w:val="00932D50"/>
    <w:rsid w:val="00932D89"/>
    <w:rsid w:val="00932D8B"/>
    <w:rsid w:val="00932E0C"/>
    <w:rsid w:val="009330BF"/>
    <w:rsid w:val="009330E3"/>
    <w:rsid w:val="00933107"/>
    <w:rsid w:val="009331A9"/>
    <w:rsid w:val="009331DC"/>
    <w:rsid w:val="00933251"/>
    <w:rsid w:val="0093325B"/>
    <w:rsid w:val="0093331C"/>
    <w:rsid w:val="00933367"/>
    <w:rsid w:val="00933407"/>
    <w:rsid w:val="00933523"/>
    <w:rsid w:val="009335BB"/>
    <w:rsid w:val="0093365E"/>
    <w:rsid w:val="009336E9"/>
    <w:rsid w:val="009336F4"/>
    <w:rsid w:val="0093371B"/>
    <w:rsid w:val="00933790"/>
    <w:rsid w:val="00933791"/>
    <w:rsid w:val="009337F1"/>
    <w:rsid w:val="009337F2"/>
    <w:rsid w:val="0093381D"/>
    <w:rsid w:val="009338AA"/>
    <w:rsid w:val="009338E2"/>
    <w:rsid w:val="00933A14"/>
    <w:rsid w:val="00933A20"/>
    <w:rsid w:val="00933A4E"/>
    <w:rsid w:val="00933A6D"/>
    <w:rsid w:val="00933AAC"/>
    <w:rsid w:val="00933B69"/>
    <w:rsid w:val="00933B8A"/>
    <w:rsid w:val="00933C27"/>
    <w:rsid w:val="00933C63"/>
    <w:rsid w:val="00933C68"/>
    <w:rsid w:val="00933D1B"/>
    <w:rsid w:val="00933D3B"/>
    <w:rsid w:val="00933DB2"/>
    <w:rsid w:val="00933DE7"/>
    <w:rsid w:val="00933E9D"/>
    <w:rsid w:val="00933EAC"/>
    <w:rsid w:val="00933FED"/>
    <w:rsid w:val="00934015"/>
    <w:rsid w:val="0093403F"/>
    <w:rsid w:val="00934079"/>
    <w:rsid w:val="00934086"/>
    <w:rsid w:val="00934112"/>
    <w:rsid w:val="009341CC"/>
    <w:rsid w:val="009341D6"/>
    <w:rsid w:val="00934229"/>
    <w:rsid w:val="009344A2"/>
    <w:rsid w:val="00934507"/>
    <w:rsid w:val="009345B8"/>
    <w:rsid w:val="0093460C"/>
    <w:rsid w:val="00934749"/>
    <w:rsid w:val="009347CF"/>
    <w:rsid w:val="0093481E"/>
    <w:rsid w:val="0093484E"/>
    <w:rsid w:val="00934850"/>
    <w:rsid w:val="0093487F"/>
    <w:rsid w:val="00934889"/>
    <w:rsid w:val="009348DF"/>
    <w:rsid w:val="009348F4"/>
    <w:rsid w:val="00934A16"/>
    <w:rsid w:val="00934A20"/>
    <w:rsid w:val="00934A2A"/>
    <w:rsid w:val="00934AB2"/>
    <w:rsid w:val="00934C25"/>
    <w:rsid w:val="00934DC3"/>
    <w:rsid w:val="00934DFA"/>
    <w:rsid w:val="00934E21"/>
    <w:rsid w:val="00934E29"/>
    <w:rsid w:val="00934E66"/>
    <w:rsid w:val="00934E86"/>
    <w:rsid w:val="00934EC2"/>
    <w:rsid w:val="00934EFD"/>
    <w:rsid w:val="0093500D"/>
    <w:rsid w:val="0093517C"/>
    <w:rsid w:val="009351C1"/>
    <w:rsid w:val="009351D0"/>
    <w:rsid w:val="009352C3"/>
    <w:rsid w:val="0093530C"/>
    <w:rsid w:val="00935335"/>
    <w:rsid w:val="00935341"/>
    <w:rsid w:val="00935365"/>
    <w:rsid w:val="009353EC"/>
    <w:rsid w:val="009353F8"/>
    <w:rsid w:val="009355DB"/>
    <w:rsid w:val="009355F0"/>
    <w:rsid w:val="0093561D"/>
    <w:rsid w:val="0093567E"/>
    <w:rsid w:val="009356D6"/>
    <w:rsid w:val="009357D5"/>
    <w:rsid w:val="00935973"/>
    <w:rsid w:val="00935A35"/>
    <w:rsid w:val="00935A6A"/>
    <w:rsid w:val="00935A73"/>
    <w:rsid w:val="00935B37"/>
    <w:rsid w:val="00935B4F"/>
    <w:rsid w:val="00935B93"/>
    <w:rsid w:val="00935C05"/>
    <w:rsid w:val="00935C2C"/>
    <w:rsid w:val="00935C50"/>
    <w:rsid w:val="00935E57"/>
    <w:rsid w:val="00935E5A"/>
    <w:rsid w:val="00935E93"/>
    <w:rsid w:val="00935EBA"/>
    <w:rsid w:val="00935EF0"/>
    <w:rsid w:val="00935F14"/>
    <w:rsid w:val="00935F9B"/>
    <w:rsid w:val="00935FA8"/>
    <w:rsid w:val="00935FEF"/>
    <w:rsid w:val="00935FF0"/>
    <w:rsid w:val="0093600B"/>
    <w:rsid w:val="0093614B"/>
    <w:rsid w:val="0093615D"/>
    <w:rsid w:val="009361BC"/>
    <w:rsid w:val="009361E4"/>
    <w:rsid w:val="00936202"/>
    <w:rsid w:val="009362BD"/>
    <w:rsid w:val="009362D2"/>
    <w:rsid w:val="0093633B"/>
    <w:rsid w:val="009363A0"/>
    <w:rsid w:val="009363D5"/>
    <w:rsid w:val="00936418"/>
    <w:rsid w:val="00936458"/>
    <w:rsid w:val="0093647B"/>
    <w:rsid w:val="009364F1"/>
    <w:rsid w:val="00936543"/>
    <w:rsid w:val="00936584"/>
    <w:rsid w:val="0093659E"/>
    <w:rsid w:val="00936632"/>
    <w:rsid w:val="0093663C"/>
    <w:rsid w:val="009367FD"/>
    <w:rsid w:val="00936869"/>
    <w:rsid w:val="009368C6"/>
    <w:rsid w:val="00936902"/>
    <w:rsid w:val="0093693D"/>
    <w:rsid w:val="0093694F"/>
    <w:rsid w:val="0093695A"/>
    <w:rsid w:val="00936974"/>
    <w:rsid w:val="00936980"/>
    <w:rsid w:val="009369C5"/>
    <w:rsid w:val="009369D1"/>
    <w:rsid w:val="00936A1A"/>
    <w:rsid w:val="00936A6C"/>
    <w:rsid w:val="00936B94"/>
    <w:rsid w:val="00936BF3"/>
    <w:rsid w:val="00936C96"/>
    <w:rsid w:val="00936CCC"/>
    <w:rsid w:val="00936D09"/>
    <w:rsid w:val="00936D15"/>
    <w:rsid w:val="00936D86"/>
    <w:rsid w:val="00936DD2"/>
    <w:rsid w:val="00936E1A"/>
    <w:rsid w:val="00936E89"/>
    <w:rsid w:val="00936ED0"/>
    <w:rsid w:val="00937034"/>
    <w:rsid w:val="0093704C"/>
    <w:rsid w:val="00937065"/>
    <w:rsid w:val="00937066"/>
    <w:rsid w:val="00937112"/>
    <w:rsid w:val="0093714D"/>
    <w:rsid w:val="00937175"/>
    <w:rsid w:val="009371CD"/>
    <w:rsid w:val="009371CE"/>
    <w:rsid w:val="009371F1"/>
    <w:rsid w:val="009371FB"/>
    <w:rsid w:val="00937237"/>
    <w:rsid w:val="00937288"/>
    <w:rsid w:val="009372DB"/>
    <w:rsid w:val="009372F6"/>
    <w:rsid w:val="00937346"/>
    <w:rsid w:val="0093738F"/>
    <w:rsid w:val="0093748A"/>
    <w:rsid w:val="009375B1"/>
    <w:rsid w:val="00937608"/>
    <w:rsid w:val="00937646"/>
    <w:rsid w:val="00937736"/>
    <w:rsid w:val="00937790"/>
    <w:rsid w:val="009377C5"/>
    <w:rsid w:val="009377D5"/>
    <w:rsid w:val="00937A97"/>
    <w:rsid w:val="00937B03"/>
    <w:rsid w:val="00937B16"/>
    <w:rsid w:val="00937B42"/>
    <w:rsid w:val="00937B72"/>
    <w:rsid w:val="00937B87"/>
    <w:rsid w:val="00937C06"/>
    <w:rsid w:val="00937C0E"/>
    <w:rsid w:val="00937C16"/>
    <w:rsid w:val="00937C79"/>
    <w:rsid w:val="00937CA9"/>
    <w:rsid w:val="00937D03"/>
    <w:rsid w:val="00937D31"/>
    <w:rsid w:val="00937E22"/>
    <w:rsid w:val="00937E60"/>
    <w:rsid w:val="00937E76"/>
    <w:rsid w:val="00937EB0"/>
    <w:rsid w:val="00937EE1"/>
    <w:rsid w:val="00937F33"/>
    <w:rsid w:val="00937F71"/>
    <w:rsid w:val="00937F9A"/>
    <w:rsid w:val="00937FB1"/>
    <w:rsid w:val="00937FC6"/>
    <w:rsid w:val="00940040"/>
    <w:rsid w:val="00940045"/>
    <w:rsid w:val="0094006B"/>
    <w:rsid w:val="009400D0"/>
    <w:rsid w:val="00940104"/>
    <w:rsid w:val="009401BE"/>
    <w:rsid w:val="00940253"/>
    <w:rsid w:val="00940265"/>
    <w:rsid w:val="00940272"/>
    <w:rsid w:val="009402A1"/>
    <w:rsid w:val="009402B0"/>
    <w:rsid w:val="00940308"/>
    <w:rsid w:val="009403A0"/>
    <w:rsid w:val="009403D2"/>
    <w:rsid w:val="00940404"/>
    <w:rsid w:val="0094046C"/>
    <w:rsid w:val="009404D9"/>
    <w:rsid w:val="00940558"/>
    <w:rsid w:val="0094055C"/>
    <w:rsid w:val="0094059A"/>
    <w:rsid w:val="00940632"/>
    <w:rsid w:val="00940636"/>
    <w:rsid w:val="0094064A"/>
    <w:rsid w:val="0094069C"/>
    <w:rsid w:val="00940757"/>
    <w:rsid w:val="009407C6"/>
    <w:rsid w:val="00940862"/>
    <w:rsid w:val="009408EC"/>
    <w:rsid w:val="00940984"/>
    <w:rsid w:val="009409E2"/>
    <w:rsid w:val="00940ADB"/>
    <w:rsid w:val="00940AE6"/>
    <w:rsid w:val="00940B19"/>
    <w:rsid w:val="00940B3E"/>
    <w:rsid w:val="00940BDB"/>
    <w:rsid w:val="00940C55"/>
    <w:rsid w:val="00940C90"/>
    <w:rsid w:val="00940E17"/>
    <w:rsid w:val="00940EEE"/>
    <w:rsid w:val="00940F80"/>
    <w:rsid w:val="00940F89"/>
    <w:rsid w:val="00940F8D"/>
    <w:rsid w:val="009410C1"/>
    <w:rsid w:val="009410E8"/>
    <w:rsid w:val="0094113F"/>
    <w:rsid w:val="0094117E"/>
    <w:rsid w:val="009412B5"/>
    <w:rsid w:val="00941319"/>
    <w:rsid w:val="00941472"/>
    <w:rsid w:val="0094148E"/>
    <w:rsid w:val="009414FB"/>
    <w:rsid w:val="0094158A"/>
    <w:rsid w:val="0094159E"/>
    <w:rsid w:val="009415FC"/>
    <w:rsid w:val="00941614"/>
    <w:rsid w:val="00941694"/>
    <w:rsid w:val="00941707"/>
    <w:rsid w:val="0094175D"/>
    <w:rsid w:val="009417BA"/>
    <w:rsid w:val="009417C6"/>
    <w:rsid w:val="00941823"/>
    <w:rsid w:val="00941828"/>
    <w:rsid w:val="00941886"/>
    <w:rsid w:val="0094188C"/>
    <w:rsid w:val="009418D6"/>
    <w:rsid w:val="009418DA"/>
    <w:rsid w:val="00941971"/>
    <w:rsid w:val="00941A1B"/>
    <w:rsid w:val="00941A6D"/>
    <w:rsid w:val="00941A71"/>
    <w:rsid w:val="00941AAD"/>
    <w:rsid w:val="00941B5E"/>
    <w:rsid w:val="00941B72"/>
    <w:rsid w:val="00941BE4"/>
    <w:rsid w:val="00941C59"/>
    <w:rsid w:val="00941C89"/>
    <w:rsid w:val="00941CA4"/>
    <w:rsid w:val="00941CAB"/>
    <w:rsid w:val="00941CBC"/>
    <w:rsid w:val="00941CCB"/>
    <w:rsid w:val="00941CE6"/>
    <w:rsid w:val="00941CF0"/>
    <w:rsid w:val="00941CF6"/>
    <w:rsid w:val="00941CFB"/>
    <w:rsid w:val="00941D36"/>
    <w:rsid w:val="00941D4F"/>
    <w:rsid w:val="00941DEB"/>
    <w:rsid w:val="00941E9A"/>
    <w:rsid w:val="00941F21"/>
    <w:rsid w:val="00941FDA"/>
    <w:rsid w:val="00942120"/>
    <w:rsid w:val="009421DE"/>
    <w:rsid w:val="00942226"/>
    <w:rsid w:val="009422AF"/>
    <w:rsid w:val="009422FA"/>
    <w:rsid w:val="009423D0"/>
    <w:rsid w:val="0094249A"/>
    <w:rsid w:val="009425EC"/>
    <w:rsid w:val="0094263F"/>
    <w:rsid w:val="00942655"/>
    <w:rsid w:val="009426AF"/>
    <w:rsid w:val="00942703"/>
    <w:rsid w:val="00942795"/>
    <w:rsid w:val="0094280A"/>
    <w:rsid w:val="0094286D"/>
    <w:rsid w:val="0094290E"/>
    <w:rsid w:val="0094293B"/>
    <w:rsid w:val="0094296F"/>
    <w:rsid w:val="0094298E"/>
    <w:rsid w:val="00942A33"/>
    <w:rsid w:val="00942AF7"/>
    <w:rsid w:val="00942BE4"/>
    <w:rsid w:val="00942CDF"/>
    <w:rsid w:val="00942D4F"/>
    <w:rsid w:val="00942D9C"/>
    <w:rsid w:val="00942EB4"/>
    <w:rsid w:val="00942EFB"/>
    <w:rsid w:val="00942F65"/>
    <w:rsid w:val="00942F9C"/>
    <w:rsid w:val="00942FB8"/>
    <w:rsid w:val="0094304E"/>
    <w:rsid w:val="0094306D"/>
    <w:rsid w:val="009430F2"/>
    <w:rsid w:val="009430F6"/>
    <w:rsid w:val="0094315F"/>
    <w:rsid w:val="0094318A"/>
    <w:rsid w:val="009431F6"/>
    <w:rsid w:val="00943202"/>
    <w:rsid w:val="00943233"/>
    <w:rsid w:val="0094327A"/>
    <w:rsid w:val="009432E8"/>
    <w:rsid w:val="0094339A"/>
    <w:rsid w:val="0094348B"/>
    <w:rsid w:val="00943593"/>
    <w:rsid w:val="00943646"/>
    <w:rsid w:val="009436CB"/>
    <w:rsid w:val="0094374B"/>
    <w:rsid w:val="009437C5"/>
    <w:rsid w:val="00943809"/>
    <w:rsid w:val="00943908"/>
    <w:rsid w:val="0094392B"/>
    <w:rsid w:val="009439AB"/>
    <w:rsid w:val="00943A50"/>
    <w:rsid w:val="00943A5A"/>
    <w:rsid w:val="00943A87"/>
    <w:rsid w:val="00943A8B"/>
    <w:rsid w:val="00943C62"/>
    <w:rsid w:val="00943C8D"/>
    <w:rsid w:val="00943D32"/>
    <w:rsid w:val="00943D4E"/>
    <w:rsid w:val="00943E1D"/>
    <w:rsid w:val="00943E59"/>
    <w:rsid w:val="00943E7A"/>
    <w:rsid w:val="00943F22"/>
    <w:rsid w:val="00943F64"/>
    <w:rsid w:val="00943F80"/>
    <w:rsid w:val="00943F88"/>
    <w:rsid w:val="00943FCB"/>
    <w:rsid w:val="00943FD1"/>
    <w:rsid w:val="009440B0"/>
    <w:rsid w:val="009440C9"/>
    <w:rsid w:val="00944119"/>
    <w:rsid w:val="00944120"/>
    <w:rsid w:val="0094412B"/>
    <w:rsid w:val="0094416E"/>
    <w:rsid w:val="00944231"/>
    <w:rsid w:val="0094428E"/>
    <w:rsid w:val="009442C0"/>
    <w:rsid w:val="009442C6"/>
    <w:rsid w:val="00944332"/>
    <w:rsid w:val="009444C6"/>
    <w:rsid w:val="0094452C"/>
    <w:rsid w:val="009445F4"/>
    <w:rsid w:val="0094468E"/>
    <w:rsid w:val="00944720"/>
    <w:rsid w:val="0094472F"/>
    <w:rsid w:val="00944849"/>
    <w:rsid w:val="00944986"/>
    <w:rsid w:val="00944A52"/>
    <w:rsid w:val="00944AB4"/>
    <w:rsid w:val="00944AEF"/>
    <w:rsid w:val="00944B4C"/>
    <w:rsid w:val="00944B59"/>
    <w:rsid w:val="00944B5E"/>
    <w:rsid w:val="00944B93"/>
    <w:rsid w:val="00944BDD"/>
    <w:rsid w:val="00944C61"/>
    <w:rsid w:val="00944C84"/>
    <w:rsid w:val="00944CA6"/>
    <w:rsid w:val="00944CEA"/>
    <w:rsid w:val="00944CEC"/>
    <w:rsid w:val="00944D3A"/>
    <w:rsid w:val="00944E01"/>
    <w:rsid w:val="00944E31"/>
    <w:rsid w:val="00944F8E"/>
    <w:rsid w:val="00944FCA"/>
    <w:rsid w:val="00944FE6"/>
    <w:rsid w:val="0094501F"/>
    <w:rsid w:val="0094503B"/>
    <w:rsid w:val="00945042"/>
    <w:rsid w:val="0094513F"/>
    <w:rsid w:val="0094514D"/>
    <w:rsid w:val="009451C0"/>
    <w:rsid w:val="009451D4"/>
    <w:rsid w:val="0094527C"/>
    <w:rsid w:val="009452B4"/>
    <w:rsid w:val="009452BE"/>
    <w:rsid w:val="00945425"/>
    <w:rsid w:val="00945436"/>
    <w:rsid w:val="00945509"/>
    <w:rsid w:val="00945596"/>
    <w:rsid w:val="009455AF"/>
    <w:rsid w:val="009455D0"/>
    <w:rsid w:val="009456A8"/>
    <w:rsid w:val="00945764"/>
    <w:rsid w:val="00945780"/>
    <w:rsid w:val="00945798"/>
    <w:rsid w:val="0094584B"/>
    <w:rsid w:val="0094589C"/>
    <w:rsid w:val="009459A7"/>
    <w:rsid w:val="009459C8"/>
    <w:rsid w:val="009459DD"/>
    <w:rsid w:val="00945A4C"/>
    <w:rsid w:val="00945A69"/>
    <w:rsid w:val="00945A7B"/>
    <w:rsid w:val="00945AA0"/>
    <w:rsid w:val="00945BB9"/>
    <w:rsid w:val="00945C0A"/>
    <w:rsid w:val="00945C20"/>
    <w:rsid w:val="00945C6A"/>
    <w:rsid w:val="00945CC3"/>
    <w:rsid w:val="00945CFD"/>
    <w:rsid w:val="00945D12"/>
    <w:rsid w:val="00945D1B"/>
    <w:rsid w:val="00945D65"/>
    <w:rsid w:val="00945D89"/>
    <w:rsid w:val="00945D8C"/>
    <w:rsid w:val="00945DF9"/>
    <w:rsid w:val="00945E15"/>
    <w:rsid w:val="00945F28"/>
    <w:rsid w:val="00945F69"/>
    <w:rsid w:val="00945FDC"/>
    <w:rsid w:val="00945FEE"/>
    <w:rsid w:val="00946021"/>
    <w:rsid w:val="00946078"/>
    <w:rsid w:val="00946192"/>
    <w:rsid w:val="00946267"/>
    <w:rsid w:val="009462B1"/>
    <w:rsid w:val="009462F8"/>
    <w:rsid w:val="009463B5"/>
    <w:rsid w:val="009463C8"/>
    <w:rsid w:val="009463C9"/>
    <w:rsid w:val="009464C1"/>
    <w:rsid w:val="009464C5"/>
    <w:rsid w:val="0094662D"/>
    <w:rsid w:val="0094664F"/>
    <w:rsid w:val="00946703"/>
    <w:rsid w:val="0094677D"/>
    <w:rsid w:val="00946846"/>
    <w:rsid w:val="0094687B"/>
    <w:rsid w:val="00946882"/>
    <w:rsid w:val="00946932"/>
    <w:rsid w:val="0094698A"/>
    <w:rsid w:val="00946999"/>
    <w:rsid w:val="009469DB"/>
    <w:rsid w:val="00946B77"/>
    <w:rsid w:val="00946B7B"/>
    <w:rsid w:val="00946B95"/>
    <w:rsid w:val="00946C0D"/>
    <w:rsid w:val="00946CA4"/>
    <w:rsid w:val="00946CC3"/>
    <w:rsid w:val="00946DC4"/>
    <w:rsid w:val="00946DE0"/>
    <w:rsid w:val="00946E5B"/>
    <w:rsid w:val="00946FCC"/>
    <w:rsid w:val="00946FFF"/>
    <w:rsid w:val="0094700E"/>
    <w:rsid w:val="0094703A"/>
    <w:rsid w:val="00947071"/>
    <w:rsid w:val="00947075"/>
    <w:rsid w:val="00947118"/>
    <w:rsid w:val="009471E1"/>
    <w:rsid w:val="00947276"/>
    <w:rsid w:val="009472EB"/>
    <w:rsid w:val="00947407"/>
    <w:rsid w:val="00947427"/>
    <w:rsid w:val="0094754B"/>
    <w:rsid w:val="009475B5"/>
    <w:rsid w:val="009476BE"/>
    <w:rsid w:val="00947730"/>
    <w:rsid w:val="0094776F"/>
    <w:rsid w:val="009477DE"/>
    <w:rsid w:val="0094786B"/>
    <w:rsid w:val="0094787B"/>
    <w:rsid w:val="009479E7"/>
    <w:rsid w:val="00947A40"/>
    <w:rsid w:val="00947AA0"/>
    <w:rsid w:val="00947B48"/>
    <w:rsid w:val="00947B7B"/>
    <w:rsid w:val="00947C94"/>
    <w:rsid w:val="00947CE8"/>
    <w:rsid w:val="00947D71"/>
    <w:rsid w:val="00947D8A"/>
    <w:rsid w:val="00947EB1"/>
    <w:rsid w:val="00947ECC"/>
    <w:rsid w:val="00947F06"/>
    <w:rsid w:val="00947F5B"/>
    <w:rsid w:val="0095005D"/>
    <w:rsid w:val="00950152"/>
    <w:rsid w:val="009501B7"/>
    <w:rsid w:val="009501ED"/>
    <w:rsid w:val="0095028D"/>
    <w:rsid w:val="0095030B"/>
    <w:rsid w:val="00950389"/>
    <w:rsid w:val="00950499"/>
    <w:rsid w:val="009505C9"/>
    <w:rsid w:val="0095061F"/>
    <w:rsid w:val="00950662"/>
    <w:rsid w:val="0095087D"/>
    <w:rsid w:val="00950900"/>
    <w:rsid w:val="009509D5"/>
    <w:rsid w:val="00950AC5"/>
    <w:rsid w:val="00950C2A"/>
    <w:rsid w:val="00950C3B"/>
    <w:rsid w:val="00950DAF"/>
    <w:rsid w:val="00950DB4"/>
    <w:rsid w:val="00950DD9"/>
    <w:rsid w:val="00950E33"/>
    <w:rsid w:val="00950E75"/>
    <w:rsid w:val="00950ECE"/>
    <w:rsid w:val="00950ED1"/>
    <w:rsid w:val="00950F0F"/>
    <w:rsid w:val="00950F3B"/>
    <w:rsid w:val="00950F6F"/>
    <w:rsid w:val="00951023"/>
    <w:rsid w:val="00951074"/>
    <w:rsid w:val="00951190"/>
    <w:rsid w:val="009511D7"/>
    <w:rsid w:val="00951223"/>
    <w:rsid w:val="00951298"/>
    <w:rsid w:val="009512DC"/>
    <w:rsid w:val="0095135C"/>
    <w:rsid w:val="009514AC"/>
    <w:rsid w:val="0095164E"/>
    <w:rsid w:val="00951673"/>
    <w:rsid w:val="009516A9"/>
    <w:rsid w:val="009516F5"/>
    <w:rsid w:val="00951767"/>
    <w:rsid w:val="00951772"/>
    <w:rsid w:val="00951796"/>
    <w:rsid w:val="009517A1"/>
    <w:rsid w:val="0095183A"/>
    <w:rsid w:val="0095186B"/>
    <w:rsid w:val="009518B3"/>
    <w:rsid w:val="00951BB6"/>
    <w:rsid w:val="00951C7D"/>
    <w:rsid w:val="00951CDB"/>
    <w:rsid w:val="00951CFA"/>
    <w:rsid w:val="00951D17"/>
    <w:rsid w:val="00951DC4"/>
    <w:rsid w:val="00951E16"/>
    <w:rsid w:val="00951E90"/>
    <w:rsid w:val="00952051"/>
    <w:rsid w:val="00952077"/>
    <w:rsid w:val="00952126"/>
    <w:rsid w:val="00952177"/>
    <w:rsid w:val="00952183"/>
    <w:rsid w:val="00952212"/>
    <w:rsid w:val="0095226F"/>
    <w:rsid w:val="0095227C"/>
    <w:rsid w:val="009522DF"/>
    <w:rsid w:val="009522FE"/>
    <w:rsid w:val="009523B1"/>
    <w:rsid w:val="00952440"/>
    <w:rsid w:val="00952455"/>
    <w:rsid w:val="00952598"/>
    <w:rsid w:val="0095267C"/>
    <w:rsid w:val="009526F4"/>
    <w:rsid w:val="0095270B"/>
    <w:rsid w:val="0095272B"/>
    <w:rsid w:val="0095286A"/>
    <w:rsid w:val="009528D0"/>
    <w:rsid w:val="009528F0"/>
    <w:rsid w:val="0095291F"/>
    <w:rsid w:val="00952941"/>
    <w:rsid w:val="00952985"/>
    <w:rsid w:val="009529C9"/>
    <w:rsid w:val="00952A12"/>
    <w:rsid w:val="00952A9D"/>
    <w:rsid w:val="00952AA6"/>
    <w:rsid w:val="00952AD5"/>
    <w:rsid w:val="00952B44"/>
    <w:rsid w:val="00952BE7"/>
    <w:rsid w:val="00952BFF"/>
    <w:rsid w:val="00952C8B"/>
    <w:rsid w:val="00952D3D"/>
    <w:rsid w:val="00952D81"/>
    <w:rsid w:val="00952DBE"/>
    <w:rsid w:val="00952DC4"/>
    <w:rsid w:val="00952E1C"/>
    <w:rsid w:val="00952E78"/>
    <w:rsid w:val="00952E91"/>
    <w:rsid w:val="00952EA1"/>
    <w:rsid w:val="00952EAA"/>
    <w:rsid w:val="00952EFD"/>
    <w:rsid w:val="00953022"/>
    <w:rsid w:val="009530A5"/>
    <w:rsid w:val="009530D9"/>
    <w:rsid w:val="00953174"/>
    <w:rsid w:val="00953179"/>
    <w:rsid w:val="009531B6"/>
    <w:rsid w:val="00953296"/>
    <w:rsid w:val="009532B1"/>
    <w:rsid w:val="00953327"/>
    <w:rsid w:val="00953484"/>
    <w:rsid w:val="009534B7"/>
    <w:rsid w:val="00953949"/>
    <w:rsid w:val="00953983"/>
    <w:rsid w:val="00953AEF"/>
    <w:rsid w:val="00953B0E"/>
    <w:rsid w:val="00953B33"/>
    <w:rsid w:val="00953B42"/>
    <w:rsid w:val="00953B46"/>
    <w:rsid w:val="00953B8B"/>
    <w:rsid w:val="00953C18"/>
    <w:rsid w:val="00953CA6"/>
    <w:rsid w:val="00953D7B"/>
    <w:rsid w:val="00953DDB"/>
    <w:rsid w:val="00953E1F"/>
    <w:rsid w:val="00953FAC"/>
    <w:rsid w:val="00954042"/>
    <w:rsid w:val="00954051"/>
    <w:rsid w:val="0095414B"/>
    <w:rsid w:val="00954164"/>
    <w:rsid w:val="00954263"/>
    <w:rsid w:val="00954323"/>
    <w:rsid w:val="009543FC"/>
    <w:rsid w:val="00954474"/>
    <w:rsid w:val="009544BF"/>
    <w:rsid w:val="009544C4"/>
    <w:rsid w:val="009544CE"/>
    <w:rsid w:val="009544E3"/>
    <w:rsid w:val="009544FC"/>
    <w:rsid w:val="00954543"/>
    <w:rsid w:val="009545B8"/>
    <w:rsid w:val="00954631"/>
    <w:rsid w:val="00954683"/>
    <w:rsid w:val="009546BD"/>
    <w:rsid w:val="00954741"/>
    <w:rsid w:val="0095475E"/>
    <w:rsid w:val="00954773"/>
    <w:rsid w:val="009547E7"/>
    <w:rsid w:val="0095485A"/>
    <w:rsid w:val="0095485B"/>
    <w:rsid w:val="0095489B"/>
    <w:rsid w:val="009548EB"/>
    <w:rsid w:val="00954965"/>
    <w:rsid w:val="009549F3"/>
    <w:rsid w:val="009549F5"/>
    <w:rsid w:val="00954A51"/>
    <w:rsid w:val="00954AB2"/>
    <w:rsid w:val="00954AEA"/>
    <w:rsid w:val="00954B2E"/>
    <w:rsid w:val="00954B66"/>
    <w:rsid w:val="00954C91"/>
    <w:rsid w:val="00954D37"/>
    <w:rsid w:val="00954D44"/>
    <w:rsid w:val="00954DD5"/>
    <w:rsid w:val="00954E19"/>
    <w:rsid w:val="00954E40"/>
    <w:rsid w:val="00954E77"/>
    <w:rsid w:val="00954E9C"/>
    <w:rsid w:val="00954EB0"/>
    <w:rsid w:val="00954F89"/>
    <w:rsid w:val="00954FC3"/>
    <w:rsid w:val="00954FDE"/>
    <w:rsid w:val="009550A4"/>
    <w:rsid w:val="009550B7"/>
    <w:rsid w:val="009550CD"/>
    <w:rsid w:val="009550DB"/>
    <w:rsid w:val="009550E1"/>
    <w:rsid w:val="00955287"/>
    <w:rsid w:val="009552BE"/>
    <w:rsid w:val="009552FB"/>
    <w:rsid w:val="0095532D"/>
    <w:rsid w:val="0095534D"/>
    <w:rsid w:val="00955373"/>
    <w:rsid w:val="0095539F"/>
    <w:rsid w:val="0095541C"/>
    <w:rsid w:val="0095542A"/>
    <w:rsid w:val="00955438"/>
    <w:rsid w:val="009554F4"/>
    <w:rsid w:val="0095557D"/>
    <w:rsid w:val="00955696"/>
    <w:rsid w:val="00955765"/>
    <w:rsid w:val="009557A7"/>
    <w:rsid w:val="00955834"/>
    <w:rsid w:val="009558BB"/>
    <w:rsid w:val="00955920"/>
    <w:rsid w:val="00955944"/>
    <w:rsid w:val="009559DB"/>
    <w:rsid w:val="009559E8"/>
    <w:rsid w:val="00955A06"/>
    <w:rsid w:val="00955A6B"/>
    <w:rsid w:val="00955AE5"/>
    <w:rsid w:val="00955B70"/>
    <w:rsid w:val="00955BFF"/>
    <w:rsid w:val="00955C07"/>
    <w:rsid w:val="00955C22"/>
    <w:rsid w:val="00955CAE"/>
    <w:rsid w:val="00955D0D"/>
    <w:rsid w:val="00955D0F"/>
    <w:rsid w:val="00955D20"/>
    <w:rsid w:val="00955D4D"/>
    <w:rsid w:val="00955D77"/>
    <w:rsid w:val="00955D84"/>
    <w:rsid w:val="00955DD5"/>
    <w:rsid w:val="00955DDB"/>
    <w:rsid w:val="00955E40"/>
    <w:rsid w:val="00955E7C"/>
    <w:rsid w:val="00955ED4"/>
    <w:rsid w:val="0095600F"/>
    <w:rsid w:val="009560A7"/>
    <w:rsid w:val="009560E5"/>
    <w:rsid w:val="009560F0"/>
    <w:rsid w:val="00956237"/>
    <w:rsid w:val="00956276"/>
    <w:rsid w:val="00956288"/>
    <w:rsid w:val="00956401"/>
    <w:rsid w:val="00956473"/>
    <w:rsid w:val="009564D3"/>
    <w:rsid w:val="0095651B"/>
    <w:rsid w:val="0095661A"/>
    <w:rsid w:val="00956655"/>
    <w:rsid w:val="00956789"/>
    <w:rsid w:val="0095679F"/>
    <w:rsid w:val="009567DE"/>
    <w:rsid w:val="00956804"/>
    <w:rsid w:val="009568E6"/>
    <w:rsid w:val="009569B5"/>
    <w:rsid w:val="00956A14"/>
    <w:rsid w:val="00956A3E"/>
    <w:rsid w:val="00956A5C"/>
    <w:rsid w:val="00956BE4"/>
    <w:rsid w:val="00956C03"/>
    <w:rsid w:val="00956C43"/>
    <w:rsid w:val="00956C51"/>
    <w:rsid w:val="00956DCD"/>
    <w:rsid w:val="00956E1A"/>
    <w:rsid w:val="00956E2C"/>
    <w:rsid w:val="00956E2E"/>
    <w:rsid w:val="00956ED1"/>
    <w:rsid w:val="00956FBE"/>
    <w:rsid w:val="0095703A"/>
    <w:rsid w:val="00957115"/>
    <w:rsid w:val="009571FC"/>
    <w:rsid w:val="00957211"/>
    <w:rsid w:val="00957280"/>
    <w:rsid w:val="00957324"/>
    <w:rsid w:val="00957336"/>
    <w:rsid w:val="009574B0"/>
    <w:rsid w:val="009574E0"/>
    <w:rsid w:val="009574EC"/>
    <w:rsid w:val="00957504"/>
    <w:rsid w:val="0095750F"/>
    <w:rsid w:val="00957513"/>
    <w:rsid w:val="0095759D"/>
    <w:rsid w:val="00957637"/>
    <w:rsid w:val="0095769B"/>
    <w:rsid w:val="009576F8"/>
    <w:rsid w:val="0095778B"/>
    <w:rsid w:val="00957863"/>
    <w:rsid w:val="0095790E"/>
    <w:rsid w:val="00957984"/>
    <w:rsid w:val="00957A43"/>
    <w:rsid w:val="00957AEE"/>
    <w:rsid w:val="00957B9C"/>
    <w:rsid w:val="00957CA5"/>
    <w:rsid w:val="00957EFD"/>
    <w:rsid w:val="00957F1D"/>
    <w:rsid w:val="00957FBC"/>
    <w:rsid w:val="00960002"/>
    <w:rsid w:val="00960019"/>
    <w:rsid w:val="0096001F"/>
    <w:rsid w:val="0096003A"/>
    <w:rsid w:val="0096004B"/>
    <w:rsid w:val="0096012C"/>
    <w:rsid w:val="009601ED"/>
    <w:rsid w:val="0096024B"/>
    <w:rsid w:val="00960283"/>
    <w:rsid w:val="009602FF"/>
    <w:rsid w:val="00960388"/>
    <w:rsid w:val="009603E7"/>
    <w:rsid w:val="00960478"/>
    <w:rsid w:val="009604F3"/>
    <w:rsid w:val="0096050B"/>
    <w:rsid w:val="0096057A"/>
    <w:rsid w:val="00960586"/>
    <w:rsid w:val="0096059E"/>
    <w:rsid w:val="009605E7"/>
    <w:rsid w:val="0096061B"/>
    <w:rsid w:val="009606B7"/>
    <w:rsid w:val="00960730"/>
    <w:rsid w:val="0096075E"/>
    <w:rsid w:val="00960788"/>
    <w:rsid w:val="009607B5"/>
    <w:rsid w:val="009608F8"/>
    <w:rsid w:val="00960962"/>
    <w:rsid w:val="009609CE"/>
    <w:rsid w:val="009609DF"/>
    <w:rsid w:val="00960B7A"/>
    <w:rsid w:val="00960BA2"/>
    <w:rsid w:val="00960CB7"/>
    <w:rsid w:val="00960CD6"/>
    <w:rsid w:val="00960CFE"/>
    <w:rsid w:val="00960D2C"/>
    <w:rsid w:val="00960D34"/>
    <w:rsid w:val="00960D4E"/>
    <w:rsid w:val="00960D64"/>
    <w:rsid w:val="00960D66"/>
    <w:rsid w:val="00960DE8"/>
    <w:rsid w:val="00960E1F"/>
    <w:rsid w:val="00960E9A"/>
    <w:rsid w:val="00960F08"/>
    <w:rsid w:val="00960FB8"/>
    <w:rsid w:val="00960FFF"/>
    <w:rsid w:val="00961043"/>
    <w:rsid w:val="00961095"/>
    <w:rsid w:val="009610A2"/>
    <w:rsid w:val="009610D7"/>
    <w:rsid w:val="00961117"/>
    <w:rsid w:val="0096113A"/>
    <w:rsid w:val="0096117C"/>
    <w:rsid w:val="009611E3"/>
    <w:rsid w:val="0096131E"/>
    <w:rsid w:val="00961329"/>
    <w:rsid w:val="00961461"/>
    <w:rsid w:val="0096146D"/>
    <w:rsid w:val="00961490"/>
    <w:rsid w:val="00961641"/>
    <w:rsid w:val="00961670"/>
    <w:rsid w:val="00961711"/>
    <w:rsid w:val="0096172D"/>
    <w:rsid w:val="00961794"/>
    <w:rsid w:val="009617BA"/>
    <w:rsid w:val="009617D1"/>
    <w:rsid w:val="00961820"/>
    <w:rsid w:val="0096188B"/>
    <w:rsid w:val="009618FB"/>
    <w:rsid w:val="0096190E"/>
    <w:rsid w:val="00961928"/>
    <w:rsid w:val="009619AE"/>
    <w:rsid w:val="009619B9"/>
    <w:rsid w:val="009619DC"/>
    <w:rsid w:val="00961A87"/>
    <w:rsid w:val="00961A90"/>
    <w:rsid w:val="00961AD1"/>
    <w:rsid w:val="00961CE3"/>
    <w:rsid w:val="00961D01"/>
    <w:rsid w:val="00961D81"/>
    <w:rsid w:val="00961F38"/>
    <w:rsid w:val="00961FC2"/>
    <w:rsid w:val="00961FD4"/>
    <w:rsid w:val="00961FD5"/>
    <w:rsid w:val="00962006"/>
    <w:rsid w:val="00962013"/>
    <w:rsid w:val="0096205B"/>
    <w:rsid w:val="00962065"/>
    <w:rsid w:val="0096209F"/>
    <w:rsid w:val="009620A1"/>
    <w:rsid w:val="009620CB"/>
    <w:rsid w:val="0096211E"/>
    <w:rsid w:val="0096216C"/>
    <w:rsid w:val="00962177"/>
    <w:rsid w:val="0096220B"/>
    <w:rsid w:val="0096222F"/>
    <w:rsid w:val="009622CB"/>
    <w:rsid w:val="0096234A"/>
    <w:rsid w:val="0096236F"/>
    <w:rsid w:val="00962392"/>
    <w:rsid w:val="009623A5"/>
    <w:rsid w:val="009623A9"/>
    <w:rsid w:val="0096245F"/>
    <w:rsid w:val="009624D8"/>
    <w:rsid w:val="009624EA"/>
    <w:rsid w:val="0096258E"/>
    <w:rsid w:val="009625DE"/>
    <w:rsid w:val="009626F8"/>
    <w:rsid w:val="0096271D"/>
    <w:rsid w:val="0096276B"/>
    <w:rsid w:val="0096277A"/>
    <w:rsid w:val="00962802"/>
    <w:rsid w:val="00962849"/>
    <w:rsid w:val="009628B7"/>
    <w:rsid w:val="00962916"/>
    <w:rsid w:val="009629AA"/>
    <w:rsid w:val="00962A60"/>
    <w:rsid w:val="00962BCA"/>
    <w:rsid w:val="00962C14"/>
    <w:rsid w:val="00962CF5"/>
    <w:rsid w:val="00962D6E"/>
    <w:rsid w:val="00962E25"/>
    <w:rsid w:val="00962E99"/>
    <w:rsid w:val="00962F2A"/>
    <w:rsid w:val="00962F6A"/>
    <w:rsid w:val="00962FD2"/>
    <w:rsid w:val="00962FD3"/>
    <w:rsid w:val="00963245"/>
    <w:rsid w:val="009632E8"/>
    <w:rsid w:val="00963470"/>
    <w:rsid w:val="009634EA"/>
    <w:rsid w:val="0096359E"/>
    <w:rsid w:val="009635F0"/>
    <w:rsid w:val="0096369A"/>
    <w:rsid w:val="00963761"/>
    <w:rsid w:val="009637BC"/>
    <w:rsid w:val="009637BE"/>
    <w:rsid w:val="0096380A"/>
    <w:rsid w:val="00963887"/>
    <w:rsid w:val="009639C0"/>
    <w:rsid w:val="00963AEE"/>
    <w:rsid w:val="00963B17"/>
    <w:rsid w:val="00963B3F"/>
    <w:rsid w:val="00963B63"/>
    <w:rsid w:val="00963B66"/>
    <w:rsid w:val="00963BCA"/>
    <w:rsid w:val="00963BD4"/>
    <w:rsid w:val="00963C13"/>
    <w:rsid w:val="00963C62"/>
    <w:rsid w:val="00963CAB"/>
    <w:rsid w:val="00963DBD"/>
    <w:rsid w:val="00963E3A"/>
    <w:rsid w:val="00963ED4"/>
    <w:rsid w:val="00963FE5"/>
    <w:rsid w:val="009640F9"/>
    <w:rsid w:val="00964112"/>
    <w:rsid w:val="0096426B"/>
    <w:rsid w:val="00964294"/>
    <w:rsid w:val="009642B3"/>
    <w:rsid w:val="009642ED"/>
    <w:rsid w:val="00964350"/>
    <w:rsid w:val="00964354"/>
    <w:rsid w:val="009643CE"/>
    <w:rsid w:val="00964420"/>
    <w:rsid w:val="0096449B"/>
    <w:rsid w:val="00964512"/>
    <w:rsid w:val="00964581"/>
    <w:rsid w:val="009645F0"/>
    <w:rsid w:val="00964699"/>
    <w:rsid w:val="0096471E"/>
    <w:rsid w:val="0096475F"/>
    <w:rsid w:val="00964785"/>
    <w:rsid w:val="009647C4"/>
    <w:rsid w:val="00964841"/>
    <w:rsid w:val="0096488A"/>
    <w:rsid w:val="00964959"/>
    <w:rsid w:val="00964A48"/>
    <w:rsid w:val="00964B68"/>
    <w:rsid w:val="00964B7D"/>
    <w:rsid w:val="00964BBA"/>
    <w:rsid w:val="00964BF5"/>
    <w:rsid w:val="00964C0D"/>
    <w:rsid w:val="00964C26"/>
    <w:rsid w:val="00964CE9"/>
    <w:rsid w:val="00964E9B"/>
    <w:rsid w:val="00964F16"/>
    <w:rsid w:val="00964F77"/>
    <w:rsid w:val="009650B4"/>
    <w:rsid w:val="0096516A"/>
    <w:rsid w:val="009651A6"/>
    <w:rsid w:val="009652DB"/>
    <w:rsid w:val="00965404"/>
    <w:rsid w:val="00965691"/>
    <w:rsid w:val="009656FC"/>
    <w:rsid w:val="0096575C"/>
    <w:rsid w:val="00965833"/>
    <w:rsid w:val="00965875"/>
    <w:rsid w:val="0096588C"/>
    <w:rsid w:val="0096598C"/>
    <w:rsid w:val="009659A0"/>
    <w:rsid w:val="00965ABA"/>
    <w:rsid w:val="00965B2E"/>
    <w:rsid w:val="00965B74"/>
    <w:rsid w:val="00965C63"/>
    <w:rsid w:val="00965C74"/>
    <w:rsid w:val="00965D14"/>
    <w:rsid w:val="00965D92"/>
    <w:rsid w:val="00965DAA"/>
    <w:rsid w:val="00965E32"/>
    <w:rsid w:val="00965E6C"/>
    <w:rsid w:val="00965EE3"/>
    <w:rsid w:val="00965FA9"/>
    <w:rsid w:val="00965FB9"/>
    <w:rsid w:val="00965FD8"/>
    <w:rsid w:val="0096602E"/>
    <w:rsid w:val="00966053"/>
    <w:rsid w:val="00966113"/>
    <w:rsid w:val="00966180"/>
    <w:rsid w:val="00966228"/>
    <w:rsid w:val="009662B1"/>
    <w:rsid w:val="009663B6"/>
    <w:rsid w:val="009663CA"/>
    <w:rsid w:val="0096640C"/>
    <w:rsid w:val="00966414"/>
    <w:rsid w:val="0096641B"/>
    <w:rsid w:val="00966481"/>
    <w:rsid w:val="009664CA"/>
    <w:rsid w:val="00966535"/>
    <w:rsid w:val="00966590"/>
    <w:rsid w:val="00966784"/>
    <w:rsid w:val="009667E2"/>
    <w:rsid w:val="009667F5"/>
    <w:rsid w:val="009667FB"/>
    <w:rsid w:val="0096683D"/>
    <w:rsid w:val="00966871"/>
    <w:rsid w:val="0096687C"/>
    <w:rsid w:val="009668C7"/>
    <w:rsid w:val="00966998"/>
    <w:rsid w:val="009669FD"/>
    <w:rsid w:val="00966A0D"/>
    <w:rsid w:val="00966A20"/>
    <w:rsid w:val="00966AF1"/>
    <w:rsid w:val="00966AF7"/>
    <w:rsid w:val="00966B49"/>
    <w:rsid w:val="00966C8E"/>
    <w:rsid w:val="00966D13"/>
    <w:rsid w:val="00966D26"/>
    <w:rsid w:val="00966D3C"/>
    <w:rsid w:val="00966D70"/>
    <w:rsid w:val="00966DF0"/>
    <w:rsid w:val="00966E37"/>
    <w:rsid w:val="00966E41"/>
    <w:rsid w:val="00966F22"/>
    <w:rsid w:val="00966F3D"/>
    <w:rsid w:val="00966FDB"/>
    <w:rsid w:val="00967126"/>
    <w:rsid w:val="0096731B"/>
    <w:rsid w:val="0096731C"/>
    <w:rsid w:val="00967383"/>
    <w:rsid w:val="00967392"/>
    <w:rsid w:val="00967411"/>
    <w:rsid w:val="0096745A"/>
    <w:rsid w:val="0096748D"/>
    <w:rsid w:val="009674A8"/>
    <w:rsid w:val="009675C2"/>
    <w:rsid w:val="009675E1"/>
    <w:rsid w:val="009675F0"/>
    <w:rsid w:val="00967672"/>
    <w:rsid w:val="009676F7"/>
    <w:rsid w:val="00967776"/>
    <w:rsid w:val="0096777B"/>
    <w:rsid w:val="009677B7"/>
    <w:rsid w:val="009678C6"/>
    <w:rsid w:val="009679C8"/>
    <w:rsid w:val="009679E9"/>
    <w:rsid w:val="009679FA"/>
    <w:rsid w:val="00967AA4"/>
    <w:rsid w:val="00967AC9"/>
    <w:rsid w:val="00967AF8"/>
    <w:rsid w:val="00967C31"/>
    <w:rsid w:val="00967C84"/>
    <w:rsid w:val="00967CA2"/>
    <w:rsid w:val="00967D45"/>
    <w:rsid w:val="00967D57"/>
    <w:rsid w:val="00967D65"/>
    <w:rsid w:val="00967D6B"/>
    <w:rsid w:val="00967D84"/>
    <w:rsid w:val="00967D87"/>
    <w:rsid w:val="00967DC0"/>
    <w:rsid w:val="00967DD0"/>
    <w:rsid w:val="00967DEC"/>
    <w:rsid w:val="00967F99"/>
    <w:rsid w:val="00967FA4"/>
    <w:rsid w:val="00967FAB"/>
    <w:rsid w:val="00970000"/>
    <w:rsid w:val="00970005"/>
    <w:rsid w:val="00970041"/>
    <w:rsid w:val="00970042"/>
    <w:rsid w:val="009700D1"/>
    <w:rsid w:val="0097010A"/>
    <w:rsid w:val="00970316"/>
    <w:rsid w:val="0097035B"/>
    <w:rsid w:val="0097037B"/>
    <w:rsid w:val="009703F2"/>
    <w:rsid w:val="0097048C"/>
    <w:rsid w:val="0097053E"/>
    <w:rsid w:val="0097074C"/>
    <w:rsid w:val="0097079D"/>
    <w:rsid w:val="009707C5"/>
    <w:rsid w:val="009707E1"/>
    <w:rsid w:val="009707E3"/>
    <w:rsid w:val="0097081D"/>
    <w:rsid w:val="00970917"/>
    <w:rsid w:val="00970A04"/>
    <w:rsid w:val="00970A1A"/>
    <w:rsid w:val="00970AEB"/>
    <w:rsid w:val="00970BEC"/>
    <w:rsid w:val="00970C08"/>
    <w:rsid w:val="00970C29"/>
    <w:rsid w:val="00970C5A"/>
    <w:rsid w:val="00970CF7"/>
    <w:rsid w:val="00970DDC"/>
    <w:rsid w:val="00970EA4"/>
    <w:rsid w:val="00970EBA"/>
    <w:rsid w:val="00970F5F"/>
    <w:rsid w:val="00970F6A"/>
    <w:rsid w:val="00970F9F"/>
    <w:rsid w:val="00971008"/>
    <w:rsid w:val="0097104C"/>
    <w:rsid w:val="00971074"/>
    <w:rsid w:val="009710F0"/>
    <w:rsid w:val="0097111E"/>
    <w:rsid w:val="00971196"/>
    <w:rsid w:val="0097120C"/>
    <w:rsid w:val="0097121F"/>
    <w:rsid w:val="0097126E"/>
    <w:rsid w:val="009712D9"/>
    <w:rsid w:val="009713C9"/>
    <w:rsid w:val="009713CD"/>
    <w:rsid w:val="00971501"/>
    <w:rsid w:val="009715ED"/>
    <w:rsid w:val="009715F7"/>
    <w:rsid w:val="00971643"/>
    <w:rsid w:val="00971694"/>
    <w:rsid w:val="009716AA"/>
    <w:rsid w:val="009716C3"/>
    <w:rsid w:val="0097171C"/>
    <w:rsid w:val="0097174D"/>
    <w:rsid w:val="00971776"/>
    <w:rsid w:val="009717AD"/>
    <w:rsid w:val="00971862"/>
    <w:rsid w:val="009718EE"/>
    <w:rsid w:val="00971962"/>
    <w:rsid w:val="00971984"/>
    <w:rsid w:val="0097198D"/>
    <w:rsid w:val="00971A61"/>
    <w:rsid w:val="00971AE5"/>
    <w:rsid w:val="00971B3F"/>
    <w:rsid w:val="00971C54"/>
    <w:rsid w:val="00971C73"/>
    <w:rsid w:val="00971CB4"/>
    <w:rsid w:val="00971D1C"/>
    <w:rsid w:val="00971D86"/>
    <w:rsid w:val="00971E02"/>
    <w:rsid w:val="00971FEB"/>
    <w:rsid w:val="00972195"/>
    <w:rsid w:val="0097219B"/>
    <w:rsid w:val="00972231"/>
    <w:rsid w:val="00972261"/>
    <w:rsid w:val="009722FA"/>
    <w:rsid w:val="00972327"/>
    <w:rsid w:val="00972364"/>
    <w:rsid w:val="009723A7"/>
    <w:rsid w:val="009723AD"/>
    <w:rsid w:val="009723F3"/>
    <w:rsid w:val="0097245A"/>
    <w:rsid w:val="009726A9"/>
    <w:rsid w:val="009727D3"/>
    <w:rsid w:val="00972877"/>
    <w:rsid w:val="009728D9"/>
    <w:rsid w:val="009728FB"/>
    <w:rsid w:val="009728FC"/>
    <w:rsid w:val="0097295A"/>
    <w:rsid w:val="0097298A"/>
    <w:rsid w:val="009729AF"/>
    <w:rsid w:val="009729B3"/>
    <w:rsid w:val="009729B7"/>
    <w:rsid w:val="009729CB"/>
    <w:rsid w:val="00972A05"/>
    <w:rsid w:val="00972AE0"/>
    <w:rsid w:val="00972B1D"/>
    <w:rsid w:val="00972B35"/>
    <w:rsid w:val="00972B5F"/>
    <w:rsid w:val="00972B8B"/>
    <w:rsid w:val="00972B94"/>
    <w:rsid w:val="00972C37"/>
    <w:rsid w:val="00972C71"/>
    <w:rsid w:val="00972CCD"/>
    <w:rsid w:val="00972D58"/>
    <w:rsid w:val="00972D62"/>
    <w:rsid w:val="00972E28"/>
    <w:rsid w:val="00972F51"/>
    <w:rsid w:val="00972FA4"/>
    <w:rsid w:val="009730D3"/>
    <w:rsid w:val="0097310A"/>
    <w:rsid w:val="00973136"/>
    <w:rsid w:val="0097317E"/>
    <w:rsid w:val="0097318C"/>
    <w:rsid w:val="00973225"/>
    <w:rsid w:val="00973228"/>
    <w:rsid w:val="00973261"/>
    <w:rsid w:val="0097331D"/>
    <w:rsid w:val="00973418"/>
    <w:rsid w:val="0097345D"/>
    <w:rsid w:val="00973468"/>
    <w:rsid w:val="00973538"/>
    <w:rsid w:val="009735F3"/>
    <w:rsid w:val="0097361F"/>
    <w:rsid w:val="00973695"/>
    <w:rsid w:val="009736C8"/>
    <w:rsid w:val="009736DC"/>
    <w:rsid w:val="00973776"/>
    <w:rsid w:val="0097377C"/>
    <w:rsid w:val="00973870"/>
    <w:rsid w:val="009739A3"/>
    <w:rsid w:val="009739BA"/>
    <w:rsid w:val="009739FF"/>
    <w:rsid w:val="00973A9E"/>
    <w:rsid w:val="00973AAB"/>
    <w:rsid w:val="00973AC1"/>
    <w:rsid w:val="00973ADC"/>
    <w:rsid w:val="00973C69"/>
    <w:rsid w:val="00973CD1"/>
    <w:rsid w:val="00973D2A"/>
    <w:rsid w:val="00973D6D"/>
    <w:rsid w:val="00973EBF"/>
    <w:rsid w:val="00973F26"/>
    <w:rsid w:val="00973F2A"/>
    <w:rsid w:val="00973FD7"/>
    <w:rsid w:val="00974104"/>
    <w:rsid w:val="00974244"/>
    <w:rsid w:val="0097434B"/>
    <w:rsid w:val="009743E4"/>
    <w:rsid w:val="00974416"/>
    <w:rsid w:val="009744CD"/>
    <w:rsid w:val="00974533"/>
    <w:rsid w:val="00974569"/>
    <w:rsid w:val="00974711"/>
    <w:rsid w:val="0097481B"/>
    <w:rsid w:val="00974854"/>
    <w:rsid w:val="00974878"/>
    <w:rsid w:val="009748E0"/>
    <w:rsid w:val="009749D0"/>
    <w:rsid w:val="00974CDE"/>
    <w:rsid w:val="00974D00"/>
    <w:rsid w:val="00974D53"/>
    <w:rsid w:val="00974D8E"/>
    <w:rsid w:val="00974D9D"/>
    <w:rsid w:val="00974E1D"/>
    <w:rsid w:val="00974E36"/>
    <w:rsid w:val="00974E3B"/>
    <w:rsid w:val="00974EBE"/>
    <w:rsid w:val="00974F08"/>
    <w:rsid w:val="00974F53"/>
    <w:rsid w:val="00974F9E"/>
    <w:rsid w:val="009750FE"/>
    <w:rsid w:val="00975170"/>
    <w:rsid w:val="00975229"/>
    <w:rsid w:val="00975241"/>
    <w:rsid w:val="0097538B"/>
    <w:rsid w:val="0097547A"/>
    <w:rsid w:val="0097554A"/>
    <w:rsid w:val="0097556B"/>
    <w:rsid w:val="00975643"/>
    <w:rsid w:val="00975657"/>
    <w:rsid w:val="009756BB"/>
    <w:rsid w:val="009756C5"/>
    <w:rsid w:val="009756DD"/>
    <w:rsid w:val="009756EE"/>
    <w:rsid w:val="00975762"/>
    <w:rsid w:val="00975766"/>
    <w:rsid w:val="00975782"/>
    <w:rsid w:val="009757EC"/>
    <w:rsid w:val="00975844"/>
    <w:rsid w:val="009758C7"/>
    <w:rsid w:val="009758D8"/>
    <w:rsid w:val="0097596E"/>
    <w:rsid w:val="00975982"/>
    <w:rsid w:val="00975A40"/>
    <w:rsid w:val="00975A93"/>
    <w:rsid w:val="00975B27"/>
    <w:rsid w:val="00975B67"/>
    <w:rsid w:val="00975BC7"/>
    <w:rsid w:val="00975CBF"/>
    <w:rsid w:val="00975D3D"/>
    <w:rsid w:val="00975DDB"/>
    <w:rsid w:val="00975E93"/>
    <w:rsid w:val="00975E9C"/>
    <w:rsid w:val="00975ED0"/>
    <w:rsid w:val="00975EF6"/>
    <w:rsid w:val="00975EFE"/>
    <w:rsid w:val="00975F26"/>
    <w:rsid w:val="00975FEB"/>
    <w:rsid w:val="00975FFD"/>
    <w:rsid w:val="0097600A"/>
    <w:rsid w:val="00976010"/>
    <w:rsid w:val="00976051"/>
    <w:rsid w:val="0097609D"/>
    <w:rsid w:val="009760A5"/>
    <w:rsid w:val="009760C3"/>
    <w:rsid w:val="00976293"/>
    <w:rsid w:val="009762D6"/>
    <w:rsid w:val="0097640C"/>
    <w:rsid w:val="00976426"/>
    <w:rsid w:val="00976469"/>
    <w:rsid w:val="0097647B"/>
    <w:rsid w:val="009764C0"/>
    <w:rsid w:val="0097660D"/>
    <w:rsid w:val="0097666E"/>
    <w:rsid w:val="00976680"/>
    <w:rsid w:val="0097668A"/>
    <w:rsid w:val="009766BA"/>
    <w:rsid w:val="00976769"/>
    <w:rsid w:val="00976823"/>
    <w:rsid w:val="0097688A"/>
    <w:rsid w:val="00976905"/>
    <w:rsid w:val="00976A71"/>
    <w:rsid w:val="00976B0A"/>
    <w:rsid w:val="00976C09"/>
    <w:rsid w:val="00976C8F"/>
    <w:rsid w:val="00976D3E"/>
    <w:rsid w:val="00976DCF"/>
    <w:rsid w:val="00976E80"/>
    <w:rsid w:val="00976ED2"/>
    <w:rsid w:val="00976EFE"/>
    <w:rsid w:val="00976F3F"/>
    <w:rsid w:val="00976FDE"/>
    <w:rsid w:val="00976FFF"/>
    <w:rsid w:val="009770BE"/>
    <w:rsid w:val="0097710E"/>
    <w:rsid w:val="00977143"/>
    <w:rsid w:val="00977175"/>
    <w:rsid w:val="009771D4"/>
    <w:rsid w:val="0097723D"/>
    <w:rsid w:val="009773A2"/>
    <w:rsid w:val="009773A5"/>
    <w:rsid w:val="00977404"/>
    <w:rsid w:val="0097742F"/>
    <w:rsid w:val="00977500"/>
    <w:rsid w:val="00977516"/>
    <w:rsid w:val="00977580"/>
    <w:rsid w:val="00977644"/>
    <w:rsid w:val="00977648"/>
    <w:rsid w:val="009776BB"/>
    <w:rsid w:val="009776CE"/>
    <w:rsid w:val="00977760"/>
    <w:rsid w:val="009777A4"/>
    <w:rsid w:val="00977848"/>
    <w:rsid w:val="00977898"/>
    <w:rsid w:val="00977980"/>
    <w:rsid w:val="00977992"/>
    <w:rsid w:val="009779AC"/>
    <w:rsid w:val="009779B3"/>
    <w:rsid w:val="00977A16"/>
    <w:rsid w:val="00977A1B"/>
    <w:rsid w:val="00977B28"/>
    <w:rsid w:val="00977BA6"/>
    <w:rsid w:val="00977C26"/>
    <w:rsid w:val="00977C33"/>
    <w:rsid w:val="00977D7D"/>
    <w:rsid w:val="00977DDD"/>
    <w:rsid w:val="00977DFB"/>
    <w:rsid w:val="00977E10"/>
    <w:rsid w:val="00977E62"/>
    <w:rsid w:val="00977F20"/>
    <w:rsid w:val="00977FA8"/>
    <w:rsid w:val="00977FF5"/>
    <w:rsid w:val="00977FF6"/>
    <w:rsid w:val="00980116"/>
    <w:rsid w:val="00980145"/>
    <w:rsid w:val="00980157"/>
    <w:rsid w:val="0098015E"/>
    <w:rsid w:val="00980291"/>
    <w:rsid w:val="009802D4"/>
    <w:rsid w:val="00980309"/>
    <w:rsid w:val="00980354"/>
    <w:rsid w:val="0098042A"/>
    <w:rsid w:val="0098046F"/>
    <w:rsid w:val="00980497"/>
    <w:rsid w:val="00980523"/>
    <w:rsid w:val="00980533"/>
    <w:rsid w:val="009805CB"/>
    <w:rsid w:val="0098061A"/>
    <w:rsid w:val="00980626"/>
    <w:rsid w:val="009806B9"/>
    <w:rsid w:val="009806FD"/>
    <w:rsid w:val="0098074A"/>
    <w:rsid w:val="0098076F"/>
    <w:rsid w:val="00980775"/>
    <w:rsid w:val="00980792"/>
    <w:rsid w:val="009807C6"/>
    <w:rsid w:val="00980810"/>
    <w:rsid w:val="00980960"/>
    <w:rsid w:val="00980A59"/>
    <w:rsid w:val="00980B6F"/>
    <w:rsid w:val="00980B98"/>
    <w:rsid w:val="00980BB5"/>
    <w:rsid w:val="00980C03"/>
    <w:rsid w:val="00980CCF"/>
    <w:rsid w:val="00980D20"/>
    <w:rsid w:val="00980D8D"/>
    <w:rsid w:val="00980DC9"/>
    <w:rsid w:val="00980E73"/>
    <w:rsid w:val="00980ED5"/>
    <w:rsid w:val="00980ED9"/>
    <w:rsid w:val="00980F00"/>
    <w:rsid w:val="00980F9E"/>
    <w:rsid w:val="00980FC9"/>
    <w:rsid w:val="00981036"/>
    <w:rsid w:val="00981066"/>
    <w:rsid w:val="0098106F"/>
    <w:rsid w:val="0098107E"/>
    <w:rsid w:val="009810FF"/>
    <w:rsid w:val="00981121"/>
    <w:rsid w:val="00981125"/>
    <w:rsid w:val="00981132"/>
    <w:rsid w:val="0098119D"/>
    <w:rsid w:val="00981289"/>
    <w:rsid w:val="009812C6"/>
    <w:rsid w:val="009812F2"/>
    <w:rsid w:val="0098137E"/>
    <w:rsid w:val="0098138B"/>
    <w:rsid w:val="009813D8"/>
    <w:rsid w:val="0098146D"/>
    <w:rsid w:val="00981540"/>
    <w:rsid w:val="00981574"/>
    <w:rsid w:val="0098159C"/>
    <w:rsid w:val="009816E4"/>
    <w:rsid w:val="00981736"/>
    <w:rsid w:val="0098177A"/>
    <w:rsid w:val="00981803"/>
    <w:rsid w:val="009819E2"/>
    <w:rsid w:val="00981A3B"/>
    <w:rsid w:val="00981A6A"/>
    <w:rsid w:val="00981AEC"/>
    <w:rsid w:val="00981B87"/>
    <w:rsid w:val="00981BB7"/>
    <w:rsid w:val="00981BDB"/>
    <w:rsid w:val="00981DD4"/>
    <w:rsid w:val="00981E2E"/>
    <w:rsid w:val="00981E2F"/>
    <w:rsid w:val="00981EAC"/>
    <w:rsid w:val="00981EB9"/>
    <w:rsid w:val="00981F24"/>
    <w:rsid w:val="00981F33"/>
    <w:rsid w:val="00981F9C"/>
    <w:rsid w:val="00981FC7"/>
    <w:rsid w:val="009820B3"/>
    <w:rsid w:val="00982124"/>
    <w:rsid w:val="00982126"/>
    <w:rsid w:val="009821E4"/>
    <w:rsid w:val="009822C0"/>
    <w:rsid w:val="0098234F"/>
    <w:rsid w:val="00982376"/>
    <w:rsid w:val="009823E0"/>
    <w:rsid w:val="00982533"/>
    <w:rsid w:val="00982536"/>
    <w:rsid w:val="00982583"/>
    <w:rsid w:val="009825C2"/>
    <w:rsid w:val="009825CB"/>
    <w:rsid w:val="0098260C"/>
    <w:rsid w:val="00982639"/>
    <w:rsid w:val="0098264D"/>
    <w:rsid w:val="00982700"/>
    <w:rsid w:val="009827CB"/>
    <w:rsid w:val="00982817"/>
    <w:rsid w:val="00982892"/>
    <w:rsid w:val="009829B2"/>
    <w:rsid w:val="00982A55"/>
    <w:rsid w:val="00982A8B"/>
    <w:rsid w:val="00982ADE"/>
    <w:rsid w:val="00982B17"/>
    <w:rsid w:val="00982B21"/>
    <w:rsid w:val="00982BC3"/>
    <w:rsid w:val="00982BD6"/>
    <w:rsid w:val="00982BDC"/>
    <w:rsid w:val="00982C35"/>
    <w:rsid w:val="00982CE9"/>
    <w:rsid w:val="00982D58"/>
    <w:rsid w:val="00982E09"/>
    <w:rsid w:val="00982E5E"/>
    <w:rsid w:val="00982E81"/>
    <w:rsid w:val="00982F08"/>
    <w:rsid w:val="00982F9B"/>
    <w:rsid w:val="00982FCC"/>
    <w:rsid w:val="00982FED"/>
    <w:rsid w:val="009830C4"/>
    <w:rsid w:val="009830F8"/>
    <w:rsid w:val="00983133"/>
    <w:rsid w:val="00983167"/>
    <w:rsid w:val="009831AA"/>
    <w:rsid w:val="009831E0"/>
    <w:rsid w:val="009832E4"/>
    <w:rsid w:val="00983387"/>
    <w:rsid w:val="009833E5"/>
    <w:rsid w:val="00983436"/>
    <w:rsid w:val="0098343C"/>
    <w:rsid w:val="00983498"/>
    <w:rsid w:val="009834B2"/>
    <w:rsid w:val="00983577"/>
    <w:rsid w:val="009835A7"/>
    <w:rsid w:val="009835B8"/>
    <w:rsid w:val="0098365D"/>
    <w:rsid w:val="009836D7"/>
    <w:rsid w:val="0098372D"/>
    <w:rsid w:val="0098373F"/>
    <w:rsid w:val="00983838"/>
    <w:rsid w:val="0098384E"/>
    <w:rsid w:val="00983957"/>
    <w:rsid w:val="0098395E"/>
    <w:rsid w:val="0098398D"/>
    <w:rsid w:val="009839F8"/>
    <w:rsid w:val="00983A05"/>
    <w:rsid w:val="00983AC3"/>
    <w:rsid w:val="00983B2E"/>
    <w:rsid w:val="00983BCC"/>
    <w:rsid w:val="00983BF4"/>
    <w:rsid w:val="00983C48"/>
    <w:rsid w:val="00983C55"/>
    <w:rsid w:val="00983CCD"/>
    <w:rsid w:val="00983DE7"/>
    <w:rsid w:val="00983E83"/>
    <w:rsid w:val="00983EF7"/>
    <w:rsid w:val="00983FB7"/>
    <w:rsid w:val="00984033"/>
    <w:rsid w:val="0098405C"/>
    <w:rsid w:val="0098405D"/>
    <w:rsid w:val="009840AC"/>
    <w:rsid w:val="0098412E"/>
    <w:rsid w:val="00984169"/>
    <w:rsid w:val="00984246"/>
    <w:rsid w:val="0098436C"/>
    <w:rsid w:val="00984436"/>
    <w:rsid w:val="00984499"/>
    <w:rsid w:val="009844A9"/>
    <w:rsid w:val="00984547"/>
    <w:rsid w:val="009845FC"/>
    <w:rsid w:val="00984601"/>
    <w:rsid w:val="00984633"/>
    <w:rsid w:val="00984641"/>
    <w:rsid w:val="0098464D"/>
    <w:rsid w:val="00984660"/>
    <w:rsid w:val="0098466D"/>
    <w:rsid w:val="0098470F"/>
    <w:rsid w:val="009847D4"/>
    <w:rsid w:val="0098485C"/>
    <w:rsid w:val="009848CD"/>
    <w:rsid w:val="0098493E"/>
    <w:rsid w:val="00984957"/>
    <w:rsid w:val="00984A57"/>
    <w:rsid w:val="00984A98"/>
    <w:rsid w:val="00984AEC"/>
    <w:rsid w:val="00984BC2"/>
    <w:rsid w:val="00984C33"/>
    <w:rsid w:val="00984CF7"/>
    <w:rsid w:val="00984D00"/>
    <w:rsid w:val="00984D50"/>
    <w:rsid w:val="00984D90"/>
    <w:rsid w:val="00984E85"/>
    <w:rsid w:val="00984F03"/>
    <w:rsid w:val="00984F26"/>
    <w:rsid w:val="00984FE9"/>
    <w:rsid w:val="00985028"/>
    <w:rsid w:val="0098507B"/>
    <w:rsid w:val="009850BC"/>
    <w:rsid w:val="009850CC"/>
    <w:rsid w:val="00985165"/>
    <w:rsid w:val="009851E1"/>
    <w:rsid w:val="009852F8"/>
    <w:rsid w:val="00985321"/>
    <w:rsid w:val="00985429"/>
    <w:rsid w:val="0098552D"/>
    <w:rsid w:val="00985547"/>
    <w:rsid w:val="00985586"/>
    <w:rsid w:val="0098558D"/>
    <w:rsid w:val="009855A9"/>
    <w:rsid w:val="009855D5"/>
    <w:rsid w:val="00985685"/>
    <w:rsid w:val="00985730"/>
    <w:rsid w:val="00985791"/>
    <w:rsid w:val="009857B2"/>
    <w:rsid w:val="00985807"/>
    <w:rsid w:val="0098582D"/>
    <w:rsid w:val="00985843"/>
    <w:rsid w:val="009858D4"/>
    <w:rsid w:val="009858E4"/>
    <w:rsid w:val="00985A3F"/>
    <w:rsid w:val="00985A40"/>
    <w:rsid w:val="00985A42"/>
    <w:rsid w:val="00985BBF"/>
    <w:rsid w:val="00985BC7"/>
    <w:rsid w:val="00985D35"/>
    <w:rsid w:val="00985DC1"/>
    <w:rsid w:val="00985DC8"/>
    <w:rsid w:val="00985E04"/>
    <w:rsid w:val="00985E35"/>
    <w:rsid w:val="00985EBB"/>
    <w:rsid w:val="00985ED9"/>
    <w:rsid w:val="00985F2A"/>
    <w:rsid w:val="00985F8B"/>
    <w:rsid w:val="0098601B"/>
    <w:rsid w:val="00986076"/>
    <w:rsid w:val="00986078"/>
    <w:rsid w:val="009860A0"/>
    <w:rsid w:val="009860E7"/>
    <w:rsid w:val="00986172"/>
    <w:rsid w:val="0098619E"/>
    <w:rsid w:val="00986249"/>
    <w:rsid w:val="0098625F"/>
    <w:rsid w:val="00986331"/>
    <w:rsid w:val="009863C3"/>
    <w:rsid w:val="0098643F"/>
    <w:rsid w:val="009864F5"/>
    <w:rsid w:val="009865DE"/>
    <w:rsid w:val="009865E0"/>
    <w:rsid w:val="009865E6"/>
    <w:rsid w:val="00986625"/>
    <w:rsid w:val="00986674"/>
    <w:rsid w:val="009866A9"/>
    <w:rsid w:val="009866DD"/>
    <w:rsid w:val="009866F5"/>
    <w:rsid w:val="0098670A"/>
    <w:rsid w:val="009867B9"/>
    <w:rsid w:val="009867C5"/>
    <w:rsid w:val="009867E8"/>
    <w:rsid w:val="00986999"/>
    <w:rsid w:val="009869A5"/>
    <w:rsid w:val="00986A6B"/>
    <w:rsid w:val="00986A74"/>
    <w:rsid w:val="00986AC0"/>
    <w:rsid w:val="00986B5E"/>
    <w:rsid w:val="00986CD6"/>
    <w:rsid w:val="00986D69"/>
    <w:rsid w:val="00986DFB"/>
    <w:rsid w:val="00986E0A"/>
    <w:rsid w:val="00986EA5"/>
    <w:rsid w:val="00986F33"/>
    <w:rsid w:val="00986F67"/>
    <w:rsid w:val="00986FB3"/>
    <w:rsid w:val="00986FE3"/>
    <w:rsid w:val="00987061"/>
    <w:rsid w:val="00987099"/>
    <w:rsid w:val="00987226"/>
    <w:rsid w:val="0098722E"/>
    <w:rsid w:val="00987234"/>
    <w:rsid w:val="0098724D"/>
    <w:rsid w:val="009872BD"/>
    <w:rsid w:val="00987405"/>
    <w:rsid w:val="0098742E"/>
    <w:rsid w:val="009874A2"/>
    <w:rsid w:val="009874BF"/>
    <w:rsid w:val="00987556"/>
    <w:rsid w:val="009875F6"/>
    <w:rsid w:val="00987616"/>
    <w:rsid w:val="00987630"/>
    <w:rsid w:val="00987650"/>
    <w:rsid w:val="0098767A"/>
    <w:rsid w:val="009876DA"/>
    <w:rsid w:val="00987771"/>
    <w:rsid w:val="0098784F"/>
    <w:rsid w:val="00987986"/>
    <w:rsid w:val="009879B8"/>
    <w:rsid w:val="00987B2C"/>
    <w:rsid w:val="00987C67"/>
    <w:rsid w:val="00987C7F"/>
    <w:rsid w:val="00987C8E"/>
    <w:rsid w:val="00987CFB"/>
    <w:rsid w:val="00987D26"/>
    <w:rsid w:val="00987E33"/>
    <w:rsid w:val="00987E3F"/>
    <w:rsid w:val="00987E58"/>
    <w:rsid w:val="00987E6E"/>
    <w:rsid w:val="00987F8B"/>
    <w:rsid w:val="00987F93"/>
    <w:rsid w:val="00987FDE"/>
    <w:rsid w:val="0099003D"/>
    <w:rsid w:val="00990085"/>
    <w:rsid w:val="0099009F"/>
    <w:rsid w:val="009900D0"/>
    <w:rsid w:val="009900DB"/>
    <w:rsid w:val="0099011A"/>
    <w:rsid w:val="00990133"/>
    <w:rsid w:val="00990155"/>
    <w:rsid w:val="0099016C"/>
    <w:rsid w:val="00990204"/>
    <w:rsid w:val="0099027B"/>
    <w:rsid w:val="0099027F"/>
    <w:rsid w:val="00990383"/>
    <w:rsid w:val="00990499"/>
    <w:rsid w:val="0099057D"/>
    <w:rsid w:val="00990613"/>
    <w:rsid w:val="00990630"/>
    <w:rsid w:val="009906AA"/>
    <w:rsid w:val="00990745"/>
    <w:rsid w:val="0099078F"/>
    <w:rsid w:val="009907E9"/>
    <w:rsid w:val="009908F3"/>
    <w:rsid w:val="0099092A"/>
    <w:rsid w:val="009909AE"/>
    <w:rsid w:val="009909F8"/>
    <w:rsid w:val="00990A27"/>
    <w:rsid w:val="00990A73"/>
    <w:rsid w:val="00990A76"/>
    <w:rsid w:val="00990AAC"/>
    <w:rsid w:val="00990AF5"/>
    <w:rsid w:val="00990B06"/>
    <w:rsid w:val="00990C3B"/>
    <w:rsid w:val="00990C51"/>
    <w:rsid w:val="00990C5C"/>
    <w:rsid w:val="00990C6C"/>
    <w:rsid w:val="00990CFD"/>
    <w:rsid w:val="00990D2A"/>
    <w:rsid w:val="00990E5C"/>
    <w:rsid w:val="00990EF0"/>
    <w:rsid w:val="00990F16"/>
    <w:rsid w:val="00990F85"/>
    <w:rsid w:val="00990FA9"/>
    <w:rsid w:val="00990FF9"/>
    <w:rsid w:val="00991019"/>
    <w:rsid w:val="0099105A"/>
    <w:rsid w:val="0099107E"/>
    <w:rsid w:val="00991096"/>
    <w:rsid w:val="00991200"/>
    <w:rsid w:val="00991201"/>
    <w:rsid w:val="00991232"/>
    <w:rsid w:val="009912BA"/>
    <w:rsid w:val="0099154B"/>
    <w:rsid w:val="0099156C"/>
    <w:rsid w:val="009915E9"/>
    <w:rsid w:val="00991626"/>
    <w:rsid w:val="009916B8"/>
    <w:rsid w:val="00991756"/>
    <w:rsid w:val="009917C7"/>
    <w:rsid w:val="009917E0"/>
    <w:rsid w:val="009917FC"/>
    <w:rsid w:val="009917FF"/>
    <w:rsid w:val="009918A2"/>
    <w:rsid w:val="0099196F"/>
    <w:rsid w:val="00991AA1"/>
    <w:rsid w:val="00991AE1"/>
    <w:rsid w:val="00991AF4"/>
    <w:rsid w:val="00991B23"/>
    <w:rsid w:val="00991BD0"/>
    <w:rsid w:val="00991C23"/>
    <w:rsid w:val="00991C84"/>
    <w:rsid w:val="00991D26"/>
    <w:rsid w:val="00991E1E"/>
    <w:rsid w:val="00991EBE"/>
    <w:rsid w:val="00991F1E"/>
    <w:rsid w:val="00991FE1"/>
    <w:rsid w:val="00992111"/>
    <w:rsid w:val="0099213A"/>
    <w:rsid w:val="009921F7"/>
    <w:rsid w:val="009922B7"/>
    <w:rsid w:val="00992338"/>
    <w:rsid w:val="009923B2"/>
    <w:rsid w:val="009923DA"/>
    <w:rsid w:val="009923DE"/>
    <w:rsid w:val="0099244B"/>
    <w:rsid w:val="009924B8"/>
    <w:rsid w:val="009924BF"/>
    <w:rsid w:val="00992534"/>
    <w:rsid w:val="009925C3"/>
    <w:rsid w:val="00992625"/>
    <w:rsid w:val="00992652"/>
    <w:rsid w:val="009926B8"/>
    <w:rsid w:val="0099279A"/>
    <w:rsid w:val="00992880"/>
    <w:rsid w:val="009928A6"/>
    <w:rsid w:val="009929A7"/>
    <w:rsid w:val="00992A25"/>
    <w:rsid w:val="00992A30"/>
    <w:rsid w:val="00992B25"/>
    <w:rsid w:val="00992D22"/>
    <w:rsid w:val="00992D45"/>
    <w:rsid w:val="00992FB4"/>
    <w:rsid w:val="009930F8"/>
    <w:rsid w:val="00993153"/>
    <w:rsid w:val="00993186"/>
    <w:rsid w:val="00993194"/>
    <w:rsid w:val="0099322A"/>
    <w:rsid w:val="00993298"/>
    <w:rsid w:val="00993342"/>
    <w:rsid w:val="00993361"/>
    <w:rsid w:val="00993397"/>
    <w:rsid w:val="009933A9"/>
    <w:rsid w:val="00993507"/>
    <w:rsid w:val="00993518"/>
    <w:rsid w:val="00993637"/>
    <w:rsid w:val="00993658"/>
    <w:rsid w:val="0099368F"/>
    <w:rsid w:val="0099369E"/>
    <w:rsid w:val="009936C6"/>
    <w:rsid w:val="0099372A"/>
    <w:rsid w:val="00993739"/>
    <w:rsid w:val="00993894"/>
    <w:rsid w:val="009938A0"/>
    <w:rsid w:val="009938FA"/>
    <w:rsid w:val="0099390D"/>
    <w:rsid w:val="00993944"/>
    <w:rsid w:val="009939DF"/>
    <w:rsid w:val="00993A18"/>
    <w:rsid w:val="00993A5C"/>
    <w:rsid w:val="00993A8F"/>
    <w:rsid w:val="00993AA2"/>
    <w:rsid w:val="00993B28"/>
    <w:rsid w:val="00993B5F"/>
    <w:rsid w:val="00993B82"/>
    <w:rsid w:val="00993B8A"/>
    <w:rsid w:val="00993BEC"/>
    <w:rsid w:val="00993C1B"/>
    <w:rsid w:val="00993C58"/>
    <w:rsid w:val="00993C5F"/>
    <w:rsid w:val="00993D66"/>
    <w:rsid w:val="00993EED"/>
    <w:rsid w:val="00993F4D"/>
    <w:rsid w:val="00993F5A"/>
    <w:rsid w:val="00993FE8"/>
    <w:rsid w:val="009940B0"/>
    <w:rsid w:val="0099410C"/>
    <w:rsid w:val="009941BA"/>
    <w:rsid w:val="00994203"/>
    <w:rsid w:val="0099426C"/>
    <w:rsid w:val="0099427C"/>
    <w:rsid w:val="009942AF"/>
    <w:rsid w:val="00994392"/>
    <w:rsid w:val="009943E1"/>
    <w:rsid w:val="009944C1"/>
    <w:rsid w:val="009944F6"/>
    <w:rsid w:val="009945AE"/>
    <w:rsid w:val="00994620"/>
    <w:rsid w:val="00994623"/>
    <w:rsid w:val="00994635"/>
    <w:rsid w:val="009946D5"/>
    <w:rsid w:val="00994717"/>
    <w:rsid w:val="009947BA"/>
    <w:rsid w:val="009947F0"/>
    <w:rsid w:val="00994883"/>
    <w:rsid w:val="009948A3"/>
    <w:rsid w:val="009948CA"/>
    <w:rsid w:val="009948E7"/>
    <w:rsid w:val="0099491D"/>
    <w:rsid w:val="009949E1"/>
    <w:rsid w:val="00994A3C"/>
    <w:rsid w:val="00994AA8"/>
    <w:rsid w:val="00994B24"/>
    <w:rsid w:val="00994BE7"/>
    <w:rsid w:val="00994C43"/>
    <w:rsid w:val="00994C8B"/>
    <w:rsid w:val="00994C8C"/>
    <w:rsid w:val="00994D28"/>
    <w:rsid w:val="00994DB9"/>
    <w:rsid w:val="00994DC0"/>
    <w:rsid w:val="00994E59"/>
    <w:rsid w:val="00994E68"/>
    <w:rsid w:val="00994E6B"/>
    <w:rsid w:val="00994ED7"/>
    <w:rsid w:val="00994F22"/>
    <w:rsid w:val="00994F42"/>
    <w:rsid w:val="00994F48"/>
    <w:rsid w:val="00994F60"/>
    <w:rsid w:val="00994FC6"/>
    <w:rsid w:val="00995010"/>
    <w:rsid w:val="009950F1"/>
    <w:rsid w:val="00995118"/>
    <w:rsid w:val="0099514A"/>
    <w:rsid w:val="009951FA"/>
    <w:rsid w:val="00995204"/>
    <w:rsid w:val="009952D5"/>
    <w:rsid w:val="009952F6"/>
    <w:rsid w:val="00995335"/>
    <w:rsid w:val="00995374"/>
    <w:rsid w:val="0099537E"/>
    <w:rsid w:val="00995385"/>
    <w:rsid w:val="009954D6"/>
    <w:rsid w:val="009954FC"/>
    <w:rsid w:val="00995506"/>
    <w:rsid w:val="0099555F"/>
    <w:rsid w:val="009955D1"/>
    <w:rsid w:val="00995620"/>
    <w:rsid w:val="0099564F"/>
    <w:rsid w:val="0099568E"/>
    <w:rsid w:val="00995707"/>
    <w:rsid w:val="00995719"/>
    <w:rsid w:val="0099576C"/>
    <w:rsid w:val="00995793"/>
    <w:rsid w:val="009957EC"/>
    <w:rsid w:val="00995839"/>
    <w:rsid w:val="0099584F"/>
    <w:rsid w:val="00995865"/>
    <w:rsid w:val="0099596D"/>
    <w:rsid w:val="00995A29"/>
    <w:rsid w:val="00995A4A"/>
    <w:rsid w:val="00995A9A"/>
    <w:rsid w:val="00995C99"/>
    <w:rsid w:val="00995D32"/>
    <w:rsid w:val="00995D44"/>
    <w:rsid w:val="00995D6A"/>
    <w:rsid w:val="00995DA0"/>
    <w:rsid w:val="00995DE6"/>
    <w:rsid w:val="00995E4D"/>
    <w:rsid w:val="00995E55"/>
    <w:rsid w:val="00995E5E"/>
    <w:rsid w:val="00995EFB"/>
    <w:rsid w:val="00995F46"/>
    <w:rsid w:val="00995F73"/>
    <w:rsid w:val="00995FE0"/>
    <w:rsid w:val="00995FF7"/>
    <w:rsid w:val="00996012"/>
    <w:rsid w:val="009960AD"/>
    <w:rsid w:val="009960DA"/>
    <w:rsid w:val="0099614A"/>
    <w:rsid w:val="0099614C"/>
    <w:rsid w:val="0099614F"/>
    <w:rsid w:val="00996167"/>
    <w:rsid w:val="0099619F"/>
    <w:rsid w:val="00996219"/>
    <w:rsid w:val="00996232"/>
    <w:rsid w:val="00996285"/>
    <w:rsid w:val="009962D0"/>
    <w:rsid w:val="00996304"/>
    <w:rsid w:val="009963A9"/>
    <w:rsid w:val="009963CB"/>
    <w:rsid w:val="009964A7"/>
    <w:rsid w:val="00996501"/>
    <w:rsid w:val="00996544"/>
    <w:rsid w:val="00996598"/>
    <w:rsid w:val="009965A2"/>
    <w:rsid w:val="009966D1"/>
    <w:rsid w:val="0099671B"/>
    <w:rsid w:val="00996727"/>
    <w:rsid w:val="00996756"/>
    <w:rsid w:val="00996790"/>
    <w:rsid w:val="009967D1"/>
    <w:rsid w:val="009967DF"/>
    <w:rsid w:val="009967E0"/>
    <w:rsid w:val="009967E4"/>
    <w:rsid w:val="009967EE"/>
    <w:rsid w:val="00996849"/>
    <w:rsid w:val="00996860"/>
    <w:rsid w:val="00996882"/>
    <w:rsid w:val="00996929"/>
    <w:rsid w:val="009969A3"/>
    <w:rsid w:val="00996A4C"/>
    <w:rsid w:val="00996AE6"/>
    <w:rsid w:val="00996BB6"/>
    <w:rsid w:val="00996BDA"/>
    <w:rsid w:val="00996CD1"/>
    <w:rsid w:val="00996D09"/>
    <w:rsid w:val="00996D8C"/>
    <w:rsid w:val="00996DF1"/>
    <w:rsid w:val="00996E1B"/>
    <w:rsid w:val="00996E1F"/>
    <w:rsid w:val="00996EBA"/>
    <w:rsid w:val="00996F36"/>
    <w:rsid w:val="0099715B"/>
    <w:rsid w:val="00997276"/>
    <w:rsid w:val="00997314"/>
    <w:rsid w:val="00997316"/>
    <w:rsid w:val="0099735B"/>
    <w:rsid w:val="00997383"/>
    <w:rsid w:val="009973E7"/>
    <w:rsid w:val="00997408"/>
    <w:rsid w:val="00997433"/>
    <w:rsid w:val="00997485"/>
    <w:rsid w:val="009974E5"/>
    <w:rsid w:val="0099752C"/>
    <w:rsid w:val="0099755E"/>
    <w:rsid w:val="00997582"/>
    <w:rsid w:val="00997610"/>
    <w:rsid w:val="00997624"/>
    <w:rsid w:val="009976D7"/>
    <w:rsid w:val="0099774F"/>
    <w:rsid w:val="009977F6"/>
    <w:rsid w:val="0099783F"/>
    <w:rsid w:val="0099786D"/>
    <w:rsid w:val="00997890"/>
    <w:rsid w:val="009978C4"/>
    <w:rsid w:val="009978F5"/>
    <w:rsid w:val="00997A48"/>
    <w:rsid w:val="00997A75"/>
    <w:rsid w:val="00997AC2"/>
    <w:rsid w:val="00997AEC"/>
    <w:rsid w:val="00997B15"/>
    <w:rsid w:val="00997B20"/>
    <w:rsid w:val="00997B22"/>
    <w:rsid w:val="00997B46"/>
    <w:rsid w:val="00997B90"/>
    <w:rsid w:val="00997BD0"/>
    <w:rsid w:val="00997BF9"/>
    <w:rsid w:val="00997CC7"/>
    <w:rsid w:val="00997D27"/>
    <w:rsid w:val="00997D8A"/>
    <w:rsid w:val="00997DD0"/>
    <w:rsid w:val="00997DE6"/>
    <w:rsid w:val="00997EA4"/>
    <w:rsid w:val="00997F9D"/>
    <w:rsid w:val="00997FDC"/>
    <w:rsid w:val="00997FF5"/>
    <w:rsid w:val="009A0012"/>
    <w:rsid w:val="009A0068"/>
    <w:rsid w:val="009A00AA"/>
    <w:rsid w:val="009A00D9"/>
    <w:rsid w:val="009A00E0"/>
    <w:rsid w:val="009A0119"/>
    <w:rsid w:val="009A01B0"/>
    <w:rsid w:val="009A01F6"/>
    <w:rsid w:val="009A02CD"/>
    <w:rsid w:val="009A03ED"/>
    <w:rsid w:val="009A03F6"/>
    <w:rsid w:val="009A041C"/>
    <w:rsid w:val="009A0435"/>
    <w:rsid w:val="009A043B"/>
    <w:rsid w:val="009A0474"/>
    <w:rsid w:val="009A0526"/>
    <w:rsid w:val="009A0561"/>
    <w:rsid w:val="009A05AB"/>
    <w:rsid w:val="009A05F8"/>
    <w:rsid w:val="009A06A4"/>
    <w:rsid w:val="009A071D"/>
    <w:rsid w:val="009A084A"/>
    <w:rsid w:val="009A0867"/>
    <w:rsid w:val="009A09A1"/>
    <w:rsid w:val="009A09A2"/>
    <w:rsid w:val="009A09A3"/>
    <w:rsid w:val="009A0A41"/>
    <w:rsid w:val="009A0A4C"/>
    <w:rsid w:val="009A0A9E"/>
    <w:rsid w:val="009A0AC7"/>
    <w:rsid w:val="009A0ACB"/>
    <w:rsid w:val="009A0AD4"/>
    <w:rsid w:val="009A0AF8"/>
    <w:rsid w:val="009A0B4A"/>
    <w:rsid w:val="009A0B5B"/>
    <w:rsid w:val="009A0CAC"/>
    <w:rsid w:val="009A0CF9"/>
    <w:rsid w:val="009A0D11"/>
    <w:rsid w:val="009A0DA9"/>
    <w:rsid w:val="009A0E5B"/>
    <w:rsid w:val="009A0EBE"/>
    <w:rsid w:val="009A0EC8"/>
    <w:rsid w:val="009A0F19"/>
    <w:rsid w:val="009A0F5F"/>
    <w:rsid w:val="009A100D"/>
    <w:rsid w:val="009A1011"/>
    <w:rsid w:val="009A1172"/>
    <w:rsid w:val="009A11B9"/>
    <w:rsid w:val="009A1234"/>
    <w:rsid w:val="009A133C"/>
    <w:rsid w:val="009A133E"/>
    <w:rsid w:val="009A1370"/>
    <w:rsid w:val="009A153F"/>
    <w:rsid w:val="009A15B8"/>
    <w:rsid w:val="009A15BE"/>
    <w:rsid w:val="009A15D1"/>
    <w:rsid w:val="009A15DD"/>
    <w:rsid w:val="009A15FE"/>
    <w:rsid w:val="009A166D"/>
    <w:rsid w:val="009A16F6"/>
    <w:rsid w:val="009A171E"/>
    <w:rsid w:val="009A1744"/>
    <w:rsid w:val="009A1757"/>
    <w:rsid w:val="009A17C7"/>
    <w:rsid w:val="009A17EF"/>
    <w:rsid w:val="009A18AB"/>
    <w:rsid w:val="009A18DD"/>
    <w:rsid w:val="009A1946"/>
    <w:rsid w:val="009A19C9"/>
    <w:rsid w:val="009A1A7E"/>
    <w:rsid w:val="009A1AB4"/>
    <w:rsid w:val="009A1AF0"/>
    <w:rsid w:val="009A1B0A"/>
    <w:rsid w:val="009A1B13"/>
    <w:rsid w:val="009A1B17"/>
    <w:rsid w:val="009A1B64"/>
    <w:rsid w:val="009A1BF7"/>
    <w:rsid w:val="009A1C18"/>
    <w:rsid w:val="009A1C72"/>
    <w:rsid w:val="009A1CB1"/>
    <w:rsid w:val="009A1CB7"/>
    <w:rsid w:val="009A1CDC"/>
    <w:rsid w:val="009A1D42"/>
    <w:rsid w:val="009A1D56"/>
    <w:rsid w:val="009A1D8D"/>
    <w:rsid w:val="009A1DC9"/>
    <w:rsid w:val="009A1DD3"/>
    <w:rsid w:val="009A1DEA"/>
    <w:rsid w:val="009A1DF9"/>
    <w:rsid w:val="009A1E38"/>
    <w:rsid w:val="009A1E7E"/>
    <w:rsid w:val="009A1F1D"/>
    <w:rsid w:val="009A201E"/>
    <w:rsid w:val="009A2055"/>
    <w:rsid w:val="009A20B6"/>
    <w:rsid w:val="009A21E2"/>
    <w:rsid w:val="009A2242"/>
    <w:rsid w:val="009A23B0"/>
    <w:rsid w:val="009A2487"/>
    <w:rsid w:val="009A24F2"/>
    <w:rsid w:val="009A24F4"/>
    <w:rsid w:val="009A24F5"/>
    <w:rsid w:val="009A251F"/>
    <w:rsid w:val="009A2555"/>
    <w:rsid w:val="009A2707"/>
    <w:rsid w:val="009A27DC"/>
    <w:rsid w:val="009A284A"/>
    <w:rsid w:val="009A2865"/>
    <w:rsid w:val="009A2896"/>
    <w:rsid w:val="009A28A3"/>
    <w:rsid w:val="009A2906"/>
    <w:rsid w:val="009A2A19"/>
    <w:rsid w:val="009A2B10"/>
    <w:rsid w:val="009A2C30"/>
    <w:rsid w:val="009A2CCB"/>
    <w:rsid w:val="009A2D22"/>
    <w:rsid w:val="009A2DA2"/>
    <w:rsid w:val="009A2DA5"/>
    <w:rsid w:val="009A2E9E"/>
    <w:rsid w:val="009A2EC0"/>
    <w:rsid w:val="009A2F78"/>
    <w:rsid w:val="009A3070"/>
    <w:rsid w:val="009A30C7"/>
    <w:rsid w:val="009A30ED"/>
    <w:rsid w:val="009A3114"/>
    <w:rsid w:val="009A3117"/>
    <w:rsid w:val="009A31A3"/>
    <w:rsid w:val="009A31BB"/>
    <w:rsid w:val="009A3232"/>
    <w:rsid w:val="009A3370"/>
    <w:rsid w:val="009A33DA"/>
    <w:rsid w:val="009A3401"/>
    <w:rsid w:val="009A341C"/>
    <w:rsid w:val="009A3436"/>
    <w:rsid w:val="009A345C"/>
    <w:rsid w:val="009A34B1"/>
    <w:rsid w:val="009A3564"/>
    <w:rsid w:val="009A358C"/>
    <w:rsid w:val="009A36C8"/>
    <w:rsid w:val="009A36E4"/>
    <w:rsid w:val="009A371F"/>
    <w:rsid w:val="009A37EB"/>
    <w:rsid w:val="009A37F7"/>
    <w:rsid w:val="009A3939"/>
    <w:rsid w:val="009A39DB"/>
    <w:rsid w:val="009A3A4B"/>
    <w:rsid w:val="009A3A95"/>
    <w:rsid w:val="009A3ADF"/>
    <w:rsid w:val="009A3BEE"/>
    <w:rsid w:val="009A3C93"/>
    <w:rsid w:val="009A3D1F"/>
    <w:rsid w:val="009A3DE8"/>
    <w:rsid w:val="009A3E14"/>
    <w:rsid w:val="009A3E6C"/>
    <w:rsid w:val="009A3ECE"/>
    <w:rsid w:val="009A3EF8"/>
    <w:rsid w:val="009A3F49"/>
    <w:rsid w:val="009A3F73"/>
    <w:rsid w:val="009A3F82"/>
    <w:rsid w:val="009A3F8E"/>
    <w:rsid w:val="009A4038"/>
    <w:rsid w:val="009A40DD"/>
    <w:rsid w:val="009A413A"/>
    <w:rsid w:val="009A416A"/>
    <w:rsid w:val="009A41E1"/>
    <w:rsid w:val="009A4202"/>
    <w:rsid w:val="009A426E"/>
    <w:rsid w:val="009A42DC"/>
    <w:rsid w:val="009A4379"/>
    <w:rsid w:val="009A450A"/>
    <w:rsid w:val="009A450C"/>
    <w:rsid w:val="009A45D0"/>
    <w:rsid w:val="009A4635"/>
    <w:rsid w:val="009A4668"/>
    <w:rsid w:val="009A4675"/>
    <w:rsid w:val="009A4789"/>
    <w:rsid w:val="009A47C3"/>
    <w:rsid w:val="009A4865"/>
    <w:rsid w:val="009A488E"/>
    <w:rsid w:val="009A48B8"/>
    <w:rsid w:val="009A491F"/>
    <w:rsid w:val="009A4935"/>
    <w:rsid w:val="009A497E"/>
    <w:rsid w:val="009A49EC"/>
    <w:rsid w:val="009A4A17"/>
    <w:rsid w:val="009A4A4A"/>
    <w:rsid w:val="009A4A9F"/>
    <w:rsid w:val="009A4BFB"/>
    <w:rsid w:val="009A4C86"/>
    <w:rsid w:val="009A4D32"/>
    <w:rsid w:val="009A4DB2"/>
    <w:rsid w:val="009A4E09"/>
    <w:rsid w:val="009A4E0B"/>
    <w:rsid w:val="009A4F89"/>
    <w:rsid w:val="009A5015"/>
    <w:rsid w:val="009A5098"/>
    <w:rsid w:val="009A5154"/>
    <w:rsid w:val="009A51CF"/>
    <w:rsid w:val="009A523C"/>
    <w:rsid w:val="009A5244"/>
    <w:rsid w:val="009A5251"/>
    <w:rsid w:val="009A5253"/>
    <w:rsid w:val="009A52B1"/>
    <w:rsid w:val="009A52D0"/>
    <w:rsid w:val="009A52EE"/>
    <w:rsid w:val="009A5435"/>
    <w:rsid w:val="009A543D"/>
    <w:rsid w:val="009A54A1"/>
    <w:rsid w:val="009A54CA"/>
    <w:rsid w:val="009A54F9"/>
    <w:rsid w:val="009A5504"/>
    <w:rsid w:val="009A5545"/>
    <w:rsid w:val="009A5557"/>
    <w:rsid w:val="009A5577"/>
    <w:rsid w:val="009A557E"/>
    <w:rsid w:val="009A55C1"/>
    <w:rsid w:val="009A55F1"/>
    <w:rsid w:val="009A5659"/>
    <w:rsid w:val="009A5795"/>
    <w:rsid w:val="009A57AB"/>
    <w:rsid w:val="009A5895"/>
    <w:rsid w:val="009A58BA"/>
    <w:rsid w:val="009A58CB"/>
    <w:rsid w:val="009A58E8"/>
    <w:rsid w:val="009A58F8"/>
    <w:rsid w:val="009A5973"/>
    <w:rsid w:val="009A59B8"/>
    <w:rsid w:val="009A5A0B"/>
    <w:rsid w:val="009A5A8B"/>
    <w:rsid w:val="009A5AA0"/>
    <w:rsid w:val="009A5B61"/>
    <w:rsid w:val="009A5BE1"/>
    <w:rsid w:val="009A5DEF"/>
    <w:rsid w:val="009A5E30"/>
    <w:rsid w:val="009A5ECC"/>
    <w:rsid w:val="009A5F95"/>
    <w:rsid w:val="009A5FF4"/>
    <w:rsid w:val="009A603B"/>
    <w:rsid w:val="009A60A6"/>
    <w:rsid w:val="009A6214"/>
    <w:rsid w:val="009A6246"/>
    <w:rsid w:val="009A62C9"/>
    <w:rsid w:val="009A62E9"/>
    <w:rsid w:val="009A6331"/>
    <w:rsid w:val="009A6395"/>
    <w:rsid w:val="009A63A8"/>
    <w:rsid w:val="009A6408"/>
    <w:rsid w:val="009A6438"/>
    <w:rsid w:val="009A648B"/>
    <w:rsid w:val="009A64DC"/>
    <w:rsid w:val="009A6527"/>
    <w:rsid w:val="009A6570"/>
    <w:rsid w:val="009A6821"/>
    <w:rsid w:val="009A6841"/>
    <w:rsid w:val="009A68A1"/>
    <w:rsid w:val="009A6921"/>
    <w:rsid w:val="009A6979"/>
    <w:rsid w:val="009A69CE"/>
    <w:rsid w:val="009A69F1"/>
    <w:rsid w:val="009A6A17"/>
    <w:rsid w:val="009A6A45"/>
    <w:rsid w:val="009A6A61"/>
    <w:rsid w:val="009A6B23"/>
    <w:rsid w:val="009A6B53"/>
    <w:rsid w:val="009A6BBF"/>
    <w:rsid w:val="009A6C66"/>
    <w:rsid w:val="009A6C7D"/>
    <w:rsid w:val="009A6C8A"/>
    <w:rsid w:val="009A6D09"/>
    <w:rsid w:val="009A6D49"/>
    <w:rsid w:val="009A6D8D"/>
    <w:rsid w:val="009A6DA1"/>
    <w:rsid w:val="009A6E05"/>
    <w:rsid w:val="009A6E2B"/>
    <w:rsid w:val="009A6ED7"/>
    <w:rsid w:val="009A6F69"/>
    <w:rsid w:val="009A6FFC"/>
    <w:rsid w:val="009A703E"/>
    <w:rsid w:val="009A704F"/>
    <w:rsid w:val="009A70EC"/>
    <w:rsid w:val="009A7210"/>
    <w:rsid w:val="009A7231"/>
    <w:rsid w:val="009A725A"/>
    <w:rsid w:val="009A729D"/>
    <w:rsid w:val="009A738D"/>
    <w:rsid w:val="009A73D1"/>
    <w:rsid w:val="009A7421"/>
    <w:rsid w:val="009A7433"/>
    <w:rsid w:val="009A74D5"/>
    <w:rsid w:val="009A74E3"/>
    <w:rsid w:val="009A74F5"/>
    <w:rsid w:val="009A752D"/>
    <w:rsid w:val="009A75F5"/>
    <w:rsid w:val="009A76BB"/>
    <w:rsid w:val="009A7717"/>
    <w:rsid w:val="009A7735"/>
    <w:rsid w:val="009A77CA"/>
    <w:rsid w:val="009A7838"/>
    <w:rsid w:val="009A7AA0"/>
    <w:rsid w:val="009A7AF8"/>
    <w:rsid w:val="009A7B73"/>
    <w:rsid w:val="009A7BA9"/>
    <w:rsid w:val="009A7DCD"/>
    <w:rsid w:val="009A7F03"/>
    <w:rsid w:val="009A7F48"/>
    <w:rsid w:val="009A7F64"/>
    <w:rsid w:val="009A7FB8"/>
    <w:rsid w:val="009A7FFC"/>
    <w:rsid w:val="009B0018"/>
    <w:rsid w:val="009B0081"/>
    <w:rsid w:val="009B00B7"/>
    <w:rsid w:val="009B00C6"/>
    <w:rsid w:val="009B00DD"/>
    <w:rsid w:val="009B00E7"/>
    <w:rsid w:val="009B03AA"/>
    <w:rsid w:val="009B04B9"/>
    <w:rsid w:val="009B05D8"/>
    <w:rsid w:val="009B064B"/>
    <w:rsid w:val="009B066A"/>
    <w:rsid w:val="009B066C"/>
    <w:rsid w:val="009B0734"/>
    <w:rsid w:val="009B0741"/>
    <w:rsid w:val="009B0748"/>
    <w:rsid w:val="009B075E"/>
    <w:rsid w:val="009B0763"/>
    <w:rsid w:val="009B0784"/>
    <w:rsid w:val="009B07B0"/>
    <w:rsid w:val="009B07F6"/>
    <w:rsid w:val="009B080C"/>
    <w:rsid w:val="009B08D9"/>
    <w:rsid w:val="009B08E0"/>
    <w:rsid w:val="009B0933"/>
    <w:rsid w:val="009B09E3"/>
    <w:rsid w:val="009B0A00"/>
    <w:rsid w:val="009B0A04"/>
    <w:rsid w:val="009B0A58"/>
    <w:rsid w:val="009B0AC9"/>
    <w:rsid w:val="009B0ADE"/>
    <w:rsid w:val="009B0B2C"/>
    <w:rsid w:val="009B0B4B"/>
    <w:rsid w:val="009B0CC5"/>
    <w:rsid w:val="009B0CC6"/>
    <w:rsid w:val="009B0D92"/>
    <w:rsid w:val="009B0EB3"/>
    <w:rsid w:val="009B0ED1"/>
    <w:rsid w:val="009B0F69"/>
    <w:rsid w:val="009B0FA5"/>
    <w:rsid w:val="009B0FDE"/>
    <w:rsid w:val="009B106F"/>
    <w:rsid w:val="009B1191"/>
    <w:rsid w:val="009B11A1"/>
    <w:rsid w:val="009B11E0"/>
    <w:rsid w:val="009B1322"/>
    <w:rsid w:val="009B1331"/>
    <w:rsid w:val="009B1386"/>
    <w:rsid w:val="009B146D"/>
    <w:rsid w:val="009B14A6"/>
    <w:rsid w:val="009B1530"/>
    <w:rsid w:val="009B1586"/>
    <w:rsid w:val="009B1629"/>
    <w:rsid w:val="009B1641"/>
    <w:rsid w:val="009B16D6"/>
    <w:rsid w:val="009B16F4"/>
    <w:rsid w:val="009B1701"/>
    <w:rsid w:val="009B1772"/>
    <w:rsid w:val="009B17ED"/>
    <w:rsid w:val="009B18C6"/>
    <w:rsid w:val="009B18E0"/>
    <w:rsid w:val="009B1A8C"/>
    <w:rsid w:val="009B1C32"/>
    <w:rsid w:val="009B1C41"/>
    <w:rsid w:val="009B1C76"/>
    <w:rsid w:val="009B1D23"/>
    <w:rsid w:val="009B1D35"/>
    <w:rsid w:val="009B1D52"/>
    <w:rsid w:val="009B1E18"/>
    <w:rsid w:val="009B1E67"/>
    <w:rsid w:val="009B1EAA"/>
    <w:rsid w:val="009B1F13"/>
    <w:rsid w:val="009B1F21"/>
    <w:rsid w:val="009B2119"/>
    <w:rsid w:val="009B2131"/>
    <w:rsid w:val="009B2220"/>
    <w:rsid w:val="009B22D4"/>
    <w:rsid w:val="009B22EC"/>
    <w:rsid w:val="009B237B"/>
    <w:rsid w:val="009B23BE"/>
    <w:rsid w:val="009B2453"/>
    <w:rsid w:val="009B2462"/>
    <w:rsid w:val="009B24B9"/>
    <w:rsid w:val="009B2535"/>
    <w:rsid w:val="009B2542"/>
    <w:rsid w:val="009B255C"/>
    <w:rsid w:val="009B256E"/>
    <w:rsid w:val="009B261B"/>
    <w:rsid w:val="009B26D4"/>
    <w:rsid w:val="009B26D6"/>
    <w:rsid w:val="009B26E8"/>
    <w:rsid w:val="009B26F1"/>
    <w:rsid w:val="009B27B4"/>
    <w:rsid w:val="009B2842"/>
    <w:rsid w:val="009B290D"/>
    <w:rsid w:val="009B2933"/>
    <w:rsid w:val="009B29B9"/>
    <w:rsid w:val="009B29CE"/>
    <w:rsid w:val="009B29FA"/>
    <w:rsid w:val="009B2A6B"/>
    <w:rsid w:val="009B2A8F"/>
    <w:rsid w:val="009B2B0E"/>
    <w:rsid w:val="009B2B6F"/>
    <w:rsid w:val="009B2C82"/>
    <w:rsid w:val="009B2CE3"/>
    <w:rsid w:val="009B2D54"/>
    <w:rsid w:val="009B2DB1"/>
    <w:rsid w:val="009B2DF0"/>
    <w:rsid w:val="009B2E40"/>
    <w:rsid w:val="009B2E93"/>
    <w:rsid w:val="009B2EDF"/>
    <w:rsid w:val="009B2EEE"/>
    <w:rsid w:val="009B2F1F"/>
    <w:rsid w:val="009B2F84"/>
    <w:rsid w:val="009B3001"/>
    <w:rsid w:val="009B3048"/>
    <w:rsid w:val="009B30D6"/>
    <w:rsid w:val="009B31DC"/>
    <w:rsid w:val="009B33C2"/>
    <w:rsid w:val="009B344C"/>
    <w:rsid w:val="009B361F"/>
    <w:rsid w:val="009B376C"/>
    <w:rsid w:val="009B379E"/>
    <w:rsid w:val="009B37C1"/>
    <w:rsid w:val="009B384E"/>
    <w:rsid w:val="009B3889"/>
    <w:rsid w:val="009B38B0"/>
    <w:rsid w:val="009B3D61"/>
    <w:rsid w:val="009B3D8F"/>
    <w:rsid w:val="009B3EA6"/>
    <w:rsid w:val="009B3FC0"/>
    <w:rsid w:val="009B4038"/>
    <w:rsid w:val="009B40B3"/>
    <w:rsid w:val="009B40C4"/>
    <w:rsid w:val="009B421C"/>
    <w:rsid w:val="009B4256"/>
    <w:rsid w:val="009B4277"/>
    <w:rsid w:val="009B42E1"/>
    <w:rsid w:val="009B4379"/>
    <w:rsid w:val="009B43A3"/>
    <w:rsid w:val="009B43ED"/>
    <w:rsid w:val="009B44AA"/>
    <w:rsid w:val="009B44DD"/>
    <w:rsid w:val="009B44E5"/>
    <w:rsid w:val="009B45A1"/>
    <w:rsid w:val="009B45B9"/>
    <w:rsid w:val="009B45D3"/>
    <w:rsid w:val="009B45F0"/>
    <w:rsid w:val="009B45F3"/>
    <w:rsid w:val="009B45F8"/>
    <w:rsid w:val="009B4653"/>
    <w:rsid w:val="009B468C"/>
    <w:rsid w:val="009B474E"/>
    <w:rsid w:val="009B476C"/>
    <w:rsid w:val="009B47B4"/>
    <w:rsid w:val="009B47DE"/>
    <w:rsid w:val="009B47F4"/>
    <w:rsid w:val="009B47F7"/>
    <w:rsid w:val="009B4801"/>
    <w:rsid w:val="009B4854"/>
    <w:rsid w:val="009B49BD"/>
    <w:rsid w:val="009B49EC"/>
    <w:rsid w:val="009B4B0C"/>
    <w:rsid w:val="009B4B27"/>
    <w:rsid w:val="009B4B9F"/>
    <w:rsid w:val="009B4C20"/>
    <w:rsid w:val="009B4C51"/>
    <w:rsid w:val="009B4C93"/>
    <w:rsid w:val="009B4CE3"/>
    <w:rsid w:val="009B4E27"/>
    <w:rsid w:val="009B4E2B"/>
    <w:rsid w:val="009B4E5A"/>
    <w:rsid w:val="009B4ED0"/>
    <w:rsid w:val="009B4EEC"/>
    <w:rsid w:val="009B4F1B"/>
    <w:rsid w:val="009B4F82"/>
    <w:rsid w:val="009B4FAB"/>
    <w:rsid w:val="009B4FC7"/>
    <w:rsid w:val="009B50FC"/>
    <w:rsid w:val="009B512C"/>
    <w:rsid w:val="009B52EA"/>
    <w:rsid w:val="009B5341"/>
    <w:rsid w:val="009B5476"/>
    <w:rsid w:val="009B54FE"/>
    <w:rsid w:val="009B5610"/>
    <w:rsid w:val="009B5658"/>
    <w:rsid w:val="009B5661"/>
    <w:rsid w:val="009B56D2"/>
    <w:rsid w:val="009B571C"/>
    <w:rsid w:val="009B5738"/>
    <w:rsid w:val="009B5776"/>
    <w:rsid w:val="009B5822"/>
    <w:rsid w:val="009B5A57"/>
    <w:rsid w:val="009B5AAB"/>
    <w:rsid w:val="009B5ACF"/>
    <w:rsid w:val="009B5B0D"/>
    <w:rsid w:val="009B5B2C"/>
    <w:rsid w:val="009B5CFD"/>
    <w:rsid w:val="009B5D22"/>
    <w:rsid w:val="009B5E20"/>
    <w:rsid w:val="009B5E45"/>
    <w:rsid w:val="009B5E64"/>
    <w:rsid w:val="009B5EE5"/>
    <w:rsid w:val="009B5EE9"/>
    <w:rsid w:val="009B5F17"/>
    <w:rsid w:val="009B60DD"/>
    <w:rsid w:val="009B628A"/>
    <w:rsid w:val="009B6293"/>
    <w:rsid w:val="009B62C1"/>
    <w:rsid w:val="009B62ED"/>
    <w:rsid w:val="009B6375"/>
    <w:rsid w:val="009B64D4"/>
    <w:rsid w:val="009B655F"/>
    <w:rsid w:val="009B6591"/>
    <w:rsid w:val="009B65DC"/>
    <w:rsid w:val="009B65FD"/>
    <w:rsid w:val="009B666A"/>
    <w:rsid w:val="009B6742"/>
    <w:rsid w:val="009B6752"/>
    <w:rsid w:val="009B6816"/>
    <w:rsid w:val="009B6856"/>
    <w:rsid w:val="009B6863"/>
    <w:rsid w:val="009B68FA"/>
    <w:rsid w:val="009B690F"/>
    <w:rsid w:val="009B69AA"/>
    <w:rsid w:val="009B69D5"/>
    <w:rsid w:val="009B69F2"/>
    <w:rsid w:val="009B69FE"/>
    <w:rsid w:val="009B6AE2"/>
    <w:rsid w:val="009B6BB7"/>
    <w:rsid w:val="009B6C0C"/>
    <w:rsid w:val="009B6C6D"/>
    <w:rsid w:val="009B6CF9"/>
    <w:rsid w:val="009B6DB4"/>
    <w:rsid w:val="009B6DFE"/>
    <w:rsid w:val="009B6F3A"/>
    <w:rsid w:val="009B6F84"/>
    <w:rsid w:val="009B708A"/>
    <w:rsid w:val="009B708C"/>
    <w:rsid w:val="009B723E"/>
    <w:rsid w:val="009B7241"/>
    <w:rsid w:val="009B727D"/>
    <w:rsid w:val="009B72DB"/>
    <w:rsid w:val="009B7303"/>
    <w:rsid w:val="009B7372"/>
    <w:rsid w:val="009B73BA"/>
    <w:rsid w:val="009B744E"/>
    <w:rsid w:val="009B74C7"/>
    <w:rsid w:val="009B74DC"/>
    <w:rsid w:val="009B74E8"/>
    <w:rsid w:val="009B7526"/>
    <w:rsid w:val="009B7560"/>
    <w:rsid w:val="009B75F5"/>
    <w:rsid w:val="009B778B"/>
    <w:rsid w:val="009B779D"/>
    <w:rsid w:val="009B7828"/>
    <w:rsid w:val="009B78E8"/>
    <w:rsid w:val="009B7907"/>
    <w:rsid w:val="009B798F"/>
    <w:rsid w:val="009B79B1"/>
    <w:rsid w:val="009B79D1"/>
    <w:rsid w:val="009B7A82"/>
    <w:rsid w:val="009B7A9C"/>
    <w:rsid w:val="009B7C4D"/>
    <w:rsid w:val="009B7C9A"/>
    <w:rsid w:val="009B7CEC"/>
    <w:rsid w:val="009B7D1A"/>
    <w:rsid w:val="009B7D1C"/>
    <w:rsid w:val="009B7D68"/>
    <w:rsid w:val="009B7E2B"/>
    <w:rsid w:val="009B7FD0"/>
    <w:rsid w:val="009C00F0"/>
    <w:rsid w:val="009C01E6"/>
    <w:rsid w:val="009C0242"/>
    <w:rsid w:val="009C0255"/>
    <w:rsid w:val="009C02AE"/>
    <w:rsid w:val="009C0377"/>
    <w:rsid w:val="009C03A6"/>
    <w:rsid w:val="009C03DE"/>
    <w:rsid w:val="009C041B"/>
    <w:rsid w:val="009C049C"/>
    <w:rsid w:val="009C055C"/>
    <w:rsid w:val="009C0575"/>
    <w:rsid w:val="009C058B"/>
    <w:rsid w:val="009C0629"/>
    <w:rsid w:val="009C0644"/>
    <w:rsid w:val="009C068B"/>
    <w:rsid w:val="009C0693"/>
    <w:rsid w:val="009C07E0"/>
    <w:rsid w:val="009C085B"/>
    <w:rsid w:val="009C0ADE"/>
    <w:rsid w:val="009C0AFE"/>
    <w:rsid w:val="009C0B13"/>
    <w:rsid w:val="009C0B85"/>
    <w:rsid w:val="009C0BA8"/>
    <w:rsid w:val="009C0CE1"/>
    <w:rsid w:val="009C0CEE"/>
    <w:rsid w:val="009C0D69"/>
    <w:rsid w:val="009C0DB3"/>
    <w:rsid w:val="009C0DE1"/>
    <w:rsid w:val="009C0DF3"/>
    <w:rsid w:val="009C0E82"/>
    <w:rsid w:val="009C0EEF"/>
    <w:rsid w:val="009C0EFD"/>
    <w:rsid w:val="009C0F0D"/>
    <w:rsid w:val="009C0F35"/>
    <w:rsid w:val="009C0FEF"/>
    <w:rsid w:val="009C1013"/>
    <w:rsid w:val="009C10C7"/>
    <w:rsid w:val="009C11D4"/>
    <w:rsid w:val="009C11EB"/>
    <w:rsid w:val="009C1261"/>
    <w:rsid w:val="009C13A1"/>
    <w:rsid w:val="009C142A"/>
    <w:rsid w:val="009C146C"/>
    <w:rsid w:val="009C1542"/>
    <w:rsid w:val="009C15B6"/>
    <w:rsid w:val="009C161D"/>
    <w:rsid w:val="009C1621"/>
    <w:rsid w:val="009C177B"/>
    <w:rsid w:val="009C17DE"/>
    <w:rsid w:val="009C180C"/>
    <w:rsid w:val="009C1823"/>
    <w:rsid w:val="009C182B"/>
    <w:rsid w:val="009C18D3"/>
    <w:rsid w:val="009C1970"/>
    <w:rsid w:val="009C1B82"/>
    <w:rsid w:val="009C1B9C"/>
    <w:rsid w:val="009C1C3B"/>
    <w:rsid w:val="009C1C70"/>
    <w:rsid w:val="009C1DCC"/>
    <w:rsid w:val="009C1DD4"/>
    <w:rsid w:val="009C1DE0"/>
    <w:rsid w:val="009C1E19"/>
    <w:rsid w:val="009C1E40"/>
    <w:rsid w:val="009C1E85"/>
    <w:rsid w:val="009C1EA6"/>
    <w:rsid w:val="009C1EBE"/>
    <w:rsid w:val="009C1F17"/>
    <w:rsid w:val="009C2081"/>
    <w:rsid w:val="009C2090"/>
    <w:rsid w:val="009C20CA"/>
    <w:rsid w:val="009C20DD"/>
    <w:rsid w:val="009C21A9"/>
    <w:rsid w:val="009C226A"/>
    <w:rsid w:val="009C226C"/>
    <w:rsid w:val="009C22DB"/>
    <w:rsid w:val="009C234E"/>
    <w:rsid w:val="009C2357"/>
    <w:rsid w:val="009C23D4"/>
    <w:rsid w:val="009C2480"/>
    <w:rsid w:val="009C24AB"/>
    <w:rsid w:val="009C24F9"/>
    <w:rsid w:val="009C2550"/>
    <w:rsid w:val="009C25A9"/>
    <w:rsid w:val="009C2611"/>
    <w:rsid w:val="009C2636"/>
    <w:rsid w:val="009C26EB"/>
    <w:rsid w:val="009C26EE"/>
    <w:rsid w:val="009C27B2"/>
    <w:rsid w:val="009C27E5"/>
    <w:rsid w:val="009C290F"/>
    <w:rsid w:val="009C2921"/>
    <w:rsid w:val="009C2946"/>
    <w:rsid w:val="009C29C1"/>
    <w:rsid w:val="009C2A94"/>
    <w:rsid w:val="009C2B09"/>
    <w:rsid w:val="009C2B13"/>
    <w:rsid w:val="009C2B92"/>
    <w:rsid w:val="009C2B99"/>
    <w:rsid w:val="009C2BBB"/>
    <w:rsid w:val="009C2C1F"/>
    <w:rsid w:val="009C2C37"/>
    <w:rsid w:val="009C2CA2"/>
    <w:rsid w:val="009C2CDA"/>
    <w:rsid w:val="009C2D95"/>
    <w:rsid w:val="009C2DD9"/>
    <w:rsid w:val="009C2EAF"/>
    <w:rsid w:val="009C2F3B"/>
    <w:rsid w:val="009C2F4B"/>
    <w:rsid w:val="009C2FB6"/>
    <w:rsid w:val="009C3095"/>
    <w:rsid w:val="009C3130"/>
    <w:rsid w:val="009C3226"/>
    <w:rsid w:val="009C32A1"/>
    <w:rsid w:val="009C3348"/>
    <w:rsid w:val="009C344A"/>
    <w:rsid w:val="009C349F"/>
    <w:rsid w:val="009C34ED"/>
    <w:rsid w:val="009C3612"/>
    <w:rsid w:val="009C362C"/>
    <w:rsid w:val="009C3636"/>
    <w:rsid w:val="009C3698"/>
    <w:rsid w:val="009C3699"/>
    <w:rsid w:val="009C36A9"/>
    <w:rsid w:val="009C36CA"/>
    <w:rsid w:val="009C3774"/>
    <w:rsid w:val="009C3789"/>
    <w:rsid w:val="009C3823"/>
    <w:rsid w:val="009C3837"/>
    <w:rsid w:val="009C3A5E"/>
    <w:rsid w:val="009C3A83"/>
    <w:rsid w:val="009C3A8C"/>
    <w:rsid w:val="009C3B28"/>
    <w:rsid w:val="009C3B34"/>
    <w:rsid w:val="009C3C04"/>
    <w:rsid w:val="009C3C2E"/>
    <w:rsid w:val="009C3C3A"/>
    <w:rsid w:val="009C3C5E"/>
    <w:rsid w:val="009C3CA9"/>
    <w:rsid w:val="009C3D42"/>
    <w:rsid w:val="009C3DE4"/>
    <w:rsid w:val="009C3E3F"/>
    <w:rsid w:val="009C3E4C"/>
    <w:rsid w:val="009C3F56"/>
    <w:rsid w:val="009C3F85"/>
    <w:rsid w:val="009C3FF6"/>
    <w:rsid w:val="009C4037"/>
    <w:rsid w:val="009C403F"/>
    <w:rsid w:val="009C407B"/>
    <w:rsid w:val="009C4080"/>
    <w:rsid w:val="009C40BE"/>
    <w:rsid w:val="009C4105"/>
    <w:rsid w:val="009C4169"/>
    <w:rsid w:val="009C420A"/>
    <w:rsid w:val="009C4224"/>
    <w:rsid w:val="009C4232"/>
    <w:rsid w:val="009C428F"/>
    <w:rsid w:val="009C43BD"/>
    <w:rsid w:val="009C43DE"/>
    <w:rsid w:val="009C44A5"/>
    <w:rsid w:val="009C454E"/>
    <w:rsid w:val="009C45AE"/>
    <w:rsid w:val="009C45BD"/>
    <w:rsid w:val="009C4645"/>
    <w:rsid w:val="009C4646"/>
    <w:rsid w:val="009C473F"/>
    <w:rsid w:val="009C474A"/>
    <w:rsid w:val="009C479B"/>
    <w:rsid w:val="009C47DB"/>
    <w:rsid w:val="009C47EC"/>
    <w:rsid w:val="009C4816"/>
    <w:rsid w:val="009C48A6"/>
    <w:rsid w:val="009C4937"/>
    <w:rsid w:val="009C496F"/>
    <w:rsid w:val="009C4A30"/>
    <w:rsid w:val="009C4C2C"/>
    <w:rsid w:val="009C4C59"/>
    <w:rsid w:val="009C4C71"/>
    <w:rsid w:val="009C4D6B"/>
    <w:rsid w:val="009C4DF5"/>
    <w:rsid w:val="009C4E5B"/>
    <w:rsid w:val="009C4E6C"/>
    <w:rsid w:val="009C4F5A"/>
    <w:rsid w:val="009C4FED"/>
    <w:rsid w:val="009C5042"/>
    <w:rsid w:val="009C51C0"/>
    <w:rsid w:val="009C5225"/>
    <w:rsid w:val="009C5234"/>
    <w:rsid w:val="009C529C"/>
    <w:rsid w:val="009C52CF"/>
    <w:rsid w:val="009C5332"/>
    <w:rsid w:val="009C54E0"/>
    <w:rsid w:val="009C557E"/>
    <w:rsid w:val="009C5615"/>
    <w:rsid w:val="009C562C"/>
    <w:rsid w:val="009C563F"/>
    <w:rsid w:val="009C56B5"/>
    <w:rsid w:val="009C581D"/>
    <w:rsid w:val="009C5862"/>
    <w:rsid w:val="009C59C8"/>
    <w:rsid w:val="009C59CA"/>
    <w:rsid w:val="009C5A92"/>
    <w:rsid w:val="009C5AD5"/>
    <w:rsid w:val="009C5B3C"/>
    <w:rsid w:val="009C5BBA"/>
    <w:rsid w:val="009C5C54"/>
    <w:rsid w:val="009C5CA2"/>
    <w:rsid w:val="009C5CA9"/>
    <w:rsid w:val="009C5CD7"/>
    <w:rsid w:val="009C5D0E"/>
    <w:rsid w:val="009C5D20"/>
    <w:rsid w:val="009C5DBE"/>
    <w:rsid w:val="009C5EB7"/>
    <w:rsid w:val="009C5F5B"/>
    <w:rsid w:val="009C5F63"/>
    <w:rsid w:val="009C60AF"/>
    <w:rsid w:val="009C60D2"/>
    <w:rsid w:val="009C61E7"/>
    <w:rsid w:val="009C61EA"/>
    <w:rsid w:val="009C6207"/>
    <w:rsid w:val="009C6286"/>
    <w:rsid w:val="009C6367"/>
    <w:rsid w:val="009C6429"/>
    <w:rsid w:val="009C646E"/>
    <w:rsid w:val="009C64AC"/>
    <w:rsid w:val="009C64F6"/>
    <w:rsid w:val="009C6552"/>
    <w:rsid w:val="009C6595"/>
    <w:rsid w:val="009C65E8"/>
    <w:rsid w:val="009C666D"/>
    <w:rsid w:val="009C66FF"/>
    <w:rsid w:val="009C67ED"/>
    <w:rsid w:val="009C6802"/>
    <w:rsid w:val="009C6892"/>
    <w:rsid w:val="009C689E"/>
    <w:rsid w:val="009C68B2"/>
    <w:rsid w:val="009C6917"/>
    <w:rsid w:val="009C6995"/>
    <w:rsid w:val="009C6A0B"/>
    <w:rsid w:val="009C6A3F"/>
    <w:rsid w:val="009C6A82"/>
    <w:rsid w:val="009C6A8D"/>
    <w:rsid w:val="009C6B00"/>
    <w:rsid w:val="009C6B3B"/>
    <w:rsid w:val="009C6D9E"/>
    <w:rsid w:val="009C6E53"/>
    <w:rsid w:val="009C6EC4"/>
    <w:rsid w:val="009C6EDF"/>
    <w:rsid w:val="009C6F0C"/>
    <w:rsid w:val="009C7121"/>
    <w:rsid w:val="009C7195"/>
    <w:rsid w:val="009C71F2"/>
    <w:rsid w:val="009C734E"/>
    <w:rsid w:val="009C736C"/>
    <w:rsid w:val="009C73BB"/>
    <w:rsid w:val="009C74BB"/>
    <w:rsid w:val="009C7560"/>
    <w:rsid w:val="009C75D7"/>
    <w:rsid w:val="009C76AF"/>
    <w:rsid w:val="009C76B4"/>
    <w:rsid w:val="009C7755"/>
    <w:rsid w:val="009C777D"/>
    <w:rsid w:val="009C77DA"/>
    <w:rsid w:val="009C7836"/>
    <w:rsid w:val="009C7846"/>
    <w:rsid w:val="009C7898"/>
    <w:rsid w:val="009C78C5"/>
    <w:rsid w:val="009C7946"/>
    <w:rsid w:val="009C797B"/>
    <w:rsid w:val="009C7A1B"/>
    <w:rsid w:val="009C7A22"/>
    <w:rsid w:val="009C7A98"/>
    <w:rsid w:val="009C7AC9"/>
    <w:rsid w:val="009C7AFC"/>
    <w:rsid w:val="009C7B4C"/>
    <w:rsid w:val="009C7B9C"/>
    <w:rsid w:val="009C7BEA"/>
    <w:rsid w:val="009C7C8B"/>
    <w:rsid w:val="009C7CEE"/>
    <w:rsid w:val="009C7D1D"/>
    <w:rsid w:val="009C7DF6"/>
    <w:rsid w:val="009C7E02"/>
    <w:rsid w:val="009C7E3C"/>
    <w:rsid w:val="009C7ED0"/>
    <w:rsid w:val="009C7F3B"/>
    <w:rsid w:val="009D008C"/>
    <w:rsid w:val="009D0112"/>
    <w:rsid w:val="009D026E"/>
    <w:rsid w:val="009D0312"/>
    <w:rsid w:val="009D03B9"/>
    <w:rsid w:val="009D0492"/>
    <w:rsid w:val="009D04BE"/>
    <w:rsid w:val="009D04EC"/>
    <w:rsid w:val="009D0511"/>
    <w:rsid w:val="009D057C"/>
    <w:rsid w:val="009D05BA"/>
    <w:rsid w:val="009D06C0"/>
    <w:rsid w:val="009D06F9"/>
    <w:rsid w:val="009D082F"/>
    <w:rsid w:val="009D0832"/>
    <w:rsid w:val="009D0870"/>
    <w:rsid w:val="009D0877"/>
    <w:rsid w:val="009D0939"/>
    <w:rsid w:val="009D094A"/>
    <w:rsid w:val="009D0A7C"/>
    <w:rsid w:val="009D0AA1"/>
    <w:rsid w:val="009D0B07"/>
    <w:rsid w:val="009D0B2D"/>
    <w:rsid w:val="009D0B95"/>
    <w:rsid w:val="009D0BF8"/>
    <w:rsid w:val="009D0C24"/>
    <w:rsid w:val="009D0DDD"/>
    <w:rsid w:val="009D0DF7"/>
    <w:rsid w:val="009D0EFA"/>
    <w:rsid w:val="009D0F05"/>
    <w:rsid w:val="009D0F27"/>
    <w:rsid w:val="009D0F48"/>
    <w:rsid w:val="009D0F81"/>
    <w:rsid w:val="009D11F3"/>
    <w:rsid w:val="009D12AA"/>
    <w:rsid w:val="009D12E9"/>
    <w:rsid w:val="009D12F6"/>
    <w:rsid w:val="009D130D"/>
    <w:rsid w:val="009D1334"/>
    <w:rsid w:val="009D134C"/>
    <w:rsid w:val="009D1380"/>
    <w:rsid w:val="009D1449"/>
    <w:rsid w:val="009D14D5"/>
    <w:rsid w:val="009D1537"/>
    <w:rsid w:val="009D15BE"/>
    <w:rsid w:val="009D15D5"/>
    <w:rsid w:val="009D164F"/>
    <w:rsid w:val="009D18BD"/>
    <w:rsid w:val="009D18FC"/>
    <w:rsid w:val="009D1940"/>
    <w:rsid w:val="009D197D"/>
    <w:rsid w:val="009D1A61"/>
    <w:rsid w:val="009D1A78"/>
    <w:rsid w:val="009D1ACC"/>
    <w:rsid w:val="009D1B34"/>
    <w:rsid w:val="009D1B5F"/>
    <w:rsid w:val="009D1BB4"/>
    <w:rsid w:val="009D1BD4"/>
    <w:rsid w:val="009D1D6B"/>
    <w:rsid w:val="009D1DBA"/>
    <w:rsid w:val="009D1E30"/>
    <w:rsid w:val="009D2148"/>
    <w:rsid w:val="009D248E"/>
    <w:rsid w:val="009D2495"/>
    <w:rsid w:val="009D24D3"/>
    <w:rsid w:val="009D2505"/>
    <w:rsid w:val="009D25EB"/>
    <w:rsid w:val="009D26C7"/>
    <w:rsid w:val="009D26E8"/>
    <w:rsid w:val="009D278E"/>
    <w:rsid w:val="009D279C"/>
    <w:rsid w:val="009D27A6"/>
    <w:rsid w:val="009D27D6"/>
    <w:rsid w:val="009D282E"/>
    <w:rsid w:val="009D284D"/>
    <w:rsid w:val="009D295B"/>
    <w:rsid w:val="009D2962"/>
    <w:rsid w:val="009D2963"/>
    <w:rsid w:val="009D297F"/>
    <w:rsid w:val="009D29C3"/>
    <w:rsid w:val="009D29C8"/>
    <w:rsid w:val="009D29F1"/>
    <w:rsid w:val="009D2B6C"/>
    <w:rsid w:val="009D2C4A"/>
    <w:rsid w:val="009D2CD4"/>
    <w:rsid w:val="009D2D11"/>
    <w:rsid w:val="009D2DCD"/>
    <w:rsid w:val="009D2E11"/>
    <w:rsid w:val="009D2E97"/>
    <w:rsid w:val="009D2F2B"/>
    <w:rsid w:val="009D3129"/>
    <w:rsid w:val="009D3157"/>
    <w:rsid w:val="009D317A"/>
    <w:rsid w:val="009D329D"/>
    <w:rsid w:val="009D32D4"/>
    <w:rsid w:val="009D3313"/>
    <w:rsid w:val="009D3388"/>
    <w:rsid w:val="009D345A"/>
    <w:rsid w:val="009D34B2"/>
    <w:rsid w:val="009D3579"/>
    <w:rsid w:val="009D3580"/>
    <w:rsid w:val="009D35BE"/>
    <w:rsid w:val="009D362C"/>
    <w:rsid w:val="009D3670"/>
    <w:rsid w:val="009D36FB"/>
    <w:rsid w:val="009D38C1"/>
    <w:rsid w:val="009D38ED"/>
    <w:rsid w:val="009D391A"/>
    <w:rsid w:val="009D3999"/>
    <w:rsid w:val="009D39E0"/>
    <w:rsid w:val="009D3A04"/>
    <w:rsid w:val="009D3A20"/>
    <w:rsid w:val="009D3A31"/>
    <w:rsid w:val="009D3A4F"/>
    <w:rsid w:val="009D3A6D"/>
    <w:rsid w:val="009D3AE6"/>
    <w:rsid w:val="009D3AFD"/>
    <w:rsid w:val="009D3B6A"/>
    <w:rsid w:val="009D3B7A"/>
    <w:rsid w:val="009D3B97"/>
    <w:rsid w:val="009D3C4A"/>
    <w:rsid w:val="009D3CA3"/>
    <w:rsid w:val="009D3D80"/>
    <w:rsid w:val="009D3DA8"/>
    <w:rsid w:val="009D3DC7"/>
    <w:rsid w:val="009D3DED"/>
    <w:rsid w:val="009D3E10"/>
    <w:rsid w:val="009D3E38"/>
    <w:rsid w:val="009D3E70"/>
    <w:rsid w:val="009D3EDA"/>
    <w:rsid w:val="009D4122"/>
    <w:rsid w:val="009D4262"/>
    <w:rsid w:val="009D42C8"/>
    <w:rsid w:val="009D4385"/>
    <w:rsid w:val="009D446F"/>
    <w:rsid w:val="009D4475"/>
    <w:rsid w:val="009D44F7"/>
    <w:rsid w:val="009D455C"/>
    <w:rsid w:val="009D4587"/>
    <w:rsid w:val="009D45D1"/>
    <w:rsid w:val="009D4717"/>
    <w:rsid w:val="009D4724"/>
    <w:rsid w:val="009D4781"/>
    <w:rsid w:val="009D484E"/>
    <w:rsid w:val="009D4864"/>
    <w:rsid w:val="009D48A6"/>
    <w:rsid w:val="009D48B8"/>
    <w:rsid w:val="009D48E1"/>
    <w:rsid w:val="009D49C3"/>
    <w:rsid w:val="009D4B51"/>
    <w:rsid w:val="009D4B52"/>
    <w:rsid w:val="009D4B6F"/>
    <w:rsid w:val="009D4CCD"/>
    <w:rsid w:val="009D4D0E"/>
    <w:rsid w:val="009D4D67"/>
    <w:rsid w:val="009D4DC2"/>
    <w:rsid w:val="009D4E27"/>
    <w:rsid w:val="009D4E7A"/>
    <w:rsid w:val="009D4E83"/>
    <w:rsid w:val="009D5017"/>
    <w:rsid w:val="009D5052"/>
    <w:rsid w:val="009D50D2"/>
    <w:rsid w:val="009D5216"/>
    <w:rsid w:val="009D5237"/>
    <w:rsid w:val="009D5271"/>
    <w:rsid w:val="009D52C1"/>
    <w:rsid w:val="009D530A"/>
    <w:rsid w:val="009D537C"/>
    <w:rsid w:val="009D53B8"/>
    <w:rsid w:val="009D53C2"/>
    <w:rsid w:val="009D5427"/>
    <w:rsid w:val="009D543D"/>
    <w:rsid w:val="009D5483"/>
    <w:rsid w:val="009D54EF"/>
    <w:rsid w:val="009D552A"/>
    <w:rsid w:val="009D55F6"/>
    <w:rsid w:val="009D5643"/>
    <w:rsid w:val="009D56BF"/>
    <w:rsid w:val="009D56C5"/>
    <w:rsid w:val="009D5752"/>
    <w:rsid w:val="009D577E"/>
    <w:rsid w:val="009D57C7"/>
    <w:rsid w:val="009D57E6"/>
    <w:rsid w:val="009D581E"/>
    <w:rsid w:val="009D5895"/>
    <w:rsid w:val="009D589C"/>
    <w:rsid w:val="009D58DF"/>
    <w:rsid w:val="009D58F7"/>
    <w:rsid w:val="009D58F9"/>
    <w:rsid w:val="009D5964"/>
    <w:rsid w:val="009D5A09"/>
    <w:rsid w:val="009D5A16"/>
    <w:rsid w:val="009D5A30"/>
    <w:rsid w:val="009D5B4F"/>
    <w:rsid w:val="009D5B94"/>
    <w:rsid w:val="009D5BD2"/>
    <w:rsid w:val="009D5DA1"/>
    <w:rsid w:val="009D5DE7"/>
    <w:rsid w:val="009D5E16"/>
    <w:rsid w:val="009D5E34"/>
    <w:rsid w:val="009D5E79"/>
    <w:rsid w:val="009D5E7D"/>
    <w:rsid w:val="009D5E9C"/>
    <w:rsid w:val="009D5F76"/>
    <w:rsid w:val="009D5FAE"/>
    <w:rsid w:val="009D600C"/>
    <w:rsid w:val="009D6066"/>
    <w:rsid w:val="009D6071"/>
    <w:rsid w:val="009D60C5"/>
    <w:rsid w:val="009D6189"/>
    <w:rsid w:val="009D61E6"/>
    <w:rsid w:val="009D621C"/>
    <w:rsid w:val="009D626E"/>
    <w:rsid w:val="009D62A7"/>
    <w:rsid w:val="009D62B9"/>
    <w:rsid w:val="009D635F"/>
    <w:rsid w:val="009D63D2"/>
    <w:rsid w:val="009D6409"/>
    <w:rsid w:val="009D642B"/>
    <w:rsid w:val="009D6484"/>
    <w:rsid w:val="009D656D"/>
    <w:rsid w:val="009D6673"/>
    <w:rsid w:val="009D6687"/>
    <w:rsid w:val="009D668C"/>
    <w:rsid w:val="009D677E"/>
    <w:rsid w:val="009D6780"/>
    <w:rsid w:val="009D6790"/>
    <w:rsid w:val="009D67F3"/>
    <w:rsid w:val="009D683B"/>
    <w:rsid w:val="009D6862"/>
    <w:rsid w:val="009D689F"/>
    <w:rsid w:val="009D6925"/>
    <w:rsid w:val="009D693A"/>
    <w:rsid w:val="009D6985"/>
    <w:rsid w:val="009D6997"/>
    <w:rsid w:val="009D69F7"/>
    <w:rsid w:val="009D6A3C"/>
    <w:rsid w:val="009D6A3E"/>
    <w:rsid w:val="009D6B2A"/>
    <w:rsid w:val="009D6B39"/>
    <w:rsid w:val="009D6B52"/>
    <w:rsid w:val="009D6D4D"/>
    <w:rsid w:val="009D6E33"/>
    <w:rsid w:val="009D6EA6"/>
    <w:rsid w:val="009D6FFA"/>
    <w:rsid w:val="009D70BE"/>
    <w:rsid w:val="009D70DA"/>
    <w:rsid w:val="009D718A"/>
    <w:rsid w:val="009D7196"/>
    <w:rsid w:val="009D7281"/>
    <w:rsid w:val="009D7316"/>
    <w:rsid w:val="009D740C"/>
    <w:rsid w:val="009D741A"/>
    <w:rsid w:val="009D743F"/>
    <w:rsid w:val="009D7492"/>
    <w:rsid w:val="009D74AA"/>
    <w:rsid w:val="009D7647"/>
    <w:rsid w:val="009D7679"/>
    <w:rsid w:val="009D786B"/>
    <w:rsid w:val="009D7889"/>
    <w:rsid w:val="009D7897"/>
    <w:rsid w:val="009D78B0"/>
    <w:rsid w:val="009D78D2"/>
    <w:rsid w:val="009D790B"/>
    <w:rsid w:val="009D79D9"/>
    <w:rsid w:val="009D7A13"/>
    <w:rsid w:val="009D7A60"/>
    <w:rsid w:val="009D7AF7"/>
    <w:rsid w:val="009D7AFC"/>
    <w:rsid w:val="009D7C42"/>
    <w:rsid w:val="009D7C82"/>
    <w:rsid w:val="009D7CEE"/>
    <w:rsid w:val="009D7CFF"/>
    <w:rsid w:val="009D7EA1"/>
    <w:rsid w:val="009D7EE4"/>
    <w:rsid w:val="009D7EF1"/>
    <w:rsid w:val="009D7F85"/>
    <w:rsid w:val="009E00A7"/>
    <w:rsid w:val="009E012B"/>
    <w:rsid w:val="009E01D4"/>
    <w:rsid w:val="009E02AD"/>
    <w:rsid w:val="009E03F0"/>
    <w:rsid w:val="009E0404"/>
    <w:rsid w:val="009E0574"/>
    <w:rsid w:val="009E0636"/>
    <w:rsid w:val="009E0704"/>
    <w:rsid w:val="009E070F"/>
    <w:rsid w:val="009E0715"/>
    <w:rsid w:val="009E071B"/>
    <w:rsid w:val="009E0723"/>
    <w:rsid w:val="009E074C"/>
    <w:rsid w:val="009E079E"/>
    <w:rsid w:val="009E0844"/>
    <w:rsid w:val="009E0921"/>
    <w:rsid w:val="009E09E6"/>
    <w:rsid w:val="009E09F2"/>
    <w:rsid w:val="009E0A6D"/>
    <w:rsid w:val="009E0A6E"/>
    <w:rsid w:val="009E0D50"/>
    <w:rsid w:val="009E0E60"/>
    <w:rsid w:val="009E0F9D"/>
    <w:rsid w:val="009E0FB5"/>
    <w:rsid w:val="009E0FD0"/>
    <w:rsid w:val="009E0FF8"/>
    <w:rsid w:val="009E0FFF"/>
    <w:rsid w:val="009E1024"/>
    <w:rsid w:val="009E1086"/>
    <w:rsid w:val="009E10B5"/>
    <w:rsid w:val="009E112B"/>
    <w:rsid w:val="009E1235"/>
    <w:rsid w:val="009E1244"/>
    <w:rsid w:val="009E1302"/>
    <w:rsid w:val="009E1330"/>
    <w:rsid w:val="009E1346"/>
    <w:rsid w:val="009E1348"/>
    <w:rsid w:val="009E13F5"/>
    <w:rsid w:val="009E1431"/>
    <w:rsid w:val="009E1495"/>
    <w:rsid w:val="009E14BA"/>
    <w:rsid w:val="009E1520"/>
    <w:rsid w:val="009E15DD"/>
    <w:rsid w:val="009E16E3"/>
    <w:rsid w:val="009E1701"/>
    <w:rsid w:val="009E1894"/>
    <w:rsid w:val="009E18F1"/>
    <w:rsid w:val="009E1921"/>
    <w:rsid w:val="009E194E"/>
    <w:rsid w:val="009E1990"/>
    <w:rsid w:val="009E199E"/>
    <w:rsid w:val="009E19C6"/>
    <w:rsid w:val="009E19FC"/>
    <w:rsid w:val="009E1A35"/>
    <w:rsid w:val="009E1ABA"/>
    <w:rsid w:val="009E1B66"/>
    <w:rsid w:val="009E1BA1"/>
    <w:rsid w:val="009E1BF2"/>
    <w:rsid w:val="009E1C08"/>
    <w:rsid w:val="009E1CDA"/>
    <w:rsid w:val="009E1D12"/>
    <w:rsid w:val="009E1D55"/>
    <w:rsid w:val="009E1D99"/>
    <w:rsid w:val="009E1DA7"/>
    <w:rsid w:val="009E1E7C"/>
    <w:rsid w:val="009E1E97"/>
    <w:rsid w:val="009E1FDE"/>
    <w:rsid w:val="009E20AD"/>
    <w:rsid w:val="009E20C0"/>
    <w:rsid w:val="009E210D"/>
    <w:rsid w:val="009E2117"/>
    <w:rsid w:val="009E2131"/>
    <w:rsid w:val="009E21CB"/>
    <w:rsid w:val="009E22F1"/>
    <w:rsid w:val="009E230B"/>
    <w:rsid w:val="009E2472"/>
    <w:rsid w:val="009E24DC"/>
    <w:rsid w:val="009E254E"/>
    <w:rsid w:val="009E25E5"/>
    <w:rsid w:val="009E2607"/>
    <w:rsid w:val="009E2723"/>
    <w:rsid w:val="009E27F7"/>
    <w:rsid w:val="009E282A"/>
    <w:rsid w:val="009E28CF"/>
    <w:rsid w:val="009E2961"/>
    <w:rsid w:val="009E2990"/>
    <w:rsid w:val="009E2A24"/>
    <w:rsid w:val="009E2B41"/>
    <w:rsid w:val="009E2BC1"/>
    <w:rsid w:val="009E2BF5"/>
    <w:rsid w:val="009E2C1C"/>
    <w:rsid w:val="009E2CC5"/>
    <w:rsid w:val="009E2D8D"/>
    <w:rsid w:val="009E2DE5"/>
    <w:rsid w:val="009E2E18"/>
    <w:rsid w:val="009E2E8B"/>
    <w:rsid w:val="009E2F20"/>
    <w:rsid w:val="009E2FF8"/>
    <w:rsid w:val="009E300A"/>
    <w:rsid w:val="009E30AA"/>
    <w:rsid w:val="009E31DA"/>
    <w:rsid w:val="009E31ED"/>
    <w:rsid w:val="009E3200"/>
    <w:rsid w:val="009E327A"/>
    <w:rsid w:val="009E3319"/>
    <w:rsid w:val="009E3363"/>
    <w:rsid w:val="009E33DB"/>
    <w:rsid w:val="009E33ED"/>
    <w:rsid w:val="009E34E8"/>
    <w:rsid w:val="009E3698"/>
    <w:rsid w:val="009E3846"/>
    <w:rsid w:val="009E3861"/>
    <w:rsid w:val="009E38CA"/>
    <w:rsid w:val="009E3941"/>
    <w:rsid w:val="009E3973"/>
    <w:rsid w:val="009E3AEF"/>
    <w:rsid w:val="009E3B02"/>
    <w:rsid w:val="009E3D0B"/>
    <w:rsid w:val="009E3DC1"/>
    <w:rsid w:val="009E3DC6"/>
    <w:rsid w:val="009E3E79"/>
    <w:rsid w:val="009E3F8D"/>
    <w:rsid w:val="009E3F96"/>
    <w:rsid w:val="009E4071"/>
    <w:rsid w:val="009E40B5"/>
    <w:rsid w:val="009E4130"/>
    <w:rsid w:val="009E41BE"/>
    <w:rsid w:val="009E41C6"/>
    <w:rsid w:val="009E4241"/>
    <w:rsid w:val="009E424A"/>
    <w:rsid w:val="009E427B"/>
    <w:rsid w:val="009E42D7"/>
    <w:rsid w:val="009E4318"/>
    <w:rsid w:val="009E4378"/>
    <w:rsid w:val="009E43A4"/>
    <w:rsid w:val="009E44E4"/>
    <w:rsid w:val="009E44EA"/>
    <w:rsid w:val="009E452A"/>
    <w:rsid w:val="009E452B"/>
    <w:rsid w:val="009E453B"/>
    <w:rsid w:val="009E4564"/>
    <w:rsid w:val="009E45F6"/>
    <w:rsid w:val="009E4615"/>
    <w:rsid w:val="009E462C"/>
    <w:rsid w:val="009E46AD"/>
    <w:rsid w:val="009E46F3"/>
    <w:rsid w:val="009E4739"/>
    <w:rsid w:val="009E4797"/>
    <w:rsid w:val="009E48AB"/>
    <w:rsid w:val="009E491F"/>
    <w:rsid w:val="009E4A46"/>
    <w:rsid w:val="009E4A90"/>
    <w:rsid w:val="009E4A9F"/>
    <w:rsid w:val="009E4ACB"/>
    <w:rsid w:val="009E4B06"/>
    <w:rsid w:val="009E4B5C"/>
    <w:rsid w:val="009E4B75"/>
    <w:rsid w:val="009E4C19"/>
    <w:rsid w:val="009E4C36"/>
    <w:rsid w:val="009E4C55"/>
    <w:rsid w:val="009E4CA7"/>
    <w:rsid w:val="009E4D1D"/>
    <w:rsid w:val="009E4D33"/>
    <w:rsid w:val="009E4D39"/>
    <w:rsid w:val="009E4D95"/>
    <w:rsid w:val="009E4DA8"/>
    <w:rsid w:val="009E4DC7"/>
    <w:rsid w:val="009E4DC9"/>
    <w:rsid w:val="009E4E31"/>
    <w:rsid w:val="009E4E69"/>
    <w:rsid w:val="009E4EB7"/>
    <w:rsid w:val="009E4F15"/>
    <w:rsid w:val="009E4F20"/>
    <w:rsid w:val="009E4F50"/>
    <w:rsid w:val="009E5033"/>
    <w:rsid w:val="009E50FA"/>
    <w:rsid w:val="009E5111"/>
    <w:rsid w:val="009E5329"/>
    <w:rsid w:val="009E53CD"/>
    <w:rsid w:val="009E550B"/>
    <w:rsid w:val="009E550F"/>
    <w:rsid w:val="009E5575"/>
    <w:rsid w:val="009E55D5"/>
    <w:rsid w:val="009E591C"/>
    <w:rsid w:val="009E5A70"/>
    <w:rsid w:val="009E5A86"/>
    <w:rsid w:val="009E5AD3"/>
    <w:rsid w:val="009E5ADD"/>
    <w:rsid w:val="009E5B0A"/>
    <w:rsid w:val="009E5B49"/>
    <w:rsid w:val="009E5B62"/>
    <w:rsid w:val="009E5BA1"/>
    <w:rsid w:val="009E5BD3"/>
    <w:rsid w:val="009E5CD2"/>
    <w:rsid w:val="009E5D80"/>
    <w:rsid w:val="009E5DA5"/>
    <w:rsid w:val="009E5E53"/>
    <w:rsid w:val="009E5E92"/>
    <w:rsid w:val="009E5E9E"/>
    <w:rsid w:val="009E5F10"/>
    <w:rsid w:val="009E5FA5"/>
    <w:rsid w:val="009E60A9"/>
    <w:rsid w:val="009E6101"/>
    <w:rsid w:val="009E6132"/>
    <w:rsid w:val="009E61A6"/>
    <w:rsid w:val="009E61AF"/>
    <w:rsid w:val="009E61D3"/>
    <w:rsid w:val="009E6238"/>
    <w:rsid w:val="009E62D4"/>
    <w:rsid w:val="009E62E0"/>
    <w:rsid w:val="009E62FA"/>
    <w:rsid w:val="009E638E"/>
    <w:rsid w:val="009E6418"/>
    <w:rsid w:val="009E6420"/>
    <w:rsid w:val="009E643D"/>
    <w:rsid w:val="009E6451"/>
    <w:rsid w:val="009E6612"/>
    <w:rsid w:val="009E662D"/>
    <w:rsid w:val="009E663B"/>
    <w:rsid w:val="009E664F"/>
    <w:rsid w:val="009E666A"/>
    <w:rsid w:val="009E6779"/>
    <w:rsid w:val="009E678B"/>
    <w:rsid w:val="009E67AD"/>
    <w:rsid w:val="009E688E"/>
    <w:rsid w:val="009E697A"/>
    <w:rsid w:val="009E698D"/>
    <w:rsid w:val="009E6AB3"/>
    <w:rsid w:val="009E6C08"/>
    <w:rsid w:val="009E6C5A"/>
    <w:rsid w:val="009E6C69"/>
    <w:rsid w:val="009E6CA7"/>
    <w:rsid w:val="009E6CCF"/>
    <w:rsid w:val="009E6D40"/>
    <w:rsid w:val="009E6DF5"/>
    <w:rsid w:val="009E6E9C"/>
    <w:rsid w:val="009E6F0B"/>
    <w:rsid w:val="009E6F4C"/>
    <w:rsid w:val="009E701D"/>
    <w:rsid w:val="009E70E7"/>
    <w:rsid w:val="009E70F8"/>
    <w:rsid w:val="009E71C7"/>
    <w:rsid w:val="009E7317"/>
    <w:rsid w:val="009E7346"/>
    <w:rsid w:val="009E7386"/>
    <w:rsid w:val="009E7498"/>
    <w:rsid w:val="009E74C7"/>
    <w:rsid w:val="009E74C8"/>
    <w:rsid w:val="009E758A"/>
    <w:rsid w:val="009E76DD"/>
    <w:rsid w:val="009E76EC"/>
    <w:rsid w:val="009E780A"/>
    <w:rsid w:val="009E7874"/>
    <w:rsid w:val="009E79D2"/>
    <w:rsid w:val="009E7A5C"/>
    <w:rsid w:val="009E7B83"/>
    <w:rsid w:val="009E7BD1"/>
    <w:rsid w:val="009E7BF7"/>
    <w:rsid w:val="009E7BF9"/>
    <w:rsid w:val="009E7C02"/>
    <w:rsid w:val="009E7D4F"/>
    <w:rsid w:val="009E7D99"/>
    <w:rsid w:val="009E7EA1"/>
    <w:rsid w:val="009E7F07"/>
    <w:rsid w:val="009E7FF7"/>
    <w:rsid w:val="009EC1DC"/>
    <w:rsid w:val="009F0070"/>
    <w:rsid w:val="009F008A"/>
    <w:rsid w:val="009F00BA"/>
    <w:rsid w:val="009F00EC"/>
    <w:rsid w:val="009F0120"/>
    <w:rsid w:val="009F0266"/>
    <w:rsid w:val="009F02B2"/>
    <w:rsid w:val="009F02D7"/>
    <w:rsid w:val="009F030F"/>
    <w:rsid w:val="009F041E"/>
    <w:rsid w:val="009F044C"/>
    <w:rsid w:val="009F0484"/>
    <w:rsid w:val="009F04B8"/>
    <w:rsid w:val="009F0527"/>
    <w:rsid w:val="009F052C"/>
    <w:rsid w:val="009F056B"/>
    <w:rsid w:val="009F05B2"/>
    <w:rsid w:val="009F05F5"/>
    <w:rsid w:val="009F05FD"/>
    <w:rsid w:val="009F0621"/>
    <w:rsid w:val="009F06EA"/>
    <w:rsid w:val="009F06F5"/>
    <w:rsid w:val="009F0739"/>
    <w:rsid w:val="009F078D"/>
    <w:rsid w:val="009F07B2"/>
    <w:rsid w:val="009F07BE"/>
    <w:rsid w:val="009F07C7"/>
    <w:rsid w:val="009F08CB"/>
    <w:rsid w:val="009F09AD"/>
    <w:rsid w:val="009F09B3"/>
    <w:rsid w:val="009F0AF1"/>
    <w:rsid w:val="009F0B2D"/>
    <w:rsid w:val="009F0B56"/>
    <w:rsid w:val="009F0C8E"/>
    <w:rsid w:val="009F0CDA"/>
    <w:rsid w:val="009F0D99"/>
    <w:rsid w:val="009F0DE9"/>
    <w:rsid w:val="009F0E54"/>
    <w:rsid w:val="009F0E58"/>
    <w:rsid w:val="009F0E5A"/>
    <w:rsid w:val="009F0E61"/>
    <w:rsid w:val="009F0F62"/>
    <w:rsid w:val="009F1018"/>
    <w:rsid w:val="009F1157"/>
    <w:rsid w:val="009F117A"/>
    <w:rsid w:val="009F117F"/>
    <w:rsid w:val="009F11A4"/>
    <w:rsid w:val="009F1259"/>
    <w:rsid w:val="009F12F9"/>
    <w:rsid w:val="009F1332"/>
    <w:rsid w:val="009F1362"/>
    <w:rsid w:val="009F1421"/>
    <w:rsid w:val="009F143E"/>
    <w:rsid w:val="009F14EF"/>
    <w:rsid w:val="009F1507"/>
    <w:rsid w:val="009F157C"/>
    <w:rsid w:val="009F1680"/>
    <w:rsid w:val="009F1796"/>
    <w:rsid w:val="009F17B7"/>
    <w:rsid w:val="009F17D2"/>
    <w:rsid w:val="009F1856"/>
    <w:rsid w:val="009F1915"/>
    <w:rsid w:val="009F19F6"/>
    <w:rsid w:val="009F1ADE"/>
    <w:rsid w:val="009F1AF1"/>
    <w:rsid w:val="009F1BA1"/>
    <w:rsid w:val="009F1BAB"/>
    <w:rsid w:val="009F1C05"/>
    <w:rsid w:val="009F1CBB"/>
    <w:rsid w:val="009F1DA8"/>
    <w:rsid w:val="009F1DDB"/>
    <w:rsid w:val="009F1E1D"/>
    <w:rsid w:val="009F1E1E"/>
    <w:rsid w:val="009F1E3B"/>
    <w:rsid w:val="009F1ED5"/>
    <w:rsid w:val="009F1F0B"/>
    <w:rsid w:val="009F1FD0"/>
    <w:rsid w:val="009F2069"/>
    <w:rsid w:val="009F209E"/>
    <w:rsid w:val="009F20BC"/>
    <w:rsid w:val="009F20DD"/>
    <w:rsid w:val="009F2142"/>
    <w:rsid w:val="009F2153"/>
    <w:rsid w:val="009F2157"/>
    <w:rsid w:val="009F2190"/>
    <w:rsid w:val="009F2193"/>
    <w:rsid w:val="009F21D7"/>
    <w:rsid w:val="009F2230"/>
    <w:rsid w:val="009F223A"/>
    <w:rsid w:val="009F2277"/>
    <w:rsid w:val="009F2523"/>
    <w:rsid w:val="009F282D"/>
    <w:rsid w:val="009F2AAE"/>
    <w:rsid w:val="009F2AD9"/>
    <w:rsid w:val="009F2B66"/>
    <w:rsid w:val="009F2BD8"/>
    <w:rsid w:val="009F2C65"/>
    <w:rsid w:val="009F2CB7"/>
    <w:rsid w:val="009F2D97"/>
    <w:rsid w:val="009F2D9B"/>
    <w:rsid w:val="009F2E33"/>
    <w:rsid w:val="009F2E62"/>
    <w:rsid w:val="009F2F30"/>
    <w:rsid w:val="009F3001"/>
    <w:rsid w:val="009F303A"/>
    <w:rsid w:val="009F3197"/>
    <w:rsid w:val="009F3202"/>
    <w:rsid w:val="009F328F"/>
    <w:rsid w:val="009F32B4"/>
    <w:rsid w:val="009F32CC"/>
    <w:rsid w:val="009F32E4"/>
    <w:rsid w:val="009F32ED"/>
    <w:rsid w:val="009F3302"/>
    <w:rsid w:val="009F3449"/>
    <w:rsid w:val="009F348B"/>
    <w:rsid w:val="009F350E"/>
    <w:rsid w:val="009F3579"/>
    <w:rsid w:val="009F3597"/>
    <w:rsid w:val="009F35A2"/>
    <w:rsid w:val="009F363F"/>
    <w:rsid w:val="009F3654"/>
    <w:rsid w:val="009F366D"/>
    <w:rsid w:val="009F36FC"/>
    <w:rsid w:val="009F3708"/>
    <w:rsid w:val="009F371B"/>
    <w:rsid w:val="009F37A7"/>
    <w:rsid w:val="009F37E4"/>
    <w:rsid w:val="009F37EC"/>
    <w:rsid w:val="009F38B1"/>
    <w:rsid w:val="009F3925"/>
    <w:rsid w:val="009F39D1"/>
    <w:rsid w:val="009F39D5"/>
    <w:rsid w:val="009F39D9"/>
    <w:rsid w:val="009F3AC0"/>
    <w:rsid w:val="009F3B78"/>
    <w:rsid w:val="009F3BC5"/>
    <w:rsid w:val="009F3C49"/>
    <w:rsid w:val="009F3CA3"/>
    <w:rsid w:val="009F3CA4"/>
    <w:rsid w:val="009F3CCB"/>
    <w:rsid w:val="009F3CD8"/>
    <w:rsid w:val="009F3D19"/>
    <w:rsid w:val="009F3DA9"/>
    <w:rsid w:val="009F3DE9"/>
    <w:rsid w:val="009F3F50"/>
    <w:rsid w:val="009F3FEC"/>
    <w:rsid w:val="009F4001"/>
    <w:rsid w:val="009F4059"/>
    <w:rsid w:val="009F409F"/>
    <w:rsid w:val="009F4114"/>
    <w:rsid w:val="009F4173"/>
    <w:rsid w:val="009F419C"/>
    <w:rsid w:val="009F41F2"/>
    <w:rsid w:val="009F4236"/>
    <w:rsid w:val="009F437A"/>
    <w:rsid w:val="009F4484"/>
    <w:rsid w:val="009F45E0"/>
    <w:rsid w:val="009F4625"/>
    <w:rsid w:val="009F46F6"/>
    <w:rsid w:val="009F475B"/>
    <w:rsid w:val="009F4786"/>
    <w:rsid w:val="009F47E6"/>
    <w:rsid w:val="009F493B"/>
    <w:rsid w:val="009F495F"/>
    <w:rsid w:val="009F4975"/>
    <w:rsid w:val="009F49A7"/>
    <w:rsid w:val="009F4B43"/>
    <w:rsid w:val="009F4B4F"/>
    <w:rsid w:val="009F4B99"/>
    <w:rsid w:val="009F4BAC"/>
    <w:rsid w:val="009F4C27"/>
    <w:rsid w:val="009F4C73"/>
    <w:rsid w:val="009F4C79"/>
    <w:rsid w:val="009F4D04"/>
    <w:rsid w:val="009F4E06"/>
    <w:rsid w:val="009F4E4A"/>
    <w:rsid w:val="009F4EA8"/>
    <w:rsid w:val="009F4EF2"/>
    <w:rsid w:val="009F4F74"/>
    <w:rsid w:val="009F4FEF"/>
    <w:rsid w:val="009F50B1"/>
    <w:rsid w:val="009F50D8"/>
    <w:rsid w:val="009F5136"/>
    <w:rsid w:val="009F51A4"/>
    <w:rsid w:val="009F520D"/>
    <w:rsid w:val="009F5214"/>
    <w:rsid w:val="009F5271"/>
    <w:rsid w:val="009F52D1"/>
    <w:rsid w:val="009F53F5"/>
    <w:rsid w:val="009F5416"/>
    <w:rsid w:val="009F5439"/>
    <w:rsid w:val="009F54A1"/>
    <w:rsid w:val="009F5592"/>
    <w:rsid w:val="009F55A4"/>
    <w:rsid w:val="009F5623"/>
    <w:rsid w:val="009F5624"/>
    <w:rsid w:val="009F5641"/>
    <w:rsid w:val="009F56A7"/>
    <w:rsid w:val="009F56DF"/>
    <w:rsid w:val="009F5704"/>
    <w:rsid w:val="009F5748"/>
    <w:rsid w:val="009F5811"/>
    <w:rsid w:val="009F5994"/>
    <w:rsid w:val="009F59D2"/>
    <w:rsid w:val="009F5B01"/>
    <w:rsid w:val="009F5B06"/>
    <w:rsid w:val="009F5CD6"/>
    <w:rsid w:val="009F5CF2"/>
    <w:rsid w:val="009F5D15"/>
    <w:rsid w:val="009F5D1D"/>
    <w:rsid w:val="009F5D2D"/>
    <w:rsid w:val="009F5D8A"/>
    <w:rsid w:val="009F5E18"/>
    <w:rsid w:val="009F5E3A"/>
    <w:rsid w:val="009F5E42"/>
    <w:rsid w:val="009F5EA6"/>
    <w:rsid w:val="009F5F80"/>
    <w:rsid w:val="009F5F92"/>
    <w:rsid w:val="009F5FCE"/>
    <w:rsid w:val="009F6021"/>
    <w:rsid w:val="009F6071"/>
    <w:rsid w:val="009F60A7"/>
    <w:rsid w:val="009F6166"/>
    <w:rsid w:val="009F61C2"/>
    <w:rsid w:val="009F61E9"/>
    <w:rsid w:val="009F6242"/>
    <w:rsid w:val="009F6254"/>
    <w:rsid w:val="009F6369"/>
    <w:rsid w:val="009F6421"/>
    <w:rsid w:val="009F64E5"/>
    <w:rsid w:val="009F6516"/>
    <w:rsid w:val="009F6524"/>
    <w:rsid w:val="009F6554"/>
    <w:rsid w:val="009F6572"/>
    <w:rsid w:val="009F6577"/>
    <w:rsid w:val="009F65B9"/>
    <w:rsid w:val="009F6631"/>
    <w:rsid w:val="009F66A4"/>
    <w:rsid w:val="009F66DF"/>
    <w:rsid w:val="009F66FF"/>
    <w:rsid w:val="009F6708"/>
    <w:rsid w:val="009F67E2"/>
    <w:rsid w:val="009F683F"/>
    <w:rsid w:val="009F6892"/>
    <w:rsid w:val="009F691E"/>
    <w:rsid w:val="009F693F"/>
    <w:rsid w:val="009F6941"/>
    <w:rsid w:val="009F6991"/>
    <w:rsid w:val="009F69A2"/>
    <w:rsid w:val="009F69C3"/>
    <w:rsid w:val="009F6A9B"/>
    <w:rsid w:val="009F6ABC"/>
    <w:rsid w:val="009F6C25"/>
    <w:rsid w:val="009F6CAF"/>
    <w:rsid w:val="009F6DF6"/>
    <w:rsid w:val="009F6E1D"/>
    <w:rsid w:val="009F6EDA"/>
    <w:rsid w:val="009F6EDF"/>
    <w:rsid w:val="009F6F19"/>
    <w:rsid w:val="009F7039"/>
    <w:rsid w:val="009F708D"/>
    <w:rsid w:val="009F70D0"/>
    <w:rsid w:val="009F70E6"/>
    <w:rsid w:val="009F71E6"/>
    <w:rsid w:val="009F71F9"/>
    <w:rsid w:val="009F71FD"/>
    <w:rsid w:val="009F7201"/>
    <w:rsid w:val="009F73EB"/>
    <w:rsid w:val="009F73F2"/>
    <w:rsid w:val="009F7435"/>
    <w:rsid w:val="009F7451"/>
    <w:rsid w:val="009F751A"/>
    <w:rsid w:val="009F757F"/>
    <w:rsid w:val="009F761A"/>
    <w:rsid w:val="009F769F"/>
    <w:rsid w:val="009F76B1"/>
    <w:rsid w:val="009F76E5"/>
    <w:rsid w:val="009F7738"/>
    <w:rsid w:val="009F776E"/>
    <w:rsid w:val="009F77D0"/>
    <w:rsid w:val="009F77FE"/>
    <w:rsid w:val="009F7816"/>
    <w:rsid w:val="009F7839"/>
    <w:rsid w:val="009F783A"/>
    <w:rsid w:val="009F7874"/>
    <w:rsid w:val="009F79B8"/>
    <w:rsid w:val="009F79DE"/>
    <w:rsid w:val="009F7B2C"/>
    <w:rsid w:val="009F7B5B"/>
    <w:rsid w:val="009F7B77"/>
    <w:rsid w:val="009F7C93"/>
    <w:rsid w:val="009F7CDE"/>
    <w:rsid w:val="009F7E2C"/>
    <w:rsid w:val="009F7ED1"/>
    <w:rsid w:val="009F7EF3"/>
    <w:rsid w:val="009F7EF8"/>
    <w:rsid w:val="009F7FAD"/>
    <w:rsid w:val="009F946E"/>
    <w:rsid w:val="00A00013"/>
    <w:rsid w:val="00A0001E"/>
    <w:rsid w:val="00A00040"/>
    <w:rsid w:val="00A000D6"/>
    <w:rsid w:val="00A00131"/>
    <w:rsid w:val="00A0014F"/>
    <w:rsid w:val="00A0015F"/>
    <w:rsid w:val="00A00165"/>
    <w:rsid w:val="00A001C3"/>
    <w:rsid w:val="00A001CB"/>
    <w:rsid w:val="00A001EA"/>
    <w:rsid w:val="00A00269"/>
    <w:rsid w:val="00A00271"/>
    <w:rsid w:val="00A002CE"/>
    <w:rsid w:val="00A002F9"/>
    <w:rsid w:val="00A0036F"/>
    <w:rsid w:val="00A003ED"/>
    <w:rsid w:val="00A00507"/>
    <w:rsid w:val="00A0057D"/>
    <w:rsid w:val="00A00595"/>
    <w:rsid w:val="00A0059A"/>
    <w:rsid w:val="00A0066F"/>
    <w:rsid w:val="00A006FE"/>
    <w:rsid w:val="00A007AA"/>
    <w:rsid w:val="00A008DC"/>
    <w:rsid w:val="00A0098D"/>
    <w:rsid w:val="00A009DA"/>
    <w:rsid w:val="00A009F7"/>
    <w:rsid w:val="00A00A19"/>
    <w:rsid w:val="00A00AEC"/>
    <w:rsid w:val="00A00B49"/>
    <w:rsid w:val="00A00B89"/>
    <w:rsid w:val="00A00C2D"/>
    <w:rsid w:val="00A00C4F"/>
    <w:rsid w:val="00A00C76"/>
    <w:rsid w:val="00A00D32"/>
    <w:rsid w:val="00A00D55"/>
    <w:rsid w:val="00A00D57"/>
    <w:rsid w:val="00A00D9C"/>
    <w:rsid w:val="00A00DB9"/>
    <w:rsid w:val="00A00DFE"/>
    <w:rsid w:val="00A00E4F"/>
    <w:rsid w:val="00A00EB7"/>
    <w:rsid w:val="00A00F02"/>
    <w:rsid w:val="00A00F08"/>
    <w:rsid w:val="00A01052"/>
    <w:rsid w:val="00A010A3"/>
    <w:rsid w:val="00A010CA"/>
    <w:rsid w:val="00A01196"/>
    <w:rsid w:val="00A011A7"/>
    <w:rsid w:val="00A01233"/>
    <w:rsid w:val="00A0123D"/>
    <w:rsid w:val="00A01290"/>
    <w:rsid w:val="00A012CD"/>
    <w:rsid w:val="00A013DF"/>
    <w:rsid w:val="00A0151A"/>
    <w:rsid w:val="00A0156E"/>
    <w:rsid w:val="00A015F3"/>
    <w:rsid w:val="00A015F6"/>
    <w:rsid w:val="00A017E3"/>
    <w:rsid w:val="00A0182A"/>
    <w:rsid w:val="00A018DE"/>
    <w:rsid w:val="00A019B1"/>
    <w:rsid w:val="00A01A79"/>
    <w:rsid w:val="00A01A88"/>
    <w:rsid w:val="00A01B0D"/>
    <w:rsid w:val="00A01B12"/>
    <w:rsid w:val="00A01B86"/>
    <w:rsid w:val="00A01B8F"/>
    <w:rsid w:val="00A01C00"/>
    <w:rsid w:val="00A01C62"/>
    <w:rsid w:val="00A01C7C"/>
    <w:rsid w:val="00A01CA0"/>
    <w:rsid w:val="00A01D0A"/>
    <w:rsid w:val="00A01D19"/>
    <w:rsid w:val="00A01D80"/>
    <w:rsid w:val="00A01DC8"/>
    <w:rsid w:val="00A01DD6"/>
    <w:rsid w:val="00A01E7D"/>
    <w:rsid w:val="00A01E95"/>
    <w:rsid w:val="00A01EEC"/>
    <w:rsid w:val="00A01FA4"/>
    <w:rsid w:val="00A0205F"/>
    <w:rsid w:val="00A02148"/>
    <w:rsid w:val="00A0216E"/>
    <w:rsid w:val="00A021E0"/>
    <w:rsid w:val="00A0222C"/>
    <w:rsid w:val="00A0223B"/>
    <w:rsid w:val="00A023C9"/>
    <w:rsid w:val="00A023E2"/>
    <w:rsid w:val="00A02408"/>
    <w:rsid w:val="00A024A8"/>
    <w:rsid w:val="00A024E3"/>
    <w:rsid w:val="00A0261E"/>
    <w:rsid w:val="00A026A2"/>
    <w:rsid w:val="00A027BF"/>
    <w:rsid w:val="00A02882"/>
    <w:rsid w:val="00A029F3"/>
    <w:rsid w:val="00A02AD8"/>
    <w:rsid w:val="00A02BDB"/>
    <w:rsid w:val="00A02C2B"/>
    <w:rsid w:val="00A02C54"/>
    <w:rsid w:val="00A02E05"/>
    <w:rsid w:val="00A02E37"/>
    <w:rsid w:val="00A02E81"/>
    <w:rsid w:val="00A02EA8"/>
    <w:rsid w:val="00A02EFB"/>
    <w:rsid w:val="00A02F39"/>
    <w:rsid w:val="00A02FCF"/>
    <w:rsid w:val="00A03019"/>
    <w:rsid w:val="00A03074"/>
    <w:rsid w:val="00A030B9"/>
    <w:rsid w:val="00A030EA"/>
    <w:rsid w:val="00A03101"/>
    <w:rsid w:val="00A0314A"/>
    <w:rsid w:val="00A03161"/>
    <w:rsid w:val="00A0335A"/>
    <w:rsid w:val="00A0338E"/>
    <w:rsid w:val="00A033A6"/>
    <w:rsid w:val="00A033CB"/>
    <w:rsid w:val="00A034AE"/>
    <w:rsid w:val="00A034D0"/>
    <w:rsid w:val="00A035D4"/>
    <w:rsid w:val="00A037A8"/>
    <w:rsid w:val="00A038BC"/>
    <w:rsid w:val="00A039AD"/>
    <w:rsid w:val="00A03BF3"/>
    <w:rsid w:val="00A03D95"/>
    <w:rsid w:val="00A03DF4"/>
    <w:rsid w:val="00A03E01"/>
    <w:rsid w:val="00A03E2D"/>
    <w:rsid w:val="00A03ECD"/>
    <w:rsid w:val="00A03ED7"/>
    <w:rsid w:val="00A03FAB"/>
    <w:rsid w:val="00A0407F"/>
    <w:rsid w:val="00A040C2"/>
    <w:rsid w:val="00A040D6"/>
    <w:rsid w:val="00A04118"/>
    <w:rsid w:val="00A04218"/>
    <w:rsid w:val="00A04261"/>
    <w:rsid w:val="00A04345"/>
    <w:rsid w:val="00A043D4"/>
    <w:rsid w:val="00A043E3"/>
    <w:rsid w:val="00A0441B"/>
    <w:rsid w:val="00A04443"/>
    <w:rsid w:val="00A04455"/>
    <w:rsid w:val="00A044E9"/>
    <w:rsid w:val="00A044F1"/>
    <w:rsid w:val="00A044FD"/>
    <w:rsid w:val="00A04505"/>
    <w:rsid w:val="00A0451B"/>
    <w:rsid w:val="00A04549"/>
    <w:rsid w:val="00A0456A"/>
    <w:rsid w:val="00A045B4"/>
    <w:rsid w:val="00A04683"/>
    <w:rsid w:val="00A04696"/>
    <w:rsid w:val="00A047B7"/>
    <w:rsid w:val="00A0482B"/>
    <w:rsid w:val="00A04841"/>
    <w:rsid w:val="00A048CB"/>
    <w:rsid w:val="00A0494B"/>
    <w:rsid w:val="00A04956"/>
    <w:rsid w:val="00A049C9"/>
    <w:rsid w:val="00A04A25"/>
    <w:rsid w:val="00A04A27"/>
    <w:rsid w:val="00A04A38"/>
    <w:rsid w:val="00A04A8F"/>
    <w:rsid w:val="00A04B81"/>
    <w:rsid w:val="00A04C64"/>
    <w:rsid w:val="00A04C88"/>
    <w:rsid w:val="00A04CA8"/>
    <w:rsid w:val="00A04CD5"/>
    <w:rsid w:val="00A04D46"/>
    <w:rsid w:val="00A04DB0"/>
    <w:rsid w:val="00A04DDC"/>
    <w:rsid w:val="00A04E46"/>
    <w:rsid w:val="00A05157"/>
    <w:rsid w:val="00A05179"/>
    <w:rsid w:val="00A051B3"/>
    <w:rsid w:val="00A0522B"/>
    <w:rsid w:val="00A05240"/>
    <w:rsid w:val="00A05259"/>
    <w:rsid w:val="00A052A9"/>
    <w:rsid w:val="00A0536A"/>
    <w:rsid w:val="00A054C9"/>
    <w:rsid w:val="00A0559E"/>
    <w:rsid w:val="00A055E0"/>
    <w:rsid w:val="00A05667"/>
    <w:rsid w:val="00A05763"/>
    <w:rsid w:val="00A0582B"/>
    <w:rsid w:val="00A05870"/>
    <w:rsid w:val="00A05918"/>
    <w:rsid w:val="00A05928"/>
    <w:rsid w:val="00A05981"/>
    <w:rsid w:val="00A05A4A"/>
    <w:rsid w:val="00A05A71"/>
    <w:rsid w:val="00A05AE9"/>
    <w:rsid w:val="00A05B7E"/>
    <w:rsid w:val="00A05BEF"/>
    <w:rsid w:val="00A05C05"/>
    <w:rsid w:val="00A05ECB"/>
    <w:rsid w:val="00A05F87"/>
    <w:rsid w:val="00A05F93"/>
    <w:rsid w:val="00A05FD8"/>
    <w:rsid w:val="00A0608F"/>
    <w:rsid w:val="00A06111"/>
    <w:rsid w:val="00A061AB"/>
    <w:rsid w:val="00A061B8"/>
    <w:rsid w:val="00A061E4"/>
    <w:rsid w:val="00A06201"/>
    <w:rsid w:val="00A06230"/>
    <w:rsid w:val="00A0623D"/>
    <w:rsid w:val="00A0624E"/>
    <w:rsid w:val="00A062AE"/>
    <w:rsid w:val="00A062EB"/>
    <w:rsid w:val="00A063AA"/>
    <w:rsid w:val="00A06418"/>
    <w:rsid w:val="00A0659A"/>
    <w:rsid w:val="00A0666C"/>
    <w:rsid w:val="00A06692"/>
    <w:rsid w:val="00A0670C"/>
    <w:rsid w:val="00A0683C"/>
    <w:rsid w:val="00A068D6"/>
    <w:rsid w:val="00A0691F"/>
    <w:rsid w:val="00A06951"/>
    <w:rsid w:val="00A06B1B"/>
    <w:rsid w:val="00A06B33"/>
    <w:rsid w:val="00A06BDC"/>
    <w:rsid w:val="00A06CF6"/>
    <w:rsid w:val="00A06F02"/>
    <w:rsid w:val="00A06F55"/>
    <w:rsid w:val="00A06FFB"/>
    <w:rsid w:val="00A0700A"/>
    <w:rsid w:val="00A0703A"/>
    <w:rsid w:val="00A070FE"/>
    <w:rsid w:val="00A0712C"/>
    <w:rsid w:val="00A0717D"/>
    <w:rsid w:val="00A07223"/>
    <w:rsid w:val="00A07269"/>
    <w:rsid w:val="00A07323"/>
    <w:rsid w:val="00A07355"/>
    <w:rsid w:val="00A0748A"/>
    <w:rsid w:val="00A07494"/>
    <w:rsid w:val="00A074AA"/>
    <w:rsid w:val="00A07586"/>
    <w:rsid w:val="00A07598"/>
    <w:rsid w:val="00A075B6"/>
    <w:rsid w:val="00A075DC"/>
    <w:rsid w:val="00A07773"/>
    <w:rsid w:val="00A078C1"/>
    <w:rsid w:val="00A07963"/>
    <w:rsid w:val="00A07997"/>
    <w:rsid w:val="00A07A31"/>
    <w:rsid w:val="00A07A53"/>
    <w:rsid w:val="00A07A7B"/>
    <w:rsid w:val="00A07C8F"/>
    <w:rsid w:val="00A07CBA"/>
    <w:rsid w:val="00A07CC9"/>
    <w:rsid w:val="00A07CDF"/>
    <w:rsid w:val="00A07CF4"/>
    <w:rsid w:val="00A07D2D"/>
    <w:rsid w:val="00A07D52"/>
    <w:rsid w:val="00A07E06"/>
    <w:rsid w:val="00A07F8B"/>
    <w:rsid w:val="00A07F90"/>
    <w:rsid w:val="00A10018"/>
    <w:rsid w:val="00A100E4"/>
    <w:rsid w:val="00A10217"/>
    <w:rsid w:val="00A10229"/>
    <w:rsid w:val="00A10317"/>
    <w:rsid w:val="00A1032C"/>
    <w:rsid w:val="00A10342"/>
    <w:rsid w:val="00A10399"/>
    <w:rsid w:val="00A1051E"/>
    <w:rsid w:val="00A105A2"/>
    <w:rsid w:val="00A105F4"/>
    <w:rsid w:val="00A10732"/>
    <w:rsid w:val="00A108FC"/>
    <w:rsid w:val="00A1094D"/>
    <w:rsid w:val="00A109B4"/>
    <w:rsid w:val="00A10A1B"/>
    <w:rsid w:val="00A10A6F"/>
    <w:rsid w:val="00A10A7E"/>
    <w:rsid w:val="00A10BB7"/>
    <w:rsid w:val="00A10C6A"/>
    <w:rsid w:val="00A10D5A"/>
    <w:rsid w:val="00A10D83"/>
    <w:rsid w:val="00A10DEF"/>
    <w:rsid w:val="00A10E0F"/>
    <w:rsid w:val="00A10F4E"/>
    <w:rsid w:val="00A11033"/>
    <w:rsid w:val="00A1104E"/>
    <w:rsid w:val="00A1109A"/>
    <w:rsid w:val="00A110A7"/>
    <w:rsid w:val="00A11110"/>
    <w:rsid w:val="00A1113D"/>
    <w:rsid w:val="00A1127D"/>
    <w:rsid w:val="00A112CA"/>
    <w:rsid w:val="00A112CB"/>
    <w:rsid w:val="00A1130C"/>
    <w:rsid w:val="00A1132A"/>
    <w:rsid w:val="00A11354"/>
    <w:rsid w:val="00A113E0"/>
    <w:rsid w:val="00A113FD"/>
    <w:rsid w:val="00A11458"/>
    <w:rsid w:val="00A11486"/>
    <w:rsid w:val="00A1149C"/>
    <w:rsid w:val="00A114BB"/>
    <w:rsid w:val="00A11521"/>
    <w:rsid w:val="00A11539"/>
    <w:rsid w:val="00A11546"/>
    <w:rsid w:val="00A115A8"/>
    <w:rsid w:val="00A11631"/>
    <w:rsid w:val="00A117A4"/>
    <w:rsid w:val="00A11814"/>
    <w:rsid w:val="00A118B8"/>
    <w:rsid w:val="00A118D8"/>
    <w:rsid w:val="00A1191F"/>
    <w:rsid w:val="00A11952"/>
    <w:rsid w:val="00A11974"/>
    <w:rsid w:val="00A11A16"/>
    <w:rsid w:val="00A11A6E"/>
    <w:rsid w:val="00A11B47"/>
    <w:rsid w:val="00A11BD5"/>
    <w:rsid w:val="00A11CC8"/>
    <w:rsid w:val="00A11CDC"/>
    <w:rsid w:val="00A11DD8"/>
    <w:rsid w:val="00A11E10"/>
    <w:rsid w:val="00A11F3D"/>
    <w:rsid w:val="00A12087"/>
    <w:rsid w:val="00A120E5"/>
    <w:rsid w:val="00A120F5"/>
    <w:rsid w:val="00A1213C"/>
    <w:rsid w:val="00A12140"/>
    <w:rsid w:val="00A12158"/>
    <w:rsid w:val="00A12188"/>
    <w:rsid w:val="00A121E4"/>
    <w:rsid w:val="00A122BC"/>
    <w:rsid w:val="00A12390"/>
    <w:rsid w:val="00A1244C"/>
    <w:rsid w:val="00A124BD"/>
    <w:rsid w:val="00A12548"/>
    <w:rsid w:val="00A1256C"/>
    <w:rsid w:val="00A12630"/>
    <w:rsid w:val="00A126C2"/>
    <w:rsid w:val="00A126E3"/>
    <w:rsid w:val="00A12707"/>
    <w:rsid w:val="00A12730"/>
    <w:rsid w:val="00A1275C"/>
    <w:rsid w:val="00A12769"/>
    <w:rsid w:val="00A128A2"/>
    <w:rsid w:val="00A12927"/>
    <w:rsid w:val="00A1295D"/>
    <w:rsid w:val="00A12973"/>
    <w:rsid w:val="00A1299E"/>
    <w:rsid w:val="00A12A87"/>
    <w:rsid w:val="00A12BA7"/>
    <w:rsid w:val="00A12BDF"/>
    <w:rsid w:val="00A12CB0"/>
    <w:rsid w:val="00A12E0C"/>
    <w:rsid w:val="00A12E4A"/>
    <w:rsid w:val="00A12ECD"/>
    <w:rsid w:val="00A12ED9"/>
    <w:rsid w:val="00A12F27"/>
    <w:rsid w:val="00A130EA"/>
    <w:rsid w:val="00A1314A"/>
    <w:rsid w:val="00A131CE"/>
    <w:rsid w:val="00A1323B"/>
    <w:rsid w:val="00A133C8"/>
    <w:rsid w:val="00A1343D"/>
    <w:rsid w:val="00A13480"/>
    <w:rsid w:val="00A134AC"/>
    <w:rsid w:val="00A13572"/>
    <w:rsid w:val="00A13581"/>
    <w:rsid w:val="00A1360B"/>
    <w:rsid w:val="00A13614"/>
    <w:rsid w:val="00A137C5"/>
    <w:rsid w:val="00A137F9"/>
    <w:rsid w:val="00A1380B"/>
    <w:rsid w:val="00A13835"/>
    <w:rsid w:val="00A13868"/>
    <w:rsid w:val="00A138DD"/>
    <w:rsid w:val="00A138E8"/>
    <w:rsid w:val="00A138E9"/>
    <w:rsid w:val="00A1395C"/>
    <w:rsid w:val="00A13996"/>
    <w:rsid w:val="00A13997"/>
    <w:rsid w:val="00A139A5"/>
    <w:rsid w:val="00A13A70"/>
    <w:rsid w:val="00A13AB1"/>
    <w:rsid w:val="00A13CC4"/>
    <w:rsid w:val="00A13D1E"/>
    <w:rsid w:val="00A13D48"/>
    <w:rsid w:val="00A13D4E"/>
    <w:rsid w:val="00A13D61"/>
    <w:rsid w:val="00A13E22"/>
    <w:rsid w:val="00A13E8B"/>
    <w:rsid w:val="00A13F2F"/>
    <w:rsid w:val="00A13F3A"/>
    <w:rsid w:val="00A13F51"/>
    <w:rsid w:val="00A13FD3"/>
    <w:rsid w:val="00A1408B"/>
    <w:rsid w:val="00A140FA"/>
    <w:rsid w:val="00A14155"/>
    <w:rsid w:val="00A141D1"/>
    <w:rsid w:val="00A14201"/>
    <w:rsid w:val="00A1423C"/>
    <w:rsid w:val="00A142E4"/>
    <w:rsid w:val="00A1430F"/>
    <w:rsid w:val="00A1431D"/>
    <w:rsid w:val="00A1435F"/>
    <w:rsid w:val="00A1436A"/>
    <w:rsid w:val="00A143B5"/>
    <w:rsid w:val="00A14498"/>
    <w:rsid w:val="00A144D6"/>
    <w:rsid w:val="00A145A7"/>
    <w:rsid w:val="00A145DE"/>
    <w:rsid w:val="00A147C8"/>
    <w:rsid w:val="00A147E5"/>
    <w:rsid w:val="00A14870"/>
    <w:rsid w:val="00A14878"/>
    <w:rsid w:val="00A1489A"/>
    <w:rsid w:val="00A1494C"/>
    <w:rsid w:val="00A14980"/>
    <w:rsid w:val="00A14AAA"/>
    <w:rsid w:val="00A14B1B"/>
    <w:rsid w:val="00A14BA6"/>
    <w:rsid w:val="00A14C64"/>
    <w:rsid w:val="00A14CA9"/>
    <w:rsid w:val="00A14CE7"/>
    <w:rsid w:val="00A14CF9"/>
    <w:rsid w:val="00A14D41"/>
    <w:rsid w:val="00A14D64"/>
    <w:rsid w:val="00A14DB5"/>
    <w:rsid w:val="00A14F18"/>
    <w:rsid w:val="00A14F2F"/>
    <w:rsid w:val="00A14F41"/>
    <w:rsid w:val="00A14F58"/>
    <w:rsid w:val="00A14F7C"/>
    <w:rsid w:val="00A14F8D"/>
    <w:rsid w:val="00A14F8E"/>
    <w:rsid w:val="00A14FEA"/>
    <w:rsid w:val="00A14FF2"/>
    <w:rsid w:val="00A1500E"/>
    <w:rsid w:val="00A1502D"/>
    <w:rsid w:val="00A15078"/>
    <w:rsid w:val="00A15143"/>
    <w:rsid w:val="00A152D5"/>
    <w:rsid w:val="00A15321"/>
    <w:rsid w:val="00A1538B"/>
    <w:rsid w:val="00A15486"/>
    <w:rsid w:val="00A154BC"/>
    <w:rsid w:val="00A154E9"/>
    <w:rsid w:val="00A154EE"/>
    <w:rsid w:val="00A15784"/>
    <w:rsid w:val="00A1578D"/>
    <w:rsid w:val="00A157F7"/>
    <w:rsid w:val="00A158D1"/>
    <w:rsid w:val="00A15940"/>
    <w:rsid w:val="00A1595E"/>
    <w:rsid w:val="00A15997"/>
    <w:rsid w:val="00A159B7"/>
    <w:rsid w:val="00A15A09"/>
    <w:rsid w:val="00A15A80"/>
    <w:rsid w:val="00A15A89"/>
    <w:rsid w:val="00A15C66"/>
    <w:rsid w:val="00A15C7F"/>
    <w:rsid w:val="00A15E5E"/>
    <w:rsid w:val="00A15F90"/>
    <w:rsid w:val="00A15FA2"/>
    <w:rsid w:val="00A16002"/>
    <w:rsid w:val="00A1601F"/>
    <w:rsid w:val="00A16068"/>
    <w:rsid w:val="00A16071"/>
    <w:rsid w:val="00A16074"/>
    <w:rsid w:val="00A160A8"/>
    <w:rsid w:val="00A160F9"/>
    <w:rsid w:val="00A161DF"/>
    <w:rsid w:val="00A1624D"/>
    <w:rsid w:val="00A1627A"/>
    <w:rsid w:val="00A163FA"/>
    <w:rsid w:val="00A16430"/>
    <w:rsid w:val="00A164A4"/>
    <w:rsid w:val="00A164C3"/>
    <w:rsid w:val="00A164DA"/>
    <w:rsid w:val="00A165CC"/>
    <w:rsid w:val="00A1662E"/>
    <w:rsid w:val="00A16697"/>
    <w:rsid w:val="00A1675D"/>
    <w:rsid w:val="00A1680D"/>
    <w:rsid w:val="00A1689F"/>
    <w:rsid w:val="00A168E0"/>
    <w:rsid w:val="00A1692D"/>
    <w:rsid w:val="00A16998"/>
    <w:rsid w:val="00A169D0"/>
    <w:rsid w:val="00A169F1"/>
    <w:rsid w:val="00A16ADF"/>
    <w:rsid w:val="00A16B48"/>
    <w:rsid w:val="00A16B5B"/>
    <w:rsid w:val="00A16BB4"/>
    <w:rsid w:val="00A16C19"/>
    <w:rsid w:val="00A16CE7"/>
    <w:rsid w:val="00A16DFC"/>
    <w:rsid w:val="00A16E4C"/>
    <w:rsid w:val="00A16EC6"/>
    <w:rsid w:val="00A16F34"/>
    <w:rsid w:val="00A16F35"/>
    <w:rsid w:val="00A170FD"/>
    <w:rsid w:val="00A17105"/>
    <w:rsid w:val="00A17227"/>
    <w:rsid w:val="00A1729E"/>
    <w:rsid w:val="00A17360"/>
    <w:rsid w:val="00A17368"/>
    <w:rsid w:val="00A17374"/>
    <w:rsid w:val="00A173C2"/>
    <w:rsid w:val="00A17433"/>
    <w:rsid w:val="00A17550"/>
    <w:rsid w:val="00A17558"/>
    <w:rsid w:val="00A17564"/>
    <w:rsid w:val="00A17573"/>
    <w:rsid w:val="00A175C4"/>
    <w:rsid w:val="00A17632"/>
    <w:rsid w:val="00A1764E"/>
    <w:rsid w:val="00A17695"/>
    <w:rsid w:val="00A1783C"/>
    <w:rsid w:val="00A17857"/>
    <w:rsid w:val="00A17867"/>
    <w:rsid w:val="00A1787F"/>
    <w:rsid w:val="00A178C8"/>
    <w:rsid w:val="00A17916"/>
    <w:rsid w:val="00A17A36"/>
    <w:rsid w:val="00A17A8C"/>
    <w:rsid w:val="00A17AA5"/>
    <w:rsid w:val="00A17B17"/>
    <w:rsid w:val="00A17B72"/>
    <w:rsid w:val="00A17BAE"/>
    <w:rsid w:val="00A17BB2"/>
    <w:rsid w:val="00A17BF8"/>
    <w:rsid w:val="00A17C7D"/>
    <w:rsid w:val="00A17DA6"/>
    <w:rsid w:val="00A17E87"/>
    <w:rsid w:val="00A17EAD"/>
    <w:rsid w:val="00A17F43"/>
    <w:rsid w:val="00A17F4B"/>
    <w:rsid w:val="00A20166"/>
    <w:rsid w:val="00A201C2"/>
    <w:rsid w:val="00A20280"/>
    <w:rsid w:val="00A202BC"/>
    <w:rsid w:val="00A202EC"/>
    <w:rsid w:val="00A2039F"/>
    <w:rsid w:val="00A203DB"/>
    <w:rsid w:val="00A203FE"/>
    <w:rsid w:val="00A2042B"/>
    <w:rsid w:val="00A2047A"/>
    <w:rsid w:val="00A20505"/>
    <w:rsid w:val="00A205C3"/>
    <w:rsid w:val="00A20618"/>
    <w:rsid w:val="00A20631"/>
    <w:rsid w:val="00A206AB"/>
    <w:rsid w:val="00A206B0"/>
    <w:rsid w:val="00A206BC"/>
    <w:rsid w:val="00A206E7"/>
    <w:rsid w:val="00A207A5"/>
    <w:rsid w:val="00A20905"/>
    <w:rsid w:val="00A2097D"/>
    <w:rsid w:val="00A209D8"/>
    <w:rsid w:val="00A20A07"/>
    <w:rsid w:val="00A20A16"/>
    <w:rsid w:val="00A20A1F"/>
    <w:rsid w:val="00A20AA0"/>
    <w:rsid w:val="00A20BB4"/>
    <w:rsid w:val="00A20BED"/>
    <w:rsid w:val="00A20C13"/>
    <w:rsid w:val="00A20C21"/>
    <w:rsid w:val="00A20C81"/>
    <w:rsid w:val="00A20D39"/>
    <w:rsid w:val="00A20E0D"/>
    <w:rsid w:val="00A20E58"/>
    <w:rsid w:val="00A20F46"/>
    <w:rsid w:val="00A20FF3"/>
    <w:rsid w:val="00A21150"/>
    <w:rsid w:val="00A21197"/>
    <w:rsid w:val="00A21302"/>
    <w:rsid w:val="00A21361"/>
    <w:rsid w:val="00A213CA"/>
    <w:rsid w:val="00A213D6"/>
    <w:rsid w:val="00A213E6"/>
    <w:rsid w:val="00A214B3"/>
    <w:rsid w:val="00A215D5"/>
    <w:rsid w:val="00A2163B"/>
    <w:rsid w:val="00A21747"/>
    <w:rsid w:val="00A217A8"/>
    <w:rsid w:val="00A217AB"/>
    <w:rsid w:val="00A217FA"/>
    <w:rsid w:val="00A21812"/>
    <w:rsid w:val="00A21836"/>
    <w:rsid w:val="00A21858"/>
    <w:rsid w:val="00A218E7"/>
    <w:rsid w:val="00A219E4"/>
    <w:rsid w:val="00A21A1F"/>
    <w:rsid w:val="00A21B4A"/>
    <w:rsid w:val="00A21B7C"/>
    <w:rsid w:val="00A21C00"/>
    <w:rsid w:val="00A21C05"/>
    <w:rsid w:val="00A21C54"/>
    <w:rsid w:val="00A21CA6"/>
    <w:rsid w:val="00A21CF1"/>
    <w:rsid w:val="00A21DEA"/>
    <w:rsid w:val="00A21E24"/>
    <w:rsid w:val="00A21E26"/>
    <w:rsid w:val="00A21E7F"/>
    <w:rsid w:val="00A21F41"/>
    <w:rsid w:val="00A2203B"/>
    <w:rsid w:val="00A2204E"/>
    <w:rsid w:val="00A2206A"/>
    <w:rsid w:val="00A222DE"/>
    <w:rsid w:val="00A22442"/>
    <w:rsid w:val="00A224AE"/>
    <w:rsid w:val="00A224D3"/>
    <w:rsid w:val="00A2257A"/>
    <w:rsid w:val="00A225A7"/>
    <w:rsid w:val="00A225C9"/>
    <w:rsid w:val="00A2261E"/>
    <w:rsid w:val="00A22621"/>
    <w:rsid w:val="00A2271D"/>
    <w:rsid w:val="00A2283F"/>
    <w:rsid w:val="00A22856"/>
    <w:rsid w:val="00A22955"/>
    <w:rsid w:val="00A2295B"/>
    <w:rsid w:val="00A229C0"/>
    <w:rsid w:val="00A22AAB"/>
    <w:rsid w:val="00A22AB2"/>
    <w:rsid w:val="00A22B24"/>
    <w:rsid w:val="00A22C37"/>
    <w:rsid w:val="00A22C54"/>
    <w:rsid w:val="00A22C5F"/>
    <w:rsid w:val="00A22C82"/>
    <w:rsid w:val="00A22CA7"/>
    <w:rsid w:val="00A22D13"/>
    <w:rsid w:val="00A22D15"/>
    <w:rsid w:val="00A22DEE"/>
    <w:rsid w:val="00A22E9A"/>
    <w:rsid w:val="00A22F05"/>
    <w:rsid w:val="00A22F5A"/>
    <w:rsid w:val="00A23035"/>
    <w:rsid w:val="00A23267"/>
    <w:rsid w:val="00A232D7"/>
    <w:rsid w:val="00A23365"/>
    <w:rsid w:val="00A23615"/>
    <w:rsid w:val="00A23646"/>
    <w:rsid w:val="00A2367B"/>
    <w:rsid w:val="00A2368E"/>
    <w:rsid w:val="00A236B5"/>
    <w:rsid w:val="00A236F1"/>
    <w:rsid w:val="00A2371A"/>
    <w:rsid w:val="00A2377F"/>
    <w:rsid w:val="00A237B6"/>
    <w:rsid w:val="00A237E0"/>
    <w:rsid w:val="00A23865"/>
    <w:rsid w:val="00A238B0"/>
    <w:rsid w:val="00A23A11"/>
    <w:rsid w:val="00A23A83"/>
    <w:rsid w:val="00A23BC3"/>
    <w:rsid w:val="00A23BEB"/>
    <w:rsid w:val="00A23BEE"/>
    <w:rsid w:val="00A23C41"/>
    <w:rsid w:val="00A23C51"/>
    <w:rsid w:val="00A23CC0"/>
    <w:rsid w:val="00A23CC8"/>
    <w:rsid w:val="00A23D13"/>
    <w:rsid w:val="00A23D84"/>
    <w:rsid w:val="00A23DEB"/>
    <w:rsid w:val="00A23E34"/>
    <w:rsid w:val="00A23E40"/>
    <w:rsid w:val="00A23E45"/>
    <w:rsid w:val="00A23E81"/>
    <w:rsid w:val="00A23E94"/>
    <w:rsid w:val="00A23EBE"/>
    <w:rsid w:val="00A23F1C"/>
    <w:rsid w:val="00A23F4A"/>
    <w:rsid w:val="00A23F93"/>
    <w:rsid w:val="00A2400F"/>
    <w:rsid w:val="00A2406E"/>
    <w:rsid w:val="00A240A6"/>
    <w:rsid w:val="00A240B8"/>
    <w:rsid w:val="00A24108"/>
    <w:rsid w:val="00A2415D"/>
    <w:rsid w:val="00A241C3"/>
    <w:rsid w:val="00A241D0"/>
    <w:rsid w:val="00A241E8"/>
    <w:rsid w:val="00A24225"/>
    <w:rsid w:val="00A24261"/>
    <w:rsid w:val="00A24274"/>
    <w:rsid w:val="00A24306"/>
    <w:rsid w:val="00A2431C"/>
    <w:rsid w:val="00A2436E"/>
    <w:rsid w:val="00A243C1"/>
    <w:rsid w:val="00A243E2"/>
    <w:rsid w:val="00A243F1"/>
    <w:rsid w:val="00A24411"/>
    <w:rsid w:val="00A2441D"/>
    <w:rsid w:val="00A24486"/>
    <w:rsid w:val="00A24513"/>
    <w:rsid w:val="00A2454C"/>
    <w:rsid w:val="00A245BB"/>
    <w:rsid w:val="00A245F6"/>
    <w:rsid w:val="00A246AF"/>
    <w:rsid w:val="00A24701"/>
    <w:rsid w:val="00A2473C"/>
    <w:rsid w:val="00A247EE"/>
    <w:rsid w:val="00A24877"/>
    <w:rsid w:val="00A249F2"/>
    <w:rsid w:val="00A24A92"/>
    <w:rsid w:val="00A24AE3"/>
    <w:rsid w:val="00A24AF8"/>
    <w:rsid w:val="00A24BA2"/>
    <w:rsid w:val="00A24BAA"/>
    <w:rsid w:val="00A24C2D"/>
    <w:rsid w:val="00A24C31"/>
    <w:rsid w:val="00A24D78"/>
    <w:rsid w:val="00A24E22"/>
    <w:rsid w:val="00A24E2C"/>
    <w:rsid w:val="00A24E2D"/>
    <w:rsid w:val="00A24EF4"/>
    <w:rsid w:val="00A25086"/>
    <w:rsid w:val="00A25150"/>
    <w:rsid w:val="00A25211"/>
    <w:rsid w:val="00A25244"/>
    <w:rsid w:val="00A252D3"/>
    <w:rsid w:val="00A25364"/>
    <w:rsid w:val="00A25425"/>
    <w:rsid w:val="00A25439"/>
    <w:rsid w:val="00A25495"/>
    <w:rsid w:val="00A2549C"/>
    <w:rsid w:val="00A254C9"/>
    <w:rsid w:val="00A255DD"/>
    <w:rsid w:val="00A255FB"/>
    <w:rsid w:val="00A25653"/>
    <w:rsid w:val="00A25672"/>
    <w:rsid w:val="00A25745"/>
    <w:rsid w:val="00A257F0"/>
    <w:rsid w:val="00A25829"/>
    <w:rsid w:val="00A25A6A"/>
    <w:rsid w:val="00A25AD5"/>
    <w:rsid w:val="00A25C5D"/>
    <w:rsid w:val="00A25D7F"/>
    <w:rsid w:val="00A25DD9"/>
    <w:rsid w:val="00A25E05"/>
    <w:rsid w:val="00A25E36"/>
    <w:rsid w:val="00A25F1F"/>
    <w:rsid w:val="00A25F74"/>
    <w:rsid w:val="00A25FFF"/>
    <w:rsid w:val="00A2608D"/>
    <w:rsid w:val="00A260C9"/>
    <w:rsid w:val="00A260E6"/>
    <w:rsid w:val="00A26121"/>
    <w:rsid w:val="00A26155"/>
    <w:rsid w:val="00A26185"/>
    <w:rsid w:val="00A261B6"/>
    <w:rsid w:val="00A262ED"/>
    <w:rsid w:val="00A2641F"/>
    <w:rsid w:val="00A26596"/>
    <w:rsid w:val="00A26679"/>
    <w:rsid w:val="00A26717"/>
    <w:rsid w:val="00A26754"/>
    <w:rsid w:val="00A2678D"/>
    <w:rsid w:val="00A267FE"/>
    <w:rsid w:val="00A26831"/>
    <w:rsid w:val="00A2687A"/>
    <w:rsid w:val="00A268F3"/>
    <w:rsid w:val="00A2692B"/>
    <w:rsid w:val="00A269CA"/>
    <w:rsid w:val="00A26A53"/>
    <w:rsid w:val="00A26A9A"/>
    <w:rsid w:val="00A26ACE"/>
    <w:rsid w:val="00A26ADE"/>
    <w:rsid w:val="00A26B2D"/>
    <w:rsid w:val="00A26B4E"/>
    <w:rsid w:val="00A26BAF"/>
    <w:rsid w:val="00A26BC2"/>
    <w:rsid w:val="00A26BE0"/>
    <w:rsid w:val="00A26C28"/>
    <w:rsid w:val="00A26CC3"/>
    <w:rsid w:val="00A26D56"/>
    <w:rsid w:val="00A26E1D"/>
    <w:rsid w:val="00A26E32"/>
    <w:rsid w:val="00A26F34"/>
    <w:rsid w:val="00A26F8B"/>
    <w:rsid w:val="00A26F92"/>
    <w:rsid w:val="00A26FE8"/>
    <w:rsid w:val="00A27000"/>
    <w:rsid w:val="00A2703C"/>
    <w:rsid w:val="00A2714C"/>
    <w:rsid w:val="00A2714F"/>
    <w:rsid w:val="00A27157"/>
    <w:rsid w:val="00A27201"/>
    <w:rsid w:val="00A27222"/>
    <w:rsid w:val="00A27265"/>
    <w:rsid w:val="00A2728B"/>
    <w:rsid w:val="00A272C5"/>
    <w:rsid w:val="00A272D9"/>
    <w:rsid w:val="00A272E5"/>
    <w:rsid w:val="00A2734A"/>
    <w:rsid w:val="00A27473"/>
    <w:rsid w:val="00A2748C"/>
    <w:rsid w:val="00A27624"/>
    <w:rsid w:val="00A2767A"/>
    <w:rsid w:val="00A276EC"/>
    <w:rsid w:val="00A2776B"/>
    <w:rsid w:val="00A278BC"/>
    <w:rsid w:val="00A27948"/>
    <w:rsid w:val="00A27971"/>
    <w:rsid w:val="00A279F9"/>
    <w:rsid w:val="00A27B69"/>
    <w:rsid w:val="00A27C0E"/>
    <w:rsid w:val="00A27CB5"/>
    <w:rsid w:val="00A27CD1"/>
    <w:rsid w:val="00A27D44"/>
    <w:rsid w:val="00A27E15"/>
    <w:rsid w:val="00A27FB6"/>
    <w:rsid w:val="00A27FC9"/>
    <w:rsid w:val="00A3003A"/>
    <w:rsid w:val="00A30051"/>
    <w:rsid w:val="00A300C5"/>
    <w:rsid w:val="00A30111"/>
    <w:rsid w:val="00A30163"/>
    <w:rsid w:val="00A30174"/>
    <w:rsid w:val="00A301AC"/>
    <w:rsid w:val="00A30242"/>
    <w:rsid w:val="00A302FE"/>
    <w:rsid w:val="00A30419"/>
    <w:rsid w:val="00A304D3"/>
    <w:rsid w:val="00A30521"/>
    <w:rsid w:val="00A30530"/>
    <w:rsid w:val="00A3056B"/>
    <w:rsid w:val="00A30596"/>
    <w:rsid w:val="00A3059C"/>
    <w:rsid w:val="00A305B6"/>
    <w:rsid w:val="00A3068B"/>
    <w:rsid w:val="00A3070E"/>
    <w:rsid w:val="00A307ED"/>
    <w:rsid w:val="00A308C4"/>
    <w:rsid w:val="00A3094C"/>
    <w:rsid w:val="00A3094D"/>
    <w:rsid w:val="00A309F9"/>
    <w:rsid w:val="00A30A8B"/>
    <w:rsid w:val="00A30B5B"/>
    <w:rsid w:val="00A30BA0"/>
    <w:rsid w:val="00A30BE5"/>
    <w:rsid w:val="00A30C45"/>
    <w:rsid w:val="00A30C7B"/>
    <w:rsid w:val="00A30C9D"/>
    <w:rsid w:val="00A30DAD"/>
    <w:rsid w:val="00A30E1E"/>
    <w:rsid w:val="00A30E2C"/>
    <w:rsid w:val="00A30E52"/>
    <w:rsid w:val="00A30EB5"/>
    <w:rsid w:val="00A30F29"/>
    <w:rsid w:val="00A30F69"/>
    <w:rsid w:val="00A31016"/>
    <w:rsid w:val="00A3103D"/>
    <w:rsid w:val="00A31153"/>
    <w:rsid w:val="00A3116C"/>
    <w:rsid w:val="00A311E2"/>
    <w:rsid w:val="00A31204"/>
    <w:rsid w:val="00A3125C"/>
    <w:rsid w:val="00A31294"/>
    <w:rsid w:val="00A31330"/>
    <w:rsid w:val="00A3135E"/>
    <w:rsid w:val="00A3139F"/>
    <w:rsid w:val="00A313B8"/>
    <w:rsid w:val="00A314A4"/>
    <w:rsid w:val="00A314C2"/>
    <w:rsid w:val="00A3151D"/>
    <w:rsid w:val="00A315D8"/>
    <w:rsid w:val="00A316B8"/>
    <w:rsid w:val="00A31744"/>
    <w:rsid w:val="00A317C3"/>
    <w:rsid w:val="00A31818"/>
    <w:rsid w:val="00A31819"/>
    <w:rsid w:val="00A3181F"/>
    <w:rsid w:val="00A31878"/>
    <w:rsid w:val="00A31881"/>
    <w:rsid w:val="00A31885"/>
    <w:rsid w:val="00A318FF"/>
    <w:rsid w:val="00A31940"/>
    <w:rsid w:val="00A319B9"/>
    <w:rsid w:val="00A31A3A"/>
    <w:rsid w:val="00A31A6A"/>
    <w:rsid w:val="00A31A6F"/>
    <w:rsid w:val="00A31A89"/>
    <w:rsid w:val="00A31ABD"/>
    <w:rsid w:val="00A31B33"/>
    <w:rsid w:val="00A31B5C"/>
    <w:rsid w:val="00A31BD7"/>
    <w:rsid w:val="00A31C66"/>
    <w:rsid w:val="00A31C76"/>
    <w:rsid w:val="00A31C7E"/>
    <w:rsid w:val="00A31D06"/>
    <w:rsid w:val="00A31DBF"/>
    <w:rsid w:val="00A31E00"/>
    <w:rsid w:val="00A31E35"/>
    <w:rsid w:val="00A31F8E"/>
    <w:rsid w:val="00A32003"/>
    <w:rsid w:val="00A32006"/>
    <w:rsid w:val="00A3207F"/>
    <w:rsid w:val="00A32124"/>
    <w:rsid w:val="00A3212F"/>
    <w:rsid w:val="00A321A0"/>
    <w:rsid w:val="00A32226"/>
    <w:rsid w:val="00A322A2"/>
    <w:rsid w:val="00A32347"/>
    <w:rsid w:val="00A3234D"/>
    <w:rsid w:val="00A32395"/>
    <w:rsid w:val="00A323AC"/>
    <w:rsid w:val="00A3248A"/>
    <w:rsid w:val="00A3248F"/>
    <w:rsid w:val="00A325C6"/>
    <w:rsid w:val="00A325DB"/>
    <w:rsid w:val="00A3260F"/>
    <w:rsid w:val="00A32629"/>
    <w:rsid w:val="00A326DF"/>
    <w:rsid w:val="00A327D9"/>
    <w:rsid w:val="00A32843"/>
    <w:rsid w:val="00A32854"/>
    <w:rsid w:val="00A32991"/>
    <w:rsid w:val="00A329C0"/>
    <w:rsid w:val="00A32C59"/>
    <w:rsid w:val="00A32C88"/>
    <w:rsid w:val="00A32E46"/>
    <w:rsid w:val="00A32FE3"/>
    <w:rsid w:val="00A330B6"/>
    <w:rsid w:val="00A330F5"/>
    <w:rsid w:val="00A33128"/>
    <w:rsid w:val="00A33189"/>
    <w:rsid w:val="00A33270"/>
    <w:rsid w:val="00A33337"/>
    <w:rsid w:val="00A33365"/>
    <w:rsid w:val="00A3343B"/>
    <w:rsid w:val="00A33463"/>
    <w:rsid w:val="00A3350C"/>
    <w:rsid w:val="00A3356A"/>
    <w:rsid w:val="00A3359D"/>
    <w:rsid w:val="00A336A6"/>
    <w:rsid w:val="00A33707"/>
    <w:rsid w:val="00A337DF"/>
    <w:rsid w:val="00A33810"/>
    <w:rsid w:val="00A33951"/>
    <w:rsid w:val="00A33AEC"/>
    <w:rsid w:val="00A33B18"/>
    <w:rsid w:val="00A33B2A"/>
    <w:rsid w:val="00A33B80"/>
    <w:rsid w:val="00A33BE2"/>
    <w:rsid w:val="00A33C12"/>
    <w:rsid w:val="00A33C33"/>
    <w:rsid w:val="00A33C44"/>
    <w:rsid w:val="00A33C70"/>
    <w:rsid w:val="00A33C95"/>
    <w:rsid w:val="00A33DA9"/>
    <w:rsid w:val="00A33DE4"/>
    <w:rsid w:val="00A33F5C"/>
    <w:rsid w:val="00A3402F"/>
    <w:rsid w:val="00A34048"/>
    <w:rsid w:val="00A340E8"/>
    <w:rsid w:val="00A340EB"/>
    <w:rsid w:val="00A3416D"/>
    <w:rsid w:val="00A341F6"/>
    <w:rsid w:val="00A34211"/>
    <w:rsid w:val="00A3421E"/>
    <w:rsid w:val="00A3432A"/>
    <w:rsid w:val="00A3438B"/>
    <w:rsid w:val="00A343D7"/>
    <w:rsid w:val="00A34440"/>
    <w:rsid w:val="00A34504"/>
    <w:rsid w:val="00A3450B"/>
    <w:rsid w:val="00A34532"/>
    <w:rsid w:val="00A345B4"/>
    <w:rsid w:val="00A34620"/>
    <w:rsid w:val="00A34622"/>
    <w:rsid w:val="00A346E3"/>
    <w:rsid w:val="00A3478D"/>
    <w:rsid w:val="00A34824"/>
    <w:rsid w:val="00A34845"/>
    <w:rsid w:val="00A348E2"/>
    <w:rsid w:val="00A349F0"/>
    <w:rsid w:val="00A34A43"/>
    <w:rsid w:val="00A34A4F"/>
    <w:rsid w:val="00A34AC1"/>
    <w:rsid w:val="00A34AD3"/>
    <w:rsid w:val="00A34B3F"/>
    <w:rsid w:val="00A34C8E"/>
    <w:rsid w:val="00A34E09"/>
    <w:rsid w:val="00A34E6B"/>
    <w:rsid w:val="00A34F5E"/>
    <w:rsid w:val="00A34FB5"/>
    <w:rsid w:val="00A34FF2"/>
    <w:rsid w:val="00A35054"/>
    <w:rsid w:val="00A350A8"/>
    <w:rsid w:val="00A350AF"/>
    <w:rsid w:val="00A3510B"/>
    <w:rsid w:val="00A35124"/>
    <w:rsid w:val="00A351A8"/>
    <w:rsid w:val="00A3522D"/>
    <w:rsid w:val="00A35256"/>
    <w:rsid w:val="00A3533F"/>
    <w:rsid w:val="00A353A9"/>
    <w:rsid w:val="00A354DB"/>
    <w:rsid w:val="00A35518"/>
    <w:rsid w:val="00A35536"/>
    <w:rsid w:val="00A355D9"/>
    <w:rsid w:val="00A356DA"/>
    <w:rsid w:val="00A35715"/>
    <w:rsid w:val="00A3577A"/>
    <w:rsid w:val="00A357BD"/>
    <w:rsid w:val="00A357E0"/>
    <w:rsid w:val="00A35816"/>
    <w:rsid w:val="00A35910"/>
    <w:rsid w:val="00A359E1"/>
    <w:rsid w:val="00A359F6"/>
    <w:rsid w:val="00A35A74"/>
    <w:rsid w:val="00A35AA9"/>
    <w:rsid w:val="00A35B01"/>
    <w:rsid w:val="00A35B2F"/>
    <w:rsid w:val="00A35D6A"/>
    <w:rsid w:val="00A35DE6"/>
    <w:rsid w:val="00A35DF7"/>
    <w:rsid w:val="00A35E69"/>
    <w:rsid w:val="00A35ECE"/>
    <w:rsid w:val="00A35F4B"/>
    <w:rsid w:val="00A35F5F"/>
    <w:rsid w:val="00A36089"/>
    <w:rsid w:val="00A360B1"/>
    <w:rsid w:val="00A36198"/>
    <w:rsid w:val="00A3620B"/>
    <w:rsid w:val="00A3633E"/>
    <w:rsid w:val="00A36469"/>
    <w:rsid w:val="00A364BA"/>
    <w:rsid w:val="00A364D0"/>
    <w:rsid w:val="00A3652C"/>
    <w:rsid w:val="00A36554"/>
    <w:rsid w:val="00A365E0"/>
    <w:rsid w:val="00A36601"/>
    <w:rsid w:val="00A36660"/>
    <w:rsid w:val="00A366A8"/>
    <w:rsid w:val="00A366D9"/>
    <w:rsid w:val="00A367BF"/>
    <w:rsid w:val="00A367E4"/>
    <w:rsid w:val="00A3680E"/>
    <w:rsid w:val="00A36821"/>
    <w:rsid w:val="00A36822"/>
    <w:rsid w:val="00A3686A"/>
    <w:rsid w:val="00A368C4"/>
    <w:rsid w:val="00A369A6"/>
    <w:rsid w:val="00A36AE6"/>
    <w:rsid w:val="00A36B36"/>
    <w:rsid w:val="00A36B5E"/>
    <w:rsid w:val="00A36BE7"/>
    <w:rsid w:val="00A36C57"/>
    <w:rsid w:val="00A36C5F"/>
    <w:rsid w:val="00A36CD9"/>
    <w:rsid w:val="00A36CE7"/>
    <w:rsid w:val="00A36CF1"/>
    <w:rsid w:val="00A36DBE"/>
    <w:rsid w:val="00A36DCE"/>
    <w:rsid w:val="00A36F66"/>
    <w:rsid w:val="00A3701D"/>
    <w:rsid w:val="00A37063"/>
    <w:rsid w:val="00A370AE"/>
    <w:rsid w:val="00A370EA"/>
    <w:rsid w:val="00A37148"/>
    <w:rsid w:val="00A37161"/>
    <w:rsid w:val="00A3725B"/>
    <w:rsid w:val="00A37298"/>
    <w:rsid w:val="00A372DC"/>
    <w:rsid w:val="00A37310"/>
    <w:rsid w:val="00A3748B"/>
    <w:rsid w:val="00A37653"/>
    <w:rsid w:val="00A37854"/>
    <w:rsid w:val="00A37899"/>
    <w:rsid w:val="00A379BF"/>
    <w:rsid w:val="00A379CA"/>
    <w:rsid w:val="00A37A48"/>
    <w:rsid w:val="00A37A6B"/>
    <w:rsid w:val="00A37A79"/>
    <w:rsid w:val="00A37B7D"/>
    <w:rsid w:val="00A37BE5"/>
    <w:rsid w:val="00A37C96"/>
    <w:rsid w:val="00A37D2D"/>
    <w:rsid w:val="00A37D3A"/>
    <w:rsid w:val="00A37E07"/>
    <w:rsid w:val="00A37E2E"/>
    <w:rsid w:val="00A37E36"/>
    <w:rsid w:val="00A37E6E"/>
    <w:rsid w:val="00A37EAE"/>
    <w:rsid w:val="00A37EC1"/>
    <w:rsid w:val="00A37F2A"/>
    <w:rsid w:val="00A37F92"/>
    <w:rsid w:val="00A37FAB"/>
    <w:rsid w:val="00A40009"/>
    <w:rsid w:val="00A4000B"/>
    <w:rsid w:val="00A4007E"/>
    <w:rsid w:val="00A4008E"/>
    <w:rsid w:val="00A4012E"/>
    <w:rsid w:val="00A4014A"/>
    <w:rsid w:val="00A401B5"/>
    <w:rsid w:val="00A4024C"/>
    <w:rsid w:val="00A40281"/>
    <w:rsid w:val="00A4029D"/>
    <w:rsid w:val="00A40345"/>
    <w:rsid w:val="00A4035B"/>
    <w:rsid w:val="00A4040E"/>
    <w:rsid w:val="00A40430"/>
    <w:rsid w:val="00A4043A"/>
    <w:rsid w:val="00A40526"/>
    <w:rsid w:val="00A4063D"/>
    <w:rsid w:val="00A40647"/>
    <w:rsid w:val="00A40688"/>
    <w:rsid w:val="00A40710"/>
    <w:rsid w:val="00A40832"/>
    <w:rsid w:val="00A40865"/>
    <w:rsid w:val="00A40989"/>
    <w:rsid w:val="00A409F3"/>
    <w:rsid w:val="00A40BD3"/>
    <w:rsid w:val="00A40C2A"/>
    <w:rsid w:val="00A40C7B"/>
    <w:rsid w:val="00A40CE7"/>
    <w:rsid w:val="00A40D42"/>
    <w:rsid w:val="00A40DC4"/>
    <w:rsid w:val="00A40E19"/>
    <w:rsid w:val="00A40E3B"/>
    <w:rsid w:val="00A40EAD"/>
    <w:rsid w:val="00A40F11"/>
    <w:rsid w:val="00A40F67"/>
    <w:rsid w:val="00A40FBE"/>
    <w:rsid w:val="00A4102A"/>
    <w:rsid w:val="00A41062"/>
    <w:rsid w:val="00A410A2"/>
    <w:rsid w:val="00A410B9"/>
    <w:rsid w:val="00A41119"/>
    <w:rsid w:val="00A41259"/>
    <w:rsid w:val="00A4126D"/>
    <w:rsid w:val="00A4135F"/>
    <w:rsid w:val="00A413A2"/>
    <w:rsid w:val="00A413CB"/>
    <w:rsid w:val="00A41405"/>
    <w:rsid w:val="00A41412"/>
    <w:rsid w:val="00A414A0"/>
    <w:rsid w:val="00A414EE"/>
    <w:rsid w:val="00A41573"/>
    <w:rsid w:val="00A4160D"/>
    <w:rsid w:val="00A4162E"/>
    <w:rsid w:val="00A4166B"/>
    <w:rsid w:val="00A41682"/>
    <w:rsid w:val="00A416CB"/>
    <w:rsid w:val="00A418C1"/>
    <w:rsid w:val="00A41935"/>
    <w:rsid w:val="00A41948"/>
    <w:rsid w:val="00A4194C"/>
    <w:rsid w:val="00A419C6"/>
    <w:rsid w:val="00A41A25"/>
    <w:rsid w:val="00A41A51"/>
    <w:rsid w:val="00A41A88"/>
    <w:rsid w:val="00A41C04"/>
    <w:rsid w:val="00A41C2D"/>
    <w:rsid w:val="00A41CAF"/>
    <w:rsid w:val="00A41CE9"/>
    <w:rsid w:val="00A41D21"/>
    <w:rsid w:val="00A41D22"/>
    <w:rsid w:val="00A41D4C"/>
    <w:rsid w:val="00A41E86"/>
    <w:rsid w:val="00A41FAD"/>
    <w:rsid w:val="00A41FFC"/>
    <w:rsid w:val="00A4200E"/>
    <w:rsid w:val="00A4204F"/>
    <w:rsid w:val="00A42082"/>
    <w:rsid w:val="00A42094"/>
    <w:rsid w:val="00A420C2"/>
    <w:rsid w:val="00A4212E"/>
    <w:rsid w:val="00A42163"/>
    <w:rsid w:val="00A421C2"/>
    <w:rsid w:val="00A421DB"/>
    <w:rsid w:val="00A42223"/>
    <w:rsid w:val="00A42241"/>
    <w:rsid w:val="00A42267"/>
    <w:rsid w:val="00A42295"/>
    <w:rsid w:val="00A422B8"/>
    <w:rsid w:val="00A422F2"/>
    <w:rsid w:val="00A42315"/>
    <w:rsid w:val="00A4233B"/>
    <w:rsid w:val="00A4238E"/>
    <w:rsid w:val="00A42430"/>
    <w:rsid w:val="00A42455"/>
    <w:rsid w:val="00A4249B"/>
    <w:rsid w:val="00A42500"/>
    <w:rsid w:val="00A4258B"/>
    <w:rsid w:val="00A4260D"/>
    <w:rsid w:val="00A42615"/>
    <w:rsid w:val="00A428B9"/>
    <w:rsid w:val="00A42971"/>
    <w:rsid w:val="00A429B3"/>
    <w:rsid w:val="00A42A03"/>
    <w:rsid w:val="00A42AA7"/>
    <w:rsid w:val="00A42AAA"/>
    <w:rsid w:val="00A42AAE"/>
    <w:rsid w:val="00A42B04"/>
    <w:rsid w:val="00A42C44"/>
    <w:rsid w:val="00A42C98"/>
    <w:rsid w:val="00A42CD8"/>
    <w:rsid w:val="00A42D85"/>
    <w:rsid w:val="00A42DA7"/>
    <w:rsid w:val="00A42DB7"/>
    <w:rsid w:val="00A42E0E"/>
    <w:rsid w:val="00A42E1D"/>
    <w:rsid w:val="00A42F76"/>
    <w:rsid w:val="00A42FBC"/>
    <w:rsid w:val="00A4303A"/>
    <w:rsid w:val="00A43041"/>
    <w:rsid w:val="00A430A8"/>
    <w:rsid w:val="00A43168"/>
    <w:rsid w:val="00A432C7"/>
    <w:rsid w:val="00A432D2"/>
    <w:rsid w:val="00A432E9"/>
    <w:rsid w:val="00A433D5"/>
    <w:rsid w:val="00A43404"/>
    <w:rsid w:val="00A4346C"/>
    <w:rsid w:val="00A4348D"/>
    <w:rsid w:val="00A43517"/>
    <w:rsid w:val="00A4352C"/>
    <w:rsid w:val="00A435F7"/>
    <w:rsid w:val="00A4360E"/>
    <w:rsid w:val="00A43626"/>
    <w:rsid w:val="00A43645"/>
    <w:rsid w:val="00A4377F"/>
    <w:rsid w:val="00A43847"/>
    <w:rsid w:val="00A4399D"/>
    <w:rsid w:val="00A439AE"/>
    <w:rsid w:val="00A43A23"/>
    <w:rsid w:val="00A43AF5"/>
    <w:rsid w:val="00A43B2C"/>
    <w:rsid w:val="00A43B6E"/>
    <w:rsid w:val="00A43C1B"/>
    <w:rsid w:val="00A43C4D"/>
    <w:rsid w:val="00A43CFE"/>
    <w:rsid w:val="00A43D53"/>
    <w:rsid w:val="00A43E7C"/>
    <w:rsid w:val="00A43F32"/>
    <w:rsid w:val="00A43F43"/>
    <w:rsid w:val="00A43FB3"/>
    <w:rsid w:val="00A4407E"/>
    <w:rsid w:val="00A440EC"/>
    <w:rsid w:val="00A44163"/>
    <w:rsid w:val="00A441B4"/>
    <w:rsid w:val="00A441EF"/>
    <w:rsid w:val="00A4421F"/>
    <w:rsid w:val="00A443FF"/>
    <w:rsid w:val="00A444D8"/>
    <w:rsid w:val="00A444DD"/>
    <w:rsid w:val="00A4457F"/>
    <w:rsid w:val="00A445A7"/>
    <w:rsid w:val="00A44664"/>
    <w:rsid w:val="00A4470F"/>
    <w:rsid w:val="00A44724"/>
    <w:rsid w:val="00A447D6"/>
    <w:rsid w:val="00A447FF"/>
    <w:rsid w:val="00A448EF"/>
    <w:rsid w:val="00A44A8B"/>
    <w:rsid w:val="00A44A9B"/>
    <w:rsid w:val="00A44AA5"/>
    <w:rsid w:val="00A44AD2"/>
    <w:rsid w:val="00A44AFF"/>
    <w:rsid w:val="00A44B61"/>
    <w:rsid w:val="00A44BEF"/>
    <w:rsid w:val="00A44C5B"/>
    <w:rsid w:val="00A44C5C"/>
    <w:rsid w:val="00A44C61"/>
    <w:rsid w:val="00A44C81"/>
    <w:rsid w:val="00A44DF4"/>
    <w:rsid w:val="00A44E18"/>
    <w:rsid w:val="00A44E3F"/>
    <w:rsid w:val="00A44E8B"/>
    <w:rsid w:val="00A44F13"/>
    <w:rsid w:val="00A44F30"/>
    <w:rsid w:val="00A4502A"/>
    <w:rsid w:val="00A45042"/>
    <w:rsid w:val="00A450D8"/>
    <w:rsid w:val="00A45128"/>
    <w:rsid w:val="00A4517A"/>
    <w:rsid w:val="00A451E1"/>
    <w:rsid w:val="00A4524F"/>
    <w:rsid w:val="00A4531F"/>
    <w:rsid w:val="00A453C2"/>
    <w:rsid w:val="00A45405"/>
    <w:rsid w:val="00A45563"/>
    <w:rsid w:val="00A45569"/>
    <w:rsid w:val="00A455FC"/>
    <w:rsid w:val="00A45615"/>
    <w:rsid w:val="00A4564D"/>
    <w:rsid w:val="00A45682"/>
    <w:rsid w:val="00A456EC"/>
    <w:rsid w:val="00A45704"/>
    <w:rsid w:val="00A457DC"/>
    <w:rsid w:val="00A4583B"/>
    <w:rsid w:val="00A458EF"/>
    <w:rsid w:val="00A458F8"/>
    <w:rsid w:val="00A458FE"/>
    <w:rsid w:val="00A45953"/>
    <w:rsid w:val="00A45983"/>
    <w:rsid w:val="00A459FD"/>
    <w:rsid w:val="00A45A5B"/>
    <w:rsid w:val="00A45ACB"/>
    <w:rsid w:val="00A45B71"/>
    <w:rsid w:val="00A45B8E"/>
    <w:rsid w:val="00A45BF7"/>
    <w:rsid w:val="00A45C09"/>
    <w:rsid w:val="00A45CA3"/>
    <w:rsid w:val="00A45CFD"/>
    <w:rsid w:val="00A45D09"/>
    <w:rsid w:val="00A45D9B"/>
    <w:rsid w:val="00A45DB7"/>
    <w:rsid w:val="00A45DD6"/>
    <w:rsid w:val="00A45E01"/>
    <w:rsid w:val="00A45E1C"/>
    <w:rsid w:val="00A45E50"/>
    <w:rsid w:val="00A45E5F"/>
    <w:rsid w:val="00A45E9A"/>
    <w:rsid w:val="00A45FAE"/>
    <w:rsid w:val="00A45FFD"/>
    <w:rsid w:val="00A4606C"/>
    <w:rsid w:val="00A460A0"/>
    <w:rsid w:val="00A460B8"/>
    <w:rsid w:val="00A460CB"/>
    <w:rsid w:val="00A460F6"/>
    <w:rsid w:val="00A4617E"/>
    <w:rsid w:val="00A461D7"/>
    <w:rsid w:val="00A4625B"/>
    <w:rsid w:val="00A46260"/>
    <w:rsid w:val="00A463FF"/>
    <w:rsid w:val="00A4644E"/>
    <w:rsid w:val="00A46479"/>
    <w:rsid w:val="00A464B1"/>
    <w:rsid w:val="00A464C2"/>
    <w:rsid w:val="00A464D0"/>
    <w:rsid w:val="00A464EF"/>
    <w:rsid w:val="00A465F6"/>
    <w:rsid w:val="00A46639"/>
    <w:rsid w:val="00A46646"/>
    <w:rsid w:val="00A46649"/>
    <w:rsid w:val="00A46673"/>
    <w:rsid w:val="00A4669F"/>
    <w:rsid w:val="00A46711"/>
    <w:rsid w:val="00A46778"/>
    <w:rsid w:val="00A467F9"/>
    <w:rsid w:val="00A46825"/>
    <w:rsid w:val="00A46826"/>
    <w:rsid w:val="00A4684C"/>
    <w:rsid w:val="00A468F1"/>
    <w:rsid w:val="00A46901"/>
    <w:rsid w:val="00A46955"/>
    <w:rsid w:val="00A4698A"/>
    <w:rsid w:val="00A46A6A"/>
    <w:rsid w:val="00A46BB1"/>
    <w:rsid w:val="00A46C28"/>
    <w:rsid w:val="00A46CDB"/>
    <w:rsid w:val="00A46CEF"/>
    <w:rsid w:val="00A46D1D"/>
    <w:rsid w:val="00A46D30"/>
    <w:rsid w:val="00A46D44"/>
    <w:rsid w:val="00A46D61"/>
    <w:rsid w:val="00A46DA1"/>
    <w:rsid w:val="00A46DCE"/>
    <w:rsid w:val="00A46DEC"/>
    <w:rsid w:val="00A46E3A"/>
    <w:rsid w:val="00A46EF2"/>
    <w:rsid w:val="00A46EFF"/>
    <w:rsid w:val="00A46F2E"/>
    <w:rsid w:val="00A46F54"/>
    <w:rsid w:val="00A46FEA"/>
    <w:rsid w:val="00A4703E"/>
    <w:rsid w:val="00A47061"/>
    <w:rsid w:val="00A470E1"/>
    <w:rsid w:val="00A47197"/>
    <w:rsid w:val="00A471AD"/>
    <w:rsid w:val="00A47242"/>
    <w:rsid w:val="00A47315"/>
    <w:rsid w:val="00A473B8"/>
    <w:rsid w:val="00A473E5"/>
    <w:rsid w:val="00A475E7"/>
    <w:rsid w:val="00A47696"/>
    <w:rsid w:val="00A476A2"/>
    <w:rsid w:val="00A476E5"/>
    <w:rsid w:val="00A47764"/>
    <w:rsid w:val="00A4776C"/>
    <w:rsid w:val="00A477C5"/>
    <w:rsid w:val="00A477EB"/>
    <w:rsid w:val="00A478D2"/>
    <w:rsid w:val="00A478F4"/>
    <w:rsid w:val="00A4793E"/>
    <w:rsid w:val="00A479D6"/>
    <w:rsid w:val="00A47A06"/>
    <w:rsid w:val="00A47A0C"/>
    <w:rsid w:val="00A47A53"/>
    <w:rsid w:val="00A47AC7"/>
    <w:rsid w:val="00A47AC9"/>
    <w:rsid w:val="00A47B14"/>
    <w:rsid w:val="00A47BAD"/>
    <w:rsid w:val="00A47BCB"/>
    <w:rsid w:val="00A47C27"/>
    <w:rsid w:val="00A47DD7"/>
    <w:rsid w:val="00A47F39"/>
    <w:rsid w:val="00A47F91"/>
    <w:rsid w:val="00A47FA7"/>
    <w:rsid w:val="00A47FFE"/>
    <w:rsid w:val="00A5004F"/>
    <w:rsid w:val="00A500BC"/>
    <w:rsid w:val="00A5011A"/>
    <w:rsid w:val="00A50140"/>
    <w:rsid w:val="00A502CD"/>
    <w:rsid w:val="00A50344"/>
    <w:rsid w:val="00A50371"/>
    <w:rsid w:val="00A503EE"/>
    <w:rsid w:val="00A504D5"/>
    <w:rsid w:val="00A505C7"/>
    <w:rsid w:val="00A505CF"/>
    <w:rsid w:val="00A505F0"/>
    <w:rsid w:val="00A50616"/>
    <w:rsid w:val="00A5072C"/>
    <w:rsid w:val="00A5081B"/>
    <w:rsid w:val="00A5081F"/>
    <w:rsid w:val="00A508D8"/>
    <w:rsid w:val="00A509B5"/>
    <w:rsid w:val="00A509D5"/>
    <w:rsid w:val="00A50A3D"/>
    <w:rsid w:val="00A50AE0"/>
    <w:rsid w:val="00A50B81"/>
    <w:rsid w:val="00A50CC3"/>
    <w:rsid w:val="00A50CDC"/>
    <w:rsid w:val="00A50D02"/>
    <w:rsid w:val="00A50DDE"/>
    <w:rsid w:val="00A50E51"/>
    <w:rsid w:val="00A50E95"/>
    <w:rsid w:val="00A50E9A"/>
    <w:rsid w:val="00A50EDC"/>
    <w:rsid w:val="00A50FC7"/>
    <w:rsid w:val="00A50FEF"/>
    <w:rsid w:val="00A510CE"/>
    <w:rsid w:val="00A510DF"/>
    <w:rsid w:val="00A51104"/>
    <w:rsid w:val="00A51107"/>
    <w:rsid w:val="00A51174"/>
    <w:rsid w:val="00A51287"/>
    <w:rsid w:val="00A512BD"/>
    <w:rsid w:val="00A512DD"/>
    <w:rsid w:val="00A51305"/>
    <w:rsid w:val="00A5135A"/>
    <w:rsid w:val="00A51494"/>
    <w:rsid w:val="00A514BA"/>
    <w:rsid w:val="00A515A5"/>
    <w:rsid w:val="00A517C6"/>
    <w:rsid w:val="00A517D7"/>
    <w:rsid w:val="00A5181A"/>
    <w:rsid w:val="00A5183D"/>
    <w:rsid w:val="00A518B4"/>
    <w:rsid w:val="00A51A6F"/>
    <w:rsid w:val="00A51A7E"/>
    <w:rsid w:val="00A51A83"/>
    <w:rsid w:val="00A51A8E"/>
    <w:rsid w:val="00A51ACE"/>
    <w:rsid w:val="00A51BDD"/>
    <w:rsid w:val="00A51C63"/>
    <w:rsid w:val="00A51C65"/>
    <w:rsid w:val="00A51C6F"/>
    <w:rsid w:val="00A51D34"/>
    <w:rsid w:val="00A51D41"/>
    <w:rsid w:val="00A51D5B"/>
    <w:rsid w:val="00A51D61"/>
    <w:rsid w:val="00A51D66"/>
    <w:rsid w:val="00A51E1F"/>
    <w:rsid w:val="00A51E2C"/>
    <w:rsid w:val="00A51EA1"/>
    <w:rsid w:val="00A51EA8"/>
    <w:rsid w:val="00A51EB0"/>
    <w:rsid w:val="00A51F04"/>
    <w:rsid w:val="00A51F4A"/>
    <w:rsid w:val="00A51F73"/>
    <w:rsid w:val="00A52017"/>
    <w:rsid w:val="00A52072"/>
    <w:rsid w:val="00A520AE"/>
    <w:rsid w:val="00A52184"/>
    <w:rsid w:val="00A5219D"/>
    <w:rsid w:val="00A52234"/>
    <w:rsid w:val="00A52236"/>
    <w:rsid w:val="00A52243"/>
    <w:rsid w:val="00A522AB"/>
    <w:rsid w:val="00A523A7"/>
    <w:rsid w:val="00A52465"/>
    <w:rsid w:val="00A5246D"/>
    <w:rsid w:val="00A52486"/>
    <w:rsid w:val="00A524CB"/>
    <w:rsid w:val="00A524E8"/>
    <w:rsid w:val="00A5256F"/>
    <w:rsid w:val="00A52593"/>
    <w:rsid w:val="00A525C3"/>
    <w:rsid w:val="00A525C5"/>
    <w:rsid w:val="00A526AD"/>
    <w:rsid w:val="00A52729"/>
    <w:rsid w:val="00A5277C"/>
    <w:rsid w:val="00A52873"/>
    <w:rsid w:val="00A52931"/>
    <w:rsid w:val="00A52A5F"/>
    <w:rsid w:val="00A52C53"/>
    <w:rsid w:val="00A52D30"/>
    <w:rsid w:val="00A52D3B"/>
    <w:rsid w:val="00A52D85"/>
    <w:rsid w:val="00A52E0E"/>
    <w:rsid w:val="00A52E4C"/>
    <w:rsid w:val="00A52EDC"/>
    <w:rsid w:val="00A53006"/>
    <w:rsid w:val="00A530AF"/>
    <w:rsid w:val="00A530CA"/>
    <w:rsid w:val="00A530CB"/>
    <w:rsid w:val="00A53103"/>
    <w:rsid w:val="00A53126"/>
    <w:rsid w:val="00A53129"/>
    <w:rsid w:val="00A53163"/>
    <w:rsid w:val="00A531EC"/>
    <w:rsid w:val="00A5321F"/>
    <w:rsid w:val="00A5328D"/>
    <w:rsid w:val="00A53291"/>
    <w:rsid w:val="00A534CD"/>
    <w:rsid w:val="00A53538"/>
    <w:rsid w:val="00A535DC"/>
    <w:rsid w:val="00A53629"/>
    <w:rsid w:val="00A5365B"/>
    <w:rsid w:val="00A536A1"/>
    <w:rsid w:val="00A536A3"/>
    <w:rsid w:val="00A536DE"/>
    <w:rsid w:val="00A53702"/>
    <w:rsid w:val="00A53792"/>
    <w:rsid w:val="00A53793"/>
    <w:rsid w:val="00A5383C"/>
    <w:rsid w:val="00A539D6"/>
    <w:rsid w:val="00A539DD"/>
    <w:rsid w:val="00A53A41"/>
    <w:rsid w:val="00A53B85"/>
    <w:rsid w:val="00A53C54"/>
    <w:rsid w:val="00A53C81"/>
    <w:rsid w:val="00A53C9D"/>
    <w:rsid w:val="00A53D2F"/>
    <w:rsid w:val="00A53D7A"/>
    <w:rsid w:val="00A53D96"/>
    <w:rsid w:val="00A53DA6"/>
    <w:rsid w:val="00A53DFE"/>
    <w:rsid w:val="00A53FAB"/>
    <w:rsid w:val="00A53FDD"/>
    <w:rsid w:val="00A5412F"/>
    <w:rsid w:val="00A54185"/>
    <w:rsid w:val="00A541FB"/>
    <w:rsid w:val="00A54215"/>
    <w:rsid w:val="00A5427C"/>
    <w:rsid w:val="00A542FC"/>
    <w:rsid w:val="00A5431E"/>
    <w:rsid w:val="00A54418"/>
    <w:rsid w:val="00A54493"/>
    <w:rsid w:val="00A5455C"/>
    <w:rsid w:val="00A54636"/>
    <w:rsid w:val="00A54694"/>
    <w:rsid w:val="00A547F3"/>
    <w:rsid w:val="00A54882"/>
    <w:rsid w:val="00A549F8"/>
    <w:rsid w:val="00A54A1C"/>
    <w:rsid w:val="00A54B42"/>
    <w:rsid w:val="00A54B77"/>
    <w:rsid w:val="00A54B7A"/>
    <w:rsid w:val="00A54BFD"/>
    <w:rsid w:val="00A54CDF"/>
    <w:rsid w:val="00A54D75"/>
    <w:rsid w:val="00A54F0D"/>
    <w:rsid w:val="00A54F40"/>
    <w:rsid w:val="00A54FC7"/>
    <w:rsid w:val="00A54FE0"/>
    <w:rsid w:val="00A54FF7"/>
    <w:rsid w:val="00A5501C"/>
    <w:rsid w:val="00A550BF"/>
    <w:rsid w:val="00A55276"/>
    <w:rsid w:val="00A552B4"/>
    <w:rsid w:val="00A55358"/>
    <w:rsid w:val="00A55378"/>
    <w:rsid w:val="00A5545B"/>
    <w:rsid w:val="00A5548D"/>
    <w:rsid w:val="00A555C0"/>
    <w:rsid w:val="00A555DE"/>
    <w:rsid w:val="00A555F4"/>
    <w:rsid w:val="00A5565F"/>
    <w:rsid w:val="00A55691"/>
    <w:rsid w:val="00A55748"/>
    <w:rsid w:val="00A5574C"/>
    <w:rsid w:val="00A5575C"/>
    <w:rsid w:val="00A5582B"/>
    <w:rsid w:val="00A55837"/>
    <w:rsid w:val="00A5593C"/>
    <w:rsid w:val="00A559C1"/>
    <w:rsid w:val="00A559F4"/>
    <w:rsid w:val="00A55A69"/>
    <w:rsid w:val="00A55AF9"/>
    <w:rsid w:val="00A55BD0"/>
    <w:rsid w:val="00A55BE4"/>
    <w:rsid w:val="00A55C43"/>
    <w:rsid w:val="00A55C4F"/>
    <w:rsid w:val="00A55CA4"/>
    <w:rsid w:val="00A55CE0"/>
    <w:rsid w:val="00A55D57"/>
    <w:rsid w:val="00A55D89"/>
    <w:rsid w:val="00A55E12"/>
    <w:rsid w:val="00A55E67"/>
    <w:rsid w:val="00A55F1C"/>
    <w:rsid w:val="00A55F3F"/>
    <w:rsid w:val="00A55F42"/>
    <w:rsid w:val="00A5608B"/>
    <w:rsid w:val="00A56142"/>
    <w:rsid w:val="00A561BB"/>
    <w:rsid w:val="00A56252"/>
    <w:rsid w:val="00A5627E"/>
    <w:rsid w:val="00A562E6"/>
    <w:rsid w:val="00A5631D"/>
    <w:rsid w:val="00A563B6"/>
    <w:rsid w:val="00A5640A"/>
    <w:rsid w:val="00A56503"/>
    <w:rsid w:val="00A5657B"/>
    <w:rsid w:val="00A56611"/>
    <w:rsid w:val="00A5662C"/>
    <w:rsid w:val="00A566DB"/>
    <w:rsid w:val="00A5677D"/>
    <w:rsid w:val="00A567F5"/>
    <w:rsid w:val="00A56879"/>
    <w:rsid w:val="00A56A5C"/>
    <w:rsid w:val="00A56B25"/>
    <w:rsid w:val="00A56B26"/>
    <w:rsid w:val="00A56B9A"/>
    <w:rsid w:val="00A56D45"/>
    <w:rsid w:val="00A56DA5"/>
    <w:rsid w:val="00A56DC8"/>
    <w:rsid w:val="00A56E18"/>
    <w:rsid w:val="00A56E3C"/>
    <w:rsid w:val="00A56E9E"/>
    <w:rsid w:val="00A56EAF"/>
    <w:rsid w:val="00A56F5D"/>
    <w:rsid w:val="00A56F9B"/>
    <w:rsid w:val="00A56FDF"/>
    <w:rsid w:val="00A57015"/>
    <w:rsid w:val="00A5704D"/>
    <w:rsid w:val="00A5707D"/>
    <w:rsid w:val="00A570CF"/>
    <w:rsid w:val="00A570DF"/>
    <w:rsid w:val="00A57116"/>
    <w:rsid w:val="00A571F0"/>
    <w:rsid w:val="00A57222"/>
    <w:rsid w:val="00A5722E"/>
    <w:rsid w:val="00A5730C"/>
    <w:rsid w:val="00A57311"/>
    <w:rsid w:val="00A5732F"/>
    <w:rsid w:val="00A5737F"/>
    <w:rsid w:val="00A573E4"/>
    <w:rsid w:val="00A57406"/>
    <w:rsid w:val="00A57492"/>
    <w:rsid w:val="00A574A4"/>
    <w:rsid w:val="00A574CD"/>
    <w:rsid w:val="00A57648"/>
    <w:rsid w:val="00A57674"/>
    <w:rsid w:val="00A5772F"/>
    <w:rsid w:val="00A5773F"/>
    <w:rsid w:val="00A57776"/>
    <w:rsid w:val="00A577B3"/>
    <w:rsid w:val="00A578E2"/>
    <w:rsid w:val="00A5791D"/>
    <w:rsid w:val="00A5792A"/>
    <w:rsid w:val="00A57957"/>
    <w:rsid w:val="00A57B97"/>
    <w:rsid w:val="00A57BDF"/>
    <w:rsid w:val="00A57BF6"/>
    <w:rsid w:val="00A57DB9"/>
    <w:rsid w:val="00A57DE0"/>
    <w:rsid w:val="00A57DEC"/>
    <w:rsid w:val="00A57E95"/>
    <w:rsid w:val="00A57F1A"/>
    <w:rsid w:val="00A6000B"/>
    <w:rsid w:val="00A60044"/>
    <w:rsid w:val="00A600FD"/>
    <w:rsid w:val="00A60124"/>
    <w:rsid w:val="00A60131"/>
    <w:rsid w:val="00A6019F"/>
    <w:rsid w:val="00A6022A"/>
    <w:rsid w:val="00A6036E"/>
    <w:rsid w:val="00A6038D"/>
    <w:rsid w:val="00A603D6"/>
    <w:rsid w:val="00A60427"/>
    <w:rsid w:val="00A60429"/>
    <w:rsid w:val="00A60467"/>
    <w:rsid w:val="00A604AD"/>
    <w:rsid w:val="00A604F7"/>
    <w:rsid w:val="00A60500"/>
    <w:rsid w:val="00A60505"/>
    <w:rsid w:val="00A60553"/>
    <w:rsid w:val="00A6069B"/>
    <w:rsid w:val="00A606A2"/>
    <w:rsid w:val="00A606C1"/>
    <w:rsid w:val="00A606EE"/>
    <w:rsid w:val="00A60916"/>
    <w:rsid w:val="00A60A16"/>
    <w:rsid w:val="00A60A2A"/>
    <w:rsid w:val="00A60B79"/>
    <w:rsid w:val="00A60B7E"/>
    <w:rsid w:val="00A60BFB"/>
    <w:rsid w:val="00A60D39"/>
    <w:rsid w:val="00A60D79"/>
    <w:rsid w:val="00A60DD0"/>
    <w:rsid w:val="00A60DE8"/>
    <w:rsid w:val="00A60F4E"/>
    <w:rsid w:val="00A60F97"/>
    <w:rsid w:val="00A60F9B"/>
    <w:rsid w:val="00A61013"/>
    <w:rsid w:val="00A6103C"/>
    <w:rsid w:val="00A61088"/>
    <w:rsid w:val="00A61094"/>
    <w:rsid w:val="00A610BA"/>
    <w:rsid w:val="00A61196"/>
    <w:rsid w:val="00A611B0"/>
    <w:rsid w:val="00A611D9"/>
    <w:rsid w:val="00A6124A"/>
    <w:rsid w:val="00A61294"/>
    <w:rsid w:val="00A6129B"/>
    <w:rsid w:val="00A613A5"/>
    <w:rsid w:val="00A613AF"/>
    <w:rsid w:val="00A613FC"/>
    <w:rsid w:val="00A6152D"/>
    <w:rsid w:val="00A6161E"/>
    <w:rsid w:val="00A61676"/>
    <w:rsid w:val="00A61761"/>
    <w:rsid w:val="00A6176F"/>
    <w:rsid w:val="00A617CD"/>
    <w:rsid w:val="00A617D2"/>
    <w:rsid w:val="00A617E0"/>
    <w:rsid w:val="00A61A48"/>
    <w:rsid w:val="00A61A9B"/>
    <w:rsid w:val="00A61AAD"/>
    <w:rsid w:val="00A61AE4"/>
    <w:rsid w:val="00A61B06"/>
    <w:rsid w:val="00A61B15"/>
    <w:rsid w:val="00A61B50"/>
    <w:rsid w:val="00A61B55"/>
    <w:rsid w:val="00A61BCE"/>
    <w:rsid w:val="00A61C3D"/>
    <w:rsid w:val="00A61C4A"/>
    <w:rsid w:val="00A61D04"/>
    <w:rsid w:val="00A61DD8"/>
    <w:rsid w:val="00A61E39"/>
    <w:rsid w:val="00A61E3F"/>
    <w:rsid w:val="00A61E6B"/>
    <w:rsid w:val="00A61E91"/>
    <w:rsid w:val="00A61ECB"/>
    <w:rsid w:val="00A61F0F"/>
    <w:rsid w:val="00A61F23"/>
    <w:rsid w:val="00A61FEB"/>
    <w:rsid w:val="00A61FEC"/>
    <w:rsid w:val="00A6209A"/>
    <w:rsid w:val="00A62132"/>
    <w:rsid w:val="00A6226D"/>
    <w:rsid w:val="00A62279"/>
    <w:rsid w:val="00A622F1"/>
    <w:rsid w:val="00A6234A"/>
    <w:rsid w:val="00A623DC"/>
    <w:rsid w:val="00A62416"/>
    <w:rsid w:val="00A624CB"/>
    <w:rsid w:val="00A62533"/>
    <w:rsid w:val="00A6253B"/>
    <w:rsid w:val="00A6266F"/>
    <w:rsid w:val="00A626A3"/>
    <w:rsid w:val="00A62777"/>
    <w:rsid w:val="00A627DC"/>
    <w:rsid w:val="00A62835"/>
    <w:rsid w:val="00A62945"/>
    <w:rsid w:val="00A62962"/>
    <w:rsid w:val="00A629A6"/>
    <w:rsid w:val="00A62A6C"/>
    <w:rsid w:val="00A62A86"/>
    <w:rsid w:val="00A62AAD"/>
    <w:rsid w:val="00A62B5A"/>
    <w:rsid w:val="00A62B5C"/>
    <w:rsid w:val="00A62C08"/>
    <w:rsid w:val="00A62D2A"/>
    <w:rsid w:val="00A62D3C"/>
    <w:rsid w:val="00A62DE9"/>
    <w:rsid w:val="00A62EFA"/>
    <w:rsid w:val="00A62F3B"/>
    <w:rsid w:val="00A62F78"/>
    <w:rsid w:val="00A62F9C"/>
    <w:rsid w:val="00A62FE9"/>
    <w:rsid w:val="00A62FFA"/>
    <w:rsid w:val="00A63048"/>
    <w:rsid w:val="00A63143"/>
    <w:rsid w:val="00A632BF"/>
    <w:rsid w:val="00A6333B"/>
    <w:rsid w:val="00A6342C"/>
    <w:rsid w:val="00A6345A"/>
    <w:rsid w:val="00A63543"/>
    <w:rsid w:val="00A63560"/>
    <w:rsid w:val="00A63608"/>
    <w:rsid w:val="00A63613"/>
    <w:rsid w:val="00A63711"/>
    <w:rsid w:val="00A63732"/>
    <w:rsid w:val="00A63852"/>
    <w:rsid w:val="00A639ED"/>
    <w:rsid w:val="00A63A1B"/>
    <w:rsid w:val="00A63A92"/>
    <w:rsid w:val="00A63B23"/>
    <w:rsid w:val="00A63C57"/>
    <w:rsid w:val="00A63CED"/>
    <w:rsid w:val="00A63DEF"/>
    <w:rsid w:val="00A63E14"/>
    <w:rsid w:val="00A63E5D"/>
    <w:rsid w:val="00A63E5E"/>
    <w:rsid w:val="00A63ED2"/>
    <w:rsid w:val="00A63EFD"/>
    <w:rsid w:val="00A63F90"/>
    <w:rsid w:val="00A6406D"/>
    <w:rsid w:val="00A640A8"/>
    <w:rsid w:val="00A640CC"/>
    <w:rsid w:val="00A64157"/>
    <w:rsid w:val="00A64212"/>
    <w:rsid w:val="00A64268"/>
    <w:rsid w:val="00A642C5"/>
    <w:rsid w:val="00A642CE"/>
    <w:rsid w:val="00A6431D"/>
    <w:rsid w:val="00A64368"/>
    <w:rsid w:val="00A64398"/>
    <w:rsid w:val="00A64460"/>
    <w:rsid w:val="00A6447E"/>
    <w:rsid w:val="00A644D2"/>
    <w:rsid w:val="00A64592"/>
    <w:rsid w:val="00A6465C"/>
    <w:rsid w:val="00A6469B"/>
    <w:rsid w:val="00A6469C"/>
    <w:rsid w:val="00A6479F"/>
    <w:rsid w:val="00A6481B"/>
    <w:rsid w:val="00A64914"/>
    <w:rsid w:val="00A649C1"/>
    <w:rsid w:val="00A64A93"/>
    <w:rsid w:val="00A64ACB"/>
    <w:rsid w:val="00A64AF5"/>
    <w:rsid w:val="00A64BC6"/>
    <w:rsid w:val="00A64BF0"/>
    <w:rsid w:val="00A64C43"/>
    <w:rsid w:val="00A64C58"/>
    <w:rsid w:val="00A64C9D"/>
    <w:rsid w:val="00A64CFB"/>
    <w:rsid w:val="00A64D14"/>
    <w:rsid w:val="00A64D20"/>
    <w:rsid w:val="00A64D29"/>
    <w:rsid w:val="00A64DA7"/>
    <w:rsid w:val="00A64DC2"/>
    <w:rsid w:val="00A64E25"/>
    <w:rsid w:val="00A64EB4"/>
    <w:rsid w:val="00A64EBD"/>
    <w:rsid w:val="00A64F49"/>
    <w:rsid w:val="00A64F56"/>
    <w:rsid w:val="00A64F8E"/>
    <w:rsid w:val="00A64FCF"/>
    <w:rsid w:val="00A65016"/>
    <w:rsid w:val="00A65034"/>
    <w:rsid w:val="00A65045"/>
    <w:rsid w:val="00A650CD"/>
    <w:rsid w:val="00A65130"/>
    <w:rsid w:val="00A65180"/>
    <w:rsid w:val="00A651ED"/>
    <w:rsid w:val="00A6522A"/>
    <w:rsid w:val="00A6522F"/>
    <w:rsid w:val="00A652C1"/>
    <w:rsid w:val="00A653C0"/>
    <w:rsid w:val="00A6560A"/>
    <w:rsid w:val="00A65679"/>
    <w:rsid w:val="00A6567B"/>
    <w:rsid w:val="00A657DB"/>
    <w:rsid w:val="00A65905"/>
    <w:rsid w:val="00A65908"/>
    <w:rsid w:val="00A6590C"/>
    <w:rsid w:val="00A65990"/>
    <w:rsid w:val="00A659E9"/>
    <w:rsid w:val="00A65A37"/>
    <w:rsid w:val="00A65ACF"/>
    <w:rsid w:val="00A65B2A"/>
    <w:rsid w:val="00A65B61"/>
    <w:rsid w:val="00A65BB8"/>
    <w:rsid w:val="00A65C6C"/>
    <w:rsid w:val="00A65CBE"/>
    <w:rsid w:val="00A65CD7"/>
    <w:rsid w:val="00A65D79"/>
    <w:rsid w:val="00A65D87"/>
    <w:rsid w:val="00A65DC9"/>
    <w:rsid w:val="00A65E04"/>
    <w:rsid w:val="00A65F73"/>
    <w:rsid w:val="00A65FE9"/>
    <w:rsid w:val="00A66039"/>
    <w:rsid w:val="00A66075"/>
    <w:rsid w:val="00A660B8"/>
    <w:rsid w:val="00A660E9"/>
    <w:rsid w:val="00A6610F"/>
    <w:rsid w:val="00A6612B"/>
    <w:rsid w:val="00A6625A"/>
    <w:rsid w:val="00A66369"/>
    <w:rsid w:val="00A66381"/>
    <w:rsid w:val="00A663BB"/>
    <w:rsid w:val="00A663E9"/>
    <w:rsid w:val="00A664D7"/>
    <w:rsid w:val="00A664DA"/>
    <w:rsid w:val="00A66506"/>
    <w:rsid w:val="00A66588"/>
    <w:rsid w:val="00A665E8"/>
    <w:rsid w:val="00A66618"/>
    <w:rsid w:val="00A66724"/>
    <w:rsid w:val="00A667C1"/>
    <w:rsid w:val="00A667CE"/>
    <w:rsid w:val="00A667EB"/>
    <w:rsid w:val="00A66810"/>
    <w:rsid w:val="00A66856"/>
    <w:rsid w:val="00A66903"/>
    <w:rsid w:val="00A669D8"/>
    <w:rsid w:val="00A66A32"/>
    <w:rsid w:val="00A66A4F"/>
    <w:rsid w:val="00A66AC9"/>
    <w:rsid w:val="00A66B5E"/>
    <w:rsid w:val="00A66B7C"/>
    <w:rsid w:val="00A66BBA"/>
    <w:rsid w:val="00A66BF4"/>
    <w:rsid w:val="00A66D91"/>
    <w:rsid w:val="00A66F09"/>
    <w:rsid w:val="00A66F3A"/>
    <w:rsid w:val="00A66FD3"/>
    <w:rsid w:val="00A6701B"/>
    <w:rsid w:val="00A67039"/>
    <w:rsid w:val="00A67094"/>
    <w:rsid w:val="00A6712F"/>
    <w:rsid w:val="00A67154"/>
    <w:rsid w:val="00A6718F"/>
    <w:rsid w:val="00A671CA"/>
    <w:rsid w:val="00A671E5"/>
    <w:rsid w:val="00A671E6"/>
    <w:rsid w:val="00A6734A"/>
    <w:rsid w:val="00A6736C"/>
    <w:rsid w:val="00A67396"/>
    <w:rsid w:val="00A673BC"/>
    <w:rsid w:val="00A673D9"/>
    <w:rsid w:val="00A67415"/>
    <w:rsid w:val="00A67481"/>
    <w:rsid w:val="00A674C8"/>
    <w:rsid w:val="00A67590"/>
    <w:rsid w:val="00A6763F"/>
    <w:rsid w:val="00A676C8"/>
    <w:rsid w:val="00A677AF"/>
    <w:rsid w:val="00A677C5"/>
    <w:rsid w:val="00A677D4"/>
    <w:rsid w:val="00A67825"/>
    <w:rsid w:val="00A6782F"/>
    <w:rsid w:val="00A679BA"/>
    <w:rsid w:val="00A679E5"/>
    <w:rsid w:val="00A67A08"/>
    <w:rsid w:val="00A67A0E"/>
    <w:rsid w:val="00A67A3B"/>
    <w:rsid w:val="00A67B36"/>
    <w:rsid w:val="00A67B3D"/>
    <w:rsid w:val="00A67B50"/>
    <w:rsid w:val="00A67BB8"/>
    <w:rsid w:val="00A67CC4"/>
    <w:rsid w:val="00A67CC6"/>
    <w:rsid w:val="00A67D85"/>
    <w:rsid w:val="00A67E37"/>
    <w:rsid w:val="00A67ECE"/>
    <w:rsid w:val="00A67EFA"/>
    <w:rsid w:val="00A67F0D"/>
    <w:rsid w:val="00A67F66"/>
    <w:rsid w:val="00A70080"/>
    <w:rsid w:val="00A70083"/>
    <w:rsid w:val="00A701BD"/>
    <w:rsid w:val="00A701C9"/>
    <w:rsid w:val="00A702B8"/>
    <w:rsid w:val="00A702BF"/>
    <w:rsid w:val="00A702C6"/>
    <w:rsid w:val="00A702DB"/>
    <w:rsid w:val="00A70499"/>
    <w:rsid w:val="00A7051D"/>
    <w:rsid w:val="00A70544"/>
    <w:rsid w:val="00A70559"/>
    <w:rsid w:val="00A70585"/>
    <w:rsid w:val="00A70640"/>
    <w:rsid w:val="00A706D2"/>
    <w:rsid w:val="00A706ED"/>
    <w:rsid w:val="00A70748"/>
    <w:rsid w:val="00A707C2"/>
    <w:rsid w:val="00A708E2"/>
    <w:rsid w:val="00A708EE"/>
    <w:rsid w:val="00A70A54"/>
    <w:rsid w:val="00A70A61"/>
    <w:rsid w:val="00A70A94"/>
    <w:rsid w:val="00A70ADD"/>
    <w:rsid w:val="00A70BC7"/>
    <w:rsid w:val="00A70BD8"/>
    <w:rsid w:val="00A70BDD"/>
    <w:rsid w:val="00A70C57"/>
    <w:rsid w:val="00A70D19"/>
    <w:rsid w:val="00A70DB7"/>
    <w:rsid w:val="00A70EBC"/>
    <w:rsid w:val="00A70EBD"/>
    <w:rsid w:val="00A70EE0"/>
    <w:rsid w:val="00A70EE8"/>
    <w:rsid w:val="00A70EF2"/>
    <w:rsid w:val="00A70F26"/>
    <w:rsid w:val="00A70F72"/>
    <w:rsid w:val="00A70FEF"/>
    <w:rsid w:val="00A710B5"/>
    <w:rsid w:val="00A711A6"/>
    <w:rsid w:val="00A711EE"/>
    <w:rsid w:val="00A7145A"/>
    <w:rsid w:val="00A71546"/>
    <w:rsid w:val="00A71563"/>
    <w:rsid w:val="00A71564"/>
    <w:rsid w:val="00A7156D"/>
    <w:rsid w:val="00A7167A"/>
    <w:rsid w:val="00A7174B"/>
    <w:rsid w:val="00A717CB"/>
    <w:rsid w:val="00A717F3"/>
    <w:rsid w:val="00A71824"/>
    <w:rsid w:val="00A7182F"/>
    <w:rsid w:val="00A71969"/>
    <w:rsid w:val="00A71A2F"/>
    <w:rsid w:val="00A71A34"/>
    <w:rsid w:val="00A71A4E"/>
    <w:rsid w:val="00A71B4E"/>
    <w:rsid w:val="00A71B5E"/>
    <w:rsid w:val="00A71B77"/>
    <w:rsid w:val="00A71BA1"/>
    <w:rsid w:val="00A71BA2"/>
    <w:rsid w:val="00A71BD7"/>
    <w:rsid w:val="00A71BEE"/>
    <w:rsid w:val="00A71C64"/>
    <w:rsid w:val="00A71C9E"/>
    <w:rsid w:val="00A71D01"/>
    <w:rsid w:val="00A71DF4"/>
    <w:rsid w:val="00A71E65"/>
    <w:rsid w:val="00A71E76"/>
    <w:rsid w:val="00A71EAA"/>
    <w:rsid w:val="00A71F78"/>
    <w:rsid w:val="00A71F8D"/>
    <w:rsid w:val="00A71FBF"/>
    <w:rsid w:val="00A71FD9"/>
    <w:rsid w:val="00A72172"/>
    <w:rsid w:val="00A72306"/>
    <w:rsid w:val="00A72345"/>
    <w:rsid w:val="00A72368"/>
    <w:rsid w:val="00A723E5"/>
    <w:rsid w:val="00A72439"/>
    <w:rsid w:val="00A72458"/>
    <w:rsid w:val="00A7247F"/>
    <w:rsid w:val="00A724A5"/>
    <w:rsid w:val="00A724E7"/>
    <w:rsid w:val="00A7251A"/>
    <w:rsid w:val="00A725A1"/>
    <w:rsid w:val="00A7260E"/>
    <w:rsid w:val="00A7263F"/>
    <w:rsid w:val="00A726FA"/>
    <w:rsid w:val="00A7273A"/>
    <w:rsid w:val="00A728B6"/>
    <w:rsid w:val="00A72915"/>
    <w:rsid w:val="00A7291E"/>
    <w:rsid w:val="00A72A07"/>
    <w:rsid w:val="00A72AB0"/>
    <w:rsid w:val="00A72ACE"/>
    <w:rsid w:val="00A72AEF"/>
    <w:rsid w:val="00A72B03"/>
    <w:rsid w:val="00A72B15"/>
    <w:rsid w:val="00A72B5B"/>
    <w:rsid w:val="00A72BA8"/>
    <w:rsid w:val="00A72BC7"/>
    <w:rsid w:val="00A72C6C"/>
    <w:rsid w:val="00A72CDF"/>
    <w:rsid w:val="00A72D00"/>
    <w:rsid w:val="00A72D34"/>
    <w:rsid w:val="00A72DFF"/>
    <w:rsid w:val="00A72E50"/>
    <w:rsid w:val="00A72E9F"/>
    <w:rsid w:val="00A72EEA"/>
    <w:rsid w:val="00A72F21"/>
    <w:rsid w:val="00A72FF3"/>
    <w:rsid w:val="00A730BC"/>
    <w:rsid w:val="00A73239"/>
    <w:rsid w:val="00A7325C"/>
    <w:rsid w:val="00A73265"/>
    <w:rsid w:val="00A732B9"/>
    <w:rsid w:val="00A73368"/>
    <w:rsid w:val="00A7338B"/>
    <w:rsid w:val="00A73435"/>
    <w:rsid w:val="00A73486"/>
    <w:rsid w:val="00A73514"/>
    <w:rsid w:val="00A73545"/>
    <w:rsid w:val="00A7366E"/>
    <w:rsid w:val="00A736D0"/>
    <w:rsid w:val="00A737E7"/>
    <w:rsid w:val="00A738C7"/>
    <w:rsid w:val="00A739A4"/>
    <w:rsid w:val="00A739DE"/>
    <w:rsid w:val="00A739E6"/>
    <w:rsid w:val="00A739FB"/>
    <w:rsid w:val="00A73A2D"/>
    <w:rsid w:val="00A73A3E"/>
    <w:rsid w:val="00A73ADF"/>
    <w:rsid w:val="00A73AED"/>
    <w:rsid w:val="00A73B1F"/>
    <w:rsid w:val="00A73C2F"/>
    <w:rsid w:val="00A73C39"/>
    <w:rsid w:val="00A73C65"/>
    <w:rsid w:val="00A73C6A"/>
    <w:rsid w:val="00A73CB6"/>
    <w:rsid w:val="00A73D66"/>
    <w:rsid w:val="00A73E36"/>
    <w:rsid w:val="00A73E5E"/>
    <w:rsid w:val="00A73E6A"/>
    <w:rsid w:val="00A740E8"/>
    <w:rsid w:val="00A74172"/>
    <w:rsid w:val="00A7418B"/>
    <w:rsid w:val="00A74286"/>
    <w:rsid w:val="00A7432B"/>
    <w:rsid w:val="00A743E6"/>
    <w:rsid w:val="00A744DF"/>
    <w:rsid w:val="00A74548"/>
    <w:rsid w:val="00A74563"/>
    <w:rsid w:val="00A74594"/>
    <w:rsid w:val="00A745C5"/>
    <w:rsid w:val="00A745C7"/>
    <w:rsid w:val="00A745D1"/>
    <w:rsid w:val="00A745D8"/>
    <w:rsid w:val="00A7471C"/>
    <w:rsid w:val="00A74732"/>
    <w:rsid w:val="00A747B6"/>
    <w:rsid w:val="00A747CD"/>
    <w:rsid w:val="00A748DE"/>
    <w:rsid w:val="00A749D9"/>
    <w:rsid w:val="00A74AD9"/>
    <w:rsid w:val="00A74AF3"/>
    <w:rsid w:val="00A74B02"/>
    <w:rsid w:val="00A74B30"/>
    <w:rsid w:val="00A74B80"/>
    <w:rsid w:val="00A74B9D"/>
    <w:rsid w:val="00A74BE5"/>
    <w:rsid w:val="00A74BE6"/>
    <w:rsid w:val="00A74DD2"/>
    <w:rsid w:val="00A74E51"/>
    <w:rsid w:val="00A74EE5"/>
    <w:rsid w:val="00A74F10"/>
    <w:rsid w:val="00A74FD8"/>
    <w:rsid w:val="00A74FDC"/>
    <w:rsid w:val="00A75018"/>
    <w:rsid w:val="00A75102"/>
    <w:rsid w:val="00A75155"/>
    <w:rsid w:val="00A7523D"/>
    <w:rsid w:val="00A7524A"/>
    <w:rsid w:val="00A75295"/>
    <w:rsid w:val="00A752A0"/>
    <w:rsid w:val="00A752BE"/>
    <w:rsid w:val="00A752CD"/>
    <w:rsid w:val="00A7534D"/>
    <w:rsid w:val="00A75385"/>
    <w:rsid w:val="00A7538B"/>
    <w:rsid w:val="00A75406"/>
    <w:rsid w:val="00A75445"/>
    <w:rsid w:val="00A754B6"/>
    <w:rsid w:val="00A754D2"/>
    <w:rsid w:val="00A75569"/>
    <w:rsid w:val="00A7558F"/>
    <w:rsid w:val="00A7566D"/>
    <w:rsid w:val="00A7575C"/>
    <w:rsid w:val="00A75863"/>
    <w:rsid w:val="00A758AC"/>
    <w:rsid w:val="00A75906"/>
    <w:rsid w:val="00A75966"/>
    <w:rsid w:val="00A759E0"/>
    <w:rsid w:val="00A759E3"/>
    <w:rsid w:val="00A75A9E"/>
    <w:rsid w:val="00A75AAC"/>
    <w:rsid w:val="00A75BA6"/>
    <w:rsid w:val="00A75BC2"/>
    <w:rsid w:val="00A75C03"/>
    <w:rsid w:val="00A75C66"/>
    <w:rsid w:val="00A75CA5"/>
    <w:rsid w:val="00A75CC4"/>
    <w:rsid w:val="00A75DAF"/>
    <w:rsid w:val="00A75DD1"/>
    <w:rsid w:val="00A75E79"/>
    <w:rsid w:val="00A75F29"/>
    <w:rsid w:val="00A75F68"/>
    <w:rsid w:val="00A75F80"/>
    <w:rsid w:val="00A75FDD"/>
    <w:rsid w:val="00A76043"/>
    <w:rsid w:val="00A76048"/>
    <w:rsid w:val="00A760A1"/>
    <w:rsid w:val="00A760C9"/>
    <w:rsid w:val="00A76103"/>
    <w:rsid w:val="00A7610A"/>
    <w:rsid w:val="00A76127"/>
    <w:rsid w:val="00A7613A"/>
    <w:rsid w:val="00A7616E"/>
    <w:rsid w:val="00A76188"/>
    <w:rsid w:val="00A761A0"/>
    <w:rsid w:val="00A76343"/>
    <w:rsid w:val="00A76501"/>
    <w:rsid w:val="00A76514"/>
    <w:rsid w:val="00A76515"/>
    <w:rsid w:val="00A7654E"/>
    <w:rsid w:val="00A76594"/>
    <w:rsid w:val="00A76768"/>
    <w:rsid w:val="00A767DE"/>
    <w:rsid w:val="00A7682D"/>
    <w:rsid w:val="00A76918"/>
    <w:rsid w:val="00A76985"/>
    <w:rsid w:val="00A769CE"/>
    <w:rsid w:val="00A76A3F"/>
    <w:rsid w:val="00A76E07"/>
    <w:rsid w:val="00A76E20"/>
    <w:rsid w:val="00A76E37"/>
    <w:rsid w:val="00A76EB1"/>
    <w:rsid w:val="00A76EE2"/>
    <w:rsid w:val="00A76F1E"/>
    <w:rsid w:val="00A77006"/>
    <w:rsid w:val="00A7704C"/>
    <w:rsid w:val="00A771BE"/>
    <w:rsid w:val="00A772E1"/>
    <w:rsid w:val="00A7735B"/>
    <w:rsid w:val="00A773A5"/>
    <w:rsid w:val="00A773E7"/>
    <w:rsid w:val="00A773E8"/>
    <w:rsid w:val="00A7745C"/>
    <w:rsid w:val="00A774F2"/>
    <w:rsid w:val="00A774F9"/>
    <w:rsid w:val="00A775D1"/>
    <w:rsid w:val="00A77756"/>
    <w:rsid w:val="00A777BA"/>
    <w:rsid w:val="00A7781C"/>
    <w:rsid w:val="00A77992"/>
    <w:rsid w:val="00A779AD"/>
    <w:rsid w:val="00A779C3"/>
    <w:rsid w:val="00A779C5"/>
    <w:rsid w:val="00A77A09"/>
    <w:rsid w:val="00A77A59"/>
    <w:rsid w:val="00A77A60"/>
    <w:rsid w:val="00A77A71"/>
    <w:rsid w:val="00A77A7C"/>
    <w:rsid w:val="00A77B08"/>
    <w:rsid w:val="00A77B49"/>
    <w:rsid w:val="00A77C3A"/>
    <w:rsid w:val="00A77D10"/>
    <w:rsid w:val="00A77DF7"/>
    <w:rsid w:val="00A77E65"/>
    <w:rsid w:val="00A77F05"/>
    <w:rsid w:val="00A77F1F"/>
    <w:rsid w:val="00A80050"/>
    <w:rsid w:val="00A800ED"/>
    <w:rsid w:val="00A801CA"/>
    <w:rsid w:val="00A801E9"/>
    <w:rsid w:val="00A80206"/>
    <w:rsid w:val="00A8021A"/>
    <w:rsid w:val="00A80273"/>
    <w:rsid w:val="00A80278"/>
    <w:rsid w:val="00A802DF"/>
    <w:rsid w:val="00A80337"/>
    <w:rsid w:val="00A803F7"/>
    <w:rsid w:val="00A80580"/>
    <w:rsid w:val="00A805A8"/>
    <w:rsid w:val="00A805CB"/>
    <w:rsid w:val="00A805F4"/>
    <w:rsid w:val="00A80632"/>
    <w:rsid w:val="00A8076B"/>
    <w:rsid w:val="00A807A8"/>
    <w:rsid w:val="00A8084A"/>
    <w:rsid w:val="00A80897"/>
    <w:rsid w:val="00A808A4"/>
    <w:rsid w:val="00A80902"/>
    <w:rsid w:val="00A80A4B"/>
    <w:rsid w:val="00A80AB9"/>
    <w:rsid w:val="00A80AED"/>
    <w:rsid w:val="00A80B65"/>
    <w:rsid w:val="00A80BD0"/>
    <w:rsid w:val="00A80BF1"/>
    <w:rsid w:val="00A80C36"/>
    <w:rsid w:val="00A80CCC"/>
    <w:rsid w:val="00A80DC2"/>
    <w:rsid w:val="00A80E00"/>
    <w:rsid w:val="00A80F2F"/>
    <w:rsid w:val="00A80F9F"/>
    <w:rsid w:val="00A80FA8"/>
    <w:rsid w:val="00A80FA9"/>
    <w:rsid w:val="00A81035"/>
    <w:rsid w:val="00A811F9"/>
    <w:rsid w:val="00A81200"/>
    <w:rsid w:val="00A8125D"/>
    <w:rsid w:val="00A812AD"/>
    <w:rsid w:val="00A812F0"/>
    <w:rsid w:val="00A81341"/>
    <w:rsid w:val="00A81404"/>
    <w:rsid w:val="00A81458"/>
    <w:rsid w:val="00A81475"/>
    <w:rsid w:val="00A815FC"/>
    <w:rsid w:val="00A81650"/>
    <w:rsid w:val="00A816EB"/>
    <w:rsid w:val="00A8177F"/>
    <w:rsid w:val="00A8187F"/>
    <w:rsid w:val="00A81896"/>
    <w:rsid w:val="00A818C1"/>
    <w:rsid w:val="00A819F0"/>
    <w:rsid w:val="00A819F4"/>
    <w:rsid w:val="00A81A64"/>
    <w:rsid w:val="00A81AFB"/>
    <w:rsid w:val="00A81C7E"/>
    <w:rsid w:val="00A81E5B"/>
    <w:rsid w:val="00A81E6A"/>
    <w:rsid w:val="00A81E76"/>
    <w:rsid w:val="00A81E82"/>
    <w:rsid w:val="00A81EFE"/>
    <w:rsid w:val="00A81F10"/>
    <w:rsid w:val="00A81FA2"/>
    <w:rsid w:val="00A81FF7"/>
    <w:rsid w:val="00A8211F"/>
    <w:rsid w:val="00A82184"/>
    <w:rsid w:val="00A8228D"/>
    <w:rsid w:val="00A822C4"/>
    <w:rsid w:val="00A8230B"/>
    <w:rsid w:val="00A8230C"/>
    <w:rsid w:val="00A8233D"/>
    <w:rsid w:val="00A82347"/>
    <w:rsid w:val="00A8236A"/>
    <w:rsid w:val="00A8249D"/>
    <w:rsid w:val="00A82511"/>
    <w:rsid w:val="00A825A2"/>
    <w:rsid w:val="00A825BA"/>
    <w:rsid w:val="00A825D9"/>
    <w:rsid w:val="00A8261C"/>
    <w:rsid w:val="00A82644"/>
    <w:rsid w:val="00A82650"/>
    <w:rsid w:val="00A8269B"/>
    <w:rsid w:val="00A8269C"/>
    <w:rsid w:val="00A826D8"/>
    <w:rsid w:val="00A8277F"/>
    <w:rsid w:val="00A82896"/>
    <w:rsid w:val="00A829E1"/>
    <w:rsid w:val="00A82A53"/>
    <w:rsid w:val="00A82AC0"/>
    <w:rsid w:val="00A82B65"/>
    <w:rsid w:val="00A82C82"/>
    <w:rsid w:val="00A82C94"/>
    <w:rsid w:val="00A82D1E"/>
    <w:rsid w:val="00A82D30"/>
    <w:rsid w:val="00A82D42"/>
    <w:rsid w:val="00A82D50"/>
    <w:rsid w:val="00A82D9A"/>
    <w:rsid w:val="00A82DCC"/>
    <w:rsid w:val="00A82E0B"/>
    <w:rsid w:val="00A82E80"/>
    <w:rsid w:val="00A82ECC"/>
    <w:rsid w:val="00A82F3D"/>
    <w:rsid w:val="00A82F4B"/>
    <w:rsid w:val="00A82F84"/>
    <w:rsid w:val="00A8301E"/>
    <w:rsid w:val="00A83064"/>
    <w:rsid w:val="00A8307C"/>
    <w:rsid w:val="00A830A7"/>
    <w:rsid w:val="00A83145"/>
    <w:rsid w:val="00A8317F"/>
    <w:rsid w:val="00A8319B"/>
    <w:rsid w:val="00A831C3"/>
    <w:rsid w:val="00A8323E"/>
    <w:rsid w:val="00A8327B"/>
    <w:rsid w:val="00A8341E"/>
    <w:rsid w:val="00A8346F"/>
    <w:rsid w:val="00A8354A"/>
    <w:rsid w:val="00A83672"/>
    <w:rsid w:val="00A836AE"/>
    <w:rsid w:val="00A8370D"/>
    <w:rsid w:val="00A8370F"/>
    <w:rsid w:val="00A83780"/>
    <w:rsid w:val="00A837DD"/>
    <w:rsid w:val="00A83805"/>
    <w:rsid w:val="00A83898"/>
    <w:rsid w:val="00A8393C"/>
    <w:rsid w:val="00A83997"/>
    <w:rsid w:val="00A839EC"/>
    <w:rsid w:val="00A83A67"/>
    <w:rsid w:val="00A83AA8"/>
    <w:rsid w:val="00A83AD8"/>
    <w:rsid w:val="00A83AE3"/>
    <w:rsid w:val="00A83AF6"/>
    <w:rsid w:val="00A83B5D"/>
    <w:rsid w:val="00A83C1A"/>
    <w:rsid w:val="00A83C47"/>
    <w:rsid w:val="00A83C4C"/>
    <w:rsid w:val="00A83C75"/>
    <w:rsid w:val="00A83C8C"/>
    <w:rsid w:val="00A83D1A"/>
    <w:rsid w:val="00A83D55"/>
    <w:rsid w:val="00A83D8B"/>
    <w:rsid w:val="00A83E48"/>
    <w:rsid w:val="00A83E5D"/>
    <w:rsid w:val="00A83EF8"/>
    <w:rsid w:val="00A83F40"/>
    <w:rsid w:val="00A83F6D"/>
    <w:rsid w:val="00A83FCD"/>
    <w:rsid w:val="00A8404F"/>
    <w:rsid w:val="00A8407C"/>
    <w:rsid w:val="00A84085"/>
    <w:rsid w:val="00A8414B"/>
    <w:rsid w:val="00A841E1"/>
    <w:rsid w:val="00A8422D"/>
    <w:rsid w:val="00A8426B"/>
    <w:rsid w:val="00A84332"/>
    <w:rsid w:val="00A843BE"/>
    <w:rsid w:val="00A843DB"/>
    <w:rsid w:val="00A84601"/>
    <w:rsid w:val="00A84639"/>
    <w:rsid w:val="00A847B6"/>
    <w:rsid w:val="00A847E3"/>
    <w:rsid w:val="00A84881"/>
    <w:rsid w:val="00A84891"/>
    <w:rsid w:val="00A84894"/>
    <w:rsid w:val="00A8494F"/>
    <w:rsid w:val="00A84992"/>
    <w:rsid w:val="00A84A70"/>
    <w:rsid w:val="00A84A86"/>
    <w:rsid w:val="00A84A91"/>
    <w:rsid w:val="00A84A97"/>
    <w:rsid w:val="00A84ACD"/>
    <w:rsid w:val="00A84AF1"/>
    <w:rsid w:val="00A84B82"/>
    <w:rsid w:val="00A84B8B"/>
    <w:rsid w:val="00A84D01"/>
    <w:rsid w:val="00A84E80"/>
    <w:rsid w:val="00A84EB0"/>
    <w:rsid w:val="00A84F7B"/>
    <w:rsid w:val="00A84FC9"/>
    <w:rsid w:val="00A8500F"/>
    <w:rsid w:val="00A85025"/>
    <w:rsid w:val="00A85037"/>
    <w:rsid w:val="00A85135"/>
    <w:rsid w:val="00A85148"/>
    <w:rsid w:val="00A85365"/>
    <w:rsid w:val="00A853C0"/>
    <w:rsid w:val="00A85427"/>
    <w:rsid w:val="00A8544E"/>
    <w:rsid w:val="00A854D5"/>
    <w:rsid w:val="00A854DD"/>
    <w:rsid w:val="00A85509"/>
    <w:rsid w:val="00A85511"/>
    <w:rsid w:val="00A8553B"/>
    <w:rsid w:val="00A85561"/>
    <w:rsid w:val="00A85636"/>
    <w:rsid w:val="00A85647"/>
    <w:rsid w:val="00A8566A"/>
    <w:rsid w:val="00A85688"/>
    <w:rsid w:val="00A856A6"/>
    <w:rsid w:val="00A856B8"/>
    <w:rsid w:val="00A856F3"/>
    <w:rsid w:val="00A85739"/>
    <w:rsid w:val="00A85756"/>
    <w:rsid w:val="00A85762"/>
    <w:rsid w:val="00A85775"/>
    <w:rsid w:val="00A8579B"/>
    <w:rsid w:val="00A857FD"/>
    <w:rsid w:val="00A85884"/>
    <w:rsid w:val="00A858D1"/>
    <w:rsid w:val="00A859AE"/>
    <w:rsid w:val="00A859D1"/>
    <w:rsid w:val="00A85A74"/>
    <w:rsid w:val="00A85A8E"/>
    <w:rsid w:val="00A85AFC"/>
    <w:rsid w:val="00A85B26"/>
    <w:rsid w:val="00A85B28"/>
    <w:rsid w:val="00A85B69"/>
    <w:rsid w:val="00A85BC1"/>
    <w:rsid w:val="00A85BDE"/>
    <w:rsid w:val="00A85C98"/>
    <w:rsid w:val="00A85D82"/>
    <w:rsid w:val="00A85DAF"/>
    <w:rsid w:val="00A85EE3"/>
    <w:rsid w:val="00A8600A"/>
    <w:rsid w:val="00A860BA"/>
    <w:rsid w:val="00A86116"/>
    <w:rsid w:val="00A86117"/>
    <w:rsid w:val="00A86144"/>
    <w:rsid w:val="00A861E2"/>
    <w:rsid w:val="00A862A3"/>
    <w:rsid w:val="00A862CF"/>
    <w:rsid w:val="00A8636A"/>
    <w:rsid w:val="00A86416"/>
    <w:rsid w:val="00A864D4"/>
    <w:rsid w:val="00A86522"/>
    <w:rsid w:val="00A86608"/>
    <w:rsid w:val="00A86623"/>
    <w:rsid w:val="00A86633"/>
    <w:rsid w:val="00A866E2"/>
    <w:rsid w:val="00A867AD"/>
    <w:rsid w:val="00A86813"/>
    <w:rsid w:val="00A86842"/>
    <w:rsid w:val="00A8688E"/>
    <w:rsid w:val="00A86894"/>
    <w:rsid w:val="00A8690D"/>
    <w:rsid w:val="00A8692D"/>
    <w:rsid w:val="00A86993"/>
    <w:rsid w:val="00A869B6"/>
    <w:rsid w:val="00A86A1F"/>
    <w:rsid w:val="00A86A80"/>
    <w:rsid w:val="00A86AAC"/>
    <w:rsid w:val="00A86B32"/>
    <w:rsid w:val="00A86B86"/>
    <w:rsid w:val="00A86C65"/>
    <w:rsid w:val="00A86CAD"/>
    <w:rsid w:val="00A86D6F"/>
    <w:rsid w:val="00A86DB8"/>
    <w:rsid w:val="00A86DFC"/>
    <w:rsid w:val="00A86E13"/>
    <w:rsid w:val="00A86E47"/>
    <w:rsid w:val="00A86EF4"/>
    <w:rsid w:val="00A86F4B"/>
    <w:rsid w:val="00A86F81"/>
    <w:rsid w:val="00A86FA9"/>
    <w:rsid w:val="00A86FD9"/>
    <w:rsid w:val="00A86FDE"/>
    <w:rsid w:val="00A86FF5"/>
    <w:rsid w:val="00A87025"/>
    <w:rsid w:val="00A8708D"/>
    <w:rsid w:val="00A870FE"/>
    <w:rsid w:val="00A87100"/>
    <w:rsid w:val="00A87132"/>
    <w:rsid w:val="00A87160"/>
    <w:rsid w:val="00A87196"/>
    <w:rsid w:val="00A874DE"/>
    <w:rsid w:val="00A874F6"/>
    <w:rsid w:val="00A8753F"/>
    <w:rsid w:val="00A875A8"/>
    <w:rsid w:val="00A875C1"/>
    <w:rsid w:val="00A87604"/>
    <w:rsid w:val="00A87692"/>
    <w:rsid w:val="00A87827"/>
    <w:rsid w:val="00A878C0"/>
    <w:rsid w:val="00A87998"/>
    <w:rsid w:val="00A87A84"/>
    <w:rsid w:val="00A87AA9"/>
    <w:rsid w:val="00A87B86"/>
    <w:rsid w:val="00A87CD6"/>
    <w:rsid w:val="00A87CF4"/>
    <w:rsid w:val="00A87D83"/>
    <w:rsid w:val="00A87DB8"/>
    <w:rsid w:val="00A87DBF"/>
    <w:rsid w:val="00A87E29"/>
    <w:rsid w:val="00A87EC5"/>
    <w:rsid w:val="00A87FD2"/>
    <w:rsid w:val="00A87FDD"/>
    <w:rsid w:val="00A87FF5"/>
    <w:rsid w:val="00A90030"/>
    <w:rsid w:val="00A90052"/>
    <w:rsid w:val="00A90123"/>
    <w:rsid w:val="00A90147"/>
    <w:rsid w:val="00A902F1"/>
    <w:rsid w:val="00A902FA"/>
    <w:rsid w:val="00A9038E"/>
    <w:rsid w:val="00A903A1"/>
    <w:rsid w:val="00A903AD"/>
    <w:rsid w:val="00A903C6"/>
    <w:rsid w:val="00A90490"/>
    <w:rsid w:val="00A904C3"/>
    <w:rsid w:val="00A90581"/>
    <w:rsid w:val="00A905C3"/>
    <w:rsid w:val="00A905F9"/>
    <w:rsid w:val="00A9067A"/>
    <w:rsid w:val="00A9070C"/>
    <w:rsid w:val="00A9081E"/>
    <w:rsid w:val="00A90914"/>
    <w:rsid w:val="00A9091D"/>
    <w:rsid w:val="00A90943"/>
    <w:rsid w:val="00A90948"/>
    <w:rsid w:val="00A90A5A"/>
    <w:rsid w:val="00A90AB6"/>
    <w:rsid w:val="00A90AC6"/>
    <w:rsid w:val="00A90AD8"/>
    <w:rsid w:val="00A90B2A"/>
    <w:rsid w:val="00A90B3E"/>
    <w:rsid w:val="00A90B44"/>
    <w:rsid w:val="00A90BCE"/>
    <w:rsid w:val="00A90CE6"/>
    <w:rsid w:val="00A90CEE"/>
    <w:rsid w:val="00A90D60"/>
    <w:rsid w:val="00A90DF1"/>
    <w:rsid w:val="00A90E17"/>
    <w:rsid w:val="00A90EA0"/>
    <w:rsid w:val="00A90ECB"/>
    <w:rsid w:val="00A90EEF"/>
    <w:rsid w:val="00A90F47"/>
    <w:rsid w:val="00A90F4C"/>
    <w:rsid w:val="00A90F95"/>
    <w:rsid w:val="00A90FA1"/>
    <w:rsid w:val="00A90FE0"/>
    <w:rsid w:val="00A9116E"/>
    <w:rsid w:val="00A91183"/>
    <w:rsid w:val="00A911AF"/>
    <w:rsid w:val="00A911F4"/>
    <w:rsid w:val="00A91262"/>
    <w:rsid w:val="00A91364"/>
    <w:rsid w:val="00A91448"/>
    <w:rsid w:val="00A91450"/>
    <w:rsid w:val="00A914B7"/>
    <w:rsid w:val="00A914EB"/>
    <w:rsid w:val="00A9151E"/>
    <w:rsid w:val="00A9152D"/>
    <w:rsid w:val="00A91586"/>
    <w:rsid w:val="00A91672"/>
    <w:rsid w:val="00A91689"/>
    <w:rsid w:val="00A9168D"/>
    <w:rsid w:val="00A91799"/>
    <w:rsid w:val="00A917B5"/>
    <w:rsid w:val="00A917F1"/>
    <w:rsid w:val="00A918C2"/>
    <w:rsid w:val="00A9190D"/>
    <w:rsid w:val="00A91999"/>
    <w:rsid w:val="00A919CD"/>
    <w:rsid w:val="00A919DE"/>
    <w:rsid w:val="00A919F5"/>
    <w:rsid w:val="00A91A0E"/>
    <w:rsid w:val="00A91A99"/>
    <w:rsid w:val="00A91C34"/>
    <w:rsid w:val="00A91C94"/>
    <w:rsid w:val="00A91CA7"/>
    <w:rsid w:val="00A91CBB"/>
    <w:rsid w:val="00A91E5C"/>
    <w:rsid w:val="00A91EAD"/>
    <w:rsid w:val="00A91EE5"/>
    <w:rsid w:val="00A92001"/>
    <w:rsid w:val="00A92005"/>
    <w:rsid w:val="00A92083"/>
    <w:rsid w:val="00A92125"/>
    <w:rsid w:val="00A9221F"/>
    <w:rsid w:val="00A92286"/>
    <w:rsid w:val="00A9228F"/>
    <w:rsid w:val="00A923A5"/>
    <w:rsid w:val="00A923C5"/>
    <w:rsid w:val="00A92459"/>
    <w:rsid w:val="00A9245E"/>
    <w:rsid w:val="00A924CE"/>
    <w:rsid w:val="00A924E8"/>
    <w:rsid w:val="00A924EE"/>
    <w:rsid w:val="00A92534"/>
    <w:rsid w:val="00A925B1"/>
    <w:rsid w:val="00A925CF"/>
    <w:rsid w:val="00A925D1"/>
    <w:rsid w:val="00A925E0"/>
    <w:rsid w:val="00A92671"/>
    <w:rsid w:val="00A92755"/>
    <w:rsid w:val="00A927B5"/>
    <w:rsid w:val="00A92826"/>
    <w:rsid w:val="00A9289D"/>
    <w:rsid w:val="00A928C4"/>
    <w:rsid w:val="00A92954"/>
    <w:rsid w:val="00A92A9F"/>
    <w:rsid w:val="00A92AE1"/>
    <w:rsid w:val="00A92B0B"/>
    <w:rsid w:val="00A92B41"/>
    <w:rsid w:val="00A92B50"/>
    <w:rsid w:val="00A92B81"/>
    <w:rsid w:val="00A92C1A"/>
    <w:rsid w:val="00A92C88"/>
    <w:rsid w:val="00A92D07"/>
    <w:rsid w:val="00A92D3A"/>
    <w:rsid w:val="00A92D4C"/>
    <w:rsid w:val="00A92D75"/>
    <w:rsid w:val="00A92E0E"/>
    <w:rsid w:val="00A92E17"/>
    <w:rsid w:val="00A92E5B"/>
    <w:rsid w:val="00A92E67"/>
    <w:rsid w:val="00A9313E"/>
    <w:rsid w:val="00A9317B"/>
    <w:rsid w:val="00A932F2"/>
    <w:rsid w:val="00A9333A"/>
    <w:rsid w:val="00A93355"/>
    <w:rsid w:val="00A93377"/>
    <w:rsid w:val="00A934B6"/>
    <w:rsid w:val="00A934CB"/>
    <w:rsid w:val="00A935BF"/>
    <w:rsid w:val="00A93656"/>
    <w:rsid w:val="00A93700"/>
    <w:rsid w:val="00A9375C"/>
    <w:rsid w:val="00A937CE"/>
    <w:rsid w:val="00A93841"/>
    <w:rsid w:val="00A9384F"/>
    <w:rsid w:val="00A9389A"/>
    <w:rsid w:val="00A938C0"/>
    <w:rsid w:val="00A938FA"/>
    <w:rsid w:val="00A939D7"/>
    <w:rsid w:val="00A93A0E"/>
    <w:rsid w:val="00A93A16"/>
    <w:rsid w:val="00A93A56"/>
    <w:rsid w:val="00A93B2E"/>
    <w:rsid w:val="00A93B72"/>
    <w:rsid w:val="00A93C17"/>
    <w:rsid w:val="00A93C31"/>
    <w:rsid w:val="00A93C33"/>
    <w:rsid w:val="00A93C3E"/>
    <w:rsid w:val="00A93C52"/>
    <w:rsid w:val="00A93CDA"/>
    <w:rsid w:val="00A93D0E"/>
    <w:rsid w:val="00A93EFC"/>
    <w:rsid w:val="00A93F0D"/>
    <w:rsid w:val="00A94029"/>
    <w:rsid w:val="00A94053"/>
    <w:rsid w:val="00A94112"/>
    <w:rsid w:val="00A94132"/>
    <w:rsid w:val="00A94165"/>
    <w:rsid w:val="00A94186"/>
    <w:rsid w:val="00A941B5"/>
    <w:rsid w:val="00A942AA"/>
    <w:rsid w:val="00A94364"/>
    <w:rsid w:val="00A94400"/>
    <w:rsid w:val="00A94448"/>
    <w:rsid w:val="00A94493"/>
    <w:rsid w:val="00A94499"/>
    <w:rsid w:val="00A9457A"/>
    <w:rsid w:val="00A9457E"/>
    <w:rsid w:val="00A94582"/>
    <w:rsid w:val="00A945EF"/>
    <w:rsid w:val="00A94645"/>
    <w:rsid w:val="00A94693"/>
    <w:rsid w:val="00A946AA"/>
    <w:rsid w:val="00A947EC"/>
    <w:rsid w:val="00A947FA"/>
    <w:rsid w:val="00A94822"/>
    <w:rsid w:val="00A94825"/>
    <w:rsid w:val="00A94925"/>
    <w:rsid w:val="00A94939"/>
    <w:rsid w:val="00A9499E"/>
    <w:rsid w:val="00A949D6"/>
    <w:rsid w:val="00A94A5C"/>
    <w:rsid w:val="00A94AE6"/>
    <w:rsid w:val="00A94B15"/>
    <w:rsid w:val="00A94B6A"/>
    <w:rsid w:val="00A94B89"/>
    <w:rsid w:val="00A94CEE"/>
    <w:rsid w:val="00A94D2C"/>
    <w:rsid w:val="00A94D53"/>
    <w:rsid w:val="00A94D74"/>
    <w:rsid w:val="00A94DBE"/>
    <w:rsid w:val="00A94E29"/>
    <w:rsid w:val="00A94E78"/>
    <w:rsid w:val="00A94E7F"/>
    <w:rsid w:val="00A94F4F"/>
    <w:rsid w:val="00A94FD8"/>
    <w:rsid w:val="00A9502C"/>
    <w:rsid w:val="00A95052"/>
    <w:rsid w:val="00A950BD"/>
    <w:rsid w:val="00A950E0"/>
    <w:rsid w:val="00A950E7"/>
    <w:rsid w:val="00A952B2"/>
    <w:rsid w:val="00A95316"/>
    <w:rsid w:val="00A954C3"/>
    <w:rsid w:val="00A9555D"/>
    <w:rsid w:val="00A95568"/>
    <w:rsid w:val="00A9558B"/>
    <w:rsid w:val="00A9568E"/>
    <w:rsid w:val="00A95724"/>
    <w:rsid w:val="00A9572A"/>
    <w:rsid w:val="00A957CF"/>
    <w:rsid w:val="00A9586C"/>
    <w:rsid w:val="00A95881"/>
    <w:rsid w:val="00A958AA"/>
    <w:rsid w:val="00A959E8"/>
    <w:rsid w:val="00A95A59"/>
    <w:rsid w:val="00A95C4E"/>
    <w:rsid w:val="00A95C9D"/>
    <w:rsid w:val="00A95CA6"/>
    <w:rsid w:val="00A95D2E"/>
    <w:rsid w:val="00A95D67"/>
    <w:rsid w:val="00A95D92"/>
    <w:rsid w:val="00A95DFC"/>
    <w:rsid w:val="00A95E97"/>
    <w:rsid w:val="00A95EA6"/>
    <w:rsid w:val="00A95EB0"/>
    <w:rsid w:val="00A95F80"/>
    <w:rsid w:val="00A95FBD"/>
    <w:rsid w:val="00A960E9"/>
    <w:rsid w:val="00A96152"/>
    <w:rsid w:val="00A9616B"/>
    <w:rsid w:val="00A9617E"/>
    <w:rsid w:val="00A96360"/>
    <w:rsid w:val="00A963ED"/>
    <w:rsid w:val="00A96471"/>
    <w:rsid w:val="00A96504"/>
    <w:rsid w:val="00A96508"/>
    <w:rsid w:val="00A9658C"/>
    <w:rsid w:val="00A96625"/>
    <w:rsid w:val="00A966AA"/>
    <w:rsid w:val="00A96747"/>
    <w:rsid w:val="00A96784"/>
    <w:rsid w:val="00A96838"/>
    <w:rsid w:val="00A96853"/>
    <w:rsid w:val="00A96964"/>
    <w:rsid w:val="00A969EC"/>
    <w:rsid w:val="00A96A3F"/>
    <w:rsid w:val="00A96AB6"/>
    <w:rsid w:val="00A96B74"/>
    <w:rsid w:val="00A96BD5"/>
    <w:rsid w:val="00A96BF0"/>
    <w:rsid w:val="00A96C4C"/>
    <w:rsid w:val="00A96C5F"/>
    <w:rsid w:val="00A96C72"/>
    <w:rsid w:val="00A96DA5"/>
    <w:rsid w:val="00A96DE2"/>
    <w:rsid w:val="00A96E06"/>
    <w:rsid w:val="00A96EAC"/>
    <w:rsid w:val="00A96EDE"/>
    <w:rsid w:val="00A96FFB"/>
    <w:rsid w:val="00A97064"/>
    <w:rsid w:val="00A971B6"/>
    <w:rsid w:val="00A971DD"/>
    <w:rsid w:val="00A97200"/>
    <w:rsid w:val="00A973C7"/>
    <w:rsid w:val="00A9755F"/>
    <w:rsid w:val="00A975C1"/>
    <w:rsid w:val="00A975C8"/>
    <w:rsid w:val="00A975E8"/>
    <w:rsid w:val="00A97603"/>
    <w:rsid w:val="00A976C0"/>
    <w:rsid w:val="00A97708"/>
    <w:rsid w:val="00A9771E"/>
    <w:rsid w:val="00A9773E"/>
    <w:rsid w:val="00A97765"/>
    <w:rsid w:val="00A977C8"/>
    <w:rsid w:val="00A97812"/>
    <w:rsid w:val="00A9799A"/>
    <w:rsid w:val="00A97AD3"/>
    <w:rsid w:val="00A97AE9"/>
    <w:rsid w:val="00A97B0A"/>
    <w:rsid w:val="00A97B71"/>
    <w:rsid w:val="00A97B7D"/>
    <w:rsid w:val="00A97C37"/>
    <w:rsid w:val="00A97C54"/>
    <w:rsid w:val="00A97C99"/>
    <w:rsid w:val="00A97CB0"/>
    <w:rsid w:val="00A97D26"/>
    <w:rsid w:val="00A97E15"/>
    <w:rsid w:val="00A97F2A"/>
    <w:rsid w:val="00AA01CC"/>
    <w:rsid w:val="00AA0234"/>
    <w:rsid w:val="00AA0284"/>
    <w:rsid w:val="00AA02FE"/>
    <w:rsid w:val="00AA05A8"/>
    <w:rsid w:val="00AA05C1"/>
    <w:rsid w:val="00AA0629"/>
    <w:rsid w:val="00AA067F"/>
    <w:rsid w:val="00AA075F"/>
    <w:rsid w:val="00AA07BB"/>
    <w:rsid w:val="00AA08D0"/>
    <w:rsid w:val="00AA091D"/>
    <w:rsid w:val="00AA09F9"/>
    <w:rsid w:val="00AA0AB2"/>
    <w:rsid w:val="00AA0B18"/>
    <w:rsid w:val="00AA0BCC"/>
    <w:rsid w:val="00AA0C19"/>
    <w:rsid w:val="00AA0C5F"/>
    <w:rsid w:val="00AA0C7B"/>
    <w:rsid w:val="00AA0C88"/>
    <w:rsid w:val="00AA0D02"/>
    <w:rsid w:val="00AA0D2D"/>
    <w:rsid w:val="00AA0D6D"/>
    <w:rsid w:val="00AA0D9B"/>
    <w:rsid w:val="00AA0DCE"/>
    <w:rsid w:val="00AA0E0B"/>
    <w:rsid w:val="00AA0F32"/>
    <w:rsid w:val="00AA0FBD"/>
    <w:rsid w:val="00AA0FE1"/>
    <w:rsid w:val="00AA100B"/>
    <w:rsid w:val="00AA105C"/>
    <w:rsid w:val="00AA107F"/>
    <w:rsid w:val="00AA11C8"/>
    <w:rsid w:val="00AA11CE"/>
    <w:rsid w:val="00AA1286"/>
    <w:rsid w:val="00AA1377"/>
    <w:rsid w:val="00AA137B"/>
    <w:rsid w:val="00AA13E2"/>
    <w:rsid w:val="00AA1450"/>
    <w:rsid w:val="00AA148A"/>
    <w:rsid w:val="00AA14C2"/>
    <w:rsid w:val="00AA14E5"/>
    <w:rsid w:val="00AA151A"/>
    <w:rsid w:val="00AA1544"/>
    <w:rsid w:val="00AA158E"/>
    <w:rsid w:val="00AA1597"/>
    <w:rsid w:val="00AA1637"/>
    <w:rsid w:val="00AA163E"/>
    <w:rsid w:val="00AA1657"/>
    <w:rsid w:val="00AA1793"/>
    <w:rsid w:val="00AA17AD"/>
    <w:rsid w:val="00AA17D7"/>
    <w:rsid w:val="00AA1899"/>
    <w:rsid w:val="00AA1A46"/>
    <w:rsid w:val="00AA1A66"/>
    <w:rsid w:val="00AA1AB8"/>
    <w:rsid w:val="00AA1B39"/>
    <w:rsid w:val="00AA1CA2"/>
    <w:rsid w:val="00AA1DA3"/>
    <w:rsid w:val="00AA1E5E"/>
    <w:rsid w:val="00AA1FD6"/>
    <w:rsid w:val="00AA1FFF"/>
    <w:rsid w:val="00AA215A"/>
    <w:rsid w:val="00AA21A4"/>
    <w:rsid w:val="00AA21A5"/>
    <w:rsid w:val="00AA21BF"/>
    <w:rsid w:val="00AA21CD"/>
    <w:rsid w:val="00AA21FE"/>
    <w:rsid w:val="00AA223A"/>
    <w:rsid w:val="00AA2263"/>
    <w:rsid w:val="00AA22AB"/>
    <w:rsid w:val="00AA2305"/>
    <w:rsid w:val="00AA2306"/>
    <w:rsid w:val="00AA2342"/>
    <w:rsid w:val="00AA23B2"/>
    <w:rsid w:val="00AA23E8"/>
    <w:rsid w:val="00AA23F9"/>
    <w:rsid w:val="00AA247D"/>
    <w:rsid w:val="00AA24C6"/>
    <w:rsid w:val="00AA24FA"/>
    <w:rsid w:val="00AA2571"/>
    <w:rsid w:val="00AA2574"/>
    <w:rsid w:val="00AA25B9"/>
    <w:rsid w:val="00AA26E8"/>
    <w:rsid w:val="00AA2717"/>
    <w:rsid w:val="00AA2761"/>
    <w:rsid w:val="00AA2790"/>
    <w:rsid w:val="00AA289D"/>
    <w:rsid w:val="00AA29A0"/>
    <w:rsid w:val="00AA29E4"/>
    <w:rsid w:val="00AA29ED"/>
    <w:rsid w:val="00AA2AC1"/>
    <w:rsid w:val="00AA2AEA"/>
    <w:rsid w:val="00AA2B1E"/>
    <w:rsid w:val="00AA2B32"/>
    <w:rsid w:val="00AA2B41"/>
    <w:rsid w:val="00AA2B5E"/>
    <w:rsid w:val="00AA2B7E"/>
    <w:rsid w:val="00AA2BB6"/>
    <w:rsid w:val="00AA2CD9"/>
    <w:rsid w:val="00AA2CF1"/>
    <w:rsid w:val="00AA2D68"/>
    <w:rsid w:val="00AA2D71"/>
    <w:rsid w:val="00AA2D76"/>
    <w:rsid w:val="00AA2DFF"/>
    <w:rsid w:val="00AA2E5A"/>
    <w:rsid w:val="00AA2E98"/>
    <w:rsid w:val="00AA2ECD"/>
    <w:rsid w:val="00AA2F55"/>
    <w:rsid w:val="00AA301A"/>
    <w:rsid w:val="00AA30E7"/>
    <w:rsid w:val="00AA312D"/>
    <w:rsid w:val="00AA3152"/>
    <w:rsid w:val="00AA317A"/>
    <w:rsid w:val="00AA31B6"/>
    <w:rsid w:val="00AA3247"/>
    <w:rsid w:val="00AA3292"/>
    <w:rsid w:val="00AA32C4"/>
    <w:rsid w:val="00AA330B"/>
    <w:rsid w:val="00AA3360"/>
    <w:rsid w:val="00AA3506"/>
    <w:rsid w:val="00AA3573"/>
    <w:rsid w:val="00AA35CA"/>
    <w:rsid w:val="00AA35D7"/>
    <w:rsid w:val="00AA3681"/>
    <w:rsid w:val="00AA369E"/>
    <w:rsid w:val="00AA36DD"/>
    <w:rsid w:val="00AA383B"/>
    <w:rsid w:val="00AA383C"/>
    <w:rsid w:val="00AA386B"/>
    <w:rsid w:val="00AA3886"/>
    <w:rsid w:val="00AA38C1"/>
    <w:rsid w:val="00AA3936"/>
    <w:rsid w:val="00AA3938"/>
    <w:rsid w:val="00AA394B"/>
    <w:rsid w:val="00AA3A0D"/>
    <w:rsid w:val="00AA3A51"/>
    <w:rsid w:val="00AA3A75"/>
    <w:rsid w:val="00AA3A93"/>
    <w:rsid w:val="00AA3AB6"/>
    <w:rsid w:val="00AA3D5E"/>
    <w:rsid w:val="00AA3D63"/>
    <w:rsid w:val="00AA3E3E"/>
    <w:rsid w:val="00AA3E50"/>
    <w:rsid w:val="00AA3E8F"/>
    <w:rsid w:val="00AA3F93"/>
    <w:rsid w:val="00AA4010"/>
    <w:rsid w:val="00AA4065"/>
    <w:rsid w:val="00AA4174"/>
    <w:rsid w:val="00AA41B8"/>
    <w:rsid w:val="00AA4210"/>
    <w:rsid w:val="00AA42F2"/>
    <w:rsid w:val="00AA43B2"/>
    <w:rsid w:val="00AA43C6"/>
    <w:rsid w:val="00AA443B"/>
    <w:rsid w:val="00AA4582"/>
    <w:rsid w:val="00AA45FC"/>
    <w:rsid w:val="00AA463E"/>
    <w:rsid w:val="00AA46D3"/>
    <w:rsid w:val="00AA47CE"/>
    <w:rsid w:val="00AA4835"/>
    <w:rsid w:val="00AA48DE"/>
    <w:rsid w:val="00AA4A4D"/>
    <w:rsid w:val="00AA4A8C"/>
    <w:rsid w:val="00AA4B26"/>
    <w:rsid w:val="00AA4B2E"/>
    <w:rsid w:val="00AA4B83"/>
    <w:rsid w:val="00AA4B9B"/>
    <w:rsid w:val="00AA4BE2"/>
    <w:rsid w:val="00AA4BF3"/>
    <w:rsid w:val="00AA4CAD"/>
    <w:rsid w:val="00AA4CB0"/>
    <w:rsid w:val="00AA4D58"/>
    <w:rsid w:val="00AA4E29"/>
    <w:rsid w:val="00AA5021"/>
    <w:rsid w:val="00AA50CF"/>
    <w:rsid w:val="00AA5174"/>
    <w:rsid w:val="00AA51FA"/>
    <w:rsid w:val="00AA5277"/>
    <w:rsid w:val="00AA5294"/>
    <w:rsid w:val="00AA5344"/>
    <w:rsid w:val="00AA53D0"/>
    <w:rsid w:val="00AA53D3"/>
    <w:rsid w:val="00AA543B"/>
    <w:rsid w:val="00AA558E"/>
    <w:rsid w:val="00AA5600"/>
    <w:rsid w:val="00AA5613"/>
    <w:rsid w:val="00AA5689"/>
    <w:rsid w:val="00AA56E1"/>
    <w:rsid w:val="00AA573C"/>
    <w:rsid w:val="00AA57BB"/>
    <w:rsid w:val="00AA5842"/>
    <w:rsid w:val="00AA58AF"/>
    <w:rsid w:val="00AA59A6"/>
    <w:rsid w:val="00AA59B4"/>
    <w:rsid w:val="00AA59D1"/>
    <w:rsid w:val="00AA5AD1"/>
    <w:rsid w:val="00AA5B34"/>
    <w:rsid w:val="00AA5C0F"/>
    <w:rsid w:val="00AA5C21"/>
    <w:rsid w:val="00AA5C40"/>
    <w:rsid w:val="00AA5C4D"/>
    <w:rsid w:val="00AA5C7B"/>
    <w:rsid w:val="00AA5CF6"/>
    <w:rsid w:val="00AA5E5D"/>
    <w:rsid w:val="00AA5FC4"/>
    <w:rsid w:val="00AA6091"/>
    <w:rsid w:val="00AA60BB"/>
    <w:rsid w:val="00AA60F3"/>
    <w:rsid w:val="00AA6117"/>
    <w:rsid w:val="00AA6260"/>
    <w:rsid w:val="00AA62A2"/>
    <w:rsid w:val="00AA632A"/>
    <w:rsid w:val="00AA63AA"/>
    <w:rsid w:val="00AA63DE"/>
    <w:rsid w:val="00AA63E4"/>
    <w:rsid w:val="00AA64EB"/>
    <w:rsid w:val="00AA65BD"/>
    <w:rsid w:val="00AA6604"/>
    <w:rsid w:val="00AA662B"/>
    <w:rsid w:val="00AA665E"/>
    <w:rsid w:val="00AA66D5"/>
    <w:rsid w:val="00AA676C"/>
    <w:rsid w:val="00AA67B0"/>
    <w:rsid w:val="00AA67C7"/>
    <w:rsid w:val="00AA6877"/>
    <w:rsid w:val="00AA6882"/>
    <w:rsid w:val="00AA68F9"/>
    <w:rsid w:val="00AA6913"/>
    <w:rsid w:val="00AA6957"/>
    <w:rsid w:val="00AA6A08"/>
    <w:rsid w:val="00AA6B0E"/>
    <w:rsid w:val="00AA6B48"/>
    <w:rsid w:val="00AA6BA0"/>
    <w:rsid w:val="00AA6C49"/>
    <w:rsid w:val="00AA6C4E"/>
    <w:rsid w:val="00AA6C6D"/>
    <w:rsid w:val="00AA6C71"/>
    <w:rsid w:val="00AA6C91"/>
    <w:rsid w:val="00AA6C9E"/>
    <w:rsid w:val="00AA6D41"/>
    <w:rsid w:val="00AA6DB0"/>
    <w:rsid w:val="00AA6E83"/>
    <w:rsid w:val="00AA6EAA"/>
    <w:rsid w:val="00AA701C"/>
    <w:rsid w:val="00AA70B3"/>
    <w:rsid w:val="00AA70F9"/>
    <w:rsid w:val="00AA70FE"/>
    <w:rsid w:val="00AA7117"/>
    <w:rsid w:val="00AA713A"/>
    <w:rsid w:val="00AA7145"/>
    <w:rsid w:val="00AA7181"/>
    <w:rsid w:val="00AA718A"/>
    <w:rsid w:val="00AA72AB"/>
    <w:rsid w:val="00AA7318"/>
    <w:rsid w:val="00AA7471"/>
    <w:rsid w:val="00AA752A"/>
    <w:rsid w:val="00AA75CC"/>
    <w:rsid w:val="00AA75F9"/>
    <w:rsid w:val="00AA76B8"/>
    <w:rsid w:val="00AA776C"/>
    <w:rsid w:val="00AA7796"/>
    <w:rsid w:val="00AA77AF"/>
    <w:rsid w:val="00AA77E7"/>
    <w:rsid w:val="00AA78AD"/>
    <w:rsid w:val="00AA78D6"/>
    <w:rsid w:val="00AA7947"/>
    <w:rsid w:val="00AA7A1B"/>
    <w:rsid w:val="00AA7A2E"/>
    <w:rsid w:val="00AA7B4F"/>
    <w:rsid w:val="00AA7C59"/>
    <w:rsid w:val="00AA7C79"/>
    <w:rsid w:val="00AA7CBC"/>
    <w:rsid w:val="00AA7E71"/>
    <w:rsid w:val="00AA7EBA"/>
    <w:rsid w:val="00AA7EBE"/>
    <w:rsid w:val="00AA7F2E"/>
    <w:rsid w:val="00AA7F90"/>
    <w:rsid w:val="00AA7F95"/>
    <w:rsid w:val="00AA7FD8"/>
    <w:rsid w:val="00AB0012"/>
    <w:rsid w:val="00AB0036"/>
    <w:rsid w:val="00AB00CB"/>
    <w:rsid w:val="00AB010A"/>
    <w:rsid w:val="00AB0125"/>
    <w:rsid w:val="00AB016A"/>
    <w:rsid w:val="00AB01F8"/>
    <w:rsid w:val="00AB028C"/>
    <w:rsid w:val="00AB02B6"/>
    <w:rsid w:val="00AB02ED"/>
    <w:rsid w:val="00AB0345"/>
    <w:rsid w:val="00AB037E"/>
    <w:rsid w:val="00AB03B1"/>
    <w:rsid w:val="00AB0429"/>
    <w:rsid w:val="00AB04D7"/>
    <w:rsid w:val="00AB05A2"/>
    <w:rsid w:val="00AB05CD"/>
    <w:rsid w:val="00AB0623"/>
    <w:rsid w:val="00AB065D"/>
    <w:rsid w:val="00AB06E5"/>
    <w:rsid w:val="00AB0714"/>
    <w:rsid w:val="00AB0721"/>
    <w:rsid w:val="00AB0736"/>
    <w:rsid w:val="00AB0751"/>
    <w:rsid w:val="00AB07FD"/>
    <w:rsid w:val="00AB081D"/>
    <w:rsid w:val="00AB098C"/>
    <w:rsid w:val="00AB09D6"/>
    <w:rsid w:val="00AB09E6"/>
    <w:rsid w:val="00AB0A68"/>
    <w:rsid w:val="00AB0AFC"/>
    <w:rsid w:val="00AB0BE5"/>
    <w:rsid w:val="00AB0C25"/>
    <w:rsid w:val="00AB0C88"/>
    <w:rsid w:val="00AB0D2D"/>
    <w:rsid w:val="00AB0DC5"/>
    <w:rsid w:val="00AB0E29"/>
    <w:rsid w:val="00AB0E2C"/>
    <w:rsid w:val="00AB0E4D"/>
    <w:rsid w:val="00AB0E78"/>
    <w:rsid w:val="00AB0EAA"/>
    <w:rsid w:val="00AB1063"/>
    <w:rsid w:val="00AB11A8"/>
    <w:rsid w:val="00AB121D"/>
    <w:rsid w:val="00AB1234"/>
    <w:rsid w:val="00AB1263"/>
    <w:rsid w:val="00AB126A"/>
    <w:rsid w:val="00AB13A9"/>
    <w:rsid w:val="00AB1446"/>
    <w:rsid w:val="00AB1519"/>
    <w:rsid w:val="00AB152F"/>
    <w:rsid w:val="00AB155E"/>
    <w:rsid w:val="00AB1849"/>
    <w:rsid w:val="00AB18B4"/>
    <w:rsid w:val="00AB18DB"/>
    <w:rsid w:val="00AB1A75"/>
    <w:rsid w:val="00AB1ABF"/>
    <w:rsid w:val="00AB1AE0"/>
    <w:rsid w:val="00AB1BA9"/>
    <w:rsid w:val="00AB1BC3"/>
    <w:rsid w:val="00AB1C55"/>
    <w:rsid w:val="00AB1C6D"/>
    <w:rsid w:val="00AB1CDC"/>
    <w:rsid w:val="00AB1D11"/>
    <w:rsid w:val="00AB1D6C"/>
    <w:rsid w:val="00AB1DC7"/>
    <w:rsid w:val="00AB1DCC"/>
    <w:rsid w:val="00AB1E80"/>
    <w:rsid w:val="00AB1EB0"/>
    <w:rsid w:val="00AB1EC8"/>
    <w:rsid w:val="00AB1F0F"/>
    <w:rsid w:val="00AB1F71"/>
    <w:rsid w:val="00AB2186"/>
    <w:rsid w:val="00AB2191"/>
    <w:rsid w:val="00AB219B"/>
    <w:rsid w:val="00AB21D2"/>
    <w:rsid w:val="00AB21DA"/>
    <w:rsid w:val="00AB21ED"/>
    <w:rsid w:val="00AB2237"/>
    <w:rsid w:val="00AB2268"/>
    <w:rsid w:val="00AB2338"/>
    <w:rsid w:val="00AB23C7"/>
    <w:rsid w:val="00AB23DB"/>
    <w:rsid w:val="00AB261C"/>
    <w:rsid w:val="00AB2692"/>
    <w:rsid w:val="00AB26B0"/>
    <w:rsid w:val="00AB2783"/>
    <w:rsid w:val="00AB2834"/>
    <w:rsid w:val="00AB28A3"/>
    <w:rsid w:val="00AB28A8"/>
    <w:rsid w:val="00AB28F9"/>
    <w:rsid w:val="00AB29F1"/>
    <w:rsid w:val="00AB2AA4"/>
    <w:rsid w:val="00AB2B9F"/>
    <w:rsid w:val="00AB2CDD"/>
    <w:rsid w:val="00AB2D8F"/>
    <w:rsid w:val="00AB2D93"/>
    <w:rsid w:val="00AB2E05"/>
    <w:rsid w:val="00AB2E09"/>
    <w:rsid w:val="00AB2E42"/>
    <w:rsid w:val="00AB2E6D"/>
    <w:rsid w:val="00AB2EB5"/>
    <w:rsid w:val="00AB2F3E"/>
    <w:rsid w:val="00AB2F40"/>
    <w:rsid w:val="00AB2F48"/>
    <w:rsid w:val="00AB2F96"/>
    <w:rsid w:val="00AB2FD7"/>
    <w:rsid w:val="00AB3072"/>
    <w:rsid w:val="00AB3125"/>
    <w:rsid w:val="00AB3166"/>
    <w:rsid w:val="00AB31F5"/>
    <w:rsid w:val="00AB3247"/>
    <w:rsid w:val="00AB329A"/>
    <w:rsid w:val="00AB32A9"/>
    <w:rsid w:val="00AB32C3"/>
    <w:rsid w:val="00AB32FC"/>
    <w:rsid w:val="00AB337A"/>
    <w:rsid w:val="00AB3431"/>
    <w:rsid w:val="00AB353F"/>
    <w:rsid w:val="00AB3574"/>
    <w:rsid w:val="00AB3640"/>
    <w:rsid w:val="00AB3647"/>
    <w:rsid w:val="00AB36B7"/>
    <w:rsid w:val="00AB36BA"/>
    <w:rsid w:val="00AB36D6"/>
    <w:rsid w:val="00AB36EA"/>
    <w:rsid w:val="00AB3715"/>
    <w:rsid w:val="00AB3832"/>
    <w:rsid w:val="00AB3846"/>
    <w:rsid w:val="00AB385E"/>
    <w:rsid w:val="00AB38F3"/>
    <w:rsid w:val="00AB397F"/>
    <w:rsid w:val="00AB3B52"/>
    <w:rsid w:val="00AB3BA0"/>
    <w:rsid w:val="00AB3C6A"/>
    <w:rsid w:val="00AB3C84"/>
    <w:rsid w:val="00AB3D35"/>
    <w:rsid w:val="00AB3DD7"/>
    <w:rsid w:val="00AB3E35"/>
    <w:rsid w:val="00AB3F45"/>
    <w:rsid w:val="00AB3F5E"/>
    <w:rsid w:val="00AB3F8C"/>
    <w:rsid w:val="00AB4009"/>
    <w:rsid w:val="00AB405D"/>
    <w:rsid w:val="00AB4112"/>
    <w:rsid w:val="00AB41BC"/>
    <w:rsid w:val="00AB41C1"/>
    <w:rsid w:val="00AB41D4"/>
    <w:rsid w:val="00AB41E5"/>
    <w:rsid w:val="00AB42DD"/>
    <w:rsid w:val="00AB42E8"/>
    <w:rsid w:val="00AB4331"/>
    <w:rsid w:val="00AB4369"/>
    <w:rsid w:val="00AB43A7"/>
    <w:rsid w:val="00AB4408"/>
    <w:rsid w:val="00AB4414"/>
    <w:rsid w:val="00AB441D"/>
    <w:rsid w:val="00AB443B"/>
    <w:rsid w:val="00AB458C"/>
    <w:rsid w:val="00AB4609"/>
    <w:rsid w:val="00AB468E"/>
    <w:rsid w:val="00AB46B4"/>
    <w:rsid w:val="00AB4782"/>
    <w:rsid w:val="00AB479F"/>
    <w:rsid w:val="00AB4857"/>
    <w:rsid w:val="00AB485B"/>
    <w:rsid w:val="00AB4912"/>
    <w:rsid w:val="00AB4916"/>
    <w:rsid w:val="00AB491A"/>
    <w:rsid w:val="00AB4935"/>
    <w:rsid w:val="00AB4967"/>
    <w:rsid w:val="00AB4986"/>
    <w:rsid w:val="00AB49D6"/>
    <w:rsid w:val="00AB4A02"/>
    <w:rsid w:val="00AB4A9A"/>
    <w:rsid w:val="00AB4AA7"/>
    <w:rsid w:val="00AB4ACD"/>
    <w:rsid w:val="00AB4ACE"/>
    <w:rsid w:val="00AB4AD0"/>
    <w:rsid w:val="00AB4AD7"/>
    <w:rsid w:val="00AB4BB4"/>
    <w:rsid w:val="00AB4BBA"/>
    <w:rsid w:val="00AB4BCF"/>
    <w:rsid w:val="00AB4CB6"/>
    <w:rsid w:val="00AB4D43"/>
    <w:rsid w:val="00AB4D59"/>
    <w:rsid w:val="00AB4D70"/>
    <w:rsid w:val="00AB4D8F"/>
    <w:rsid w:val="00AB4E10"/>
    <w:rsid w:val="00AB4EB4"/>
    <w:rsid w:val="00AB4F2F"/>
    <w:rsid w:val="00AB4F9F"/>
    <w:rsid w:val="00AB4FE3"/>
    <w:rsid w:val="00AB4FE6"/>
    <w:rsid w:val="00AB5211"/>
    <w:rsid w:val="00AB52BB"/>
    <w:rsid w:val="00AB53BA"/>
    <w:rsid w:val="00AB53DB"/>
    <w:rsid w:val="00AB5409"/>
    <w:rsid w:val="00AB5450"/>
    <w:rsid w:val="00AB5468"/>
    <w:rsid w:val="00AB5498"/>
    <w:rsid w:val="00AB5551"/>
    <w:rsid w:val="00AB5576"/>
    <w:rsid w:val="00AB5587"/>
    <w:rsid w:val="00AB55B9"/>
    <w:rsid w:val="00AB564A"/>
    <w:rsid w:val="00AB56AC"/>
    <w:rsid w:val="00AB578C"/>
    <w:rsid w:val="00AB57FD"/>
    <w:rsid w:val="00AB581E"/>
    <w:rsid w:val="00AB584D"/>
    <w:rsid w:val="00AB5867"/>
    <w:rsid w:val="00AB58F7"/>
    <w:rsid w:val="00AB58F9"/>
    <w:rsid w:val="00AB593D"/>
    <w:rsid w:val="00AB5995"/>
    <w:rsid w:val="00AB59F5"/>
    <w:rsid w:val="00AB5A16"/>
    <w:rsid w:val="00AB5A3B"/>
    <w:rsid w:val="00AB5A7D"/>
    <w:rsid w:val="00AB5A94"/>
    <w:rsid w:val="00AB5B12"/>
    <w:rsid w:val="00AB5B80"/>
    <w:rsid w:val="00AB5BC7"/>
    <w:rsid w:val="00AB5D1E"/>
    <w:rsid w:val="00AB5D32"/>
    <w:rsid w:val="00AB5D6E"/>
    <w:rsid w:val="00AB5DF3"/>
    <w:rsid w:val="00AB5F69"/>
    <w:rsid w:val="00AB5F7D"/>
    <w:rsid w:val="00AB6029"/>
    <w:rsid w:val="00AB6039"/>
    <w:rsid w:val="00AB6050"/>
    <w:rsid w:val="00AB6105"/>
    <w:rsid w:val="00AB610E"/>
    <w:rsid w:val="00AB6119"/>
    <w:rsid w:val="00AB612A"/>
    <w:rsid w:val="00AB612B"/>
    <w:rsid w:val="00AB6181"/>
    <w:rsid w:val="00AB61A6"/>
    <w:rsid w:val="00AB61C1"/>
    <w:rsid w:val="00AB61CB"/>
    <w:rsid w:val="00AB6224"/>
    <w:rsid w:val="00AB62BF"/>
    <w:rsid w:val="00AB62C3"/>
    <w:rsid w:val="00AB62DF"/>
    <w:rsid w:val="00AB62E9"/>
    <w:rsid w:val="00AB62F4"/>
    <w:rsid w:val="00AB63B6"/>
    <w:rsid w:val="00AB6415"/>
    <w:rsid w:val="00AB6424"/>
    <w:rsid w:val="00AB6445"/>
    <w:rsid w:val="00AB6507"/>
    <w:rsid w:val="00AB6513"/>
    <w:rsid w:val="00AB65D5"/>
    <w:rsid w:val="00AB6614"/>
    <w:rsid w:val="00AB6672"/>
    <w:rsid w:val="00AB66BB"/>
    <w:rsid w:val="00AB6772"/>
    <w:rsid w:val="00AB67E9"/>
    <w:rsid w:val="00AB6826"/>
    <w:rsid w:val="00AB68D4"/>
    <w:rsid w:val="00AB69A3"/>
    <w:rsid w:val="00AB6A0C"/>
    <w:rsid w:val="00AB6A81"/>
    <w:rsid w:val="00AB6B0C"/>
    <w:rsid w:val="00AB6BB3"/>
    <w:rsid w:val="00AB6C44"/>
    <w:rsid w:val="00AB6C73"/>
    <w:rsid w:val="00AB6C8D"/>
    <w:rsid w:val="00AB6D01"/>
    <w:rsid w:val="00AB6E52"/>
    <w:rsid w:val="00AB6EF1"/>
    <w:rsid w:val="00AB6F5E"/>
    <w:rsid w:val="00AB6FE5"/>
    <w:rsid w:val="00AB702B"/>
    <w:rsid w:val="00AB7033"/>
    <w:rsid w:val="00AB7045"/>
    <w:rsid w:val="00AB7069"/>
    <w:rsid w:val="00AB7083"/>
    <w:rsid w:val="00AB71FA"/>
    <w:rsid w:val="00AB7242"/>
    <w:rsid w:val="00AB72DD"/>
    <w:rsid w:val="00AB737B"/>
    <w:rsid w:val="00AB74B6"/>
    <w:rsid w:val="00AB74E0"/>
    <w:rsid w:val="00AB756F"/>
    <w:rsid w:val="00AB7578"/>
    <w:rsid w:val="00AB758F"/>
    <w:rsid w:val="00AB75EF"/>
    <w:rsid w:val="00AB75FA"/>
    <w:rsid w:val="00AB7674"/>
    <w:rsid w:val="00AB7675"/>
    <w:rsid w:val="00AB76B4"/>
    <w:rsid w:val="00AB777A"/>
    <w:rsid w:val="00AB7780"/>
    <w:rsid w:val="00AB7848"/>
    <w:rsid w:val="00AB7871"/>
    <w:rsid w:val="00AB78EE"/>
    <w:rsid w:val="00AB7970"/>
    <w:rsid w:val="00AB7A3E"/>
    <w:rsid w:val="00AB7AB3"/>
    <w:rsid w:val="00AB7B1E"/>
    <w:rsid w:val="00AB7B23"/>
    <w:rsid w:val="00AB7BF3"/>
    <w:rsid w:val="00AB7CF1"/>
    <w:rsid w:val="00AB7D16"/>
    <w:rsid w:val="00AB7DDA"/>
    <w:rsid w:val="00AB7EA4"/>
    <w:rsid w:val="00AB7ECB"/>
    <w:rsid w:val="00AB7EE7"/>
    <w:rsid w:val="00AB7F05"/>
    <w:rsid w:val="00AC007B"/>
    <w:rsid w:val="00AC0123"/>
    <w:rsid w:val="00AC01A9"/>
    <w:rsid w:val="00AC020F"/>
    <w:rsid w:val="00AC0270"/>
    <w:rsid w:val="00AC0272"/>
    <w:rsid w:val="00AC02DD"/>
    <w:rsid w:val="00AC0443"/>
    <w:rsid w:val="00AC0532"/>
    <w:rsid w:val="00AC0572"/>
    <w:rsid w:val="00AC065A"/>
    <w:rsid w:val="00AC0738"/>
    <w:rsid w:val="00AC075D"/>
    <w:rsid w:val="00AC07A7"/>
    <w:rsid w:val="00AC07CC"/>
    <w:rsid w:val="00AC0854"/>
    <w:rsid w:val="00AC097C"/>
    <w:rsid w:val="00AC0B54"/>
    <w:rsid w:val="00AC0C34"/>
    <w:rsid w:val="00AC0C8B"/>
    <w:rsid w:val="00AC0C9E"/>
    <w:rsid w:val="00AC0DC2"/>
    <w:rsid w:val="00AC0DE6"/>
    <w:rsid w:val="00AC0DE8"/>
    <w:rsid w:val="00AC0E41"/>
    <w:rsid w:val="00AC0EAB"/>
    <w:rsid w:val="00AC0EBC"/>
    <w:rsid w:val="00AC0EEB"/>
    <w:rsid w:val="00AC0FFC"/>
    <w:rsid w:val="00AC1076"/>
    <w:rsid w:val="00AC10F4"/>
    <w:rsid w:val="00AC1112"/>
    <w:rsid w:val="00AC11AF"/>
    <w:rsid w:val="00AC13CD"/>
    <w:rsid w:val="00AC1501"/>
    <w:rsid w:val="00AC159F"/>
    <w:rsid w:val="00AC15B7"/>
    <w:rsid w:val="00AC15D1"/>
    <w:rsid w:val="00AC15E3"/>
    <w:rsid w:val="00AC160C"/>
    <w:rsid w:val="00AC1679"/>
    <w:rsid w:val="00AC178E"/>
    <w:rsid w:val="00AC186A"/>
    <w:rsid w:val="00AC197E"/>
    <w:rsid w:val="00AC197F"/>
    <w:rsid w:val="00AC1A9E"/>
    <w:rsid w:val="00AC1C91"/>
    <w:rsid w:val="00AC1CA1"/>
    <w:rsid w:val="00AC1CD7"/>
    <w:rsid w:val="00AC1CE0"/>
    <w:rsid w:val="00AC1D91"/>
    <w:rsid w:val="00AC1DDD"/>
    <w:rsid w:val="00AC1E68"/>
    <w:rsid w:val="00AC1E7A"/>
    <w:rsid w:val="00AC1EAB"/>
    <w:rsid w:val="00AC1EF4"/>
    <w:rsid w:val="00AC1F51"/>
    <w:rsid w:val="00AC1F91"/>
    <w:rsid w:val="00AC20E0"/>
    <w:rsid w:val="00AC210C"/>
    <w:rsid w:val="00AC216B"/>
    <w:rsid w:val="00AC21D9"/>
    <w:rsid w:val="00AC2212"/>
    <w:rsid w:val="00AC2293"/>
    <w:rsid w:val="00AC22BA"/>
    <w:rsid w:val="00AC23A0"/>
    <w:rsid w:val="00AC23AF"/>
    <w:rsid w:val="00AC2405"/>
    <w:rsid w:val="00AC2454"/>
    <w:rsid w:val="00AC247C"/>
    <w:rsid w:val="00AC2497"/>
    <w:rsid w:val="00AC2546"/>
    <w:rsid w:val="00AC25DE"/>
    <w:rsid w:val="00AC25E2"/>
    <w:rsid w:val="00AC2607"/>
    <w:rsid w:val="00AC27D3"/>
    <w:rsid w:val="00AC28B9"/>
    <w:rsid w:val="00AC2ADF"/>
    <w:rsid w:val="00AC2B09"/>
    <w:rsid w:val="00AC2B19"/>
    <w:rsid w:val="00AC2B2D"/>
    <w:rsid w:val="00AC2B90"/>
    <w:rsid w:val="00AC2BA9"/>
    <w:rsid w:val="00AC2C36"/>
    <w:rsid w:val="00AC2C6B"/>
    <w:rsid w:val="00AC2D0F"/>
    <w:rsid w:val="00AC2D1D"/>
    <w:rsid w:val="00AC2D8B"/>
    <w:rsid w:val="00AC2DF3"/>
    <w:rsid w:val="00AC2E47"/>
    <w:rsid w:val="00AC2F2F"/>
    <w:rsid w:val="00AC2F97"/>
    <w:rsid w:val="00AC2FB8"/>
    <w:rsid w:val="00AC2FE8"/>
    <w:rsid w:val="00AC2FF0"/>
    <w:rsid w:val="00AC3056"/>
    <w:rsid w:val="00AC3069"/>
    <w:rsid w:val="00AC310F"/>
    <w:rsid w:val="00AC3123"/>
    <w:rsid w:val="00AC314B"/>
    <w:rsid w:val="00AC319D"/>
    <w:rsid w:val="00AC3299"/>
    <w:rsid w:val="00AC32B5"/>
    <w:rsid w:val="00AC3309"/>
    <w:rsid w:val="00AC330C"/>
    <w:rsid w:val="00AC330E"/>
    <w:rsid w:val="00AC332D"/>
    <w:rsid w:val="00AC336C"/>
    <w:rsid w:val="00AC33E2"/>
    <w:rsid w:val="00AC341A"/>
    <w:rsid w:val="00AC344D"/>
    <w:rsid w:val="00AC3496"/>
    <w:rsid w:val="00AC34D1"/>
    <w:rsid w:val="00AC3507"/>
    <w:rsid w:val="00AC3547"/>
    <w:rsid w:val="00AC359F"/>
    <w:rsid w:val="00AC35E8"/>
    <w:rsid w:val="00AC35F3"/>
    <w:rsid w:val="00AC35F4"/>
    <w:rsid w:val="00AC3600"/>
    <w:rsid w:val="00AC36E8"/>
    <w:rsid w:val="00AC3777"/>
    <w:rsid w:val="00AC37D3"/>
    <w:rsid w:val="00AC37F2"/>
    <w:rsid w:val="00AC38AA"/>
    <w:rsid w:val="00AC397C"/>
    <w:rsid w:val="00AC398D"/>
    <w:rsid w:val="00AC39B7"/>
    <w:rsid w:val="00AC3A90"/>
    <w:rsid w:val="00AC3AAD"/>
    <w:rsid w:val="00AC3AD7"/>
    <w:rsid w:val="00AC3B34"/>
    <w:rsid w:val="00AC3BD6"/>
    <w:rsid w:val="00AC3C39"/>
    <w:rsid w:val="00AC3C3C"/>
    <w:rsid w:val="00AC3C6F"/>
    <w:rsid w:val="00AC3CDD"/>
    <w:rsid w:val="00AC3D85"/>
    <w:rsid w:val="00AC3D93"/>
    <w:rsid w:val="00AC3DB2"/>
    <w:rsid w:val="00AC3E01"/>
    <w:rsid w:val="00AC3EAE"/>
    <w:rsid w:val="00AC3EBD"/>
    <w:rsid w:val="00AC3F02"/>
    <w:rsid w:val="00AC3FAC"/>
    <w:rsid w:val="00AC40B9"/>
    <w:rsid w:val="00AC40ED"/>
    <w:rsid w:val="00AC415D"/>
    <w:rsid w:val="00AC42E7"/>
    <w:rsid w:val="00AC4315"/>
    <w:rsid w:val="00AC4326"/>
    <w:rsid w:val="00AC4399"/>
    <w:rsid w:val="00AC4420"/>
    <w:rsid w:val="00AC444C"/>
    <w:rsid w:val="00AC44EC"/>
    <w:rsid w:val="00AC454A"/>
    <w:rsid w:val="00AC45E1"/>
    <w:rsid w:val="00AC45F0"/>
    <w:rsid w:val="00AC4647"/>
    <w:rsid w:val="00AC4734"/>
    <w:rsid w:val="00AC4833"/>
    <w:rsid w:val="00AC486F"/>
    <w:rsid w:val="00AC4895"/>
    <w:rsid w:val="00AC48B2"/>
    <w:rsid w:val="00AC4960"/>
    <w:rsid w:val="00AC4983"/>
    <w:rsid w:val="00AC498A"/>
    <w:rsid w:val="00AC4998"/>
    <w:rsid w:val="00AC49FA"/>
    <w:rsid w:val="00AC4A46"/>
    <w:rsid w:val="00AC4AAC"/>
    <w:rsid w:val="00AC4AE4"/>
    <w:rsid w:val="00AC4AE5"/>
    <w:rsid w:val="00AC4BE6"/>
    <w:rsid w:val="00AC4C3C"/>
    <w:rsid w:val="00AC4C48"/>
    <w:rsid w:val="00AC4C5C"/>
    <w:rsid w:val="00AC4C6B"/>
    <w:rsid w:val="00AC4D4B"/>
    <w:rsid w:val="00AC4E19"/>
    <w:rsid w:val="00AC4E1B"/>
    <w:rsid w:val="00AC4E64"/>
    <w:rsid w:val="00AC4F2B"/>
    <w:rsid w:val="00AC4F61"/>
    <w:rsid w:val="00AC4FA0"/>
    <w:rsid w:val="00AC501A"/>
    <w:rsid w:val="00AC50D3"/>
    <w:rsid w:val="00AC5190"/>
    <w:rsid w:val="00AC51CE"/>
    <w:rsid w:val="00AC51DD"/>
    <w:rsid w:val="00AC5241"/>
    <w:rsid w:val="00AC52BE"/>
    <w:rsid w:val="00AC531E"/>
    <w:rsid w:val="00AC5347"/>
    <w:rsid w:val="00AC53A9"/>
    <w:rsid w:val="00AC54E7"/>
    <w:rsid w:val="00AC5515"/>
    <w:rsid w:val="00AC5528"/>
    <w:rsid w:val="00AC56C0"/>
    <w:rsid w:val="00AC56FF"/>
    <w:rsid w:val="00AC57DE"/>
    <w:rsid w:val="00AC57EB"/>
    <w:rsid w:val="00AC580B"/>
    <w:rsid w:val="00AC58B2"/>
    <w:rsid w:val="00AC58D6"/>
    <w:rsid w:val="00AC5906"/>
    <w:rsid w:val="00AC5A05"/>
    <w:rsid w:val="00AC5AE5"/>
    <w:rsid w:val="00AC5BDF"/>
    <w:rsid w:val="00AC5C48"/>
    <w:rsid w:val="00AC5CAD"/>
    <w:rsid w:val="00AC5D25"/>
    <w:rsid w:val="00AC5DCA"/>
    <w:rsid w:val="00AC5EA3"/>
    <w:rsid w:val="00AC5F86"/>
    <w:rsid w:val="00AC5FF6"/>
    <w:rsid w:val="00AC6089"/>
    <w:rsid w:val="00AC613A"/>
    <w:rsid w:val="00AC6142"/>
    <w:rsid w:val="00AC6234"/>
    <w:rsid w:val="00AC6302"/>
    <w:rsid w:val="00AC6304"/>
    <w:rsid w:val="00AC63DF"/>
    <w:rsid w:val="00AC6465"/>
    <w:rsid w:val="00AC64B0"/>
    <w:rsid w:val="00AC64CB"/>
    <w:rsid w:val="00AC64CE"/>
    <w:rsid w:val="00AC654C"/>
    <w:rsid w:val="00AC659C"/>
    <w:rsid w:val="00AC65FC"/>
    <w:rsid w:val="00AC66A4"/>
    <w:rsid w:val="00AC66AF"/>
    <w:rsid w:val="00AC6774"/>
    <w:rsid w:val="00AC682B"/>
    <w:rsid w:val="00AC6868"/>
    <w:rsid w:val="00AC686D"/>
    <w:rsid w:val="00AC69E1"/>
    <w:rsid w:val="00AC6A1B"/>
    <w:rsid w:val="00AC6A86"/>
    <w:rsid w:val="00AC6AB8"/>
    <w:rsid w:val="00AC6B72"/>
    <w:rsid w:val="00AC6BE3"/>
    <w:rsid w:val="00AC6CC6"/>
    <w:rsid w:val="00AC6D0A"/>
    <w:rsid w:val="00AC6D15"/>
    <w:rsid w:val="00AC6D25"/>
    <w:rsid w:val="00AC6D61"/>
    <w:rsid w:val="00AC6DA1"/>
    <w:rsid w:val="00AC6DAF"/>
    <w:rsid w:val="00AC6DEA"/>
    <w:rsid w:val="00AC6DF4"/>
    <w:rsid w:val="00AC6E1E"/>
    <w:rsid w:val="00AC6E2D"/>
    <w:rsid w:val="00AC6EA2"/>
    <w:rsid w:val="00AC6EA4"/>
    <w:rsid w:val="00AC6F02"/>
    <w:rsid w:val="00AC6F69"/>
    <w:rsid w:val="00AC6F75"/>
    <w:rsid w:val="00AC6FB7"/>
    <w:rsid w:val="00AC70AB"/>
    <w:rsid w:val="00AC70CD"/>
    <w:rsid w:val="00AC70D5"/>
    <w:rsid w:val="00AC7109"/>
    <w:rsid w:val="00AC71C7"/>
    <w:rsid w:val="00AC7252"/>
    <w:rsid w:val="00AC735D"/>
    <w:rsid w:val="00AC73B6"/>
    <w:rsid w:val="00AC740E"/>
    <w:rsid w:val="00AC7491"/>
    <w:rsid w:val="00AC74BF"/>
    <w:rsid w:val="00AC7584"/>
    <w:rsid w:val="00AC760F"/>
    <w:rsid w:val="00AC7636"/>
    <w:rsid w:val="00AC7675"/>
    <w:rsid w:val="00AC76A6"/>
    <w:rsid w:val="00AC76C7"/>
    <w:rsid w:val="00AC772E"/>
    <w:rsid w:val="00AC783D"/>
    <w:rsid w:val="00AC78B2"/>
    <w:rsid w:val="00AC78D8"/>
    <w:rsid w:val="00AC792A"/>
    <w:rsid w:val="00AC7A2F"/>
    <w:rsid w:val="00AC7A5C"/>
    <w:rsid w:val="00AC7A62"/>
    <w:rsid w:val="00AC7A92"/>
    <w:rsid w:val="00AC7B1D"/>
    <w:rsid w:val="00AC7BF4"/>
    <w:rsid w:val="00AC7C84"/>
    <w:rsid w:val="00AC7CD0"/>
    <w:rsid w:val="00AC7CD6"/>
    <w:rsid w:val="00AC7CFA"/>
    <w:rsid w:val="00AC7D9B"/>
    <w:rsid w:val="00AC7DE3"/>
    <w:rsid w:val="00AC7DF7"/>
    <w:rsid w:val="00AC7DFD"/>
    <w:rsid w:val="00AC7E94"/>
    <w:rsid w:val="00AC7ECE"/>
    <w:rsid w:val="00AD0083"/>
    <w:rsid w:val="00AD00EE"/>
    <w:rsid w:val="00AD0109"/>
    <w:rsid w:val="00AD01AF"/>
    <w:rsid w:val="00AD01FF"/>
    <w:rsid w:val="00AD0202"/>
    <w:rsid w:val="00AD0234"/>
    <w:rsid w:val="00AD0292"/>
    <w:rsid w:val="00AD02DB"/>
    <w:rsid w:val="00AD02E3"/>
    <w:rsid w:val="00AD035D"/>
    <w:rsid w:val="00AD037C"/>
    <w:rsid w:val="00AD0400"/>
    <w:rsid w:val="00AD0403"/>
    <w:rsid w:val="00AD04A3"/>
    <w:rsid w:val="00AD0595"/>
    <w:rsid w:val="00AD063B"/>
    <w:rsid w:val="00AD074E"/>
    <w:rsid w:val="00AD0765"/>
    <w:rsid w:val="00AD07B4"/>
    <w:rsid w:val="00AD07C8"/>
    <w:rsid w:val="00AD0922"/>
    <w:rsid w:val="00AD0957"/>
    <w:rsid w:val="00AD0969"/>
    <w:rsid w:val="00AD0AC2"/>
    <w:rsid w:val="00AD0AEF"/>
    <w:rsid w:val="00AD0B35"/>
    <w:rsid w:val="00AD0B41"/>
    <w:rsid w:val="00AD0B44"/>
    <w:rsid w:val="00AD0D3F"/>
    <w:rsid w:val="00AD0E73"/>
    <w:rsid w:val="00AD0EC6"/>
    <w:rsid w:val="00AD0F10"/>
    <w:rsid w:val="00AD0F43"/>
    <w:rsid w:val="00AD0FDE"/>
    <w:rsid w:val="00AD100F"/>
    <w:rsid w:val="00AD10D5"/>
    <w:rsid w:val="00AD110D"/>
    <w:rsid w:val="00AD1212"/>
    <w:rsid w:val="00AD1247"/>
    <w:rsid w:val="00AD1268"/>
    <w:rsid w:val="00AD128C"/>
    <w:rsid w:val="00AD12AF"/>
    <w:rsid w:val="00AD136C"/>
    <w:rsid w:val="00AD13B2"/>
    <w:rsid w:val="00AD13D3"/>
    <w:rsid w:val="00AD1501"/>
    <w:rsid w:val="00AD1506"/>
    <w:rsid w:val="00AD1517"/>
    <w:rsid w:val="00AD154E"/>
    <w:rsid w:val="00AD15B2"/>
    <w:rsid w:val="00AD1634"/>
    <w:rsid w:val="00AD169E"/>
    <w:rsid w:val="00AD16D1"/>
    <w:rsid w:val="00AD16F9"/>
    <w:rsid w:val="00AD1738"/>
    <w:rsid w:val="00AD177B"/>
    <w:rsid w:val="00AD17DC"/>
    <w:rsid w:val="00AD18AA"/>
    <w:rsid w:val="00AD18C1"/>
    <w:rsid w:val="00AD18C5"/>
    <w:rsid w:val="00AD194C"/>
    <w:rsid w:val="00AD1A78"/>
    <w:rsid w:val="00AD1AB9"/>
    <w:rsid w:val="00AD1ABE"/>
    <w:rsid w:val="00AD1B59"/>
    <w:rsid w:val="00AD1C09"/>
    <w:rsid w:val="00AD1D0C"/>
    <w:rsid w:val="00AD1D15"/>
    <w:rsid w:val="00AD1E28"/>
    <w:rsid w:val="00AD1E9B"/>
    <w:rsid w:val="00AD1EB1"/>
    <w:rsid w:val="00AD1EED"/>
    <w:rsid w:val="00AD1EFD"/>
    <w:rsid w:val="00AD1F36"/>
    <w:rsid w:val="00AD1F62"/>
    <w:rsid w:val="00AD1F6A"/>
    <w:rsid w:val="00AD1FB3"/>
    <w:rsid w:val="00AD1FDB"/>
    <w:rsid w:val="00AD203C"/>
    <w:rsid w:val="00AD205A"/>
    <w:rsid w:val="00AD2076"/>
    <w:rsid w:val="00AD207F"/>
    <w:rsid w:val="00AD20A3"/>
    <w:rsid w:val="00AD20BE"/>
    <w:rsid w:val="00AD2154"/>
    <w:rsid w:val="00AD215A"/>
    <w:rsid w:val="00AD2233"/>
    <w:rsid w:val="00AD22A1"/>
    <w:rsid w:val="00AD232B"/>
    <w:rsid w:val="00AD23CE"/>
    <w:rsid w:val="00AD2513"/>
    <w:rsid w:val="00AD25D3"/>
    <w:rsid w:val="00AD25FE"/>
    <w:rsid w:val="00AD2633"/>
    <w:rsid w:val="00AD275D"/>
    <w:rsid w:val="00AD2765"/>
    <w:rsid w:val="00AD2792"/>
    <w:rsid w:val="00AD27A4"/>
    <w:rsid w:val="00AD27B2"/>
    <w:rsid w:val="00AD27BA"/>
    <w:rsid w:val="00AD2814"/>
    <w:rsid w:val="00AD287C"/>
    <w:rsid w:val="00AD29A6"/>
    <w:rsid w:val="00AD2A15"/>
    <w:rsid w:val="00AD2AEC"/>
    <w:rsid w:val="00AD2B1A"/>
    <w:rsid w:val="00AD2B24"/>
    <w:rsid w:val="00AD2B81"/>
    <w:rsid w:val="00AD2B83"/>
    <w:rsid w:val="00AD2B99"/>
    <w:rsid w:val="00AD2BA6"/>
    <w:rsid w:val="00AD2BB9"/>
    <w:rsid w:val="00AD2D06"/>
    <w:rsid w:val="00AD2D28"/>
    <w:rsid w:val="00AD2F2E"/>
    <w:rsid w:val="00AD2F3C"/>
    <w:rsid w:val="00AD2F85"/>
    <w:rsid w:val="00AD2FE9"/>
    <w:rsid w:val="00AD3122"/>
    <w:rsid w:val="00AD3130"/>
    <w:rsid w:val="00AD314F"/>
    <w:rsid w:val="00AD320B"/>
    <w:rsid w:val="00AD321B"/>
    <w:rsid w:val="00AD3273"/>
    <w:rsid w:val="00AD32EA"/>
    <w:rsid w:val="00AD33D4"/>
    <w:rsid w:val="00AD3426"/>
    <w:rsid w:val="00AD345D"/>
    <w:rsid w:val="00AD34AE"/>
    <w:rsid w:val="00AD34D8"/>
    <w:rsid w:val="00AD34F8"/>
    <w:rsid w:val="00AD352B"/>
    <w:rsid w:val="00AD358E"/>
    <w:rsid w:val="00AD35BF"/>
    <w:rsid w:val="00AD37AE"/>
    <w:rsid w:val="00AD37C1"/>
    <w:rsid w:val="00AD3A0F"/>
    <w:rsid w:val="00AD3ACD"/>
    <w:rsid w:val="00AD3AE9"/>
    <w:rsid w:val="00AD3C24"/>
    <w:rsid w:val="00AD3C82"/>
    <w:rsid w:val="00AD3CE0"/>
    <w:rsid w:val="00AD3D09"/>
    <w:rsid w:val="00AD3D41"/>
    <w:rsid w:val="00AD3F87"/>
    <w:rsid w:val="00AD3FDF"/>
    <w:rsid w:val="00AD4025"/>
    <w:rsid w:val="00AD40A3"/>
    <w:rsid w:val="00AD40CB"/>
    <w:rsid w:val="00AD411C"/>
    <w:rsid w:val="00AD413F"/>
    <w:rsid w:val="00AD414E"/>
    <w:rsid w:val="00AD432B"/>
    <w:rsid w:val="00AD445F"/>
    <w:rsid w:val="00AD44FB"/>
    <w:rsid w:val="00AD452B"/>
    <w:rsid w:val="00AD4560"/>
    <w:rsid w:val="00AD45F7"/>
    <w:rsid w:val="00AD46A8"/>
    <w:rsid w:val="00AD474A"/>
    <w:rsid w:val="00AD4769"/>
    <w:rsid w:val="00AD4808"/>
    <w:rsid w:val="00AD480B"/>
    <w:rsid w:val="00AD486C"/>
    <w:rsid w:val="00AD48D5"/>
    <w:rsid w:val="00AD4A3D"/>
    <w:rsid w:val="00AD4C05"/>
    <w:rsid w:val="00AD4C17"/>
    <w:rsid w:val="00AD4C73"/>
    <w:rsid w:val="00AD4C7D"/>
    <w:rsid w:val="00AD4C9D"/>
    <w:rsid w:val="00AD4D48"/>
    <w:rsid w:val="00AD4D51"/>
    <w:rsid w:val="00AD4DCD"/>
    <w:rsid w:val="00AD4E0A"/>
    <w:rsid w:val="00AD4E54"/>
    <w:rsid w:val="00AD4E78"/>
    <w:rsid w:val="00AD4ED3"/>
    <w:rsid w:val="00AD4F0F"/>
    <w:rsid w:val="00AD5008"/>
    <w:rsid w:val="00AD5083"/>
    <w:rsid w:val="00AD50B3"/>
    <w:rsid w:val="00AD513E"/>
    <w:rsid w:val="00AD5183"/>
    <w:rsid w:val="00AD5259"/>
    <w:rsid w:val="00AD5363"/>
    <w:rsid w:val="00AD5371"/>
    <w:rsid w:val="00AD537B"/>
    <w:rsid w:val="00AD53DA"/>
    <w:rsid w:val="00AD53F9"/>
    <w:rsid w:val="00AD540D"/>
    <w:rsid w:val="00AD54A3"/>
    <w:rsid w:val="00AD54D2"/>
    <w:rsid w:val="00AD554B"/>
    <w:rsid w:val="00AD5563"/>
    <w:rsid w:val="00AD557C"/>
    <w:rsid w:val="00AD55B5"/>
    <w:rsid w:val="00AD566E"/>
    <w:rsid w:val="00AD5678"/>
    <w:rsid w:val="00AD5737"/>
    <w:rsid w:val="00AD5788"/>
    <w:rsid w:val="00AD5792"/>
    <w:rsid w:val="00AD5960"/>
    <w:rsid w:val="00AD59B7"/>
    <w:rsid w:val="00AD5ACD"/>
    <w:rsid w:val="00AD5B47"/>
    <w:rsid w:val="00AD5BBA"/>
    <w:rsid w:val="00AD5BF3"/>
    <w:rsid w:val="00AD5C48"/>
    <w:rsid w:val="00AD5D27"/>
    <w:rsid w:val="00AD5D7D"/>
    <w:rsid w:val="00AD5DD3"/>
    <w:rsid w:val="00AD5DE8"/>
    <w:rsid w:val="00AD5E30"/>
    <w:rsid w:val="00AD5E33"/>
    <w:rsid w:val="00AD5E55"/>
    <w:rsid w:val="00AD5EC5"/>
    <w:rsid w:val="00AD5F4F"/>
    <w:rsid w:val="00AD5F83"/>
    <w:rsid w:val="00AD6048"/>
    <w:rsid w:val="00AD6097"/>
    <w:rsid w:val="00AD61C4"/>
    <w:rsid w:val="00AD632F"/>
    <w:rsid w:val="00AD6371"/>
    <w:rsid w:val="00AD63C1"/>
    <w:rsid w:val="00AD6508"/>
    <w:rsid w:val="00AD650A"/>
    <w:rsid w:val="00AD669D"/>
    <w:rsid w:val="00AD66C5"/>
    <w:rsid w:val="00AD6823"/>
    <w:rsid w:val="00AD6917"/>
    <w:rsid w:val="00AD699F"/>
    <w:rsid w:val="00AD6A4F"/>
    <w:rsid w:val="00AD6B30"/>
    <w:rsid w:val="00AD6B65"/>
    <w:rsid w:val="00AD6B67"/>
    <w:rsid w:val="00AD6B85"/>
    <w:rsid w:val="00AD6BF6"/>
    <w:rsid w:val="00AD6C73"/>
    <w:rsid w:val="00AD6C91"/>
    <w:rsid w:val="00AD6CBA"/>
    <w:rsid w:val="00AD6D00"/>
    <w:rsid w:val="00AD6D43"/>
    <w:rsid w:val="00AD6E5C"/>
    <w:rsid w:val="00AD6F08"/>
    <w:rsid w:val="00AD6FCB"/>
    <w:rsid w:val="00AD7028"/>
    <w:rsid w:val="00AD70AD"/>
    <w:rsid w:val="00AD7123"/>
    <w:rsid w:val="00AD71C7"/>
    <w:rsid w:val="00AD71CC"/>
    <w:rsid w:val="00AD726E"/>
    <w:rsid w:val="00AD73A4"/>
    <w:rsid w:val="00AD74AE"/>
    <w:rsid w:val="00AD74EB"/>
    <w:rsid w:val="00AD7549"/>
    <w:rsid w:val="00AD754E"/>
    <w:rsid w:val="00AD7702"/>
    <w:rsid w:val="00AD7739"/>
    <w:rsid w:val="00AD773F"/>
    <w:rsid w:val="00AD7771"/>
    <w:rsid w:val="00AD77C1"/>
    <w:rsid w:val="00AD78DA"/>
    <w:rsid w:val="00AD78FC"/>
    <w:rsid w:val="00AD79BB"/>
    <w:rsid w:val="00AD7A46"/>
    <w:rsid w:val="00AD7A50"/>
    <w:rsid w:val="00AD7B47"/>
    <w:rsid w:val="00AD7B4E"/>
    <w:rsid w:val="00AD7BDA"/>
    <w:rsid w:val="00AD7CEE"/>
    <w:rsid w:val="00AD7DCD"/>
    <w:rsid w:val="00AD7DE9"/>
    <w:rsid w:val="00AD7E06"/>
    <w:rsid w:val="00AD7E4B"/>
    <w:rsid w:val="00AD7E6B"/>
    <w:rsid w:val="00AD7EA9"/>
    <w:rsid w:val="00AD7EC7"/>
    <w:rsid w:val="00AD7F24"/>
    <w:rsid w:val="00AD7F2C"/>
    <w:rsid w:val="00AD7F58"/>
    <w:rsid w:val="00AD7F80"/>
    <w:rsid w:val="00AD7F8C"/>
    <w:rsid w:val="00AD7FED"/>
    <w:rsid w:val="00AE002B"/>
    <w:rsid w:val="00AE0190"/>
    <w:rsid w:val="00AE0212"/>
    <w:rsid w:val="00AE021B"/>
    <w:rsid w:val="00AE0264"/>
    <w:rsid w:val="00AE02AE"/>
    <w:rsid w:val="00AE0338"/>
    <w:rsid w:val="00AE035B"/>
    <w:rsid w:val="00AE0388"/>
    <w:rsid w:val="00AE0420"/>
    <w:rsid w:val="00AE0469"/>
    <w:rsid w:val="00AE04C9"/>
    <w:rsid w:val="00AE0513"/>
    <w:rsid w:val="00AE0531"/>
    <w:rsid w:val="00AE05DA"/>
    <w:rsid w:val="00AE05F1"/>
    <w:rsid w:val="00AE062E"/>
    <w:rsid w:val="00AE0669"/>
    <w:rsid w:val="00AE06A4"/>
    <w:rsid w:val="00AE06AD"/>
    <w:rsid w:val="00AE06BD"/>
    <w:rsid w:val="00AE072A"/>
    <w:rsid w:val="00AE0754"/>
    <w:rsid w:val="00AE076F"/>
    <w:rsid w:val="00AE078F"/>
    <w:rsid w:val="00AE08AA"/>
    <w:rsid w:val="00AE0942"/>
    <w:rsid w:val="00AE098B"/>
    <w:rsid w:val="00AE09E9"/>
    <w:rsid w:val="00AE0A78"/>
    <w:rsid w:val="00AE0AEE"/>
    <w:rsid w:val="00AE0AF2"/>
    <w:rsid w:val="00AE0C82"/>
    <w:rsid w:val="00AE0C95"/>
    <w:rsid w:val="00AE0D24"/>
    <w:rsid w:val="00AE0D7D"/>
    <w:rsid w:val="00AE0DF2"/>
    <w:rsid w:val="00AE0E49"/>
    <w:rsid w:val="00AE0F3D"/>
    <w:rsid w:val="00AE0F40"/>
    <w:rsid w:val="00AE0F5C"/>
    <w:rsid w:val="00AE0F78"/>
    <w:rsid w:val="00AE0F9D"/>
    <w:rsid w:val="00AE0FC0"/>
    <w:rsid w:val="00AE0FE1"/>
    <w:rsid w:val="00AE1024"/>
    <w:rsid w:val="00AE106F"/>
    <w:rsid w:val="00AE10B0"/>
    <w:rsid w:val="00AE11AF"/>
    <w:rsid w:val="00AE11CE"/>
    <w:rsid w:val="00AE11F1"/>
    <w:rsid w:val="00AE121F"/>
    <w:rsid w:val="00AE12B2"/>
    <w:rsid w:val="00AE12E3"/>
    <w:rsid w:val="00AE131B"/>
    <w:rsid w:val="00AE1399"/>
    <w:rsid w:val="00AE13E0"/>
    <w:rsid w:val="00AE1410"/>
    <w:rsid w:val="00AE142B"/>
    <w:rsid w:val="00AE1473"/>
    <w:rsid w:val="00AE15B7"/>
    <w:rsid w:val="00AE1638"/>
    <w:rsid w:val="00AE16A8"/>
    <w:rsid w:val="00AE1753"/>
    <w:rsid w:val="00AE1761"/>
    <w:rsid w:val="00AE1801"/>
    <w:rsid w:val="00AE1814"/>
    <w:rsid w:val="00AE18C5"/>
    <w:rsid w:val="00AE1943"/>
    <w:rsid w:val="00AE1956"/>
    <w:rsid w:val="00AE19E8"/>
    <w:rsid w:val="00AE1A86"/>
    <w:rsid w:val="00AE1A8B"/>
    <w:rsid w:val="00AE1AA7"/>
    <w:rsid w:val="00AE1ABC"/>
    <w:rsid w:val="00AE1B25"/>
    <w:rsid w:val="00AE1B73"/>
    <w:rsid w:val="00AE1C19"/>
    <w:rsid w:val="00AE1C3B"/>
    <w:rsid w:val="00AE1D5E"/>
    <w:rsid w:val="00AE1D8C"/>
    <w:rsid w:val="00AE1DBE"/>
    <w:rsid w:val="00AE1DC0"/>
    <w:rsid w:val="00AE1DD1"/>
    <w:rsid w:val="00AE1EB8"/>
    <w:rsid w:val="00AE1F2B"/>
    <w:rsid w:val="00AE1FBB"/>
    <w:rsid w:val="00AE200B"/>
    <w:rsid w:val="00AE2055"/>
    <w:rsid w:val="00AE2063"/>
    <w:rsid w:val="00AE238D"/>
    <w:rsid w:val="00AE240F"/>
    <w:rsid w:val="00AE2418"/>
    <w:rsid w:val="00AE241B"/>
    <w:rsid w:val="00AE251F"/>
    <w:rsid w:val="00AE25A2"/>
    <w:rsid w:val="00AE261C"/>
    <w:rsid w:val="00AE268A"/>
    <w:rsid w:val="00AE26CC"/>
    <w:rsid w:val="00AE2713"/>
    <w:rsid w:val="00AE2736"/>
    <w:rsid w:val="00AE27F0"/>
    <w:rsid w:val="00AE285F"/>
    <w:rsid w:val="00AE2885"/>
    <w:rsid w:val="00AE28A3"/>
    <w:rsid w:val="00AE28A6"/>
    <w:rsid w:val="00AE28BD"/>
    <w:rsid w:val="00AE29C1"/>
    <w:rsid w:val="00AE2A05"/>
    <w:rsid w:val="00AE2A23"/>
    <w:rsid w:val="00AE2AA0"/>
    <w:rsid w:val="00AE2AD2"/>
    <w:rsid w:val="00AE2AFA"/>
    <w:rsid w:val="00AE2B0A"/>
    <w:rsid w:val="00AE2BA0"/>
    <w:rsid w:val="00AE2BE4"/>
    <w:rsid w:val="00AE2CEE"/>
    <w:rsid w:val="00AE2D1A"/>
    <w:rsid w:val="00AE2D41"/>
    <w:rsid w:val="00AE2D8A"/>
    <w:rsid w:val="00AE2F15"/>
    <w:rsid w:val="00AE2F3C"/>
    <w:rsid w:val="00AE2F3D"/>
    <w:rsid w:val="00AE2FFA"/>
    <w:rsid w:val="00AE3061"/>
    <w:rsid w:val="00AE30A0"/>
    <w:rsid w:val="00AE30EB"/>
    <w:rsid w:val="00AE312D"/>
    <w:rsid w:val="00AE313D"/>
    <w:rsid w:val="00AE3141"/>
    <w:rsid w:val="00AE31E5"/>
    <w:rsid w:val="00AE31F6"/>
    <w:rsid w:val="00AE31FB"/>
    <w:rsid w:val="00AE3415"/>
    <w:rsid w:val="00AE3463"/>
    <w:rsid w:val="00AE360A"/>
    <w:rsid w:val="00AE36B5"/>
    <w:rsid w:val="00AE36CA"/>
    <w:rsid w:val="00AE36DC"/>
    <w:rsid w:val="00AE3706"/>
    <w:rsid w:val="00AE38E5"/>
    <w:rsid w:val="00AE38F0"/>
    <w:rsid w:val="00AE395D"/>
    <w:rsid w:val="00AE39D6"/>
    <w:rsid w:val="00AE39DD"/>
    <w:rsid w:val="00AE3A91"/>
    <w:rsid w:val="00AE3AB4"/>
    <w:rsid w:val="00AE3BE3"/>
    <w:rsid w:val="00AE3C57"/>
    <w:rsid w:val="00AE3CE0"/>
    <w:rsid w:val="00AE3D3D"/>
    <w:rsid w:val="00AE3D68"/>
    <w:rsid w:val="00AE3E5B"/>
    <w:rsid w:val="00AE3E66"/>
    <w:rsid w:val="00AE3E79"/>
    <w:rsid w:val="00AE3E8A"/>
    <w:rsid w:val="00AE3EE3"/>
    <w:rsid w:val="00AE3F79"/>
    <w:rsid w:val="00AE3FBD"/>
    <w:rsid w:val="00AE4039"/>
    <w:rsid w:val="00AE40D7"/>
    <w:rsid w:val="00AE4132"/>
    <w:rsid w:val="00AE415A"/>
    <w:rsid w:val="00AE41C2"/>
    <w:rsid w:val="00AE41D4"/>
    <w:rsid w:val="00AE436C"/>
    <w:rsid w:val="00AE4382"/>
    <w:rsid w:val="00AE450B"/>
    <w:rsid w:val="00AE451F"/>
    <w:rsid w:val="00AE4544"/>
    <w:rsid w:val="00AE45F4"/>
    <w:rsid w:val="00AE45F7"/>
    <w:rsid w:val="00AE461C"/>
    <w:rsid w:val="00AE46B9"/>
    <w:rsid w:val="00AE475A"/>
    <w:rsid w:val="00AE47C3"/>
    <w:rsid w:val="00AE49BF"/>
    <w:rsid w:val="00AE4A10"/>
    <w:rsid w:val="00AE4A3A"/>
    <w:rsid w:val="00AE4B7E"/>
    <w:rsid w:val="00AE4BC3"/>
    <w:rsid w:val="00AE4BF8"/>
    <w:rsid w:val="00AE4C0A"/>
    <w:rsid w:val="00AE4C1C"/>
    <w:rsid w:val="00AE4CC4"/>
    <w:rsid w:val="00AE4CCD"/>
    <w:rsid w:val="00AE4DA7"/>
    <w:rsid w:val="00AE4DCD"/>
    <w:rsid w:val="00AE4FEB"/>
    <w:rsid w:val="00AE507D"/>
    <w:rsid w:val="00AE51AD"/>
    <w:rsid w:val="00AE520A"/>
    <w:rsid w:val="00AE5213"/>
    <w:rsid w:val="00AE526D"/>
    <w:rsid w:val="00AE52FC"/>
    <w:rsid w:val="00AE52FF"/>
    <w:rsid w:val="00AE5389"/>
    <w:rsid w:val="00AE540B"/>
    <w:rsid w:val="00AE54A2"/>
    <w:rsid w:val="00AE54F1"/>
    <w:rsid w:val="00AE552E"/>
    <w:rsid w:val="00AE5584"/>
    <w:rsid w:val="00AE5604"/>
    <w:rsid w:val="00AE5636"/>
    <w:rsid w:val="00AE56FF"/>
    <w:rsid w:val="00AE5767"/>
    <w:rsid w:val="00AE5832"/>
    <w:rsid w:val="00AE5872"/>
    <w:rsid w:val="00AE58A2"/>
    <w:rsid w:val="00AE58B7"/>
    <w:rsid w:val="00AE5ACA"/>
    <w:rsid w:val="00AE5B16"/>
    <w:rsid w:val="00AE5BC8"/>
    <w:rsid w:val="00AE5BEA"/>
    <w:rsid w:val="00AE5C99"/>
    <w:rsid w:val="00AE5CD0"/>
    <w:rsid w:val="00AE5E6E"/>
    <w:rsid w:val="00AE5E8F"/>
    <w:rsid w:val="00AE5F54"/>
    <w:rsid w:val="00AE601F"/>
    <w:rsid w:val="00AE60CC"/>
    <w:rsid w:val="00AE60FB"/>
    <w:rsid w:val="00AE6102"/>
    <w:rsid w:val="00AE6279"/>
    <w:rsid w:val="00AE627B"/>
    <w:rsid w:val="00AE629F"/>
    <w:rsid w:val="00AE62F5"/>
    <w:rsid w:val="00AE63BD"/>
    <w:rsid w:val="00AE6437"/>
    <w:rsid w:val="00AE6469"/>
    <w:rsid w:val="00AE6546"/>
    <w:rsid w:val="00AE6566"/>
    <w:rsid w:val="00AE6659"/>
    <w:rsid w:val="00AE66EE"/>
    <w:rsid w:val="00AE6715"/>
    <w:rsid w:val="00AE6770"/>
    <w:rsid w:val="00AE67FE"/>
    <w:rsid w:val="00AE6A73"/>
    <w:rsid w:val="00AE6AB4"/>
    <w:rsid w:val="00AE6C61"/>
    <w:rsid w:val="00AE6CB5"/>
    <w:rsid w:val="00AE6D9F"/>
    <w:rsid w:val="00AE6E7B"/>
    <w:rsid w:val="00AE6E7D"/>
    <w:rsid w:val="00AE6E7E"/>
    <w:rsid w:val="00AE6ECE"/>
    <w:rsid w:val="00AE6F0E"/>
    <w:rsid w:val="00AE6FA0"/>
    <w:rsid w:val="00AE6FAA"/>
    <w:rsid w:val="00AE6FF7"/>
    <w:rsid w:val="00AE7071"/>
    <w:rsid w:val="00AE7090"/>
    <w:rsid w:val="00AE72B5"/>
    <w:rsid w:val="00AE72E9"/>
    <w:rsid w:val="00AE734B"/>
    <w:rsid w:val="00AE735A"/>
    <w:rsid w:val="00AE7391"/>
    <w:rsid w:val="00AE73FB"/>
    <w:rsid w:val="00AE740A"/>
    <w:rsid w:val="00AE7410"/>
    <w:rsid w:val="00AE7464"/>
    <w:rsid w:val="00AE7554"/>
    <w:rsid w:val="00AE76FB"/>
    <w:rsid w:val="00AE7705"/>
    <w:rsid w:val="00AE7711"/>
    <w:rsid w:val="00AE7789"/>
    <w:rsid w:val="00AE77AA"/>
    <w:rsid w:val="00AE7813"/>
    <w:rsid w:val="00AE789F"/>
    <w:rsid w:val="00AE7907"/>
    <w:rsid w:val="00AE7A24"/>
    <w:rsid w:val="00AE7AD7"/>
    <w:rsid w:val="00AE7AF4"/>
    <w:rsid w:val="00AE7C57"/>
    <w:rsid w:val="00AE7C84"/>
    <w:rsid w:val="00AE7CA7"/>
    <w:rsid w:val="00AE7D02"/>
    <w:rsid w:val="00AE7D1F"/>
    <w:rsid w:val="00AE7D84"/>
    <w:rsid w:val="00AE7DD2"/>
    <w:rsid w:val="00AE7DDC"/>
    <w:rsid w:val="00AE7E10"/>
    <w:rsid w:val="00AE7E1F"/>
    <w:rsid w:val="00AE7EFD"/>
    <w:rsid w:val="00AE7FCE"/>
    <w:rsid w:val="00AE7FE3"/>
    <w:rsid w:val="00AE7FF0"/>
    <w:rsid w:val="00AF00F4"/>
    <w:rsid w:val="00AF0110"/>
    <w:rsid w:val="00AF01DC"/>
    <w:rsid w:val="00AF0280"/>
    <w:rsid w:val="00AF02AB"/>
    <w:rsid w:val="00AF0307"/>
    <w:rsid w:val="00AF0365"/>
    <w:rsid w:val="00AF0384"/>
    <w:rsid w:val="00AF0400"/>
    <w:rsid w:val="00AF0408"/>
    <w:rsid w:val="00AF0437"/>
    <w:rsid w:val="00AF045E"/>
    <w:rsid w:val="00AF0483"/>
    <w:rsid w:val="00AF04CC"/>
    <w:rsid w:val="00AF0514"/>
    <w:rsid w:val="00AF0524"/>
    <w:rsid w:val="00AF068F"/>
    <w:rsid w:val="00AF069E"/>
    <w:rsid w:val="00AF06A4"/>
    <w:rsid w:val="00AF06C7"/>
    <w:rsid w:val="00AF06F1"/>
    <w:rsid w:val="00AF0711"/>
    <w:rsid w:val="00AF0766"/>
    <w:rsid w:val="00AF0818"/>
    <w:rsid w:val="00AF08ED"/>
    <w:rsid w:val="00AF0986"/>
    <w:rsid w:val="00AF0A71"/>
    <w:rsid w:val="00AF0A7A"/>
    <w:rsid w:val="00AF0B0E"/>
    <w:rsid w:val="00AF0B79"/>
    <w:rsid w:val="00AF0B89"/>
    <w:rsid w:val="00AF0C3E"/>
    <w:rsid w:val="00AF0CF1"/>
    <w:rsid w:val="00AF0D25"/>
    <w:rsid w:val="00AF0D3C"/>
    <w:rsid w:val="00AF0D9C"/>
    <w:rsid w:val="00AF0E18"/>
    <w:rsid w:val="00AF0E3D"/>
    <w:rsid w:val="00AF0F44"/>
    <w:rsid w:val="00AF1118"/>
    <w:rsid w:val="00AF11BA"/>
    <w:rsid w:val="00AF121F"/>
    <w:rsid w:val="00AF122B"/>
    <w:rsid w:val="00AF125C"/>
    <w:rsid w:val="00AF134F"/>
    <w:rsid w:val="00AF1382"/>
    <w:rsid w:val="00AF1485"/>
    <w:rsid w:val="00AF1495"/>
    <w:rsid w:val="00AF1835"/>
    <w:rsid w:val="00AF18B2"/>
    <w:rsid w:val="00AF18EA"/>
    <w:rsid w:val="00AF19D3"/>
    <w:rsid w:val="00AF19D5"/>
    <w:rsid w:val="00AF1A07"/>
    <w:rsid w:val="00AF1A13"/>
    <w:rsid w:val="00AF1AC4"/>
    <w:rsid w:val="00AF1B79"/>
    <w:rsid w:val="00AF1B7C"/>
    <w:rsid w:val="00AF1C1E"/>
    <w:rsid w:val="00AF1D4D"/>
    <w:rsid w:val="00AF1E06"/>
    <w:rsid w:val="00AF1E17"/>
    <w:rsid w:val="00AF1EAB"/>
    <w:rsid w:val="00AF1F8E"/>
    <w:rsid w:val="00AF1FAE"/>
    <w:rsid w:val="00AF2002"/>
    <w:rsid w:val="00AF2024"/>
    <w:rsid w:val="00AF208B"/>
    <w:rsid w:val="00AF21E1"/>
    <w:rsid w:val="00AF2328"/>
    <w:rsid w:val="00AF23E3"/>
    <w:rsid w:val="00AF23FB"/>
    <w:rsid w:val="00AF2400"/>
    <w:rsid w:val="00AF2478"/>
    <w:rsid w:val="00AF24AA"/>
    <w:rsid w:val="00AF24CE"/>
    <w:rsid w:val="00AF24F6"/>
    <w:rsid w:val="00AF25AE"/>
    <w:rsid w:val="00AF2710"/>
    <w:rsid w:val="00AF27A6"/>
    <w:rsid w:val="00AF27C0"/>
    <w:rsid w:val="00AF2962"/>
    <w:rsid w:val="00AF2984"/>
    <w:rsid w:val="00AF2A3F"/>
    <w:rsid w:val="00AF2A78"/>
    <w:rsid w:val="00AF2B0E"/>
    <w:rsid w:val="00AF2B13"/>
    <w:rsid w:val="00AF2B58"/>
    <w:rsid w:val="00AF2B91"/>
    <w:rsid w:val="00AF2C83"/>
    <w:rsid w:val="00AF2CA6"/>
    <w:rsid w:val="00AF2D57"/>
    <w:rsid w:val="00AF2DD9"/>
    <w:rsid w:val="00AF2E59"/>
    <w:rsid w:val="00AF2E69"/>
    <w:rsid w:val="00AF2F47"/>
    <w:rsid w:val="00AF301A"/>
    <w:rsid w:val="00AF301D"/>
    <w:rsid w:val="00AF306F"/>
    <w:rsid w:val="00AF30BC"/>
    <w:rsid w:val="00AF3230"/>
    <w:rsid w:val="00AF3251"/>
    <w:rsid w:val="00AF3273"/>
    <w:rsid w:val="00AF338D"/>
    <w:rsid w:val="00AF3398"/>
    <w:rsid w:val="00AF33E8"/>
    <w:rsid w:val="00AF3435"/>
    <w:rsid w:val="00AF345B"/>
    <w:rsid w:val="00AF3483"/>
    <w:rsid w:val="00AF34A9"/>
    <w:rsid w:val="00AF34B6"/>
    <w:rsid w:val="00AF357B"/>
    <w:rsid w:val="00AF364E"/>
    <w:rsid w:val="00AF3656"/>
    <w:rsid w:val="00AF36C3"/>
    <w:rsid w:val="00AF3703"/>
    <w:rsid w:val="00AF37B5"/>
    <w:rsid w:val="00AF37C3"/>
    <w:rsid w:val="00AF3810"/>
    <w:rsid w:val="00AF381A"/>
    <w:rsid w:val="00AF3820"/>
    <w:rsid w:val="00AF38EF"/>
    <w:rsid w:val="00AF3910"/>
    <w:rsid w:val="00AF399A"/>
    <w:rsid w:val="00AF39EA"/>
    <w:rsid w:val="00AF39F4"/>
    <w:rsid w:val="00AF3A51"/>
    <w:rsid w:val="00AF3A5B"/>
    <w:rsid w:val="00AF3A7A"/>
    <w:rsid w:val="00AF3AC1"/>
    <w:rsid w:val="00AF3AF3"/>
    <w:rsid w:val="00AF3B69"/>
    <w:rsid w:val="00AF3CF4"/>
    <w:rsid w:val="00AF3D1C"/>
    <w:rsid w:val="00AF3D81"/>
    <w:rsid w:val="00AF3E56"/>
    <w:rsid w:val="00AF3E95"/>
    <w:rsid w:val="00AF3ED5"/>
    <w:rsid w:val="00AF3ED9"/>
    <w:rsid w:val="00AF3EE4"/>
    <w:rsid w:val="00AF3F3B"/>
    <w:rsid w:val="00AF3F80"/>
    <w:rsid w:val="00AF4034"/>
    <w:rsid w:val="00AF404C"/>
    <w:rsid w:val="00AF40DA"/>
    <w:rsid w:val="00AF40F1"/>
    <w:rsid w:val="00AF417A"/>
    <w:rsid w:val="00AF41E5"/>
    <w:rsid w:val="00AF4283"/>
    <w:rsid w:val="00AF42D6"/>
    <w:rsid w:val="00AF4329"/>
    <w:rsid w:val="00AF432A"/>
    <w:rsid w:val="00AF439E"/>
    <w:rsid w:val="00AF43A1"/>
    <w:rsid w:val="00AF43F6"/>
    <w:rsid w:val="00AF4428"/>
    <w:rsid w:val="00AF44D3"/>
    <w:rsid w:val="00AF4630"/>
    <w:rsid w:val="00AF46D2"/>
    <w:rsid w:val="00AF4726"/>
    <w:rsid w:val="00AF4740"/>
    <w:rsid w:val="00AF4859"/>
    <w:rsid w:val="00AF493B"/>
    <w:rsid w:val="00AF49FA"/>
    <w:rsid w:val="00AF4B5C"/>
    <w:rsid w:val="00AF4B62"/>
    <w:rsid w:val="00AF4B8D"/>
    <w:rsid w:val="00AF4BCB"/>
    <w:rsid w:val="00AF4BF0"/>
    <w:rsid w:val="00AF4C47"/>
    <w:rsid w:val="00AF4C93"/>
    <w:rsid w:val="00AF4CA5"/>
    <w:rsid w:val="00AF4D27"/>
    <w:rsid w:val="00AF4D59"/>
    <w:rsid w:val="00AF4D78"/>
    <w:rsid w:val="00AF4DF8"/>
    <w:rsid w:val="00AF4E53"/>
    <w:rsid w:val="00AF4F09"/>
    <w:rsid w:val="00AF4F1A"/>
    <w:rsid w:val="00AF4F20"/>
    <w:rsid w:val="00AF5099"/>
    <w:rsid w:val="00AF50D5"/>
    <w:rsid w:val="00AF5106"/>
    <w:rsid w:val="00AF5156"/>
    <w:rsid w:val="00AF5186"/>
    <w:rsid w:val="00AF51FB"/>
    <w:rsid w:val="00AF524E"/>
    <w:rsid w:val="00AF5274"/>
    <w:rsid w:val="00AF52B1"/>
    <w:rsid w:val="00AF5308"/>
    <w:rsid w:val="00AF5332"/>
    <w:rsid w:val="00AF538C"/>
    <w:rsid w:val="00AF5537"/>
    <w:rsid w:val="00AF5551"/>
    <w:rsid w:val="00AF55BB"/>
    <w:rsid w:val="00AF55DA"/>
    <w:rsid w:val="00AF5625"/>
    <w:rsid w:val="00AF5660"/>
    <w:rsid w:val="00AF5690"/>
    <w:rsid w:val="00AF56C7"/>
    <w:rsid w:val="00AF56F8"/>
    <w:rsid w:val="00AF571C"/>
    <w:rsid w:val="00AF5974"/>
    <w:rsid w:val="00AF599C"/>
    <w:rsid w:val="00AF5A15"/>
    <w:rsid w:val="00AF5A32"/>
    <w:rsid w:val="00AF5A52"/>
    <w:rsid w:val="00AF5B07"/>
    <w:rsid w:val="00AF5B27"/>
    <w:rsid w:val="00AF5B8B"/>
    <w:rsid w:val="00AF5B96"/>
    <w:rsid w:val="00AF5BE5"/>
    <w:rsid w:val="00AF5C0A"/>
    <w:rsid w:val="00AF5C86"/>
    <w:rsid w:val="00AF5C99"/>
    <w:rsid w:val="00AF5D24"/>
    <w:rsid w:val="00AF5D69"/>
    <w:rsid w:val="00AF5F07"/>
    <w:rsid w:val="00AF6033"/>
    <w:rsid w:val="00AF6043"/>
    <w:rsid w:val="00AF605D"/>
    <w:rsid w:val="00AF60B1"/>
    <w:rsid w:val="00AF619D"/>
    <w:rsid w:val="00AF61E5"/>
    <w:rsid w:val="00AF624B"/>
    <w:rsid w:val="00AF62D4"/>
    <w:rsid w:val="00AF638D"/>
    <w:rsid w:val="00AF63D2"/>
    <w:rsid w:val="00AF658A"/>
    <w:rsid w:val="00AF65B5"/>
    <w:rsid w:val="00AF6663"/>
    <w:rsid w:val="00AF6793"/>
    <w:rsid w:val="00AF6815"/>
    <w:rsid w:val="00AF689F"/>
    <w:rsid w:val="00AF68C6"/>
    <w:rsid w:val="00AF6978"/>
    <w:rsid w:val="00AF69AB"/>
    <w:rsid w:val="00AF69F3"/>
    <w:rsid w:val="00AF6ADC"/>
    <w:rsid w:val="00AF6B4C"/>
    <w:rsid w:val="00AF6B56"/>
    <w:rsid w:val="00AF6B87"/>
    <w:rsid w:val="00AF6BAE"/>
    <w:rsid w:val="00AF6C57"/>
    <w:rsid w:val="00AF6D09"/>
    <w:rsid w:val="00AF6DF1"/>
    <w:rsid w:val="00AF6E93"/>
    <w:rsid w:val="00AF6F2C"/>
    <w:rsid w:val="00AF7073"/>
    <w:rsid w:val="00AF7083"/>
    <w:rsid w:val="00AF71A4"/>
    <w:rsid w:val="00AF7213"/>
    <w:rsid w:val="00AF7214"/>
    <w:rsid w:val="00AF7244"/>
    <w:rsid w:val="00AF725D"/>
    <w:rsid w:val="00AF72BF"/>
    <w:rsid w:val="00AF7311"/>
    <w:rsid w:val="00AF732F"/>
    <w:rsid w:val="00AF7369"/>
    <w:rsid w:val="00AF73A5"/>
    <w:rsid w:val="00AF73CC"/>
    <w:rsid w:val="00AF741E"/>
    <w:rsid w:val="00AF7457"/>
    <w:rsid w:val="00AF7472"/>
    <w:rsid w:val="00AF74D4"/>
    <w:rsid w:val="00AF7532"/>
    <w:rsid w:val="00AF75D1"/>
    <w:rsid w:val="00AF7673"/>
    <w:rsid w:val="00AF76B3"/>
    <w:rsid w:val="00AF772E"/>
    <w:rsid w:val="00AF7745"/>
    <w:rsid w:val="00AF7778"/>
    <w:rsid w:val="00AF7789"/>
    <w:rsid w:val="00AF78F8"/>
    <w:rsid w:val="00AF79BA"/>
    <w:rsid w:val="00AF79C2"/>
    <w:rsid w:val="00AF7A16"/>
    <w:rsid w:val="00AF7A68"/>
    <w:rsid w:val="00AF7A73"/>
    <w:rsid w:val="00AF7B5E"/>
    <w:rsid w:val="00AF7BF1"/>
    <w:rsid w:val="00AF7C3B"/>
    <w:rsid w:val="00AF7D60"/>
    <w:rsid w:val="00AF7DC7"/>
    <w:rsid w:val="00AF7DF6"/>
    <w:rsid w:val="00AF7E94"/>
    <w:rsid w:val="00B00039"/>
    <w:rsid w:val="00B0003E"/>
    <w:rsid w:val="00B000A5"/>
    <w:rsid w:val="00B000F4"/>
    <w:rsid w:val="00B0017F"/>
    <w:rsid w:val="00B00181"/>
    <w:rsid w:val="00B0019A"/>
    <w:rsid w:val="00B001D8"/>
    <w:rsid w:val="00B0020D"/>
    <w:rsid w:val="00B0022A"/>
    <w:rsid w:val="00B00298"/>
    <w:rsid w:val="00B002BD"/>
    <w:rsid w:val="00B002ED"/>
    <w:rsid w:val="00B0030A"/>
    <w:rsid w:val="00B00332"/>
    <w:rsid w:val="00B00380"/>
    <w:rsid w:val="00B003D8"/>
    <w:rsid w:val="00B0048D"/>
    <w:rsid w:val="00B004B7"/>
    <w:rsid w:val="00B004BC"/>
    <w:rsid w:val="00B0050B"/>
    <w:rsid w:val="00B0054C"/>
    <w:rsid w:val="00B0058D"/>
    <w:rsid w:val="00B0059E"/>
    <w:rsid w:val="00B006F4"/>
    <w:rsid w:val="00B00784"/>
    <w:rsid w:val="00B007D0"/>
    <w:rsid w:val="00B00853"/>
    <w:rsid w:val="00B00989"/>
    <w:rsid w:val="00B00A36"/>
    <w:rsid w:val="00B00ACC"/>
    <w:rsid w:val="00B00AD1"/>
    <w:rsid w:val="00B00AD4"/>
    <w:rsid w:val="00B00B4B"/>
    <w:rsid w:val="00B00BE7"/>
    <w:rsid w:val="00B00C40"/>
    <w:rsid w:val="00B00CE3"/>
    <w:rsid w:val="00B00CE6"/>
    <w:rsid w:val="00B00D56"/>
    <w:rsid w:val="00B00D88"/>
    <w:rsid w:val="00B00DE1"/>
    <w:rsid w:val="00B00E1E"/>
    <w:rsid w:val="00B00E23"/>
    <w:rsid w:val="00B00E9D"/>
    <w:rsid w:val="00B00EDD"/>
    <w:rsid w:val="00B00F0B"/>
    <w:rsid w:val="00B00FD6"/>
    <w:rsid w:val="00B00FF5"/>
    <w:rsid w:val="00B0108B"/>
    <w:rsid w:val="00B010D0"/>
    <w:rsid w:val="00B01107"/>
    <w:rsid w:val="00B01148"/>
    <w:rsid w:val="00B011FB"/>
    <w:rsid w:val="00B01263"/>
    <w:rsid w:val="00B012CD"/>
    <w:rsid w:val="00B013C2"/>
    <w:rsid w:val="00B0142F"/>
    <w:rsid w:val="00B014B1"/>
    <w:rsid w:val="00B01521"/>
    <w:rsid w:val="00B0158C"/>
    <w:rsid w:val="00B01603"/>
    <w:rsid w:val="00B016B6"/>
    <w:rsid w:val="00B01916"/>
    <w:rsid w:val="00B0191A"/>
    <w:rsid w:val="00B019C9"/>
    <w:rsid w:val="00B01A71"/>
    <w:rsid w:val="00B01B8C"/>
    <w:rsid w:val="00B01B8D"/>
    <w:rsid w:val="00B01C2E"/>
    <w:rsid w:val="00B01C71"/>
    <w:rsid w:val="00B01C73"/>
    <w:rsid w:val="00B01CA9"/>
    <w:rsid w:val="00B01CD9"/>
    <w:rsid w:val="00B01D7C"/>
    <w:rsid w:val="00B01DD0"/>
    <w:rsid w:val="00B01E02"/>
    <w:rsid w:val="00B01E2C"/>
    <w:rsid w:val="00B01EE8"/>
    <w:rsid w:val="00B01F66"/>
    <w:rsid w:val="00B0217B"/>
    <w:rsid w:val="00B021D9"/>
    <w:rsid w:val="00B02202"/>
    <w:rsid w:val="00B02206"/>
    <w:rsid w:val="00B022A8"/>
    <w:rsid w:val="00B0235F"/>
    <w:rsid w:val="00B023A6"/>
    <w:rsid w:val="00B023C0"/>
    <w:rsid w:val="00B0240D"/>
    <w:rsid w:val="00B024B9"/>
    <w:rsid w:val="00B0253D"/>
    <w:rsid w:val="00B02546"/>
    <w:rsid w:val="00B025B3"/>
    <w:rsid w:val="00B025C5"/>
    <w:rsid w:val="00B02740"/>
    <w:rsid w:val="00B02790"/>
    <w:rsid w:val="00B027AB"/>
    <w:rsid w:val="00B0285E"/>
    <w:rsid w:val="00B02869"/>
    <w:rsid w:val="00B02984"/>
    <w:rsid w:val="00B02A06"/>
    <w:rsid w:val="00B02A1C"/>
    <w:rsid w:val="00B02A3F"/>
    <w:rsid w:val="00B02A80"/>
    <w:rsid w:val="00B02AB4"/>
    <w:rsid w:val="00B02B10"/>
    <w:rsid w:val="00B02B35"/>
    <w:rsid w:val="00B02BCF"/>
    <w:rsid w:val="00B02BE9"/>
    <w:rsid w:val="00B02BEA"/>
    <w:rsid w:val="00B02C17"/>
    <w:rsid w:val="00B02CF7"/>
    <w:rsid w:val="00B02D33"/>
    <w:rsid w:val="00B02DCE"/>
    <w:rsid w:val="00B02E36"/>
    <w:rsid w:val="00B02E63"/>
    <w:rsid w:val="00B02F34"/>
    <w:rsid w:val="00B02F5F"/>
    <w:rsid w:val="00B02FC8"/>
    <w:rsid w:val="00B02FCA"/>
    <w:rsid w:val="00B03107"/>
    <w:rsid w:val="00B031A3"/>
    <w:rsid w:val="00B03209"/>
    <w:rsid w:val="00B03346"/>
    <w:rsid w:val="00B0334C"/>
    <w:rsid w:val="00B033E9"/>
    <w:rsid w:val="00B0346A"/>
    <w:rsid w:val="00B034E3"/>
    <w:rsid w:val="00B0357C"/>
    <w:rsid w:val="00B0377C"/>
    <w:rsid w:val="00B0380C"/>
    <w:rsid w:val="00B03A1C"/>
    <w:rsid w:val="00B03AC6"/>
    <w:rsid w:val="00B03ADE"/>
    <w:rsid w:val="00B03B02"/>
    <w:rsid w:val="00B03B2B"/>
    <w:rsid w:val="00B03CAC"/>
    <w:rsid w:val="00B03CEB"/>
    <w:rsid w:val="00B03D92"/>
    <w:rsid w:val="00B03DA2"/>
    <w:rsid w:val="00B03EB0"/>
    <w:rsid w:val="00B03EC1"/>
    <w:rsid w:val="00B03F1E"/>
    <w:rsid w:val="00B03F91"/>
    <w:rsid w:val="00B0400E"/>
    <w:rsid w:val="00B04022"/>
    <w:rsid w:val="00B040F5"/>
    <w:rsid w:val="00B0413D"/>
    <w:rsid w:val="00B0416E"/>
    <w:rsid w:val="00B04184"/>
    <w:rsid w:val="00B042EA"/>
    <w:rsid w:val="00B042EE"/>
    <w:rsid w:val="00B0436C"/>
    <w:rsid w:val="00B04382"/>
    <w:rsid w:val="00B04482"/>
    <w:rsid w:val="00B04547"/>
    <w:rsid w:val="00B0456C"/>
    <w:rsid w:val="00B0459E"/>
    <w:rsid w:val="00B046AC"/>
    <w:rsid w:val="00B046E3"/>
    <w:rsid w:val="00B0470E"/>
    <w:rsid w:val="00B047D8"/>
    <w:rsid w:val="00B04820"/>
    <w:rsid w:val="00B0484C"/>
    <w:rsid w:val="00B04866"/>
    <w:rsid w:val="00B0488A"/>
    <w:rsid w:val="00B048A1"/>
    <w:rsid w:val="00B04940"/>
    <w:rsid w:val="00B0497B"/>
    <w:rsid w:val="00B049C7"/>
    <w:rsid w:val="00B04A88"/>
    <w:rsid w:val="00B04AD5"/>
    <w:rsid w:val="00B04ADB"/>
    <w:rsid w:val="00B04B09"/>
    <w:rsid w:val="00B04B64"/>
    <w:rsid w:val="00B04C22"/>
    <w:rsid w:val="00B04C29"/>
    <w:rsid w:val="00B04CDB"/>
    <w:rsid w:val="00B04CF0"/>
    <w:rsid w:val="00B04DA4"/>
    <w:rsid w:val="00B04DF5"/>
    <w:rsid w:val="00B04E59"/>
    <w:rsid w:val="00B04ED0"/>
    <w:rsid w:val="00B04EDB"/>
    <w:rsid w:val="00B04EDF"/>
    <w:rsid w:val="00B04EEB"/>
    <w:rsid w:val="00B04F04"/>
    <w:rsid w:val="00B04FF0"/>
    <w:rsid w:val="00B05010"/>
    <w:rsid w:val="00B0504E"/>
    <w:rsid w:val="00B05055"/>
    <w:rsid w:val="00B0505A"/>
    <w:rsid w:val="00B0508D"/>
    <w:rsid w:val="00B050B3"/>
    <w:rsid w:val="00B050BE"/>
    <w:rsid w:val="00B05135"/>
    <w:rsid w:val="00B05162"/>
    <w:rsid w:val="00B0523D"/>
    <w:rsid w:val="00B05304"/>
    <w:rsid w:val="00B05373"/>
    <w:rsid w:val="00B053D2"/>
    <w:rsid w:val="00B0547A"/>
    <w:rsid w:val="00B05524"/>
    <w:rsid w:val="00B0553E"/>
    <w:rsid w:val="00B055AF"/>
    <w:rsid w:val="00B05603"/>
    <w:rsid w:val="00B0567C"/>
    <w:rsid w:val="00B056A5"/>
    <w:rsid w:val="00B056F6"/>
    <w:rsid w:val="00B05710"/>
    <w:rsid w:val="00B05814"/>
    <w:rsid w:val="00B05834"/>
    <w:rsid w:val="00B05863"/>
    <w:rsid w:val="00B05868"/>
    <w:rsid w:val="00B05903"/>
    <w:rsid w:val="00B0594D"/>
    <w:rsid w:val="00B059DA"/>
    <w:rsid w:val="00B05A9C"/>
    <w:rsid w:val="00B05AB2"/>
    <w:rsid w:val="00B05B70"/>
    <w:rsid w:val="00B05BEA"/>
    <w:rsid w:val="00B05C20"/>
    <w:rsid w:val="00B05C23"/>
    <w:rsid w:val="00B05C25"/>
    <w:rsid w:val="00B05C2A"/>
    <w:rsid w:val="00B05C6C"/>
    <w:rsid w:val="00B05CA5"/>
    <w:rsid w:val="00B05D08"/>
    <w:rsid w:val="00B05D56"/>
    <w:rsid w:val="00B05D68"/>
    <w:rsid w:val="00B05D7C"/>
    <w:rsid w:val="00B05DC2"/>
    <w:rsid w:val="00B05E52"/>
    <w:rsid w:val="00B05ECC"/>
    <w:rsid w:val="00B05F5D"/>
    <w:rsid w:val="00B05FC4"/>
    <w:rsid w:val="00B06058"/>
    <w:rsid w:val="00B060B8"/>
    <w:rsid w:val="00B060D3"/>
    <w:rsid w:val="00B0616D"/>
    <w:rsid w:val="00B061E1"/>
    <w:rsid w:val="00B062A6"/>
    <w:rsid w:val="00B06343"/>
    <w:rsid w:val="00B0635C"/>
    <w:rsid w:val="00B064B4"/>
    <w:rsid w:val="00B065B9"/>
    <w:rsid w:val="00B065BA"/>
    <w:rsid w:val="00B0662B"/>
    <w:rsid w:val="00B06652"/>
    <w:rsid w:val="00B06726"/>
    <w:rsid w:val="00B067B5"/>
    <w:rsid w:val="00B0680A"/>
    <w:rsid w:val="00B06821"/>
    <w:rsid w:val="00B06856"/>
    <w:rsid w:val="00B0686A"/>
    <w:rsid w:val="00B0693E"/>
    <w:rsid w:val="00B06994"/>
    <w:rsid w:val="00B06A75"/>
    <w:rsid w:val="00B06AF5"/>
    <w:rsid w:val="00B06B88"/>
    <w:rsid w:val="00B06BC9"/>
    <w:rsid w:val="00B06BE1"/>
    <w:rsid w:val="00B06C35"/>
    <w:rsid w:val="00B06C68"/>
    <w:rsid w:val="00B06CC5"/>
    <w:rsid w:val="00B06CF1"/>
    <w:rsid w:val="00B06D29"/>
    <w:rsid w:val="00B06D5E"/>
    <w:rsid w:val="00B06E7A"/>
    <w:rsid w:val="00B06F9B"/>
    <w:rsid w:val="00B06FDC"/>
    <w:rsid w:val="00B070A3"/>
    <w:rsid w:val="00B07142"/>
    <w:rsid w:val="00B07183"/>
    <w:rsid w:val="00B0724D"/>
    <w:rsid w:val="00B0725E"/>
    <w:rsid w:val="00B07288"/>
    <w:rsid w:val="00B0733E"/>
    <w:rsid w:val="00B07475"/>
    <w:rsid w:val="00B074B7"/>
    <w:rsid w:val="00B074CC"/>
    <w:rsid w:val="00B074EE"/>
    <w:rsid w:val="00B07771"/>
    <w:rsid w:val="00B077D5"/>
    <w:rsid w:val="00B07821"/>
    <w:rsid w:val="00B0792F"/>
    <w:rsid w:val="00B07978"/>
    <w:rsid w:val="00B0798D"/>
    <w:rsid w:val="00B079A4"/>
    <w:rsid w:val="00B07A4F"/>
    <w:rsid w:val="00B07A6B"/>
    <w:rsid w:val="00B07AC5"/>
    <w:rsid w:val="00B07B44"/>
    <w:rsid w:val="00B07B53"/>
    <w:rsid w:val="00B07BFC"/>
    <w:rsid w:val="00B07C2C"/>
    <w:rsid w:val="00B07D01"/>
    <w:rsid w:val="00B07D2C"/>
    <w:rsid w:val="00B07DBF"/>
    <w:rsid w:val="00B07E9A"/>
    <w:rsid w:val="00B07EEE"/>
    <w:rsid w:val="00B07F53"/>
    <w:rsid w:val="00B07F92"/>
    <w:rsid w:val="00B10058"/>
    <w:rsid w:val="00B10113"/>
    <w:rsid w:val="00B10116"/>
    <w:rsid w:val="00B10175"/>
    <w:rsid w:val="00B102E7"/>
    <w:rsid w:val="00B102EB"/>
    <w:rsid w:val="00B102FF"/>
    <w:rsid w:val="00B10360"/>
    <w:rsid w:val="00B103F2"/>
    <w:rsid w:val="00B10461"/>
    <w:rsid w:val="00B10593"/>
    <w:rsid w:val="00B1060D"/>
    <w:rsid w:val="00B10614"/>
    <w:rsid w:val="00B107B6"/>
    <w:rsid w:val="00B107CB"/>
    <w:rsid w:val="00B1085D"/>
    <w:rsid w:val="00B1088B"/>
    <w:rsid w:val="00B1090D"/>
    <w:rsid w:val="00B10918"/>
    <w:rsid w:val="00B10943"/>
    <w:rsid w:val="00B10977"/>
    <w:rsid w:val="00B1097C"/>
    <w:rsid w:val="00B10B44"/>
    <w:rsid w:val="00B10B69"/>
    <w:rsid w:val="00B10B85"/>
    <w:rsid w:val="00B10B9E"/>
    <w:rsid w:val="00B10BBF"/>
    <w:rsid w:val="00B10CA8"/>
    <w:rsid w:val="00B10DD8"/>
    <w:rsid w:val="00B10E05"/>
    <w:rsid w:val="00B10E82"/>
    <w:rsid w:val="00B10E9D"/>
    <w:rsid w:val="00B10EFB"/>
    <w:rsid w:val="00B10EFD"/>
    <w:rsid w:val="00B10F62"/>
    <w:rsid w:val="00B10F87"/>
    <w:rsid w:val="00B10FB8"/>
    <w:rsid w:val="00B10FD9"/>
    <w:rsid w:val="00B1101D"/>
    <w:rsid w:val="00B1105F"/>
    <w:rsid w:val="00B1106D"/>
    <w:rsid w:val="00B1108D"/>
    <w:rsid w:val="00B11097"/>
    <w:rsid w:val="00B110FD"/>
    <w:rsid w:val="00B11108"/>
    <w:rsid w:val="00B11119"/>
    <w:rsid w:val="00B11199"/>
    <w:rsid w:val="00B111AE"/>
    <w:rsid w:val="00B1121B"/>
    <w:rsid w:val="00B11225"/>
    <w:rsid w:val="00B112BC"/>
    <w:rsid w:val="00B11396"/>
    <w:rsid w:val="00B11397"/>
    <w:rsid w:val="00B113C8"/>
    <w:rsid w:val="00B11415"/>
    <w:rsid w:val="00B11485"/>
    <w:rsid w:val="00B1150F"/>
    <w:rsid w:val="00B115F3"/>
    <w:rsid w:val="00B1167D"/>
    <w:rsid w:val="00B116B2"/>
    <w:rsid w:val="00B116D9"/>
    <w:rsid w:val="00B116EC"/>
    <w:rsid w:val="00B117C1"/>
    <w:rsid w:val="00B11882"/>
    <w:rsid w:val="00B1193D"/>
    <w:rsid w:val="00B11956"/>
    <w:rsid w:val="00B1198B"/>
    <w:rsid w:val="00B11991"/>
    <w:rsid w:val="00B119A6"/>
    <w:rsid w:val="00B119F2"/>
    <w:rsid w:val="00B11A7E"/>
    <w:rsid w:val="00B11B90"/>
    <w:rsid w:val="00B11BD2"/>
    <w:rsid w:val="00B11C2F"/>
    <w:rsid w:val="00B11F0D"/>
    <w:rsid w:val="00B11FED"/>
    <w:rsid w:val="00B11FF8"/>
    <w:rsid w:val="00B12004"/>
    <w:rsid w:val="00B120AC"/>
    <w:rsid w:val="00B12123"/>
    <w:rsid w:val="00B12216"/>
    <w:rsid w:val="00B12292"/>
    <w:rsid w:val="00B12337"/>
    <w:rsid w:val="00B12371"/>
    <w:rsid w:val="00B12416"/>
    <w:rsid w:val="00B1241B"/>
    <w:rsid w:val="00B12438"/>
    <w:rsid w:val="00B1244B"/>
    <w:rsid w:val="00B125C4"/>
    <w:rsid w:val="00B125CA"/>
    <w:rsid w:val="00B12611"/>
    <w:rsid w:val="00B12660"/>
    <w:rsid w:val="00B12664"/>
    <w:rsid w:val="00B126F1"/>
    <w:rsid w:val="00B12769"/>
    <w:rsid w:val="00B12772"/>
    <w:rsid w:val="00B12806"/>
    <w:rsid w:val="00B12941"/>
    <w:rsid w:val="00B12A06"/>
    <w:rsid w:val="00B12A14"/>
    <w:rsid w:val="00B12A88"/>
    <w:rsid w:val="00B12AB2"/>
    <w:rsid w:val="00B12B0F"/>
    <w:rsid w:val="00B12B8B"/>
    <w:rsid w:val="00B12BAA"/>
    <w:rsid w:val="00B12CD5"/>
    <w:rsid w:val="00B12D40"/>
    <w:rsid w:val="00B12D73"/>
    <w:rsid w:val="00B12DC1"/>
    <w:rsid w:val="00B12F6D"/>
    <w:rsid w:val="00B12FB7"/>
    <w:rsid w:val="00B12FE9"/>
    <w:rsid w:val="00B13038"/>
    <w:rsid w:val="00B1304A"/>
    <w:rsid w:val="00B130B0"/>
    <w:rsid w:val="00B1313B"/>
    <w:rsid w:val="00B13232"/>
    <w:rsid w:val="00B132F1"/>
    <w:rsid w:val="00B13315"/>
    <w:rsid w:val="00B133ED"/>
    <w:rsid w:val="00B1349D"/>
    <w:rsid w:val="00B135E9"/>
    <w:rsid w:val="00B1366D"/>
    <w:rsid w:val="00B1376D"/>
    <w:rsid w:val="00B137D3"/>
    <w:rsid w:val="00B137EB"/>
    <w:rsid w:val="00B138A5"/>
    <w:rsid w:val="00B138E4"/>
    <w:rsid w:val="00B138F8"/>
    <w:rsid w:val="00B1393C"/>
    <w:rsid w:val="00B13953"/>
    <w:rsid w:val="00B13A20"/>
    <w:rsid w:val="00B13A65"/>
    <w:rsid w:val="00B13B48"/>
    <w:rsid w:val="00B13B7C"/>
    <w:rsid w:val="00B13BBA"/>
    <w:rsid w:val="00B13C1F"/>
    <w:rsid w:val="00B13C48"/>
    <w:rsid w:val="00B13C76"/>
    <w:rsid w:val="00B13DFE"/>
    <w:rsid w:val="00B13E52"/>
    <w:rsid w:val="00B13EBE"/>
    <w:rsid w:val="00B13EC4"/>
    <w:rsid w:val="00B140E7"/>
    <w:rsid w:val="00B1411E"/>
    <w:rsid w:val="00B14169"/>
    <w:rsid w:val="00B14197"/>
    <w:rsid w:val="00B1427E"/>
    <w:rsid w:val="00B142B3"/>
    <w:rsid w:val="00B144B9"/>
    <w:rsid w:val="00B144E5"/>
    <w:rsid w:val="00B1457F"/>
    <w:rsid w:val="00B145AF"/>
    <w:rsid w:val="00B145E0"/>
    <w:rsid w:val="00B1462A"/>
    <w:rsid w:val="00B14757"/>
    <w:rsid w:val="00B147A4"/>
    <w:rsid w:val="00B1483E"/>
    <w:rsid w:val="00B14881"/>
    <w:rsid w:val="00B14882"/>
    <w:rsid w:val="00B14892"/>
    <w:rsid w:val="00B148C6"/>
    <w:rsid w:val="00B148F9"/>
    <w:rsid w:val="00B14915"/>
    <w:rsid w:val="00B1493A"/>
    <w:rsid w:val="00B14963"/>
    <w:rsid w:val="00B149D5"/>
    <w:rsid w:val="00B14A01"/>
    <w:rsid w:val="00B14A3E"/>
    <w:rsid w:val="00B14A41"/>
    <w:rsid w:val="00B14AFA"/>
    <w:rsid w:val="00B14B26"/>
    <w:rsid w:val="00B14B46"/>
    <w:rsid w:val="00B14B71"/>
    <w:rsid w:val="00B14BE2"/>
    <w:rsid w:val="00B14C01"/>
    <w:rsid w:val="00B14C27"/>
    <w:rsid w:val="00B14C82"/>
    <w:rsid w:val="00B14C92"/>
    <w:rsid w:val="00B14CC3"/>
    <w:rsid w:val="00B14D5F"/>
    <w:rsid w:val="00B14DE8"/>
    <w:rsid w:val="00B14E16"/>
    <w:rsid w:val="00B14EC9"/>
    <w:rsid w:val="00B14FDD"/>
    <w:rsid w:val="00B1505A"/>
    <w:rsid w:val="00B15061"/>
    <w:rsid w:val="00B15067"/>
    <w:rsid w:val="00B150BC"/>
    <w:rsid w:val="00B1517F"/>
    <w:rsid w:val="00B151AD"/>
    <w:rsid w:val="00B1524A"/>
    <w:rsid w:val="00B1535B"/>
    <w:rsid w:val="00B153AA"/>
    <w:rsid w:val="00B15484"/>
    <w:rsid w:val="00B154B9"/>
    <w:rsid w:val="00B15603"/>
    <w:rsid w:val="00B1560D"/>
    <w:rsid w:val="00B15630"/>
    <w:rsid w:val="00B15638"/>
    <w:rsid w:val="00B1565C"/>
    <w:rsid w:val="00B15694"/>
    <w:rsid w:val="00B156DF"/>
    <w:rsid w:val="00B15729"/>
    <w:rsid w:val="00B1572A"/>
    <w:rsid w:val="00B15758"/>
    <w:rsid w:val="00B157CD"/>
    <w:rsid w:val="00B15812"/>
    <w:rsid w:val="00B158C7"/>
    <w:rsid w:val="00B15921"/>
    <w:rsid w:val="00B15A00"/>
    <w:rsid w:val="00B15A8D"/>
    <w:rsid w:val="00B15AC5"/>
    <w:rsid w:val="00B15AD7"/>
    <w:rsid w:val="00B15B61"/>
    <w:rsid w:val="00B15C36"/>
    <w:rsid w:val="00B15C97"/>
    <w:rsid w:val="00B15CBB"/>
    <w:rsid w:val="00B15E40"/>
    <w:rsid w:val="00B15EE6"/>
    <w:rsid w:val="00B15F47"/>
    <w:rsid w:val="00B15F8B"/>
    <w:rsid w:val="00B15FCB"/>
    <w:rsid w:val="00B16007"/>
    <w:rsid w:val="00B16031"/>
    <w:rsid w:val="00B16083"/>
    <w:rsid w:val="00B16096"/>
    <w:rsid w:val="00B160C1"/>
    <w:rsid w:val="00B160EB"/>
    <w:rsid w:val="00B160F4"/>
    <w:rsid w:val="00B16107"/>
    <w:rsid w:val="00B161D5"/>
    <w:rsid w:val="00B1621F"/>
    <w:rsid w:val="00B163CA"/>
    <w:rsid w:val="00B163D0"/>
    <w:rsid w:val="00B1641F"/>
    <w:rsid w:val="00B1642A"/>
    <w:rsid w:val="00B16453"/>
    <w:rsid w:val="00B164FE"/>
    <w:rsid w:val="00B16589"/>
    <w:rsid w:val="00B165A5"/>
    <w:rsid w:val="00B16674"/>
    <w:rsid w:val="00B16679"/>
    <w:rsid w:val="00B166C2"/>
    <w:rsid w:val="00B166F2"/>
    <w:rsid w:val="00B168CD"/>
    <w:rsid w:val="00B16922"/>
    <w:rsid w:val="00B16958"/>
    <w:rsid w:val="00B1695B"/>
    <w:rsid w:val="00B16997"/>
    <w:rsid w:val="00B169F7"/>
    <w:rsid w:val="00B16ACF"/>
    <w:rsid w:val="00B16B5E"/>
    <w:rsid w:val="00B16B87"/>
    <w:rsid w:val="00B16BE3"/>
    <w:rsid w:val="00B16C0A"/>
    <w:rsid w:val="00B16C29"/>
    <w:rsid w:val="00B16C67"/>
    <w:rsid w:val="00B16CBA"/>
    <w:rsid w:val="00B16E79"/>
    <w:rsid w:val="00B16F0A"/>
    <w:rsid w:val="00B16FAE"/>
    <w:rsid w:val="00B17029"/>
    <w:rsid w:val="00B170C2"/>
    <w:rsid w:val="00B17179"/>
    <w:rsid w:val="00B17228"/>
    <w:rsid w:val="00B172DB"/>
    <w:rsid w:val="00B1736C"/>
    <w:rsid w:val="00B17381"/>
    <w:rsid w:val="00B17392"/>
    <w:rsid w:val="00B173CC"/>
    <w:rsid w:val="00B17415"/>
    <w:rsid w:val="00B1745F"/>
    <w:rsid w:val="00B174A8"/>
    <w:rsid w:val="00B1754E"/>
    <w:rsid w:val="00B1755C"/>
    <w:rsid w:val="00B17611"/>
    <w:rsid w:val="00B1765F"/>
    <w:rsid w:val="00B176C4"/>
    <w:rsid w:val="00B177C2"/>
    <w:rsid w:val="00B17827"/>
    <w:rsid w:val="00B1786C"/>
    <w:rsid w:val="00B17938"/>
    <w:rsid w:val="00B17973"/>
    <w:rsid w:val="00B17979"/>
    <w:rsid w:val="00B17A15"/>
    <w:rsid w:val="00B17A65"/>
    <w:rsid w:val="00B17D02"/>
    <w:rsid w:val="00B17DAF"/>
    <w:rsid w:val="00B17E74"/>
    <w:rsid w:val="00B17EC0"/>
    <w:rsid w:val="00B17EC3"/>
    <w:rsid w:val="00B17F09"/>
    <w:rsid w:val="00B17F8D"/>
    <w:rsid w:val="00B2002E"/>
    <w:rsid w:val="00B20035"/>
    <w:rsid w:val="00B20096"/>
    <w:rsid w:val="00B2011B"/>
    <w:rsid w:val="00B2019E"/>
    <w:rsid w:val="00B202A5"/>
    <w:rsid w:val="00B202FF"/>
    <w:rsid w:val="00B203B7"/>
    <w:rsid w:val="00B203B8"/>
    <w:rsid w:val="00B20525"/>
    <w:rsid w:val="00B20528"/>
    <w:rsid w:val="00B205A5"/>
    <w:rsid w:val="00B205BE"/>
    <w:rsid w:val="00B205E9"/>
    <w:rsid w:val="00B20666"/>
    <w:rsid w:val="00B20669"/>
    <w:rsid w:val="00B2071F"/>
    <w:rsid w:val="00B20732"/>
    <w:rsid w:val="00B20807"/>
    <w:rsid w:val="00B20955"/>
    <w:rsid w:val="00B20967"/>
    <w:rsid w:val="00B20A73"/>
    <w:rsid w:val="00B20BD0"/>
    <w:rsid w:val="00B20CB2"/>
    <w:rsid w:val="00B20D12"/>
    <w:rsid w:val="00B20D21"/>
    <w:rsid w:val="00B20DB2"/>
    <w:rsid w:val="00B20EC3"/>
    <w:rsid w:val="00B20F08"/>
    <w:rsid w:val="00B20F38"/>
    <w:rsid w:val="00B20F67"/>
    <w:rsid w:val="00B20F6D"/>
    <w:rsid w:val="00B20F8B"/>
    <w:rsid w:val="00B20F9E"/>
    <w:rsid w:val="00B21005"/>
    <w:rsid w:val="00B21074"/>
    <w:rsid w:val="00B210FE"/>
    <w:rsid w:val="00B2110D"/>
    <w:rsid w:val="00B2114D"/>
    <w:rsid w:val="00B21197"/>
    <w:rsid w:val="00B211EE"/>
    <w:rsid w:val="00B211F9"/>
    <w:rsid w:val="00B21238"/>
    <w:rsid w:val="00B21258"/>
    <w:rsid w:val="00B2131B"/>
    <w:rsid w:val="00B21371"/>
    <w:rsid w:val="00B2137F"/>
    <w:rsid w:val="00B213E4"/>
    <w:rsid w:val="00B2151A"/>
    <w:rsid w:val="00B21593"/>
    <w:rsid w:val="00B215A7"/>
    <w:rsid w:val="00B215E7"/>
    <w:rsid w:val="00B21724"/>
    <w:rsid w:val="00B2174C"/>
    <w:rsid w:val="00B21854"/>
    <w:rsid w:val="00B21865"/>
    <w:rsid w:val="00B218BE"/>
    <w:rsid w:val="00B218FB"/>
    <w:rsid w:val="00B2193B"/>
    <w:rsid w:val="00B21941"/>
    <w:rsid w:val="00B21957"/>
    <w:rsid w:val="00B219F9"/>
    <w:rsid w:val="00B21A11"/>
    <w:rsid w:val="00B21B34"/>
    <w:rsid w:val="00B21B4D"/>
    <w:rsid w:val="00B21C0E"/>
    <w:rsid w:val="00B21D75"/>
    <w:rsid w:val="00B21DBC"/>
    <w:rsid w:val="00B21F59"/>
    <w:rsid w:val="00B21FA7"/>
    <w:rsid w:val="00B21FDE"/>
    <w:rsid w:val="00B21FFC"/>
    <w:rsid w:val="00B22064"/>
    <w:rsid w:val="00B22076"/>
    <w:rsid w:val="00B220BF"/>
    <w:rsid w:val="00B22103"/>
    <w:rsid w:val="00B22202"/>
    <w:rsid w:val="00B22384"/>
    <w:rsid w:val="00B22440"/>
    <w:rsid w:val="00B2244E"/>
    <w:rsid w:val="00B22480"/>
    <w:rsid w:val="00B224D9"/>
    <w:rsid w:val="00B22517"/>
    <w:rsid w:val="00B2258B"/>
    <w:rsid w:val="00B2259D"/>
    <w:rsid w:val="00B225D1"/>
    <w:rsid w:val="00B225FC"/>
    <w:rsid w:val="00B226C7"/>
    <w:rsid w:val="00B22705"/>
    <w:rsid w:val="00B22737"/>
    <w:rsid w:val="00B22769"/>
    <w:rsid w:val="00B22796"/>
    <w:rsid w:val="00B22836"/>
    <w:rsid w:val="00B22841"/>
    <w:rsid w:val="00B22857"/>
    <w:rsid w:val="00B2286F"/>
    <w:rsid w:val="00B228FF"/>
    <w:rsid w:val="00B22B0D"/>
    <w:rsid w:val="00B22BD9"/>
    <w:rsid w:val="00B22D35"/>
    <w:rsid w:val="00B22D42"/>
    <w:rsid w:val="00B22D5F"/>
    <w:rsid w:val="00B22DFB"/>
    <w:rsid w:val="00B22E61"/>
    <w:rsid w:val="00B22ECC"/>
    <w:rsid w:val="00B22F01"/>
    <w:rsid w:val="00B22F5A"/>
    <w:rsid w:val="00B22F65"/>
    <w:rsid w:val="00B22F7C"/>
    <w:rsid w:val="00B22FDC"/>
    <w:rsid w:val="00B23002"/>
    <w:rsid w:val="00B230C7"/>
    <w:rsid w:val="00B230CC"/>
    <w:rsid w:val="00B231CB"/>
    <w:rsid w:val="00B23229"/>
    <w:rsid w:val="00B23270"/>
    <w:rsid w:val="00B2329C"/>
    <w:rsid w:val="00B233AC"/>
    <w:rsid w:val="00B233D8"/>
    <w:rsid w:val="00B234E3"/>
    <w:rsid w:val="00B23525"/>
    <w:rsid w:val="00B235E9"/>
    <w:rsid w:val="00B236C3"/>
    <w:rsid w:val="00B23950"/>
    <w:rsid w:val="00B239AB"/>
    <w:rsid w:val="00B239C8"/>
    <w:rsid w:val="00B239D7"/>
    <w:rsid w:val="00B23AB6"/>
    <w:rsid w:val="00B23D3A"/>
    <w:rsid w:val="00B23D49"/>
    <w:rsid w:val="00B23DDC"/>
    <w:rsid w:val="00B23E40"/>
    <w:rsid w:val="00B23EC8"/>
    <w:rsid w:val="00B23EDE"/>
    <w:rsid w:val="00B23EE1"/>
    <w:rsid w:val="00B23EF7"/>
    <w:rsid w:val="00B23F4E"/>
    <w:rsid w:val="00B23F6E"/>
    <w:rsid w:val="00B23F86"/>
    <w:rsid w:val="00B23F9E"/>
    <w:rsid w:val="00B2403F"/>
    <w:rsid w:val="00B2404A"/>
    <w:rsid w:val="00B24109"/>
    <w:rsid w:val="00B24129"/>
    <w:rsid w:val="00B24207"/>
    <w:rsid w:val="00B2429D"/>
    <w:rsid w:val="00B242CF"/>
    <w:rsid w:val="00B24305"/>
    <w:rsid w:val="00B24336"/>
    <w:rsid w:val="00B2438B"/>
    <w:rsid w:val="00B243BB"/>
    <w:rsid w:val="00B24543"/>
    <w:rsid w:val="00B246C8"/>
    <w:rsid w:val="00B248BF"/>
    <w:rsid w:val="00B2493C"/>
    <w:rsid w:val="00B2493E"/>
    <w:rsid w:val="00B24A04"/>
    <w:rsid w:val="00B24A15"/>
    <w:rsid w:val="00B24B8C"/>
    <w:rsid w:val="00B24BBF"/>
    <w:rsid w:val="00B24C03"/>
    <w:rsid w:val="00B24C1C"/>
    <w:rsid w:val="00B24CB6"/>
    <w:rsid w:val="00B24D02"/>
    <w:rsid w:val="00B24F1E"/>
    <w:rsid w:val="00B24F77"/>
    <w:rsid w:val="00B24FA8"/>
    <w:rsid w:val="00B25089"/>
    <w:rsid w:val="00B25094"/>
    <w:rsid w:val="00B250D8"/>
    <w:rsid w:val="00B25174"/>
    <w:rsid w:val="00B251A8"/>
    <w:rsid w:val="00B2527E"/>
    <w:rsid w:val="00B2529F"/>
    <w:rsid w:val="00B25316"/>
    <w:rsid w:val="00B25328"/>
    <w:rsid w:val="00B2532E"/>
    <w:rsid w:val="00B25415"/>
    <w:rsid w:val="00B25489"/>
    <w:rsid w:val="00B25572"/>
    <w:rsid w:val="00B255E0"/>
    <w:rsid w:val="00B25644"/>
    <w:rsid w:val="00B2565A"/>
    <w:rsid w:val="00B25693"/>
    <w:rsid w:val="00B256CE"/>
    <w:rsid w:val="00B257B4"/>
    <w:rsid w:val="00B257CA"/>
    <w:rsid w:val="00B25890"/>
    <w:rsid w:val="00B258FF"/>
    <w:rsid w:val="00B25936"/>
    <w:rsid w:val="00B25946"/>
    <w:rsid w:val="00B25998"/>
    <w:rsid w:val="00B25AC6"/>
    <w:rsid w:val="00B25B00"/>
    <w:rsid w:val="00B25B9D"/>
    <w:rsid w:val="00B25BAA"/>
    <w:rsid w:val="00B25C37"/>
    <w:rsid w:val="00B25C69"/>
    <w:rsid w:val="00B25CAF"/>
    <w:rsid w:val="00B25CB3"/>
    <w:rsid w:val="00B25DAC"/>
    <w:rsid w:val="00B25E2C"/>
    <w:rsid w:val="00B25E68"/>
    <w:rsid w:val="00B25EC2"/>
    <w:rsid w:val="00B25EF9"/>
    <w:rsid w:val="00B25FA9"/>
    <w:rsid w:val="00B25FD3"/>
    <w:rsid w:val="00B2601A"/>
    <w:rsid w:val="00B26067"/>
    <w:rsid w:val="00B261BD"/>
    <w:rsid w:val="00B261DA"/>
    <w:rsid w:val="00B262BE"/>
    <w:rsid w:val="00B262E2"/>
    <w:rsid w:val="00B26317"/>
    <w:rsid w:val="00B263EF"/>
    <w:rsid w:val="00B26460"/>
    <w:rsid w:val="00B26472"/>
    <w:rsid w:val="00B26568"/>
    <w:rsid w:val="00B26569"/>
    <w:rsid w:val="00B26610"/>
    <w:rsid w:val="00B266AE"/>
    <w:rsid w:val="00B266B7"/>
    <w:rsid w:val="00B266FA"/>
    <w:rsid w:val="00B266FE"/>
    <w:rsid w:val="00B2676C"/>
    <w:rsid w:val="00B26A6A"/>
    <w:rsid w:val="00B26AC9"/>
    <w:rsid w:val="00B26B21"/>
    <w:rsid w:val="00B26B8B"/>
    <w:rsid w:val="00B26B99"/>
    <w:rsid w:val="00B26BF7"/>
    <w:rsid w:val="00B26C45"/>
    <w:rsid w:val="00B26C6A"/>
    <w:rsid w:val="00B26D3E"/>
    <w:rsid w:val="00B26F41"/>
    <w:rsid w:val="00B26F51"/>
    <w:rsid w:val="00B26F65"/>
    <w:rsid w:val="00B26F8B"/>
    <w:rsid w:val="00B2700A"/>
    <w:rsid w:val="00B2700C"/>
    <w:rsid w:val="00B2701A"/>
    <w:rsid w:val="00B2705B"/>
    <w:rsid w:val="00B270A2"/>
    <w:rsid w:val="00B27115"/>
    <w:rsid w:val="00B2711B"/>
    <w:rsid w:val="00B27176"/>
    <w:rsid w:val="00B271D6"/>
    <w:rsid w:val="00B2720B"/>
    <w:rsid w:val="00B27253"/>
    <w:rsid w:val="00B27277"/>
    <w:rsid w:val="00B27398"/>
    <w:rsid w:val="00B273D0"/>
    <w:rsid w:val="00B2746B"/>
    <w:rsid w:val="00B2746F"/>
    <w:rsid w:val="00B27534"/>
    <w:rsid w:val="00B27540"/>
    <w:rsid w:val="00B27602"/>
    <w:rsid w:val="00B27617"/>
    <w:rsid w:val="00B277B0"/>
    <w:rsid w:val="00B27831"/>
    <w:rsid w:val="00B27887"/>
    <w:rsid w:val="00B27920"/>
    <w:rsid w:val="00B279EE"/>
    <w:rsid w:val="00B27B40"/>
    <w:rsid w:val="00B27B95"/>
    <w:rsid w:val="00B27B9D"/>
    <w:rsid w:val="00B27CE6"/>
    <w:rsid w:val="00B27DF7"/>
    <w:rsid w:val="00B27E13"/>
    <w:rsid w:val="00B27F81"/>
    <w:rsid w:val="00B30012"/>
    <w:rsid w:val="00B30123"/>
    <w:rsid w:val="00B30153"/>
    <w:rsid w:val="00B3016D"/>
    <w:rsid w:val="00B30279"/>
    <w:rsid w:val="00B30377"/>
    <w:rsid w:val="00B3039D"/>
    <w:rsid w:val="00B303CC"/>
    <w:rsid w:val="00B3042B"/>
    <w:rsid w:val="00B30437"/>
    <w:rsid w:val="00B30471"/>
    <w:rsid w:val="00B304AE"/>
    <w:rsid w:val="00B304C1"/>
    <w:rsid w:val="00B306FB"/>
    <w:rsid w:val="00B30733"/>
    <w:rsid w:val="00B30751"/>
    <w:rsid w:val="00B309BC"/>
    <w:rsid w:val="00B30A75"/>
    <w:rsid w:val="00B30BDD"/>
    <w:rsid w:val="00B30C0D"/>
    <w:rsid w:val="00B30C18"/>
    <w:rsid w:val="00B30C36"/>
    <w:rsid w:val="00B30C8B"/>
    <w:rsid w:val="00B30C97"/>
    <w:rsid w:val="00B30CA8"/>
    <w:rsid w:val="00B30D0F"/>
    <w:rsid w:val="00B30D13"/>
    <w:rsid w:val="00B30D61"/>
    <w:rsid w:val="00B30DAE"/>
    <w:rsid w:val="00B30DED"/>
    <w:rsid w:val="00B30E11"/>
    <w:rsid w:val="00B30F11"/>
    <w:rsid w:val="00B30FE8"/>
    <w:rsid w:val="00B3106B"/>
    <w:rsid w:val="00B310CB"/>
    <w:rsid w:val="00B3112A"/>
    <w:rsid w:val="00B311CC"/>
    <w:rsid w:val="00B311DA"/>
    <w:rsid w:val="00B311F7"/>
    <w:rsid w:val="00B311FB"/>
    <w:rsid w:val="00B31319"/>
    <w:rsid w:val="00B31377"/>
    <w:rsid w:val="00B31405"/>
    <w:rsid w:val="00B31473"/>
    <w:rsid w:val="00B314B3"/>
    <w:rsid w:val="00B31515"/>
    <w:rsid w:val="00B31573"/>
    <w:rsid w:val="00B315D2"/>
    <w:rsid w:val="00B31660"/>
    <w:rsid w:val="00B3166E"/>
    <w:rsid w:val="00B31673"/>
    <w:rsid w:val="00B316B9"/>
    <w:rsid w:val="00B31727"/>
    <w:rsid w:val="00B317C7"/>
    <w:rsid w:val="00B317E5"/>
    <w:rsid w:val="00B318A4"/>
    <w:rsid w:val="00B319D6"/>
    <w:rsid w:val="00B31A25"/>
    <w:rsid w:val="00B31AAE"/>
    <w:rsid w:val="00B31B48"/>
    <w:rsid w:val="00B31BD3"/>
    <w:rsid w:val="00B31BF7"/>
    <w:rsid w:val="00B31BFD"/>
    <w:rsid w:val="00B31C71"/>
    <w:rsid w:val="00B31CBE"/>
    <w:rsid w:val="00B31CD9"/>
    <w:rsid w:val="00B31DB3"/>
    <w:rsid w:val="00B31DBC"/>
    <w:rsid w:val="00B31E51"/>
    <w:rsid w:val="00B31F1F"/>
    <w:rsid w:val="00B31FD9"/>
    <w:rsid w:val="00B31FF6"/>
    <w:rsid w:val="00B32090"/>
    <w:rsid w:val="00B320C8"/>
    <w:rsid w:val="00B320E7"/>
    <w:rsid w:val="00B320EB"/>
    <w:rsid w:val="00B320F8"/>
    <w:rsid w:val="00B3221B"/>
    <w:rsid w:val="00B322C1"/>
    <w:rsid w:val="00B3231B"/>
    <w:rsid w:val="00B32399"/>
    <w:rsid w:val="00B3241B"/>
    <w:rsid w:val="00B32424"/>
    <w:rsid w:val="00B324E3"/>
    <w:rsid w:val="00B32557"/>
    <w:rsid w:val="00B325A9"/>
    <w:rsid w:val="00B3263F"/>
    <w:rsid w:val="00B32697"/>
    <w:rsid w:val="00B326C9"/>
    <w:rsid w:val="00B32723"/>
    <w:rsid w:val="00B3272E"/>
    <w:rsid w:val="00B327B2"/>
    <w:rsid w:val="00B327B4"/>
    <w:rsid w:val="00B3280B"/>
    <w:rsid w:val="00B328A1"/>
    <w:rsid w:val="00B328A9"/>
    <w:rsid w:val="00B328F6"/>
    <w:rsid w:val="00B32920"/>
    <w:rsid w:val="00B32978"/>
    <w:rsid w:val="00B32989"/>
    <w:rsid w:val="00B32A95"/>
    <w:rsid w:val="00B32B0A"/>
    <w:rsid w:val="00B32B5F"/>
    <w:rsid w:val="00B32B6A"/>
    <w:rsid w:val="00B32BA6"/>
    <w:rsid w:val="00B32BA7"/>
    <w:rsid w:val="00B32BBD"/>
    <w:rsid w:val="00B32BC6"/>
    <w:rsid w:val="00B32BCB"/>
    <w:rsid w:val="00B32CAB"/>
    <w:rsid w:val="00B32D0B"/>
    <w:rsid w:val="00B32D1C"/>
    <w:rsid w:val="00B32D89"/>
    <w:rsid w:val="00B32DF5"/>
    <w:rsid w:val="00B32E7F"/>
    <w:rsid w:val="00B32E90"/>
    <w:rsid w:val="00B32F14"/>
    <w:rsid w:val="00B32F3C"/>
    <w:rsid w:val="00B33166"/>
    <w:rsid w:val="00B33240"/>
    <w:rsid w:val="00B33263"/>
    <w:rsid w:val="00B332B4"/>
    <w:rsid w:val="00B332F8"/>
    <w:rsid w:val="00B33333"/>
    <w:rsid w:val="00B3344C"/>
    <w:rsid w:val="00B334FF"/>
    <w:rsid w:val="00B3355D"/>
    <w:rsid w:val="00B335AE"/>
    <w:rsid w:val="00B335CC"/>
    <w:rsid w:val="00B3367B"/>
    <w:rsid w:val="00B336F8"/>
    <w:rsid w:val="00B33751"/>
    <w:rsid w:val="00B3375F"/>
    <w:rsid w:val="00B337A3"/>
    <w:rsid w:val="00B3385B"/>
    <w:rsid w:val="00B33879"/>
    <w:rsid w:val="00B338EF"/>
    <w:rsid w:val="00B339D1"/>
    <w:rsid w:val="00B33A49"/>
    <w:rsid w:val="00B33A50"/>
    <w:rsid w:val="00B33A79"/>
    <w:rsid w:val="00B33B85"/>
    <w:rsid w:val="00B33C79"/>
    <w:rsid w:val="00B33CBB"/>
    <w:rsid w:val="00B33CDB"/>
    <w:rsid w:val="00B33D94"/>
    <w:rsid w:val="00B33DC7"/>
    <w:rsid w:val="00B33DCE"/>
    <w:rsid w:val="00B33DEE"/>
    <w:rsid w:val="00B33E13"/>
    <w:rsid w:val="00B33E25"/>
    <w:rsid w:val="00B33ED5"/>
    <w:rsid w:val="00B33ED7"/>
    <w:rsid w:val="00B34054"/>
    <w:rsid w:val="00B34157"/>
    <w:rsid w:val="00B3417F"/>
    <w:rsid w:val="00B34281"/>
    <w:rsid w:val="00B342A4"/>
    <w:rsid w:val="00B342E0"/>
    <w:rsid w:val="00B342ED"/>
    <w:rsid w:val="00B34313"/>
    <w:rsid w:val="00B343CB"/>
    <w:rsid w:val="00B34460"/>
    <w:rsid w:val="00B3446D"/>
    <w:rsid w:val="00B344AA"/>
    <w:rsid w:val="00B3452F"/>
    <w:rsid w:val="00B34564"/>
    <w:rsid w:val="00B34598"/>
    <w:rsid w:val="00B346C1"/>
    <w:rsid w:val="00B346D4"/>
    <w:rsid w:val="00B34947"/>
    <w:rsid w:val="00B34975"/>
    <w:rsid w:val="00B349CF"/>
    <w:rsid w:val="00B34A1E"/>
    <w:rsid w:val="00B34AC2"/>
    <w:rsid w:val="00B34AC9"/>
    <w:rsid w:val="00B34ACB"/>
    <w:rsid w:val="00B34AD1"/>
    <w:rsid w:val="00B34ADA"/>
    <w:rsid w:val="00B34BB3"/>
    <w:rsid w:val="00B34C47"/>
    <w:rsid w:val="00B34CC8"/>
    <w:rsid w:val="00B34E1C"/>
    <w:rsid w:val="00B34E36"/>
    <w:rsid w:val="00B34E4B"/>
    <w:rsid w:val="00B34E83"/>
    <w:rsid w:val="00B34ED2"/>
    <w:rsid w:val="00B34EFA"/>
    <w:rsid w:val="00B34F55"/>
    <w:rsid w:val="00B34F9D"/>
    <w:rsid w:val="00B35044"/>
    <w:rsid w:val="00B351AF"/>
    <w:rsid w:val="00B35203"/>
    <w:rsid w:val="00B35272"/>
    <w:rsid w:val="00B35275"/>
    <w:rsid w:val="00B3528A"/>
    <w:rsid w:val="00B352BA"/>
    <w:rsid w:val="00B352EB"/>
    <w:rsid w:val="00B3532C"/>
    <w:rsid w:val="00B35415"/>
    <w:rsid w:val="00B3544C"/>
    <w:rsid w:val="00B355A4"/>
    <w:rsid w:val="00B355CA"/>
    <w:rsid w:val="00B35655"/>
    <w:rsid w:val="00B35657"/>
    <w:rsid w:val="00B3565E"/>
    <w:rsid w:val="00B35662"/>
    <w:rsid w:val="00B3573A"/>
    <w:rsid w:val="00B35764"/>
    <w:rsid w:val="00B357AC"/>
    <w:rsid w:val="00B3583F"/>
    <w:rsid w:val="00B35843"/>
    <w:rsid w:val="00B35934"/>
    <w:rsid w:val="00B359D8"/>
    <w:rsid w:val="00B359F2"/>
    <w:rsid w:val="00B35A18"/>
    <w:rsid w:val="00B35A67"/>
    <w:rsid w:val="00B35A88"/>
    <w:rsid w:val="00B35A96"/>
    <w:rsid w:val="00B35AEB"/>
    <w:rsid w:val="00B35B02"/>
    <w:rsid w:val="00B35B3A"/>
    <w:rsid w:val="00B35BCC"/>
    <w:rsid w:val="00B35C19"/>
    <w:rsid w:val="00B35C4B"/>
    <w:rsid w:val="00B35C87"/>
    <w:rsid w:val="00B35D6D"/>
    <w:rsid w:val="00B35DD6"/>
    <w:rsid w:val="00B35F8C"/>
    <w:rsid w:val="00B3601E"/>
    <w:rsid w:val="00B3604C"/>
    <w:rsid w:val="00B36057"/>
    <w:rsid w:val="00B36150"/>
    <w:rsid w:val="00B36170"/>
    <w:rsid w:val="00B3622F"/>
    <w:rsid w:val="00B36271"/>
    <w:rsid w:val="00B36283"/>
    <w:rsid w:val="00B362D1"/>
    <w:rsid w:val="00B36358"/>
    <w:rsid w:val="00B364C0"/>
    <w:rsid w:val="00B364EC"/>
    <w:rsid w:val="00B36555"/>
    <w:rsid w:val="00B3666E"/>
    <w:rsid w:val="00B36672"/>
    <w:rsid w:val="00B3677B"/>
    <w:rsid w:val="00B3678A"/>
    <w:rsid w:val="00B367D2"/>
    <w:rsid w:val="00B3683A"/>
    <w:rsid w:val="00B368D0"/>
    <w:rsid w:val="00B368ED"/>
    <w:rsid w:val="00B3696B"/>
    <w:rsid w:val="00B369AF"/>
    <w:rsid w:val="00B369E9"/>
    <w:rsid w:val="00B36A9C"/>
    <w:rsid w:val="00B36AE9"/>
    <w:rsid w:val="00B36AF0"/>
    <w:rsid w:val="00B36B20"/>
    <w:rsid w:val="00B36C2F"/>
    <w:rsid w:val="00B36C8C"/>
    <w:rsid w:val="00B36CE8"/>
    <w:rsid w:val="00B36D62"/>
    <w:rsid w:val="00B36DB2"/>
    <w:rsid w:val="00B36DCC"/>
    <w:rsid w:val="00B36DD4"/>
    <w:rsid w:val="00B36DF3"/>
    <w:rsid w:val="00B36EAF"/>
    <w:rsid w:val="00B36F45"/>
    <w:rsid w:val="00B3709A"/>
    <w:rsid w:val="00B370C3"/>
    <w:rsid w:val="00B370D0"/>
    <w:rsid w:val="00B37139"/>
    <w:rsid w:val="00B37273"/>
    <w:rsid w:val="00B372BF"/>
    <w:rsid w:val="00B372E1"/>
    <w:rsid w:val="00B372E8"/>
    <w:rsid w:val="00B373D7"/>
    <w:rsid w:val="00B37400"/>
    <w:rsid w:val="00B3746C"/>
    <w:rsid w:val="00B37481"/>
    <w:rsid w:val="00B37516"/>
    <w:rsid w:val="00B37542"/>
    <w:rsid w:val="00B3782C"/>
    <w:rsid w:val="00B37856"/>
    <w:rsid w:val="00B3785B"/>
    <w:rsid w:val="00B378FB"/>
    <w:rsid w:val="00B37927"/>
    <w:rsid w:val="00B37961"/>
    <w:rsid w:val="00B37981"/>
    <w:rsid w:val="00B3798B"/>
    <w:rsid w:val="00B3798E"/>
    <w:rsid w:val="00B379AD"/>
    <w:rsid w:val="00B37A7C"/>
    <w:rsid w:val="00B37A82"/>
    <w:rsid w:val="00B37AE0"/>
    <w:rsid w:val="00B37B0C"/>
    <w:rsid w:val="00B37B16"/>
    <w:rsid w:val="00B37B65"/>
    <w:rsid w:val="00B37B9E"/>
    <w:rsid w:val="00B37E63"/>
    <w:rsid w:val="00B37F38"/>
    <w:rsid w:val="00B37F59"/>
    <w:rsid w:val="00B37F8F"/>
    <w:rsid w:val="00B400EC"/>
    <w:rsid w:val="00B4012B"/>
    <w:rsid w:val="00B4014A"/>
    <w:rsid w:val="00B401DF"/>
    <w:rsid w:val="00B401E7"/>
    <w:rsid w:val="00B40242"/>
    <w:rsid w:val="00B402A6"/>
    <w:rsid w:val="00B402ED"/>
    <w:rsid w:val="00B40322"/>
    <w:rsid w:val="00B40332"/>
    <w:rsid w:val="00B40377"/>
    <w:rsid w:val="00B40393"/>
    <w:rsid w:val="00B4039E"/>
    <w:rsid w:val="00B403D2"/>
    <w:rsid w:val="00B40405"/>
    <w:rsid w:val="00B4045A"/>
    <w:rsid w:val="00B40576"/>
    <w:rsid w:val="00B405D2"/>
    <w:rsid w:val="00B405F5"/>
    <w:rsid w:val="00B40602"/>
    <w:rsid w:val="00B406BE"/>
    <w:rsid w:val="00B4073C"/>
    <w:rsid w:val="00B407DB"/>
    <w:rsid w:val="00B407F9"/>
    <w:rsid w:val="00B40822"/>
    <w:rsid w:val="00B40834"/>
    <w:rsid w:val="00B40850"/>
    <w:rsid w:val="00B4088F"/>
    <w:rsid w:val="00B4090A"/>
    <w:rsid w:val="00B40932"/>
    <w:rsid w:val="00B4093C"/>
    <w:rsid w:val="00B40965"/>
    <w:rsid w:val="00B40A1D"/>
    <w:rsid w:val="00B40A62"/>
    <w:rsid w:val="00B40B09"/>
    <w:rsid w:val="00B40B30"/>
    <w:rsid w:val="00B40B44"/>
    <w:rsid w:val="00B40B46"/>
    <w:rsid w:val="00B40B60"/>
    <w:rsid w:val="00B40C60"/>
    <w:rsid w:val="00B40CA2"/>
    <w:rsid w:val="00B40CCB"/>
    <w:rsid w:val="00B40D77"/>
    <w:rsid w:val="00B40D97"/>
    <w:rsid w:val="00B40E3C"/>
    <w:rsid w:val="00B40E71"/>
    <w:rsid w:val="00B40EDA"/>
    <w:rsid w:val="00B40F99"/>
    <w:rsid w:val="00B40FD0"/>
    <w:rsid w:val="00B40FD8"/>
    <w:rsid w:val="00B4101D"/>
    <w:rsid w:val="00B41148"/>
    <w:rsid w:val="00B411DC"/>
    <w:rsid w:val="00B41220"/>
    <w:rsid w:val="00B4123A"/>
    <w:rsid w:val="00B4124F"/>
    <w:rsid w:val="00B41286"/>
    <w:rsid w:val="00B412A0"/>
    <w:rsid w:val="00B41317"/>
    <w:rsid w:val="00B413E1"/>
    <w:rsid w:val="00B413F2"/>
    <w:rsid w:val="00B41444"/>
    <w:rsid w:val="00B41454"/>
    <w:rsid w:val="00B41494"/>
    <w:rsid w:val="00B4158A"/>
    <w:rsid w:val="00B416DB"/>
    <w:rsid w:val="00B41854"/>
    <w:rsid w:val="00B4186E"/>
    <w:rsid w:val="00B4186F"/>
    <w:rsid w:val="00B418FF"/>
    <w:rsid w:val="00B41956"/>
    <w:rsid w:val="00B41D53"/>
    <w:rsid w:val="00B41D76"/>
    <w:rsid w:val="00B41E8C"/>
    <w:rsid w:val="00B41F94"/>
    <w:rsid w:val="00B42000"/>
    <w:rsid w:val="00B42023"/>
    <w:rsid w:val="00B42037"/>
    <w:rsid w:val="00B4203C"/>
    <w:rsid w:val="00B42064"/>
    <w:rsid w:val="00B42119"/>
    <w:rsid w:val="00B42181"/>
    <w:rsid w:val="00B421C2"/>
    <w:rsid w:val="00B421E7"/>
    <w:rsid w:val="00B421E9"/>
    <w:rsid w:val="00B42203"/>
    <w:rsid w:val="00B4220A"/>
    <w:rsid w:val="00B4221B"/>
    <w:rsid w:val="00B42299"/>
    <w:rsid w:val="00B422C3"/>
    <w:rsid w:val="00B42305"/>
    <w:rsid w:val="00B4236E"/>
    <w:rsid w:val="00B42397"/>
    <w:rsid w:val="00B42428"/>
    <w:rsid w:val="00B42435"/>
    <w:rsid w:val="00B42458"/>
    <w:rsid w:val="00B42492"/>
    <w:rsid w:val="00B424C3"/>
    <w:rsid w:val="00B424E2"/>
    <w:rsid w:val="00B424FD"/>
    <w:rsid w:val="00B4258B"/>
    <w:rsid w:val="00B42612"/>
    <w:rsid w:val="00B42676"/>
    <w:rsid w:val="00B426D0"/>
    <w:rsid w:val="00B4272C"/>
    <w:rsid w:val="00B42786"/>
    <w:rsid w:val="00B428A3"/>
    <w:rsid w:val="00B428A6"/>
    <w:rsid w:val="00B428FA"/>
    <w:rsid w:val="00B42A49"/>
    <w:rsid w:val="00B42A5D"/>
    <w:rsid w:val="00B42B21"/>
    <w:rsid w:val="00B42B59"/>
    <w:rsid w:val="00B42B9F"/>
    <w:rsid w:val="00B42C9C"/>
    <w:rsid w:val="00B42CEC"/>
    <w:rsid w:val="00B42CF7"/>
    <w:rsid w:val="00B42D89"/>
    <w:rsid w:val="00B42DA2"/>
    <w:rsid w:val="00B42DFE"/>
    <w:rsid w:val="00B42E24"/>
    <w:rsid w:val="00B42E7D"/>
    <w:rsid w:val="00B42F68"/>
    <w:rsid w:val="00B42FF6"/>
    <w:rsid w:val="00B430C8"/>
    <w:rsid w:val="00B430E3"/>
    <w:rsid w:val="00B430F1"/>
    <w:rsid w:val="00B43116"/>
    <w:rsid w:val="00B43143"/>
    <w:rsid w:val="00B43164"/>
    <w:rsid w:val="00B43195"/>
    <w:rsid w:val="00B4319C"/>
    <w:rsid w:val="00B431C8"/>
    <w:rsid w:val="00B43350"/>
    <w:rsid w:val="00B4335E"/>
    <w:rsid w:val="00B433AA"/>
    <w:rsid w:val="00B43646"/>
    <w:rsid w:val="00B4381D"/>
    <w:rsid w:val="00B438C1"/>
    <w:rsid w:val="00B438C3"/>
    <w:rsid w:val="00B43A24"/>
    <w:rsid w:val="00B43A51"/>
    <w:rsid w:val="00B43AB7"/>
    <w:rsid w:val="00B43B0E"/>
    <w:rsid w:val="00B43B53"/>
    <w:rsid w:val="00B43BE0"/>
    <w:rsid w:val="00B43C17"/>
    <w:rsid w:val="00B43C4A"/>
    <w:rsid w:val="00B43D30"/>
    <w:rsid w:val="00B43DAC"/>
    <w:rsid w:val="00B43DD2"/>
    <w:rsid w:val="00B43E19"/>
    <w:rsid w:val="00B43F2A"/>
    <w:rsid w:val="00B44024"/>
    <w:rsid w:val="00B4405E"/>
    <w:rsid w:val="00B440A4"/>
    <w:rsid w:val="00B44144"/>
    <w:rsid w:val="00B441C2"/>
    <w:rsid w:val="00B44218"/>
    <w:rsid w:val="00B442E6"/>
    <w:rsid w:val="00B44335"/>
    <w:rsid w:val="00B4436E"/>
    <w:rsid w:val="00B44392"/>
    <w:rsid w:val="00B443DF"/>
    <w:rsid w:val="00B444A8"/>
    <w:rsid w:val="00B445D3"/>
    <w:rsid w:val="00B44708"/>
    <w:rsid w:val="00B4478F"/>
    <w:rsid w:val="00B44798"/>
    <w:rsid w:val="00B447D6"/>
    <w:rsid w:val="00B44846"/>
    <w:rsid w:val="00B448C7"/>
    <w:rsid w:val="00B44A21"/>
    <w:rsid w:val="00B44A23"/>
    <w:rsid w:val="00B44A25"/>
    <w:rsid w:val="00B44A69"/>
    <w:rsid w:val="00B44AAA"/>
    <w:rsid w:val="00B44AF3"/>
    <w:rsid w:val="00B44C16"/>
    <w:rsid w:val="00B44C1E"/>
    <w:rsid w:val="00B44C8D"/>
    <w:rsid w:val="00B44CF9"/>
    <w:rsid w:val="00B44E38"/>
    <w:rsid w:val="00B44E59"/>
    <w:rsid w:val="00B44EB7"/>
    <w:rsid w:val="00B4501A"/>
    <w:rsid w:val="00B45092"/>
    <w:rsid w:val="00B451BE"/>
    <w:rsid w:val="00B451E9"/>
    <w:rsid w:val="00B451F3"/>
    <w:rsid w:val="00B45325"/>
    <w:rsid w:val="00B45335"/>
    <w:rsid w:val="00B45445"/>
    <w:rsid w:val="00B454F5"/>
    <w:rsid w:val="00B45553"/>
    <w:rsid w:val="00B4558B"/>
    <w:rsid w:val="00B455D1"/>
    <w:rsid w:val="00B455F2"/>
    <w:rsid w:val="00B456CA"/>
    <w:rsid w:val="00B457D0"/>
    <w:rsid w:val="00B45945"/>
    <w:rsid w:val="00B4595A"/>
    <w:rsid w:val="00B45964"/>
    <w:rsid w:val="00B45A3F"/>
    <w:rsid w:val="00B45A49"/>
    <w:rsid w:val="00B45A62"/>
    <w:rsid w:val="00B45A94"/>
    <w:rsid w:val="00B45AD2"/>
    <w:rsid w:val="00B45B25"/>
    <w:rsid w:val="00B45B4C"/>
    <w:rsid w:val="00B45BDA"/>
    <w:rsid w:val="00B45BE5"/>
    <w:rsid w:val="00B45C63"/>
    <w:rsid w:val="00B45C8C"/>
    <w:rsid w:val="00B45D05"/>
    <w:rsid w:val="00B45E10"/>
    <w:rsid w:val="00B45E44"/>
    <w:rsid w:val="00B45EF9"/>
    <w:rsid w:val="00B46017"/>
    <w:rsid w:val="00B460EC"/>
    <w:rsid w:val="00B46119"/>
    <w:rsid w:val="00B46177"/>
    <w:rsid w:val="00B4618D"/>
    <w:rsid w:val="00B4628E"/>
    <w:rsid w:val="00B463C6"/>
    <w:rsid w:val="00B464A0"/>
    <w:rsid w:val="00B464E1"/>
    <w:rsid w:val="00B464F9"/>
    <w:rsid w:val="00B46512"/>
    <w:rsid w:val="00B46522"/>
    <w:rsid w:val="00B46533"/>
    <w:rsid w:val="00B4658F"/>
    <w:rsid w:val="00B466CD"/>
    <w:rsid w:val="00B4670B"/>
    <w:rsid w:val="00B46786"/>
    <w:rsid w:val="00B46803"/>
    <w:rsid w:val="00B4684C"/>
    <w:rsid w:val="00B46906"/>
    <w:rsid w:val="00B4696C"/>
    <w:rsid w:val="00B4696D"/>
    <w:rsid w:val="00B46997"/>
    <w:rsid w:val="00B469B8"/>
    <w:rsid w:val="00B469E5"/>
    <w:rsid w:val="00B46ABD"/>
    <w:rsid w:val="00B46ADD"/>
    <w:rsid w:val="00B46AFC"/>
    <w:rsid w:val="00B46B5B"/>
    <w:rsid w:val="00B46BA0"/>
    <w:rsid w:val="00B46BD8"/>
    <w:rsid w:val="00B46C44"/>
    <w:rsid w:val="00B46CF2"/>
    <w:rsid w:val="00B46D08"/>
    <w:rsid w:val="00B46D0D"/>
    <w:rsid w:val="00B46E84"/>
    <w:rsid w:val="00B46EAC"/>
    <w:rsid w:val="00B46FA5"/>
    <w:rsid w:val="00B470D0"/>
    <w:rsid w:val="00B470DA"/>
    <w:rsid w:val="00B471BC"/>
    <w:rsid w:val="00B471D9"/>
    <w:rsid w:val="00B47245"/>
    <w:rsid w:val="00B47402"/>
    <w:rsid w:val="00B47440"/>
    <w:rsid w:val="00B4749F"/>
    <w:rsid w:val="00B474C1"/>
    <w:rsid w:val="00B47590"/>
    <w:rsid w:val="00B475B7"/>
    <w:rsid w:val="00B475D2"/>
    <w:rsid w:val="00B4762A"/>
    <w:rsid w:val="00B47659"/>
    <w:rsid w:val="00B476A4"/>
    <w:rsid w:val="00B4778C"/>
    <w:rsid w:val="00B477E5"/>
    <w:rsid w:val="00B4783B"/>
    <w:rsid w:val="00B4785B"/>
    <w:rsid w:val="00B478A5"/>
    <w:rsid w:val="00B47960"/>
    <w:rsid w:val="00B479EF"/>
    <w:rsid w:val="00B47ABC"/>
    <w:rsid w:val="00B47B1C"/>
    <w:rsid w:val="00B47C65"/>
    <w:rsid w:val="00B47DA0"/>
    <w:rsid w:val="00B47F37"/>
    <w:rsid w:val="00B47F44"/>
    <w:rsid w:val="00B47F5D"/>
    <w:rsid w:val="00B47FAD"/>
    <w:rsid w:val="00B47FB5"/>
    <w:rsid w:val="00B47FC2"/>
    <w:rsid w:val="00B5014E"/>
    <w:rsid w:val="00B50195"/>
    <w:rsid w:val="00B501C2"/>
    <w:rsid w:val="00B501DA"/>
    <w:rsid w:val="00B501FC"/>
    <w:rsid w:val="00B5023D"/>
    <w:rsid w:val="00B50301"/>
    <w:rsid w:val="00B503A5"/>
    <w:rsid w:val="00B50498"/>
    <w:rsid w:val="00B505BF"/>
    <w:rsid w:val="00B505CA"/>
    <w:rsid w:val="00B505DB"/>
    <w:rsid w:val="00B506CE"/>
    <w:rsid w:val="00B506D9"/>
    <w:rsid w:val="00B507B2"/>
    <w:rsid w:val="00B507B9"/>
    <w:rsid w:val="00B507EE"/>
    <w:rsid w:val="00B508DD"/>
    <w:rsid w:val="00B5097E"/>
    <w:rsid w:val="00B50B2E"/>
    <w:rsid w:val="00B50BD0"/>
    <w:rsid w:val="00B50CCC"/>
    <w:rsid w:val="00B50CD6"/>
    <w:rsid w:val="00B50CFA"/>
    <w:rsid w:val="00B50D1C"/>
    <w:rsid w:val="00B50D8E"/>
    <w:rsid w:val="00B50D9B"/>
    <w:rsid w:val="00B50DCE"/>
    <w:rsid w:val="00B50E07"/>
    <w:rsid w:val="00B50E28"/>
    <w:rsid w:val="00B510D8"/>
    <w:rsid w:val="00B511C7"/>
    <w:rsid w:val="00B511FE"/>
    <w:rsid w:val="00B51334"/>
    <w:rsid w:val="00B513A1"/>
    <w:rsid w:val="00B51488"/>
    <w:rsid w:val="00B5148A"/>
    <w:rsid w:val="00B51525"/>
    <w:rsid w:val="00B515DA"/>
    <w:rsid w:val="00B515FA"/>
    <w:rsid w:val="00B516D7"/>
    <w:rsid w:val="00B516EF"/>
    <w:rsid w:val="00B51790"/>
    <w:rsid w:val="00B517C7"/>
    <w:rsid w:val="00B51880"/>
    <w:rsid w:val="00B51929"/>
    <w:rsid w:val="00B5195A"/>
    <w:rsid w:val="00B5196F"/>
    <w:rsid w:val="00B51A5C"/>
    <w:rsid w:val="00B51A73"/>
    <w:rsid w:val="00B51AE7"/>
    <w:rsid w:val="00B51AF0"/>
    <w:rsid w:val="00B51AFD"/>
    <w:rsid w:val="00B51B4F"/>
    <w:rsid w:val="00B51B50"/>
    <w:rsid w:val="00B51B61"/>
    <w:rsid w:val="00B51BE0"/>
    <w:rsid w:val="00B51C5B"/>
    <w:rsid w:val="00B51CF3"/>
    <w:rsid w:val="00B51DED"/>
    <w:rsid w:val="00B51E5F"/>
    <w:rsid w:val="00B51E65"/>
    <w:rsid w:val="00B51E8B"/>
    <w:rsid w:val="00B51F27"/>
    <w:rsid w:val="00B51F2A"/>
    <w:rsid w:val="00B51F8B"/>
    <w:rsid w:val="00B51F9E"/>
    <w:rsid w:val="00B520DC"/>
    <w:rsid w:val="00B520FC"/>
    <w:rsid w:val="00B52135"/>
    <w:rsid w:val="00B52160"/>
    <w:rsid w:val="00B52206"/>
    <w:rsid w:val="00B5220E"/>
    <w:rsid w:val="00B5221D"/>
    <w:rsid w:val="00B52267"/>
    <w:rsid w:val="00B522A7"/>
    <w:rsid w:val="00B522AB"/>
    <w:rsid w:val="00B522DF"/>
    <w:rsid w:val="00B522E9"/>
    <w:rsid w:val="00B524C5"/>
    <w:rsid w:val="00B524EB"/>
    <w:rsid w:val="00B52502"/>
    <w:rsid w:val="00B52513"/>
    <w:rsid w:val="00B525C2"/>
    <w:rsid w:val="00B526B7"/>
    <w:rsid w:val="00B527B9"/>
    <w:rsid w:val="00B527C5"/>
    <w:rsid w:val="00B527EC"/>
    <w:rsid w:val="00B52859"/>
    <w:rsid w:val="00B52877"/>
    <w:rsid w:val="00B52883"/>
    <w:rsid w:val="00B528CC"/>
    <w:rsid w:val="00B528D5"/>
    <w:rsid w:val="00B52956"/>
    <w:rsid w:val="00B52967"/>
    <w:rsid w:val="00B5298F"/>
    <w:rsid w:val="00B529C7"/>
    <w:rsid w:val="00B529F2"/>
    <w:rsid w:val="00B52AB0"/>
    <w:rsid w:val="00B52AD2"/>
    <w:rsid w:val="00B52BE6"/>
    <w:rsid w:val="00B52BFB"/>
    <w:rsid w:val="00B52C12"/>
    <w:rsid w:val="00B52C13"/>
    <w:rsid w:val="00B52C41"/>
    <w:rsid w:val="00B52D18"/>
    <w:rsid w:val="00B52D89"/>
    <w:rsid w:val="00B52DCC"/>
    <w:rsid w:val="00B52E07"/>
    <w:rsid w:val="00B52E25"/>
    <w:rsid w:val="00B52E5C"/>
    <w:rsid w:val="00B52E86"/>
    <w:rsid w:val="00B52EC2"/>
    <w:rsid w:val="00B52EF8"/>
    <w:rsid w:val="00B52F43"/>
    <w:rsid w:val="00B52F67"/>
    <w:rsid w:val="00B52F8B"/>
    <w:rsid w:val="00B52F9B"/>
    <w:rsid w:val="00B52FB1"/>
    <w:rsid w:val="00B52FC9"/>
    <w:rsid w:val="00B52FFC"/>
    <w:rsid w:val="00B53024"/>
    <w:rsid w:val="00B5309C"/>
    <w:rsid w:val="00B53155"/>
    <w:rsid w:val="00B53160"/>
    <w:rsid w:val="00B531B5"/>
    <w:rsid w:val="00B531C4"/>
    <w:rsid w:val="00B531C5"/>
    <w:rsid w:val="00B53257"/>
    <w:rsid w:val="00B5327C"/>
    <w:rsid w:val="00B53288"/>
    <w:rsid w:val="00B532CE"/>
    <w:rsid w:val="00B532FC"/>
    <w:rsid w:val="00B5341A"/>
    <w:rsid w:val="00B5360A"/>
    <w:rsid w:val="00B536A8"/>
    <w:rsid w:val="00B53702"/>
    <w:rsid w:val="00B5380B"/>
    <w:rsid w:val="00B53853"/>
    <w:rsid w:val="00B53A2A"/>
    <w:rsid w:val="00B53A3A"/>
    <w:rsid w:val="00B53ABF"/>
    <w:rsid w:val="00B53B85"/>
    <w:rsid w:val="00B53BB3"/>
    <w:rsid w:val="00B53D1C"/>
    <w:rsid w:val="00B53D33"/>
    <w:rsid w:val="00B53EAE"/>
    <w:rsid w:val="00B53EE8"/>
    <w:rsid w:val="00B53EF9"/>
    <w:rsid w:val="00B53F2A"/>
    <w:rsid w:val="00B53F40"/>
    <w:rsid w:val="00B53FF2"/>
    <w:rsid w:val="00B54017"/>
    <w:rsid w:val="00B540C2"/>
    <w:rsid w:val="00B5410B"/>
    <w:rsid w:val="00B54241"/>
    <w:rsid w:val="00B5428A"/>
    <w:rsid w:val="00B542D9"/>
    <w:rsid w:val="00B542FC"/>
    <w:rsid w:val="00B54382"/>
    <w:rsid w:val="00B543A8"/>
    <w:rsid w:val="00B543C9"/>
    <w:rsid w:val="00B543D9"/>
    <w:rsid w:val="00B543EB"/>
    <w:rsid w:val="00B5444B"/>
    <w:rsid w:val="00B54451"/>
    <w:rsid w:val="00B54494"/>
    <w:rsid w:val="00B544FC"/>
    <w:rsid w:val="00B54590"/>
    <w:rsid w:val="00B545B1"/>
    <w:rsid w:val="00B54663"/>
    <w:rsid w:val="00B547E0"/>
    <w:rsid w:val="00B547F7"/>
    <w:rsid w:val="00B54809"/>
    <w:rsid w:val="00B5499B"/>
    <w:rsid w:val="00B54A52"/>
    <w:rsid w:val="00B54A77"/>
    <w:rsid w:val="00B54A9B"/>
    <w:rsid w:val="00B54BE1"/>
    <w:rsid w:val="00B54C13"/>
    <w:rsid w:val="00B54CAC"/>
    <w:rsid w:val="00B54D6B"/>
    <w:rsid w:val="00B54D85"/>
    <w:rsid w:val="00B54E62"/>
    <w:rsid w:val="00B54EF7"/>
    <w:rsid w:val="00B54FCD"/>
    <w:rsid w:val="00B5504E"/>
    <w:rsid w:val="00B5528A"/>
    <w:rsid w:val="00B552E4"/>
    <w:rsid w:val="00B55383"/>
    <w:rsid w:val="00B55483"/>
    <w:rsid w:val="00B55493"/>
    <w:rsid w:val="00B555FC"/>
    <w:rsid w:val="00B556FE"/>
    <w:rsid w:val="00B5572D"/>
    <w:rsid w:val="00B557E3"/>
    <w:rsid w:val="00B55898"/>
    <w:rsid w:val="00B5590C"/>
    <w:rsid w:val="00B5597F"/>
    <w:rsid w:val="00B55A71"/>
    <w:rsid w:val="00B55A8C"/>
    <w:rsid w:val="00B55ACF"/>
    <w:rsid w:val="00B55B26"/>
    <w:rsid w:val="00B55B87"/>
    <w:rsid w:val="00B55BE0"/>
    <w:rsid w:val="00B55C93"/>
    <w:rsid w:val="00B55CEA"/>
    <w:rsid w:val="00B55CF5"/>
    <w:rsid w:val="00B55D46"/>
    <w:rsid w:val="00B55DA1"/>
    <w:rsid w:val="00B55DFB"/>
    <w:rsid w:val="00B55E68"/>
    <w:rsid w:val="00B55E7F"/>
    <w:rsid w:val="00B55F74"/>
    <w:rsid w:val="00B56027"/>
    <w:rsid w:val="00B56046"/>
    <w:rsid w:val="00B56083"/>
    <w:rsid w:val="00B560FF"/>
    <w:rsid w:val="00B5617F"/>
    <w:rsid w:val="00B561FB"/>
    <w:rsid w:val="00B56231"/>
    <w:rsid w:val="00B5652C"/>
    <w:rsid w:val="00B5654E"/>
    <w:rsid w:val="00B5654F"/>
    <w:rsid w:val="00B565B1"/>
    <w:rsid w:val="00B56818"/>
    <w:rsid w:val="00B56894"/>
    <w:rsid w:val="00B5694E"/>
    <w:rsid w:val="00B5695C"/>
    <w:rsid w:val="00B56A19"/>
    <w:rsid w:val="00B56B3A"/>
    <w:rsid w:val="00B56BC8"/>
    <w:rsid w:val="00B56C58"/>
    <w:rsid w:val="00B56C82"/>
    <w:rsid w:val="00B56CC3"/>
    <w:rsid w:val="00B56CC6"/>
    <w:rsid w:val="00B56D0D"/>
    <w:rsid w:val="00B56D87"/>
    <w:rsid w:val="00B56DC0"/>
    <w:rsid w:val="00B56DF2"/>
    <w:rsid w:val="00B56E75"/>
    <w:rsid w:val="00B56F39"/>
    <w:rsid w:val="00B56FE9"/>
    <w:rsid w:val="00B5705C"/>
    <w:rsid w:val="00B5706E"/>
    <w:rsid w:val="00B570EC"/>
    <w:rsid w:val="00B5713B"/>
    <w:rsid w:val="00B57161"/>
    <w:rsid w:val="00B57298"/>
    <w:rsid w:val="00B57306"/>
    <w:rsid w:val="00B57399"/>
    <w:rsid w:val="00B57425"/>
    <w:rsid w:val="00B57446"/>
    <w:rsid w:val="00B574A0"/>
    <w:rsid w:val="00B575A6"/>
    <w:rsid w:val="00B575BC"/>
    <w:rsid w:val="00B57629"/>
    <w:rsid w:val="00B5789F"/>
    <w:rsid w:val="00B5791D"/>
    <w:rsid w:val="00B5794A"/>
    <w:rsid w:val="00B57A54"/>
    <w:rsid w:val="00B57AA4"/>
    <w:rsid w:val="00B57ABC"/>
    <w:rsid w:val="00B57B48"/>
    <w:rsid w:val="00B57B52"/>
    <w:rsid w:val="00B57BD2"/>
    <w:rsid w:val="00B57C40"/>
    <w:rsid w:val="00B57C6E"/>
    <w:rsid w:val="00B57CF2"/>
    <w:rsid w:val="00B57DF4"/>
    <w:rsid w:val="00B57F4F"/>
    <w:rsid w:val="00B57F5C"/>
    <w:rsid w:val="00B57F7D"/>
    <w:rsid w:val="00B57F90"/>
    <w:rsid w:val="00B57FAF"/>
    <w:rsid w:val="00B57FCE"/>
    <w:rsid w:val="00B6005F"/>
    <w:rsid w:val="00B60090"/>
    <w:rsid w:val="00B600D9"/>
    <w:rsid w:val="00B60117"/>
    <w:rsid w:val="00B60141"/>
    <w:rsid w:val="00B60186"/>
    <w:rsid w:val="00B601C7"/>
    <w:rsid w:val="00B60234"/>
    <w:rsid w:val="00B602C8"/>
    <w:rsid w:val="00B60301"/>
    <w:rsid w:val="00B60323"/>
    <w:rsid w:val="00B60327"/>
    <w:rsid w:val="00B60394"/>
    <w:rsid w:val="00B603F0"/>
    <w:rsid w:val="00B60469"/>
    <w:rsid w:val="00B604BF"/>
    <w:rsid w:val="00B604D3"/>
    <w:rsid w:val="00B6054E"/>
    <w:rsid w:val="00B60559"/>
    <w:rsid w:val="00B60584"/>
    <w:rsid w:val="00B605AC"/>
    <w:rsid w:val="00B605AE"/>
    <w:rsid w:val="00B6063A"/>
    <w:rsid w:val="00B60681"/>
    <w:rsid w:val="00B60702"/>
    <w:rsid w:val="00B6095D"/>
    <w:rsid w:val="00B60A7C"/>
    <w:rsid w:val="00B60AB7"/>
    <w:rsid w:val="00B60BB1"/>
    <w:rsid w:val="00B60BCF"/>
    <w:rsid w:val="00B60C16"/>
    <w:rsid w:val="00B60C39"/>
    <w:rsid w:val="00B60C6D"/>
    <w:rsid w:val="00B60CC6"/>
    <w:rsid w:val="00B60CE7"/>
    <w:rsid w:val="00B60D64"/>
    <w:rsid w:val="00B60D65"/>
    <w:rsid w:val="00B60D6E"/>
    <w:rsid w:val="00B60DF8"/>
    <w:rsid w:val="00B60E2F"/>
    <w:rsid w:val="00B60E31"/>
    <w:rsid w:val="00B60E3C"/>
    <w:rsid w:val="00B60E7D"/>
    <w:rsid w:val="00B60ED3"/>
    <w:rsid w:val="00B60EE1"/>
    <w:rsid w:val="00B60F6A"/>
    <w:rsid w:val="00B60FF8"/>
    <w:rsid w:val="00B6109B"/>
    <w:rsid w:val="00B610B5"/>
    <w:rsid w:val="00B6114C"/>
    <w:rsid w:val="00B611BD"/>
    <w:rsid w:val="00B612F6"/>
    <w:rsid w:val="00B61323"/>
    <w:rsid w:val="00B6132B"/>
    <w:rsid w:val="00B613ED"/>
    <w:rsid w:val="00B6140C"/>
    <w:rsid w:val="00B61494"/>
    <w:rsid w:val="00B614CF"/>
    <w:rsid w:val="00B61508"/>
    <w:rsid w:val="00B615FF"/>
    <w:rsid w:val="00B616A5"/>
    <w:rsid w:val="00B616B3"/>
    <w:rsid w:val="00B616E0"/>
    <w:rsid w:val="00B61713"/>
    <w:rsid w:val="00B6174D"/>
    <w:rsid w:val="00B617E0"/>
    <w:rsid w:val="00B617FD"/>
    <w:rsid w:val="00B61898"/>
    <w:rsid w:val="00B61912"/>
    <w:rsid w:val="00B6191B"/>
    <w:rsid w:val="00B619BB"/>
    <w:rsid w:val="00B619FB"/>
    <w:rsid w:val="00B61A24"/>
    <w:rsid w:val="00B61A48"/>
    <w:rsid w:val="00B61A52"/>
    <w:rsid w:val="00B61AFC"/>
    <w:rsid w:val="00B61C5C"/>
    <w:rsid w:val="00B61C7C"/>
    <w:rsid w:val="00B61CDB"/>
    <w:rsid w:val="00B61CFA"/>
    <w:rsid w:val="00B61D56"/>
    <w:rsid w:val="00B61E57"/>
    <w:rsid w:val="00B61F14"/>
    <w:rsid w:val="00B61F4E"/>
    <w:rsid w:val="00B61FF8"/>
    <w:rsid w:val="00B62041"/>
    <w:rsid w:val="00B620C8"/>
    <w:rsid w:val="00B6213E"/>
    <w:rsid w:val="00B62149"/>
    <w:rsid w:val="00B621FF"/>
    <w:rsid w:val="00B62218"/>
    <w:rsid w:val="00B6222C"/>
    <w:rsid w:val="00B622A7"/>
    <w:rsid w:val="00B62321"/>
    <w:rsid w:val="00B62346"/>
    <w:rsid w:val="00B62370"/>
    <w:rsid w:val="00B623A5"/>
    <w:rsid w:val="00B62432"/>
    <w:rsid w:val="00B62477"/>
    <w:rsid w:val="00B62500"/>
    <w:rsid w:val="00B6250D"/>
    <w:rsid w:val="00B6251A"/>
    <w:rsid w:val="00B6262C"/>
    <w:rsid w:val="00B62631"/>
    <w:rsid w:val="00B62692"/>
    <w:rsid w:val="00B626A0"/>
    <w:rsid w:val="00B62724"/>
    <w:rsid w:val="00B6279F"/>
    <w:rsid w:val="00B627F9"/>
    <w:rsid w:val="00B627FF"/>
    <w:rsid w:val="00B62872"/>
    <w:rsid w:val="00B62890"/>
    <w:rsid w:val="00B62960"/>
    <w:rsid w:val="00B629B2"/>
    <w:rsid w:val="00B62BCF"/>
    <w:rsid w:val="00B62C91"/>
    <w:rsid w:val="00B62D10"/>
    <w:rsid w:val="00B62E7D"/>
    <w:rsid w:val="00B630C7"/>
    <w:rsid w:val="00B6317E"/>
    <w:rsid w:val="00B631AB"/>
    <w:rsid w:val="00B631D1"/>
    <w:rsid w:val="00B631F5"/>
    <w:rsid w:val="00B63207"/>
    <w:rsid w:val="00B63396"/>
    <w:rsid w:val="00B6339C"/>
    <w:rsid w:val="00B63402"/>
    <w:rsid w:val="00B63482"/>
    <w:rsid w:val="00B634B1"/>
    <w:rsid w:val="00B63526"/>
    <w:rsid w:val="00B63539"/>
    <w:rsid w:val="00B635E0"/>
    <w:rsid w:val="00B635FE"/>
    <w:rsid w:val="00B6380B"/>
    <w:rsid w:val="00B6382E"/>
    <w:rsid w:val="00B6387A"/>
    <w:rsid w:val="00B6389B"/>
    <w:rsid w:val="00B639E6"/>
    <w:rsid w:val="00B63A7B"/>
    <w:rsid w:val="00B63AD1"/>
    <w:rsid w:val="00B63B2D"/>
    <w:rsid w:val="00B63B87"/>
    <w:rsid w:val="00B63C0E"/>
    <w:rsid w:val="00B63C1C"/>
    <w:rsid w:val="00B63C21"/>
    <w:rsid w:val="00B63CE4"/>
    <w:rsid w:val="00B63CF3"/>
    <w:rsid w:val="00B63DCA"/>
    <w:rsid w:val="00B63DF4"/>
    <w:rsid w:val="00B63E27"/>
    <w:rsid w:val="00B63E3D"/>
    <w:rsid w:val="00B63E47"/>
    <w:rsid w:val="00B63EDC"/>
    <w:rsid w:val="00B63F95"/>
    <w:rsid w:val="00B63FC0"/>
    <w:rsid w:val="00B63FF9"/>
    <w:rsid w:val="00B63FFA"/>
    <w:rsid w:val="00B640B3"/>
    <w:rsid w:val="00B640EE"/>
    <w:rsid w:val="00B641E1"/>
    <w:rsid w:val="00B64274"/>
    <w:rsid w:val="00B642CC"/>
    <w:rsid w:val="00B6430C"/>
    <w:rsid w:val="00B64383"/>
    <w:rsid w:val="00B64449"/>
    <w:rsid w:val="00B6447B"/>
    <w:rsid w:val="00B64545"/>
    <w:rsid w:val="00B6458E"/>
    <w:rsid w:val="00B645A5"/>
    <w:rsid w:val="00B645C9"/>
    <w:rsid w:val="00B6460D"/>
    <w:rsid w:val="00B64622"/>
    <w:rsid w:val="00B646BE"/>
    <w:rsid w:val="00B6474E"/>
    <w:rsid w:val="00B6478A"/>
    <w:rsid w:val="00B6478C"/>
    <w:rsid w:val="00B6484C"/>
    <w:rsid w:val="00B648F9"/>
    <w:rsid w:val="00B648FC"/>
    <w:rsid w:val="00B64973"/>
    <w:rsid w:val="00B64B23"/>
    <w:rsid w:val="00B64B61"/>
    <w:rsid w:val="00B64C29"/>
    <w:rsid w:val="00B64C79"/>
    <w:rsid w:val="00B64CD4"/>
    <w:rsid w:val="00B64D2D"/>
    <w:rsid w:val="00B64D38"/>
    <w:rsid w:val="00B64DE1"/>
    <w:rsid w:val="00B64EA1"/>
    <w:rsid w:val="00B64EA9"/>
    <w:rsid w:val="00B64F5E"/>
    <w:rsid w:val="00B64F82"/>
    <w:rsid w:val="00B64FBF"/>
    <w:rsid w:val="00B64FC2"/>
    <w:rsid w:val="00B65142"/>
    <w:rsid w:val="00B6521D"/>
    <w:rsid w:val="00B65313"/>
    <w:rsid w:val="00B65354"/>
    <w:rsid w:val="00B6536A"/>
    <w:rsid w:val="00B653BB"/>
    <w:rsid w:val="00B653D7"/>
    <w:rsid w:val="00B65512"/>
    <w:rsid w:val="00B65536"/>
    <w:rsid w:val="00B656A0"/>
    <w:rsid w:val="00B6579F"/>
    <w:rsid w:val="00B657BE"/>
    <w:rsid w:val="00B657C4"/>
    <w:rsid w:val="00B6582C"/>
    <w:rsid w:val="00B65833"/>
    <w:rsid w:val="00B659C8"/>
    <w:rsid w:val="00B65B85"/>
    <w:rsid w:val="00B65BA5"/>
    <w:rsid w:val="00B65BB9"/>
    <w:rsid w:val="00B65BDE"/>
    <w:rsid w:val="00B65C18"/>
    <w:rsid w:val="00B65C60"/>
    <w:rsid w:val="00B65C81"/>
    <w:rsid w:val="00B65D2B"/>
    <w:rsid w:val="00B65D34"/>
    <w:rsid w:val="00B65DA9"/>
    <w:rsid w:val="00B65DC8"/>
    <w:rsid w:val="00B65E0C"/>
    <w:rsid w:val="00B65F2A"/>
    <w:rsid w:val="00B65FE0"/>
    <w:rsid w:val="00B661BE"/>
    <w:rsid w:val="00B6634E"/>
    <w:rsid w:val="00B66354"/>
    <w:rsid w:val="00B66365"/>
    <w:rsid w:val="00B6639E"/>
    <w:rsid w:val="00B66593"/>
    <w:rsid w:val="00B66658"/>
    <w:rsid w:val="00B6668A"/>
    <w:rsid w:val="00B666A2"/>
    <w:rsid w:val="00B666FF"/>
    <w:rsid w:val="00B66734"/>
    <w:rsid w:val="00B66760"/>
    <w:rsid w:val="00B66795"/>
    <w:rsid w:val="00B6679F"/>
    <w:rsid w:val="00B667EA"/>
    <w:rsid w:val="00B667F4"/>
    <w:rsid w:val="00B66898"/>
    <w:rsid w:val="00B66951"/>
    <w:rsid w:val="00B66B15"/>
    <w:rsid w:val="00B66B1C"/>
    <w:rsid w:val="00B66BAD"/>
    <w:rsid w:val="00B66C7A"/>
    <w:rsid w:val="00B66C9D"/>
    <w:rsid w:val="00B66D38"/>
    <w:rsid w:val="00B66DA0"/>
    <w:rsid w:val="00B66DA9"/>
    <w:rsid w:val="00B66DD1"/>
    <w:rsid w:val="00B66EB1"/>
    <w:rsid w:val="00B66ED2"/>
    <w:rsid w:val="00B66F11"/>
    <w:rsid w:val="00B66F3D"/>
    <w:rsid w:val="00B66F59"/>
    <w:rsid w:val="00B66F74"/>
    <w:rsid w:val="00B67134"/>
    <w:rsid w:val="00B67158"/>
    <w:rsid w:val="00B6716A"/>
    <w:rsid w:val="00B6718A"/>
    <w:rsid w:val="00B671A4"/>
    <w:rsid w:val="00B671D8"/>
    <w:rsid w:val="00B67223"/>
    <w:rsid w:val="00B67296"/>
    <w:rsid w:val="00B672A6"/>
    <w:rsid w:val="00B67303"/>
    <w:rsid w:val="00B67305"/>
    <w:rsid w:val="00B6740C"/>
    <w:rsid w:val="00B67418"/>
    <w:rsid w:val="00B67427"/>
    <w:rsid w:val="00B6744F"/>
    <w:rsid w:val="00B67461"/>
    <w:rsid w:val="00B67593"/>
    <w:rsid w:val="00B6759A"/>
    <w:rsid w:val="00B675BC"/>
    <w:rsid w:val="00B675DD"/>
    <w:rsid w:val="00B675F8"/>
    <w:rsid w:val="00B67621"/>
    <w:rsid w:val="00B6768E"/>
    <w:rsid w:val="00B676EC"/>
    <w:rsid w:val="00B676ED"/>
    <w:rsid w:val="00B67796"/>
    <w:rsid w:val="00B677E6"/>
    <w:rsid w:val="00B6783F"/>
    <w:rsid w:val="00B678B6"/>
    <w:rsid w:val="00B6799B"/>
    <w:rsid w:val="00B67A4F"/>
    <w:rsid w:val="00B67A72"/>
    <w:rsid w:val="00B67A81"/>
    <w:rsid w:val="00B67AF1"/>
    <w:rsid w:val="00B67B01"/>
    <w:rsid w:val="00B67B1E"/>
    <w:rsid w:val="00B67B46"/>
    <w:rsid w:val="00B67B86"/>
    <w:rsid w:val="00B67C43"/>
    <w:rsid w:val="00B67C4C"/>
    <w:rsid w:val="00B67D1D"/>
    <w:rsid w:val="00B67D26"/>
    <w:rsid w:val="00B67DF6"/>
    <w:rsid w:val="00B67E70"/>
    <w:rsid w:val="00B67F6E"/>
    <w:rsid w:val="00B70031"/>
    <w:rsid w:val="00B700EF"/>
    <w:rsid w:val="00B7014D"/>
    <w:rsid w:val="00B70248"/>
    <w:rsid w:val="00B70361"/>
    <w:rsid w:val="00B703DC"/>
    <w:rsid w:val="00B70469"/>
    <w:rsid w:val="00B704F4"/>
    <w:rsid w:val="00B7054E"/>
    <w:rsid w:val="00B70586"/>
    <w:rsid w:val="00B705E0"/>
    <w:rsid w:val="00B705F1"/>
    <w:rsid w:val="00B706F8"/>
    <w:rsid w:val="00B70728"/>
    <w:rsid w:val="00B70798"/>
    <w:rsid w:val="00B707D7"/>
    <w:rsid w:val="00B707E7"/>
    <w:rsid w:val="00B707EB"/>
    <w:rsid w:val="00B707FF"/>
    <w:rsid w:val="00B7089A"/>
    <w:rsid w:val="00B709CC"/>
    <w:rsid w:val="00B709E3"/>
    <w:rsid w:val="00B70A17"/>
    <w:rsid w:val="00B70A4F"/>
    <w:rsid w:val="00B70AB9"/>
    <w:rsid w:val="00B70B89"/>
    <w:rsid w:val="00B70C5F"/>
    <w:rsid w:val="00B70CAA"/>
    <w:rsid w:val="00B70E0A"/>
    <w:rsid w:val="00B70EEB"/>
    <w:rsid w:val="00B70F71"/>
    <w:rsid w:val="00B71044"/>
    <w:rsid w:val="00B710B7"/>
    <w:rsid w:val="00B711AF"/>
    <w:rsid w:val="00B711E7"/>
    <w:rsid w:val="00B711F2"/>
    <w:rsid w:val="00B71209"/>
    <w:rsid w:val="00B7120A"/>
    <w:rsid w:val="00B7123B"/>
    <w:rsid w:val="00B7127D"/>
    <w:rsid w:val="00B712A2"/>
    <w:rsid w:val="00B712C3"/>
    <w:rsid w:val="00B712E9"/>
    <w:rsid w:val="00B7134F"/>
    <w:rsid w:val="00B71366"/>
    <w:rsid w:val="00B714B8"/>
    <w:rsid w:val="00B7152A"/>
    <w:rsid w:val="00B71593"/>
    <w:rsid w:val="00B715BB"/>
    <w:rsid w:val="00B715DE"/>
    <w:rsid w:val="00B715E7"/>
    <w:rsid w:val="00B7170B"/>
    <w:rsid w:val="00B717DF"/>
    <w:rsid w:val="00B71870"/>
    <w:rsid w:val="00B719CE"/>
    <w:rsid w:val="00B719ED"/>
    <w:rsid w:val="00B71A13"/>
    <w:rsid w:val="00B71B48"/>
    <w:rsid w:val="00B71BBE"/>
    <w:rsid w:val="00B71CF2"/>
    <w:rsid w:val="00B71D1A"/>
    <w:rsid w:val="00B71D47"/>
    <w:rsid w:val="00B71E01"/>
    <w:rsid w:val="00B71EDC"/>
    <w:rsid w:val="00B7201C"/>
    <w:rsid w:val="00B72034"/>
    <w:rsid w:val="00B72062"/>
    <w:rsid w:val="00B72137"/>
    <w:rsid w:val="00B7215B"/>
    <w:rsid w:val="00B7217E"/>
    <w:rsid w:val="00B721C8"/>
    <w:rsid w:val="00B72238"/>
    <w:rsid w:val="00B72277"/>
    <w:rsid w:val="00B722D7"/>
    <w:rsid w:val="00B7231B"/>
    <w:rsid w:val="00B72358"/>
    <w:rsid w:val="00B7237C"/>
    <w:rsid w:val="00B72463"/>
    <w:rsid w:val="00B724D0"/>
    <w:rsid w:val="00B724E2"/>
    <w:rsid w:val="00B7252F"/>
    <w:rsid w:val="00B7253B"/>
    <w:rsid w:val="00B7255E"/>
    <w:rsid w:val="00B72587"/>
    <w:rsid w:val="00B726B1"/>
    <w:rsid w:val="00B726B8"/>
    <w:rsid w:val="00B726FF"/>
    <w:rsid w:val="00B7278E"/>
    <w:rsid w:val="00B727A2"/>
    <w:rsid w:val="00B727C1"/>
    <w:rsid w:val="00B727DC"/>
    <w:rsid w:val="00B727E6"/>
    <w:rsid w:val="00B72A1D"/>
    <w:rsid w:val="00B72A4C"/>
    <w:rsid w:val="00B72A55"/>
    <w:rsid w:val="00B72A67"/>
    <w:rsid w:val="00B72A68"/>
    <w:rsid w:val="00B72C61"/>
    <w:rsid w:val="00B72D10"/>
    <w:rsid w:val="00B72D45"/>
    <w:rsid w:val="00B72E02"/>
    <w:rsid w:val="00B72F27"/>
    <w:rsid w:val="00B72F4F"/>
    <w:rsid w:val="00B72F72"/>
    <w:rsid w:val="00B72FEE"/>
    <w:rsid w:val="00B73007"/>
    <w:rsid w:val="00B7300F"/>
    <w:rsid w:val="00B73020"/>
    <w:rsid w:val="00B730BD"/>
    <w:rsid w:val="00B7338F"/>
    <w:rsid w:val="00B73552"/>
    <w:rsid w:val="00B73662"/>
    <w:rsid w:val="00B736DF"/>
    <w:rsid w:val="00B73795"/>
    <w:rsid w:val="00B737D7"/>
    <w:rsid w:val="00B737F4"/>
    <w:rsid w:val="00B738D2"/>
    <w:rsid w:val="00B7397B"/>
    <w:rsid w:val="00B739B7"/>
    <w:rsid w:val="00B73A78"/>
    <w:rsid w:val="00B73A82"/>
    <w:rsid w:val="00B73A98"/>
    <w:rsid w:val="00B73A99"/>
    <w:rsid w:val="00B73AA3"/>
    <w:rsid w:val="00B73AD6"/>
    <w:rsid w:val="00B73B06"/>
    <w:rsid w:val="00B73B29"/>
    <w:rsid w:val="00B73B5D"/>
    <w:rsid w:val="00B73B62"/>
    <w:rsid w:val="00B73B6C"/>
    <w:rsid w:val="00B73B8E"/>
    <w:rsid w:val="00B73C15"/>
    <w:rsid w:val="00B73DD4"/>
    <w:rsid w:val="00B73DF0"/>
    <w:rsid w:val="00B73E2C"/>
    <w:rsid w:val="00B73E92"/>
    <w:rsid w:val="00B73EE6"/>
    <w:rsid w:val="00B73F0E"/>
    <w:rsid w:val="00B73F27"/>
    <w:rsid w:val="00B7400E"/>
    <w:rsid w:val="00B74048"/>
    <w:rsid w:val="00B74051"/>
    <w:rsid w:val="00B74087"/>
    <w:rsid w:val="00B740B1"/>
    <w:rsid w:val="00B740B7"/>
    <w:rsid w:val="00B740FC"/>
    <w:rsid w:val="00B74120"/>
    <w:rsid w:val="00B741AA"/>
    <w:rsid w:val="00B74203"/>
    <w:rsid w:val="00B74286"/>
    <w:rsid w:val="00B742E2"/>
    <w:rsid w:val="00B74375"/>
    <w:rsid w:val="00B7445D"/>
    <w:rsid w:val="00B744AD"/>
    <w:rsid w:val="00B7450B"/>
    <w:rsid w:val="00B7454F"/>
    <w:rsid w:val="00B745E2"/>
    <w:rsid w:val="00B746AB"/>
    <w:rsid w:val="00B74727"/>
    <w:rsid w:val="00B74756"/>
    <w:rsid w:val="00B7476B"/>
    <w:rsid w:val="00B747C3"/>
    <w:rsid w:val="00B7483B"/>
    <w:rsid w:val="00B7486E"/>
    <w:rsid w:val="00B748B1"/>
    <w:rsid w:val="00B74962"/>
    <w:rsid w:val="00B74988"/>
    <w:rsid w:val="00B74A68"/>
    <w:rsid w:val="00B74B2B"/>
    <w:rsid w:val="00B74BA7"/>
    <w:rsid w:val="00B74BAC"/>
    <w:rsid w:val="00B74BE7"/>
    <w:rsid w:val="00B74BF6"/>
    <w:rsid w:val="00B74C37"/>
    <w:rsid w:val="00B74DD5"/>
    <w:rsid w:val="00B74E21"/>
    <w:rsid w:val="00B74E2C"/>
    <w:rsid w:val="00B74E3A"/>
    <w:rsid w:val="00B750DA"/>
    <w:rsid w:val="00B750E7"/>
    <w:rsid w:val="00B7527D"/>
    <w:rsid w:val="00B75295"/>
    <w:rsid w:val="00B7530E"/>
    <w:rsid w:val="00B7531F"/>
    <w:rsid w:val="00B75370"/>
    <w:rsid w:val="00B753CB"/>
    <w:rsid w:val="00B7544D"/>
    <w:rsid w:val="00B75450"/>
    <w:rsid w:val="00B754BA"/>
    <w:rsid w:val="00B754F4"/>
    <w:rsid w:val="00B75509"/>
    <w:rsid w:val="00B755D1"/>
    <w:rsid w:val="00B755D6"/>
    <w:rsid w:val="00B75647"/>
    <w:rsid w:val="00B756AB"/>
    <w:rsid w:val="00B75700"/>
    <w:rsid w:val="00B75712"/>
    <w:rsid w:val="00B7572D"/>
    <w:rsid w:val="00B757FE"/>
    <w:rsid w:val="00B7582C"/>
    <w:rsid w:val="00B758C1"/>
    <w:rsid w:val="00B75941"/>
    <w:rsid w:val="00B75A10"/>
    <w:rsid w:val="00B75A9B"/>
    <w:rsid w:val="00B75B0D"/>
    <w:rsid w:val="00B75B63"/>
    <w:rsid w:val="00B75CAE"/>
    <w:rsid w:val="00B75DA8"/>
    <w:rsid w:val="00B75E1F"/>
    <w:rsid w:val="00B75E64"/>
    <w:rsid w:val="00B75F05"/>
    <w:rsid w:val="00B760B3"/>
    <w:rsid w:val="00B760B9"/>
    <w:rsid w:val="00B760D3"/>
    <w:rsid w:val="00B76118"/>
    <w:rsid w:val="00B761A1"/>
    <w:rsid w:val="00B7627C"/>
    <w:rsid w:val="00B76382"/>
    <w:rsid w:val="00B76439"/>
    <w:rsid w:val="00B7644D"/>
    <w:rsid w:val="00B76489"/>
    <w:rsid w:val="00B764BC"/>
    <w:rsid w:val="00B7655E"/>
    <w:rsid w:val="00B7665B"/>
    <w:rsid w:val="00B76665"/>
    <w:rsid w:val="00B7669B"/>
    <w:rsid w:val="00B767AB"/>
    <w:rsid w:val="00B767B5"/>
    <w:rsid w:val="00B76836"/>
    <w:rsid w:val="00B768D9"/>
    <w:rsid w:val="00B768E5"/>
    <w:rsid w:val="00B768E6"/>
    <w:rsid w:val="00B768F5"/>
    <w:rsid w:val="00B7693C"/>
    <w:rsid w:val="00B769A1"/>
    <w:rsid w:val="00B76A46"/>
    <w:rsid w:val="00B76A60"/>
    <w:rsid w:val="00B76AD1"/>
    <w:rsid w:val="00B76AE9"/>
    <w:rsid w:val="00B76B1C"/>
    <w:rsid w:val="00B76B56"/>
    <w:rsid w:val="00B76C2A"/>
    <w:rsid w:val="00B76D0B"/>
    <w:rsid w:val="00B76DED"/>
    <w:rsid w:val="00B76E60"/>
    <w:rsid w:val="00B76E68"/>
    <w:rsid w:val="00B76EB5"/>
    <w:rsid w:val="00B76EF9"/>
    <w:rsid w:val="00B76F07"/>
    <w:rsid w:val="00B76F0B"/>
    <w:rsid w:val="00B76F48"/>
    <w:rsid w:val="00B76F82"/>
    <w:rsid w:val="00B76FB8"/>
    <w:rsid w:val="00B770CB"/>
    <w:rsid w:val="00B770CC"/>
    <w:rsid w:val="00B770DD"/>
    <w:rsid w:val="00B7710B"/>
    <w:rsid w:val="00B771D6"/>
    <w:rsid w:val="00B77205"/>
    <w:rsid w:val="00B7720B"/>
    <w:rsid w:val="00B77265"/>
    <w:rsid w:val="00B772EA"/>
    <w:rsid w:val="00B773B2"/>
    <w:rsid w:val="00B77467"/>
    <w:rsid w:val="00B774DD"/>
    <w:rsid w:val="00B77502"/>
    <w:rsid w:val="00B77574"/>
    <w:rsid w:val="00B7759B"/>
    <w:rsid w:val="00B77640"/>
    <w:rsid w:val="00B7765A"/>
    <w:rsid w:val="00B77702"/>
    <w:rsid w:val="00B7785A"/>
    <w:rsid w:val="00B778D8"/>
    <w:rsid w:val="00B77980"/>
    <w:rsid w:val="00B779AF"/>
    <w:rsid w:val="00B77A89"/>
    <w:rsid w:val="00B77B82"/>
    <w:rsid w:val="00B77C3A"/>
    <w:rsid w:val="00B77CBD"/>
    <w:rsid w:val="00B77CFD"/>
    <w:rsid w:val="00B77D7F"/>
    <w:rsid w:val="00B77D88"/>
    <w:rsid w:val="00B77DC5"/>
    <w:rsid w:val="00B77E0C"/>
    <w:rsid w:val="00B77EAE"/>
    <w:rsid w:val="00B77F43"/>
    <w:rsid w:val="00B77F98"/>
    <w:rsid w:val="00B77FC5"/>
    <w:rsid w:val="00B800CB"/>
    <w:rsid w:val="00B800F8"/>
    <w:rsid w:val="00B80119"/>
    <w:rsid w:val="00B8017E"/>
    <w:rsid w:val="00B80205"/>
    <w:rsid w:val="00B8038C"/>
    <w:rsid w:val="00B8046D"/>
    <w:rsid w:val="00B804B0"/>
    <w:rsid w:val="00B804EA"/>
    <w:rsid w:val="00B805B4"/>
    <w:rsid w:val="00B805B7"/>
    <w:rsid w:val="00B8060F"/>
    <w:rsid w:val="00B80628"/>
    <w:rsid w:val="00B80720"/>
    <w:rsid w:val="00B8075D"/>
    <w:rsid w:val="00B807FE"/>
    <w:rsid w:val="00B80801"/>
    <w:rsid w:val="00B80889"/>
    <w:rsid w:val="00B809A4"/>
    <w:rsid w:val="00B809E0"/>
    <w:rsid w:val="00B80A4A"/>
    <w:rsid w:val="00B80AAA"/>
    <w:rsid w:val="00B80B7E"/>
    <w:rsid w:val="00B80BB1"/>
    <w:rsid w:val="00B80D68"/>
    <w:rsid w:val="00B80DF7"/>
    <w:rsid w:val="00B80EB1"/>
    <w:rsid w:val="00B80EE8"/>
    <w:rsid w:val="00B80F28"/>
    <w:rsid w:val="00B80F2A"/>
    <w:rsid w:val="00B8111B"/>
    <w:rsid w:val="00B81138"/>
    <w:rsid w:val="00B81183"/>
    <w:rsid w:val="00B8118B"/>
    <w:rsid w:val="00B811E9"/>
    <w:rsid w:val="00B81206"/>
    <w:rsid w:val="00B81225"/>
    <w:rsid w:val="00B81229"/>
    <w:rsid w:val="00B81248"/>
    <w:rsid w:val="00B8128A"/>
    <w:rsid w:val="00B812E1"/>
    <w:rsid w:val="00B8131D"/>
    <w:rsid w:val="00B81323"/>
    <w:rsid w:val="00B8135C"/>
    <w:rsid w:val="00B81400"/>
    <w:rsid w:val="00B814F0"/>
    <w:rsid w:val="00B8153C"/>
    <w:rsid w:val="00B81594"/>
    <w:rsid w:val="00B81662"/>
    <w:rsid w:val="00B816AA"/>
    <w:rsid w:val="00B816E8"/>
    <w:rsid w:val="00B81788"/>
    <w:rsid w:val="00B8178B"/>
    <w:rsid w:val="00B8180F"/>
    <w:rsid w:val="00B818E5"/>
    <w:rsid w:val="00B818F6"/>
    <w:rsid w:val="00B8190D"/>
    <w:rsid w:val="00B8191E"/>
    <w:rsid w:val="00B81A44"/>
    <w:rsid w:val="00B81B03"/>
    <w:rsid w:val="00B81B49"/>
    <w:rsid w:val="00B81B8A"/>
    <w:rsid w:val="00B81C4D"/>
    <w:rsid w:val="00B81CBC"/>
    <w:rsid w:val="00B81CCE"/>
    <w:rsid w:val="00B81E0D"/>
    <w:rsid w:val="00B81EB1"/>
    <w:rsid w:val="00B81F1D"/>
    <w:rsid w:val="00B81F93"/>
    <w:rsid w:val="00B81FA1"/>
    <w:rsid w:val="00B81FA5"/>
    <w:rsid w:val="00B8200A"/>
    <w:rsid w:val="00B820E1"/>
    <w:rsid w:val="00B8213B"/>
    <w:rsid w:val="00B82154"/>
    <w:rsid w:val="00B82161"/>
    <w:rsid w:val="00B82166"/>
    <w:rsid w:val="00B821D7"/>
    <w:rsid w:val="00B82216"/>
    <w:rsid w:val="00B82299"/>
    <w:rsid w:val="00B8232D"/>
    <w:rsid w:val="00B8233B"/>
    <w:rsid w:val="00B8234C"/>
    <w:rsid w:val="00B82358"/>
    <w:rsid w:val="00B82376"/>
    <w:rsid w:val="00B823DD"/>
    <w:rsid w:val="00B82405"/>
    <w:rsid w:val="00B824D0"/>
    <w:rsid w:val="00B824E7"/>
    <w:rsid w:val="00B826E5"/>
    <w:rsid w:val="00B8272C"/>
    <w:rsid w:val="00B8278A"/>
    <w:rsid w:val="00B8278C"/>
    <w:rsid w:val="00B827E2"/>
    <w:rsid w:val="00B827FF"/>
    <w:rsid w:val="00B8281F"/>
    <w:rsid w:val="00B8293F"/>
    <w:rsid w:val="00B82AA5"/>
    <w:rsid w:val="00B82B82"/>
    <w:rsid w:val="00B82D4D"/>
    <w:rsid w:val="00B82E70"/>
    <w:rsid w:val="00B82E95"/>
    <w:rsid w:val="00B82F44"/>
    <w:rsid w:val="00B82F4C"/>
    <w:rsid w:val="00B82F8F"/>
    <w:rsid w:val="00B82FBC"/>
    <w:rsid w:val="00B83012"/>
    <w:rsid w:val="00B83150"/>
    <w:rsid w:val="00B83177"/>
    <w:rsid w:val="00B83246"/>
    <w:rsid w:val="00B83330"/>
    <w:rsid w:val="00B834DB"/>
    <w:rsid w:val="00B83560"/>
    <w:rsid w:val="00B835C5"/>
    <w:rsid w:val="00B835D4"/>
    <w:rsid w:val="00B83653"/>
    <w:rsid w:val="00B83683"/>
    <w:rsid w:val="00B836B6"/>
    <w:rsid w:val="00B836E1"/>
    <w:rsid w:val="00B836F3"/>
    <w:rsid w:val="00B8372A"/>
    <w:rsid w:val="00B83730"/>
    <w:rsid w:val="00B8380C"/>
    <w:rsid w:val="00B83821"/>
    <w:rsid w:val="00B8384F"/>
    <w:rsid w:val="00B838A4"/>
    <w:rsid w:val="00B838AB"/>
    <w:rsid w:val="00B83906"/>
    <w:rsid w:val="00B83991"/>
    <w:rsid w:val="00B83A2D"/>
    <w:rsid w:val="00B83A56"/>
    <w:rsid w:val="00B83A9B"/>
    <w:rsid w:val="00B83AC5"/>
    <w:rsid w:val="00B83ADD"/>
    <w:rsid w:val="00B83B14"/>
    <w:rsid w:val="00B83C82"/>
    <w:rsid w:val="00B83CAA"/>
    <w:rsid w:val="00B83CF8"/>
    <w:rsid w:val="00B83D79"/>
    <w:rsid w:val="00B83D9D"/>
    <w:rsid w:val="00B83DB9"/>
    <w:rsid w:val="00B83DBB"/>
    <w:rsid w:val="00B83DEF"/>
    <w:rsid w:val="00B83E1E"/>
    <w:rsid w:val="00B83E29"/>
    <w:rsid w:val="00B83F31"/>
    <w:rsid w:val="00B83F5D"/>
    <w:rsid w:val="00B83F72"/>
    <w:rsid w:val="00B840D0"/>
    <w:rsid w:val="00B8410A"/>
    <w:rsid w:val="00B84143"/>
    <w:rsid w:val="00B84164"/>
    <w:rsid w:val="00B8416E"/>
    <w:rsid w:val="00B842DE"/>
    <w:rsid w:val="00B84307"/>
    <w:rsid w:val="00B844E9"/>
    <w:rsid w:val="00B8456F"/>
    <w:rsid w:val="00B845D1"/>
    <w:rsid w:val="00B84668"/>
    <w:rsid w:val="00B84683"/>
    <w:rsid w:val="00B846E8"/>
    <w:rsid w:val="00B84724"/>
    <w:rsid w:val="00B84762"/>
    <w:rsid w:val="00B84784"/>
    <w:rsid w:val="00B8488E"/>
    <w:rsid w:val="00B8489D"/>
    <w:rsid w:val="00B848F7"/>
    <w:rsid w:val="00B8492C"/>
    <w:rsid w:val="00B84966"/>
    <w:rsid w:val="00B84A1D"/>
    <w:rsid w:val="00B84A30"/>
    <w:rsid w:val="00B84A75"/>
    <w:rsid w:val="00B84B73"/>
    <w:rsid w:val="00B84CB7"/>
    <w:rsid w:val="00B84DC5"/>
    <w:rsid w:val="00B84DC7"/>
    <w:rsid w:val="00B84E89"/>
    <w:rsid w:val="00B84EA7"/>
    <w:rsid w:val="00B84F4E"/>
    <w:rsid w:val="00B84F6E"/>
    <w:rsid w:val="00B84F7B"/>
    <w:rsid w:val="00B84FFE"/>
    <w:rsid w:val="00B85014"/>
    <w:rsid w:val="00B850DC"/>
    <w:rsid w:val="00B850E6"/>
    <w:rsid w:val="00B85115"/>
    <w:rsid w:val="00B85173"/>
    <w:rsid w:val="00B851E0"/>
    <w:rsid w:val="00B852E5"/>
    <w:rsid w:val="00B85379"/>
    <w:rsid w:val="00B85394"/>
    <w:rsid w:val="00B854AA"/>
    <w:rsid w:val="00B85539"/>
    <w:rsid w:val="00B855D7"/>
    <w:rsid w:val="00B85673"/>
    <w:rsid w:val="00B856B6"/>
    <w:rsid w:val="00B8579F"/>
    <w:rsid w:val="00B857B8"/>
    <w:rsid w:val="00B8587D"/>
    <w:rsid w:val="00B85894"/>
    <w:rsid w:val="00B85A64"/>
    <w:rsid w:val="00B85A89"/>
    <w:rsid w:val="00B85AA2"/>
    <w:rsid w:val="00B85AF2"/>
    <w:rsid w:val="00B85B07"/>
    <w:rsid w:val="00B85B0D"/>
    <w:rsid w:val="00B85B25"/>
    <w:rsid w:val="00B85B55"/>
    <w:rsid w:val="00B85B78"/>
    <w:rsid w:val="00B85BA2"/>
    <w:rsid w:val="00B85BCE"/>
    <w:rsid w:val="00B85C41"/>
    <w:rsid w:val="00B85C6C"/>
    <w:rsid w:val="00B85CE6"/>
    <w:rsid w:val="00B85D46"/>
    <w:rsid w:val="00B85D9D"/>
    <w:rsid w:val="00B85E2F"/>
    <w:rsid w:val="00B85ED6"/>
    <w:rsid w:val="00B85EFA"/>
    <w:rsid w:val="00B85F1F"/>
    <w:rsid w:val="00B85F39"/>
    <w:rsid w:val="00B85F7F"/>
    <w:rsid w:val="00B861FC"/>
    <w:rsid w:val="00B8621B"/>
    <w:rsid w:val="00B8629E"/>
    <w:rsid w:val="00B86368"/>
    <w:rsid w:val="00B86372"/>
    <w:rsid w:val="00B86473"/>
    <w:rsid w:val="00B86516"/>
    <w:rsid w:val="00B86524"/>
    <w:rsid w:val="00B86543"/>
    <w:rsid w:val="00B86551"/>
    <w:rsid w:val="00B865C2"/>
    <w:rsid w:val="00B86629"/>
    <w:rsid w:val="00B86633"/>
    <w:rsid w:val="00B8668D"/>
    <w:rsid w:val="00B867FB"/>
    <w:rsid w:val="00B8682D"/>
    <w:rsid w:val="00B868D3"/>
    <w:rsid w:val="00B86907"/>
    <w:rsid w:val="00B86924"/>
    <w:rsid w:val="00B8694F"/>
    <w:rsid w:val="00B86B4E"/>
    <w:rsid w:val="00B86BDA"/>
    <w:rsid w:val="00B86C86"/>
    <w:rsid w:val="00B86D49"/>
    <w:rsid w:val="00B86E1B"/>
    <w:rsid w:val="00B8704E"/>
    <w:rsid w:val="00B8706B"/>
    <w:rsid w:val="00B870A5"/>
    <w:rsid w:val="00B871FC"/>
    <w:rsid w:val="00B872E3"/>
    <w:rsid w:val="00B872F5"/>
    <w:rsid w:val="00B8737B"/>
    <w:rsid w:val="00B8749E"/>
    <w:rsid w:val="00B874D4"/>
    <w:rsid w:val="00B87549"/>
    <w:rsid w:val="00B87551"/>
    <w:rsid w:val="00B87585"/>
    <w:rsid w:val="00B87647"/>
    <w:rsid w:val="00B87717"/>
    <w:rsid w:val="00B8772C"/>
    <w:rsid w:val="00B87777"/>
    <w:rsid w:val="00B8777E"/>
    <w:rsid w:val="00B877A8"/>
    <w:rsid w:val="00B877B6"/>
    <w:rsid w:val="00B878A1"/>
    <w:rsid w:val="00B87911"/>
    <w:rsid w:val="00B8794A"/>
    <w:rsid w:val="00B879ED"/>
    <w:rsid w:val="00B879F0"/>
    <w:rsid w:val="00B87A3C"/>
    <w:rsid w:val="00B87AB1"/>
    <w:rsid w:val="00B87AFD"/>
    <w:rsid w:val="00B87B00"/>
    <w:rsid w:val="00B87B12"/>
    <w:rsid w:val="00B87B57"/>
    <w:rsid w:val="00B87BBD"/>
    <w:rsid w:val="00B87C09"/>
    <w:rsid w:val="00B87C2E"/>
    <w:rsid w:val="00B87D15"/>
    <w:rsid w:val="00B87D8E"/>
    <w:rsid w:val="00B87DCA"/>
    <w:rsid w:val="00B87DFB"/>
    <w:rsid w:val="00B87F00"/>
    <w:rsid w:val="00B87F1E"/>
    <w:rsid w:val="00B87FA3"/>
    <w:rsid w:val="00B90053"/>
    <w:rsid w:val="00B900ED"/>
    <w:rsid w:val="00B90167"/>
    <w:rsid w:val="00B901C3"/>
    <w:rsid w:val="00B901FA"/>
    <w:rsid w:val="00B90232"/>
    <w:rsid w:val="00B90349"/>
    <w:rsid w:val="00B90394"/>
    <w:rsid w:val="00B904F3"/>
    <w:rsid w:val="00B90535"/>
    <w:rsid w:val="00B90568"/>
    <w:rsid w:val="00B9068E"/>
    <w:rsid w:val="00B9076F"/>
    <w:rsid w:val="00B9082B"/>
    <w:rsid w:val="00B9090D"/>
    <w:rsid w:val="00B90921"/>
    <w:rsid w:val="00B909EE"/>
    <w:rsid w:val="00B909FF"/>
    <w:rsid w:val="00B90A2B"/>
    <w:rsid w:val="00B90B5D"/>
    <w:rsid w:val="00B90BBD"/>
    <w:rsid w:val="00B90BE6"/>
    <w:rsid w:val="00B90C2B"/>
    <w:rsid w:val="00B90D97"/>
    <w:rsid w:val="00B90DC4"/>
    <w:rsid w:val="00B90E24"/>
    <w:rsid w:val="00B90EFF"/>
    <w:rsid w:val="00B90F52"/>
    <w:rsid w:val="00B90FE2"/>
    <w:rsid w:val="00B90FE5"/>
    <w:rsid w:val="00B90FF1"/>
    <w:rsid w:val="00B91053"/>
    <w:rsid w:val="00B910F2"/>
    <w:rsid w:val="00B912D0"/>
    <w:rsid w:val="00B912F7"/>
    <w:rsid w:val="00B9139D"/>
    <w:rsid w:val="00B91488"/>
    <w:rsid w:val="00B9149F"/>
    <w:rsid w:val="00B9151B"/>
    <w:rsid w:val="00B91532"/>
    <w:rsid w:val="00B91563"/>
    <w:rsid w:val="00B91595"/>
    <w:rsid w:val="00B915EE"/>
    <w:rsid w:val="00B91616"/>
    <w:rsid w:val="00B9168D"/>
    <w:rsid w:val="00B91697"/>
    <w:rsid w:val="00B91717"/>
    <w:rsid w:val="00B917BD"/>
    <w:rsid w:val="00B91824"/>
    <w:rsid w:val="00B91830"/>
    <w:rsid w:val="00B919B3"/>
    <w:rsid w:val="00B91ACE"/>
    <w:rsid w:val="00B91B4E"/>
    <w:rsid w:val="00B91B7A"/>
    <w:rsid w:val="00B91BD0"/>
    <w:rsid w:val="00B91BE3"/>
    <w:rsid w:val="00B91BF3"/>
    <w:rsid w:val="00B91C08"/>
    <w:rsid w:val="00B91C14"/>
    <w:rsid w:val="00B91C4F"/>
    <w:rsid w:val="00B91C63"/>
    <w:rsid w:val="00B91C88"/>
    <w:rsid w:val="00B91CCA"/>
    <w:rsid w:val="00B91DE4"/>
    <w:rsid w:val="00B91DEC"/>
    <w:rsid w:val="00B91E08"/>
    <w:rsid w:val="00B91E17"/>
    <w:rsid w:val="00B91E4F"/>
    <w:rsid w:val="00B91E7C"/>
    <w:rsid w:val="00B91F2D"/>
    <w:rsid w:val="00B91F69"/>
    <w:rsid w:val="00B91FA9"/>
    <w:rsid w:val="00B920F9"/>
    <w:rsid w:val="00B92158"/>
    <w:rsid w:val="00B9216C"/>
    <w:rsid w:val="00B92199"/>
    <w:rsid w:val="00B92341"/>
    <w:rsid w:val="00B92459"/>
    <w:rsid w:val="00B924E9"/>
    <w:rsid w:val="00B92505"/>
    <w:rsid w:val="00B92507"/>
    <w:rsid w:val="00B925D2"/>
    <w:rsid w:val="00B9267D"/>
    <w:rsid w:val="00B92688"/>
    <w:rsid w:val="00B9277F"/>
    <w:rsid w:val="00B928C3"/>
    <w:rsid w:val="00B92B64"/>
    <w:rsid w:val="00B92BCD"/>
    <w:rsid w:val="00B92BDF"/>
    <w:rsid w:val="00B92D21"/>
    <w:rsid w:val="00B92D47"/>
    <w:rsid w:val="00B92E03"/>
    <w:rsid w:val="00B92E8E"/>
    <w:rsid w:val="00B92F76"/>
    <w:rsid w:val="00B92F81"/>
    <w:rsid w:val="00B92F9D"/>
    <w:rsid w:val="00B92FF9"/>
    <w:rsid w:val="00B93061"/>
    <w:rsid w:val="00B93082"/>
    <w:rsid w:val="00B931DF"/>
    <w:rsid w:val="00B93205"/>
    <w:rsid w:val="00B93222"/>
    <w:rsid w:val="00B9322C"/>
    <w:rsid w:val="00B9322F"/>
    <w:rsid w:val="00B93296"/>
    <w:rsid w:val="00B9330A"/>
    <w:rsid w:val="00B9330D"/>
    <w:rsid w:val="00B93342"/>
    <w:rsid w:val="00B933C0"/>
    <w:rsid w:val="00B93442"/>
    <w:rsid w:val="00B93467"/>
    <w:rsid w:val="00B9353D"/>
    <w:rsid w:val="00B9353E"/>
    <w:rsid w:val="00B9356C"/>
    <w:rsid w:val="00B93634"/>
    <w:rsid w:val="00B93668"/>
    <w:rsid w:val="00B9369A"/>
    <w:rsid w:val="00B9373B"/>
    <w:rsid w:val="00B937AA"/>
    <w:rsid w:val="00B9381A"/>
    <w:rsid w:val="00B93822"/>
    <w:rsid w:val="00B9383A"/>
    <w:rsid w:val="00B9385A"/>
    <w:rsid w:val="00B9386B"/>
    <w:rsid w:val="00B93AF5"/>
    <w:rsid w:val="00B93BE1"/>
    <w:rsid w:val="00B93C74"/>
    <w:rsid w:val="00B93CE0"/>
    <w:rsid w:val="00B93CE5"/>
    <w:rsid w:val="00B93CEB"/>
    <w:rsid w:val="00B93D19"/>
    <w:rsid w:val="00B93D20"/>
    <w:rsid w:val="00B93E1F"/>
    <w:rsid w:val="00B93ED3"/>
    <w:rsid w:val="00B93F0B"/>
    <w:rsid w:val="00B94025"/>
    <w:rsid w:val="00B9402E"/>
    <w:rsid w:val="00B9404F"/>
    <w:rsid w:val="00B94076"/>
    <w:rsid w:val="00B940D0"/>
    <w:rsid w:val="00B940E8"/>
    <w:rsid w:val="00B94134"/>
    <w:rsid w:val="00B9414B"/>
    <w:rsid w:val="00B941D7"/>
    <w:rsid w:val="00B94227"/>
    <w:rsid w:val="00B94250"/>
    <w:rsid w:val="00B94304"/>
    <w:rsid w:val="00B94333"/>
    <w:rsid w:val="00B94335"/>
    <w:rsid w:val="00B94350"/>
    <w:rsid w:val="00B943A5"/>
    <w:rsid w:val="00B94428"/>
    <w:rsid w:val="00B9442C"/>
    <w:rsid w:val="00B944C7"/>
    <w:rsid w:val="00B94519"/>
    <w:rsid w:val="00B9454D"/>
    <w:rsid w:val="00B94666"/>
    <w:rsid w:val="00B94686"/>
    <w:rsid w:val="00B946A8"/>
    <w:rsid w:val="00B946B7"/>
    <w:rsid w:val="00B94764"/>
    <w:rsid w:val="00B94766"/>
    <w:rsid w:val="00B94800"/>
    <w:rsid w:val="00B949C0"/>
    <w:rsid w:val="00B94A4A"/>
    <w:rsid w:val="00B94A7E"/>
    <w:rsid w:val="00B94AD8"/>
    <w:rsid w:val="00B94B89"/>
    <w:rsid w:val="00B94BC9"/>
    <w:rsid w:val="00B94BDB"/>
    <w:rsid w:val="00B94BEF"/>
    <w:rsid w:val="00B94C5A"/>
    <w:rsid w:val="00B94CB7"/>
    <w:rsid w:val="00B94D0C"/>
    <w:rsid w:val="00B94D95"/>
    <w:rsid w:val="00B94DA0"/>
    <w:rsid w:val="00B94DD0"/>
    <w:rsid w:val="00B94E0E"/>
    <w:rsid w:val="00B94E68"/>
    <w:rsid w:val="00B94E6A"/>
    <w:rsid w:val="00B94E7B"/>
    <w:rsid w:val="00B94F7C"/>
    <w:rsid w:val="00B9507D"/>
    <w:rsid w:val="00B95348"/>
    <w:rsid w:val="00B9538D"/>
    <w:rsid w:val="00B9542C"/>
    <w:rsid w:val="00B95432"/>
    <w:rsid w:val="00B95478"/>
    <w:rsid w:val="00B954B2"/>
    <w:rsid w:val="00B95544"/>
    <w:rsid w:val="00B95569"/>
    <w:rsid w:val="00B955A7"/>
    <w:rsid w:val="00B955B4"/>
    <w:rsid w:val="00B955D3"/>
    <w:rsid w:val="00B95670"/>
    <w:rsid w:val="00B95702"/>
    <w:rsid w:val="00B9579A"/>
    <w:rsid w:val="00B95985"/>
    <w:rsid w:val="00B95993"/>
    <w:rsid w:val="00B959FA"/>
    <w:rsid w:val="00B95ADC"/>
    <w:rsid w:val="00B95B1E"/>
    <w:rsid w:val="00B95B26"/>
    <w:rsid w:val="00B95B51"/>
    <w:rsid w:val="00B95B5F"/>
    <w:rsid w:val="00B95D9B"/>
    <w:rsid w:val="00B95DD8"/>
    <w:rsid w:val="00B95DE4"/>
    <w:rsid w:val="00B95F49"/>
    <w:rsid w:val="00B95F6A"/>
    <w:rsid w:val="00B95F7F"/>
    <w:rsid w:val="00B95F9F"/>
    <w:rsid w:val="00B95FAA"/>
    <w:rsid w:val="00B96001"/>
    <w:rsid w:val="00B96064"/>
    <w:rsid w:val="00B960DD"/>
    <w:rsid w:val="00B960F8"/>
    <w:rsid w:val="00B96176"/>
    <w:rsid w:val="00B9617F"/>
    <w:rsid w:val="00B961DF"/>
    <w:rsid w:val="00B962A7"/>
    <w:rsid w:val="00B962C3"/>
    <w:rsid w:val="00B962E3"/>
    <w:rsid w:val="00B96360"/>
    <w:rsid w:val="00B9636A"/>
    <w:rsid w:val="00B963ED"/>
    <w:rsid w:val="00B9641D"/>
    <w:rsid w:val="00B965AF"/>
    <w:rsid w:val="00B96733"/>
    <w:rsid w:val="00B96799"/>
    <w:rsid w:val="00B9681C"/>
    <w:rsid w:val="00B9683C"/>
    <w:rsid w:val="00B96866"/>
    <w:rsid w:val="00B96894"/>
    <w:rsid w:val="00B968B9"/>
    <w:rsid w:val="00B968BD"/>
    <w:rsid w:val="00B96A2A"/>
    <w:rsid w:val="00B96B07"/>
    <w:rsid w:val="00B96BD2"/>
    <w:rsid w:val="00B96BDF"/>
    <w:rsid w:val="00B96C4B"/>
    <w:rsid w:val="00B96C88"/>
    <w:rsid w:val="00B96C98"/>
    <w:rsid w:val="00B96CB6"/>
    <w:rsid w:val="00B96E0B"/>
    <w:rsid w:val="00B96E3D"/>
    <w:rsid w:val="00B96EB2"/>
    <w:rsid w:val="00B96ECA"/>
    <w:rsid w:val="00B96EDC"/>
    <w:rsid w:val="00B96EDE"/>
    <w:rsid w:val="00B96F03"/>
    <w:rsid w:val="00B96F4B"/>
    <w:rsid w:val="00B97021"/>
    <w:rsid w:val="00B971E5"/>
    <w:rsid w:val="00B971E9"/>
    <w:rsid w:val="00B972B3"/>
    <w:rsid w:val="00B97370"/>
    <w:rsid w:val="00B973D1"/>
    <w:rsid w:val="00B97403"/>
    <w:rsid w:val="00B974A9"/>
    <w:rsid w:val="00B9758E"/>
    <w:rsid w:val="00B97595"/>
    <w:rsid w:val="00B9776A"/>
    <w:rsid w:val="00B977D9"/>
    <w:rsid w:val="00B97833"/>
    <w:rsid w:val="00B978DF"/>
    <w:rsid w:val="00B978F1"/>
    <w:rsid w:val="00B978FC"/>
    <w:rsid w:val="00B9792A"/>
    <w:rsid w:val="00B97A36"/>
    <w:rsid w:val="00B97A8F"/>
    <w:rsid w:val="00B97BDA"/>
    <w:rsid w:val="00B97C48"/>
    <w:rsid w:val="00B97C7E"/>
    <w:rsid w:val="00B97C9B"/>
    <w:rsid w:val="00B97D0E"/>
    <w:rsid w:val="00B97D97"/>
    <w:rsid w:val="00B97DB8"/>
    <w:rsid w:val="00B97DF0"/>
    <w:rsid w:val="00B97E52"/>
    <w:rsid w:val="00B97E79"/>
    <w:rsid w:val="00B97F59"/>
    <w:rsid w:val="00B97F5B"/>
    <w:rsid w:val="00B97FB9"/>
    <w:rsid w:val="00BA0062"/>
    <w:rsid w:val="00BA008D"/>
    <w:rsid w:val="00BA023D"/>
    <w:rsid w:val="00BA026C"/>
    <w:rsid w:val="00BA0272"/>
    <w:rsid w:val="00BA0375"/>
    <w:rsid w:val="00BA0400"/>
    <w:rsid w:val="00BA046A"/>
    <w:rsid w:val="00BA04D2"/>
    <w:rsid w:val="00BA0507"/>
    <w:rsid w:val="00BA0595"/>
    <w:rsid w:val="00BA059B"/>
    <w:rsid w:val="00BA07B0"/>
    <w:rsid w:val="00BA0889"/>
    <w:rsid w:val="00BA0890"/>
    <w:rsid w:val="00BA093A"/>
    <w:rsid w:val="00BA0996"/>
    <w:rsid w:val="00BA09AE"/>
    <w:rsid w:val="00BA0A4E"/>
    <w:rsid w:val="00BA0A66"/>
    <w:rsid w:val="00BA0A69"/>
    <w:rsid w:val="00BA0A6E"/>
    <w:rsid w:val="00BA0A85"/>
    <w:rsid w:val="00BA0BA7"/>
    <w:rsid w:val="00BA0C00"/>
    <w:rsid w:val="00BA0CE9"/>
    <w:rsid w:val="00BA0D3D"/>
    <w:rsid w:val="00BA0D96"/>
    <w:rsid w:val="00BA0DBE"/>
    <w:rsid w:val="00BA0DC5"/>
    <w:rsid w:val="00BA0DDC"/>
    <w:rsid w:val="00BA0E52"/>
    <w:rsid w:val="00BA0ED3"/>
    <w:rsid w:val="00BA0ED9"/>
    <w:rsid w:val="00BA100F"/>
    <w:rsid w:val="00BA1149"/>
    <w:rsid w:val="00BA115E"/>
    <w:rsid w:val="00BA123F"/>
    <w:rsid w:val="00BA125F"/>
    <w:rsid w:val="00BA1279"/>
    <w:rsid w:val="00BA1365"/>
    <w:rsid w:val="00BA136C"/>
    <w:rsid w:val="00BA13BE"/>
    <w:rsid w:val="00BA13F3"/>
    <w:rsid w:val="00BA13FD"/>
    <w:rsid w:val="00BA1459"/>
    <w:rsid w:val="00BA14B5"/>
    <w:rsid w:val="00BA14F5"/>
    <w:rsid w:val="00BA1583"/>
    <w:rsid w:val="00BA16AC"/>
    <w:rsid w:val="00BA172F"/>
    <w:rsid w:val="00BA176E"/>
    <w:rsid w:val="00BA1788"/>
    <w:rsid w:val="00BA18CF"/>
    <w:rsid w:val="00BA18EF"/>
    <w:rsid w:val="00BA191A"/>
    <w:rsid w:val="00BA1A09"/>
    <w:rsid w:val="00BA1ADD"/>
    <w:rsid w:val="00BA1B00"/>
    <w:rsid w:val="00BA1BCF"/>
    <w:rsid w:val="00BA1C86"/>
    <w:rsid w:val="00BA1C8B"/>
    <w:rsid w:val="00BA1D4E"/>
    <w:rsid w:val="00BA1DCE"/>
    <w:rsid w:val="00BA1EA7"/>
    <w:rsid w:val="00BA1ECC"/>
    <w:rsid w:val="00BA1F5D"/>
    <w:rsid w:val="00BA1F82"/>
    <w:rsid w:val="00BA200F"/>
    <w:rsid w:val="00BA2059"/>
    <w:rsid w:val="00BA2062"/>
    <w:rsid w:val="00BA207B"/>
    <w:rsid w:val="00BA2080"/>
    <w:rsid w:val="00BA2085"/>
    <w:rsid w:val="00BA218E"/>
    <w:rsid w:val="00BA2202"/>
    <w:rsid w:val="00BA22CD"/>
    <w:rsid w:val="00BA2383"/>
    <w:rsid w:val="00BA23C4"/>
    <w:rsid w:val="00BA2420"/>
    <w:rsid w:val="00BA24C2"/>
    <w:rsid w:val="00BA24CA"/>
    <w:rsid w:val="00BA252C"/>
    <w:rsid w:val="00BA25D4"/>
    <w:rsid w:val="00BA25E3"/>
    <w:rsid w:val="00BA264F"/>
    <w:rsid w:val="00BA26D1"/>
    <w:rsid w:val="00BA26E9"/>
    <w:rsid w:val="00BA2797"/>
    <w:rsid w:val="00BA27CD"/>
    <w:rsid w:val="00BA284C"/>
    <w:rsid w:val="00BA28D3"/>
    <w:rsid w:val="00BA299C"/>
    <w:rsid w:val="00BA29D5"/>
    <w:rsid w:val="00BA2A0C"/>
    <w:rsid w:val="00BA2A0F"/>
    <w:rsid w:val="00BA2B68"/>
    <w:rsid w:val="00BA2BB0"/>
    <w:rsid w:val="00BA2C36"/>
    <w:rsid w:val="00BA2C7A"/>
    <w:rsid w:val="00BA2CAF"/>
    <w:rsid w:val="00BA2F72"/>
    <w:rsid w:val="00BA325C"/>
    <w:rsid w:val="00BA3319"/>
    <w:rsid w:val="00BA3340"/>
    <w:rsid w:val="00BA33E3"/>
    <w:rsid w:val="00BA3424"/>
    <w:rsid w:val="00BA3428"/>
    <w:rsid w:val="00BA354B"/>
    <w:rsid w:val="00BA357A"/>
    <w:rsid w:val="00BA35BD"/>
    <w:rsid w:val="00BA3655"/>
    <w:rsid w:val="00BA36A6"/>
    <w:rsid w:val="00BA36FF"/>
    <w:rsid w:val="00BA377E"/>
    <w:rsid w:val="00BA3845"/>
    <w:rsid w:val="00BA385B"/>
    <w:rsid w:val="00BA3A0B"/>
    <w:rsid w:val="00BA3A0E"/>
    <w:rsid w:val="00BA3ACD"/>
    <w:rsid w:val="00BA3AEF"/>
    <w:rsid w:val="00BA3B0B"/>
    <w:rsid w:val="00BA3C2D"/>
    <w:rsid w:val="00BA3CBF"/>
    <w:rsid w:val="00BA3D40"/>
    <w:rsid w:val="00BA3E0C"/>
    <w:rsid w:val="00BA3E65"/>
    <w:rsid w:val="00BA3EB9"/>
    <w:rsid w:val="00BA3EF7"/>
    <w:rsid w:val="00BA3F86"/>
    <w:rsid w:val="00BA3FA4"/>
    <w:rsid w:val="00BA3FE9"/>
    <w:rsid w:val="00BA4055"/>
    <w:rsid w:val="00BA4058"/>
    <w:rsid w:val="00BA42AE"/>
    <w:rsid w:val="00BA4326"/>
    <w:rsid w:val="00BA43E1"/>
    <w:rsid w:val="00BA43F4"/>
    <w:rsid w:val="00BA446A"/>
    <w:rsid w:val="00BA447A"/>
    <w:rsid w:val="00BA4595"/>
    <w:rsid w:val="00BA4601"/>
    <w:rsid w:val="00BA4707"/>
    <w:rsid w:val="00BA47A0"/>
    <w:rsid w:val="00BA4868"/>
    <w:rsid w:val="00BA48D2"/>
    <w:rsid w:val="00BA49C8"/>
    <w:rsid w:val="00BA4B43"/>
    <w:rsid w:val="00BA4B60"/>
    <w:rsid w:val="00BA4BF2"/>
    <w:rsid w:val="00BA4BFE"/>
    <w:rsid w:val="00BA4CB8"/>
    <w:rsid w:val="00BA4CBB"/>
    <w:rsid w:val="00BA4D47"/>
    <w:rsid w:val="00BA4D65"/>
    <w:rsid w:val="00BA4E52"/>
    <w:rsid w:val="00BA4F6B"/>
    <w:rsid w:val="00BA4FE4"/>
    <w:rsid w:val="00BA5006"/>
    <w:rsid w:val="00BA50AF"/>
    <w:rsid w:val="00BA50DE"/>
    <w:rsid w:val="00BA5220"/>
    <w:rsid w:val="00BA5240"/>
    <w:rsid w:val="00BA55DE"/>
    <w:rsid w:val="00BA56A1"/>
    <w:rsid w:val="00BA5766"/>
    <w:rsid w:val="00BA57A9"/>
    <w:rsid w:val="00BA58C4"/>
    <w:rsid w:val="00BA5931"/>
    <w:rsid w:val="00BA5957"/>
    <w:rsid w:val="00BA599D"/>
    <w:rsid w:val="00BA59FE"/>
    <w:rsid w:val="00BA5B09"/>
    <w:rsid w:val="00BA5B85"/>
    <w:rsid w:val="00BA5BC5"/>
    <w:rsid w:val="00BA5C05"/>
    <w:rsid w:val="00BA5D09"/>
    <w:rsid w:val="00BA5DE7"/>
    <w:rsid w:val="00BA5E00"/>
    <w:rsid w:val="00BA5ECA"/>
    <w:rsid w:val="00BA5FEE"/>
    <w:rsid w:val="00BA6011"/>
    <w:rsid w:val="00BA6046"/>
    <w:rsid w:val="00BA6059"/>
    <w:rsid w:val="00BA6067"/>
    <w:rsid w:val="00BA6112"/>
    <w:rsid w:val="00BA6281"/>
    <w:rsid w:val="00BA62B6"/>
    <w:rsid w:val="00BA62C1"/>
    <w:rsid w:val="00BA62DE"/>
    <w:rsid w:val="00BA638C"/>
    <w:rsid w:val="00BA6405"/>
    <w:rsid w:val="00BA641B"/>
    <w:rsid w:val="00BA64B2"/>
    <w:rsid w:val="00BA64E2"/>
    <w:rsid w:val="00BA64F8"/>
    <w:rsid w:val="00BA654E"/>
    <w:rsid w:val="00BA666C"/>
    <w:rsid w:val="00BA6684"/>
    <w:rsid w:val="00BA66B8"/>
    <w:rsid w:val="00BA673B"/>
    <w:rsid w:val="00BA6982"/>
    <w:rsid w:val="00BA6986"/>
    <w:rsid w:val="00BA6A01"/>
    <w:rsid w:val="00BA6A1B"/>
    <w:rsid w:val="00BA6B8E"/>
    <w:rsid w:val="00BA6B92"/>
    <w:rsid w:val="00BA6C0C"/>
    <w:rsid w:val="00BA6C4D"/>
    <w:rsid w:val="00BA6C5C"/>
    <w:rsid w:val="00BA6C84"/>
    <w:rsid w:val="00BA6CEE"/>
    <w:rsid w:val="00BA6D0A"/>
    <w:rsid w:val="00BA6DAF"/>
    <w:rsid w:val="00BA6E52"/>
    <w:rsid w:val="00BA707A"/>
    <w:rsid w:val="00BA7088"/>
    <w:rsid w:val="00BA70DD"/>
    <w:rsid w:val="00BA71BD"/>
    <w:rsid w:val="00BA71EA"/>
    <w:rsid w:val="00BA7234"/>
    <w:rsid w:val="00BA724A"/>
    <w:rsid w:val="00BA72C4"/>
    <w:rsid w:val="00BA72C8"/>
    <w:rsid w:val="00BA7350"/>
    <w:rsid w:val="00BA73A1"/>
    <w:rsid w:val="00BA749A"/>
    <w:rsid w:val="00BA74B4"/>
    <w:rsid w:val="00BA74C6"/>
    <w:rsid w:val="00BA765F"/>
    <w:rsid w:val="00BA7692"/>
    <w:rsid w:val="00BA76C1"/>
    <w:rsid w:val="00BA7770"/>
    <w:rsid w:val="00BA7796"/>
    <w:rsid w:val="00BA7900"/>
    <w:rsid w:val="00BA7939"/>
    <w:rsid w:val="00BA797C"/>
    <w:rsid w:val="00BA7A66"/>
    <w:rsid w:val="00BA7A71"/>
    <w:rsid w:val="00BA7AB8"/>
    <w:rsid w:val="00BA7AC1"/>
    <w:rsid w:val="00BA7ACE"/>
    <w:rsid w:val="00BA7B0F"/>
    <w:rsid w:val="00BA7B3D"/>
    <w:rsid w:val="00BA7C5B"/>
    <w:rsid w:val="00BA7CAF"/>
    <w:rsid w:val="00BA7CE2"/>
    <w:rsid w:val="00BA7D19"/>
    <w:rsid w:val="00BA7D27"/>
    <w:rsid w:val="00BA7DA5"/>
    <w:rsid w:val="00BA7DA7"/>
    <w:rsid w:val="00BA7DD8"/>
    <w:rsid w:val="00BA7E68"/>
    <w:rsid w:val="00BA7EBB"/>
    <w:rsid w:val="00BA7EFA"/>
    <w:rsid w:val="00BA7F32"/>
    <w:rsid w:val="00BA7FE2"/>
    <w:rsid w:val="00BB0080"/>
    <w:rsid w:val="00BB0107"/>
    <w:rsid w:val="00BB0149"/>
    <w:rsid w:val="00BB019E"/>
    <w:rsid w:val="00BB0241"/>
    <w:rsid w:val="00BB0280"/>
    <w:rsid w:val="00BB0393"/>
    <w:rsid w:val="00BB03CA"/>
    <w:rsid w:val="00BB04BA"/>
    <w:rsid w:val="00BB04DD"/>
    <w:rsid w:val="00BB0566"/>
    <w:rsid w:val="00BB057B"/>
    <w:rsid w:val="00BB05D3"/>
    <w:rsid w:val="00BB05D5"/>
    <w:rsid w:val="00BB05FF"/>
    <w:rsid w:val="00BB071F"/>
    <w:rsid w:val="00BB0737"/>
    <w:rsid w:val="00BB074A"/>
    <w:rsid w:val="00BB0766"/>
    <w:rsid w:val="00BB0786"/>
    <w:rsid w:val="00BB07B0"/>
    <w:rsid w:val="00BB080F"/>
    <w:rsid w:val="00BB0816"/>
    <w:rsid w:val="00BB09A5"/>
    <w:rsid w:val="00BB09BF"/>
    <w:rsid w:val="00BB09CC"/>
    <w:rsid w:val="00BB09D5"/>
    <w:rsid w:val="00BB0A96"/>
    <w:rsid w:val="00BB0AF9"/>
    <w:rsid w:val="00BB0B3C"/>
    <w:rsid w:val="00BB0B84"/>
    <w:rsid w:val="00BB0C3A"/>
    <w:rsid w:val="00BB0C3B"/>
    <w:rsid w:val="00BB0D8D"/>
    <w:rsid w:val="00BB0DCE"/>
    <w:rsid w:val="00BB0E32"/>
    <w:rsid w:val="00BB0F56"/>
    <w:rsid w:val="00BB0F62"/>
    <w:rsid w:val="00BB0F9E"/>
    <w:rsid w:val="00BB0FAA"/>
    <w:rsid w:val="00BB0FF4"/>
    <w:rsid w:val="00BB1009"/>
    <w:rsid w:val="00BB1015"/>
    <w:rsid w:val="00BB1081"/>
    <w:rsid w:val="00BB10F3"/>
    <w:rsid w:val="00BB110F"/>
    <w:rsid w:val="00BB1141"/>
    <w:rsid w:val="00BB1162"/>
    <w:rsid w:val="00BB11D0"/>
    <w:rsid w:val="00BB11E7"/>
    <w:rsid w:val="00BB1209"/>
    <w:rsid w:val="00BB127E"/>
    <w:rsid w:val="00BB1299"/>
    <w:rsid w:val="00BB12B9"/>
    <w:rsid w:val="00BB13C1"/>
    <w:rsid w:val="00BB1402"/>
    <w:rsid w:val="00BB144E"/>
    <w:rsid w:val="00BB1470"/>
    <w:rsid w:val="00BB14CA"/>
    <w:rsid w:val="00BB14DB"/>
    <w:rsid w:val="00BB1508"/>
    <w:rsid w:val="00BB1529"/>
    <w:rsid w:val="00BB1530"/>
    <w:rsid w:val="00BB154C"/>
    <w:rsid w:val="00BB1696"/>
    <w:rsid w:val="00BB171B"/>
    <w:rsid w:val="00BB1769"/>
    <w:rsid w:val="00BB191B"/>
    <w:rsid w:val="00BB1AA9"/>
    <w:rsid w:val="00BB1C2D"/>
    <w:rsid w:val="00BB1E98"/>
    <w:rsid w:val="00BB1EDA"/>
    <w:rsid w:val="00BB1F2E"/>
    <w:rsid w:val="00BB1F78"/>
    <w:rsid w:val="00BB2108"/>
    <w:rsid w:val="00BB21D2"/>
    <w:rsid w:val="00BB21D4"/>
    <w:rsid w:val="00BB2308"/>
    <w:rsid w:val="00BB234D"/>
    <w:rsid w:val="00BB23C7"/>
    <w:rsid w:val="00BB241E"/>
    <w:rsid w:val="00BB2530"/>
    <w:rsid w:val="00BB255D"/>
    <w:rsid w:val="00BB25B6"/>
    <w:rsid w:val="00BB2600"/>
    <w:rsid w:val="00BB2605"/>
    <w:rsid w:val="00BB2615"/>
    <w:rsid w:val="00BB2637"/>
    <w:rsid w:val="00BB2651"/>
    <w:rsid w:val="00BB2719"/>
    <w:rsid w:val="00BB2736"/>
    <w:rsid w:val="00BB277C"/>
    <w:rsid w:val="00BB27F7"/>
    <w:rsid w:val="00BB2809"/>
    <w:rsid w:val="00BB2813"/>
    <w:rsid w:val="00BB2862"/>
    <w:rsid w:val="00BB28A2"/>
    <w:rsid w:val="00BB28B0"/>
    <w:rsid w:val="00BB28B2"/>
    <w:rsid w:val="00BB28D6"/>
    <w:rsid w:val="00BB28E0"/>
    <w:rsid w:val="00BB2BC6"/>
    <w:rsid w:val="00BB2BE2"/>
    <w:rsid w:val="00BB2BE4"/>
    <w:rsid w:val="00BB2C36"/>
    <w:rsid w:val="00BB2C46"/>
    <w:rsid w:val="00BB2DE9"/>
    <w:rsid w:val="00BB2EE1"/>
    <w:rsid w:val="00BB2F4C"/>
    <w:rsid w:val="00BB2F6B"/>
    <w:rsid w:val="00BB300A"/>
    <w:rsid w:val="00BB300C"/>
    <w:rsid w:val="00BB3021"/>
    <w:rsid w:val="00BB30D1"/>
    <w:rsid w:val="00BB311F"/>
    <w:rsid w:val="00BB3165"/>
    <w:rsid w:val="00BB3167"/>
    <w:rsid w:val="00BB3238"/>
    <w:rsid w:val="00BB3272"/>
    <w:rsid w:val="00BB32CC"/>
    <w:rsid w:val="00BB3328"/>
    <w:rsid w:val="00BB3341"/>
    <w:rsid w:val="00BB339B"/>
    <w:rsid w:val="00BB34A8"/>
    <w:rsid w:val="00BB3566"/>
    <w:rsid w:val="00BB356F"/>
    <w:rsid w:val="00BB3686"/>
    <w:rsid w:val="00BB369C"/>
    <w:rsid w:val="00BB36B8"/>
    <w:rsid w:val="00BB36D2"/>
    <w:rsid w:val="00BB37F4"/>
    <w:rsid w:val="00BB389C"/>
    <w:rsid w:val="00BB38C3"/>
    <w:rsid w:val="00BB38C9"/>
    <w:rsid w:val="00BB3940"/>
    <w:rsid w:val="00BB3BBC"/>
    <w:rsid w:val="00BB3BF8"/>
    <w:rsid w:val="00BB3D57"/>
    <w:rsid w:val="00BB3D77"/>
    <w:rsid w:val="00BB3E2A"/>
    <w:rsid w:val="00BB3E68"/>
    <w:rsid w:val="00BB3EC2"/>
    <w:rsid w:val="00BB405B"/>
    <w:rsid w:val="00BB40C3"/>
    <w:rsid w:val="00BB4164"/>
    <w:rsid w:val="00BB41C6"/>
    <w:rsid w:val="00BB4206"/>
    <w:rsid w:val="00BB4215"/>
    <w:rsid w:val="00BB4224"/>
    <w:rsid w:val="00BB4259"/>
    <w:rsid w:val="00BB430E"/>
    <w:rsid w:val="00BB432C"/>
    <w:rsid w:val="00BB4362"/>
    <w:rsid w:val="00BB43A9"/>
    <w:rsid w:val="00BB43C9"/>
    <w:rsid w:val="00BB442E"/>
    <w:rsid w:val="00BB4509"/>
    <w:rsid w:val="00BB458E"/>
    <w:rsid w:val="00BB45D1"/>
    <w:rsid w:val="00BB4626"/>
    <w:rsid w:val="00BB4704"/>
    <w:rsid w:val="00BB473D"/>
    <w:rsid w:val="00BB4748"/>
    <w:rsid w:val="00BB47CB"/>
    <w:rsid w:val="00BB4832"/>
    <w:rsid w:val="00BB4846"/>
    <w:rsid w:val="00BB4928"/>
    <w:rsid w:val="00BB4A03"/>
    <w:rsid w:val="00BB4A08"/>
    <w:rsid w:val="00BB4A0A"/>
    <w:rsid w:val="00BB4AB3"/>
    <w:rsid w:val="00BB4ADA"/>
    <w:rsid w:val="00BB4B01"/>
    <w:rsid w:val="00BB4B3B"/>
    <w:rsid w:val="00BB4B7B"/>
    <w:rsid w:val="00BB4B9A"/>
    <w:rsid w:val="00BB4C0F"/>
    <w:rsid w:val="00BB4CED"/>
    <w:rsid w:val="00BB4D81"/>
    <w:rsid w:val="00BB4D83"/>
    <w:rsid w:val="00BB4E5F"/>
    <w:rsid w:val="00BB4E7C"/>
    <w:rsid w:val="00BB4E9B"/>
    <w:rsid w:val="00BB4F01"/>
    <w:rsid w:val="00BB4F4C"/>
    <w:rsid w:val="00BB4F9C"/>
    <w:rsid w:val="00BB5072"/>
    <w:rsid w:val="00BB50B2"/>
    <w:rsid w:val="00BB50D7"/>
    <w:rsid w:val="00BB50EC"/>
    <w:rsid w:val="00BB50FF"/>
    <w:rsid w:val="00BB5188"/>
    <w:rsid w:val="00BB518A"/>
    <w:rsid w:val="00BB51B7"/>
    <w:rsid w:val="00BB51EA"/>
    <w:rsid w:val="00BB5275"/>
    <w:rsid w:val="00BB52F9"/>
    <w:rsid w:val="00BB530E"/>
    <w:rsid w:val="00BB5336"/>
    <w:rsid w:val="00BB535E"/>
    <w:rsid w:val="00BB5390"/>
    <w:rsid w:val="00BB53FC"/>
    <w:rsid w:val="00BB5410"/>
    <w:rsid w:val="00BB5436"/>
    <w:rsid w:val="00BB54D5"/>
    <w:rsid w:val="00BB551D"/>
    <w:rsid w:val="00BB553B"/>
    <w:rsid w:val="00BB55B0"/>
    <w:rsid w:val="00BB55B2"/>
    <w:rsid w:val="00BB55D8"/>
    <w:rsid w:val="00BB561C"/>
    <w:rsid w:val="00BB5674"/>
    <w:rsid w:val="00BB5675"/>
    <w:rsid w:val="00BB5705"/>
    <w:rsid w:val="00BB577E"/>
    <w:rsid w:val="00BB57F7"/>
    <w:rsid w:val="00BB5851"/>
    <w:rsid w:val="00BB5881"/>
    <w:rsid w:val="00BB58CA"/>
    <w:rsid w:val="00BB58E6"/>
    <w:rsid w:val="00BB593B"/>
    <w:rsid w:val="00BB5951"/>
    <w:rsid w:val="00BB5957"/>
    <w:rsid w:val="00BB5977"/>
    <w:rsid w:val="00BB5A2E"/>
    <w:rsid w:val="00BB5A4F"/>
    <w:rsid w:val="00BB5B8F"/>
    <w:rsid w:val="00BB5BC5"/>
    <w:rsid w:val="00BB5C4C"/>
    <w:rsid w:val="00BB5C54"/>
    <w:rsid w:val="00BB5CFD"/>
    <w:rsid w:val="00BB5D37"/>
    <w:rsid w:val="00BB5D57"/>
    <w:rsid w:val="00BB5D64"/>
    <w:rsid w:val="00BB5D79"/>
    <w:rsid w:val="00BB5ED4"/>
    <w:rsid w:val="00BB6048"/>
    <w:rsid w:val="00BB60BE"/>
    <w:rsid w:val="00BB6110"/>
    <w:rsid w:val="00BB6129"/>
    <w:rsid w:val="00BB61A6"/>
    <w:rsid w:val="00BB61EE"/>
    <w:rsid w:val="00BB62EC"/>
    <w:rsid w:val="00BB6305"/>
    <w:rsid w:val="00BB63E6"/>
    <w:rsid w:val="00BB642E"/>
    <w:rsid w:val="00BB6513"/>
    <w:rsid w:val="00BB652C"/>
    <w:rsid w:val="00BB65F0"/>
    <w:rsid w:val="00BB666D"/>
    <w:rsid w:val="00BB6712"/>
    <w:rsid w:val="00BB6731"/>
    <w:rsid w:val="00BB673B"/>
    <w:rsid w:val="00BB6825"/>
    <w:rsid w:val="00BB683F"/>
    <w:rsid w:val="00BB685F"/>
    <w:rsid w:val="00BB6878"/>
    <w:rsid w:val="00BB6950"/>
    <w:rsid w:val="00BB6966"/>
    <w:rsid w:val="00BB6AF4"/>
    <w:rsid w:val="00BB6AFE"/>
    <w:rsid w:val="00BB6B00"/>
    <w:rsid w:val="00BB6CB6"/>
    <w:rsid w:val="00BB6D41"/>
    <w:rsid w:val="00BB6D78"/>
    <w:rsid w:val="00BB6E0C"/>
    <w:rsid w:val="00BB6E0E"/>
    <w:rsid w:val="00BB6E1D"/>
    <w:rsid w:val="00BB6E4B"/>
    <w:rsid w:val="00BB6F3B"/>
    <w:rsid w:val="00BB6F52"/>
    <w:rsid w:val="00BB6F56"/>
    <w:rsid w:val="00BB6F7F"/>
    <w:rsid w:val="00BB6FB0"/>
    <w:rsid w:val="00BB6FB1"/>
    <w:rsid w:val="00BB6FB9"/>
    <w:rsid w:val="00BB6FF5"/>
    <w:rsid w:val="00BB6FF6"/>
    <w:rsid w:val="00BB7119"/>
    <w:rsid w:val="00BB71E2"/>
    <w:rsid w:val="00BB72B3"/>
    <w:rsid w:val="00BB72BD"/>
    <w:rsid w:val="00BB733C"/>
    <w:rsid w:val="00BB734E"/>
    <w:rsid w:val="00BB73E1"/>
    <w:rsid w:val="00BB74C2"/>
    <w:rsid w:val="00BB74E3"/>
    <w:rsid w:val="00BB74EA"/>
    <w:rsid w:val="00BB75A1"/>
    <w:rsid w:val="00BB7655"/>
    <w:rsid w:val="00BB76FF"/>
    <w:rsid w:val="00BB7701"/>
    <w:rsid w:val="00BB776C"/>
    <w:rsid w:val="00BB77E7"/>
    <w:rsid w:val="00BB77F1"/>
    <w:rsid w:val="00BB787C"/>
    <w:rsid w:val="00BB794E"/>
    <w:rsid w:val="00BB7985"/>
    <w:rsid w:val="00BB7AA3"/>
    <w:rsid w:val="00BB7AEE"/>
    <w:rsid w:val="00BB7B14"/>
    <w:rsid w:val="00BB7BC4"/>
    <w:rsid w:val="00BB7D20"/>
    <w:rsid w:val="00BB7DE8"/>
    <w:rsid w:val="00BB7DF1"/>
    <w:rsid w:val="00BB7E0D"/>
    <w:rsid w:val="00BB7F55"/>
    <w:rsid w:val="00BB7FED"/>
    <w:rsid w:val="00BC012C"/>
    <w:rsid w:val="00BC01C4"/>
    <w:rsid w:val="00BC01ED"/>
    <w:rsid w:val="00BC0217"/>
    <w:rsid w:val="00BC02A6"/>
    <w:rsid w:val="00BC0341"/>
    <w:rsid w:val="00BC0358"/>
    <w:rsid w:val="00BC039B"/>
    <w:rsid w:val="00BC03E4"/>
    <w:rsid w:val="00BC05A1"/>
    <w:rsid w:val="00BC066B"/>
    <w:rsid w:val="00BC06E9"/>
    <w:rsid w:val="00BC0788"/>
    <w:rsid w:val="00BC0808"/>
    <w:rsid w:val="00BC0812"/>
    <w:rsid w:val="00BC08F6"/>
    <w:rsid w:val="00BC0B88"/>
    <w:rsid w:val="00BC0C2A"/>
    <w:rsid w:val="00BC0C31"/>
    <w:rsid w:val="00BC0C6B"/>
    <w:rsid w:val="00BC0C7F"/>
    <w:rsid w:val="00BC0CB4"/>
    <w:rsid w:val="00BC0E63"/>
    <w:rsid w:val="00BC0E73"/>
    <w:rsid w:val="00BC0ECF"/>
    <w:rsid w:val="00BC0F32"/>
    <w:rsid w:val="00BC0F87"/>
    <w:rsid w:val="00BC1095"/>
    <w:rsid w:val="00BC10A6"/>
    <w:rsid w:val="00BC10F5"/>
    <w:rsid w:val="00BC1128"/>
    <w:rsid w:val="00BC1184"/>
    <w:rsid w:val="00BC1217"/>
    <w:rsid w:val="00BC1434"/>
    <w:rsid w:val="00BC1519"/>
    <w:rsid w:val="00BC159F"/>
    <w:rsid w:val="00BC15DD"/>
    <w:rsid w:val="00BC1600"/>
    <w:rsid w:val="00BC1614"/>
    <w:rsid w:val="00BC1655"/>
    <w:rsid w:val="00BC1699"/>
    <w:rsid w:val="00BC16B2"/>
    <w:rsid w:val="00BC16E6"/>
    <w:rsid w:val="00BC1708"/>
    <w:rsid w:val="00BC1869"/>
    <w:rsid w:val="00BC19A3"/>
    <w:rsid w:val="00BC19AC"/>
    <w:rsid w:val="00BC1BE2"/>
    <w:rsid w:val="00BC1C39"/>
    <w:rsid w:val="00BC1C3C"/>
    <w:rsid w:val="00BC1CDC"/>
    <w:rsid w:val="00BC1CE1"/>
    <w:rsid w:val="00BC1D2E"/>
    <w:rsid w:val="00BC1DAC"/>
    <w:rsid w:val="00BC1E82"/>
    <w:rsid w:val="00BC1F1B"/>
    <w:rsid w:val="00BC1F47"/>
    <w:rsid w:val="00BC1F70"/>
    <w:rsid w:val="00BC1F7E"/>
    <w:rsid w:val="00BC1FD5"/>
    <w:rsid w:val="00BC2128"/>
    <w:rsid w:val="00BC2154"/>
    <w:rsid w:val="00BC222E"/>
    <w:rsid w:val="00BC2238"/>
    <w:rsid w:val="00BC2301"/>
    <w:rsid w:val="00BC2389"/>
    <w:rsid w:val="00BC25EF"/>
    <w:rsid w:val="00BC25FF"/>
    <w:rsid w:val="00BC26A0"/>
    <w:rsid w:val="00BC27B9"/>
    <w:rsid w:val="00BC2802"/>
    <w:rsid w:val="00BC2975"/>
    <w:rsid w:val="00BC29CF"/>
    <w:rsid w:val="00BC2A0C"/>
    <w:rsid w:val="00BC2A5B"/>
    <w:rsid w:val="00BC2ACE"/>
    <w:rsid w:val="00BC2AEA"/>
    <w:rsid w:val="00BC2B0B"/>
    <w:rsid w:val="00BC2B31"/>
    <w:rsid w:val="00BC2B47"/>
    <w:rsid w:val="00BC2B5E"/>
    <w:rsid w:val="00BC2B90"/>
    <w:rsid w:val="00BC2C6C"/>
    <w:rsid w:val="00BC2C83"/>
    <w:rsid w:val="00BC2C97"/>
    <w:rsid w:val="00BC2D1A"/>
    <w:rsid w:val="00BC2D8B"/>
    <w:rsid w:val="00BC2ED4"/>
    <w:rsid w:val="00BC2F24"/>
    <w:rsid w:val="00BC2F7A"/>
    <w:rsid w:val="00BC3133"/>
    <w:rsid w:val="00BC31F8"/>
    <w:rsid w:val="00BC3204"/>
    <w:rsid w:val="00BC3214"/>
    <w:rsid w:val="00BC324D"/>
    <w:rsid w:val="00BC3258"/>
    <w:rsid w:val="00BC329C"/>
    <w:rsid w:val="00BC32C6"/>
    <w:rsid w:val="00BC32DA"/>
    <w:rsid w:val="00BC33D4"/>
    <w:rsid w:val="00BC3445"/>
    <w:rsid w:val="00BC3463"/>
    <w:rsid w:val="00BC3580"/>
    <w:rsid w:val="00BC3662"/>
    <w:rsid w:val="00BC3916"/>
    <w:rsid w:val="00BC399C"/>
    <w:rsid w:val="00BC399D"/>
    <w:rsid w:val="00BC39F7"/>
    <w:rsid w:val="00BC3AA3"/>
    <w:rsid w:val="00BC3AD8"/>
    <w:rsid w:val="00BC3B62"/>
    <w:rsid w:val="00BC3BCE"/>
    <w:rsid w:val="00BC3BE9"/>
    <w:rsid w:val="00BC3C30"/>
    <w:rsid w:val="00BC3C55"/>
    <w:rsid w:val="00BC3C8A"/>
    <w:rsid w:val="00BC3CEC"/>
    <w:rsid w:val="00BC3DC5"/>
    <w:rsid w:val="00BC3DC9"/>
    <w:rsid w:val="00BC3FBA"/>
    <w:rsid w:val="00BC3FF9"/>
    <w:rsid w:val="00BC400A"/>
    <w:rsid w:val="00BC4012"/>
    <w:rsid w:val="00BC40D1"/>
    <w:rsid w:val="00BC4107"/>
    <w:rsid w:val="00BC410F"/>
    <w:rsid w:val="00BC4137"/>
    <w:rsid w:val="00BC41B9"/>
    <w:rsid w:val="00BC423B"/>
    <w:rsid w:val="00BC4260"/>
    <w:rsid w:val="00BC42C7"/>
    <w:rsid w:val="00BC4383"/>
    <w:rsid w:val="00BC4414"/>
    <w:rsid w:val="00BC44A9"/>
    <w:rsid w:val="00BC457E"/>
    <w:rsid w:val="00BC4612"/>
    <w:rsid w:val="00BC46A6"/>
    <w:rsid w:val="00BC46B0"/>
    <w:rsid w:val="00BC4798"/>
    <w:rsid w:val="00BC47FB"/>
    <w:rsid w:val="00BC481E"/>
    <w:rsid w:val="00BC485A"/>
    <w:rsid w:val="00BC4869"/>
    <w:rsid w:val="00BC49E3"/>
    <w:rsid w:val="00BC49EA"/>
    <w:rsid w:val="00BC4B37"/>
    <w:rsid w:val="00BC4B5C"/>
    <w:rsid w:val="00BC4BCF"/>
    <w:rsid w:val="00BC4BEF"/>
    <w:rsid w:val="00BC4C1C"/>
    <w:rsid w:val="00BC4C97"/>
    <w:rsid w:val="00BC4C9D"/>
    <w:rsid w:val="00BC4D4D"/>
    <w:rsid w:val="00BC4D54"/>
    <w:rsid w:val="00BC4DEE"/>
    <w:rsid w:val="00BC4E06"/>
    <w:rsid w:val="00BC4F16"/>
    <w:rsid w:val="00BC4F52"/>
    <w:rsid w:val="00BC4FE1"/>
    <w:rsid w:val="00BC5080"/>
    <w:rsid w:val="00BC51CA"/>
    <w:rsid w:val="00BC5211"/>
    <w:rsid w:val="00BC52FB"/>
    <w:rsid w:val="00BC5375"/>
    <w:rsid w:val="00BC53FA"/>
    <w:rsid w:val="00BC5460"/>
    <w:rsid w:val="00BC5498"/>
    <w:rsid w:val="00BC54BB"/>
    <w:rsid w:val="00BC553A"/>
    <w:rsid w:val="00BC56F7"/>
    <w:rsid w:val="00BC57A6"/>
    <w:rsid w:val="00BC57C1"/>
    <w:rsid w:val="00BC58DA"/>
    <w:rsid w:val="00BC58DE"/>
    <w:rsid w:val="00BC5914"/>
    <w:rsid w:val="00BC592A"/>
    <w:rsid w:val="00BC59D6"/>
    <w:rsid w:val="00BC59DD"/>
    <w:rsid w:val="00BC5A39"/>
    <w:rsid w:val="00BC5A6C"/>
    <w:rsid w:val="00BC5AAA"/>
    <w:rsid w:val="00BC5B19"/>
    <w:rsid w:val="00BC5CAE"/>
    <w:rsid w:val="00BC5D5E"/>
    <w:rsid w:val="00BC5DB1"/>
    <w:rsid w:val="00BC5DC2"/>
    <w:rsid w:val="00BC5F0B"/>
    <w:rsid w:val="00BC60A1"/>
    <w:rsid w:val="00BC6100"/>
    <w:rsid w:val="00BC6284"/>
    <w:rsid w:val="00BC62D5"/>
    <w:rsid w:val="00BC62F3"/>
    <w:rsid w:val="00BC6325"/>
    <w:rsid w:val="00BC6346"/>
    <w:rsid w:val="00BC634D"/>
    <w:rsid w:val="00BC634F"/>
    <w:rsid w:val="00BC6359"/>
    <w:rsid w:val="00BC63B4"/>
    <w:rsid w:val="00BC6487"/>
    <w:rsid w:val="00BC64C0"/>
    <w:rsid w:val="00BC64C4"/>
    <w:rsid w:val="00BC654A"/>
    <w:rsid w:val="00BC65C3"/>
    <w:rsid w:val="00BC66BD"/>
    <w:rsid w:val="00BC66FD"/>
    <w:rsid w:val="00BC671B"/>
    <w:rsid w:val="00BC67C2"/>
    <w:rsid w:val="00BC687C"/>
    <w:rsid w:val="00BC6922"/>
    <w:rsid w:val="00BC695F"/>
    <w:rsid w:val="00BC698B"/>
    <w:rsid w:val="00BC69C9"/>
    <w:rsid w:val="00BC6A52"/>
    <w:rsid w:val="00BC6A87"/>
    <w:rsid w:val="00BC6AC5"/>
    <w:rsid w:val="00BC6B82"/>
    <w:rsid w:val="00BC6BB7"/>
    <w:rsid w:val="00BC6C09"/>
    <w:rsid w:val="00BC6C4B"/>
    <w:rsid w:val="00BC6CEE"/>
    <w:rsid w:val="00BC6D0A"/>
    <w:rsid w:val="00BC6D13"/>
    <w:rsid w:val="00BC6D26"/>
    <w:rsid w:val="00BC6DA6"/>
    <w:rsid w:val="00BC6FC1"/>
    <w:rsid w:val="00BC7016"/>
    <w:rsid w:val="00BC70B7"/>
    <w:rsid w:val="00BC70C0"/>
    <w:rsid w:val="00BC712B"/>
    <w:rsid w:val="00BC7246"/>
    <w:rsid w:val="00BC7314"/>
    <w:rsid w:val="00BC7376"/>
    <w:rsid w:val="00BC73B3"/>
    <w:rsid w:val="00BC7422"/>
    <w:rsid w:val="00BC747C"/>
    <w:rsid w:val="00BC74A3"/>
    <w:rsid w:val="00BC74AD"/>
    <w:rsid w:val="00BC751A"/>
    <w:rsid w:val="00BC7561"/>
    <w:rsid w:val="00BC756B"/>
    <w:rsid w:val="00BC75E6"/>
    <w:rsid w:val="00BC7656"/>
    <w:rsid w:val="00BC76CD"/>
    <w:rsid w:val="00BC76E8"/>
    <w:rsid w:val="00BC774A"/>
    <w:rsid w:val="00BC786A"/>
    <w:rsid w:val="00BC78A3"/>
    <w:rsid w:val="00BC78D8"/>
    <w:rsid w:val="00BC799B"/>
    <w:rsid w:val="00BC79E7"/>
    <w:rsid w:val="00BC7A76"/>
    <w:rsid w:val="00BC7ADB"/>
    <w:rsid w:val="00BC7B13"/>
    <w:rsid w:val="00BC7B24"/>
    <w:rsid w:val="00BC7BDD"/>
    <w:rsid w:val="00BC7CA6"/>
    <w:rsid w:val="00BC7D01"/>
    <w:rsid w:val="00BC7D11"/>
    <w:rsid w:val="00BC7DE9"/>
    <w:rsid w:val="00BC7E62"/>
    <w:rsid w:val="00BC7F06"/>
    <w:rsid w:val="00BC7F7E"/>
    <w:rsid w:val="00BD001C"/>
    <w:rsid w:val="00BD00E6"/>
    <w:rsid w:val="00BD00F4"/>
    <w:rsid w:val="00BD0114"/>
    <w:rsid w:val="00BD0159"/>
    <w:rsid w:val="00BD01CB"/>
    <w:rsid w:val="00BD01CF"/>
    <w:rsid w:val="00BD0226"/>
    <w:rsid w:val="00BD0284"/>
    <w:rsid w:val="00BD0397"/>
    <w:rsid w:val="00BD0414"/>
    <w:rsid w:val="00BD04EF"/>
    <w:rsid w:val="00BD0608"/>
    <w:rsid w:val="00BD062E"/>
    <w:rsid w:val="00BD0693"/>
    <w:rsid w:val="00BD072A"/>
    <w:rsid w:val="00BD076F"/>
    <w:rsid w:val="00BD083E"/>
    <w:rsid w:val="00BD089F"/>
    <w:rsid w:val="00BD08F5"/>
    <w:rsid w:val="00BD0902"/>
    <w:rsid w:val="00BD0954"/>
    <w:rsid w:val="00BD097A"/>
    <w:rsid w:val="00BD09D6"/>
    <w:rsid w:val="00BD09FD"/>
    <w:rsid w:val="00BD0ABD"/>
    <w:rsid w:val="00BD0B6B"/>
    <w:rsid w:val="00BD0B8D"/>
    <w:rsid w:val="00BD0B92"/>
    <w:rsid w:val="00BD0BB3"/>
    <w:rsid w:val="00BD0BF4"/>
    <w:rsid w:val="00BD0D20"/>
    <w:rsid w:val="00BD0D4B"/>
    <w:rsid w:val="00BD0D50"/>
    <w:rsid w:val="00BD0D70"/>
    <w:rsid w:val="00BD0D82"/>
    <w:rsid w:val="00BD0D9D"/>
    <w:rsid w:val="00BD0E61"/>
    <w:rsid w:val="00BD0EBC"/>
    <w:rsid w:val="00BD0F0C"/>
    <w:rsid w:val="00BD0F39"/>
    <w:rsid w:val="00BD0F55"/>
    <w:rsid w:val="00BD0FBC"/>
    <w:rsid w:val="00BD10F2"/>
    <w:rsid w:val="00BD112B"/>
    <w:rsid w:val="00BD112F"/>
    <w:rsid w:val="00BD1252"/>
    <w:rsid w:val="00BD12AC"/>
    <w:rsid w:val="00BD1323"/>
    <w:rsid w:val="00BD1349"/>
    <w:rsid w:val="00BD1399"/>
    <w:rsid w:val="00BD139E"/>
    <w:rsid w:val="00BD13A7"/>
    <w:rsid w:val="00BD1403"/>
    <w:rsid w:val="00BD1486"/>
    <w:rsid w:val="00BD1514"/>
    <w:rsid w:val="00BD151A"/>
    <w:rsid w:val="00BD155F"/>
    <w:rsid w:val="00BD15A1"/>
    <w:rsid w:val="00BD162E"/>
    <w:rsid w:val="00BD16AE"/>
    <w:rsid w:val="00BD170A"/>
    <w:rsid w:val="00BD17C9"/>
    <w:rsid w:val="00BD17CF"/>
    <w:rsid w:val="00BD1969"/>
    <w:rsid w:val="00BD199D"/>
    <w:rsid w:val="00BD19DA"/>
    <w:rsid w:val="00BD19FF"/>
    <w:rsid w:val="00BD1A65"/>
    <w:rsid w:val="00BD1A6C"/>
    <w:rsid w:val="00BD1A9F"/>
    <w:rsid w:val="00BD1ACB"/>
    <w:rsid w:val="00BD1B6F"/>
    <w:rsid w:val="00BD1B8E"/>
    <w:rsid w:val="00BD1BF9"/>
    <w:rsid w:val="00BD1C35"/>
    <w:rsid w:val="00BD1C7E"/>
    <w:rsid w:val="00BD1DC3"/>
    <w:rsid w:val="00BD1E02"/>
    <w:rsid w:val="00BD1E07"/>
    <w:rsid w:val="00BD1E5C"/>
    <w:rsid w:val="00BD1EF1"/>
    <w:rsid w:val="00BD1FEF"/>
    <w:rsid w:val="00BD2181"/>
    <w:rsid w:val="00BD2233"/>
    <w:rsid w:val="00BD2234"/>
    <w:rsid w:val="00BD2277"/>
    <w:rsid w:val="00BD23DF"/>
    <w:rsid w:val="00BD2517"/>
    <w:rsid w:val="00BD254E"/>
    <w:rsid w:val="00BD2575"/>
    <w:rsid w:val="00BD25D6"/>
    <w:rsid w:val="00BD25DB"/>
    <w:rsid w:val="00BD2626"/>
    <w:rsid w:val="00BD27E7"/>
    <w:rsid w:val="00BD27F1"/>
    <w:rsid w:val="00BD2903"/>
    <w:rsid w:val="00BD2917"/>
    <w:rsid w:val="00BD2A48"/>
    <w:rsid w:val="00BD2A81"/>
    <w:rsid w:val="00BD2B9F"/>
    <w:rsid w:val="00BD2BA8"/>
    <w:rsid w:val="00BD2BEF"/>
    <w:rsid w:val="00BD2C50"/>
    <w:rsid w:val="00BD2C6A"/>
    <w:rsid w:val="00BD2CAA"/>
    <w:rsid w:val="00BD2D09"/>
    <w:rsid w:val="00BD2D63"/>
    <w:rsid w:val="00BD2D8B"/>
    <w:rsid w:val="00BD2DD7"/>
    <w:rsid w:val="00BD2E35"/>
    <w:rsid w:val="00BD2EA1"/>
    <w:rsid w:val="00BD2EE3"/>
    <w:rsid w:val="00BD2EE5"/>
    <w:rsid w:val="00BD2FBD"/>
    <w:rsid w:val="00BD2FD8"/>
    <w:rsid w:val="00BD3005"/>
    <w:rsid w:val="00BD3120"/>
    <w:rsid w:val="00BD3147"/>
    <w:rsid w:val="00BD3178"/>
    <w:rsid w:val="00BD3254"/>
    <w:rsid w:val="00BD32BC"/>
    <w:rsid w:val="00BD332B"/>
    <w:rsid w:val="00BD33DF"/>
    <w:rsid w:val="00BD36AC"/>
    <w:rsid w:val="00BD36DD"/>
    <w:rsid w:val="00BD374C"/>
    <w:rsid w:val="00BD379D"/>
    <w:rsid w:val="00BD37C4"/>
    <w:rsid w:val="00BD37EC"/>
    <w:rsid w:val="00BD3AB8"/>
    <w:rsid w:val="00BD3B8B"/>
    <w:rsid w:val="00BD3C1B"/>
    <w:rsid w:val="00BD3C20"/>
    <w:rsid w:val="00BD3CA9"/>
    <w:rsid w:val="00BD3CBB"/>
    <w:rsid w:val="00BD3D95"/>
    <w:rsid w:val="00BD3E1B"/>
    <w:rsid w:val="00BD3E35"/>
    <w:rsid w:val="00BD3EC8"/>
    <w:rsid w:val="00BD3F8B"/>
    <w:rsid w:val="00BD3FB0"/>
    <w:rsid w:val="00BD4032"/>
    <w:rsid w:val="00BD4040"/>
    <w:rsid w:val="00BD4116"/>
    <w:rsid w:val="00BD41DC"/>
    <w:rsid w:val="00BD425A"/>
    <w:rsid w:val="00BD4299"/>
    <w:rsid w:val="00BD430C"/>
    <w:rsid w:val="00BD4349"/>
    <w:rsid w:val="00BD440B"/>
    <w:rsid w:val="00BD449C"/>
    <w:rsid w:val="00BD44AB"/>
    <w:rsid w:val="00BD452A"/>
    <w:rsid w:val="00BD45EA"/>
    <w:rsid w:val="00BD4611"/>
    <w:rsid w:val="00BD463A"/>
    <w:rsid w:val="00BD4651"/>
    <w:rsid w:val="00BD46ED"/>
    <w:rsid w:val="00BD46F1"/>
    <w:rsid w:val="00BD478C"/>
    <w:rsid w:val="00BD4837"/>
    <w:rsid w:val="00BD484E"/>
    <w:rsid w:val="00BD4884"/>
    <w:rsid w:val="00BD4945"/>
    <w:rsid w:val="00BD49FD"/>
    <w:rsid w:val="00BD4A86"/>
    <w:rsid w:val="00BD4CCC"/>
    <w:rsid w:val="00BD4D42"/>
    <w:rsid w:val="00BD4DB9"/>
    <w:rsid w:val="00BD4DD1"/>
    <w:rsid w:val="00BD4DE4"/>
    <w:rsid w:val="00BD4E2F"/>
    <w:rsid w:val="00BD4E48"/>
    <w:rsid w:val="00BD4E66"/>
    <w:rsid w:val="00BD4E6A"/>
    <w:rsid w:val="00BD4EEC"/>
    <w:rsid w:val="00BD4F10"/>
    <w:rsid w:val="00BD4F4E"/>
    <w:rsid w:val="00BD4FAC"/>
    <w:rsid w:val="00BD5054"/>
    <w:rsid w:val="00BD5200"/>
    <w:rsid w:val="00BD528F"/>
    <w:rsid w:val="00BD53DA"/>
    <w:rsid w:val="00BD54BF"/>
    <w:rsid w:val="00BD54F8"/>
    <w:rsid w:val="00BD5571"/>
    <w:rsid w:val="00BD558C"/>
    <w:rsid w:val="00BD5614"/>
    <w:rsid w:val="00BD5640"/>
    <w:rsid w:val="00BD56A3"/>
    <w:rsid w:val="00BD56A8"/>
    <w:rsid w:val="00BD5780"/>
    <w:rsid w:val="00BD57BB"/>
    <w:rsid w:val="00BD57BE"/>
    <w:rsid w:val="00BD57C1"/>
    <w:rsid w:val="00BD57D6"/>
    <w:rsid w:val="00BD5887"/>
    <w:rsid w:val="00BD58C5"/>
    <w:rsid w:val="00BD58E1"/>
    <w:rsid w:val="00BD5AAF"/>
    <w:rsid w:val="00BD5B2C"/>
    <w:rsid w:val="00BD5B89"/>
    <w:rsid w:val="00BD5C69"/>
    <w:rsid w:val="00BD5CEA"/>
    <w:rsid w:val="00BD5CFB"/>
    <w:rsid w:val="00BD5D1E"/>
    <w:rsid w:val="00BD5D52"/>
    <w:rsid w:val="00BD5D8E"/>
    <w:rsid w:val="00BD5DD2"/>
    <w:rsid w:val="00BD5EF2"/>
    <w:rsid w:val="00BD5F87"/>
    <w:rsid w:val="00BD5FE9"/>
    <w:rsid w:val="00BD6067"/>
    <w:rsid w:val="00BD6073"/>
    <w:rsid w:val="00BD60D8"/>
    <w:rsid w:val="00BD60DC"/>
    <w:rsid w:val="00BD6163"/>
    <w:rsid w:val="00BD6252"/>
    <w:rsid w:val="00BD626B"/>
    <w:rsid w:val="00BD6278"/>
    <w:rsid w:val="00BD62E7"/>
    <w:rsid w:val="00BD636C"/>
    <w:rsid w:val="00BD6372"/>
    <w:rsid w:val="00BD637A"/>
    <w:rsid w:val="00BD63A9"/>
    <w:rsid w:val="00BD64FC"/>
    <w:rsid w:val="00BD6620"/>
    <w:rsid w:val="00BD663B"/>
    <w:rsid w:val="00BD66B6"/>
    <w:rsid w:val="00BD6721"/>
    <w:rsid w:val="00BD67BE"/>
    <w:rsid w:val="00BD68F3"/>
    <w:rsid w:val="00BD6926"/>
    <w:rsid w:val="00BD6978"/>
    <w:rsid w:val="00BD69C9"/>
    <w:rsid w:val="00BD6A81"/>
    <w:rsid w:val="00BD6B0B"/>
    <w:rsid w:val="00BD6BF5"/>
    <w:rsid w:val="00BD6C30"/>
    <w:rsid w:val="00BD6C3E"/>
    <w:rsid w:val="00BD6C82"/>
    <w:rsid w:val="00BD6D59"/>
    <w:rsid w:val="00BD6E28"/>
    <w:rsid w:val="00BD6E49"/>
    <w:rsid w:val="00BD6E9B"/>
    <w:rsid w:val="00BD6EF4"/>
    <w:rsid w:val="00BD6F91"/>
    <w:rsid w:val="00BD6F96"/>
    <w:rsid w:val="00BD7002"/>
    <w:rsid w:val="00BD70BA"/>
    <w:rsid w:val="00BD70DF"/>
    <w:rsid w:val="00BD71FB"/>
    <w:rsid w:val="00BD7298"/>
    <w:rsid w:val="00BD72B4"/>
    <w:rsid w:val="00BD72D1"/>
    <w:rsid w:val="00BD7490"/>
    <w:rsid w:val="00BD7494"/>
    <w:rsid w:val="00BD74A2"/>
    <w:rsid w:val="00BD74C9"/>
    <w:rsid w:val="00BD74DE"/>
    <w:rsid w:val="00BD7541"/>
    <w:rsid w:val="00BD7658"/>
    <w:rsid w:val="00BD76A7"/>
    <w:rsid w:val="00BD7873"/>
    <w:rsid w:val="00BD78E6"/>
    <w:rsid w:val="00BD790C"/>
    <w:rsid w:val="00BD7910"/>
    <w:rsid w:val="00BD79CF"/>
    <w:rsid w:val="00BD7A0E"/>
    <w:rsid w:val="00BD7AC5"/>
    <w:rsid w:val="00BD7B21"/>
    <w:rsid w:val="00BD7B6A"/>
    <w:rsid w:val="00BD7BAB"/>
    <w:rsid w:val="00BD7BE5"/>
    <w:rsid w:val="00BD7BF7"/>
    <w:rsid w:val="00BD7C46"/>
    <w:rsid w:val="00BD7D2D"/>
    <w:rsid w:val="00BD7D47"/>
    <w:rsid w:val="00BD7D5F"/>
    <w:rsid w:val="00BD7D9F"/>
    <w:rsid w:val="00BD7DC6"/>
    <w:rsid w:val="00BD7E65"/>
    <w:rsid w:val="00BD7EC1"/>
    <w:rsid w:val="00BD7ECE"/>
    <w:rsid w:val="00BE0007"/>
    <w:rsid w:val="00BE000A"/>
    <w:rsid w:val="00BE0020"/>
    <w:rsid w:val="00BE00BC"/>
    <w:rsid w:val="00BE01C6"/>
    <w:rsid w:val="00BE02F9"/>
    <w:rsid w:val="00BE03CC"/>
    <w:rsid w:val="00BE03DC"/>
    <w:rsid w:val="00BE0451"/>
    <w:rsid w:val="00BE04B8"/>
    <w:rsid w:val="00BE04DD"/>
    <w:rsid w:val="00BE05AF"/>
    <w:rsid w:val="00BE05F1"/>
    <w:rsid w:val="00BE0607"/>
    <w:rsid w:val="00BE072B"/>
    <w:rsid w:val="00BE0737"/>
    <w:rsid w:val="00BE079B"/>
    <w:rsid w:val="00BE084A"/>
    <w:rsid w:val="00BE0865"/>
    <w:rsid w:val="00BE086A"/>
    <w:rsid w:val="00BE0871"/>
    <w:rsid w:val="00BE08E9"/>
    <w:rsid w:val="00BE09C6"/>
    <w:rsid w:val="00BE0A01"/>
    <w:rsid w:val="00BE0A29"/>
    <w:rsid w:val="00BE0A2D"/>
    <w:rsid w:val="00BE0A70"/>
    <w:rsid w:val="00BE0B8B"/>
    <w:rsid w:val="00BE0BC7"/>
    <w:rsid w:val="00BE0D10"/>
    <w:rsid w:val="00BE0E92"/>
    <w:rsid w:val="00BE0EC7"/>
    <w:rsid w:val="00BE0F62"/>
    <w:rsid w:val="00BE101C"/>
    <w:rsid w:val="00BE1020"/>
    <w:rsid w:val="00BE1086"/>
    <w:rsid w:val="00BE10F9"/>
    <w:rsid w:val="00BE1128"/>
    <w:rsid w:val="00BE113A"/>
    <w:rsid w:val="00BE11E4"/>
    <w:rsid w:val="00BE127F"/>
    <w:rsid w:val="00BE12FE"/>
    <w:rsid w:val="00BE1313"/>
    <w:rsid w:val="00BE1331"/>
    <w:rsid w:val="00BE13A0"/>
    <w:rsid w:val="00BE13A3"/>
    <w:rsid w:val="00BE13F1"/>
    <w:rsid w:val="00BE1426"/>
    <w:rsid w:val="00BE1473"/>
    <w:rsid w:val="00BE1490"/>
    <w:rsid w:val="00BE150A"/>
    <w:rsid w:val="00BE1602"/>
    <w:rsid w:val="00BE16A8"/>
    <w:rsid w:val="00BE16CC"/>
    <w:rsid w:val="00BE174C"/>
    <w:rsid w:val="00BE17F4"/>
    <w:rsid w:val="00BE182D"/>
    <w:rsid w:val="00BE198C"/>
    <w:rsid w:val="00BE19C5"/>
    <w:rsid w:val="00BE1A37"/>
    <w:rsid w:val="00BE1ACD"/>
    <w:rsid w:val="00BE1B05"/>
    <w:rsid w:val="00BE1C6E"/>
    <w:rsid w:val="00BE1CF5"/>
    <w:rsid w:val="00BE1D25"/>
    <w:rsid w:val="00BE1DA0"/>
    <w:rsid w:val="00BE1DA4"/>
    <w:rsid w:val="00BE1E84"/>
    <w:rsid w:val="00BE1EDC"/>
    <w:rsid w:val="00BE1F57"/>
    <w:rsid w:val="00BE1FB7"/>
    <w:rsid w:val="00BE1FCD"/>
    <w:rsid w:val="00BE1FD3"/>
    <w:rsid w:val="00BE1FDD"/>
    <w:rsid w:val="00BE2008"/>
    <w:rsid w:val="00BE2144"/>
    <w:rsid w:val="00BE214C"/>
    <w:rsid w:val="00BE219F"/>
    <w:rsid w:val="00BE22B9"/>
    <w:rsid w:val="00BE23AC"/>
    <w:rsid w:val="00BE24F6"/>
    <w:rsid w:val="00BE2508"/>
    <w:rsid w:val="00BE25E4"/>
    <w:rsid w:val="00BE25E7"/>
    <w:rsid w:val="00BE2622"/>
    <w:rsid w:val="00BE2674"/>
    <w:rsid w:val="00BE271D"/>
    <w:rsid w:val="00BE27FF"/>
    <w:rsid w:val="00BE2827"/>
    <w:rsid w:val="00BE2854"/>
    <w:rsid w:val="00BE28AD"/>
    <w:rsid w:val="00BE28B0"/>
    <w:rsid w:val="00BE2A0A"/>
    <w:rsid w:val="00BE2A18"/>
    <w:rsid w:val="00BE2A72"/>
    <w:rsid w:val="00BE2B25"/>
    <w:rsid w:val="00BE2B5D"/>
    <w:rsid w:val="00BE2BCC"/>
    <w:rsid w:val="00BE2BDD"/>
    <w:rsid w:val="00BE2CB4"/>
    <w:rsid w:val="00BE2D4D"/>
    <w:rsid w:val="00BE2D90"/>
    <w:rsid w:val="00BE2DF8"/>
    <w:rsid w:val="00BE2E2F"/>
    <w:rsid w:val="00BE2E7A"/>
    <w:rsid w:val="00BE2E97"/>
    <w:rsid w:val="00BE2ECD"/>
    <w:rsid w:val="00BE2ED7"/>
    <w:rsid w:val="00BE2EDD"/>
    <w:rsid w:val="00BE2EF7"/>
    <w:rsid w:val="00BE2FA3"/>
    <w:rsid w:val="00BE2FC1"/>
    <w:rsid w:val="00BE2FC7"/>
    <w:rsid w:val="00BE3001"/>
    <w:rsid w:val="00BE3046"/>
    <w:rsid w:val="00BE305B"/>
    <w:rsid w:val="00BE3127"/>
    <w:rsid w:val="00BE316D"/>
    <w:rsid w:val="00BE324B"/>
    <w:rsid w:val="00BE3285"/>
    <w:rsid w:val="00BE3291"/>
    <w:rsid w:val="00BE33F6"/>
    <w:rsid w:val="00BE342B"/>
    <w:rsid w:val="00BE34B7"/>
    <w:rsid w:val="00BE35D7"/>
    <w:rsid w:val="00BE3789"/>
    <w:rsid w:val="00BE38F0"/>
    <w:rsid w:val="00BE3954"/>
    <w:rsid w:val="00BE3A05"/>
    <w:rsid w:val="00BE3A4F"/>
    <w:rsid w:val="00BE3C2B"/>
    <w:rsid w:val="00BE3CCD"/>
    <w:rsid w:val="00BE3E3A"/>
    <w:rsid w:val="00BE3F6B"/>
    <w:rsid w:val="00BE40B3"/>
    <w:rsid w:val="00BE40C3"/>
    <w:rsid w:val="00BE411E"/>
    <w:rsid w:val="00BE412C"/>
    <w:rsid w:val="00BE4210"/>
    <w:rsid w:val="00BE4246"/>
    <w:rsid w:val="00BE4255"/>
    <w:rsid w:val="00BE4315"/>
    <w:rsid w:val="00BE43A1"/>
    <w:rsid w:val="00BE43CC"/>
    <w:rsid w:val="00BE445A"/>
    <w:rsid w:val="00BE44DA"/>
    <w:rsid w:val="00BE44DF"/>
    <w:rsid w:val="00BE4574"/>
    <w:rsid w:val="00BE4575"/>
    <w:rsid w:val="00BE45AF"/>
    <w:rsid w:val="00BE45E9"/>
    <w:rsid w:val="00BE45FA"/>
    <w:rsid w:val="00BE461B"/>
    <w:rsid w:val="00BE462C"/>
    <w:rsid w:val="00BE463F"/>
    <w:rsid w:val="00BE46E2"/>
    <w:rsid w:val="00BE4789"/>
    <w:rsid w:val="00BE4800"/>
    <w:rsid w:val="00BE4847"/>
    <w:rsid w:val="00BE48E2"/>
    <w:rsid w:val="00BE4BEA"/>
    <w:rsid w:val="00BE4C68"/>
    <w:rsid w:val="00BE4C97"/>
    <w:rsid w:val="00BE4CB3"/>
    <w:rsid w:val="00BE4CCB"/>
    <w:rsid w:val="00BE4D56"/>
    <w:rsid w:val="00BE4D85"/>
    <w:rsid w:val="00BE4E59"/>
    <w:rsid w:val="00BE4E6B"/>
    <w:rsid w:val="00BE4E73"/>
    <w:rsid w:val="00BE4EA8"/>
    <w:rsid w:val="00BE4F34"/>
    <w:rsid w:val="00BE4FC6"/>
    <w:rsid w:val="00BE509B"/>
    <w:rsid w:val="00BE50B2"/>
    <w:rsid w:val="00BE5192"/>
    <w:rsid w:val="00BE5315"/>
    <w:rsid w:val="00BE539C"/>
    <w:rsid w:val="00BE53AB"/>
    <w:rsid w:val="00BE53B6"/>
    <w:rsid w:val="00BE53D3"/>
    <w:rsid w:val="00BE53E4"/>
    <w:rsid w:val="00BE551B"/>
    <w:rsid w:val="00BE5560"/>
    <w:rsid w:val="00BE5576"/>
    <w:rsid w:val="00BE5596"/>
    <w:rsid w:val="00BE559B"/>
    <w:rsid w:val="00BE55A8"/>
    <w:rsid w:val="00BE561B"/>
    <w:rsid w:val="00BE56A8"/>
    <w:rsid w:val="00BE56BA"/>
    <w:rsid w:val="00BE56C0"/>
    <w:rsid w:val="00BE56F6"/>
    <w:rsid w:val="00BE5702"/>
    <w:rsid w:val="00BE5707"/>
    <w:rsid w:val="00BE5724"/>
    <w:rsid w:val="00BE57DC"/>
    <w:rsid w:val="00BE5935"/>
    <w:rsid w:val="00BE5936"/>
    <w:rsid w:val="00BE5937"/>
    <w:rsid w:val="00BE597C"/>
    <w:rsid w:val="00BE59F8"/>
    <w:rsid w:val="00BE5A34"/>
    <w:rsid w:val="00BE5A37"/>
    <w:rsid w:val="00BE5A68"/>
    <w:rsid w:val="00BE5A94"/>
    <w:rsid w:val="00BE5B31"/>
    <w:rsid w:val="00BE5B89"/>
    <w:rsid w:val="00BE5BAD"/>
    <w:rsid w:val="00BE5BB5"/>
    <w:rsid w:val="00BE5C9A"/>
    <w:rsid w:val="00BE5D3B"/>
    <w:rsid w:val="00BE5DD4"/>
    <w:rsid w:val="00BE5DEA"/>
    <w:rsid w:val="00BE5E36"/>
    <w:rsid w:val="00BE5E55"/>
    <w:rsid w:val="00BE5E85"/>
    <w:rsid w:val="00BE5EBC"/>
    <w:rsid w:val="00BE6005"/>
    <w:rsid w:val="00BE6026"/>
    <w:rsid w:val="00BE60B9"/>
    <w:rsid w:val="00BE6124"/>
    <w:rsid w:val="00BE61C1"/>
    <w:rsid w:val="00BE61EB"/>
    <w:rsid w:val="00BE61F4"/>
    <w:rsid w:val="00BE6207"/>
    <w:rsid w:val="00BE6226"/>
    <w:rsid w:val="00BE6343"/>
    <w:rsid w:val="00BE643C"/>
    <w:rsid w:val="00BE6497"/>
    <w:rsid w:val="00BE64B2"/>
    <w:rsid w:val="00BE64B7"/>
    <w:rsid w:val="00BE65C7"/>
    <w:rsid w:val="00BE6602"/>
    <w:rsid w:val="00BE6647"/>
    <w:rsid w:val="00BE6667"/>
    <w:rsid w:val="00BE666D"/>
    <w:rsid w:val="00BE66A2"/>
    <w:rsid w:val="00BE673C"/>
    <w:rsid w:val="00BE674E"/>
    <w:rsid w:val="00BE678C"/>
    <w:rsid w:val="00BE67C0"/>
    <w:rsid w:val="00BE6869"/>
    <w:rsid w:val="00BE6879"/>
    <w:rsid w:val="00BE6A04"/>
    <w:rsid w:val="00BE6A5D"/>
    <w:rsid w:val="00BE6A7D"/>
    <w:rsid w:val="00BE6B23"/>
    <w:rsid w:val="00BE6D55"/>
    <w:rsid w:val="00BE6DFE"/>
    <w:rsid w:val="00BE6F3D"/>
    <w:rsid w:val="00BE6F4C"/>
    <w:rsid w:val="00BE6FF6"/>
    <w:rsid w:val="00BE701C"/>
    <w:rsid w:val="00BE7020"/>
    <w:rsid w:val="00BE7072"/>
    <w:rsid w:val="00BE707E"/>
    <w:rsid w:val="00BE7099"/>
    <w:rsid w:val="00BE70BE"/>
    <w:rsid w:val="00BE7107"/>
    <w:rsid w:val="00BE710C"/>
    <w:rsid w:val="00BE7166"/>
    <w:rsid w:val="00BE71BB"/>
    <w:rsid w:val="00BE722B"/>
    <w:rsid w:val="00BE7256"/>
    <w:rsid w:val="00BE726D"/>
    <w:rsid w:val="00BE7305"/>
    <w:rsid w:val="00BE7460"/>
    <w:rsid w:val="00BE7465"/>
    <w:rsid w:val="00BE753F"/>
    <w:rsid w:val="00BE764A"/>
    <w:rsid w:val="00BE767F"/>
    <w:rsid w:val="00BE76CE"/>
    <w:rsid w:val="00BE76E3"/>
    <w:rsid w:val="00BE7766"/>
    <w:rsid w:val="00BE7853"/>
    <w:rsid w:val="00BE78F8"/>
    <w:rsid w:val="00BE791D"/>
    <w:rsid w:val="00BE79B0"/>
    <w:rsid w:val="00BE79D5"/>
    <w:rsid w:val="00BE7A4E"/>
    <w:rsid w:val="00BE7C17"/>
    <w:rsid w:val="00BE7C48"/>
    <w:rsid w:val="00BE7C5A"/>
    <w:rsid w:val="00BE7C65"/>
    <w:rsid w:val="00BE7CD4"/>
    <w:rsid w:val="00BE7D13"/>
    <w:rsid w:val="00BE7D97"/>
    <w:rsid w:val="00BE7E1D"/>
    <w:rsid w:val="00BE7E67"/>
    <w:rsid w:val="00BE7E74"/>
    <w:rsid w:val="00BF0004"/>
    <w:rsid w:val="00BF001F"/>
    <w:rsid w:val="00BF02DD"/>
    <w:rsid w:val="00BF03D0"/>
    <w:rsid w:val="00BF045B"/>
    <w:rsid w:val="00BF059B"/>
    <w:rsid w:val="00BF05B8"/>
    <w:rsid w:val="00BF05DA"/>
    <w:rsid w:val="00BF0684"/>
    <w:rsid w:val="00BF0743"/>
    <w:rsid w:val="00BF081D"/>
    <w:rsid w:val="00BF085C"/>
    <w:rsid w:val="00BF0873"/>
    <w:rsid w:val="00BF087A"/>
    <w:rsid w:val="00BF087D"/>
    <w:rsid w:val="00BF0926"/>
    <w:rsid w:val="00BF09A2"/>
    <w:rsid w:val="00BF09C9"/>
    <w:rsid w:val="00BF0A87"/>
    <w:rsid w:val="00BF0B4E"/>
    <w:rsid w:val="00BF0BF4"/>
    <w:rsid w:val="00BF0CE2"/>
    <w:rsid w:val="00BF0CFC"/>
    <w:rsid w:val="00BF0D53"/>
    <w:rsid w:val="00BF0D72"/>
    <w:rsid w:val="00BF0DA5"/>
    <w:rsid w:val="00BF0DE3"/>
    <w:rsid w:val="00BF0DFC"/>
    <w:rsid w:val="00BF0F21"/>
    <w:rsid w:val="00BF0F9A"/>
    <w:rsid w:val="00BF0FB8"/>
    <w:rsid w:val="00BF1005"/>
    <w:rsid w:val="00BF10EA"/>
    <w:rsid w:val="00BF10F0"/>
    <w:rsid w:val="00BF116D"/>
    <w:rsid w:val="00BF126D"/>
    <w:rsid w:val="00BF1282"/>
    <w:rsid w:val="00BF128D"/>
    <w:rsid w:val="00BF129F"/>
    <w:rsid w:val="00BF132A"/>
    <w:rsid w:val="00BF13AB"/>
    <w:rsid w:val="00BF1443"/>
    <w:rsid w:val="00BF1469"/>
    <w:rsid w:val="00BF14F4"/>
    <w:rsid w:val="00BF1680"/>
    <w:rsid w:val="00BF168C"/>
    <w:rsid w:val="00BF16AB"/>
    <w:rsid w:val="00BF178A"/>
    <w:rsid w:val="00BF1898"/>
    <w:rsid w:val="00BF189F"/>
    <w:rsid w:val="00BF18A7"/>
    <w:rsid w:val="00BF18AB"/>
    <w:rsid w:val="00BF18C8"/>
    <w:rsid w:val="00BF1900"/>
    <w:rsid w:val="00BF1908"/>
    <w:rsid w:val="00BF1944"/>
    <w:rsid w:val="00BF194E"/>
    <w:rsid w:val="00BF19B6"/>
    <w:rsid w:val="00BF1A22"/>
    <w:rsid w:val="00BF1A72"/>
    <w:rsid w:val="00BF1A77"/>
    <w:rsid w:val="00BF1ABE"/>
    <w:rsid w:val="00BF1AE1"/>
    <w:rsid w:val="00BF1AEC"/>
    <w:rsid w:val="00BF1BC4"/>
    <w:rsid w:val="00BF1C59"/>
    <w:rsid w:val="00BF1C64"/>
    <w:rsid w:val="00BF1C8C"/>
    <w:rsid w:val="00BF1D65"/>
    <w:rsid w:val="00BF1F09"/>
    <w:rsid w:val="00BF1F1B"/>
    <w:rsid w:val="00BF1F32"/>
    <w:rsid w:val="00BF1FCD"/>
    <w:rsid w:val="00BF1FF5"/>
    <w:rsid w:val="00BF2040"/>
    <w:rsid w:val="00BF20F2"/>
    <w:rsid w:val="00BF2128"/>
    <w:rsid w:val="00BF216F"/>
    <w:rsid w:val="00BF2211"/>
    <w:rsid w:val="00BF2253"/>
    <w:rsid w:val="00BF227D"/>
    <w:rsid w:val="00BF22FC"/>
    <w:rsid w:val="00BF2328"/>
    <w:rsid w:val="00BF23A0"/>
    <w:rsid w:val="00BF23AC"/>
    <w:rsid w:val="00BF23B3"/>
    <w:rsid w:val="00BF2469"/>
    <w:rsid w:val="00BF2492"/>
    <w:rsid w:val="00BF254A"/>
    <w:rsid w:val="00BF2662"/>
    <w:rsid w:val="00BF2683"/>
    <w:rsid w:val="00BF274D"/>
    <w:rsid w:val="00BF27F4"/>
    <w:rsid w:val="00BF28C0"/>
    <w:rsid w:val="00BF28EA"/>
    <w:rsid w:val="00BF294E"/>
    <w:rsid w:val="00BF29A6"/>
    <w:rsid w:val="00BF29BC"/>
    <w:rsid w:val="00BF2A4F"/>
    <w:rsid w:val="00BF2A58"/>
    <w:rsid w:val="00BF2A6B"/>
    <w:rsid w:val="00BF2B09"/>
    <w:rsid w:val="00BF2BB4"/>
    <w:rsid w:val="00BF2BD6"/>
    <w:rsid w:val="00BF2C88"/>
    <w:rsid w:val="00BF2CB5"/>
    <w:rsid w:val="00BF2EB0"/>
    <w:rsid w:val="00BF2F0C"/>
    <w:rsid w:val="00BF2F59"/>
    <w:rsid w:val="00BF2F5D"/>
    <w:rsid w:val="00BF2F6F"/>
    <w:rsid w:val="00BF2FC6"/>
    <w:rsid w:val="00BF3119"/>
    <w:rsid w:val="00BF3167"/>
    <w:rsid w:val="00BF31B8"/>
    <w:rsid w:val="00BF31FA"/>
    <w:rsid w:val="00BF325E"/>
    <w:rsid w:val="00BF32F9"/>
    <w:rsid w:val="00BF3384"/>
    <w:rsid w:val="00BF33D6"/>
    <w:rsid w:val="00BF33D7"/>
    <w:rsid w:val="00BF3451"/>
    <w:rsid w:val="00BF34D4"/>
    <w:rsid w:val="00BF3523"/>
    <w:rsid w:val="00BF3573"/>
    <w:rsid w:val="00BF3605"/>
    <w:rsid w:val="00BF3661"/>
    <w:rsid w:val="00BF374B"/>
    <w:rsid w:val="00BF3785"/>
    <w:rsid w:val="00BF379A"/>
    <w:rsid w:val="00BF38CE"/>
    <w:rsid w:val="00BF390E"/>
    <w:rsid w:val="00BF391D"/>
    <w:rsid w:val="00BF3926"/>
    <w:rsid w:val="00BF39F0"/>
    <w:rsid w:val="00BF3A4C"/>
    <w:rsid w:val="00BF3A98"/>
    <w:rsid w:val="00BF3C24"/>
    <w:rsid w:val="00BF3C40"/>
    <w:rsid w:val="00BF3D5C"/>
    <w:rsid w:val="00BF3E31"/>
    <w:rsid w:val="00BF3E46"/>
    <w:rsid w:val="00BF3E92"/>
    <w:rsid w:val="00BF3E99"/>
    <w:rsid w:val="00BF3EB4"/>
    <w:rsid w:val="00BF3F19"/>
    <w:rsid w:val="00BF3FE5"/>
    <w:rsid w:val="00BF3FEF"/>
    <w:rsid w:val="00BF4120"/>
    <w:rsid w:val="00BF41C0"/>
    <w:rsid w:val="00BF41D5"/>
    <w:rsid w:val="00BF424B"/>
    <w:rsid w:val="00BF42D5"/>
    <w:rsid w:val="00BF440E"/>
    <w:rsid w:val="00BF4567"/>
    <w:rsid w:val="00BF45A3"/>
    <w:rsid w:val="00BF4616"/>
    <w:rsid w:val="00BF4697"/>
    <w:rsid w:val="00BF469D"/>
    <w:rsid w:val="00BF46EB"/>
    <w:rsid w:val="00BF4712"/>
    <w:rsid w:val="00BF47C9"/>
    <w:rsid w:val="00BF47DE"/>
    <w:rsid w:val="00BF4825"/>
    <w:rsid w:val="00BF485B"/>
    <w:rsid w:val="00BF48ED"/>
    <w:rsid w:val="00BF49C8"/>
    <w:rsid w:val="00BF4A1D"/>
    <w:rsid w:val="00BF4A53"/>
    <w:rsid w:val="00BF4AAB"/>
    <w:rsid w:val="00BF4B5D"/>
    <w:rsid w:val="00BF4BB1"/>
    <w:rsid w:val="00BF4C91"/>
    <w:rsid w:val="00BF4D05"/>
    <w:rsid w:val="00BF4DE9"/>
    <w:rsid w:val="00BF4DEE"/>
    <w:rsid w:val="00BF4E6C"/>
    <w:rsid w:val="00BF4ECE"/>
    <w:rsid w:val="00BF4F07"/>
    <w:rsid w:val="00BF4F8D"/>
    <w:rsid w:val="00BF5019"/>
    <w:rsid w:val="00BF5040"/>
    <w:rsid w:val="00BF50CB"/>
    <w:rsid w:val="00BF5100"/>
    <w:rsid w:val="00BF51A5"/>
    <w:rsid w:val="00BF5295"/>
    <w:rsid w:val="00BF52B2"/>
    <w:rsid w:val="00BF532C"/>
    <w:rsid w:val="00BF5378"/>
    <w:rsid w:val="00BF5392"/>
    <w:rsid w:val="00BF56B9"/>
    <w:rsid w:val="00BF5773"/>
    <w:rsid w:val="00BF583D"/>
    <w:rsid w:val="00BF58E4"/>
    <w:rsid w:val="00BF5963"/>
    <w:rsid w:val="00BF5977"/>
    <w:rsid w:val="00BF59E1"/>
    <w:rsid w:val="00BF5A12"/>
    <w:rsid w:val="00BF5A7B"/>
    <w:rsid w:val="00BF5A91"/>
    <w:rsid w:val="00BF5A9F"/>
    <w:rsid w:val="00BF5AC9"/>
    <w:rsid w:val="00BF5AD1"/>
    <w:rsid w:val="00BF5B03"/>
    <w:rsid w:val="00BF5B1D"/>
    <w:rsid w:val="00BF5B33"/>
    <w:rsid w:val="00BF5BD9"/>
    <w:rsid w:val="00BF5BE0"/>
    <w:rsid w:val="00BF5C1A"/>
    <w:rsid w:val="00BF5CAB"/>
    <w:rsid w:val="00BF5CEC"/>
    <w:rsid w:val="00BF5CF5"/>
    <w:rsid w:val="00BF5DF4"/>
    <w:rsid w:val="00BF5E15"/>
    <w:rsid w:val="00BF5E42"/>
    <w:rsid w:val="00BF5E77"/>
    <w:rsid w:val="00BF5F03"/>
    <w:rsid w:val="00BF5F4A"/>
    <w:rsid w:val="00BF5FC4"/>
    <w:rsid w:val="00BF6040"/>
    <w:rsid w:val="00BF6099"/>
    <w:rsid w:val="00BF60D5"/>
    <w:rsid w:val="00BF60E3"/>
    <w:rsid w:val="00BF6109"/>
    <w:rsid w:val="00BF6209"/>
    <w:rsid w:val="00BF6338"/>
    <w:rsid w:val="00BF6360"/>
    <w:rsid w:val="00BF6445"/>
    <w:rsid w:val="00BF644B"/>
    <w:rsid w:val="00BF649A"/>
    <w:rsid w:val="00BF64BA"/>
    <w:rsid w:val="00BF6524"/>
    <w:rsid w:val="00BF6596"/>
    <w:rsid w:val="00BF65E5"/>
    <w:rsid w:val="00BF673E"/>
    <w:rsid w:val="00BF677F"/>
    <w:rsid w:val="00BF6845"/>
    <w:rsid w:val="00BF688F"/>
    <w:rsid w:val="00BF6895"/>
    <w:rsid w:val="00BF68AB"/>
    <w:rsid w:val="00BF6955"/>
    <w:rsid w:val="00BF6A65"/>
    <w:rsid w:val="00BF6ADA"/>
    <w:rsid w:val="00BF6B52"/>
    <w:rsid w:val="00BF6BA5"/>
    <w:rsid w:val="00BF6BED"/>
    <w:rsid w:val="00BF6DA4"/>
    <w:rsid w:val="00BF6E08"/>
    <w:rsid w:val="00BF6E22"/>
    <w:rsid w:val="00BF6EAE"/>
    <w:rsid w:val="00BF6ED6"/>
    <w:rsid w:val="00BF6F16"/>
    <w:rsid w:val="00BF6F68"/>
    <w:rsid w:val="00BF6FB0"/>
    <w:rsid w:val="00BF6FE7"/>
    <w:rsid w:val="00BF6FF8"/>
    <w:rsid w:val="00BF7006"/>
    <w:rsid w:val="00BF7072"/>
    <w:rsid w:val="00BF70DB"/>
    <w:rsid w:val="00BF7195"/>
    <w:rsid w:val="00BF7268"/>
    <w:rsid w:val="00BF7285"/>
    <w:rsid w:val="00BF72DF"/>
    <w:rsid w:val="00BF7332"/>
    <w:rsid w:val="00BF74CA"/>
    <w:rsid w:val="00BF7540"/>
    <w:rsid w:val="00BF75A8"/>
    <w:rsid w:val="00BF75C8"/>
    <w:rsid w:val="00BF7668"/>
    <w:rsid w:val="00BF767F"/>
    <w:rsid w:val="00BF76A0"/>
    <w:rsid w:val="00BF7731"/>
    <w:rsid w:val="00BF7768"/>
    <w:rsid w:val="00BF77C3"/>
    <w:rsid w:val="00BF785E"/>
    <w:rsid w:val="00BF7988"/>
    <w:rsid w:val="00BF7A2F"/>
    <w:rsid w:val="00BF7A62"/>
    <w:rsid w:val="00BF7ADE"/>
    <w:rsid w:val="00BF7B1F"/>
    <w:rsid w:val="00BF7D0F"/>
    <w:rsid w:val="00BF7DA8"/>
    <w:rsid w:val="00BF7E50"/>
    <w:rsid w:val="00BF7EB2"/>
    <w:rsid w:val="00BF7F54"/>
    <w:rsid w:val="00BF7FDB"/>
    <w:rsid w:val="00C0004C"/>
    <w:rsid w:val="00C0005C"/>
    <w:rsid w:val="00C00097"/>
    <w:rsid w:val="00C000A0"/>
    <w:rsid w:val="00C00213"/>
    <w:rsid w:val="00C00317"/>
    <w:rsid w:val="00C00371"/>
    <w:rsid w:val="00C003E9"/>
    <w:rsid w:val="00C0043B"/>
    <w:rsid w:val="00C00469"/>
    <w:rsid w:val="00C00493"/>
    <w:rsid w:val="00C004D5"/>
    <w:rsid w:val="00C00943"/>
    <w:rsid w:val="00C00972"/>
    <w:rsid w:val="00C00974"/>
    <w:rsid w:val="00C0097D"/>
    <w:rsid w:val="00C00A5C"/>
    <w:rsid w:val="00C00A9F"/>
    <w:rsid w:val="00C00AA0"/>
    <w:rsid w:val="00C00B10"/>
    <w:rsid w:val="00C00B52"/>
    <w:rsid w:val="00C00B6C"/>
    <w:rsid w:val="00C00BC6"/>
    <w:rsid w:val="00C00C78"/>
    <w:rsid w:val="00C00CA8"/>
    <w:rsid w:val="00C00CC3"/>
    <w:rsid w:val="00C00D18"/>
    <w:rsid w:val="00C00D9C"/>
    <w:rsid w:val="00C00DEF"/>
    <w:rsid w:val="00C00E12"/>
    <w:rsid w:val="00C00E1D"/>
    <w:rsid w:val="00C00E2D"/>
    <w:rsid w:val="00C00EA5"/>
    <w:rsid w:val="00C00F3F"/>
    <w:rsid w:val="00C00F43"/>
    <w:rsid w:val="00C00F57"/>
    <w:rsid w:val="00C00F63"/>
    <w:rsid w:val="00C00FCF"/>
    <w:rsid w:val="00C01040"/>
    <w:rsid w:val="00C0112D"/>
    <w:rsid w:val="00C0113C"/>
    <w:rsid w:val="00C011B8"/>
    <w:rsid w:val="00C011F1"/>
    <w:rsid w:val="00C011F4"/>
    <w:rsid w:val="00C0124E"/>
    <w:rsid w:val="00C0125A"/>
    <w:rsid w:val="00C01301"/>
    <w:rsid w:val="00C01322"/>
    <w:rsid w:val="00C01330"/>
    <w:rsid w:val="00C01337"/>
    <w:rsid w:val="00C01399"/>
    <w:rsid w:val="00C013BE"/>
    <w:rsid w:val="00C013E2"/>
    <w:rsid w:val="00C0141F"/>
    <w:rsid w:val="00C01436"/>
    <w:rsid w:val="00C01481"/>
    <w:rsid w:val="00C014C1"/>
    <w:rsid w:val="00C01595"/>
    <w:rsid w:val="00C016CE"/>
    <w:rsid w:val="00C01865"/>
    <w:rsid w:val="00C01874"/>
    <w:rsid w:val="00C018A7"/>
    <w:rsid w:val="00C019B0"/>
    <w:rsid w:val="00C01A19"/>
    <w:rsid w:val="00C01AB2"/>
    <w:rsid w:val="00C01AB7"/>
    <w:rsid w:val="00C01B53"/>
    <w:rsid w:val="00C01B9C"/>
    <w:rsid w:val="00C01C1E"/>
    <w:rsid w:val="00C01C62"/>
    <w:rsid w:val="00C01C8B"/>
    <w:rsid w:val="00C01CB1"/>
    <w:rsid w:val="00C01CE6"/>
    <w:rsid w:val="00C01D41"/>
    <w:rsid w:val="00C01EB0"/>
    <w:rsid w:val="00C01F1A"/>
    <w:rsid w:val="00C01F74"/>
    <w:rsid w:val="00C02040"/>
    <w:rsid w:val="00C02042"/>
    <w:rsid w:val="00C020E3"/>
    <w:rsid w:val="00C020EA"/>
    <w:rsid w:val="00C0215B"/>
    <w:rsid w:val="00C021D0"/>
    <w:rsid w:val="00C02294"/>
    <w:rsid w:val="00C0232F"/>
    <w:rsid w:val="00C023AA"/>
    <w:rsid w:val="00C023C6"/>
    <w:rsid w:val="00C02477"/>
    <w:rsid w:val="00C024E2"/>
    <w:rsid w:val="00C024F9"/>
    <w:rsid w:val="00C02594"/>
    <w:rsid w:val="00C025CB"/>
    <w:rsid w:val="00C025D9"/>
    <w:rsid w:val="00C02634"/>
    <w:rsid w:val="00C026AE"/>
    <w:rsid w:val="00C026FA"/>
    <w:rsid w:val="00C02762"/>
    <w:rsid w:val="00C027DE"/>
    <w:rsid w:val="00C02832"/>
    <w:rsid w:val="00C02838"/>
    <w:rsid w:val="00C0285D"/>
    <w:rsid w:val="00C02932"/>
    <w:rsid w:val="00C029A3"/>
    <w:rsid w:val="00C029F9"/>
    <w:rsid w:val="00C02A34"/>
    <w:rsid w:val="00C02A40"/>
    <w:rsid w:val="00C02A9E"/>
    <w:rsid w:val="00C02B15"/>
    <w:rsid w:val="00C02B1C"/>
    <w:rsid w:val="00C02B31"/>
    <w:rsid w:val="00C02B3B"/>
    <w:rsid w:val="00C02BC8"/>
    <w:rsid w:val="00C02C05"/>
    <w:rsid w:val="00C02C25"/>
    <w:rsid w:val="00C02C49"/>
    <w:rsid w:val="00C02C4D"/>
    <w:rsid w:val="00C02C50"/>
    <w:rsid w:val="00C02CAC"/>
    <w:rsid w:val="00C02D69"/>
    <w:rsid w:val="00C02D72"/>
    <w:rsid w:val="00C02DB2"/>
    <w:rsid w:val="00C02EB9"/>
    <w:rsid w:val="00C02EBD"/>
    <w:rsid w:val="00C02F27"/>
    <w:rsid w:val="00C02F63"/>
    <w:rsid w:val="00C02FA0"/>
    <w:rsid w:val="00C02FCE"/>
    <w:rsid w:val="00C02FDB"/>
    <w:rsid w:val="00C03080"/>
    <w:rsid w:val="00C0308D"/>
    <w:rsid w:val="00C030C2"/>
    <w:rsid w:val="00C03108"/>
    <w:rsid w:val="00C0310A"/>
    <w:rsid w:val="00C03118"/>
    <w:rsid w:val="00C03150"/>
    <w:rsid w:val="00C031D1"/>
    <w:rsid w:val="00C031F7"/>
    <w:rsid w:val="00C03344"/>
    <w:rsid w:val="00C034C9"/>
    <w:rsid w:val="00C03527"/>
    <w:rsid w:val="00C03545"/>
    <w:rsid w:val="00C0355F"/>
    <w:rsid w:val="00C035A6"/>
    <w:rsid w:val="00C035CA"/>
    <w:rsid w:val="00C0360D"/>
    <w:rsid w:val="00C036EF"/>
    <w:rsid w:val="00C03840"/>
    <w:rsid w:val="00C0386A"/>
    <w:rsid w:val="00C038CA"/>
    <w:rsid w:val="00C03959"/>
    <w:rsid w:val="00C03988"/>
    <w:rsid w:val="00C03A1A"/>
    <w:rsid w:val="00C03A29"/>
    <w:rsid w:val="00C03A3C"/>
    <w:rsid w:val="00C03AE8"/>
    <w:rsid w:val="00C03AFA"/>
    <w:rsid w:val="00C03B2D"/>
    <w:rsid w:val="00C03C2B"/>
    <w:rsid w:val="00C03CF7"/>
    <w:rsid w:val="00C03DE9"/>
    <w:rsid w:val="00C03EAE"/>
    <w:rsid w:val="00C03EE3"/>
    <w:rsid w:val="00C03FB3"/>
    <w:rsid w:val="00C04004"/>
    <w:rsid w:val="00C04044"/>
    <w:rsid w:val="00C0404B"/>
    <w:rsid w:val="00C04061"/>
    <w:rsid w:val="00C04064"/>
    <w:rsid w:val="00C04130"/>
    <w:rsid w:val="00C042A3"/>
    <w:rsid w:val="00C04303"/>
    <w:rsid w:val="00C04314"/>
    <w:rsid w:val="00C04315"/>
    <w:rsid w:val="00C0432C"/>
    <w:rsid w:val="00C043F7"/>
    <w:rsid w:val="00C04482"/>
    <w:rsid w:val="00C04521"/>
    <w:rsid w:val="00C045B0"/>
    <w:rsid w:val="00C045B1"/>
    <w:rsid w:val="00C0466A"/>
    <w:rsid w:val="00C04756"/>
    <w:rsid w:val="00C04831"/>
    <w:rsid w:val="00C048AC"/>
    <w:rsid w:val="00C0491F"/>
    <w:rsid w:val="00C04936"/>
    <w:rsid w:val="00C04A27"/>
    <w:rsid w:val="00C04AE4"/>
    <w:rsid w:val="00C04B5B"/>
    <w:rsid w:val="00C04BAB"/>
    <w:rsid w:val="00C04C7A"/>
    <w:rsid w:val="00C04C98"/>
    <w:rsid w:val="00C04D54"/>
    <w:rsid w:val="00C04E5B"/>
    <w:rsid w:val="00C04F6D"/>
    <w:rsid w:val="00C04FC7"/>
    <w:rsid w:val="00C0508A"/>
    <w:rsid w:val="00C050BF"/>
    <w:rsid w:val="00C050D1"/>
    <w:rsid w:val="00C05135"/>
    <w:rsid w:val="00C05136"/>
    <w:rsid w:val="00C051B7"/>
    <w:rsid w:val="00C0520B"/>
    <w:rsid w:val="00C05222"/>
    <w:rsid w:val="00C0530A"/>
    <w:rsid w:val="00C05341"/>
    <w:rsid w:val="00C05363"/>
    <w:rsid w:val="00C053E0"/>
    <w:rsid w:val="00C05574"/>
    <w:rsid w:val="00C0557A"/>
    <w:rsid w:val="00C055C3"/>
    <w:rsid w:val="00C056BA"/>
    <w:rsid w:val="00C056DF"/>
    <w:rsid w:val="00C056E8"/>
    <w:rsid w:val="00C05708"/>
    <w:rsid w:val="00C0576F"/>
    <w:rsid w:val="00C05788"/>
    <w:rsid w:val="00C05841"/>
    <w:rsid w:val="00C058B5"/>
    <w:rsid w:val="00C058CE"/>
    <w:rsid w:val="00C058F1"/>
    <w:rsid w:val="00C05911"/>
    <w:rsid w:val="00C05945"/>
    <w:rsid w:val="00C059AC"/>
    <w:rsid w:val="00C059F9"/>
    <w:rsid w:val="00C05A6E"/>
    <w:rsid w:val="00C05A7F"/>
    <w:rsid w:val="00C05B41"/>
    <w:rsid w:val="00C05BE2"/>
    <w:rsid w:val="00C05BF1"/>
    <w:rsid w:val="00C05C5E"/>
    <w:rsid w:val="00C05DAE"/>
    <w:rsid w:val="00C05E68"/>
    <w:rsid w:val="00C05EB1"/>
    <w:rsid w:val="00C05EDF"/>
    <w:rsid w:val="00C05F23"/>
    <w:rsid w:val="00C05F2C"/>
    <w:rsid w:val="00C05F8A"/>
    <w:rsid w:val="00C06036"/>
    <w:rsid w:val="00C06184"/>
    <w:rsid w:val="00C061CE"/>
    <w:rsid w:val="00C061EC"/>
    <w:rsid w:val="00C062BC"/>
    <w:rsid w:val="00C06345"/>
    <w:rsid w:val="00C063F6"/>
    <w:rsid w:val="00C064D3"/>
    <w:rsid w:val="00C064FA"/>
    <w:rsid w:val="00C065CA"/>
    <w:rsid w:val="00C06636"/>
    <w:rsid w:val="00C066C9"/>
    <w:rsid w:val="00C066FC"/>
    <w:rsid w:val="00C0675D"/>
    <w:rsid w:val="00C067D5"/>
    <w:rsid w:val="00C06802"/>
    <w:rsid w:val="00C06A05"/>
    <w:rsid w:val="00C06AEA"/>
    <w:rsid w:val="00C06BB3"/>
    <w:rsid w:val="00C06CAB"/>
    <w:rsid w:val="00C06CEE"/>
    <w:rsid w:val="00C06DCE"/>
    <w:rsid w:val="00C06E17"/>
    <w:rsid w:val="00C06E1B"/>
    <w:rsid w:val="00C06F13"/>
    <w:rsid w:val="00C07078"/>
    <w:rsid w:val="00C07153"/>
    <w:rsid w:val="00C07187"/>
    <w:rsid w:val="00C071ED"/>
    <w:rsid w:val="00C0721F"/>
    <w:rsid w:val="00C072AE"/>
    <w:rsid w:val="00C07343"/>
    <w:rsid w:val="00C0736D"/>
    <w:rsid w:val="00C07435"/>
    <w:rsid w:val="00C07438"/>
    <w:rsid w:val="00C07581"/>
    <w:rsid w:val="00C0758C"/>
    <w:rsid w:val="00C0758D"/>
    <w:rsid w:val="00C075BB"/>
    <w:rsid w:val="00C07614"/>
    <w:rsid w:val="00C0777A"/>
    <w:rsid w:val="00C07786"/>
    <w:rsid w:val="00C07792"/>
    <w:rsid w:val="00C07876"/>
    <w:rsid w:val="00C07A5A"/>
    <w:rsid w:val="00C07AA9"/>
    <w:rsid w:val="00C07AB1"/>
    <w:rsid w:val="00C07B4D"/>
    <w:rsid w:val="00C07BA3"/>
    <w:rsid w:val="00C07C31"/>
    <w:rsid w:val="00C07C5F"/>
    <w:rsid w:val="00C07C71"/>
    <w:rsid w:val="00C07D10"/>
    <w:rsid w:val="00C07D42"/>
    <w:rsid w:val="00C07D5D"/>
    <w:rsid w:val="00C07DF1"/>
    <w:rsid w:val="00C07DF3"/>
    <w:rsid w:val="00C07E94"/>
    <w:rsid w:val="00C07EC2"/>
    <w:rsid w:val="00C07F6F"/>
    <w:rsid w:val="00C10037"/>
    <w:rsid w:val="00C100BA"/>
    <w:rsid w:val="00C101A3"/>
    <w:rsid w:val="00C101A5"/>
    <w:rsid w:val="00C1026F"/>
    <w:rsid w:val="00C10272"/>
    <w:rsid w:val="00C103E1"/>
    <w:rsid w:val="00C10428"/>
    <w:rsid w:val="00C104A6"/>
    <w:rsid w:val="00C10564"/>
    <w:rsid w:val="00C10630"/>
    <w:rsid w:val="00C10705"/>
    <w:rsid w:val="00C107ED"/>
    <w:rsid w:val="00C107F8"/>
    <w:rsid w:val="00C1083B"/>
    <w:rsid w:val="00C1084B"/>
    <w:rsid w:val="00C108B5"/>
    <w:rsid w:val="00C108B6"/>
    <w:rsid w:val="00C109C6"/>
    <w:rsid w:val="00C109D5"/>
    <w:rsid w:val="00C10A19"/>
    <w:rsid w:val="00C10A49"/>
    <w:rsid w:val="00C10A71"/>
    <w:rsid w:val="00C10AA7"/>
    <w:rsid w:val="00C10AE0"/>
    <w:rsid w:val="00C10B02"/>
    <w:rsid w:val="00C10B2A"/>
    <w:rsid w:val="00C10BA6"/>
    <w:rsid w:val="00C10CFB"/>
    <w:rsid w:val="00C10DE7"/>
    <w:rsid w:val="00C10E13"/>
    <w:rsid w:val="00C10E64"/>
    <w:rsid w:val="00C10EF3"/>
    <w:rsid w:val="00C10F99"/>
    <w:rsid w:val="00C1117A"/>
    <w:rsid w:val="00C1118A"/>
    <w:rsid w:val="00C112BD"/>
    <w:rsid w:val="00C11322"/>
    <w:rsid w:val="00C11351"/>
    <w:rsid w:val="00C1139C"/>
    <w:rsid w:val="00C11422"/>
    <w:rsid w:val="00C11451"/>
    <w:rsid w:val="00C11458"/>
    <w:rsid w:val="00C1145F"/>
    <w:rsid w:val="00C11460"/>
    <w:rsid w:val="00C1146B"/>
    <w:rsid w:val="00C11594"/>
    <w:rsid w:val="00C115B9"/>
    <w:rsid w:val="00C115D0"/>
    <w:rsid w:val="00C11639"/>
    <w:rsid w:val="00C11653"/>
    <w:rsid w:val="00C1168A"/>
    <w:rsid w:val="00C116B2"/>
    <w:rsid w:val="00C116B6"/>
    <w:rsid w:val="00C11771"/>
    <w:rsid w:val="00C11792"/>
    <w:rsid w:val="00C117AB"/>
    <w:rsid w:val="00C117C6"/>
    <w:rsid w:val="00C117E2"/>
    <w:rsid w:val="00C1182D"/>
    <w:rsid w:val="00C11843"/>
    <w:rsid w:val="00C119D6"/>
    <w:rsid w:val="00C119E2"/>
    <w:rsid w:val="00C119F4"/>
    <w:rsid w:val="00C11A4F"/>
    <w:rsid w:val="00C11A96"/>
    <w:rsid w:val="00C11A9A"/>
    <w:rsid w:val="00C11B08"/>
    <w:rsid w:val="00C11C80"/>
    <w:rsid w:val="00C11D6C"/>
    <w:rsid w:val="00C11D8F"/>
    <w:rsid w:val="00C11DD7"/>
    <w:rsid w:val="00C11EEE"/>
    <w:rsid w:val="00C11FBC"/>
    <w:rsid w:val="00C1200A"/>
    <w:rsid w:val="00C1200F"/>
    <w:rsid w:val="00C120D7"/>
    <w:rsid w:val="00C1210B"/>
    <w:rsid w:val="00C12185"/>
    <w:rsid w:val="00C121B7"/>
    <w:rsid w:val="00C121BE"/>
    <w:rsid w:val="00C1224D"/>
    <w:rsid w:val="00C1247E"/>
    <w:rsid w:val="00C124A1"/>
    <w:rsid w:val="00C124A7"/>
    <w:rsid w:val="00C1257D"/>
    <w:rsid w:val="00C12660"/>
    <w:rsid w:val="00C12679"/>
    <w:rsid w:val="00C12748"/>
    <w:rsid w:val="00C12758"/>
    <w:rsid w:val="00C127D8"/>
    <w:rsid w:val="00C1282B"/>
    <w:rsid w:val="00C1283C"/>
    <w:rsid w:val="00C1296C"/>
    <w:rsid w:val="00C1296E"/>
    <w:rsid w:val="00C129C1"/>
    <w:rsid w:val="00C129D1"/>
    <w:rsid w:val="00C12A27"/>
    <w:rsid w:val="00C12A44"/>
    <w:rsid w:val="00C12A50"/>
    <w:rsid w:val="00C12A72"/>
    <w:rsid w:val="00C12B11"/>
    <w:rsid w:val="00C12B52"/>
    <w:rsid w:val="00C12BF8"/>
    <w:rsid w:val="00C12C0E"/>
    <w:rsid w:val="00C12C76"/>
    <w:rsid w:val="00C12CBB"/>
    <w:rsid w:val="00C12D99"/>
    <w:rsid w:val="00C12DD7"/>
    <w:rsid w:val="00C12DFA"/>
    <w:rsid w:val="00C12EB9"/>
    <w:rsid w:val="00C12FAF"/>
    <w:rsid w:val="00C13056"/>
    <w:rsid w:val="00C13097"/>
    <w:rsid w:val="00C1311D"/>
    <w:rsid w:val="00C131C8"/>
    <w:rsid w:val="00C131F3"/>
    <w:rsid w:val="00C132CF"/>
    <w:rsid w:val="00C1333C"/>
    <w:rsid w:val="00C1339A"/>
    <w:rsid w:val="00C133A3"/>
    <w:rsid w:val="00C1344A"/>
    <w:rsid w:val="00C13490"/>
    <w:rsid w:val="00C134CD"/>
    <w:rsid w:val="00C1355E"/>
    <w:rsid w:val="00C13575"/>
    <w:rsid w:val="00C13A4C"/>
    <w:rsid w:val="00C13B02"/>
    <w:rsid w:val="00C13B0C"/>
    <w:rsid w:val="00C13C16"/>
    <w:rsid w:val="00C13C63"/>
    <w:rsid w:val="00C13C69"/>
    <w:rsid w:val="00C13C8D"/>
    <w:rsid w:val="00C13CC0"/>
    <w:rsid w:val="00C13D7E"/>
    <w:rsid w:val="00C13D8E"/>
    <w:rsid w:val="00C13E43"/>
    <w:rsid w:val="00C13E61"/>
    <w:rsid w:val="00C13EE6"/>
    <w:rsid w:val="00C13F96"/>
    <w:rsid w:val="00C14181"/>
    <w:rsid w:val="00C141D5"/>
    <w:rsid w:val="00C14322"/>
    <w:rsid w:val="00C14356"/>
    <w:rsid w:val="00C143A8"/>
    <w:rsid w:val="00C143F5"/>
    <w:rsid w:val="00C14483"/>
    <w:rsid w:val="00C14498"/>
    <w:rsid w:val="00C144B7"/>
    <w:rsid w:val="00C14560"/>
    <w:rsid w:val="00C14617"/>
    <w:rsid w:val="00C14643"/>
    <w:rsid w:val="00C1464C"/>
    <w:rsid w:val="00C14676"/>
    <w:rsid w:val="00C14734"/>
    <w:rsid w:val="00C14760"/>
    <w:rsid w:val="00C1480F"/>
    <w:rsid w:val="00C14830"/>
    <w:rsid w:val="00C1485C"/>
    <w:rsid w:val="00C14870"/>
    <w:rsid w:val="00C1493F"/>
    <w:rsid w:val="00C14940"/>
    <w:rsid w:val="00C14994"/>
    <w:rsid w:val="00C14A43"/>
    <w:rsid w:val="00C14A5B"/>
    <w:rsid w:val="00C14B48"/>
    <w:rsid w:val="00C14B6C"/>
    <w:rsid w:val="00C14B77"/>
    <w:rsid w:val="00C14CB8"/>
    <w:rsid w:val="00C14CE3"/>
    <w:rsid w:val="00C14DEA"/>
    <w:rsid w:val="00C14DED"/>
    <w:rsid w:val="00C14DFA"/>
    <w:rsid w:val="00C14E42"/>
    <w:rsid w:val="00C14EBA"/>
    <w:rsid w:val="00C14EC3"/>
    <w:rsid w:val="00C14ED8"/>
    <w:rsid w:val="00C14EF4"/>
    <w:rsid w:val="00C14EFF"/>
    <w:rsid w:val="00C14F28"/>
    <w:rsid w:val="00C14F48"/>
    <w:rsid w:val="00C14F8C"/>
    <w:rsid w:val="00C14FA0"/>
    <w:rsid w:val="00C1502E"/>
    <w:rsid w:val="00C1505D"/>
    <w:rsid w:val="00C15136"/>
    <w:rsid w:val="00C15247"/>
    <w:rsid w:val="00C1524C"/>
    <w:rsid w:val="00C15255"/>
    <w:rsid w:val="00C1526E"/>
    <w:rsid w:val="00C1529E"/>
    <w:rsid w:val="00C152DA"/>
    <w:rsid w:val="00C15357"/>
    <w:rsid w:val="00C15416"/>
    <w:rsid w:val="00C15469"/>
    <w:rsid w:val="00C156CA"/>
    <w:rsid w:val="00C15756"/>
    <w:rsid w:val="00C15776"/>
    <w:rsid w:val="00C157AA"/>
    <w:rsid w:val="00C157B6"/>
    <w:rsid w:val="00C15815"/>
    <w:rsid w:val="00C1583E"/>
    <w:rsid w:val="00C15867"/>
    <w:rsid w:val="00C1587E"/>
    <w:rsid w:val="00C15882"/>
    <w:rsid w:val="00C15896"/>
    <w:rsid w:val="00C158C2"/>
    <w:rsid w:val="00C158CD"/>
    <w:rsid w:val="00C158E0"/>
    <w:rsid w:val="00C15951"/>
    <w:rsid w:val="00C15A6B"/>
    <w:rsid w:val="00C15AA3"/>
    <w:rsid w:val="00C15AAF"/>
    <w:rsid w:val="00C15C65"/>
    <w:rsid w:val="00C15C6A"/>
    <w:rsid w:val="00C15CE1"/>
    <w:rsid w:val="00C15D2A"/>
    <w:rsid w:val="00C15E26"/>
    <w:rsid w:val="00C15E47"/>
    <w:rsid w:val="00C15F59"/>
    <w:rsid w:val="00C16004"/>
    <w:rsid w:val="00C16014"/>
    <w:rsid w:val="00C16070"/>
    <w:rsid w:val="00C161ED"/>
    <w:rsid w:val="00C16230"/>
    <w:rsid w:val="00C1626C"/>
    <w:rsid w:val="00C1626F"/>
    <w:rsid w:val="00C162F5"/>
    <w:rsid w:val="00C16426"/>
    <w:rsid w:val="00C16449"/>
    <w:rsid w:val="00C1649E"/>
    <w:rsid w:val="00C1654A"/>
    <w:rsid w:val="00C1658E"/>
    <w:rsid w:val="00C165CA"/>
    <w:rsid w:val="00C16656"/>
    <w:rsid w:val="00C1673C"/>
    <w:rsid w:val="00C16766"/>
    <w:rsid w:val="00C16804"/>
    <w:rsid w:val="00C16806"/>
    <w:rsid w:val="00C168A9"/>
    <w:rsid w:val="00C168AF"/>
    <w:rsid w:val="00C168BB"/>
    <w:rsid w:val="00C16B10"/>
    <w:rsid w:val="00C16BA9"/>
    <w:rsid w:val="00C16C16"/>
    <w:rsid w:val="00C16C73"/>
    <w:rsid w:val="00C16C83"/>
    <w:rsid w:val="00C16C86"/>
    <w:rsid w:val="00C16D78"/>
    <w:rsid w:val="00C16E65"/>
    <w:rsid w:val="00C16EC3"/>
    <w:rsid w:val="00C16EC4"/>
    <w:rsid w:val="00C16F6D"/>
    <w:rsid w:val="00C1705C"/>
    <w:rsid w:val="00C171BE"/>
    <w:rsid w:val="00C17275"/>
    <w:rsid w:val="00C17313"/>
    <w:rsid w:val="00C17326"/>
    <w:rsid w:val="00C173ED"/>
    <w:rsid w:val="00C17404"/>
    <w:rsid w:val="00C17437"/>
    <w:rsid w:val="00C1743D"/>
    <w:rsid w:val="00C17444"/>
    <w:rsid w:val="00C1753A"/>
    <w:rsid w:val="00C175D5"/>
    <w:rsid w:val="00C17617"/>
    <w:rsid w:val="00C1761A"/>
    <w:rsid w:val="00C17671"/>
    <w:rsid w:val="00C177F1"/>
    <w:rsid w:val="00C178C7"/>
    <w:rsid w:val="00C1796B"/>
    <w:rsid w:val="00C17985"/>
    <w:rsid w:val="00C17988"/>
    <w:rsid w:val="00C17992"/>
    <w:rsid w:val="00C179ED"/>
    <w:rsid w:val="00C17A67"/>
    <w:rsid w:val="00C17A89"/>
    <w:rsid w:val="00C17AAD"/>
    <w:rsid w:val="00C17B61"/>
    <w:rsid w:val="00C17B84"/>
    <w:rsid w:val="00C17C5C"/>
    <w:rsid w:val="00C17C69"/>
    <w:rsid w:val="00C17D0A"/>
    <w:rsid w:val="00C17D0F"/>
    <w:rsid w:val="00C17D68"/>
    <w:rsid w:val="00C17D6E"/>
    <w:rsid w:val="00C17D87"/>
    <w:rsid w:val="00C17DBC"/>
    <w:rsid w:val="00C17E89"/>
    <w:rsid w:val="00C17E9C"/>
    <w:rsid w:val="00C17F17"/>
    <w:rsid w:val="00C17F8B"/>
    <w:rsid w:val="00C2008A"/>
    <w:rsid w:val="00C200C0"/>
    <w:rsid w:val="00C20116"/>
    <w:rsid w:val="00C20118"/>
    <w:rsid w:val="00C201E1"/>
    <w:rsid w:val="00C201E5"/>
    <w:rsid w:val="00C20228"/>
    <w:rsid w:val="00C20327"/>
    <w:rsid w:val="00C20378"/>
    <w:rsid w:val="00C20395"/>
    <w:rsid w:val="00C203D9"/>
    <w:rsid w:val="00C203DD"/>
    <w:rsid w:val="00C20429"/>
    <w:rsid w:val="00C20498"/>
    <w:rsid w:val="00C204E3"/>
    <w:rsid w:val="00C204FF"/>
    <w:rsid w:val="00C20531"/>
    <w:rsid w:val="00C2053A"/>
    <w:rsid w:val="00C205EA"/>
    <w:rsid w:val="00C2060F"/>
    <w:rsid w:val="00C2063A"/>
    <w:rsid w:val="00C2071C"/>
    <w:rsid w:val="00C207B7"/>
    <w:rsid w:val="00C207FC"/>
    <w:rsid w:val="00C2081A"/>
    <w:rsid w:val="00C20855"/>
    <w:rsid w:val="00C208A7"/>
    <w:rsid w:val="00C208B6"/>
    <w:rsid w:val="00C208CA"/>
    <w:rsid w:val="00C208D0"/>
    <w:rsid w:val="00C208D5"/>
    <w:rsid w:val="00C2091F"/>
    <w:rsid w:val="00C20927"/>
    <w:rsid w:val="00C20978"/>
    <w:rsid w:val="00C209F5"/>
    <w:rsid w:val="00C20A25"/>
    <w:rsid w:val="00C20A6E"/>
    <w:rsid w:val="00C20BBD"/>
    <w:rsid w:val="00C20BC7"/>
    <w:rsid w:val="00C20CAA"/>
    <w:rsid w:val="00C20E67"/>
    <w:rsid w:val="00C20E70"/>
    <w:rsid w:val="00C20F51"/>
    <w:rsid w:val="00C20FB8"/>
    <w:rsid w:val="00C20FC3"/>
    <w:rsid w:val="00C20FF9"/>
    <w:rsid w:val="00C2112C"/>
    <w:rsid w:val="00C211A8"/>
    <w:rsid w:val="00C211F8"/>
    <w:rsid w:val="00C211FC"/>
    <w:rsid w:val="00C21366"/>
    <w:rsid w:val="00C21391"/>
    <w:rsid w:val="00C2148B"/>
    <w:rsid w:val="00C21496"/>
    <w:rsid w:val="00C214D8"/>
    <w:rsid w:val="00C214E5"/>
    <w:rsid w:val="00C214EC"/>
    <w:rsid w:val="00C2158E"/>
    <w:rsid w:val="00C21623"/>
    <w:rsid w:val="00C2167D"/>
    <w:rsid w:val="00C2168D"/>
    <w:rsid w:val="00C2178B"/>
    <w:rsid w:val="00C217BF"/>
    <w:rsid w:val="00C2180E"/>
    <w:rsid w:val="00C218F4"/>
    <w:rsid w:val="00C21A5F"/>
    <w:rsid w:val="00C21ABD"/>
    <w:rsid w:val="00C21C63"/>
    <w:rsid w:val="00C21CC7"/>
    <w:rsid w:val="00C21D77"/>
    <w:rsid w:val="00C21EB5"/>
    <w:rsid w:val="00C21EF6"/>
    <w:rsid w:val="00C21F0E"/>
    <w:rsid w:val="00C21F19"/>
    <w:rsid w:val="00C21FCD"/>
    <w:rsid w:val="00C22042"/>
    <w:rsid w:val="00C220AE"/>
    <w:rsid w:val="00C220D0"/>
    <w:rsid w:val="00C2214F"/>
    <w:rsid w:val="00C2215A"/>
    <w:rsid w:val="00C22199"/>
    <w:rsid w:val="00C221CC"/>
    <w:rsid w:val="00C2223C"/>
    <w:rsid w:val="00C22254"/>
    <w:rsid w:val="00C22298"/>
    <w:rsid w:val="00C222E7"/>
    <w:rsid w:val="00C2232E"/>
    <w:rsid w:val="00C2234B"/>
    <w:rsid w:val="00C2236A"/>
    <w:rsid w:val="00C22442"/>
    <w:rsid w:val="00C22456"/>
    <w:rsid w:val="00C225CD"/>
    <w:rsid w:val="00C22740"/>
    <w:rsid w:val="00C22771"/>
    <w:rsid w:val="00C2279B"/>
    <w:rsid w:val="00C227ED"/>
    <w:rsid w:val="00C22825"/>
    <w:rsid w:val="00C229D1"/>
    <w:rsid w:val="00C229F5"/>
    <w:rsid w:val="00C22A74"/>
    <w:rsid w:val="00C22A8A"/>
    <w:rsid w:val="00C22A95"/>
    <w:rsid w:val="00C22AB8"/>
    <w:rsid w:val="00C22AD5"/>
    <w:rsid w:val="00C22B06"/>
    <w:rsid w:val="00C22BCD"/>
    <w:rsid w:val="00C22C26"/>
    <w:rsid w:val="00C22C7C"/>
    <w:rsid w:val="00C22CBC"/>
    <w:rsid w:val="00C22CF0"/>
    <w:rsid w:val="00C22DE2"/>
    <w:rsid w:val="00C22E44"/>
    <w:rsid w:val="00C22E47"/>
    <w:rsid w:val="00C22E4C"/>
    <w:rsid w:val="00C22E6B"/>
    <w:rsid w:val="00C22EF1"/>
    <w:rsid w:val="00C22FA0"/>
    <w:rsid w:val="00C230C8"/>
    <w:rsid w:val="00C23109"/>
    <w:rsid w:val="00C2310C"/>
    <w:rsid w:val="00C231B6"/>
    <w:rsid w:val="00C23235"/>
    <w:rsid w:val="00C232BA"/>
    <w:rsid w:val="00C2330F"/>
    <w:rsid w:val="00C23378"/>
    <w:rsid w:val="00C23382"/>
    <w:rsid w:val="00C2349E"/>
    <w:rsid w:val="00C23544"/>
    <w:rsid w:val="00C2357A"/>
    <w:rsid w:val="00C23591"/>
    <w:rsid w:val="00C235D4"/>
    <w:rsid w:val="00C23614"/>
    <w:rsid w:val="00C23623"/>
    <w:rsid w:val="00C23658"/>
    <w:rsid w:val="00C23838"/>
    <w:rsid w:val="00C23842"/>
    <w:rsid w:val="00C2393B"/>
    <w:rsid w:val="00C23946"/>
    <w:rsid w:val="00C23966"/>
    <w:rsid w:val="00C239BC"/>
    <w:rsid w:val="00C239E5"/>
    <w:rsid w:val="00C239EF"/>
    <w:rsid w:val="00C23A4F"/>
    <w:rsid w:val="00C23AA7"/>
    <w:rsid w:val="00C23AE0"/>
    <w:rsid w:val="00C23AE9"/>
    <w:rsid w:val="00C23B9D"/>
    <w:rsid w:val="00C23BB1"/>
    <w:rsid w:val="00C23BC1"/>
    <w:rsid w:val="00C23C10"/>
    <w:rsid w:val="00C23C1D"/>
    <w:rsid w:val="00C23C93"/>
    <w:rsid w:val="00C23CF3"/>
    <w:rsid w:val="00C23DAF"/>
    <w:rsid w:val="00C23E4D"/>
    <w:rsid w:val="00C23E5E"/>
    <w:rsid w:val="00C23F08"/>
    <w:rsid w:val="00C23F2B"/>
    <w:rsid w:val="00C2405E"/>
    <w:rsid w:val="00C24063"/>
    <w:rsid w:val="00C24077"/>
    <w:rsid w:val="00C240C6"/>
    <w:rsid w:val="00C24158"/>
    <w:rsid w:val="00C2423F"/>
    <w:rsid w:val="00C24282"/>
    <w:rsid w:val="00C24322"/>
    <w:rsid w:val="00C2446B"/>
    <w:rsid w:val="00C24537"/>
    <w:rsid w:val="00C245BC"/>
    <w:rsid w:val="00C24646"/>
    <w:rsid w:val="00C24717"/>
    <w:rsid w:val="00C247A9"/>
    <w:rsid w:val="00C247DA"/>
    <w:rsid w:val="00C247EA"/>
    <w:rsid w:val="00C24A36"/>
    <w:rsid w:val="00C24ABE"/>
    <w:rsid w:val="00C24B1A"/>
    <w:rsid w:val="00C24B67"/>
    <w:rsid w:val="00C24C0B"/>
    <w:rsid w:val="00C24C1E"/>
    <w:rsid w:val="00C24C5B"/>
    <w:rsid w:val="00C24CC3"/>
    <w:rsid w:val="00C24D12"/>
    <w:rsid w:val="00C24D39"/>
    <w:rsid w:val="00C24E66"/>
    <w:rsid w:val="00C24E73"/>
    <w:rsid w:val="00C24ED0"/>
    <w:rsid w:val="00C25038"/>
    <w:rsid w:val="00C2503C"/>
    <w:rsid w:val="00C25092"/>
    <w:rsid w:val="00C2512D"/>
    <w:rsid w:val="00C25143"/>
    <w:rsid w:val="00C25230"/>
    <w:rsid w:val="00C25350"/>
    <w:rsid w:val="00C25389"/>
    <w:rsid w:val="00C2538A"/>
    <w:rsid w:val="00C25412"/>
    <w:rsid w:val="00C2545F"/>
    <w:rsid w:val="00C2554A"/>
    <w:rsid w:val="00C25561"/>
    <w:rsid w:val="00C2568C"/>
    <w:rsid w:val="00C256DB"/>
    <w:rsid w:val="00C258B5"/>
    <w:rsid w:val="00C25907"/>
    <w:rsid w:val="00C25923"/>
    <w:rsid w:val="00C2593E"/>
    <w:rsid w:val="00C259B5"/>
    <w:rsid w:val="00C25A44"/>
    <w:rsid w:val="00C25B3D"/>
    <w:rsid w:val="00C25B64"/>
    <w:rsid w:val="00C25B92"/>
    <w:rsid w:val="00C25BAC"/>
    <w:rsid w:val="00C25BB3"/>
    <w:rsid w:val="00C25BB6"/>
    <w:rsid w:val="00C25BC5"/>
    <w:rsid w:val="00C25BD4"/>
    <w:rsid w:val="00C25BE1"/>
    <w:rsid w:val="00C25CFE"/>
    <w:rsid w:val="00C25DD0"/>
    <w:rsid w:val="00C25E17"/>
    <w:rsid w:val="00C25F14"/>
    <w:rsid w:val="00C25F2D"/>
    <w:rsid w:val="00C25F76"/>
    <w:rsid w:val="00C25FC7"/>
    <w:rsid w:val="00C26003"/>
    <w:rsid w:val="00C26110"/>
    <w:rsid w:val="00C2628E"/>
    <w:rsid w:val="00C262B1"/>
    <w:rsid w:val="00C2632B"/>
    <w:rsid w:val="00C263E5"/>
    <w:rsid w:val="00C2641C"/>
    <w:rsid w:val="00C2644F"/>
    <w:rsid w:val="00C26456"/>
    <w:rsid w:val="00C2646B"/>
    <w:rsid w:val="00C26481"/>
    <w:rsid w:val="00C2655F"/>
    <w:rsid w:val="00C265A0"/>
    <w:rsid w:val="00C265B1"/>
    <w:rsid w:val="00C265F3"/>
    <w:rsid w:val="00C26768"/>
    <w:rsid w:val="00C267D8"/>
    <w:rsid w:val="00C2683C"/>
    <w:rsid w:val="00C2689D"/>
    <w:rsid w:val="00C268A0"/>
    <w:rsid w:val="00C26903"/>
    <w:rsid w:val="00C2690D"/>
    <w:rsid w:val="00C26A07"/>
    <w:rsid w:val="00C26A1D"/>
    <w:rsid w:val="00C26AEC"/>
    <w:rsid w:val="00C26B67"/>
    <w:rsid w:val="00C26BBB"/>
    <w:rsid w:val="00C26CC2"/>
    <w:rsid w:val="00C26CC5"/>
    <w:rsid w:val="00C26D44"/>
    <w:rsid w:val="00C26D66"/>
    <w:rsid w:val="00C26D88"/>
    <w:rsid w:val="00C26DA9"/>
    <w:rsid w:val="00C26E2D"/>
    <w:rsid w:val="00C26EA9"/>
    <w:rsid w:val="00C26EB0"/>
    <w:rsid w:val="00C26EDA"/>
    <w:rsid w:val="00C26F6B"/>
    <w:rsid w:val="00C27053"/>
    <w:rsid w:val="00C27057"/>
    <w:rsid w:val="00C27058"/>
    <w:rsid w:val="00C27068"/>
    <w:rsid w:val="00C27077"/>
    <w:rsid w:val="00C27081"/>
    <w:rsid w:val="00C27084"/>
    <w:rsid w:val="00C27100"/>
    <w:rsid w:val="00C27198"/>
    <w:rsid w:val="00C271B7"/>
    <w:rsid w:val="00C27238"/>
    <w:rsid w:val="00C2726C"/>
    <w:rsid w:val="00C2728E"/>
    <w:rsid w:val="00C272A6"/>
    <w:rsid w:val="00C2734F"/>
    <w:rsid w:val="00C273D3"/>
    <w:rsid w:val="00C27481"/>
    <w:rsid w:val="00C27489"/>
    <w:rsid w:val="00C2750A"/>
    <w:rsid w:val="00C27543"/>
    <w:rsid w:val="00C27592"/>
    <w:rsid w:val="00C276B6"/>
    <w:rsid w:val="00C27708"/>
    <w:rsid w:val="00C2771B"/>
    <w:rsid w:val="00C27728"/>
    <w:rsid w:val="00C27870"/>
    <w:rsid w:val="00C278B2"/>
    <w:rsid w:val="00C27974"/>
    <w:rsid w:val="00C27A25"/>
    <w:rsid w:val="00C27A93"/>
    <w:rsid w:val="00C27AF0"/>
    <w:rsid w:val="00C27B8A"/>
    <w:rsid w:val="00C27B9F"/>
    <w:rsid w:val="00C27C76"/>
    <w:rsid w:val="00C27C83"/>
    <w:rsid w:val="00C27CAF"/>
    <w:rsid w:val="00C27D1D"/>
    <w:rsid w:val="00C27E4D"/>
    <w:rsid w:val="00C27E67"/>
    <w:rsid w:val="00C30202"/>
    <w:rsid w:val="00C30284"/>
    <w:rsid w:val="00C302A5"/>
    <w:rsid w:val="00C303AD"/>
    <w:rsid w:val="00C303B5"/>
    <w:rsid w:val="00C305ED"/>
    <w:rsid w:val="00C306A7"/>
    <w:rsid w:val="00C30740"/>
    <w:rsid w:val="00C30803"/>
    <w:rsid w:val="00C308A4"/>
    <w:rsid w:val="00C308E4"/>
    <w:rsid w:val="00C309FD"/>
    <w:rsid w:val="00C30A44"/>
    <w:rsid w:val="00C30A55"/>
    <w:rsid w:val="00C30A76"/>
    <w:rsid w:val="00C30AB6"/>
    <w:rsid w:val="00C30AC8"/>
    <w:rsid w:val="00C30B18"/>
    <w:rsid w:val="00C30B87"/>
    <w:rsid w:val="00C30BA0"/>
    <w:rsid w:val="00C30BEA"/>
    <w:rsid w:val="00C30CAF"/>
    <w:rsid w:val="00C30D69"/>
    <w:rsid w:val="00C30DE2"/>
    <w:rsid w:val="00C30DF2"/>
    <w:rsid w:val="00C30E5B"/>
    <w:rsid w:val="00C30E88"/>
    <w:rsid w:val="00C30EA0"/>
    <w:rsid w:val="00C30F2C"/>
    <w:rsid w:val="00C30F59"/>
    <w:rsid w:val="00C30FD3"/>
    <w:rsid w:val="00C3114B"/>
    <w:rsid w:val="00C31158"/>
    <w:rsid w:val="00C31170"/>
    <w:rsid w:val="00C311F7"/>
    <w:rsid w:val="00C314BE"/>
    <w:rsid w:val="00C314DE"/>
    <w:rsid w:val="00C314EE"/>
    <w:rsid w:val="00C31562"/>
    <w:rsid w:val="00C315D9"/>
    <w:rsid w:val="00C31684"/>
    <w:rsid w:val="00C31715"/>
    <w:rsid w:val="00C31776"/>
    <w:rsid w:val="00C31790"/>
    <w:rsid w:val="00C317A1"/>
    <w:rsid w:val="00C317DB"/>
    <w:rsid w:val="00C3185C"/>
    <w:rsid w:val="00C318AE"/>
    <w:rsid w:val="00C31951"/>
    <w:rsid w:val="00C3196B"/>
    <w:rsid w:val="00C3199E"/>
    <w:rsid w:val="00C31A67"/>
    <w:rsid w:val="00C31A69"/>
    <w:rsid w:val="00C31A86"/>
    <w:rsid w:val="00C31AA8"/>
    <w:rsid w:val="00C31AB4"/>
    <w:rsid w:val="00C31C06"/>
    <w:rsid w:val="00C31C21"/>
    <w:rsid w:val="00C31C55"/>
    <w:rsid w:val="00C31CAB"/>
    <w:rsid w:val="00C31D7A"/>
    <w:rsid w:val="00C31D94"/>
    <w:rsid w:val="00C31DBD"/>
    <w:rsid w:val="00C31E0E"/>
    <w:rsid w:val="00C31E23"/>
    <w:rsid w:val="00C31E4F"/>
    <w:rsid w:val="00C31E78"/>
    <w:rsid w:val="00C31E8F"/>
    <w:rsid w:val="00C31FDA"/>
    <w:rsid w:val="00C32002"/>
    <w:rsid w:val="00C32022"/>
    <w:rsid w:val="00C32024"/>
    <w:rsid w:val="00C32029"/>
    <w:rsid w:val="00C3202E"/>
    <w:rsid w:val="00C32219"/>
    <w:rsid w:val="00C322D1"/>
    <w:rsid w:val="00C322E3"/>
    <w:rsid w:val="00C32318"/>
    <w:rsid w:val="00C32325"/>
    <w:rsid w:val="00C32353"/>
    <w:rsid w:val="00C3250B"/>
    <w:rsid w:val="00C325E8"/>
    <w:rsid w:val="00C32670"/>
    <w:rsid w:val="00C3274B"/>
    <w:rsid w:val="00C32820"/>
    <w:rsid w:val="00C32843"/>
    <w:rsid w:val="00C32876"/>
    <w:rsid w:val="00C3292A"/>
    <w:rsid w:val="00C32946"/>
    <w:rsid w:val="00C3298C"/>
    <w:rsid w:val="00C32A0E"/>
    <w:rsid w:val="00C32AA3"/>
    <w:rsid w:val="00C32ACC"/>
    <w:rsid w:val="00C32B0D"/>
    <w:rsid w:val="00C32B30"/>
    <w:rsid w:val="00C32BCE"/>
    <w:rsid w:val="00C32BEA"/>
    <w:rsid w:val="00C32BF4"/>
    <w:rsid w:val="00C32C33"/>
    <w:rsid w:val="00C32C87"/>
    <w:rsid w:val="00C32C96"/>
    <w:rsid w:val="00C32C9A"/>
    <w:rsid w:val="00C32D81"/>
    <w:rsid w:val="00C32D95"/>
    <w:rsid w:val="00C32DE7"/>
    <w:rsid w:val="00C32EE2"/>
    <w:rsid w:val="00C32F6E"/>
    <w:rsid w:val="00C3303A"/>
    <w:rsid w:val="00C33071"/>
    <w:rsid w:val="00C330AD"/>
    <w:rsid w:val="00C33101"/>
    <w:rsid w:val="00C33161"/>
    <w:rsid w:val="00C3323A"/>
    <w:rsid w:val="00C33248"/>
    <w:rsid w:val="00C3327C"/>
    <w:rsid w:val="00C33292"/>
    <w:rsid w:val="00C332AA"/>
    <w:rsid w:val="00C33330"/>
    <w:rsid w:val="00C33361"/>
    <w:rsid w:val="00C3337A"/>
    <w:rsid w:val="00C334F9"/>
    <w:rsid w:val="00C3351F"/>
    <w:rsid w:val="00C33532"/>
    <w:rsid w:val="00C33571"/>
    <w:rsid w:val="00C33606"/>
    <w:rsid w:val="00C3360D"/>
    <w:rsid w:val="00C3362C"/>
    <w:rsid w:val="00C33646"/>
    <w:rsid w:val="00C33672"/>
    <w:rsid w:val="00C3372E"/>
    <w:rsid w:val="00C33869"/>
    <w:rsid w:val="00C338A8"/>
    <w:rsid w:val="00C33959"/>
    <w:rsid w:val="00C339D5"/>
    <w:rsid w:val="00C33A8F"/>
    <w:rsid w:val="00C33ACC"/>
    <w:rsid w:val="00C33B22"/>
    <w:rsid w:val="00C33B76"/>
    <w:rsid w:val="00C33C63"/>
    <w:rsid w:val="00C33CC5"/>
    <w:rsid w:val="00C33CF6"/>
    <w:rsid w:val="00C33DD6"/>
    <w:rsid w:val="00C33E28"/>
    <w:rsid w:val="00C33E41"/>
    <w:rsid w:val="00C33EF9"/>
    <w:rsid w:val="00C33FB2"/>
    <w:rsid w:val="00C33FC8"/>
    <w:rsid w:val="00C33FFC"/>
    <w:rsid w:val="00C3408B"/>
    <w:rsid w:val="00C340B8"/>
    <w:rsid w:val="00C3412F"/>
    <w:rsid w:val="00C34183"/>
    <w:rsid w:val="00C341A2"/>
    <w:rsid w:val="00C341C8"/>
    <w:rsid w:val="00C34238"/>
    <w:rsid w:val="00C34244"/>
    <w:rsid w:val="00C34378"/>
    <w:rsid w:val="00C34421"/>
    <w:rsid w:val="00C34462"/>
    <w:rsid w:val="00C34470"/>
    <w:rsid w:val="00C346A1"/>
    <w:rsid w:val="00C3474D"/>
    <w:rsid w:val="00C34830"/>
    <w:rsid w:val="00C34840"/>
    <w:rsid w:val="00C3486F"/>
    <w:rsid w:val="00C34995"/>
    <w:rsid w:val="00C349A0"/>
    <w:rsid w:val="00C349C7"/>
    <w:rsid w:val="00C349D0"/>
    <w:rsid w:val="00C34A26"/>
    <w:rsid w:val="00C34A42"/>
    <w:rsid w:val="00C34BA9"/>
    <w:rsid w:val="00C34BC8"/>
    <w:rsid w:val="00C34C47"/>
    <w:rsid w:val="00C34C80"/>
    <w:rsid w:val="00C34C85"/>
    <w:rsid w:val="00C34CED"/>
    <w:rsid w:val="00C34DF1"/>
    <w:rsid w:val="00C34E0C"/>
    <w:rsid w:val="00C34E3D"/>
    <w:rsid w:val="00C34E85"/>
    <w:rsid w:val="00C34F3D"/>
    <w:rsid w:val="00C35053"/>
    <w:rsid w:val="00C35116"/>
    <w:rsid w:val="00C35125"/>
    <w:rsid w:val="00C3513B"/>
    <w:rsid w:val="00C3514A"/>
    <w:rsid w:val="00C35171"/>
    <w:rsid w:val="00C3524D"/>
    <w:rsid w:val="00C35359"/>
    <w:rsid w:val="00C353CB"/>
    <w:rsid w:val="00C353DD"/>
    <w:rsid w:val="00C35445"/>
    <w:rsid w:val="00C3559E"/>
    <w:rsid w:val="00C355E6"/>
    <w:rsid w:val="00C355FF"/>
    <w:rsid w:val="00C35687"/>
    <w:rsid w:val="00C356B0"/>
    <w:rsid w:val="00C356C7"/>
    <w:rsid w:val="00C35782"/>
    <w:rsid w:val="00C35798"/>
    <w:rsid w:val="00C357FD"/>
    <w:rsid w:val="00C35839"/>
    <w:rsid w:val="00C3584C"/>
    <w:rsid w:val="00C358D0"/>
    <w:rsid w:val="00C35971"/>
    <w:rsid w:val="00C3598A"/>
    <w:rsid w:val="00C35AA2"/>
    <w:rsid w:val="00C35AB3"/>
    <w:rsid w:val="00C35AF2"/>
    <w:rsid w:val="00C35CF0"/>
    <w:rsid w:val="00C35DBE"/>
    <w:rsid w:val="00C35E45"/>
    <w:rsid w:val="00C35E80"/>
    <w:rsid w:val="00C35EAD"/>
    <w:rsid w:val="00C35EBA"/>
    <w:rsid w:val="00C35F2F"/>
    <w:rsid w:val="00C35FCD"/>
    <w:rsid w:val="00C3603A"/>
    <w:rsid w:val="00C36068"/>
    <w:rsid w:val="00C360C4"/>
    <w:rsid w:val="00C36161"/>
    <w:rsid w:val="00C36168"/>
    <w:rsid w:val="00C36184"/>
    <w:rsid w:val="00C362D8"/>
    <w:rsid w:val="00C3633B"/>
    <w:rsid w:val="00C3633C"/>
    <w:rsid w:val="00C36350"/>
    <w:rsid w:val="00C36388"/>
    <w:rsid w:val="00C363FA"/>
    <w:rsid w:val="00C36464"/>
    <w:rsid w:val="00C365D6"/>
    <w:rsid w:val="00C3666E"/>
    <w:rsid w:val="00C366DA"/>
    <w:rsid w:val="00C36728"/>
    <w:rsid w:val="00C3680D"/>
    <w:rsid w:val="00C36833"/>
    <w:rsid w:val="00C368DA"/>
    <w:rsid w:val="00C36948"/>
    <w:rsid w:val="00C3694B"/>
    <w:rsid w:val="00C36A9A"/>
    <w:rsid w:val="00C36A9E"/>
    <w:rsid w:val="00C36B7D"/>
    <w:rsid w:val="00C36B7F"/>
    <w:rsid w:val="00C36BC5"/>
    <w:rsid w:val="00C36BE8"/>
    <w:rsid w:val="00C36C07"/>
    <w:rsid w:val="00C36C62"/>
    <w:rsid w:val="00C36C90"/>
    <w:rsid w:val="00C36CAE"/>
    <w:rsid w:val="00C36CE4"/>
    <w:rsid w:val="00C36D45"/>
    <w:rsid w:val="00C36D4A"/>
    <w:rsid w:val="00C36D91"/>
    <w:rsid w:val="00C36E68"/>
    <w:rsid w:val="00C36E6B"/>
    <w:rsid w:val="00C36F33"/>
    <w:rsid w:val="00C36FB7"/>
    <w:rsid w:val="00C37042"/>
    <w:rsid w:val="00C37064"/>
    <w:rsid w:val="00C370B6"/>
    <w:rsid w:val="00C37126"/>
    <w:rsid w:val="00C371EA"/>
    <w:rsid w:val="00C37225"/>
    <w:rsid w:val="00C37279"/>
    <w:rsid w:val="00C37313"/>
    <w:rsid w:val="00C3731E"/>
    <w:rsid w:val="00C37391"/>
    <w:rsid w:val="00C37397"/>
    <w:rsid w:val="00C3739A"/>
    <w:rsid w:val="00C373BC"/>
    <w:rsid w:val="00C374D8"/>
    <w:rsid w:val="00C3768E"/>
    <w:rsid w:val="00C376E4"/>
    <w:rsid w:val="00C3771B"/>
    <w:rsid w:val="00C377EE"/>
    <w:rsid w:val="00C37815"/>
    <w:rsid w:val="00C3783D"/>
    <w:rsid w:val="00C378E2"/>
    <w:rsid w:val="00C3798F"/>
    <w:rsid w:val="00C379E4"/>
    <w:rsid w:val="00C37A7D"/>
    <w:rsid w:val="00C37ABA"/>
    <w:rsid w:val="00C37AD4"/>
    <w:rsid w:val="00C37B09"/>
    <w:rsid w:val="00C37B73"/>
    <w:rsid w:val="00C37B91"/>
    <w:rsid w:val="00C37C0A"/>
    <w:rsid w:val="00C37CEC"/>
    <w:rsid w:val="00C37D71"/>
    <w:rsid w:val="00C37ECD"/>
    <w:rsid w:val="00C37F42"/>
    <w:rsid w:val="00C37F64"/>
    <w:rsid w:val="00C400AB"/>
    <w:rsid w:val="00C400BE"/>
    <w:rsid w:val="00C40294"/>
    <w:rsid w:val="00C40368"/>
    <w:rsid w:val="00C40376"/>
    <w:rsid w:val="00C403A4"/>
    <w:rsid w:val="00C403B3"/>
    <w:rsid w:val="00C403D1"/>
    <w:rsid w:val="00C403D3"/>
    <w:rsid w:val="00C404A8"/>
    <w:rsid w:val="00C4050C"/>
    <w:rsid w:val="00C40549"/>
    <w:rsid w:val="00C405D1"/>
    <w:rsid w:val="00C40665"/>
    <w:rsid w:val="00C4066A"/>
    <w:rsid w:val="00C40737"/>
    <w:rsid w:val="00C40775"/>
    <w:rsid w:val="00C407FD"/>
    <w:rsid w:val="00C408DE"/>
    <w:rsid w:val="00C40914"/>
    <w:rsid w:val="00C409FA"/>
    <w:rsid w:val="00C40A0F"/>
    <w:rsid w:val="00C40A31"/>
    <w:rsid w:val="00C40AF6"/>
    <w:rsid w:val="00C40B96"/>
    <w:rsid w:val="00C40BBD"/>
    <w:rsid w:val="00C40BFE"/>
    <w:rsid w:val="00C40C1E"/>
    <w:rsid w:val="00C40C3A"/>
    <w:rsid w:val="00C40C7B"/>
    <w:rsid w:val="00C40CB8"/>
    <w:rsid w:val="00C40CCD"/>
    <w:rsid w:val="00C40D48"/>
    <w:rsid w:val="00C40D6D"/>
    <w:rsid w:val="00C40DCA"/>
    <w:rsid w:val="00C40DFC"/>
    <w:rsid w:val="00C40E18"/>
    <w:rsid w:val="00C40E42"/>
    <w:rsid w:val="00C40ED7"/>
    <w:rsid w:val="00C40F3C"/>
    <w:rsid w:val="00C40F5B"/>
    <w:rsid w:val="00C40FD6"/>
    <w:rsid w:val="00C40FFF"/>
    <w:rsid w:val="00C41142"/>
    <w:rsid w:val="00C411C2"/>
    <w:rsid w:val="00C4124A"/>
    <w:rsid w:val="00C41288"/>
    <w:rsid w:val="00C41374"/>
    <w:rsid w:val="00C41435"/>
    <w:rsid w:val="00C415C7"/>
    <w:rsid w:val="00C415DC"/>
    <w:rsid w:val="00C415F2"/>
    <w:rsid w:val="00C41626"/>
    <w:rsid w:val="00C41647"/>
    <w:rsid w:val="00C41679"/>
    <w:rsid w:val="00C41744"/>
    <w:rsid w:val="00C41748"/>
    <w:rsid w:val="00C41757"/>
    <w:rsid w:val="00C417CC"/>
    <w:rsid w:val="00C418EC"/>
    <w:rsid w:val="00C41935"/>
    <w:rsid w:val="00C41986"/>
    <w:rsid w:val="00C41A07"/>
    <w:rsid w:val="00C41A6F"/>
    <w:rsid w:val="00C41AD1"/>
    <w:rsid w:val="00C41B6F"/>
    <w:rsid w:val="00C41C0E"/>
    <w:rsid w:val="00C41CF1"/>
    <w:rsid w:val="00C41D3B"/>
    <w:rsid w:val="00C41D52"/>
    <w:rsid w:val="00C41D54"/>
    <w:rsid w:val="00C41D93"/>
    <w:rsid w:val="00C41D98"/>
    <w:rsid w:val="00C41F16"/>
    <w:rsid w:val="00C41F8D"/>
    <w:rsid w:val="00C41FA8"/>
    <w:rsid w:val="00C41FDD"/>
    <w:rsid w:val="00C420D3"/>
    <w:rsid w:val="00C42124"/>
    <w:rsid w:val="00C42139"/>
    <w:rsid w:val="00C4218C"/>
    <w:rsid w:val="00C42296"/>
    <w:rsid w:val="00C422A1"/>
    <w:rsid w:val="00C42347"/>
    <w:rsid w:val="00C4234F"/>
    <w:rsid w:val="00C4239F"/>
    <w:rsid w:val="00C4241D"/>
    <w:rsid w:val="00C4241E"/>
    <w:rsid w:val="00C42432"/>
    <w:rsid w:val="00C42447"/>
    <w:rsid w:val="00C4249E"/>
    <w:rsid w:val="00C4261C"/>
    <w:rsid w:val="00C42724"/>
    <w:rsid w:val="00C427CB"/>
    <w:rsid w:val="00C427FC"/>
    <w:rsid w:val="00C4290C"/>
    <w:rsid w:val="00C42944"/>
    <w:rsid w:val="00C429A4"/>
    <w:rsid w:val="00C429B3"/>
    <w:rsid w:val="00C429DB"/>
    <w:rsid w:val="00C42A69"/>
    <w:rsid w:val="00C42A80"/>
    <w:rsid w:val="00C42B1E"/>
    <w:rsid w:val="00C42B34"/>
    <w:rsid w:val="00C42BC0"/>
    <w:rsid w:val="00C42BE3"/>
    <w:rsid w:val="00C42C17"/>
    <w:rsid w:val="00C42C32"/>
    <w:rsid w:val="00C42C36"/>
    <w:rsid w:val="00C42C39"/>
    <w:rsid w:val="00C42C48"/>
    <w:rsid w:val="00C42C5A"/>
    <w:rsid w:val="00C42C88"/>
    <w:rsid w:val="00C42E11"/>
    <w:rsid w:val="00C42E1E"/>
    <w:rsid w:val="00C42FD5"/>
    <w:rsid w:val="00C430A8"/>
    <w:rsid w:val="00C431C5"/>
    <w:rsid w:val="00C431FF"/>
    <w:rsid w:val="00C43203"/>
    <w:rsid w:val="00C432F3"/>
    <w:rsid w:val="00C4357D"/>
    <w:rsid w:val="00C436F0"/>
    <w:rsid w:val="00C43736"/>
    <w:rsid w:val="00C43A4D"/>
    <w:rsid w:val="00C43A8E"/>
    <w:rsid w:val="00C43B3B"/>
    <w:rsid w:val="00C43BF8"/>
    <w:rsid w:val="00C43C55"/>
    <w:rsid w:val="00C43C67"/>
    <w:rsid w:val="00C43CB9"/>
    <w:rsid w:val="00C43D6B"/>
    <w:rsid w:val="00C43DEC"/>
    <w:rsid w:val="00C43E61"/>
    <w:rsid w:val="00C43E9B"/>
    <w:rsid w:val="00C43ED1"/>
    <w:rsid w:val="00C43F42"/>
    <w:rsid w:val="00C44041"/>
    <w:rsid w:val="00C4404A"/>
    <w:rsid w:val="00C44073"/>
    <w:rsid w:val="00C440F7"/>
    <w:rsid w:val="00C441DD"/>
    <w:rsid w:val="00C4429F"/>
    <w:rsid w:val="00C44311"/>
    <w:rsid w:val="00C44376"/>
    <w:rsid w:val="00C44382"/>
    <w:rsid w:val="00C4443F"/>
    <w:rsid w:val="00C44447"/>
    <w:rsid w:val="00C44476"/>
    <w:rsid w:val="00C444F1"/>
    <w:rsid w:val="00C446AD"/>
    <w:rsid w:val="00C446AE"/>
    <w:rsid w:val="00C447D2"/>
    <w:rsid w:val="00C44869"/>
    <w:rsid w:val="00C4491F"/>
    <w:rsid w:val="00C44965"/>
    <w:rsid w:val="00C449B9"/>
    <w:rsid w:val="00C449CD"/>
    <w:rsid w:val="00C449EA"/>
    <w:rsid w:val="00C44A23"/>
    <w:rsid w:val="00C44AEB"/>
    <w:rsid w:val="00C44B12"/>
    <w:rsid w:val="00C44BFC"/>
    <w:rsid w:val="00C44C1E"/>
    <w:rsid w:val="00C44C51"/>
    <w:rsid w:val="00C44CAD"/>
    <w:rsid w:val="00C44D0B"/>
    <w:rsid w:val="00C44D55"/>
    <w:rsid w:val="00C44D68"/>
    <w:rsid w:val="00C44E13"/>
    <w:rsid w:val="00C44E9D"/>
    <w:rsid w:val="00C44F1B"/>
    <w:rsid w:val="00C44FE0"/>
    <w:rsid w:val="00C44FF3"/>
    <w:rsid w:val="00C45088"/>
    <w:rsid w:val="00C451B7"/>
    <w:rsid w:val="00C452C7"/>
    <w:rsid w:val="00C45332"/>
    <w:rsid w:val="00C4537A"/>
    <w:rsid w:val="00C453A9"/>
    <w:rsid w:val="00C453FF"/>
    <w:rsid w:val="00C454C2"/>
    <w:rsid w:val="00C454FD"/>
    <w:rsid w:val="00C45599"/>
    <w:rsid w:val="00C4564B"/>
    <w:rsid w:val="00C456AD"/>
    <w:rsid w:val="00C456B9"/>
    <w:rsid w:val="00C456FB"/>
    <w:rsid w:val="00C45719"/>
    <w:rsid w:val="00C45793"/>
    <w:rsid w:val="00C4587F"/>
    <w:rsid w:val="00C45881"/>
    <w:rsid w:val="00C45917"/>
    <w:rsid w:val="00C459A3"/>
    <w:rsid w:val="00C45A39"/>
    <w:rsid w:val="00C45A70"/>
    <w:rsid w:val="00C45AE5"/>
    <w:rsid w:val="00C45B1A"/>
    <w:rsid w:val="00C45B53"/>
    <w:rsid w:val="00C45BCB"/>
    <w:rsid w:val="00C45BFF"/>
    <w:rsid w:val="00C45C42"/>
    <w:rsid w:val="00C45C43"/>
    <w:rsid w:val="00C45C59"/>
    <w:rsid w:val="00C45C8B"/>
    <w:rsid w:val="00C45E0D"/>
    <w:rsid w:val="00C45E1A"/>
    <w:rsid w:val="00C45E67"/>
    <w:rsid w:val="00C45ED7"/>
    <w:rsid w:val="00C45F38"/>
    <w:rsid w:val="00C45F68"/>
    <w:rsid w:val="00C45FC2"/>
    <w:rsid w:val="00C4605C"/>
    <w:rsid w:val="00C460E4"/>
    <w:rsid w:val="00C460FF"/>
    <w:rsid w:val="00C46155"/>
    <w:rsid w:val="00C461A3"/>
    <w:rsid w:val="00C46242"/>
    <w:rsid w:val="00C4624F"/>
    <w:rsid w:val="00C4632B"/>
    <w:rsid w:val="00C46364"/>
    <w:rsid w:val="00C46384"/>
    <w:rsid w:val="00C463CF"/>
    <w:rsid w:val="00C463D9"/>
    <w:rsid w:val="00C465DA"/>
    <w:rsid w:val="00C4664E"/>
    <w:rsid w:val="00C4667B"/>
    <w:rsid w:val="00C4667E"/>
    <w:rsid w:val="00C4668C"/>
    <w:rsid w:val="00C466CC"/>
    <w:rsid w:val="00C466E1"/>
    <w:rsid w:val="00C46719"/>
    <w:rsid w:val="00C46757"/>
    <w:rsid w:val="00C4676E"/>
    <w:rsid w:val="00C46796"/>
    <w:rsid w:val="00C467A2"/>
    <w:rsid w:val="00C4685F"/>
    <w:rsid w:val="00C4687D"/>
    <w:rsid w:val="00C468B0"/>
    <w:rsid w:val="00C469E9"/>
    <w:rsid w:val="00C46A79"/>
    <w:rsid w:val="00C46ABE"/>
    <w:rsid w:val="00C46AC8"/>
    <w:rsid w:val="00C46C7A"/>
    <w:rsid w:val="00C46C92"/>
    <w:rsid w:val="00C46D58"/>
    <w:rsid w:val="00C46DD4"/>
    <w:rsid w:val="00C46E34"/>
    <w:rsid w:val="00C46E47"/>
    <w:rsid w:val="00C46F28"/>
    <w:rsid w:val="00C46F2B"/>
    <w:rsid w:val="00C4707A"/>
    <w:rsid w:val="00C470F6"/>
    <w:rsid w:val="00C470FD"/>
    <w:rsid w:val="00C47120"/>
    <w:rsid w:val="00C47215"/>
    <w:rsid w:val="00C472CC"/>
    <w:rsid w:val="00C472DE"/>
    <w:rsid w:val="00C47314"/>
    <w:rsid w:val="00C47320"/>
    <w:rsid w:val="00C47440"/>
    <w:rsid w:val="00C4755A"/>
    <w:rsid w:val="00C475A0"/>
    <w:rsid w:val="00C475A6"/>
    <w:rsid w:val="00C47601"/>
    <w:rsid w:val="00C47634"/>
    <w:rsid w:val="00C4767F"/>
    <w:rsid w:val="00C4768B"/>
    <w:rsid w:val="00C47737"/>
    <w:rsid w:val="00C47755"/>
    <w:rsid w:val="00C4780F"/>
    <w:rsid w:val="00C47865"/>
    <w:rsid w:val="00C47872"/>
    <w:rsid w:val="00C478B3"/>
    <w:rsid w:val="00C4794C"/>
    <w:rsid w:val="00C479A6"/>
    <w:rsid w:val="00C479B6"/>
    <w:rsid w:val="00C47AB4"/>
    <w:rsid w:val="00C47B60"/>
    <w:rsid w:val="00C47C08"/>
    <w:rsid w:val="00C47C3F"/>
    <w:rsid w:val="00C47CF5"/>
    <w:rsid w:val="00C47D6C"/>
    <w:rsid w:val="00C47DD9"/>
    <w:rsid w:val="00C47E4D"/>
    <w:rsid w:val="00C47EB1"/>
    <w:rsid w:val="00C47EF5"/>
    <w:rsid w:val="00C47F26"/>
    <w:rsid w:val="00C47F55"/>
    <w:rsid w:val="00C47F56"/>
    <w:rsid w:val="00C47F70"/>
    <w:rsid w:val="00C47FC4"/>
    <w:rsid w:val="00C47FFE"/>
    <w:rsid w:val="00C500BA"/>
    <w:rsid w:val="00C500CD"/>
    <w:rsid w:val="00C5016A"/>
    <w:rsid w:val="00C50259"/>
    <w:rsid w:val="00C50289"/>
    <w:rsid w:val="00C50351"/>
    <w:rsid w:val="00C503C6"/>
    <w:rsid w:val="00C50430"/>
    <w:rsid w:val="00C504C1"/>
    <w:rsid w:val="00C504C5"/>
    <w:rsid w:val="00C5060B"/>
    <w:rsid w:val="00C50629"/>
    <w:rsid w:val="00C5071F"/>
    <w:rsid w:val="00C507A1"/>
    <w:rsid w:val="00C50834"/>
    <w:rsid w:val="00C50955"/>
    <w:rsid w:val="00C50A38"/>
    <w:rsid w:val="00C50ACB"/>
    <w:rsid w:val="00C50BD7"/>
    <w:rsid w:val="00C50C18"/>
    <w:rsid w:val="00C50C36"/>
    <w:rsid w:val="00C50CFC"/>
    <w:rsid w:val="00C50D52"/>
    <w:rsid w:val="00C50E38"/>
    <w:rsid w:val="00C50F7C"/>
    <w:rsid w:val="00C50FF0"/>
    <w:rsid w:val="00C51039"/>
    <w:rsid w:val="00C510E0"/>
    <w:rsid w:val="00C5118B"/>
    <w:rsid w:val="00C5118C"/>
    <w:rsid w:val="00C511C3"/>
    <w:rsid w:val="00C511DA"/>
    <w:rsid w:val="00C5122D"/>
    <w:rsid w:val="00C51371"/>
    <w:rsid w:val="00C513A4"/>
    <w:rsid w:val="00C51424"/>
    <w:rsid w:val="00C51467"/>
    <w:rsid w:val="00C514F9"/>
    <w:rsid w:val="00C5154D"/>
    <w:rsid w:val="00C51662"/>
    <w:rsid w:val="00C51707"/>
    <w:rsid w:val="00C51717"/>
    <w:rsid w:val="00C51757"/>
    <w:rsid w:val="00C517EC"/>
    <w:rsid w:val="00C51920"/>
    <w:rsid w:val="00C51923"/>
    <w:rsid w:val="00C51942"/>
    <w:rsid w:val="00C51ABD"/>
    <w:rsid w:val="00C51AC3"/>
    <w:rsid w:val="00C51AC6"/>
    <w:rsid w:val="00C51B06"/>
    <w:rsid w:val="00C51C11"/>
    <w:rsid w:val="00C51CA8"/>
    <w:rsid w:val="00C51CF3"/>
    <w:rsid w:val="00C51D1A"/>
    <w:rsid w:val="00C51D35"/>
    <w:rsid w:val="00C51D47"/>
    <w:rsid w:val="00C51D72"/>
    <w:rsid w:val="00C51E02"/>
    <w:rsid w:val="00C51E14"/>
    <w:rsid w:val="00C51EDF"/>
    <w:rsid w:val="00C51F94"/>
    <w:rsid w:val="00C51FC0"/>
    <w:rsid w:val="00C52031"/>
    <w:rsid w:val="00C5213E"/>
    <w:rsid w:val="00C5221D"/>
    <w:rsid w:val="00C52237"/>
    <w:rsid w:val="00C52255"/>
    <w:rsid w:val="00C5226F"/>
    <w:rsid w:val="00C522D7"/>
    <w:rsid w:val="00C523CB"/>
    <w:rsid w:val="00C5247B"/>
    <w:rsid w:val="00C52582"/>
    <w:rsid w:val="00C525F6"/>
    <w:rsid w:val="00C52605"/>
    <w:rsid w:val="00C52638"/>
    <w:rsid w:val="00C52643"/>
    <w:rsid w:val="00C52644"/>
    <w:rsid w:val="00C526DF"/>
    <w:rsid w:val="00C52762"/>
    <w:rsid w:val="00C52786"/>
    <w:rsid w:val="00C527BE"/>
    <w:rsid w:val="00C527EB"/>
    <w:rsid w:val="00C5280A"/>
    <w:rsid w:val="00C5285A"/>
    <w:rsid w:val="00C52A4C"/>
    <w:rsid w:val="00C52A93"/>
    <w:rsid w:val="00C52B4B"/>
    <w:rsid w:val="00C52C32"/>
    <w:rsid w:val="00C52C85"/>
    <w:rsid w:val="00C52C9B"/>
    <w:rsid w:val="00C52CDD"/>
    <w:rsid w:val="00C52D39"/>
    <w:rsid w:val="00C52DB0"/>
    <w:rsid w:val="00C52DCA"/>
    <w:rsid w:val="00C52E24"/>
    <w:rsid w:val="00C52E7E"/>
    <w:rsid w:val="00C52F27"/>
    <w:rsid w:val="00C52F51"/>
    <w:rsid w:val="00C52FC8"/>
    <w:rsid w:val="00C53007"/>
    <w:rsid w:val="00C530E8"/>
    <w:rsid w:val="00C530FA"/>
    <w:rsid w:val="00C53111"/>
    <w:rsid w:val="00C53135"/>
    <w:rsid w:val="00C53173"/>
    <w:rsid w:val="00C5317A"/>
    <w:rsid w:val="00C531EC"/>
    <w:rsid w:val="00C532B5"/>
    <w:rsid w:val="00C532F2"/>
    <w:rsid w:val="00C53316"/>
    <w:rsid w:val="00C533F5"/>
    <w:rsid w:val="00C53435"/>
    <w:rsid w:val="00C53450"/>
    <w:rsid w:val="00C53468"/>
    <w:rsid w:val="00C534A1"/>
    <w:rsid w:val="00C534AA"/>
    <w:rsid w:val="00C534DF"/>
    <w:rsid w:val="00C535AC"/>
    <w:rsid w:val="00C536C4"/>
    <w:rsid w:val="00C536EE"/>
    <w:rsid w:val="00C53717"/>
    <w:rsid w:val="00C53734"/>
    <w:rsid w:val="00C5374A"/>
    <w:rsid w:val="00C5382A"/>
    <w:rsid w:val="00C53970"/>
    <w:rsid w:val="00C53990"/>
    <w:rsid w:val="00C539A6"/>
    <w:rsid w:val="00C539B9"/>
    <w:rsid w:val="00C53A2A"/>
    <w:rsid w:val="00C53ABA"/>
    <w:rsid w:val="00C53ACB"/>
    <w:rsid w:val="00C53AE2"/>
    <w:rsid w:val="00C53BE6"/>
    <w:rsid w:val="00C53C5C"/>
    <w:rsid w:val="00C53C9E"/>
    <w:rsid w:val="00C53E17"/>
    <w:rsid w:val="00C53E47"/>
    <w:rsid w:val="00C53EDB"/>
    <w:rsid w:val="00C53F1E"/>
    <w:rsid w:val="00C53FBD"/>
    <w:rsid w:val="00C54045"/>
    <w:rsid w:val="00C540C0"/>
    <w:rsid w:val="00C540D4"/>
    <w:rsid w:val="00C54107"/>
    <w:rsid w:val="00C5411E"/>
    <w:rsid w:val="00C541B5"/>
    <w:rsid w:val="00C541E7"/>
    <w:rsid w:val="00C5423E"/>
    <w:rsid w:val="00C542A0"/>
    <w:rsid w:val="00C542AA"/>
    <w:rsid w:val="00C54320"/>
    <w:rsid w:val="00C5439F"/>
    <w:rsid w:val="00C54448"/>
    <w:rsid w:val="00C54559"/>
    <w:rsid w:val="00C54701"/>
    <w:rsid w:val="00C54784"/>
    <w:rsid w:val="00C547F5"/>
    <w:rsid w:val="00C54800"/>
    <w:rsid w:val="00C5480C"/>
    <w:rsid w:val="00C5482B"/>
    <w:rsid w:val="00C54937"/>
    <w:rsid w:val="00C54941"/>
    <w:rsid w:val="00C5494A"/>
    <w:rsid w:val="00C5499B"/>
    <w:rsid w:val="00C549C2"/>
    <w:rsid w:val="00C549CC"/>
    <w:rsid w:val="00C54A91"/>
    <w:rsid w:val="00C54B1C"/>
    <w:rsid w:val="00C54B87"/>
    <w:rsid w:val="00C54BDA"/>
    <w:rsid w:val="00C54C54"/>
    <w:rsid w:val="00C54C65"/>
    <w:rsid w:val="00C54C68"/>
    <w:rsid w:val="00C54C6E"/>
    <w:rsid w:val="00C54C7B"/>
    <w:rsid w:val="00C54D14"/>
    <w:rsid w:val="00C54D25"/>
    <w:rsid w:val="00C54D73"/>
    <w:rsid w:val="00C54E97"/>
    <w:rsid w:val="00C54E9F"/>
    <w:rsid w:val="00C54EC4"/>
    <w:rsid w:val="00C54F77"/>
    <w:rsid w:val="00C55063"/>
    <w:rsid w:val="00C5506C"/>
    <w:rsid w:val="00C5512B"/>
    <w:rsid w:val="00C5519F"/>
    <w:rsid w:val="00C551AE"/>
    <w:rsid w:val="00C551E9"/>
    <w:rsid w:val="00C551F8"/>
    <w:rsid w:val="00C552BA"/>
    <w:rsid w:val="00C55397"/>
    <w:rsid w:val="00C55478"/>
    <w:rsid w:val="00C55479"/>
    <w:rsid w:val="00C555A1"/>
    <w:rsid w:val="00C555E3"/>
    <w:rsid w:val="00C5568D"/>
    <w:rsid w:val="00C557C5"/>
    <w:rsid w:val="00C557E4"/>
    <w:rsid w:val="00C5586A"/>
    <w:rsid w:val="00C558EA"/>
    <w:rsid w:val="00C55992"/>
    <w:rsid w:val="00C559AD"/>
    <w:rsid w:val="00C559C4"/>
    <w:rsid w:val="00C55AAA"/>
    <w:rsid w:val="00C55B0D"/>
    <w:rsid w:val="00C55B1F"/>
    <w:rsid w:val="00C55B54"/>
    <w:rsid w:val="00C55B6E"/>
    <w:rsid w:val="00C55BAB"/>
    <w:rsid w:val="00C55CDA"/>
    <w:rsid w:val="00C55CED"/>
    <w:rsid w:val="00C55D73"/>
    <w:rsid w:val="00C55DEA"/>
    <w:rsid w:val="00C55DF4"/>
    <w:rsid w:val="00C55E85"/>
    <w:rsid w:val="00C55F27"/>
    <w:rsid w:val="00C55F31"/>
    <w:rsid w:val="00C55F36"/>
    <w:rsid w:val="00C55F7A"/>
    <w:rsid w:val="00C5603D"/>
    <w:rsid w:val="00C5605E"/>
    <w:rsid w:val="00C560AB"/>
    <w:rsid w:val="00C56120"/>
    <w:rsid w:val="00C56143"/>
    <w:rsid w:val="00C56186"/>
    <w:rsid w:val="00C56255"/>
    <w:rsid w:val="00C56294"/>
    <w:rsid w:val="00C56299"/>
    <w:rsid w:val="00C562EA"/>
    <w:rsid w:val="00C56382"/>
    <w:rsid w:val="00C563A6"/>
    <w:rsid w:val="00C563AC"/>
    <w:rsid w:val="00C563E7"/>
    <w:rsid w:val="00C564BE"/>
    <w:rsid w:val="00C56655"/>
    <w:rsid w:val="00C56678"/>
    <w:rsid w:val="00C566C6"/>
    <w:rsid w:val="00C56752"/>
    <w:rsid w:val="00C5686D"/>
    <w:rsid w:val="00C56A65"/>
    <w:rsid w:val="00C56BCC"/>
    <w:rsid w:val="00C56C61"/>
    <w:rsid w:val="00C56CDC"/>
    <w:rsid w:val="00C56CF4"/>
    <w:rsid w:val="00C56D86"/>
    <w:rsid w:val="00C56D99"/>
    <w:rsid w:val="00C56E39"/>
    <w:rsid w:val="00C56E5F"/>
    <w:rsid w:val="00C56E7A"/>
    <w:rsid w:val="00C56EC3"/>
    <w:rsid w:val="00C56F00"/>
    <w:rsid w:val="00C56F6E"/>
    <w:rsid w:val="00C56F9D"/>
    <w:rsid w:val="00C570CD"/>
    <w:rsid w:val="00C57131"/>
    <w:rsid w:val="00C5717F"/>
    <w:rsid w:val="00C57211"/>
    <w:rsid w:val="00C572C2"/>
    <w:rsid w:val="00C57320"/>
    <w:rsid w:val="00C57362"/>
    <w:rsid w:val="00C57379"/>
    <w:rsid w:val="00C573DE"/>
    <w:rsid w:val="00C57595"/>
    <w:rsid w:val="00C575D2"/>
    <w:rsid w:val="00C575E9"/>
    <w:rsid w:val="00C5760B"/>
    <w:rsid w:val="00C5761E"/>
    <w:rsid w:val="00C57646"/>
    <w:rsid w:val="00C57672"/>
    <w:rsid w:val="00C5770B"/>
    <w:rsid w:val="00C5771A"/>
    <w:rsid w:val="00C57749"/>
    <w:rsid w:val="00C577AB"/>
    <w:rsid w:val="00C577AC"/>
    <w:rsid w:val="00C577DF"/>
    <w:rsid w:val="00C57802"/>
    <w:rsid w:val="00C57999"/>
    <w:rsid w:val="00C5799D"/>
    <w:rsid w:val="00C57B03"/>
    <w:rsid w:val="00C57B67"/>
    <w:rsid w:val="00C57BE1"/>
    <w:rsid w:val="00C57BE8"/>
    <w:rsid w:val="00C57C0F"/>
    <w:rsid w:val="00C57C81"/>
    <w:rsid w:val="00C57D40"/>
    <w:rsid w:val="00C57DA8"/>
    <w:rsid w:val="00C57E78"/>
    <w:rsid w:val="00C57E86"/>
    <w:rsid w:val="00C57E96"/>
    <w:rsid w:val="00C57EB3"/>
    <w:rsid w:val="00C57F03"/>
    <w:rsid w:val="00C57F16"/>
    <w:rsid w:val="00C57F71"/>
    <w:rsid w:val="00C57FBB"/>
    <w:rsid w:val="00C600C7"/>
    <w:rsid w:val="00C60107"/>
    <w:rsid w:val="00C60129"/>
    <w:rsid w:val="00C6016D"/>
    <w:rsid w:val="00C601AA"/>
    <w:rsid w:val="00C602DF"/>
    <w:rsid w:val="00C60399"/>
    <w:rsid w:val="00C60404"/>
    <w:rsid w:val="00C60450"/>
    <w:rsid w:val="00C60457"/>
    <w:rsid w:val="00C604DF"/>
    <w:rsid w:val="00C60775"/>
    <w:rsid w:val="00C607A9"/>
    <w:rsid w:val="00C60822"/>
    <w:rsid w:val="00C6086D"/>
    <w:rsid w:val="00C60924"/>
    <w:rsid w:val="00C60988"/>
    <w:rsid w:val="00C609C0"/>
    <w:rsid w:val="00C60A21"/>
    <w:rsid w:val="00C60B08"/>
    <w:rsid w:val="00C60B2F"/>
    <w:rsid w:val="00C60B5F"/>
    <w:rsid w:val="00C60CEB"/>
    <w:rsid w:val="00C60E2B"/>
    <w:rsid w:val="00C60FAE"/>
    <w:rsid w:val="00C61005"/>
    <w:rsid w:val="00C6106A"/>
    <w:rsid w:val="00C610D1"/>
    <w:rsid w:val="00C61125"/>
    <w:rsid w:val="00C61370"/>
    <w:rsid w:val="00C613C0"/>
    <w:rsid w:val="00C613FE"/>
    <w:rsid w:val="00C61411"/>
    <w:rsid w:val="00C61441"/>
    <w:rsid w:val="00C61456"/>
    <w:rsid w:val="00C61536"/>
    <w:rsid w:val="00C61539"/>
    <w:rsid w:val="00C615A8"/>
    <w:rsid w:val="00C615B0"/>
    <w:rsid w:val="00C61627"/>
    <w:rsid w:val="00C6168D"/>
    <w:rsid w:val="00C6169E"/>
    <w:rsid w:val="00C61745"/>
    <w:rsid w:val="00C61760"/>
    <w:rsid w:val="00C617AF"/>
    <w:rsid w:val="00C61861"/>
    <w:rsid w:val="00C6188C"/>
    <w:rsid w:val="00C618A1"/>
    <w:rsid w:val="00C61A0D"/>
    <w:rsid w:val="00C61A84"/>
    <w:rsid w:val="00C61B2D"/>
    <w:rsid w:val="00C61B50"/>
    <w:rsid w:val="00C61B56"/>
    <w:rsid w:val="00C61BA2"/>
    <w:rsid w:val="00C61BB2"/>
    <w:rsid w:val="00C61BB6"/>
    <w:rsid w:val="00C61CB0"/>
    <w:rsid w:val="00C61D3B"/>
    <w:rsid w:val="00C61DE8"/>
    <w:rsid w:val="00C61E30"/>
    <w:rsid w:val="00C61E6A"/>
    <w:rsid w:val="00C61E93"/>
    <w:rsid w:val="00C61F9E"/>
    <w:rsid w:val="00C61FD9"/>
    <w:rsid w:val="00C61FDC"/>
    <w:rsid w:val="00C62047"/>
    <w:rsid w:val="00C62057"/>
    <w:rsid w:val="00C620C1"/>
    <w:rsid w:val="00C62104"/>
    <w:rsid w:val="00C62137"/>
    <w:rsid w:val="00C62188"/>
    <w:rsid w:val="00C6218F"/>
    <w:rsid w:val="00C62254"/>
    <w:rsid w:val="00C622F7"/>
    <w:rsid w:val="00C622FC"/>
    <w:rsid w:val="00C623FE"/>
    <w:rsid w:val="00C6244C"/>
    <w:rsid w:val="00C62573"/>
    <w:rsid w:val="00C6263E"/>
    <w:rsid w:val="00C626A1"/>
    <w:rsid w:val="00C626F1"/>
    <w:rsid w:val="00C62722"/>
    <w:rsid w:val="00C627CE"/>
    <w:rsid w:val="00C629DC"/>
    <w:rsid w:val="00C62A1F"/>
    <w:rsid w:val="00C62A23"/>
    <w:rsid w:val="00C62A6E"/>
    <w:rsid w:val="00C62D40"/>
    <w:rsid w:val="00C62DF0"/>
    <w:rsid w:val="00C62E8A"/>
    <w:rsid w:val="00C62F08"/>
    <w:rsid w:val="00C62FD3"/>
    <w:rsid w:val="00C62FF8"/>
    <w:rsid w:val="00C63062"/>
    <w:rsid w:val="00C6308B"/>
    <w:rsid w:val="00C630A2"/>
    <w:rsid w:val="00C63115"/>
    <w:rsid w:val="00C63153"/>
    <w:rsid w:val="00C632B0"/>
    <w:rsid w:val="00C63306"/>
    <w:rsid w:val="00C6335F"/>
    <w:rsid w:val="00C633AE"/>
    <w:rsid w:val="00C63456"/>
    <w:rsid w:val="00C634F0"/>
    <w:rsid w:val="00C63529"/>
    <w:rsid w:val="00C635A7"/>
    <w:rsid w:val="00C635D5"/>
    <w:rsid w:val="00C63624"/>
    <w:rsid w:val="00C63645"/>
    <w:rsid w:val="00C6366A"/>
    <w:rsid w:val="00C63745"/>
    <w:rsid w:val="00C63753"/>
    <w:rsid w:val="00C63785"/>
    <w:rsid w:val="00C637A4"/>
    <w:rsid w:val="00C637BB"/>
    <w:rsid w:val="00C6381C"/>
    <w:rsid w:val="00C638E6"/>
    <w:rsid w:val="00C63933"/>
    <w:rsid w:val="00C63A97"/>
    <w:rsid w:val="00C63A9C"/>
    <w:rsid w:val="00C63B7D"/>
    <w:rsid w:val="00C63B86"/>
    <w:rsid w:val="00C63BB3"/>
    <w:rsid w:val="00C63C3F"/>
    <w:rsid w:val="00C63C51"/>
    <w:rsid w:val="00C63CAD"/>
    <w:rsid w:val="00C63D7D"/>
    <w:rsid w:val="00C63DC5"/>
    <w:rsid w:val="00C63E57"/>
    <w:rsid w:val="00C63E58"/>
    <w:rsid w:val="00C63ECA"/>
    <w:rsid w:val="00C63F9A"/>
    <w:rsid w:val="00C63FEE"/>
    <w:rsid w:val="00C63FFA"/>
    <w:rsid w:val="00C641EE"/>
    <w:rsid w:val="00C64201"/>
    <w:rsid w:val="00C64211"/>
    <w:rsid w:val="00C64288"/>
    <w:rsid w:val="00C64354"/>
    <w:rsid w:val="00C643A8"/>
    <w:rsid w:val="00C64453"/>
    <w:rsid w:val="00C644E7"/>
    <w:rsid w:val="00C6451D"/>
    <w:rsid w:val="00C645BD"/>
    <w:rsid w:val="00C645D5"/>
    <w:rsid w:val="00C64653"/>
    <w:rsid w:val="00C646AB"/>
    <w:rsid w:val="00C646CA"/>
    <w:rsid w:val="00C6473E"/>
    <w:rsid w:val="00C6474A"/>
    <w:rsid w:val="00C64750"/>
    <w:rsid w:val="00C647DE"/>
    <w:rsid w:val="00C64824"/>
    <w:rsid w:val="00C6482A"/>
    <w:rsid w:val="00C64884"/>
    <w:rsid w:val="00C648BE"/>
    <w:rsid w:val="00C64954"/>
    <w:rsid w:val="00C6495F"/>
    <w:rsid w:val="00C6498A"/>
    <w:rsid w:val="00C649A4"/>
    <w:rsid w:val="00C64A17"/>
    <w:rsid w:val="00C64A44"/>
    <w:rsid w:val="00C64A9B"/>
    <w:rsid w:val="00C64AE7"/>
    <w:rsid w:val="00C64AF1"/>
    <w:rsid w:val="00C64B0F"/>
    <w:rsid w:val="00C64BF0"/>
    <w:rsid w:val="00C64C6A"/>
    <w:rsid w:val="00C64C7B"/>
    <w:rsid w:val="00C64D1A"/>
    <w:rsid w:val="00C64D4B"/>
    <w:rsid w:val="00C64E11"/>
    <w:rsid w:val="00C64E2E"/>
    <w:rsid w:val="00C64EDF"/>
    <w:rsid w:val="00C64EF1"/>
    <w:rsid w:val="00C64F71"/>
    <w:rsid w:val="00C6502E"/>
    <w:rsid w:val="00C6507C"/>
    <w:rsid w:val="00C65159"/>
    <w:rsid w:val="00C6517D"/>
    <w:rsid w:val="00C65187"/>
    <w:rsid w:val="00C6529E"/>
    <w:rsid w:val="00C6529F"/>
    <w:rsid w:val="00C652D2"/>
    <w:rsid w:val="00C652DB"/>
    <w:rsid w:val="00C652DF"/>
    <w:rsid w:val="00C6537D"/>
    <w:rsid w:val="00C65462"/>
    <w:rsid w:val="00C65475"/>
    <w:rsid w:val="00C655CD"/>
    <w:rsid w:val="00C655DE"/>
    <w:rsid w:val="00C655E0"/>
    <w:rsid w:val="00C6561E"/>
    <w:rsid w:val="00C6563B"/>
    <w:rsid w:val="00C6569F"/>
    <w:rsid w:val="00C656B1"/>
    <w:rsid w:val="00C6583A"/>
    <w:rsid w:val="00C65846"/>
    <w:rsid w:val="00C65A36"/>
    <w:rsid w:val="00C65AE3"/>
    <w:rsid w:val="00C65B46"/>
    <w:rsid w:val="00C65B6E"/>
    <w:rsid w:val="00C65C3C"/>
    <w:rsid w:val="00C65CDE"/>
    <w:rsid w:val="00C65F85"/>
    <w:rsid w:val="00C65FBF"/>
    <w:rsid w:val="00C65FC3"/>
    <w:rsid w:val="00C65FD3"/>
    <w:rsid w:val="00C66207"/>
    <w:rsid w:val="00C66247"/>
    <w:rsid w:val="00C6629E"/>
    <w:rsid w:val="00C6630E"/>
    <w:rsid w:val="00C6640E"/>
    <w:rsid w:val="00C6641D"/>
    <w:rsid w:val="00C664F9"/>
    <w:rsid w:val="00C66516"/>
    <w:rsid w:val="00C6651C"/>
    <w:rsid w:val="00C66555"/>
    <w:rsid w:val="00C66579"/>
    <w:rsid w:val="00C6658A"/>
    <w:rsid w:val="00C66657"/>
    <w:rsid w:val="00C66666"/>
    <w:rsid w:val="00C66755"/>
    <w:rsid w:val="00C66868"/>
    <w:rsid w:val="00C66891"/>
    <w:rsid w:val="00C668A4"/>
    <w:rsid w:val="00C668D8"/>
    <w:rsid w:val="00C66928"/>
    <w:rsid w:val="00C66934"/>
    <w:rsid w:val="00C66962"/>
    <w:rsid w:val="00C66A94"/>
    <w:rsid w:val="00C66AEA"/>
    <w:rsid w:val="00C66BEE"/>
    <w:rsid w:val="00C66C35"/>
    <w:rsid w:val="00C66CD7"/>
    <w:rsid w:val="00C66D49"/>
    <w:rsid w:val="00C66D7B"/>
    <w:rsid w:val="00C66E69"/>
    <w:rsid w:val="00C66FDF"/>
    <w:rsid w:val="00C67026"/>
    <w:rsid w:val="00C670D0"/>
    <w:rsid w:val="00C67102"/>
    <w:rsid w:val="00C67235"/>
    <w:rsid w:val="00C67369"/>
    <w:rsid w:val="00C6738C"/>
    <w:rsid w:val="00C673F2"/>
    <w:rsid w:val="00C6745A"/>
    <w:rsid w:val="00C67562"/>
    <w:rsid w:val="00C675C4"/>
    <w:rsid w:val="00C676D9"/>
    <w:rsid w:val="00C6777E"/>
    <w:rsid w:val="00C67792"/>
    <w:rsid w:val="00C677B5"/>
    <w:rsid w:val="00C67861"/>
    <w:rsid w:val="00C67897"/>
    <w:rsid w:val="00C678F1"/>
    <w:rsid w:val="00C6791A"/>
    <w:rsid w:val="00C679DA"/>
    <w:rsid w:val="00C67A32"/>
    <w:rsid w:val="00C67AC9"/>
    <w:rsid w:val="00C67B82"/>
    <w:rsid w:val="00C67B9E"/>
    <w:rsid w:val="00C67C57"/>
    <w:rsid w:val="00C67DB0"/>
    <w:rsid w:val="00C67DCE"/>
    <w:rsid w:val="00C67E82"/>
    <w:rsid w:val="00C67E83"/>
    <w:rsid w:val="00C67ED1"/>
    <w:rsid w:val="00C67EEF"/>
    <w:rsid w:val="00C67F4C"/>
    <w:rsid w:val="00C67F98"/>
    <w:rsid w:val="00C67FF3"/>
    <w:rsid w:val="00C7005B"/>
    <w:rsid w:val="00C70088"/>
    <w:rsid w:val="00C7009D"/>
    <w:rsid w:val="00C70154"/>
    <w:rsid w:val="00C7025B"/>
    <w:rsid w:val="00C7032C"/>
    <w:rsid w:val="00C7050B"/>
    <w:rsid w:val="00C7059C"/>
    <w:rsid w:val="00C70733"/>
    <w:rsid w:val="00C707BC"/>
    <w:rsid w:val="00C707D0"/>
    <w:rsid w:val="00C70837"/>
    <w:rsid w:val="00C70864"/>
    <w:rsid w:val="00C70A36"/>
    <w:rsid w:val="00C70AD0"/>
    <w:rsid w:val="00C70AD9"/>
    <w:rsid w:val="00C70B0F"/>
    <w:rsid w:val="00C70BC7"/>
    <w:rsid w:val="00C70BCF"/>
    <w:rsid w:val="00C70D59"/>
    <w:rsid w:val="00C70DF7"/>
    <w:rsid w:val="00C70E8F"/>
    <w:rsid w:val="00C70F0C"/>
    <w:rsid w:val="00C70F63"/>
    <w:rsid w:val="00C70F7F"/>
    <w:rsid w:val="00C70FD2"/>
    <w:rsid w:val="00C71036"/>
    <w:rsid w:val="00C710E9"/>
    <w:rsid w:val="00C71181"/>
    <w:rsid w:val="00C711A8"/>
    <w:rsid w:val="00C71250"/>
    <w:rsid w:val="00C712B1"/>
    <w:rsid w:val="00C71341"/>
    <w:rsid w:val="00C71373"/>
    <w:rsid w:val="00C71395"/>
    <w:rsid w:val="00C713C3"/>
    <w:rsid w:val="00C7149C"/>
    <w:rsid w:val="00C714E3"/>
    <w:rsid w:val="00C71557"/>
    <w:rsid w:val="00C7157D"/>
    <w:rsid w:val="00C71588"/>
    <w:rsid w:val="00C71660"/>
    <w:rsid w:val="00C717B1"/>
    <w:rsid w:val="00C717B9"/>
    <w:rsid w:val="00C718F8"/>
    <w:rsid w:val="00C719C4"/>
    <w:rsid w:val="00C71A88"/>
    <w:rsid w:val="00C71B04"/>
    <w:rsid w:val="00C71B63"/>
    <w:rsid w:val="00C71B86"/>
    <w:rsid w:val="00C71CF4"/>
    <w:rsid w:val="00C71DCB"/>
    <w:rsid w:val="00C71DDE"/>
    <w:rsid w:val="00C71E12"/>
    <w:rsid w:val="00C71EBB"/>
    <w:rsid w:val="00C71EEF"/>
    <w:rsid w:val="00C71F50"/>
    <w:rsid w:val="00C720C1"/>
    <w:rsid w:val="00C7217B"/>
    <w:rsid w:val="00C72225"/>
    <w:rsid w:val="00C7223F"/>
    <w:rsid w:val="00C72266"/>
    <w:rsid w:val="00C722DC"/>
    <w:rsid w:val="00C722E3"/>
    <w:rsid w:val="00C723DF"/>
    <w:rsid w:val="00C724B8"/>
    <w:rsid w:val="00C7251D"/>
    <w:rsid w:val="00C7259C"/>
    <w:rsid w:val="00C725A4"/>
    <w:rsid w:val="00C725AA"/>
    <w:rsid w:val="00C725B0"/>
    <w:rsid w:val="00C726A4"/>
    <w:rsid w:val="00C72721"/>
    <w:rsid w:val="00C72723"/>
    <w:rsid w:val="00C72753"/>
    <w:rsid w:val="00C72769"/>
    <w:rsid w:val="00C7276B"/>
    <w:rsid w:val="00C7276E"/>
    <w:rsid w:val="00C72920"/>
    <w:rsid w:val="00C72A1C"/>
    <w:rsid w:val="00C72AC0"/>
    <w:rsid w:val="00C72B33"/>
    <w:rsid w:val="00C72B66"/>
    <w:rsid w:val="00C72B97"/>
    <w:rsid w:val="00C72D10"/>
    <w:rsid w:val="00C72E7B"/>
    <w:rsid w:val="00C72ED5"/>
    <w:rsid w:val="00C72F24"/>
    <w:rsid w:val="00C72F99"/>
    <w:rsid w:val="00C7317F"/>
    <w:rsid w:val="00C731A3"/>
    <w:rsid w:val="00C731CF"/>
    <w:rsid w:val="00C7320F"/>
    <w:rsid w:val="00C73234"/>
    <w:rsid w:val="00C732A1"/>
    <w:rsid w:val="00C7337E"/>
    <w:rsid w:val="00C733CC"/>
    <w:rsid w:val="00C733DB"/>
    <w:rsid w:val="00C7346B"/>
    <w:rsid w:val="00C73491"/>
    <w:rsid w:val="00C7350A"/>
    <w:rsid w:val="00C7351B"/>
    <w:rsid w:val="00C73750"/>
    <w:rsid w:val="00C73776"/>
    <w:rsid w:val="00C737D2"/>
    <w:rsid w:val="00C738C7"/>
    <w:rsid w:val="00C739F7"/>
    <w:rsid w:val="00C73A16"/>
    <w:rsid w:val="00C73A25"/>
    <w:rsid w:val="00C73AA0"/>
    <w:rsid w:val="00C73AA6"/>
    <w:rsid w:val="00C73AD0"/>
    <w:rsid w:val="00C73B15"/>
    <w:rsid w:val="00C73B42"/>
    <w:rsid w:val="00C73B53"/>
    <w:rsid w:val="00C73BE9"/>
    <w:rsid w:val="00C73C74"/>
    <w:rsid w:val="00C73D1C"/>
    <w:rsid w:val="00C73D6B"/>
    <w:rsid w:val="00C73DF6"/>
    <w:rsid w:val="00C73DFB"/>
    <w:rsid w:val="00C73EB6"/>
    <w:rsid w:val="00C73EF6"/>
    <w:rsid w:val="00C73FAD"/>
    <w:rsid w:val="00C74017"/>
    <w:rsid w:val="00C74020"/>
    <w:rsid w:val="00C741E0"/>
    <w:rsid w:val="00C741E8"/>
    <w:rsid w:val="00C74234"/>
    <w:rsid w:val="00C742B7"/>
    <w:rsid w:val="00C743AB"/>
    <w:rsid w:val="00C743C5"/>
    <w:rsid w:val="00C74430"/>
    <w:rsid w:val="00C745E9"/>
    <w:rsid w:val="00C74656"/>
    <w:rsid w:val="00C746D4"/>
    <w:rsid w:val="00C74789"/>
    <w:rsid w:val="00C747CD"/>
    <w:rsid w:val="00C74874"/>
    <w:rsid w:val="00C74AAA"/>
    <w:rsid w:val="00C74B09"/>
    <w:rsid w:val="00C74B72"/>
    <w:rsid w:val="00C74BE3"/>
    <w:rsid w:val="00C74BED"/>
    <w:rsid w:val="00C74C0E"/>
    <w:rsid w:val="00C74C62"/>
    <w:rsid w:val="00C74D10"/>
    <w:rsid w:val="00C74DC4"/>
    <w:rsid w:val="00C74DD5"/>
    <w:rsid w:val="00C74DF6"/>
    <w:rsid w:val="00C74EEA"/>
    <w:rsid w:val="00C74EF7"/>
    <w:rsid w:val="00C74F54"/>
    <w:rsid w:val="00C7502A"/>
    <w:rsid w:val="00C750D8"/>
    <w:rsid w:val="00C75339"/>
    <w:rsid w:val="00C75368"/>
    <w:rsid w:val="00C753EE"/>
    <w:rsid w:val="00C754B2"/>
    <w:rsid w:val="00C754D6"/>
    <w:rsid w:val="00C75585"/>
    <w:rsid w:val="00C7561A"/>
    <w:rsid w:val="00C7561D"/>
    <w:rsid w:val="00C75659"/>
    <w:rsid w:val="00C75733"/>
    <w:rsid w:val="00C7578A"/>
    <w:rsid w:val="00C75809"/>
    <w:rsid w:val="00C7584D"/>
    <w:rsid w:val="00C758A4"/>
    <w:rsid w:val="00C758CE"/>
    <w:rsid w:val="00C7594F"/>
    <w:rsid w:val="00C7597D"/>
    <w:rsid w:val="00C75981"/>
    <w:rsid w:val="00C75A13"/>
    <w:rsid w:val="00C75A47"/>
    <w:rsid w:val="00C75A8E"/>
    <w:rsid w:val="00C75A9F"/>
    <w:rsid w:val="00C75AA9"/>
    <w:rsid w:val="00C75ACF"/>
    <w:rsid w:val="00C75AF8"/>
    <w:rsid w:val="00C75B26"/>
    <w:rsid w:val="00C75BBB"/>
    <w:rsid w:val="00C75BD6"/>
    <w:rsid w:val="00C75C42"/>
    <w:rsid w:val="00C75C5D"/>
    <w:rsid w:val="00C75C82"/>
    <w:rsid w:val="00C75D17"/>
    <w:rsid w:val="00C75D57"/>
    <w:rsid w:val="00C75D5F"/>
    <w:rsid w:val="00C75E86"/>
    <w:rsid w:val="00C75EA0"/>
    <w:rsid w:val="00C75EC3"/>
    <w:rsid w:val="00C75EF5"/>
    <w:rsid w:val="00C7600E"/>
    <w:rsid w:val="00C76028"/>
    <w:rsid w:val="00C760B7"/>
    <w:rsid w:val="00C76149"/>
    <w:rsid w:val="00C76185"/>
    <w:rsid w:val="00C762EE"/>
    <w:rsid w:val="00C76308"/>
    <w:rsid w:val="00C763ED"/>
    <w:rsid w:val="00C76455"/>
    <w:rsid w:val="00C764D3"/>
    <w:rsid w:val="00C764D4"/>
    <w:rsid w:val="00C76568"/>
    <w:rsid w:val="00C76615"/>
    <w:rsid w:val="00C766DC"/>
    <w:rsid w:val="00C76738"/>
    <w:rsid w:val="00C76750"/>
    <w:rsid w:val="00C7675F"/>
    <w:rsid w:val="00C7677E"/>
    <w:rsid w:val="00C76781"/>
    <w:rsid w:val="00C76876"/>
    <w:rsid w:val="00C768B9"/>
    <w:rsid w:val="00C76910"/>
    <w:rsid w:val="00C76951"/>
    <w:rsid w:val="00C76982"/>
    <w:rsid w:val="00C76A82"/>
    <w:rsid w:val="00C76BB6"/>
    <w:rsid w:val="00C76C02"/>
    <w:rsid w:val="00C76CA1"/>
    <w:rsid w:val="00C76EB7"/>
    <w:rsid w:val="00C76EE6"/>
    <w:rsid w:val="00C76F56"/>
    <w:rsid w:val="00C76F9E"/>
    <w:rsid w:val="00C76FCC"/>
    <w:rsid w:val="00C7700A"/>
    <w:rsid w:val="00C7704B"/>
    <w:rsid w:val="00C7721F"/>
    <w:rsid w:val="00C7729A"/>
    <w:rsid w:val="00C772B5"/>
    <w:rsid w:val="00C773AE"/>
    <w:rsid w:val="00C774A0"/>
    <w:rsid w:val="00C7756F"/>
    <w:rsid w:val="00C775D5"/>
    <w:rsid w:val="00C77603"/>
    <w:rsid w:val="00C77791"/>
    <w:rsid w:val="00C778BC"/>
    <w:rsid w:val="00C77A37"/>
    <w:rsid w:val="00C77A51"/>
    <w:rsid w:val="00C77ADD"/>
    <w:rsid w:val="00C77AE8"/>
    <w:rsid w:val="00C77AEC"/>
    <w:rsid w:val="00C77B15"/>
    <w:rsid w:val="00C77B85"/>
    <w:rsid w:val="00C77BAF"/>
    <w:rsid w:val="00C77BE5"/>
    <w:rsid w:val="00C77BF4"/>
    <w:rsid w:val="00C77CDA"/>
    <w:rsid w:val="00C77CF1"/>
    <w:rsid w:val="00C77DE4"/>
    <w:rsid w:val="00C77E0D"/>
    <w:rsid w:val="00C77E2B"/>
    <w:rsid w:val="00C77E34"/>
    <w:rsid w:val="00C77E6C"/>
    <w:rsid w:val="00C77E8A"/>
    <w:rsid w:val="00C77EEF"/>
    <w:rsid w:val="00C800D7"/>
    <w:rsid w:val="00C80196"/>
    <w:rsid w:val="00C801AF"/>
    <w:rsid w:val="00C801DF"/>
    <w:rsid w:val="00C802A2"/>
    <w:rsid w:val="00C802B2"/>
    <w:rsid w:val="00C80317"/>
    <w:rsid w:val="00C8039A"/>
    <w:rsid w:val="00C8039C"/>
    <w:rsid w:val="00C803E9"/>
    <w:rsid w:val="00C80444"/>
    <w:rsid w:val="00C80478"/>
    <w:rsid w:val="00C80546"/>
    <w:rsid w:val="00C80553"/>
    <w:rsid w:val="00C80581"/>
    <w:rsid w:val="00C80725"/>
    <w:rsid w:val="00C8078D"/>
    <w:rsid w:val="00C80826"/>
    <w:rsid w:val="00C808B1"/>
    <w:rsid w:val="00C8094E"/>
    <w:rsid w:val="00C80992"/>
    <w:rsid w:val="00C80A03"/>
    <w:rsid w:val="00C80ADD"/>
    <w:rsid w:val="00C80AE8"/>
    <w:rsid w:val="00C80C40"/>
    <w:rsid w:val="00C80C61"/>
    <w:rsid w:val="00C80C8F"/>
    <w:rsid w:val="00C80CCE"/>
    <w:rsid w:val="00C80E17"/>
    <w:rsid w:val="00C80F2E"/>
    <w:rsid w:val="00C80FCA"/>
    <w:rsid w:val="00C81038"/>
    <w:rsid w:val="00C8108D"/>
    <w:rsid w:val="00C810EB"/>
    <w:rsid w:val="00C81201"/>
    <w:rsid w:val="00C81281"/>
    <w:rsid w:val="00C812EA"/>
    <w:rsid w:val="00C81504"/>
    <w:rsid w:val="00C815AF"/>
    <w:rsid w:val="00C81687"/>
    <w:rsid w:val="00C81696"/>
    <w:rsid w:val="00C81866"/>
    <w:rsid w:val="00C818D1"/>
    <w:rsid w:val="00C8191F"/>
    <w:rsid w:val="00C81A0C"/>
    <w:rsid w:val="00C81AF7"/>
    <w:rsid w:val="00C81CFE"/>
    <w:rsid w:val="00C81D60"/>
    <w:rsid w:val="00C81D99"/>
    <w:rsid w:val="00C81DC4"/>
    <w:rsid w:val="00C81E7A"/>
    <w:rsid w:val="00C81E9E"/>
    <w:rsid w:val="00C81EAE"/>
    <w:rsid w:val="00C81F01"/>
    <w:rsid w:val="00C81F65"/>
    <w:rsid w:val="00C820FC"/>
    <w:rsid w:val="00C82157"/>
    <w:rsid w:val="00C8216C"/>
    <w:rsid w:val="00C822C5"/>
    <w:rsid w:val="00C822DF"/>
    <w:rsid w:val="00C82380"/>
    <w:rsid w:val="00C8244A"/>
    <w:rsid w:val="00C82482"/>
    <w:rsid w:val="00C824E6"/>
    <w:rsid w:val="00C82538"/>
    <w:rsid w:val="00C82561"/>
    <w:rsid w:val="00C825B0"/>
    <w:rsid w:val="00C825B2"/>
    <w:rsid w:val="00C8263F"/>
    <w:rsid w:val="00C82669"/>
    <w:rsid w:val="00C827A1"/>
    <w:rsid w:val="00C8280D"/>
    <w:rsid w:val="00C82825"/>
    <w:rsid w:val="00C8282A"/>
    <w:rsid w:val="00C8283C"/>
    <w:rsid w:val="00C82905"/>
    <w:rsid w:val="00C82A84"/>
    <w:rsid w:val="00C82B06"/>
    <w:rsid w:val="00C82B2A"/>
    <w:rsid w:val="00C82B51"/>
    <w:rsid w:val="00C82C06"/>
    <w:rsid w:val="00C82C3C"/>
    <w:rsid w:val="00C82D1B"/>
    <w:rsid w:val="00C82E17"/>
    <w:rsid w:val="00C82E75"/>
    <w:rsid w:val="00C82F09"/>
    <w:rsid w:val="00C82F2C"/>
    <w:rsid w:val="00C82F40"/>
    <w:rsid w:val="00C82FCA"/>
    <w:rsid w:val="00C83003"/>
    <w:rsid w:val="00C830D5"/>
    <w:rsid w:val="00C830D7"/>
    <w:rsid w:val="00C830F7"/>
    <w:rsid w:val="00C8329E"/>
    <w:rsid w:val="00C83492"/>
    <w:rsid w:val="00C834F8"/>
    <w:rsid w:val="00C83510"/>
    <w:rsid w:val="00C8355F"/>
    <w:rsid w:val="00C835D4"/>
    <w:rsid w:val="00C835E0"/>
    <w:rsid w:val="00C835E2"/>
    <w:rsid w:val="00C83623"/>
    <w:rsid w:val="00C83630"/>
    <w:rsid w:val="00C836C3"/>
    <w:rsid w:val="00C8376D"/>
    <w:rsid w:val="00C83817"/>
    <w:rsid w:val="00C83833"/>
    <w:rsid w:val="00C8384F"/>
    <w:rsid w:val="00C839A8"/>
    <w:rsid w:val="00C83A10"/>
    <w:rsid w:val="00C83A27"/>
    <w:rsid w:val="00C83A28"/>
    <w:rsid w:val="00C83ACB"/>
    <w:rsid w:val="00C83AE7"/>
    <w:rsid w:val="00C83BFC"/>
    <w:rsid w:val="00C83BFE"/>
    <w:rsid w:val="00C83C7C"/>
    <w:rsid w:val="00C83D8A"/>
    <w:rsid w:val="00C83D9C"/>
    <w:rsid w:val="00C83E49"/>
    <w:rsid w:val="00C83EC6"/>
    <w:rsid w:val="00C83F22"/>
    <w:rsid w:val="00C83F49"/>
    <w:rsid w:val="00C83F71"/>
    <w:rsid w:val="00C83FC3"/>
    <w:rsid w:val="00C8408F"/>
    <w:rsid w:val="00C84115"/>
    <w:rsid w:val="00C841D8"/>
    <w:rsid w:val="00C84209"/>
    <w:rsid w:val="00C8424F"/>
    <w:rsid w:val="00C842F1"/>
    <w:rsid w:val="00C842F5"/>
    <w:rsid w:val="00C84357"/>
    <w:rsid w:val="00C8439B"/>
    <w:rsid w:val="00C8441D"/>
    <w:rsid w:val="00C84455"/>
    <w:rsid w:val="00C8445F"/>
    <w:rsid w:val="00C84494"/>
    <w:rsid w:val="00C844B2"/>
    <w:rsid w:val="00C844B7"/>
    <w:rsid w:val="00C844E3"/>
    <w:rsid w:val="00C84640"/>
    <w:rsid w:val="00C84727"/>
    <w:rsid w:val="00C84745"/>
    <w:rsid w:val="00C848A4"/>
    <w:rsid w:val="00C848AA"/>
    <w:rsid w:val="00C848CC"/>
    <w:rsid w:val="00C84903"/>
    <w:rsid w:val="00C84957"/>
    <w:rsid w:val="00C84961"/>
    <w:rsid w:val="00C8497B"/>
    <w:rsid w:val="00C84A55"/>
    <w:rsid w:val="00C84A6F"/>
    <w:rsid w:val="00C84A85"/>
    <w:rsid w:val="00C84A87"/>
    <w:rsid w:val="00C84AFD"/>
    <w:rsid w:val="00C84AFF"/>
    <w:rsid w:val="00C84B2B"/>
    <w:rsid w:val="00C84BA8"/>
    <w:rsid w:val="00C84BE4"/>
    <w:rsid w:val="00C84CAF"/>
    <w:rsid w:val="00C84CF1"/>
    <w:rsid w:val="00C84D23"/>
    <w:rsid w:val="00C84D57"/>
    <w:rsid w:val="00C84E0F"/>
    <w:rsid w:val="00C84E75"/>
    <w:rsid w:val="00C84F1E"/>
    <w:rsid w:val="00C85023"/>
    <w:rsid w:val="00C85074"/>
    <w:rsid w:val="00C851D0"/>
    <w:rsid w:val="00C85276"/>
    <w:rsid w:val="00C8535A"/>
    <w:rsid w:val="00C85368"/>
    <w:rsid w:val="00C85388"/>
    <w:rsid w:val="00C853A2"/>
    <w:rsid w:val="00C8540B"/>
    <w:rsid w:val="00C85451"/>
    <w:rsid w:val="00C85588"/>
    <w:rsid w:val="00C8558B"/>
    <w:rsid w:val="00C8562C"/>
    <w:rsid w:val="00C8563D"/>
    <w:rsid w:val="00C85708"/>
    <w:rsid w:val="00C8585E"/>
    <w:rsid w:val="00C858D9"/>
    <w:rsid w:val="00C85928"/>
    <w:rsid w:val="00C8592D"/>
    <w:rsid w:val="00C859D8"/>
    <w:rsid w:val="00C85A8B"/>
    <w:rsid w:val="00C85BD8"/>
    <w:rsid w:val="00C85C96"/>
    <w:rsid w:val="00C85DD8"/>
    <w:rsid w:val="00C85DFA"/>
    <w:rsid w:val="00C85E10"/>
    <w:rsid w:val="00C85E5B"/>
    <w:rsid w:val="00C85F0A"/>
    <w:rsid w:val="00C85F30"/>
    <w:rsid w:val="00C85F59"/>
    <w:rsid w:val="00C85F93"/>
    <w:rsid w:val="00C85FBD"/>
    <w:rsid w:val="00C8603D"/>
    <w:rsid w:val="00C86083"/>
    <w:rsid w:val="00C86249"/>
    <w:rsid w:val="00C86273"/>
    <w:rsid w:val="00C86327"/>
    <w:rsid w:val="00C86351"/>
    <w:rsid w:val="00C86380"/>
    <w:rsid w:val="00C8639B"/>
    <w:rsid w:val="00C863B3"/>
    <w:rsid w:val="00C86408"/>
    <w:rsid w:val="00C86419"/>
    <w:rsid w:val="00C86430"/>
    <w:rsid w:val="00C86546"/>
    <w:rsid w:val="00C86549"/>
    <w:rsid w:val="00C8662E"/>
    <w:rsid w:val="00C86639"/>
    <w:rsid w:val="00C86642"/>
    <w:rsid w:val="00C86737"/>
    <w:rsid w:val="00C86763"/>
    <w:rsid w:val="00C86879"/>
    <w:rsid w:val="00C869B5"/>
    <w:rsid w:val="00C869F4"/>
    <w:rsid w:val="00C86A0C"/>
    <w:rsid w:val="00C86BED"/>
    <w:rsid w:val="00C86C74"/>
    <w:rsid w:val="00C86DA8"/>
    <w:rsid w:val="00C86DE5"/>
    <w:rsid w:val="00C86E1D"/>
    <w:rsid w:val="00C86E2E"/>
    <w:rsid w:val="00C86E61"/>
    <w:rsid w:val="00C86E7D"/>
    <w:rsid w:val="00C86EED"/>
    <w:rsid w:val="00C8700A"/>
    <w:rsid w:val="00C87048"/>
    <w:rsid w:val="00C8704B"/>
    <w:rsid w:val="00C870C2"/>
    <w:rsid w:val="00C871D0"/>
    <w:rsid w:val="00C871F7"/>
    <w:rsid w:val="00C87205"/>
    <w:rsid w:val="00C87330"/>
    <w:rsid w:val="00C8745C"/>
    <w:rsid w:val="00C8747E"/>
    <w:rsid w:val="00C8750C"/>
    <w:rsid w:val="00C87521"/>
    <w:rsid w:val="00C87529"/>
    <w:rsid w:val="00C87530"/>
    <w:rsid w:val="00C8757A"/>
    <w:rsid w:val="00C8762F"/>
    <w:rsid w:val="00C8768B"/>
    <w:rsid w:val="00C877BB"/>
    <w:rsid w:val="00C877D3"/>
    <w:rsid w:val="00C877E1"/>
    <w:rsid w:val="00C8785A"/>
    <w:rsid w:val="00C87909"/>
    <w:rsid w:val="00C87942"/>
    <w:rsid w:val="00C879B1"/>
    <w:rsid w:val="00C879B7"/>
    <w:rsid w:val="00C87A7B"/>
    <w:rsid w:val="00C87A7E"/>
    <w:rsid w:val="00C87B17"/>
    <w:rsid w:val="00C87B95"/>
    <w:rsid w:val="00C87C18"/>
    <w:rsid w:val="00C87CE7"/>
    <w:rsid w:val="00C87D32"/>
    <w:rsid w:val="00C87E40"/>
    <w:rsid w:val="00C87E6A"/>
    <w:rsid w:val="00C87F0F"/>
    <w:rsid w:val="00C87F15"/>
    <w:rsid w:val="00C87F37"/>
    <w:rsid w:val="00C87F97"/>
    <w:rsid w:val="00C87FDA"/>
    <w:rsid w:val="00C87FDE"/>
    <w:rsid w:val="00C9003F"/>
    <w:rsid w:val="00C90066"/>
    <w:rsid w:val="00C90088"/>
    <w:rsid w:val="00C90281"/>
    <w:rsid w:val="00C902A6"/>
    <w:rsid w:val="00C90305"/>
    <w:rsid w:val="00C9030A"/>
    <w:rsid w:val="00C90347"/>
    <w:rsid w:val="00C90349"/>
    <w:rsid w:val="00C9035F"/>
    <w:rsid w:val="00C90377"/>
    <w:rsid w:val="00C903A2"/>
    <w:rsid w:val="00C903A6"/>
    <w:rsid w:val="00C903CE"/>
    <w:rsid w:val="00C90457"/>
    <w:rsid w:val="00C90505"/>
    <w:rsid w:val="00C905E4"/>
    <w:rsid w:val="00C905E6"/>
    <w:rsid w:val="00C905F8"/>
    <w:rsid w:val="00C90756"/>
    <w:rsid w:val="00C9075F"/>
    <w:rsid w:val="00C907EB"/>
    <w:rsid w:val="00C908A7"/>
    <w:rsid w:val="00C9090C"/>
    <w:rsid w:val="00C9096C"/>
    <w:rsid w:val="00C90976"/>
    <w:rsid w:val="00C909D8"/>
    <w:rsid w:val="00C90A14"/>
    <w:rsid w:val="00C90A5A"/>
    <w:rsid w:val="00C90A89"/>
    <w:rsid w:val="00C90AD5"/>
    <w:rsid w:val="00C90ADE"/>
    <w:rsid w:val="00C90B10"/>
    <w:rsid w:val="00C90B7B"/>
    <w:rsid w:val="00C90B86"/>
    <w:rsid w:val="00C90BC5"/>
    <w:rsid w:val="00C90BD2"/>
    <w:rsid w:val="00C90C68"/>
    <w:rsid w:val="00C90C6B"/>
    <w:rsid w:val="00C90CAB"/>
    <w:rsid w:val="00C90CAC"/>
    <w:rsid w:val="00C90D4E"/>
    <w:rsid w:val="00C90D71"/>
    <w:rsid w:val="00C90D9B"/>
    <w:rsid w:val="00C90DB1"/>
    <w:rsid w:val="00C90DDB"/>
    <w:rsid w:val="00C90DF7"/>
    <w:rsid w:val="00C90E42"/>
    <w:rsid w:val="00C90EE6"/>
    <w:rsid w:val="00C90F23"/>
    <w:rsid w:val="00C90F2C"/>
    <w:rsid w:val="00C90F73"/>
    <w:rsid w:val="00C91041"/>
    <w:rsid w:val="00C910BF"/>
    <w:rsid w:val="00C91131"/>
    <w:rsid w:val="00C912AB"/>
    <w:rsid w:val="00C912FB"/>
    <w:rsid w:val="00C913ED"/>
    <w:rsid w:val="00C9154E"/>
    <w:rsid w:val="00C91602"/>
    <w:rsid w:val="00C91610"/>
    <w:rsid w:val="00C9163B"/>
    <w:rsid w:val="00C91645"/>
    <w:rsid w:val="00C9171C"/>
    <w:rsid w:val="00C91732"/>
    <w:rsid w:val="00C91805"/>
    <w:rsid w:val="00C91827"/>
    <w:rsid w:val="00C9182F"/>
    <w:rsid w:val="00C91850"/>
    <w:rsid w:val="00C919B4"/>
    <w:rsid w:val="00C91A0F"/>
    <w:rsid w:val="00C91ACB"/>
    <w:rsid w:val="00C91B41"/>
    <w:rsid w:val="00C91B5E"/>
    <w:rsid w:val="00C91CD9"/>
    <w:rsid w:val="00C91CFB"/>
    <w:rsid w:val="00C91D68"/>
    <w:rsid w:val="00C91DBA"/>
    <w:rsid w:val="00C91DE6"/>
    <w:rsid w:val="00C91DEE"/>
    <w:rsid w:val="00C91EB0"/>
    <w:rsid w:val="00C91F63"/>
    <w:rsid w:val="00C9211B"/>
    <w:rsid w:val="00C9214B"/>
    <w:rsid w:val="00C92151"/>
    <w:rsid w:val="00C921DA"/>
    <w:rsid w:val="00C92235"/>
    <w:rsid w:val="00C92259"/>
    <w:rsid w:val="00C923A9"/>
    <w:rsid w:val="00C923EB"/>
    <w:rsid w:val="00C9243F"/>
    <w:rsid w:val="00C92531"/>
    <w:rsid w:val="00C92592"/>
    <w:rsid w:val="00C926F0"/>
    <w:rsid w:val="00C926F1"/>
    <w:rsid w:val="00C92723"/>
    <w:rsid w:val="00C92748"/>
    <w:rsid w:val="00C9277A"/>
    <w:rsid w:val="00C927AF"/>
    <w:rsid w:val="00C92806"/>
    <w:rsid w:val="00C92825"/>
    <w:rsid w:val="00C9284F"/>
    <w:rsid w:val="00C929DB"/>
    <w:rsid w:val="00C92A0B"/>
    <w:rsid w:val="00C92A11"/>
    <w:rsid w:val="00C92A18"/>
    <w:rsid w:val="00C92A20"/>
    <w:rsid w:val="00C92AAA"/>
    <w:rsid w:val="00C92CDB"/>
    <w:rsid w:val="00C92D30"/>
    <w:rsid w:val="00C92D47"/>
    <w:rsid w:val="00C92D51"/>
    <w:rsid w:val="00C92E57"/>
    <w:rsid w:val="00C92E60"/>
    <w:rsid w:val="00C92EB7"/>
    <w:rsid w:val="00C92ED4"/>
    <w:rsid w:val="00C9302E"/>
    <w:rsid w:val="00C930AA"/>
    <w:rsid w:val="00C93217"/>
    <w:rsid w:val="00C93385"/>
    <w:rsid w:val="00C933FB"/>
    <w:rsid w:val="00C9343B"/>
    <w:rsid w:val="00C93612"/>
    <w:rsid w:val="00C93636"/>
    <w:rsid w:val="00C9375F"/>
    <w:rsid w:val="00C937A2"/>
    <w:rsid w:val="00C93815"/>
    <w:rsid w:val="00C93819"/>
    <w:rsid w:val="00C9388A"/>
    <w:rsid w:val="00C938AD"/>
    <w:rsid w:val="00C938EF"/>
    <w:rsid w:val="00C938FC"/>
    <w:rsid w:val="00C93900"/>
    <w:rsid w:val="00C939D7"/>
    <w:rsid w:val="00C93B4A"/>
    <w:rsid w:val="00C93C3A"/>
    <w:rsid w:val="00C93C4C"/>
    <w:rsid w:val="00C93C72"/>
    <w:rsid w:val="00C93C93"/>
    <w:rsid w:val="00C93D00"/>
    <w:rsid w:val="00C93D76"/>
    <w:rsid w:val="00C93DA8"/>
    <w:rsid w:val="00C93E25"/>
    <w:rsid w:val="00C93ED9"/>
    <w:rsid w:val="00C93EEA"/>
    <w:rsid w:val="00C93EF1"/>
    <w:rsid w:val="00C93F42"/>
    <w:rsid w:val="00C93FBE"/>
    <w:rsid w:val="00C9407C"/>
    <w:rsid w:val="00C94195"/>
    <w:rsid w:val="00C941A3"/>
    <w:rsid w:val="00C941CA"/>
    <w:rsid w:val="00C94217"/>
    <w:rsid w:val="00C9421F"/>
    <w:rsid w:val="00C94238"/>
    <w:rsid w:val="00C94240"/>
    <w:rsid w:val="00C9427A"/>
    <w:rsid w:val="00C942A6"/>
    <w:rsid w:val="00C9433E"/>
    <w:rsid w:val="00C94362"/>
    <w:rsid w:val="00C94378"/>
    <w:rsid w:val="00C943DA"/>
    <w:rsid w:val="00C9440F"/>
    <w:rsid w:val="00C94470"/>
    <w:rsid w:val="00C94486"/>
    <w:rsid w:val="00C944C1"/>
    <w:rsid w:val="00C944D5"/>
    <w:rsid w:val="00C94573"/>
    <w:rsid w:val="00C945AC"/>
    <w:rsid w:val="00C945E4"/>
    <w:rsid w:val="00C945EE"/>
    <w:rsid w:val="00C94691"/>
    <w:rsid w:val="00C9469B"/>
    <w:rsid w:val="00C946CE"/>
    <w:rsid w:val="00C946E8"/>
    <w:rsid w:val="00C946F8"/>
    <w:rsid w:val="00C9480D"/>
    <w:rsid w:val="00C949AA"/>
    <w:rsid w:val="00C94A18"/>
    <w:rsid w:val="00C94A6F"/>
    <w:rsid w:val="00C94A9E"/>
    <w:rsid w:val="00C94ACC"/>
    <w:rsid w:val="00C94ADA"/>
    <w:rsid w:val="00C94B65"/>
    <w:rsid w:val="00C94BC7"/>
    <w:rsid w:val="00C94D15"/>
    <w:rsid w:val="00C94D34"/>
    <w:rsid w:val="00C94D38"/>
    <w:rsid w:val="00C94DA2"/>
    <w:rsid w:val="00C94DC3"/>
    <w:rsid w:val="00C94E08"/>
    <w:rsid w:val="00C94E35"/>
    <w:rsid w:val="00C94E7E"/>
    <w:rsid w:val="00C94ED9"/>
    <w:rsid w:val="00C94F34"/>
    <w:rsid w:val="00C94F48"/>
    <w:rsid w:val="00C94F53"/>
    <w:rsid w:val="00C94F86"/>
    <w:rsid w:val="00C94FF2"/>
    <w:rsid w:val="00C9508B"/>
    <w:rsid w:val="00C950AF"/>
    <w:rsid w:val="00C950F0"/>
    <w:rsid w:val="00C95139"/>
    <w:rsid w:val="00C95171"/>
    <w:rsid w:val="00C951B5"/>
    <w:rsid w:val="00C95232"/>
    <w:rsid w:val="00C952C0"/>
    <w:rsid w:val="00C95341"/>
    <w:rsid w:val="00C9537E"/>
    <w:rsid w:val="00C95444"/>
    <w:rsid w:val="00C95454"/>
    <w:rsid w:val="00C954D8"/>
    <w:rsid w:val="00C95505"/>
    <w:rsid w:val="00C955CD"/>
    <w:rsid w:val="00C95840"/>
    <w:rsid w:val="00C9586A"/>
    <w:rsid w:val="00C959DD"/>
    <w:rsid w:val="00C95AE0"/>
    <w:rsid w:val="00C95D3F"/>
    <w:rsid w:val="00C95D97"/>
    <w:rsid w:val="00C95F47"/>
    <w:rsid w:val="00C960BB"/>
    <w:rsid w:val="00C96114"/>
    <w:rsid w:val="00C9613E"/>
    <w:rsid w:val="00C961BF"/>
    <w:rsid w:val="00C96273"/>
    <w:rsid w:val="00C96281"/>
    <w:rsid w:val="00C962C0"/>
    <w:rsid w:val="00C962C1"/>
    <w:rsid w:val="00C962C6"/>
    <w:rsid w:val="00C962DA"/>
    <w:rsid w:val="00C96377"/>
    <w:rsid w:val="00C963F2"/>
    <w:rsid w:val="00C9641A"/>
    <w:rsid w:val="00C96458"/>
    <w:rsid w:val="00C964CF"/>
    <w:rsid w:val="00C965A1"/>
    <w:rsid w:val="00C96636"/>
    <w:rsid w:val="00C966C9"/>
    <w:rsid w:val="00C9672B"/>
    <w:rsid w:val="00C9674C"/>
    <w:rsid w:val="00C96884"/>
    <w:rsid w:val="00C968A9"/>
    <w:rsid w:val="00C968B5"/>
    <w:rsid w:val="00C9690E"/>
    <w:rsid w:val="00C96AF6"/>
    <w:rsid w:val="00C96B83"/>
    <w:rsid w:val="00C96CE2"/>
    <w:rsid w:val="00C96CE4"/>
    <w:rsid w:val="00C96D5E"/>
    <w:rsid w:val="00C96D88"/>
    <w:rsid w:val="00C96D98"/>
    <w:rsid w:val="00C96E02"/>
    <w:rsid w:val="00C96E77"/>
    <w:rsid w:val="00C96F0A"/>
    <w:rsid w:val="00C96F32"/>
    <w:rsid w:val="00C97060"/>
    <w:rsid w:val="00C970EF"/>
    <w:rsid w:val="00C97121"/>
    <w:rsid w:val="00C97212"/>
    <w:rsid w:val="00C9729B"/>
    <w:rsid w:val="00C9730F"/>
    <w:rsid w:val="00C97320"/>
    <w:rsid w:val="00C97333"/>
    <w:rsid w:val="00C9742D"/>
    <w:rsid w:val="00C97450"/>
    <w:rsid w:val="00C9759E"/>
    <w:rsid w:val="00C9766D"/>
    <w:rsid w:val="00C976D1"/>
    <w:rsid w:val="00C9771D"/>
    <w:rsid w:val="00C97757"/>
    <w:rsid w:val="00C9778B"/>
    <w:rsid w:val="00C977F8"/>
    <w:rsid w:val="00C978C8"/>
    <w:rsid w:val="00C97903"/>
    <w:rsid w:val="00C97929"/>
    <w:rsid w:val="00C9792E"/>
    <w:rsid w:val="00C979A4"/>
    <w:rsid w:val="00C979EE"/>
    <w:rsid w:val="00C97B8C"/>
    <w:rsid w:val="00C97CBC"/>
    <w:rsid w:val="00C97D33"/>
    <w:rsid w:val="00C97D58"/>
    <w:rsid w:val="00C97D7C"/>
    <w:rsid w:val="00C97DA8"/>
    <w:rsid w:val="00C97DF2"/>
    <w:rsid w:val="00C97E55"/>
    <w:rsid w:val="00C97E77"/>
    <w:rsid w:val="00C97EE1"/>
    <w:rsid w:val="00C97FB2"/>
    <w:rsid w:val="00CA0120"/>
    <w:rsid w:val="00CA013A"/>
    <w:rsid w:val="00CA017B"/>
    <w:rsid w:val="00CA01D2"/>
    <w:rsid w:val="00CA023B"/>
    <w:rsid w:val="00CA039A"/>
    <w:rsid w:val="00CA03CA"/>
    <w:rsid w:val="00CA04AE"/>
    <w:rsid w:val="00CA04C0"/>
    <w:rsid w:val="00CA0519"/>
    <w:rsid w:val="00CA060F"/>
    <w:rsid w:val="00CA0664"/>
    <w:rsid w:val="00CA0672"/>
    <w:rsid w:val="00CA0700"/>
    <w:rsid w:val="00CA0849"/>
    <w:rsid w:val="00CA0856"/>
    <w:rsid w:val="00CA0885"/>
    <w:rsid w:val="00CA0912"/>
    <w:rsid w:val="00CA0961"/>
    <w:rsid w:val="00CA098A"/>
    <w:rsid w:val="00CA0AFB"/>
    <w:rsid w:val="00CA0B4B"/>
    <w:rsid w:val="00CA0BE8"/>
    <w:rsid w:val="00CA0C24"/>
    <w:rsid w:val="00CA0C35"/>
    <w:rsid w:val="00CA0CF9"/>
    <w:rsid w:val="00CA0D8E"/>
    <w:rsid w:val="00CA0D9E"/>
    <w:rsid w:val="00CA0F38"/>
    <w:rsid w:val="00CA109A"/>
    <w:rsid w:val="00CA10E5"/>
    <w:rsid w:val="00CA10EB"/>
    <w:rsid w:val="00CA1121"/>
    <w:rsid w:val="00CA11AF"/>
    <w:rsid w:val="00CA12AD"/>
    <w:rsid w:val="00CA12CB"/>
    <w:rsid w:val="00CA138B"/>
    <w:rsid w:val="00CA141E"/>
    <w:rsid w:val="00CA148C"/>
    <w:rsid w:val="00CA14A4"/>
    <w:rsid w:val="00CA14C1"/>
    <w:rsid w:val="00CA1566"/>
    <w:rsid w:val="00CA15B7"/>
    <w:rsid w:val="00CA15E5"/>
    <w:rsid w:val="00CA15FD"/>
    <w:rsid w:val="00CA1603"/>
    <w:rsid w:val="00CA1667"/>
    <w:rsid w:val="00CA1678"/>
    <w:rsid w:val="00CA185B"/>
    <w:rsid w:val="00CA1A51"/>
    <w:rsid w:val="00CA1B0D"/>
    <w:rsid w:val="00CA1B4F"/>
    <w:rsid w:val="00CA1BB0"/>
    <w:rsid w:val="00CA1BD2"/>
    <w:rsid w:val="00CA1C2D"/>
    <w:rsid w:val="00CA1C98"/>
    <w:rsid w:val="00CA1D94"/>
    <w:rsid w:val="00CA1DF9"/>
    <w:rsid w:val="00CA1E6E"/>
    <w:rsid w:val="00CA2076"/>
    <w:rsid w:val="00CA20AF"/>
    <w:rsid w:val="00CA20F8"/>
    <w:rsid w:val="00CA21E6"/>
    <w:rsid w:val="00CA22CD"/>
    <w:rsid w:val="00CA2378"/>
    <w:rsid w:val="00CA239E"/>
    <w:rsid w:val="00CA241E"/>
    <w:rsid w:val="00CA2436"/>
    <w:rsid w:val="00CA2438"/>
    <w:rsid w:val="00CA2453"/>
    <w:rsid w:val="00CA250E"/>
    <w:rsid w:val="00CA2553"/>
    <w:rsid w:val="00CA256D"/>
    <w:rsid w:val="00CA25EB"/>
    <w:rsid w:val="00CA25EE"/>
    <w:rsid w:val="00CA261F"/>
    <w:rsid w:val="00CA262D"/>
    <w:rsid w:val="00CA273D"/>
    <w:rsid w:val="00CA2740"/>
    <w:rsid w:val="00CA2793"/>
    <w:rsid w:val="00CA288A"/>
    <w:rsid w:val="00CA289A"/>
    <w:rsid w:val="00CA28EA"/>
    <w:rsid w:val="00CA2991"/>
    <w:rsid w:val="00CA29E3"/>
    <w:rsid w:val="00CA2A78"/>
    <w:rsid w:val="00CA2AC1"/>
    <w:rsid w:val="00CA2B1D"/>
    <w:rsid w:val="00CA2B27"/>
    <w:rsid w:val="00CA2B6F"/>
    <w:rsid w:val="00CA2B9C"/>
    <w:rsid w:val="00CA2BA9"/>
    <w:rsid w:val="00CA2C67"/>
    <w:rsid w:val="00CA2CBB"/>
    <w:rsid w:val="00CA2D27"/>
    <w:rsid w:val="00CA2D41"/>
    <w:rsid w:val="00CA2D4B"/>
    <w:rsid w:val="00CA2DE2"/>
    <w:rsid w:val="00CA2E3D"/>
    <w:rsid w:val="00CA2E86"/>
    <w:rsid w:val="00CA2E94"/>
    <w:rsid w:val="00CA2EAF"/>
    <w:rsid w:val="00CA2ECE"/>
    <w:rsid w:val="00CA2F6C"/>
    <w:rsid w:val="00CA2F85"/>
    <w:rsid w:val="00CA2FE3"/>
    <w:rsid w:val="00CA3102"/>
    <w:rsid w:val="00CA312A"/>
    <w:rsid w:val="00CA3174"/>
    <w:rsid w:val="00CA31B8"/>
    <w:rsid w:val="00CA31D8"/>
    <w:rsid w:val="00CA3222"/>
    <w:rsid w:val="00CA3243"/>
    <w:rsid w:val="00CA3266"/>
    <w:rsid w:val="00CA328D"/>
    <w:rsid w:val="00CA32D6"/>
    <w:rsid w:val="00CA3465"/>
    <w:rsid w:val="00CA3516"/>
    <w:rsid w:val="00CA3531"/>
    <w:rsid w:val="00CA3557"/>
    <w:rsid w:val="00CA35AA"/>
    <w:rsid w:val="00CA35CE"/>
    <w:rsid w:val="00CA3618"/>
    <w:rsid w:val="00CA3674"/>
    <w:rsid w:val="00CA36C0"/>
    <w:rsid w:val="00CA36F1"/>
    <w:rsid w:val="00CA370D"/>
    <w:rsid w:val="00CA3710"/>
    <w:rsid w:val="00CA376B"/>
    <w:rsid w:val="00CA37FB"/>
    <w:rsid w:val="00CA3820"/>
    <w:rsid w:val="00CA3970"/>
    <w:rsid w:val="00CA3976"/>
    <w:rsid w:val="00CA39B6"/>
    <w:rsid w:val="00CA39C1"/>
    <w:rsid w:val="00CA3A4E"/>
    <w:rsid w:val="00CA3A79"/>
    <w:rsid w:val="00CA3AAA"/>
    <w:rsid w:val="00CA3BCB"/>
    <w:rsid w:val="00CA3BD2"/>
    <w:rsid w:val="00CA3BF1"/>
    <w:rsid w:val="00CA3C4D"/>
    <w:rsid w:val="00CA3CC3"/>
    <w:rsid w:val="00CA3CD3"/>
    <w:rsid w:val="00CA3CF7"/>
    <w:rsid w:val="00CA3D70"/>
    <w:rsid w:val="00CA3E1B"/>
    <w:rsid w:val="00CA3E2C"/>
    <w:rsid w:val="00CA3EFF"/>
    <w:rsid w:val="00CA3F13"/>
    <w:rsid w:val="00CA405C"/>
    <w:rsid w:val="00CA42E8"/>
    <w:rsid w:val="00CA42F3"/>
    <w:rsid w:val="00CA430B"/>
    <w:rsid w:val="00CA4337"/>
    <w:rsid w:val="00CA447E"/>
    <w:rsid w:val="00CA4484"/>
    <w:rsid w:val="00CA4488"/>
    <w:rsid w:val="00CA44B3"/>
    <w:rsid w:val="00CA452C"/>
    <w:rsid w:val="00CA45CD"/>
    <w:rsid w:val="00CA46AC"/>
    <w:rsid w:val="00CA4723"/>
    <w:rsid w:val="00CA4731"/>
    <w:rsid w:val="00CA4856"/>
    <w:rsid w:val="00CA4908"/>
    <w:rsid w:val="00CA490D"/>
    <w:rsid w:val="00CA497F"/>
    <w:rsid w:val="00CA49CA"/>
    <w:rsid w:val="00CA49D1"/>
    <w:rsid w:val="00CA49D3"/>
    <w:rsid w:val="00CA4A3C"/>
    <w:rsid w:val="00CA4A63"/>
    <w:rsid w:val="00CA4B2A"/>
    <w:rsid w:val="00CA4BAE"/>
    <w:rsid w:val="00CA4BB6"/>
    <w:rsid w:val="00CA4C51"/>
    <w:rsid w:val="00CA4E51"/>
    <w:rsid w:val="00CA4E7A"/>
    <w:rsid w:val="00CA4EFB"/>
    <w:rsid w:val="00CA4FE6"/>
    <w:rsid w:val="00CA50C8"/>
    <w:rsid w:val="00CA51EC"/>
    <w:rsid w:val="00CA5298"/>
    <w:rsid w:val="00CA52FF"/>
    <w:rsid w:val="00CA5315"/>
    <w:rsid w:val="00CA536B"/>
    <w:rsid w:val="00CA53FB"/>
    <w:rsid w:val="00CA5412"/>
    <w:rsid w:val="00CA5433"/>
    <w:rsid w:val="00CA5526"/>
    <w:rsid w:val="00CA5607"/>
    <w:rsid w:val="00CA565A"/>
    <w:rsid w:val="00CA56AB"/>
    <w:rsid w:val="00CA56C4"/>
    <w:rsid w:val="00CA56F1"/>
    <w:rsid w:val="00CA56FA"/>
    <w:rsid w:val="00CA574D"/>
    <w:rsid w:val="00CA5909"/>
    <w:rsid w:val="00CA5921"/>
    <w:rsid w:val="00CA592A"/>
    <w:rsid w:val="00CA5A9C"/>
    <w:rsid w:val="00CA5AB9"/>
    <w:rsid w:val="00CA5AFA"/>
    <w:rsid w:val="00CA5B01"/>
    <w:rsid w:val="00CA5B02"/>
    <w:rsid w:val="00CA5B18"/>
    <w:rsid w:val="00CA5B28"/>
    <w:rsid w:val="00CA5BE9"/>
    <w:rsid w:val="00CA5C20"/>
    <w:rsid w:val="00CA5C6E"/>
    <w:rsid w:val="00CA5D41"/>
    <w:rsid w:val="00CA5DC3"/>
    <w:rsid w:val="00CA5E72"/>
    <w:rsid w:val="00CA5FB3"/>
    <w:rsid w:val="00CA5FF0"/>
    <w:rsid w:val="00CA60A3"/>
    <w:rsid w:val="00CA61CF"/>
    <w:rsid w:val="00CA62E0"/>
    <w:rsid w:val="00CA6333"/>
    <w:rsid w:val="00CA639B"/>
    <w:rsid w:val="00CA63C4"/>
    <w:rsid w:val="00CA63E4"/>
    <w:rsid w:val="00CA6400"/>
    <w:rsid w:val="00CA6507"/>
    <w:rsid w:val="00CA6541"/>
    <w:rsid w:val="00CA6571"/>
    <w:rsid w:val="00CA6618"/>
    <w:rsid w:val="00CA666B"/>
    <w:rsid w:val="00CA671C"/>
    <w:rsid w:val="00CA675B"/>
    <w:rsid w:val="00CA67A5"/>
    <w:rsid w:val="00CA685F"/>
    <w:rsid w:val="00CA68AA"/>
    <w:rsid w:val="00CA6965"/>
    <w:rsid w:val="00CA6974"/>
    <w:rsid w:val="00CA6A37"/>
    <w:rsid w:val="00CA6AA6"/>
    <w:rsid w:val="00CA6AFF"/>
    <w:rsid w:val="00CA6B4B"/>
    <w:rsid w:val="00CA6B57"/>
    <w:rsid w:val="00CA6C59"/>
    <w:rsid w:val="00CA6C5D"/>
    <w:rsid w:val="00CA6D77"/>
    <w:rsid w:val="00CA6DAD"/>
    <w:rsid w:val="00CA6F02"/>
    <w:rsid w:val="00CA6F0A"/>
    <w:rsid w:val="00CA6FB9"/>
    <w:rsid w:val="00CA700F"/>
    <w:rsid w:val="00CA7048"/>
    <w:rsid w:val="00CA70AD"/>
    <w:rsid w:val="00CA712C"/>
    <w:rsid w:val="00CA71BE"/>
    <w:rsid w:val="00CA72C4"/>
    <w:rsid w:val="00CA7373"/>
    <w:rsid w:val="00CA7375"/>
    <w:rsid w:val="00CA739B"/>
    <w:rsid w:val="00CA73EF"/>
    <w:rsid w:val="00CA73F7"/>
    <w:rsid w:val="00CA7400"/>
    <w:rsid w:val="00CA743E"/>
    <w:rsid w:val="00CA74CC"/>
    <w:rsid w:val="00CA756E"/>
    <w:rsid w:val="00CA7696"/>
    <w:rsid w:val="00CA76B4"/>
    <w:rsid w:val="00CA773F"/>
    <w:rsid w:val="00CA779F"/>
    <w:rsid w:val="00CA77E7"/>
    <w:rsid w:val="00CA78AB"/>
    <w:rsid w:val="00CA78C6"/>
    <w:rsid w:val="00CA7A26"/>
    <w:rsid w:val="00CA7A75"/>
    <w:rsid w:val="00CA7B05"/>
    <w:rsid w:val="00CA7B25"/>
    <w:rsid w:val="00CA7B8D"/>
    <w:rsid w:val="00CA7B9C"/>
    <w:rsid w:val="00CA7BA0"/>
    <w:rsid w:val="00CA7BB5"/>
    <w:rsid w:val="00CA7C8F"/>
    <w:rsid w:val="00CA7CF2"/>
    <w:rsid w:val="00CA7DF8"/>
    <w:rsid w:val="00CA7E67"/>
    <w:rsid w:val="00CA7EEB"/>
    <w:rsid w:val="00CA7F21"/>
    <w:rsid w:val="00CA7F82"/>
    <w:rsid w:val="00CA85D9"/>
    <w:rsid w:val="00CB0077"/>
    <w:rsid w:val="00CB00E5"/>
    <w:rsid w:val="00CB00FB"/>
    <w:rsid w:val="00CB011C"/>
    <w:rsid w:val="00CB014A"/>
    <w:rsid w:val="00CB0193"/>
    <w:rsid w:val="00CB01B4"/>
    <w:rsid w:val="00CB0227"/>
    <w:rsid w:val="00CB0309"/>
    <w:rsid w:val="00CB0359"/>
    <w:rsid w:val="00CB0382"/>
    <w:rsid w:val="00CB03A3"/>
    <w:rsid w:val="00CB04A0"/>
    <w:rsid w:val="00CB04C7"/>
    <w:rsid w:val="00CB0515"/>
    <w:rsid w:val="00CB051C"/>
    <w:rsid w:val="00CB052F"/>
    <w:rsid w:val="00CB0595"/>
    <w:rsid w:val="00CB060B"/>
    <w:rsid w:val="00CB0614"/>
    <w:rsid w:val="00CB0781"/>
    <w:rsid w:val="00CB07A4"/>
    <w:rsid w:val="00CB0840"/>
    <w:rsid w:val="00CB084C"/>
    <w:rsid w:val="00CB08A6"/>
    <w:rsid w:val="00CB08B4"/>
    <w:rsid w:val="00CB08F2"/>
    <w:rsid w:val="00CB0923"/>
    <w:rsid w:val="00CB0A48"/>
    <w:rsid w:val="00CB0A60"/>
    <w:rsid w:val="00CB0BB4"/>
    <w:rsid w:val="00CB0BED"/>
    <w:rsid w:val="00CB0D51"/>
    <w:rsid w:val="00CB0EAA"/>
    <w:rsid w:val="00CB0F1C"/>
    <w:rsid w:val="00CB0F82"/>
    <w:rsid w:val="00CB0FA1"/>
    <w:rsid w:val="00CB0FBE"/>
    <w:rsid w:val="00CB0FFB"/>
    <w:rsid w:val="00CB107E"/>
    <w:rsid w:val="00CB10A0"/>
    <w:rsid w:val="00CB10B9"/>
    <w:rsid w:val="00CB110F"/>
    <w:rsid w:val="00CB1194"/>
    <w:rsid w:val="00CB127E"/>
    <w:rsid w:val="00CB1302"/>
    <w:rsid w:val="00CB133A"/>
    <w:rsid w:val="00CB13E6"/>
    <w:rsid w:val="00CB142D"/>
    <w:rsid w:val="00CB14AE"/>
    <w:rsid w:val="00CB1571"/>
    <w:rsid w:val="00CB15AB"/>
    <w:rsid w:val="00CB15FB"/>
    <w:rsid w:val="00CB1627"/>
    <w:rsid w:val="00CB175C"/>
    <w:rsid w:val="00CB17A4"/>
    <w:rsid w:val="00CB17B3"/>
    <w:rsid w:val="00CB17C7"/>
    <w:rsid w:val="00CB1882"/>
    <w:rsid w:val="00CB1943"/>
    <w:rsid w:val="00CB1950"/>
    <w:rsid w:val="00CB1965"/>
    <w:rsid w:val="00CB199C"/>
    <w:rsid w:val="00CB1A6E"/>
    <w:rsid w:val="00CB1B8D"/>
    <w:rsid w:val="00CB1C0A"/>
    <w:rsid w:val="00CB1C20"/>
    <w:rsid w:val="00CB1C43"/>
    <w:rsid w:val="00CB1C5D"/>
    <w:rsid w:val="00CB1D38"/>
    <w:rsid w:val="00CB1D49"/>
    <w:rsid w:val="00CB1D4C"/>
    <w:rsid w:val="00CB1D5F"/>
    <w:rsid w:val="00CB1D85"/>
    <w:rsid w:val="00CB1E36"/>
    <w:rsid w:val="00CB1F03"/>
    <w:rsid w:val="00CB1FEA"/>
    <w:rsid w:val="00CB2073"/>
    <w:rsid w:val="00CB20CB"/>
    <w:rsid w:val="00CB20D6"/>
    <w:rsid w:val="00CB2141"/>
    <w:rsid w:val="00CB2342"/>
    <w:rsid w:val="00CB23E5"/>
    <w:rsid w:val="00CB23FD"/>
    <w:rsid w:val="00CB2428"/>
    <w:rsid w:val="00CB2458"/>
    <w:rsid w:val="00CB257D"/>
    <w:rsid w:val="00CB25D6"/>
    <w:rsid w:val="00CB263B"/>
    <w:rsid w:val="00CB26AB"/>
    <w:rsid w:val="00CB26AF"/>
    <w:rsid w:val="00CB26E4"/>
    <w:rsid w:val="00CB2722"/>
    <w:rsid w:val="00CB2775"/>
    <w:rsid w:val="00CB282C"/>
    <w:rsid w:val="00CB2858"/>
    <w:rsid w:val="00CB2865"/>
    <w:rsid w:val="00CB2897"/>
    <w:rsid w:val="00CB2928"/>
    <w:rsid w:val="00CB298A"/>
    <w:rsid w:val="00CB29C9"/>
    <w:rsid w:val="00CB2A3D"/>
    <w:rsid w:val="00CB2A4A"/>
    <w:rsid w:val="00CB2A69"/>
    <w:rsid w:val="00CB2AFA"/>
    <w:rsid w:val="00CB2B28"/>
    <w:rsid w:val="00CB2B39"/>
    <w:rsid w:val="00CB2B9C"/>
    <w:rsid w:val="00CB2BAB"/>
    <w:rsid w:val="00CB2C7B"/>
    <w:rsid w:val="00CB2CAA"/>
    <w:rsid w:val="00CB2CAB"/>
    <w:rsid w:val="00CB2D4A"/>
    <w:rsid w:val="00CB2EF1"/>
    <w:rsid w:val="00CB2F4F"/>
    <w:rsid w:val="00CB2F9B"/>
    <w:rsid w:val="00CB2F9C"/>
    <w:rsid w:val="00CB3000"/>
    <w:rsid w:val="00CB30AE"/>
    <w:rsid w:val="00CB30DC"/>
    <w:rsid w:val="00CB31C8"/>
    <w:rsid w:val="00CB3203"/>
    <w:rsid w:val="00CB3280"/>
    <w:rsid w:val="00CB32D8"/>
    <w:rsid w:val="00CB32EA"/>
    <w:rsid w:val="00CB3312"/>
    <w:rsid w:val="00CB345D"/>
    <w:rsid w:val="00CB3497"/>
    <w:rsid w:val="00CB3517"/>
    <w:rsid w:val="00CB356C"/>
    <w:rsid w:val="00CB3595"/>
    <w:rsid w:val="00CB36B2"/>
    <w:rsid w:val="00CB3902"/>
    <w:rsid w:val="00CB39BC"/>
    <w:rsid w:val="00CB3B19"/>
    <w:rsid w:val="00CB3B5D"/>
    <w:rsid w:val="00CB3B75"/>
    <w:rsid w:val="00CB3B98"/>
    <w:rsid w:val="00CB3BC2"/>
    <w:rsid w:val="00CB3BF5"/>
    <w:rsid w:val="00CB3C02"/>
    <w:rsid w:val="00CB3C1A"/>
    <w:rsid w:val="00CB3CAF"/>
    <w:rsid w:val="00CB3CFB"/>
    <w:rsid w:val="00CB3D54"/>
    <w:rsid w:val="00CB3DB4"/>
    <w:rsid w:val="00CB3E23"/>
    <w:rsid w:val="00CB3E6F"/>
    <w:rsid w:val="00CB3E92"/>
    <w:rsid w:val="00CB3F11"/>
    <w:rsid w:val="00CB4040"/>
    <w:rsid w:val="00CB4045"/>
    <w:rsid w:val="00CB4046"/>
    <w:rsid w:val="00CB4069"/>
    <w:rsid w:val="00CB4119"/>
    <w:rsid w:val="00CB4348"/>
    <w:rsid w:val="00CB4385"/>
    <w:rsid w:val="00CB439E"/>
    <w:rsid w:val="00CB44CA"/>
    <w:rsid w:val="00CB4565"/>
    <w:rsid w:val="00CB4667"/>
    <w:rsid w:val="00CB46A3"/>
    <w:rsid w:val="00CB471F"/>
    <w:rsid w:val="00CB4792"/>
    <w:rsid w:val="00CB47ED"/>
    <w:rsid w:val="00CB485B"/>
    <w:rsid w:val="00CB4876"/>
    <w:rsid w:val="00CB4882"/>
    <w:rsid w:val="00CB4895"/>
    <w:rsid w:val="00CB48A6"/>
    <w:rsid w:val="00CB4909"/>
    <w:rsid w:val="00CB4930"/>
    <w:rsid w:val="00CB49EE"/>
    <w:rsid w:val="00CB4B5C"/>
    <w:rsid w:val="00CB4C56"/>
    <w:rsid w:val="00CB4CC3"/>
    <w:rsid w:val="00CB4CEC"/>
    <w:rsid w:val="00CB4D20"/>
    <w:rsid w:val="00CB4D48"/>
    <w:rsid w:val="00CB4D5C"/>
    <w:rsid w:val="00CB4D6D"/>
    <w:rsid w:val="00CB4F08"/>
    <w:rsid w:val="00CB4FDF"/>
    <w:rsid w:val="00CB5117"/>
    <w:rsid w:val="00CB5129"/>
    <w:rsid w:val="00CB51C3"/>
    <w:rsid w:val="00CB52C4"/>
    <w:rsid w:val="00CB534A"/>
    <w:rsid w:val="00CB54AB"/>
    <w:rsid w:val="00CB54AE"/>
    <w:rsid w:val="00CB54B9"/>
    <w:rsid w:val="00CB56A7"/>
    <w:rsid w:val="00CB5722"/>
    <w:rsid w:val="00CB5754"/>
    <w:rsid w:val="00CB5757"/>
    <w:rsid w:val="00CB57DA"/>
    <w:rsid w:val="00CB582F"/>
    <w:rsid w:val="00CB58A5"/>
    <w:rsid w:val="00CB58C4"/>
    <w:rsid w:val="00CB5904"/>
    <w:rsid w:val="00CB590D"/>
    <w:rsid w:val="00CB5917"/>
    <w:rsid w:val="00CB5974"/>
    <w:rsid w:val="00CB5A0A"/>
    <w:rsid w:val="00CB5A63"/>
    <w:rsid w:val="00CB5AFE"/>
    <w:rsid w:val="00CB5BE0"/>
    <w:rsid w:val="00CB5C15"/>
    <w:rsid w:val="00CB5C7A"/>
    <w:rsid w:val="00CB5C97"/>
    <w:rsid w:val="00CB5D06"/>
    <w:rsid w:val="00CB5FCC"/>
    <w:rsid w:val="00CB6011"/>
    <w:rsid w:val="00CB605E"/>
    <w:rsid w:val="00CB60E8"/>
    <w:rsid w:val="00CB60F0"/>
    <w:rsid w:val="00CB6196"/>
    <w:rsid w:val="00CB61B0"/>
    <w:rsid w:val="00CB624A"/>
    <w:rsid w:val="00CB62B3"/>
    <w:rsid w:val="00CB6396"/>
    <w:rsid w:val="00CB6493"/>
    <w:rsid w:val="00CB6563"/>
    <w:rsid w:val="00CB65AE"/>
    <w:rsid w:val="00CB65CE"/>
    <w:rsid w:val="00CB65EE"/>
    <w:rsid w:val="00CB6652"/>
    <w:rsid w:val="00CB6694"/>
    <w:rsid w:val="00CB66A5"/>
    <w:rsid w:val="00CB66D6"/>
    <w:rsid w:val="00CB66E3"/>
    <w:rsid w:val="00CB671B"/>
    <w:rsid w:val="00CB6744"/>
    <w:rsid w:val="00CB675F"/>
    <w:rsid w:val="00CB67F5"/>
    <w:rsid w:val="00CB6875"/>
    <w:rsid w:val="00CB68B5"/>
    <w:rsid w:val="00CB68D0"/>
    <w:rsid w:val="00CB68DC"/>
    <w:rsid w:val="00CB68F1"/>
    <w:rsid w:val="00CB691E"/>
    <w:rsid w:val="00CB694A"/>
    <w:rsid w:val="00CB6A95"/>
    <w:rsid w:val="00CB6AD4"/>
    <w:rsid w:val="00CB6B33"/>
    <w:rsid w:val="00CB6C41"/>
    <w:rsid w:val="00CB6C43"/>
    <w:rsid w:val="00CB6C98"/>
    <w:rsid w:val="00CB6D43"/>
    <w:rsid w:val="00CB6D80"/>
    <w:rsid w:val="00CB6DF3"/>
    <w:rsid w:val="00CB6E09"/>
    <w:rsid w:val="00CB6E30"/>
    <w:rsid w:val="00CB6E46"/>
    <w:rsid w:val="00CB6E65"/>
    <w:rsid w:val="00CB6EBE"/>
    <w:rsid w:val="00CB6F37"/>
    <w:rsid w:val="00CB6F53"/>
    <w:rsid w:val="00CB6FC2"/>
    <w:rsid w:val="00CB6FC8"/>
    <w:rsid w:val="00CB701D"/>
    <w:rsid w:val="00CB70C1"/>
    <w:rsid w:val="00CB71D0"/>
    <w:rsid w:val="00CB71D7"/>
    <w:rsid w:val="00CB7239"/>
    <w:rsid w:val="00CB727E"/>
    <w:rsid w:val="00CB72E5"/>
    <w:rsid w:val="00CB732F"/>
    <w:rsid w:val="00CB7336"/>
    <w:rsid w:val="00CB734B"/>
    <w:rsid w:val="00CB735B"/>
    <w:rsid w:val="00CB7394"/>
    <w:rsid w:val="00CB740B"/>
    <w:rsid w:val="00CB7498"/>
    <w:rsid w:val="00CB7621"/>
    <w:rsid w:val="00CB763B"/>
    <w:rsid w:val="00CB764A"/>
    <w:rsid w:val="00CB7681"/>
    <w:rsid w:val="00CB7696"/>
    <w:rsid w:val="00CB76AB"/>
    <w:rsid w:val="00CB772B"/>
    <w:rsid w:val="00CB7751"/>
    <w:rsid w:val="00CB777E"/>
    <w:rsid w:val="00CB7792"/>
    <w:rsid w:val="00CB77DA"/>
    <w:rsid w:val="00CB7878"/>
    <w:rsid w:val="00CB7944"/>
    <w:rsid w:val="00CB7A10"/>
    <w:rsid w:val="00CB7A1F"/>
    <w:rsid w:val="00CB7A3F"/>
    <w:rsid w:val="00CB7A5F"/>
    <w:rsid w:val="00CB7A6F"/>
    <w:rsid w:val="00CB7ADA"/>
    <w:rsid w:val="00CB7B52"/>
    <w:rsid w:val="00CB7B99"/>
    <w:rsid w:val="00CB7CFA"/>
    <w:rsid w:val="00CB7D14"/>
    <w:rsid w:val="00CB7D42"/>
    <w:rsid w:val="00CB7D79"/>
    <w:rsid w:val="00CB7E10"/>
    <w:rsid w:val="00CB7EA2"/>
    <w:rsid w:val="00CB7EF9"/>
    <w:rsid w:val="00CC0090"/>
    <w:rsid w:val="00CC00CF"/>
    <w:rsid w:val="00CC010A"/>
    <w:rsid w:val="00CC0164"/>
    <w:rsid w:val="00CC0229"/>
    <w:rsid w:val="00CC023F"/>
    <w:rsid w:val="00CC0308"/>
    <w:rsid w:val="00CC0311"/>
    <w:rsid w:val="00CC031A"/>
    <w:rsid w:val="00CC032D"/>
    <w:rsid w:val="00CC0390"/>
    <w:rsid w:val="00CC0402"/>
    <w:rsid w:val="00CC04A1"/>
    <w:rsid w:val="00CC0511"/>
    <w:rsid w:val="00CC05AA"/>
    <w:rsid w:val="00CC068A"/>
    <w:rsid w:val="00CC0705"/>
    <w:rsid w:val="00CC0776"/>
    <w:rsid w:val="00CC07EB"/>
    <w:rsid w:val="00CC0866"/>
    <w:rsid w:val="00CC0934"/>
    <w:rsid w:val="00CC0B26"/>
    <w:rsid w:val="00CC0BFA"/>
    <w:rsid w:val="00CC0C5B"/>
    <w:rsid w:val="00CC0C5F"/>
    <w:rsid w:val="00CC0C67"/>
    <w:rsid w:val="00CC0CD1"/>
    <w:rsid w:val="00CC0D60"/>
    <w:rsid w:val="00CC0DC0"/>
    <w:rsid w:val="00CC0DCB"/>
    <w:rsid w:val="00CC0E01"/>
    <w:rsid w:val="00CC0E4C"/>
    <w:rsid w:val="00CC0E9B"/>
    <w:rsid w:val="00CC0EAB"/>
    <w:rsid w:val="00CC0FCF"/>
    <w:rsid w:val="00CC0FD5"/>
    <w:rsid w:val="00CC10A9"/>
    <w:rsid w:val="00CC1146"/>
    <w:rsid w:val="00CC11AA"/>
    <w:rsid w:val="00CC11B4"/>
    <w:rsid w:val="00CC125F"/>
    <w:rsid w:val="00CC13C3"/>
    <w:rsid w:val="00CC13F2"/>
    <w:rsid w:val="00CC14F0"/>
    <w:rsid w:val="00CC1560"/>
    <w:rsid w:val="00CC15C1"/>
    <w:rsid w:val="00CC15EB"/>
    <w:rsid w:val="00CC1719"/>
    <w:rsid w:val="00CC175A"/>
    <w:rsid w:val="00CC1907"/>
    <w:rsid w:val="00CC19E4"/>
    <w:rsid w:val="00CC1A7C"/>
    <w:rsid w:val="00CC1A8C"/>
    <w:rsid w:val="00CC1B09"/>
    <w:rsid w:val="00CC1B1E"/>
    <w:rsid w:val="00CC1B42"/>
    <w:rsid w:val="00CC1B47"/>
    <w:rsid w:val="00CC1C0E"/>
    <w:rsid w:val="00CC1C79"/>
    <w:rsid w:val="00CC1CB1"/>
    <w:rsid w:val="00CC1D31"/>
    <w:rsid w:val="00CC1E1A"/>
    <w:rsid w:val="00CC1E74"/>
    <w:rsid w:val="00CC1E97"/>
    <w:rsid w:val="00CC1F95"/>
    <w:rsid w:val="00CC1FEC"/>
    <w:rsid w:val="00CC2018"/>
    <w:rsid w:val="00CC203E"/>
    <w:rsid w:val="00CC2073"/>
    <w:rsid w:val="00CC207B"/>
    <w:rsid w:val="00CC21BB"/>
    <w:rsid w:val="00CC2211"/>
    <w:rsid w:val="00CC221C"/>
    <w:rsid w:val="00CC2226"/>
    <w:rsid w:val="00CC2277"/>
    <w:rsid w:val="00CC23AC"/>
    <w:rsid w:val="00CC23F5"/>
    <w:rsid w:val="00CC23FB"/>
    <w:rsid w:val="00CC240A"/>
    <w:rsid w:val="00CC2499"/>
    <w:rsid w:val="00CC2538"/>
    <w:rsid w:val="00CC254F"/>
    <w:rsid w:val="00CC2612"/>
    <w:rsid w:val="00CC2634"/>
    <w:rsid w:val="00CC2706"/>
    <w:rsid w:val="00CC279A"/>
    <w:rsid w:val="00CC27EB"/>
    <w:rsid w:val="00CC285E"/>
    <w:rsid w:val="00CC2889"/>
    <w:rsid w:val="00CC29E3"/>
    <w:rsid w:val="00CC2A61"/>
    <w:rsid w:val="00CC2A7E"/>
    <w:rsid w:val="00CC2ABB"/>
    <w:rsid w:val="00CC2B22"/>
    <w:rsid w:val="00CC2BE1"/>
    <w:rsid w:val="00CC2C2A"/>
    <w:rsid w:val="00CC2CDB"/>
    <w:rsid w:val="00CC2D3D"/>
    <w:rsid w:val="00CC2DDE"/>
    <w:rsid w:val="00CC2E12"/>
    <w:rsid w:val="00CC2EC5"/>
    <w:rsid w:val="00CC2EC7"/>
    <w:rsid w:val="00CC2F5F"/>
    <w:rsid w:val="00CC2F71"/>
    <w:rsid w:val="00CC3046"/>
    <w:rsid w:val="00CC3058"/>
    <w:rsid w:val="00CC30F2"/>
    <w:rsid w:val="00CC316E"/>
    <w:rsid w:val="00CC318C"/>
    <w:rsid w:val="00CC31E8"/>
    <w:rsid w:val="00CC3210"/>
    <w:rsid w:val="00CC322E"/>
    <w:rsid w:val="00CC32D3"/>
    <w:rsid w:val="00CC330A"/>
    <w:rsid w:val="00CC3317"/>
    <w:rsid w:val="00CC331C"/>
    <w:rsid w:val="00CC3392"/>
    <w:rsid w:val="00CC33F4"/>
    <w:rsid w:val="00CC3458"/>
    <w:rsid w:val="00CC347C"/>
    <w:rsid w:val="00CC35A9"/>
    <w:rsid w:val="00CC35AB"/>
    <w:rsid w:val="00CC35FE"/>
    <w:rsid w:val="00CC36BE"/>
    <w:rsid w:val="00CC3705"/>
    <w:rsid w:val="00CC3729"/>
    <w:rsid w:val="00CC379E"/>
    <w:rsid w:val="00CC37C8"/>
    <w:rsid w:val="00CC37F8"/>
    <w:rsid w:val="00CC380D"/>
    <w:rsid w:val="00CC387F"/>
    <w:rsid w:val="00CC38B3"/>
    <w:rsid w:val="00CC3922"/>
    <w:rsid w:val="00CC3A36"/>
    <w:rsid w:val="00CC3A9D"/>
    <w:rsid w:val="00CC3C3F"/>
    <w:rsid w:val="00CC3C71"/>
    <w:rsid w:val="00CC3D7A"/>
    <w:rsid w:val="00CC3DA6"/>
    <w:rsid w:val="00CC3DE9"/>
    <w:rsid w:val="00CC3E27"/>
    <w:rsid w:val="00CC3E86"/>
    <w:rsid w:val="00CC40F5"/>
    <w:rsid w:val="00CC410F"/>
    <w:rsid w:val="00CC413C"/>
    <w:rsid w:val="00CC4181"/>
    <w:rsid w:val="00CC41A0"/>
    <w:rsid w:val="00CC41EB"/>
    <w:rsid w:val="00CC4253"/>
    <w:rsid w:val="00CC4294"/>
    <w:rsid w:val="00CC42C2"/>
    <w:rsid w:val="00CC4364"/>
    <w:rsid w:val="00CC4427"/>
    <w:rsid w:val="00CC44A2"/>
    <w:rsid w:val="00CC44C6"/>
    <w:rsid w:val="00CC44DA"/>
    <w:rsid w:val="00CC4607"/>
    <w:rsid w:val="00CC46F4"/>
    <w:rsid w:val="00CC471F"/>
    <w:rsid w:val="00CC474E"/>
    <w:rsid w:val="00CC47C7"/>
    <w:rsid w:val="00CC4840"/>
    <w:rsid w:val="00CC48A2"/>
    <w:rsid w:val="00CC493B"/>
    <w:rsid w:val="00CC4AF9"/>
    <w:rsid w:val="00CC4B4E"/>
    <w:rsid w:val="00CC4B75"/>
    <w:rsid w:val="00CC4CC2"/>
    <w:rsid w:val="00CC4D04"/>
    <w:rsid w:val="00CC4D11"/>
    <w:rsid w:val="00CC4DB4"/>
    <w:rsid w:val="00CC4DF3"/>
    <w:rsid w:val="00CC4E03"/>
    <w:rsid w:val="00CC4E63"/>
    <w:rsid w:val="00CC4E80"/>
    <w:rsid w:val="00CC4EC0"/>
    <w:rsid w:val="00CC4ED9"/>
    <w:rsid w:val="00CC4F82"/>
    <w:rsid w:val="00CC5020"/>
    <w:rsid w:val="00CC506F"/>
    <w:rsid w:val="00CC50A4"/>
    <w:rsid w:val="00CC50C0"/>
    <w:rsid w:val="00CC51A4"/>
    <w:rsid w:val="00CC51B4"/>
    <w:rsid w:val="00CC524C"/>
    <w:rsid w:val="00CC5255"/>
    <w:rsid w:val="00CC526C"/>
    <w:rsid w:val="00CC5273"/>
    <w:rsid w:val="00CC5278"/>
    <w:rsid w:val="00CC52C3"/>
    <w:rsid w:val="00CC539A"/>
    <w:rsid w:val="00CC53EC"/>
    <w:rsid w:val="00CC547B"/>
    <w:rsid w:val="00CC54AF"/>
    <w:rsid w:val="00CC5508"/>
    <w:rsid w:val="00CC551F"/>
    <w:rsid w:val="00CC55A6"/>
    <w:rsid w:val="00CC55BE"/>
    <w:rsid w:val="00CC55C6"/>
    <w:rsid w:val="00CC562E"/>
    <w:rsid w:val="00CC5710"/>
    <w:rsid w:val="00CC573B"/>
    <w:rsid w:val="00CC5785"/>
    <w:rsid w:val="00CC5816"/>
    <w:rsid w:val="00CC5823"/>
    <w:rsid w:val="00CC58A8"/>
    <w:rsid w:val="00CC58BE"/>
    <w:rsid w:val="00CC5906"/>
    <w:rsid w:val="00CC59A1"/>
    <w:rsid w:val="00CC59E7"/>
    <w:rsid w:val="00CC5A6D"/>
    <w:rsid w:val="00CC5A88"/>
    <w:rsid w:val="00CC5AB1"/>
    <w:rsid w:val="00CC5B2E"/>
    <w:rsid w:val="00CC5B31"/>
    <w:rsid w:val="00CC5BE5"/>
    <w:rsid w:val="00CC5C57"/>
    <w:rsid w:val="00CC5C78"/>
    <w:rsid w:val="00CC5D1E"/>
    <w:rsid w:val="00CC5E37"/>
    <w:rsid w:val="00CC5E8F"/>
    <w:rsid w:val="00CC5F74"/>
    <w:rsid w:val="00CC5FAA"/>
    <w:rsid w:val="00CC5FC1"/>
    <w:rsid w:val="00CC5FEC"/>
    <w:rsid w:val="00CC6074"/>
    <w:rsid w:val="00CC6099"/>
    <w:rsid w:val="00CC6102"/>
    <w:rsid w:val="00CC6166"/>
    <w:rsid w:val="00CC61D1"/>
    <w:rsid w:val="00CC6405"/>
    <w:rsid w:val="00CC643B"/>
    <w:rsid w:val="00CC653C"/>
    <w:rsid w:val="00CC657A"/>
    <w:rsid w:val="00CC65C6"/>
    <w:rsid w:val="00CC662E"/>
    <w:rsid w:val="00CC6655"/>
    <w:rsid w:val="00CC66A1"/>
    <w:rsid w:val="00CC67C0"/>
    <w:rsid w:val="00CC68D8"/>
    <w:rsid w:val="00CC6902"/>
    <w:rsid w:val="00CC6904"/>
    <w:rsid w:val="00CC6919"/>
    <w:rsid w:val="00CC691A"/>
    <w:rsid w:val="00CC6974"/>
    <w:rsid w:val="00CC69C5"/>
    <w:rsid w:val="00CC6A1E"/>
    <w:rsid w:val="00CC6B83"/>
    <w:rsid w:val="00CC6C36"/>
    <w:rsid w:val="00CC6C83"/>
    <w:rsid w:val="00CC6D9C"/>
    <w:rsid w:val="00CC6E00"/>
    <w:rsid w:val="00CC6F45"/>
    <w:rsid w:val="00CC6F97"/>
    <w:rsid w:val="00CC7008"/>
    <w:rsid w:val="00CC7066"/>
    <w:rsid w:val="00CC707B"/>
    <w:rsid w:val="00CC7108"/>
    <w:rsid w:val="00CC7236"/>
    <w:rsid w:val="00CC7279"/>
    <w:rsid w:val="00CC7309"/>
    <w:rsid w:val="00CC732D"/>
    <w:rsid w:val="00CC74AE"/>
    <w:rsid w:val="00CC7539"/>
    <w:rsid w:val="00CC754C"/>
    <w:rsid w:val="00CC763D"/>
    <w:rsid w:val="00CC763E"/>
    <w:rsid w:val="00CC7689"/>
    <w:rsid w:val="00CC76C8"/>
    <w:rsid w:val="00CC76D9"/>
    <w:rsid w:val="00CC76F1"/>
    <w:rsid w:val="00CC770F"/>
    <w:rsid w:val="00CC771C"/>
    <w:rsid w:val="00CC779A"/>
    <w:rsid w:val="00CC77EC"/>
    <w:rsid w:val="00CC7931"/>
    <w:rsid w:val="00CC79CC"/>
    <w:rsid w:val="00CC79F6"/>
    <w:rsid w:val="00CC7A5B"/>
    <w:rsid w:val="00CC7A62"/>
    <w:rsid w:val="00CC7A71"/>
    <w:rsid w:val="00CC7A93"/>
    <w:rsid w:val="00CC7B1D"/>
    <w:rsid w:val="00CC7B51"/>
    <w:rsid w:val="00CC7C36"/>
    <w:rsid w:val="00CC7D91"/>
    <w:rsid w:val="00CC7DA5"/>
    <w:rsid w:val="00CC7E4C"/>
    <w:rsid w:val="00CC7F66"/>
    <w:rsid w:val="00CC7F74"/>
    <w:rsid w:val="00CC7F9D"/>
    <w:rsid w:val="00CC7FC5"/>
    <w:rsid w:val="00CD003A"/>
    <w:rsid w:val="00CD0055"/>
    <w:rsid w:val="00CD0101"/>
    <w:rsid w:val="00CD0112"/>
    <w:rsid w:val="00CD0147"/>
    <w:rsid w:val="00CD01E8"/>
    <w:rsid w:val="00CD0255"/>
    <w:rsid w:val="00CD025A"/>
    <w:rsid w:val="00CD027E"/>
    <w:rsid w:val="00CD02F2"/>
    <w:rsid w:val="00CD034E"/>
    <w:rsid w:val="00CD0377"/>
    <w:rsid w:val="00CD0388"/>
    <w:rsid w:val="00CD0483"/>
    <w:rsid w:val="00CD04DA"/>
    <w:rsid w:val="00CD05B0"/>
    <w:rsid w:val="00CD060A"/>
    <w:rsid w:val="00CD0641"/>
    <w:rsid w:val="00CD0673"/>
    <w:rsid w:val="00CD06A6"/>
    <w:rsid w:val="00CD06ED"/>
    <w:rsid w:val="00CD0711"/>
    <w:rsid w:val="00CD0742"/>
    <w:rsid w:val="00CD079C"/>
    <w:rsid w:val="00CD07F4"/>
    <w:rsid w:val="00CD0943"/>
    <w:rsid w:val="00CD0971"/>
    <w:rsid w:val="00CD0A16"/>
    <w:rsid w:val="00CD0A82"/>
    <w:rsid w:val="00CD0B03"/>
    <w:rsid w:val="00CD0B26"/>
    <w:rsid w:val="00CD0B35"/>
    <w:rsid w:val="00CD0B7B"/>
    <w:rsid w:val="00CD0BC7"/>
    <w:rsid w:val="00CD0D8C"/>
    <w:rsid w:val="00CD0DA4"/>
    <w:rsid w:val="00CD0DA7"/>
    <w:rsid w:val="00CD0E10"/>
    <w:rsid w:val="00CD0E28"/>
    <w:rsid w:val="00CD0E36"/>
    <w:rsid w:val="00CD0E4A"/>
    <w:rsid w:val="00CD0E84"/>
    <w:rsid w:val="00CD0EEB"/>
    <w:rsid w:val="00CD0F26"/>
    <w:rsid w:val="00CD1046"/>
    <w:rsid w:val="00CD10B5"/>
    <w:rsid w:val="00CD10C6"/>
    <w:rsid w:val="00CD1141"/>
    <w:rsid w:val="00CD1205"/>
    <w:rsid w:val="00CD1317"/>
    <w:rsid w:val="00CD13FA"/>
    <w:rsid w:val="00CD142A"/>
    <w:rsid w:val="00CD1470"/>
    <w:rsid w:val="00CD1490"/>
    <w:rsid w:val="00CD15E8"/>
    <w:rsid w:val="00CD16C1"/>
    <w:rsid w:val="00CD1750"/>
    <w:rsid w:val="00CD17C6"/>
    <w:rsid w:val="00CD181C"/>
    <w:rsid w:val="00CD18BB"/>
    <w:rsid w:val="00CD1A0A"/>
    <w:rsid w:val="00CD1A64"/>
    <w:rsid w:val="00CD1A7E"/>
    <w:rsid w:val="00CD1B00"/>
    <w:rsid w:val="00CD1B13"/>
    <w:rsid w:val="00CD1B70"/>
    <w:rsid w:val="00CD1BE1"/>
    <w:rsid w:val="00CD1C2D"/>
    <w:rsid w:val="00CD1D2A"/>
    <w:rsid w:val="00CD1E0E"/>
    <w:rsid w:val="00CD1E22"/>
    <w:rsid w:val="00CD1EAA"/>
    <w:rsid w:val="00CD1EBE"/>
    <w:rsid w:val="00CD1ED7"/>
    <w:rsid w:val="00CD1EFD"/>
    <w:rsid w:val="00CD1F0C"/>
    <w:rsid w:val="00CD1F34"/>
    <w:rsid w:val="00CD1F3C"/>
    <w:rsid w:val="00CD1F59"/>
    <w:rsid w:val="00CD200C"/>
    <w:rsid w:val="00CD2065"/>
    <w:rsid w:val="00CD21B8"/>
    <w:rsid w:val="00CD21F0"/>
    <w:rsid w:val="00CD2443"/>
    <w:rsid w:val="00CD2453"/>
    <w:rsid w:val="00CD24A6"/>
    <w:rsid w:val="00CD24D9"/>
    <w:rsid w:val="00CD2596"/>
    <w:rsid w:val="00CD2714"/>
    <w:rsid w:val="00CD27BC"/>
    <w:rsid w:val="00CD27E3"/>
    <w:rsid w:val="00CD284A"/>
    <w:rsid w:val="00CD28FB"/>
    <w:rsid w:val="00CD295B"/>
    <w:rsid w:val="00CD2AE0"/>
    <w:rsid w:val="00CD2B6D"/>
    <w:rsid w:val="00CD2C15"/>
    <w:rsid w:val="00CD2C6B"/>
    <w:rsid w:val="00CD2C9B"/>
    <w:rsid w:val="00CD2CA3"/>
    <w:rsid w:val="00CD2CBD"/>
    <w:rsid w:val="00CD2CC0"/>
    <w:rsid w:val="00CD2CC4"/>
    <w:rsid w:val="00CD2E4B"/>
    <w:rsid w:val="00CD2EE4"/>
    <w:rsid w:val="00CD301C"/>
    <w:rsid w:val="00CD30A0"/>
    <w:rsid w:val="00CD30C0"/>
    <w:rsid w:val="00CD30CD"/>
    <w:rsid w:val="00CD3141"/>
    <w:rsid w:val="00CD3167"/>
    <w:rsid w:val="00CD325F"/>
    <w:rsid w:val="00CD32D7"/>
    <w:rsid w:val="00CD332C"/>
    <w:rsid w:val="00CD337E"/>
    <w:rsid w:val="00CD33D0"/>
    <w:rsid w:val="00CD345D"/>
    <w:rsid w:val="00CD348D"/>
    <w:rsid w:val="00CD34A3"/>
    <w:rsid w:val="00CD3592"/>
    <w:rsid w:val="00CD3615"/>
    <w:rsid w:val="00CD3647"/>
    <w:rsid w:val="00CD369B"/>
    <w:rsid w:val="00CD36A3"/>
    <w:rsid w:val="00CD3742"/>
    <w:rsid w:val="00CD37C6"/>
    <w:rsid w:val="00CD37E8"/>
    <w:rsid w:val="00CD37EA"/>
    <w:rsid w:val="00CD37F1"/>
    <w:rsid w:val="00CD380D"/>
    <w:rsid w:val="00CD3825"/>
    <w:rsid w:val="00CD3840"/>
    <w:rsid w:val="00CD3857"/>
    <w:rsid w:val="00CD3893"/>
    <w:rsid w:val="00CD38A5"/>
    <w:rsid w:val="00CD38B5"/>
    <w:rsid w:val="00CD3946"/>
    <w:rsid w:val="00CD3958"/>
    <w:rsid w:val="00CD3A7C"/>
    <w:rsid w:val="00CD3A90"/>
    <w:rsid w:val="00CD3B3F"/>
    <w:rsid w:val="00CD3B76"/>
    <w:rsid w:val="00CD3B7D"/>
    <w:rsid w:val="00CD3B7F"/>
    <w:rsid w:val="00CD3B81"/>
    <w:rsid w:val="00CD3D0F"/>
    <w:rsid w:val="00CD3DA4"/>
    <w:rsid w:val="00CD3DB4"/>
    <w:rsid w:val="00CD3E28"/>
    <w:rsid w:val="00CD3E3B"/>
    <w:rsid w:val="00CD3EA3"/>
    <w:rsid w:val="00CD3EEA"/>
    <w:rsid w:val="00CD3F0C"/>
    <w:rsid w:val="00CD3F0E"/>
    <w:rsid w:val="00CD4060"/>
    <w:rsid w:val="00CD40EC"/>
    <w:rsid w:val="00CD412D"/>
    <w:rsid w:val="00CD4145"/>
    <w:rsid w:val="00CD419A"/>
    <w:rsid w:val="00CD41F0"/>
    <w:rsid w:val="00CD421B"/>
    <w:rsid w:val="00CD44A4"/>
    <w:rsid w:val="00CD4501"/>
    <w:rsid w:val="00CD4608"/>
    <w:rsid w:val="00CD4684"/>
    <w:rsid w:val="00CD4698"/>
    <w:rsid w:val="00CD481B"/>
    <w:rsid w:val="00CD4868"/>
    <w:rsid w:val="00CD490F"/>
    <w:rsid w:val="00CD4975"/>
    <w:rsid w:val="00CD49BB"/>
    <w:rsid w:val="00CD4A9E"/>
    <w:rsid w:val="00CD4AC8"/>
    <w:rsid w:val="00CD4AEE"/>
    <w:rsid w:val="00CD4B9E"/>
    <w:rsid w:val="00CD4BF8"/>
    <w:rsid w:val="00CD4C8D"/>
    <w:rsid w:val="00CD4CF4"/>
    <w:rsid w:val="00CD4DD6"/>
    <w:rsid w:val="00CD4E65"/>
    <w:rsid w:val="00CD4EF8"/>
    <w:rsid w:val="00CD4F51"/>
    <w:rsid w:val="00CD4F5A"/>
    <w:rsid w:val="00CD4FEA"/>
    <w:rsid w:val="00CD5044"/>
    <w:rsid w:val="00CD5049"/>
    <w:rsid w:val="00CD5106"/>
    <w:rsid w:val="00CD5277"/>
    <w:rsid w:val="00CD5288"/>
    <w:rsid w:val="00CD52BD"/>
    <w:rsid w:val="00CD52CE"/>
    <w:rsid w:val="00CD5386"/>
    <w:rsid w:val="00CD5436"/>
    <w:rsid w:val="00CD5437"/>
    <w:rsid w:val="00CD5454"/>
    <w:rsid w:val="00CD55D4"/>
    <w:rsid w:val="00CD566D"/>
    <w:rsid w:val="00CD578A"/>
    <w:rsid w:val="00CD5A82"/>
    <w:rsid w:val="00CD5AE2"/>
    <w:rsid w:val="00CD5AEF"/>
    <w:rsid w:val="00CD5B05"/>
    <w:rsid w:val="00CD5B11"/>
    <w:rsid w:val="00CD5B6F"/>
    <w:rsid w:val="00CD5B72"/>
    <w:rsid w:val="00CD5C2D"/>
    <w:rsid w:val="00CD5C36"/>
    <w:rsid w:val="00CD5C3B"/>
    <w:rsid w:val="00CD5CD7"/>
    <w:rsid w:val="00CD5CDC"/>
    <w:rsid w:val="00CD5E28"/>
    <w:rsid w:val="00CD5E33"/>
    <w:rsid w:val="00CD5E9B"/>
    <w:rsid w:val="00CD5EA8"/>
    <w:rsid w:val="00CD5EAC"/>
    <w:rsid w:val="00CD5EBF"/>
    <w:rsid w:val="00CD5FE9"/>
    <w:rsid w:val="00CD6024"/>
    <w:rsid w:val="00CD6053"/>
    <w:rsid w:val="00CD6059"/>
    <w:rsid w:val="00CD6069"/>
    <w:rsid w:val="00CD608B"/>
    <w:rsid w:val="00CD60A9"/>
    <w:rsid w:val="00CD614B"/>
    <w:rsid w:val="00CD61C0"/>
    <w:rsid w:val="00CD61F4"/>
    <w:rsid w:val="00CD6247"/>
    <w:rsid w:val="00CD627C"/>
    <w:rsid w:val="00CD6295"/>
    <w:rsid w:val="00CD638B"/>
    <w:rsid w:val="00CD6395"/>
    <w:rsid w:val="00CD63B5"/>
    <w:rsid w:val="00CD63D5"/>
    <w:rsid w:val="00CD6463"/>
    <w:rsid w:val="00CD6470"/>
    <w:rsid w:val="00CD6487"/>
    <w:rsid w:val="00CD64EA"/>
    <w:rsid w:val="00CD6556"/>
    <w:rsid w:val="00CD656F"/>
    <w:rsid w:val="00CD659A"/>
    <w:rsid w:val="00CD65FD"/>
    <w:rsid w:val="00CD6763"/>
    <w:rsid w:val="00CD67F8"/>
    <w:rsid w:val="00CD6803"/>
    <w:rsid w:val="00CD684E"/>
    <w:rsid w:val="00CD6882"/>
    <w:rsid w:val="00CD688B"/>
    <w:rsid w:val="00CD6892"/>
    <w:rsid w:val="00CD68D2"/>
    <w:rsid w:val="00CD6949"/>
    <w:rsid w:val="00CD69C4"/>
    <w:rsid w:val="00CD69CD"/>
    <w:rsid w:val="00CD6A10"/>
    <w:rsid w:val="00CD6A2F"/>
    <w:rsid w:val="00CD6B9E"/>
    <w:rsid w:val="00CD6BE6"/>
    <w:rsid w:val="00CD6C16"/>
    <w:rsid w:val="00CD6C1B"/>
    <w:rsid w:val="00CD6CBF"/>
    <w:rsid w:val="00CD6CCB"/>
    <w:rsid w:val="00CD6D5E"/>
    <w:rsid w:val="00CD6DBA"/>
    <w:rsid w:val="00CD6DEB"/>
    <w:rsid w:val="00CD6DEC"/>
    <w:rsid w:val="00CD6E7F"/>
    <w:rsid w:val="00CD6F82"/>
    <w:rsid w:val="00CD6FE6"/>
    <w:rsid w:val="00CD7136"/>
    <w:rsid w:val="00CD7142"/>
    <w:rsid w:val="00CD7438"/>
    <w:rsid w:val="00CD744A"/>
    <w:rsid w:val="00CD74A5"/>
    <w:rsid w:val="00CD74BD"/>
    <w:rsid w:val="00CD74FA"/>
    <w:rsid w:val="00CD7554"/>
    <w:rsid w:val="00CD75B7"/>
    <w:rsid w:val="00CD75CF"/>
    <w:rsid w:val="00CD76ED"/>
    <w:rsid w:val="00CD76F3"/>
    <w:rsid w:val="00CD770D"/>
    <w:rsid w:val="00CD7954"/>
    <w:rsid w:val="00CD7A1C"/>
    <w:rsid w:val="00CD7A25"/>
    <w:rsid w:val="00CD7A8C"/>
    <w:rsid w:val="00CD7AE8"/>
    <w:rsid w:val="00CD7BBC"/>
    <w:rsid w:val="00CD7C69"/>
    <w:rsid w:val="00CD7CAF"/>
    <w:rsid w:val="00CD7D06"/>
    <w:rsid w:val="00CD7D11"/>
    <w:rsid w:val="00CD7D5F"/>
    <w:rsid w:val="00CD7E7A"/>
    <w:rsid w:val="00CD7ECD"/>
    <w:rsid w:val="00CD7EED"/>
    <w:rsid w:val="00CD7F69"/>
    <w:rsid w:val="00CD7F9B"/>
    <w:rsid w:val="00CD7FF4"/>
    <w:rsid w:val="00CE0017"/>
    <w:rsid w:val="00CE017A"/>
    <w:rsid w:val="00CE01BE"/>
    <w:rsid w:val="00CE01E4"/>
    <w:rsid w:val="00CE0285"/>
    <w:rsid w:val="00CE02B2"/>
    <w:rsid w:val="00CE03A9"/>
    <w:rsid w:val="00CE04C9"/>
    <w:rsid w:val="00CE0513"/>
    <w:rsid w:val="00CE06BB"/>
    <w:rsid w:val="00CE06E7"/>
    <w:rsid w:val="00CE074A"/>
    <w:rsid w:val="00CE0765"/>
    <w:rsid w:val="00CE07A1"/>
    <w:rsid w:val="00CE0835"/>
    <w:rsid w:val="00CE0887"/>
    <w:rsid w:val="00CE08D9"/>
    <w:rsid w:val="00CE09B1"/>
    <w:rsid w:val="00CE09D2"/>
    <w:rsid w:val="00CE0A97"/>
    <w:rsid w:val="00CE0AA8"/>
    <w:rsid w:val="00CE0B3C"/>
    <w:rsid w:val="00CE0B42"/>
    <w:rsid w:val="00CE0BD9"/>
    <w:rsid w:val="00CE0C1E"/>
    <w:rsid w:val="00CE0C20"/>
    <w:rsid w:val="00CE0C6D"/>
    <w:rsid w:val="00CE0CEF"/>
    <w:rsid w:val="00CE0D6A"/>
    <w:rsid w:val="00CE0D7C"/>
    <w:rsid w:val="00CE0D85"/>
    <w:rsid w:val="00CE0DF0"/>
    <w:rsid w:val="00CE0EC1"/>
    <w:rsid w:val="00CE0EF8"/>
    <w:rsid w:val="00CE0F96"/>
    <w:rsid w:val="00CE0F97"/>
    <w:rsid w:val="00CE0FA7"/>
    <w:rsid w:val="00CE0FC1"/>
    <w:rsid w:val="00CE1024"/>
    <w:rsid w:val="00CE108A"/>
    <w:rsid w:val="00CE1143"/>
    <w:rsid w:val="00CE116D"/>
    <w:rsid w:val="00CE1184"/>
    <w:rsid w:val="00CE12D9"/>
    <w:rsid w:val="00CE1335"/>
    <w:rsid w:val="00CE140E"/>
    <w:rsid w:val="00CE140F"/>
    <w:rsid w:val="00CE14F2"/>
    <w:rsid w:val="00CE15A9"/>
    <w:rsid w:val="00CE15C2"/>
    <w:rsid w:val="00CE1756"/>
    <w:rsid w:val="00CE17D3"/>
    <w:rsid w:val="00CE17F9"/>
    <w:rsid w:val="00CE17FE"/>
    <w:rsid w:val="00CE1997"/>
    <w:rsid w:val="00CE1998"/>
    <w:rsid w:val="00CE1A33"/>
    <w:rsid w:val="00CE1C2A"/>
    <w:rsid w:val="00CE1CAB"/>
    <w:rsid w:val="00CE1DE2"/>
    <w:rsid w:val="00CE1ED5"/>
    <w:rsid w:val="00CE1F59"/>
    <w:rsid w:val="00CE205A"/>
    <w:rsid w:val="00CE207D"/>
    <w:rsid w:val="00CE20E7"/>
    <w:rsid w:val="00CE212A"/>
    <w:rsid w:val="00CE21BD"/>
    <w:rsid w:val="00CE21C8"/>
    <w:rsid w:val="00CE2359"/>
    <w:rsid w:val="00CE2397"/>
    <w:rsid w:val="00CE23CC"/>
    <w:rsid w:val="00CE23DC"/>
    <w:rsid w:val="00CE2422"/>
    <w:rsid w:val="00CE2514"/>
    <w:rsid w:val="00CE2577"/>
    <w:rsid w:val="00CE25F5"/>
    <w:rsid w:val="00CE2638"/>
    <w:rsid w:val="00CE2650"/>
    <w:rsid w:val="00CE265B"/>
    <w:rsid w:val="00CE26D7"/>
    <w:rsid w:val="00CE2753"/>
    <w:rsid w:val="00CE277A"/>
    <w:rsid w:val="00CE294D"/>
    <w:rsid w:val="00CE29B6"/>
    <w:rsid w:val="00CE29CB"/>
    <w:rsid w:val="00CE2A04"/>
    <w:rsid w:val="00CE2A21"/>
    <w:rsid w:val="00CE2A39"/>
    <w:rsid w:val="00CE2A60"/>
    <w:rsid w:val="00CE2ACE"/>
    <w:rsid w:val="00CE2AE5"/>
    <w:rsid w:val="00CE2B99"/>
    <w:rsid w:val="00CE2BD3"/>
    <w:rsid w:val="00CE2C29"/>
    <w:rsid w:val="00CE2C30"/>
    <w:rsid w:val="00CE2D04"/>
    <w:rsid w:val="00CE2D45"/>
    <w:rsid w:val="00CE2D59"/>
    <w:rsid w:val="00CE2E16"/>
    <w:rsid w:val="00CE2E6E"/>
    <w:rsid w:val="00CE2F17"/>
    <w:rsid w:val="00CE2F2A"/>
    <w:rsid w:val="00CE2F56"/>
    <w:rsid w:val="00CE2FAE"/>
    <w:rsid w:val="00CE3001"/>
    <w:rsid w:val="00CE3029"/>
    <w:rsid w:val="00CE3052"/>
    <w:rsid w:val="00CE3054"/>
    <w:rsid w:val="00CE3094"/>
    <w:rsid w:val="00CE30B8"/>
    <w:rsid w:val="00CE310E"/>
    <w:rsid w:val="00CE313D"/>
    <w:rsid w:val="00CE3192"/>
    <w:rsid w:val="00CE3295"/>
    <w:rsid w:val="00CE32EA"/>
    <w:rsid w:val="00CE32FA"/>
    <w:rsid w:val="00CE3322"/>
    <w:rsid w:val="00CE345F"/>
    <w:rsid w:val="00CE34BB"/>
    <w:rsid w:val="00CE352D"/>
    <w:rsid w:val="00CE357F"/>
    <w:rsid w:val="00CE3593"/>
    <w:rsid w:val="00CE362C"/>
    <w:rsid w:val="00CE367C"/>
    <w:rsid w:val="00CE375E"/>
    <w:rsid w:val="00CE38AB"/>
    <w:rsid w:val="00CE38D2"/>
    <w:rsid w:val="00CE3925"/>
    <w:rsid w:val="00CE395E"/>
    <w:rsid w:val="00CE39C4"/>
    <w:rsid w:val="00CE3A02"/>
    <w:rsid w:val="00CE3AC3"/>
    <w:rsid w:val="00CE3ACA"/>
    <w:rsid w:val="00CE3ADB"/>
    <w:rsid w:val="00CE3AF2"/>
    <w:rsid w:val="00CE3B59"/>
    <w:rsid w:val="00CE3B74"/>
    <w:rsid w:val="00CE3C2F"/>
    <w:rsid w:val="00CE3CB2"/>
    <w:rsid w:val="00CE3CE4"/>
    <w:rsid w:val="00CE3D13"/>
    <w:rsid w:val="00CE3E7D"/>
    <w:rsid w:val="00CE3F62"/>
    <w:rsid w:val="00CE3F83"/>
    <w:rsid w:val="00CE4158"/>
    <w:rsid w:val="00CE415D"/>
    <w:rsid w:val="00CE41A1"/>
    <w:rsid w:val="00CE41BD"/>
    <w:rsid w:val="00CE42D2"/>
    <w:rsid w:val="00CE4359"/>
    <w:rsid w:val="00CE436D"/>
    <w:rsid w:val="00CE4399"/>
    <w:rsid w:val="00CE444F"/>
    <w:rsid w:val="00CE4457"/>
    <w:rsid w:val="00CE4489"/>
    <w:rsid w:val="00CE448F"/>
    <w:rsid w:val="00CE44B3"/>
    <w:rsid w:val="00CE4667"/>
    <w:rsid w:val="00CE4680"/>
    <w:rsid w:val="00CE46CB"/>
    <w:rsid w:val="00CE4728"/>
    <w:rsid w:val="00CE47AC"/>
    <w:rsid w:val="00CE4806"/>
    <w:rsid w:val="00CE483D"/>
    <w:rsid w:val="00CE487F"/>
    <w:rsid w:val="00CE4940"/>
    <w:rsid w:val="00CE4966"/>
    <w:rsid w:val="00CE4A10"/>
    <w:rsid w:val="00CE4A7B"/>
    <w:rsid w:val="00CE4AB7"/>
    <w:rsid w:val="00CE4B2A"/>
    <w:rsid w:val="00CE4BA8"/>
    <w:rsid w:val="00CE4CEF"/>
    <w:rsid w:val="00CE4D67"/>
    <w:rsid w:val="00CE4D69"/>
    <w:rsid w:val="00CE4E3B"/>
    <w:rsid w:val="00CE4E3F"/>
    <w:rsid w:val="00CE4E87"/>
    <w:rsid w:val="00CE4EF9"/>
    <w:rsid w:val="00CE5005"/>
    <w:rsid w:val="00CE50A3"/>
    <w:rsid w:val="00CE5127"/>
    <w:rsid w:val="00CE51AC"/>
    <w:rsid w:val="00CE51E5"/>
    <w:rsid w:val="00CE51F2"/>
    <w:rsid w:val="00CE5262"/>
    <w:rsid w:val="00CE5269"/>
    <w:rsid w:val="00CE530D"/>
    <w:rsid w:val="00CE5312"/>
    <w:rsid w:val="00CE5377"/>
    <w:rsid w:val="00CE53C5"/>
    <w:rsid w:val="00CE544E"/>
    <w:rsid w:val="00CE54B9"/>
    <w:rsid w:val="00CE54C8"/>
    <w:rsid w:val="00CE54CF"/>
    <w:rsid w:val="00CE5686"/>
    <w:rsid w:val="00CE56FE"/>
    <w:rsid w:val="00CE5713"/>
    <w:rsid w:val="00CE5771"/>
    <w:rsid w:val="00CE5799"/>
    <w:rsid w:val="00CE57B3"/>
    <w:rsid w:val="00CE585F"/>
    <w:rsid w:val="00CE58A4"/>
    <w:rsid w:val="00CE58D3"/>
    <w:rsid w:val="00CE58D8"/>
    <w:rsid w:val="00CE58F6"/>
    <w:rsid w:val="00CE590A"/>
    <w:rsid w:val="00CE5911"/>
    <w:rsid w:val="00CE5967"/>
    <w:rsid w:val="00CE59AB"/>
    <w:rsid w:val="00CE59FC"/>
    <w:rsid w:val="00CE5BDE"/>
    <w:rsid w:val="00CE5C36"/>
    <w:rsid w:val="00CE5D1B"/>
    <w:rsid w:val="00CE5D47"/>
    <w:rsid w:val="00CE5E4C"/>
    <w:rsid w:val="00CE5E57"/>
    <w:rsid w:val="00CE5E74"/>
    <w:rsid w:val="00CE5F67"/>
    <w:rsid w:val="00CE5FD4"/>
    <w:rsid w:val="00CE6048"/>
    <w:rsid w:val="00CE605B"/>
    <w:rsid w:val="00CE6105"/>
    <w:rsid w:val="00CE625E"/>
    <w:rsid w:val="00CE62F2"/>
    <w:rsid w:val="00CE6313"/>
    <w:rsid w:val="00CE6386"/>
    <w:rsid w:val="00CE63F4"/>
    <w:rsid w:val="00CE6428"/>
    <w:rsid w:val="00CE645E"/>
    <w:rsid w:val="00CE6516"/>
    <w:rsid w:val="00CE6588"/>
    <w:rsid w:val="00CE659E"/>
    <w:rsid w:val="00CE65E2"/>
    <w:rsid w:val="00CE66A7"/>
    <w:rsid w:val="00CE676C"/>
    <w:rsid w:val="00CE6785"/>
    <w:rsid w:val="00CE680C"/>
    <w:rsid w:val="00CE684E"/>
    <w:rsid w:val="00CE685F"/>
    <w:rsid w:val="00CE687C"/>
    <w:rsid w:val="00CE6941"/>
    <w:rsid w:val="00CE699C"/>
    <w:rsid w:val="00CE6A3D"/>
    <w:rsid w:val="00CE6AC8"/>
    <w:rsid w:val="00CE6B1E"/>
    <w:rsid w:val="00CE6B3E"/>
    <w:rsid w:val="00CE6C0C"/>
    <w:rsid w:val="00CE6C6D"/>
    <w:rsid w:val="00CE6C9A"/>
    <w:rsid w:val="00CE6CAF"/>
    <w:rsid w:val="00CE6CDE"/>
    <w:rsid w:val="00CE6CE6"/>
    <w:rsid w:val="00CE6D0E"/>
    <w:rsid w:val="00CE6D7D"/>
    <w:rsid w:val="00CE6EA4"/>
    <w:rsid w:val="00CE6EE5"/>
    <w:rsid w:val="00CE6EEE"/>
    <w:rsid w:val="00CE6EFB"/>
    <w:rsid w:val="00CE6F66"/>
    <w:rsid w:val="00CE6F7E"/>
    <w:rsid w:val="00CE6FAA"/>
    <w:rsid w:val="00CE6FEB"/>
    <w:rsid w:val="00CE7037"/>
    <w:rsid w:val="00CE708C"/>
    <w:rsid w:val="00CE70D6"/>
    <w:rsid w:val="00CE71D7"/>
    <w:rsid w:val="00CE72B7"/>
    <w:rsid w:val="00CE7344"/>
    <w:rsid w:val="00CE7410"/>
    <w:rsid w:val="00CE7449"/>
    <w:rsid w:val="00CE744E"/>
    <w:rsid w:val="00CE7505"/>
    <w:rsid w:val="00CE7556"/>
    <w:rsid w:val="00CE75BC"/>
    <w:rsid w:val="00CE762F"/>
    <w:rsid w:val="00CE7642"/>
    <w:rsid w:val="00CE76DC"/>
    <w:rsid w:val="00CE77C8"/>
    <w:rsid w:val="00CE7917"/>
    <w:rsid w:val="00CE7951"/>
    <w:rsid w:val="00CE7995"/>
    <w:rsid w:val="00CE79F1"/>
    <w:rsid w:val="00CE7AE1"/>
    <w:rsid w:val="00CE7C0D"/>
    <w:rsid w:val="00CE7CDE"/>
    <w:rsid w:val="00CE7D02"/>
    <w:rsid w:val="00CE7D08"/>
    <w:rsid w:val="00CE7E11"/>
    <w:rsid w:val="00CE7E5C"/>
    <w:rsid w:val="00CE7EFF"/>
    <w:rsid w:val="00CE7F32"/>
    <w:rsid w:val="00CE7F58"/>
    <w:rsid w:val="00CE7FE6"/>
    <w:rsid w:val="00CF0029"/>
    <w:rsid w:val="00CF0058"/>
    <w:rsid w:val="00CF007D"/>
    <w:rsid w:val="00CF012A"/>
    <w:rsid w:val="00CF0140"/>
    <w:rsid w:val="00CF017E"/>
    <w:rsid w:val="00CF0180"/>
    <w:rsid w:val="00CF01DD"/>
    <w:rsid w:val="00CF0313"/>
    <w:rsid w:val="00CF0356"/>
    <w:rsid w:val="00CF03BD"/>
    <w:rsid w:val="00CF03C7"/>
    <w:rsid w:val="00CF03F7"/>
    <w:rsid w:val="00CF043E"/>
    <w:rsid w:val="00CF0503"/>
    <w:rsid w:val="00CF0546"/>
    <w:rsid w:val="00CF0578"/>
    <w:rsid w:val="00CF05D6"/>
    <w:rsid w:val="00CF061C"/>
    <w:rsid w:val="00CF062A"/>
    <w:rsid w:val="00CF063C"/>
    <w:rsid w:val="00CF06A8"/>
    <w:rsid w:val="00CF06E0"/>
    <w:rsid w:val="00CF0740"/>
    <w:rsid w:val="00CF0763"/>
    <w:rsid w:val="00CF0768"/>
    <w:rsid w:val="00CF07E9"/>
    <w:rsid w:val="00CF0864"/>
    <w:rsid w:val="00CF08A9"/>
    <w:rsid w:val="00CF0907"/>
    <w:rsid w:val="00CF091D"/>
    <w:rsid w:val="00CF0982"/>
    <w:rsid w:val="00CF09F0"/>
    <w:rsid w:val="00CF0AC3"/>
    <w:rsid w:val="00CF0AC6"/>
    <w:rsid w:val="00CF0C5D"/>
    <w:rsid w:val="00CF0CD8"/>
    <w:rsid w:val="00CF0D97"/>
    <w:rsid w:val="00CF0DA1"/>
    <w:rsid w:val="00CF0E25"/>
    <w:rsid w:val="00CF0EAC"/>
    <w:rsid w:val="00CF0EE2"/>
    <w:rsid w:val="00CF0EEB"/>
    <w:rsid w:val="00CF0F81"/>
    <w:rsid w:val="00CF0F9A"/>
    <w:rsid w:val="00CF0FDE"/>
    <w:rsid w:val="00CF0FF4"/>
    <w:rsid w:val="00CF1034"/>
    <w:rsid w:val="00CF106D"/>
    <w:rsid w:val="00CF10C6"/>
    <w:rsid w:val="00CF10FA"/>
    <w:rsid w:val="00CF1138"/>
    <w:rsid w:val="00CF1142"/>
    <w:rsid w:val="00CF1270"/>
    <w:rsid w:val="00CF1293"/>
    <w:rsid w:val="00CF1310"/>
    <w:rsid w:val="00CF1324"/>
    <w:rsid w:val="00CF133A"/>
    <w:rsid w:val="00CF13C5"/>
    <w:rsid w:val="00CF1497"/>
    <w:rsid w:val="00CF1551"/>
    <w:rsid w:val="00CF1616"/>
    <w:rsid w:val="00CF1669"/>
    <w:rsid w:val="00CF16B4"/>
    <w:rsid w:val="00CF16E9"/>
    <w:rsid w:val="00CF17BF"/>
    <w:rsid w:val="00CF1802"/>
    <w:rsid w:val="00CF1878"/>
    <w:rsid w:val="00CF19C7"/>
    <w:rsid w:val="00CF1A18"/>
    <w:rsid w:val="00CF1AB5"/>
    <w:rsid w:val="00CF1B7A"/>
    <w:rsid w:val="00CF1D1C"/>
    <w:rsid w:val="00CF1DBA"/>
    <w:rsid w:val="00CF1E15"/>
    <w:rsid w:val="00CF1EB5"/>
    <w:rsid w:val="00CF1EDB"/>
    <w:rsid w:val="00CF1F00"/>
    <w:rsid w:val="00CF1F02"/>
    <w:rsid w:val="00CF1F42"/>
    <w:rsid w:val="00CF1F87"/>
    <w:rsid w:val="00CF1F90"/>
    <w:rsid w:val="00CF1FA8"/>
    <w:rsid w:val="00CF2084"/>
    <w:rsid w:val="00CF20D5"/>
    <w:rsid w:val="00CF2174"/>
    <w:rsid w:val="00CF2302"/>
    <w:rsid w:val="00CF231A"/>
    <w:rsid w:val="00CF23C1"/>
    <w:rsid w:val="00CF2448"/>
    <w:rsid w:val="00CF24A8"/>
    <w:rsid w:val="00CF250E"/>
    <w:rsid w:val="00CF251A"/>
    <w:rsid w:val="00CF255D"/>
    <w:rsid w:val="00CF2561"/>
    <w:rsid w:val="00CF2572"/>
    <w:rsid w:val="00CF259F"/>
    <w:rsid w:val="00CF25F1"/>
    <w:rsid w:val="00CF2690"/>
    <w:rsid w:val="00CF2696"/>
    <w:rsid w:val="00CF2885"/>
    <w:rsid w:val="00CF2947"/>
    <w:rsid w:val="00CF2979"/>
    <w:rsid w:val="00CF2991"/>
    <w:rsid w:val="00CF2A59"/>
    <w:rsid w:val="00CF2A88"/>
    <w:rsid w:val="00CF2A96"/>
    <w:rsid w:val="00CF2AB0"/>
    <w:rsid w:val="00CF2B23"/>
    <w:rsid w:val="00CF2B6B"/>
    <w:rsid w:val="00CF2B9B"/>
    <w:rsid w:val="00CF2BFB"/>
    <w:rsid w:val="00CF2C35"/>
    <w:rsid w:val="00CF2C7B"/>
    <w:rsid w:val="00CF2CE5"/>
    <w:rsid w:val="00CF2CF4"/>
    <w:rsid w:val="00CF2D30"/>
    <w:rsid w:val="00CF2DCA"/>
    <w:rsid w:val="00CF2DCE"/>
    <w:rsid w:val="00CF2E24"/>
    <w:rsid w:val="00CF2E7E"/>
    <w:rsid w:val="00CF2EC9"/>
    <w:rsid w:val="00CF3000"/>
    <w:rsid w:val="00CF3031"/>
    <w:rsid w:val="00CF3050"/>
    <w:rsid w:val="00CF3062"/>
    <w:rsid w:val="00CF30E1"/>
    <w:rsid w:val="00CF314E"/>
    <w:rsid w:val="00CF31BD"/>
    <w:rsid w:val="00CF328A"/>
    <w:rsid w:val="00CF32DD"/>
    <w:rsid w:val="00CF35D7"/>
    <w:rsid w:val="00CF360C"/>
    <w:rsid w:val="00CF361A"/>
    <w:rsid w:val="00CF3778"/>
    <w:rsid w:val="00CF3793"/>
    <w:rsid w:val="00CF382A"/>
    <w:rsid w:val="00CF3A65"/>
    <w:rsid w:val="00CF3BB7"/>
    <w:rsid w:val="00CF3BCB"/>
    <w:rsid w:val="00CF3BE1"/>
    <w:rsid w:val="00CF3DC7"/>
    <w:rsid w:val="00CF3E37"/>
    <w:rsid w:val="00CF3F28"/>
    <w:rsid w:val="00CF3F38"/>
    <w:rsid w:val="00CF3F85"/>
    <w:rsid w:val="00CF3F9C"/>
    <w:rsid w:val="00CF3FB0"/>
    <w:rsid w:val="00CF3FCD"/>
    <w:rsid w:val="00CF4053"/>
    <w:rsid w:val="00CF40A4"/>
    <w:rsid w:val="00CF415F"/>
    <w:rsid w:val="00CF41E9"/>
    <w:rsid w:val="00CF4251"/>
    <w:rsid w:val="00CF4291"/>
    <w:rsid w:val="00CF42E0"/>
    <w:rsid w:val="00CF4328"/>
    <w:rsid w:val="00CF4337"/>
    <w:rsid w:val="00CF4375"/>
    <w:rsid w:val="00CF4385"/>
    <w:rsid w:val="00CF43A1"/>
    <w:rsid w:val="00CF44F2"/>
    <w:rsid w:val="00CF4696"/>
    <w:rsid w:val="00CF483A"/>
    <w:rsid w:val="00CF48CF"/>
    <w:rsid w:val="00CF4B38"/>
    <w:rsid w:val="00CF4B4D"/>
    <w:rsid w:val="00CF4B80"/>
    <w:rsid w:val="00CF4CB8"/>
    <w:rsid w:val="00CF4D05"/>
    <w:rsid w:val="00CF4D25"/>
    <w:rsid w:val="00CF4D38"/>
    <w:rsid w:val="00CF4DB0"/>
    <w:rsid w:val="00CF4EFC"/>
    <w:rsid w:val="00CF4FFE"/>
    <w:rsid w:val="00CF5111"/>
    <w:rsid w:val="00CF51E6"/>
    <w:rsid w:val="00CF525A"/>
    <w:rsid w:val="00CF5292"/>
    <w:rsid w:val="00CF52D9"/>
    <w:rsid w:val="00CF52F0"/>
    <w:rsid w:val="00CF534D"/>
    <w:rsid w:val="00CF5372"/>
    <w:rsid w:val="00CF537A"/>
    <w:rsid w:val="00CF53B3"/>
    <w:rsid w:val="00CF540B"/>
    <w:rsid w:val="00CF5482"/>
    <w:rsid w:val="00CF54A1"/>
    <w:rsid w:val="00CF54A2"/>
    <w:rsid w:val="00CF54BA"/>
    <w:rsid w:val="00CF551F"/>
    <w:rsid w:val="00CF55C7"/>
    <w:rsid w:val="00CF5629"/>
    <w:rsid w:val="00CF56B6"/>
    <w:rsid w:val="00CF578D"/>
    <w:rsid w:val="00CF58D7"/>
    <w:rsid w:val="00CF58E3"/>
    <w:rsid w:val="00CF5980"/>
    <w:rsid w:val="00CF5A43"/>
    <w:rsid w:val="00CF5A7A"/>
    <w:rsid w:val="00CF5AA0"/>
    <w:rsid w:val="00CF5B2D"/>
    <w:rsid w:val="00CF5B4C"/>
    <w:rsid w:val="00CF5BE9"/>
    <w:rsid w:val="00CF5BFD"/>
    <w:rsid w:val="00CF5C8F"/>
    <w:rsid w:val="00CF5CD2"/>
    <w:rsid w:val="00CF5D19"/>
    <w:rsid w:val="00CF5D2A"/>
    <w:rsid w:val="00CF5D60"/>
    <w:rsid w:val="00CF5E39"/>
    <w:rsid w:val="00CF5E41"/>
    <w:rsid w:val="00CF5E46"/>
    <w:rsid w:val="00CF5EEC"/>
    <w:rsid w:val="00CF5F32"/>
    <w:rsid w:val="00CF5F9C"/>
    <w:rsid w:val="00CF5FA1"/>
    <w:rsid w:val="00CF6044"/>
    <w:rsid w:val="00CF612E"/>
    <w:rsid w:val="00CF61AF"/>
    <w:rsid w:val="00CF61F6"/>
    <w:rsid w:val="00CF61F9"/>
    <w:rsid w:val="00CF6365"/>
    <w:rsid w:val="00CF6404"/>
    <w:rsid w:val="00CF64A4"/>
    <w:rsid w:val="00CF64A5"/>
    <w:rsid w:val="00CF6577"/>
    <w:rsid w:val="00CF6675"/>
    <w:rsid w:val="00CF66DA"/>
    <w:rsid w:val="00CF6759"/>
    <w:rsid w:val="00CF6774"/>
    <w:rsid w:val="00CF6777"/>
    <w:rsid w:val="00CF6779"/>
    <w:rsid w:val="00CF67E1"/>
    <w:rsid w:val="00CF6820"/>
    <w:rsid w:val="00CF6945"/>
    <w:rsid w:val="00CF6978"/>
    <w:rsid w:val="00CF69A7"/>
    <w:rsid w:val="00CF69C8"/>
    <w:rsid w:val="00CF6B57"/>
    <w:rsid w:val="00CF6BAC"/>
    <w:rsid w:val="00CF6BD4"/>
    <w:rsid w:val="00CF6C47"/>
    <w:rsid w:val="00CF6CDE"/>
    <w:rsid w:val="00CF6DB7"/>
    <w:rsid w:val="00CF6DF3"/>
    <w:rsid w:val="00CF6E5D"/>
    <w:rsid w:val="00CF6FD3"/>
    <w:rsid w:val="00CF717C"/>
    <w:rsid w:val="00CF71F2"/>
    <w:rsid w:val="00CF724E"/>
    <w:rsid w:val="00CF72FD"/>
    <w:rsid w:val="00CF734D"/>
    <w:rsid w:val="00CF7362"/>
    <w:rsid w:val="00CF7399"/>
    <w:rsid w:val="00CF73B7"/>
    <w:rsid w:val="00CF7464"/>
    <w:rsid w:val="00CF7514"/>
    <w:rsid w:val="00CF756F"/>
    <w:rsid w:val="00CF758B"/>
    <w:rsid w:val="00CF75CD"/>
    <w:rsid w:val="00CF7630"/>
    <w:rsid w:val="00CF7670"/>
    <w:rsid w:val="00CF76B2"/>
    <w:rsid w:val="00CF773B"/>
    <w:rsid w:val="00CF7758"/>
    <w:rsid w:val="00CF77CE"/>
    <w:rsid w:val="00CF77D1"/>
    <w:rsid w:val="00CF77DC"/>
    <w:rsid w:val="00CF783A"/>
    <w:rsid w:val="00CF78E4"/>
    <w:rsid w:val="00CF78F8"/>
    <w:rsid w:val="00CF7911"/>
    <w:rsid w:val="00CF79D1"/>
    <w:rsid w:val="00CF7AD9"/>
    <w:rsid w:val="00CF7AE9"/>
    <w:rsid w:val="00CF7B68"/>
    <w:rsid w:val="00CF7C47"/>
    <w:rsid w:val="00CF7C85"/>
    <w:rsid w:val="00CF7D07"/>
    <w:rsid w:val="00CF7D5F"/>
    <w:rsid w:val="00CF7EC6"/>
    <w:rsid w:val="00CF7EC9"/>
    <w:rsid w:val="00CF7F16"/>
    <w:rsid w:val="00CF7F2A"/>
    <w:rsid w:val="00CF7F93"/>
    <w:rsid w:val="00D00089"/>
    <w:rsid w:val="00D00174"/>
    <w:rsid w:val="00D001A0"/>
    <w:rsid w:val="00D001D2"/>
    <w:rsid w:val="00D001F0"/>
    <w:rsid w:val="00D00209"/>
    <w:rsid w:val="00D002AE"/>
    <w:rsid w:val="00D002C0"/>
    <w:rsid w:val="00D0032F"/>
    <w:rsid w:val="00D0033D"/>
    <w:rsid w:val="00D00353"/>
    <w:rsid w:val="00D00396"/>
    <w:rsid w:val="00D003AB"/>
    <w:rsid w:val="00D003B2"/>
    <w:rsid w:val="00D00525"/>
    <w:rsid w:val="00D005DF"/>
    <w:rsid w:val="00D0067A"/>
    <w:rsid w:val="00D006A6"/>
    <w:rsid w:val="00D006AB"/>
    <w:rsid w:val="00D0074A"/>
    <w:rsid w:val="00D0076A"/>
    <w:rsid w:val="00D00826"/>
    <w:rsid w:val="00D008AF"/>
    <w:rsid w:val="00D0094D"/>
    <w:rsid w:val="00D00A27"/>
    <w:rsid w:val="00D00A67"/>
    <w:rsid w:val="00D00A7E"/>
    <w:rsid w:val="00D00AF5"/>
    <w:rsid w:val="00D00D16"/>
    <w:rsid w:val="00D00D3F"/>
    <w:rsid w:val="00D00D54"/>
    <w:rsid w:val="00D00E43"/>
    <w:rsid w:val="00D01017"/>
    <w:rsid w:val="00D0103B"/>
    <w:rsid w:val="00D01046"/>
    <w:rsid w:val="00D0109F"/>
    <w:rsid w:val="00D011DA"/>
    <w:rsid w:val="00D011EB"/>
    <w:rsid w:val="00D011F1"/>
    <w:rsid w:val="00D01222"/>
    <w:rsid w:val="00D0124C"/>
    <w:rsid w:val="00D0133A"/>
    <w:rsid w:val="00D0147B"/>
    <w:rsid w:val="00D014A6"/>
    <w:rsid w:val="00D014A7"/>
    <w:rsid w:val="00D014B2"/>
    <w:rsid w:val="00D014C6"/>
    <w:rsid w:val="00D0153C"/>
    <w:rsid w:val="00D015EB"/>
    <w:rsid w:val="00D016E9"/>
    <w:rsid w:val="00D016FE"/>
    <w:rsid w:val="00D017F8"/>
    <w:rsid w:val="00D01836"/>
    <w:rsid w:val="00D018F5"/>
    <w:rsid w:val="00D01956"/>
    <w:rsid w:val="00D01979"/>
    <w:rsid w:val="00D01988"/>
    <w:rsid w:val="00D019A8"/>
    <w:rsid w:val="00D01A8C"/>
    <w:rsid w:val="00D01A98"/>
    <w:rsid w:val="00D01ABD"/>
    <w:rsid w:val="00D01B6B"/>
    <w:rsid w:val="00D01BEB"/>
    <w:rsid w:val="00D01CAA"/>
    <w:rsid w:val="00D01CD4"/>
    <w:rsid w:val="00D01CDE"/>
    <w:rsid w:val="00D01D77"/>
    <w:rsid w:val="00D01D83"/>
    <w:rsid w:val="00D01D8C"/>
    <w:rsid w:val="00D01D9C"/>
    <w:rsid w:val="00D01E09"/>
    <w:rsid w:val="00D01EAC"/>
    <w:rsid w:val="00D01EB1"/>
    <w:rsid w:val="00D01EE7"/>
    <w:rsid w:val="00D01F88"/>
    <w:rsid w:val="00D02004"/>
    <w:rsid w:val="00D0202E"/>
    <w:rsid w:val="00D0205A"/>
    <w:rsid w:val="00D021A8"/>
    <w:rsid w:val="00D02223"/>
    <w:rsid w:val="00D022FB"/>
    <w:rsid w:val="00D02347"/>
    <w:rsid w:val="00D023DB"/>
    <w:rsid w:val="00D02512"/>
    <w:rsid w:val="00D0261B"/>
    <w:rsid w:val="00D02677"/>
    <w:rsid w:val="00D02689"/>
    <w:rsid w:val="00D026EC"/>
    <w:rsid w:val="00D02731"/>
    <w:rsid w:val="00D027A8"/>
    <w:rsid w:val="00D027BB"/>
    <w:rsid w:val="00D027CA"/>
    <w:rsid w:val="00D027E3"/>
    <w:rsid w:val="00D02851"/>
    <w:rsid w:val="00D028D2"/>
    <w:rsid w:val="00D028E1"/>
    <w:rsid w:val="00D029D1"/>
    <w:rsid w:val="00D02A77"/>
    <w:rsid w:val="00D02A83"/>
    <w:rsid w:val="00D02AE8"/>
    <w:rsid w:val="00D02B0C"/>
    <w:rsid w:val="00D02B39"/>
    <w:rsid w:val="00D02B4E"/>
    <w:rsid w:val="00D02B6D"/>
    <w:rsid w:val="00D02C0F"/>
    <w:rsid w:val="00D02CC4"/>
    <w:rsid w:val="00D02DD3"/>
    <w:rsid w:val="00D02E6A"/>
    <w:rsid w:val="00D02F4A"/>
    <w:rsid w:val="00D02F74"/>
    <w:rsid w:val="00D03067"/>
    <w:rsid w:val="00D030BC"/>
    <w:rsid w:val="00D03143"/>
    <w:rsid w:val="00D0316F"/>
    <w:rsid w:val="00D031AB"/>
    <w:rsid w:val="00D031AE"/>
    <w:rsid w:val="00D033E0"/>
    <w:rsid w:val="00D03425"/>
    <w:rsid w:val="00D034B0"/>
    <w:rsid w:val="00D034C7"/>
    <w:rsid w:val="00D03574"/>
    <w:rsid w:val="00D035AA"/>
    <w:rsid w:val="00D035E6"/>
    <w:rsid w:val="00D03703"/>
    <w:rsid w:val="00D03716"/>
    <w:rsid w:val="00D03809"/>
    <w:rsid w:val="00D03812"/>
    <w:rsid w:val="00D0388F"/>
    <w:rsid w:val="00D0391A"/>
    <w:rsid w:val="00D03955"/>
    <w:rsid w:val="00D03977"/>
    <w:rsid w:val="00D0397B"/>
    <w:rsid w:val="00D03A05"/>
    <w:rsid w:val="00D03B11"/>
    <w:rsid w:val="00D03BD9"/>
    <w:rsid w:val="00D03C0C"/>
    <w:rsid w:val="00D03C18"/>
    <w:rsid w:val="00D03C2A"/>
    <w:rsid w:val="00D03C6C"/>
    <w:rsid w:val="00D03C6E"/>
    <w:rsid w:val="00D03CC9"/>
    <w:rsid w:val="00D03D85"/>
    <w:rsid w:val="00D03E2A"/>
    <w:rsid w:val="00D03EA4"/>
    <w:rsid w:val="00D03EE5"/>
    <w:rsid w:val="00D03EFE"/>
    <w:rsid w:val="00D03F7D"/>
    <w:rsid w:val="00D03FCB"/>
    <w:rsid w:val="00D0400E"/>
    <w:rsid w:val="00D04041"/>
    <w:rsid w:val="00D0404A"/>
    <w:rsid w:val="00D040A9"/>
    <w:rsid w:val="00D040DA"/>
    <w:rsid w:val="00D0410F"/>
    <w:rsid w:val="00D041BA"/>
    <w:rsid w:val="00D0433D"/>
    <w:rsid w:val="00D04401"/>
    <w:rsid w:val="00D044FF"/>
    <w:rsid w:val="00D0460A"/>
    <w:rsid w:val="00D0464C"/>
    <w:rsid w:val="00D0466B"/>
    <w:rsid w:val="00D04673"/>
    <w:rsid w:val="00D04675"/>
    <w:rsid w:val="00D0470E"/>
    <w:rsid w:val="00D0477A"/>
    <w:rsid w:val="00D0477E"/>
    <w:rsid w:val="00D0485F"/>
    <w:rsid w:val="00D04A17"/>
    <w:rsid w:val="00D04A2A"/>
    <w:rsid w:val="00D04A40"/>
    <w:rsid w:val="00D04A81"/>
    <w:rsid w:val="00D04ADE"/>
    <w:rsid w:val="00D04B85"/>
    <w:rsid w:val="00D04C3B"/>
    <w:rsid w:val="00D04D1C"/>
    <w:rsid w:val="00D04D39"/>
    <w:rsid w:val="00D04DC2"/>
    <w:rsid w:val="00D04E06"/>
    <w:rsid w:val="00D04E20"/>
    <w:rsid w:val="00D04E2D"/>
    <w:rsid w:val="00D04EC2"/>
    <w:rsid w:val="00D04F32"/>
    <w:rsid w:val="00D05278"/>
    <w:rsid w:val="00D052C0"/>
    <w:rsid w:val="00D05379"/>
    <w:rsid w:val="00D05384"/>
    <w:rsid w:val="00D0539C"/>
    <w:rsid w:val="00D05418"/>
    <w:rsid w:val="00D05471"/>
    <w:rsid w:val="00D054AA"/>
    <w:rsid w:val="00D054DA"/>
    <w:rsid w:val="00D054DB"/>
    <w:rsid w:val="00D0550F"/>
    <w:rsid w:val="00D0556A"/>
    <w:rsid w:val="00D0556D"/>
    <w:rsid w:val="00D056C2"/>
    <w:rsid w:val="00D056DE"/>
    <w:rsid w:val="00D056F0"/>
    <w:rsid w:val="00D0584F"/>
    <w:rsid w:val="00D05881"/>
    <w:rsid w:val="00D05888"/>
    <w:rsid w:val="00D0592C"/>
    <w:rsid w:val="00D0593D"/>
    <w:rsid w:val="00D05983"/>
    <w:rsid w:val="00D05985"/>
    <w:rsid w:val="00D059F7"/>
    <w:rsid w:val="00D05A0E"/>
    <w:rsid w:val="00D05AC1"/>
    <w:rsid w:val="00D05B9B"/>
    <w:rsid w:val="00D05BED"/>
    <w:rsid w:val="00D05C5B"/>
    <w:rsid w:val="00D05D26"/>
    <w:rsid w:val="00D05E1F"/>
    <w:rsid w:val="00D05E4B"/>
    <w:rsid w:val="00D05E68"/>
    <w:rsid w:val="00D05EA7"/>
    <w:rsid w:val="00D05F7F"/>
    <w:rsid w:val="00D0602E"/>
    <w:rsid w:val="00D06050"/>
    <w:rsid w:val="00D060DC"/>
    <w:rsid w:val="00D06132"/>
    <w:rsid w:val="00D06158"/>
    <w:rsid w:val="00D06192"/>
    <w:rsid w:val="00D0623E"/>
    <w:rsid w:val="00D0627E"/>
    <w:rsid w:val="00D062EB"/>
    <w:rsid w:val="00D06323"/>
    <w:rsid w:val="00D063F0"/>
    <w:rsid w:val="00D0640E"/>
    <w:rsid w:val="00D06429"/>
    <w:rsid w:val="00D06521"/>
    <w:rsid w:val="00D06580"/>
    <w:rsid w:val="00D065B7"/>
    <w:rsid w:val="00D0673E"/>
    <w:rsid w:val="00D067F1"/>
    <w:rsid w:val="00D06813"/>
    <w:rsid w:val="00D06887"/>
    <w:rsid w:val="00D0689D"/>
    <w:rsid w:val="00D068AA"/>
    <w:rsid w:val="00D068EF"/>
    <w:rsid w:val="00D069A8"/>
    <w:rsid w:val="00D06B0A"/>
    <w:rsid w:val="00D06B47"/>
    <w:rsid w:val="00D06B75"/>
    <w:rsid w:val="00D06B88"/>
    <w:rsid w:val="00D06C1D"/>
    <w:rsid w:val="00D06D1B"/>
    <w:rsid w:val="00D06D96"/>
    <w:rsid w:val="00D06DA3"/>
    <w:rsid w:val="00D06E53"/>
    <w:rsid w:val="00D06EAA"/>
    <w:rsid w:val="00D06F27"/>
    <w:rsid w:val="00D06F29"/>
    <w:rsid w:val="00D06FEA"/>
    <w:rsid w:val="00D07196"/>
    <w:rsid w:val="00D071DE"/>
    <w:rsid w:val="00D07264"/>
    <w:rsid w:val="00D072AC"/>
    <w:rsid w:val="00D0738E"/>
    <w:rsid w:val="00D073D4"/>
    <w:rsid w:val="00D07492"/>
    <w:rsid w:val="00D0749A"/>
    <w:rsid w:val="00D074A2"/>
    <w:rsid w:val="00D0750D"/>
    <w:rsid w:val="00D07511"/>
    <w:rsid w:val="00D07616"/>
    <w:rsid w:val="00D076D4"/>
    <w:rsid w:val="00D0780B"/>
    <w:rsid w:val="00D07885"/>
    <w:rsid w:val="00D07910"/>
    <w:rsid w:val="00D07961"/>
    <w:rsid w:val="00D079B8"/>
    <w:rsid w:val="00D07A1B"/>
    <w:rsid w:val="00D07A5F"/>
    <w:rsid w:val="00D07B10"/>
    <w:rsid w:val="00D07BF4"/>
    <w:rsid w:val="00D07C06"/>
    <w:rsid w:val="00D07C93"/>
    <w:rsid w:val="00D07E36"/>
    <w:rsid w:val="00D07E6A"/>
    <w:rsid w:val="00D07E6E"/>
    <w:rsid w:val="00D07F87"/>
    <w:rsid w:val="00D1004A"/>
    <w:rsid w:val="00D10079"/>
    <w:rsid w:val="00D100CE"/>
    <w:rsid w:val="00D100DB"/>
    <w:rsid w:val="00D10136"/>
    <w:rsid w:val="00D10145"/>
    <w:rsid w:val="00D1015B"/>
    <w:rsid w:val="00D101E5"/>
    <w:rsid w:val="00D1022F"/>
    <w:rsid w:val="00D102A6"/>
    <w:rsid w:val="00D102DB"/>
    <w:rsid w:val="00D10329"/>
    <w:rsid w:val="00D10330"/>
    <w:rsid w:val="00D1036A"/>
    <w:rsid w:val="00D104B4"/>
    <w:rsid w:val="00D1054D"/>
    <w:rsid w:val="00D10573"/>
    <w:rsid w:val="00D105AC"/>
    <w:rsid w:val="00D105BD"/>
    <w:rsid w:val="00D105F2"/>
    <w:rsid w:val="00D1061A"/>
    <w:rsid w:val="00D10633"/>
    <w:rsid w:val="00D106A7"/>
    <w:rsid w:val="00D10756"/>
    <w:rsid w:val="00D10766"/>
    <w:rsid w:val="00D107FA"/>
    <w:rsid w:val="00D1080D"/>
    <w:rsid w:val="00D1082E"/>
    <w:rsid w:val="00D10861"/>
    <w:rsid w:val="00D10917"/>
    <w:rsid w:val="00D10934"/>
    <w:rsid w:val="00D10A31"/>
    <w:rsid w:val="00D10B1F"/>
    <w:rsid w:val="00D10B51"/>
    <w:rsid w:val="00D10BAF"/>
    <w:rsid w:val="00D10BE8"/>
    <w:rsid w:val="00D10C6D"/>
    <w:rsid w:val="00D10C71"/>
    <w:rsid w:val="00D10C74"/>
    <w:rsid w:val="00D10CC1"/>
    <w:rsid w:val="00D10D6D"/>
    <w:rsid w:val="00D10DAE"/>
    <w:rsid w:val="00D10DEA"/>
    <w:rsid w:val="00D10EC1"/>
    <w:rsid w:val="00D10F2F"/>
    <w:rsid w:val="00D10FA8"/>
    <w:rsid w:val="00D110D4"/>
    <w:rsid w:val="00D1115B"/>
    <w:rsid w:val="00D11218"/>
    <w:rsid w:val="00D1127F"/>
    <w:rsid w:val="00D1128A"/>
    <w:rsid w:val="00D1128D"/>
    <w:rsid w:val="00D112D4"/>
    <w:rsid w:val="00D112DF"/>
    <w:rsid w:val="00D113D8"/>
    <w:rsid w:val="00D11411"/>
    <w:rsid w:val="00D11527"/>
    <w:rsid w:val="00D11581"/>
    <w:rsid w:val="00D1164C"/>
    <w:rsid w:val="00D11656"/>
    <w:rsid w:val="00D11682"/>
    <w:rsid w:val="00D116BA"/>
    <w:rsid w:val="00D116CD"/>
    <w:rsid w:val="00D117CA"/>
    <w:rsid w:val="00D11913"/>
    <w:rsid w:val="00D1192B"/>
    <w:rsid w:val="00D1193A"/>
    <w:rsid w:val="00D1198B"/>
    <w:rsid w:val="00D11A2A"/>
    <w:rsid w:val="00D11A9E"/>
    <w:rsid w:val="00D11AC9"/>
    <w:rsid w:val="00D11ADC"/>
    <w:rsid w:val="00D11B9B"/>
    <w:rsid w:val="00D11BDE"/>
    <w:rsid w:val="00D11C64"/>
    <w:rsid w:val="00D11CAF"/>
    <w:rsid w:val="00D11D9B"/>
    <w:rsid w:val="00D11D9D"/>
    <w:rsid w:val="00D11E73"/>
    <w:rsid w:val="00D11EAC"/>
    <w:rsid w:val="00D11EC9"/>
    <w:rsid w:val="00D11FCB"/>
    <w:rsid w:val="00D12070"/>
    <w:rsid w:val="00D1212A"/>
    <w:rsid w:val="00D12141"/>
    <w:rsid w:val="00D121BF"/>
    <w:rsid w:val="00D1221F"/>
    <w:rsid w:val="00D122DF"/>
    <w:rsid w:val="00D12329"/>
    <w:rsid w:val="00D123F8"/>
    <w:rsid w:val="00D1245D"/>
    <w:rsid w:val="00D124BF"/>
    <w:rsid w:val="00D125CA"/>
    <w:rsid w:val="00D1260F"/>
    <w:rsid w:val="00D12679"/>
    <w:rsid w:val="00D12690"/>
    <w:rsid w:val="00D12752"/>
    <w:rsid w:val="00D127F6"/>
    <w:rsid w:val="00D1280B"/>
    <w:rsid w:val="00D12811"/>
    <w:rsid w:val="00D1285A"/>
    <w:rsid w:val="00D12874"/>
    <w:rsid w:val="00D12889"/>
    <w:rsid w:val="00D128A6"/>
    <w:rsid w:val="00D12968"/>
    <w:rsid w:val="00D12983"/>
    <w:rsid w:val="00D129BF"/>
    <w:rsid w:val="00D129C9"/>
    <w:rsid w:val="00D129E5"/>
    <w:rsid w:val="00D129E8"/>
    <w:rsid w:val="00D12A89"/>
    <w:rsid w:val="00D12C4F"/>
    <w:rsid w:val="00D12C61"/>
    <w:rsid w:val="00D12DEA"/>
    <w:rsid w:val="00D12E06"/>
    <w:rsid w:val="00D12EA3"/>
    <w:rsid w:val="00D12EEB"/>
    <w:rsid w:val="00D12EEE"/>
    <w:rsid w:val="00D12F29"/>
    <w:rsid w:val="00D12F4D"/>
    <w:rsid w:val="00D130BF"/>
    <w:rsid w:val="00D13182"/>
    <w:rsid w:val="00D131AC"/>
    <w:rsid w:val="00D13240"/>
    <w:rsid w:val="00D132C4"/>
    <w:rsid w:val="00D133B4"/>
    <w:rsid w:val="00D134D8"/>
    <w:rsid w:val="00D1350A"/>
    <w:rsid w:val="00D135DE"/>
    <w:rsid w:val="00D13646"/>
    <w:rsid w:val="00D1365F"/>
    <w:rsid w:val="00D136D5"/>
    <w:rsid w:val="00D13719"/>
    <w:rsid w:val="00D13775"/>
    <w:rsid w:val="00D13782"/>
    <w:rsid w:val="00D1378E"/>
    <w:rsid w:val="00D13813"/>
    <w:rsid w:val="00D13932"/>
    <w:rsid w:val="00D13A81"/>
    <w:rsid w:val="00D13B2B"/>
    <w:rsid w:val="00D13B60"/>
    <w:rsid w:val="00D13BE0"/>
    <w:rsid w:val="00D13DA3"/>
    <w:rsid w:val="00D13DCD"/>
    <w:rsid w:val="00D13E44"/>
    <w:rsid w:val="00D13F41"/>
    <w:rsid w:val="00D13FAC"/>
    <w:rsid w:val="00D1404E"/>
    <w:rsid w:val="00D14108"/>
    <w:rsid w:val="00D1427B"/>
    <w:rsid w:val="00D142E5"/>
    <w:rsid w:val="00D142EC"/>
    <w:rsid w:val="00D1430B"/>
    <w:rsid w:val="00D14320"/>
    <w:rsid w:val="00D14440"/>
    <w:rsid w:val="00D1448F"/>
    <w:rsid w:val="00D144C8"/>
    <w:rsid w:val="00D1452F"/>
    <w:rsid w:val="00D14532"/>
    <w:rsid w:val="00D145A0"/>
    <w:rsid w:val="00D145B3"/>
    <w:rsid w:val="00D14639"/>
    <w:rsid w:val="00D1465B"/>
    <w:rsid w:val="00D1466F"/>
    <w:rsid w:val="00D14695"/>
    <w:rsid w:val="00D1470F"/>
    <w:rsid w:val="00D1478A"/>
    <w:rsid w:val="00D147B8"/>
    <w:rsid w:val="00D147BF"/>
    <w:rsid w:val="00D1485C"/>
    <w:rsid w:val="00D14881"/>
    <w:rsid w:val="00D149C5"/>
    <w:rsid w:val="00D14A29"/>
    <w:rsid w:val="00D14A2B"/>
    <w:rsid w:val="00D14A30"/>
    <w:rsid w:val="00D14A5D"/>
    <w:rsid w:val="00D14B15"/>
    <w:rsid w:val="00D14B1E"/>
    <w:rsid w:val="00D14B3A"/>
    <w:rsid w:val="00D14B87"/>
    <w:rsid w:val="00D14B94"/>
    <w:rsid w:val="00D14BE0"/>
    <w:rsid w:val="00D14C08"/>
    <w:rsid w:val="00D14C36"/>
    <w:rsid w:val="00D14C86"/>
    <w:rsid w:val="00D14CAE"/>
    <w:rsid w:val="00D14D56"/>
    <w:rsid w:val="00D14DB3"/>
    <w:rsid w:val="00D14DF2"/>
    <w:rsid w:val="00D14E09"/>
    <w:rsid w:val="00D14EA5"/>
    <w:rsid w:val="00D14ECD"/>
    <w:rsid w:val="00D14F07"/>
    <w:rsid w:val="00D14FC1"/>
    <w:rsid w:val="00D1513B"/>
    <w:rsid w:val="00D15205"/>
    <w:rsid w:val="00D152C2"/>
    <w:rsid w:val="00D15490"/>
    <w:rsid w:val="00D154AF"/>
    <w:rsid w:val="00D155E1"/>
    <w:rsid w:val="00D15646"/>
    <w:rsid w:val="00D1566D"/>
    <w:rsid w:val="00D156E3"/>
    <w:rsid w:val="00D15753"/>
    <w:rsid w:val="00D15797"/>
    <w:rsid w:val="00D157F8"/>
    <w:rsid w:val="00D15826"/>
    <w:rsid w:val="00D158A0"/>
    <w:rsid w:val="00D158A1"/>
    <w:rsid w:val="00D1596B"/>
    <w:rsid w:val="00D159AF"/>
    <w:rsid w:val="00D159B9"/>
    <w:rsid w:val="00D15A7B"/>
    <w:rsid w:val="00D15AF0"/>
    <w:rsid w:val="00D15AF6"/>
    <w:rsid w:val="00D15B47"/>
    <w:rsid w:val="00D15C3A"/>
    <w:rsid w:val="00D15CCB"/>
    <w:rsid w:val="00D15D30"/>
    <w:rsid w:val="00D15D93"/>
    <w:rsid w:val="00D15E1D"/>
    <w:rsid w:val="00D15E2A"/>
    <w:rsid w:val="00D15EC1"/>
    <w:rsid w:val="00D15EED"/>
    <w:rsid w:val="00D15FC3"/>
    <w:rsid w:val="00D16028"/>
    <w:rsid w:val="00D16035"/>
    <w:rsid w:val="00D160D0"/>
    <w:rsid w:val="00D16123"/>
    <w:rsid w:val="00D162AD"/>
    <w:rsid w:val="00D162B3"/>
    <w:rsid w:val="00D16322"/>
    <w:rsid w:val="00D1637C"/>
    <w:rsid w:val="00D16385"/>
    <w:rsid w:val="00D164CD"/>
    <w:rsid w:val="00D1656F"/>
    <w:rsid w:val="00D165B7"/>
    <w:rsid w:val="00D165CB"/>
    <w:rsid w:val="00D16666"/>
    <w:rsid w:val="00D16778"/>
    <w:rsid w:val="00D168E0"/>
    <w:rsid w:val="00D168E3"/>
    <w:rsid w:val="00D16948"/>
    <w:rsid w:val="00D169AC"/>
    <w:rsid w:val="00D169E3"/>
    <w:rsid w:val="00D169E4"/>
    <w:rsid w:val="00D16A23"/>
    <w:rsid w:val="00D16A97"/>
    <w:rsid w:val="00D16AE1"/>
    <w:rsid w:val="00D16B39"/>
    <w:rsid w:val="00D16C87"/>
    <w:rsid w:val="00D16CD6"/>
    <w:rsid w:val="00D16D6A"/>
    <w:rsid w:val="00D16DAF"/>
    <w:rsid w:val="00D16DF2"/>
    <w:rsid w:val="00D16F66"/>
    <w:rsid w:val="00D17011"/>
    <w:rsid w:val="00D1705F"/>
    <w:rsid w:val="00D171C4"/>
    <w:rsid w:val="00D171FA"/>
    <w:rsid w:val="00D1720E"/>
    <w:rsid w:val="00D17251"/>
    <w:rsid w:val="00D17337"/>
    <w:rsid w:val="00D1742F"/>
    <w:rsid w:val="00D17435"/>
    <w:rsid w:val="00D17472"/>
    <w:rsid w:val="00D17475"/>
    <w:rsid w:val="00D17542"/>
    <w:rsid w:val="00D1754A"/>
    <w:rsid w:val="00D1757E"/>
    <w:rsid w:val="00D1763A"/>
    <w:rsid w:val="00D176C1"/>
    <w:rsid w:val="00D176FF"/>
    <w:rsid w:val="00D1777B"/>
    <w:rsid w:val="00D177F8"/>
    <w:rsid w:val="00D17801"/>
    <w:rsid w:val="00D1784E"/>
    <w:rsid w:val="00D178BC"/>
    <w:rsid w:val="00D178DF"/>
    <w:rsid w:val="00D17904"/>
    <w:rsid w:val="00D17935"/>
    <w:rsid w:val="00D17953"/>
    <w:rsid w:val="00D17A81"/>
    <w:rsid w:val="00D17BB7"/>
    <w:rsid w:val="00D17BE4"/>
    <w:rsid w:val="00D17C35"/>
    <w:rsid w:val="00D17C5E"/>
    <w:rsid w:val="00D17C86"/>
    <w:rsid w:val="00D17CCE"/>
    <w:rsid w:val="00D17CF5"/>
    <w:rsid w:val="00D17D29"/>
    <w:rsid w:val="00D17EFC"/>
    <w:rsid w:val="00D17F09"/>
    <w:rsid w:val="00D17F5F"/>
    <w:rsid w:val="00D17F8B"/>
    <w:rsid w:val="00D20077"/>
    <w:rsid w:val="00D200FE"/>
    <w:rsid w:val="00D2010B"/>
    <w:rsid w:val="00D20124"/>
    <w:rsid w:val="00D20186"/>
    <w:rsid w:val="00D201D7"/>
    <w:rsid w:val="00D20222"/>
    <w:rsid w:val="00D2024F"/>
    <w:rsid w:val="00D2025D"/>
    <w:rsid w:val="00D20314"/>
    <w:rsid w:val="00D203C9"/>
    <w:rsid w:val="00D203CB"/>
    <w:rsid w:val="00D2047F"/>
    <w:rsid w:val="00D20516"/>
    <w:rsid w:val="00D2054C"/>
    <w:rsid w:val="00D2059E"/>
    <w:rsid w:val="00D205C2"/>
    <w:rsid w:val="00D205E5"/>
    <w:rsid w:val="00D2066D"/>
    <w:rsid w:val="00D206E2"/>
    <w:rsid w:val="00D20766"/>
    <w:rsid w:val="00D20855"/>
    <w:rsid w:val="00D20919"/>
    <w:rsid w:val="00D2099B"/>
    <w:rsid w:val="00D20A03"/>
    <w:rsid w:val="00D20A12"/>
    <w:rsid w:val="00D20A49"/>
    <w:rsid w:val="00D20A62"/>
    <w:rsid w:val="00D20A7C"/>
    <w:rsid w:val="00D20A7F"/>
    <w:rsid w:val="00D20B2F"/>
    <w:rsid w:val="00D20B72"/>
    <w:rsid w:val="00D20C0D"/>
    <w:rsid w:val="00D20D34"/>
    <w:rsid w:val="00D20D8E"/>
    <w:rsid w:val="00D20DC3"/>
    <w:rsid w:val="00D20E1E"/>
    <w:rsid w:val="00D20E4A"/>
    <w:rsid w:val="00D20EAB"/>
    <w:rsid w:val="00D20F0D"/>
    <w:rsid w:val="00D20F87"/>
    <w:rsid w:val="00D20F96"/>
    <w:rsid w:val="00D20FC9"/>
    <w:rsid w:val="00D2105B"/>
    <w:rsid w:val="00D2108D"/>
    <w:rsid w:val="00D21144"/>
    <w:rsid w:val="00D211B6"/>
    <w:rsid w:val="00D21257"/>
    <w:rsid w:val="00D2126E"/>
    <w:rsid w:val="00D212A5"/>
    <w:rsid w:val="00D213AB"/>
    <w:rsid w:val="00D21414"/>
    <w:rsid w:val="00D2146C"/>
    <w:rsid w:val="00D214C2"/>
    <w:rsid w:val="00D216E6"/>
    <w:rsid w:val="00D2175F"/>
    <w:rsid w:val="00D2176E"/>
    <w:rsid w:val="00D217B1"/>
    <w:rsid w:val="00D21B3B"/>
    <w:rsid w:val="00D21C1E"/>
    <w:rsid w:val="00D21C84"/>
    <w:rsid w:val="00D21D09"/>
    <w:rsid w:val="00D21E30"/>
    <w:rsid w:val="00D21EB1"/>
    <w:rsid w:val="00D21EEA"/>
    <w:rsid w:val="00D21EEB"/>
    <w:rsid w:val="00D22000"/>
    <w:rsid w:val="00D2201B"/>
    <w:rsid w:val="00D22061"/>
    <w:rsid w:val="00D220D1"/>
    <w:rsid w:val="00D220DC"/>
    <w:rsid w:val="00D22152"/>
    <w:rsid w:val="00D22194"/>
    <w:rsid w:val="00D22289"/>
    <w:rsid w:val="00D222AE"/>
    <w:rsid w:val="00D222D1"/>
    <w:rsid w:val="00D222EC"/>
    <w:rsid w:val="00D22357"/>
    <w:rsid w:val="00D223E5"/>
    <w:rsid w:val="00D22420"/>
    <w:rsid w:val="00D224DA"/>
    <w:rsid w:val="00D224FA"/>
    <w:rsid w:val="00D225CA"/>
    <w:rsid w:val="00D225D8"/>
    <w:rsid w:val="00D2260D"/>
    <w:rsid w:val="00D22660"/>
    <w:rsid w:val="00D22670"/>
    <w:rsid w:val="00D2268D"/>
    <w:rsid w:val="00D2276C"/>
    <w:rsid w:val="00D227E9"/>
    <w:rsid w:val="00D227F8"/>
    <w:rsid w:val="00D2297B"/>
    <w:rsid w:val="00D229C3"/>
    <w:rsid w:val="00D22A92"/>
    <w:rsid w:val="00D22B08"/>
    <w:rsid w:val="00D22B42"/>
    <w:rsid w:val="00D22B4D"/>
    <w:rsid w:val="00D22BA8"/>
    <w:rsid w:val="00D22C06"/>
    <w:rsid w:val="00D22CF1"/>
    <w:rsid w:val="00D22CF5"/>
    <w:rsid w:val="00D22D24"/>
    <w:rsid w:val="00D22DC1"/>
    <w:rsid w:val="00D22DD8"/>
    <w:rsid w:val="00D22E24"/>
    <w:rsid w:val="00D22F3F"/>
    <w:rsid w:val="00D22F94"/>
    <w:rsid w:val="00D22FC1"/>
    <w:rsid w:val="00D2304F"/>
    <w:rsid w:val="00D2308B"/>
    <w:rsid w:val="00D2327C"/>
    <w:rsid w:val="00D2348F"/>
    <w:rsid w:val="00D236DA"/>
    <w:rsid w:val="00D2371A"/>
    <w:rsid w:val="00D237AF"/>
    <w:rsid w:val="00D237BF"/>
    <w:rsid w:val="00D2380E"/>
    <w:rsid w:val="00D23860"/>
    <w:rsid w:val="00D2389B"/>
    <w:rsid w:val="00D238B3"/>
    <w:rsid w:val="00D238CC"/>
    <w:rsid w:val="00D23915"/>
    <w:rsid w:val="00D23A50"/>
    <w:rsid w:val="00D23AA6"/>
    <w:rsid w:val="00D23B05"/>
    <w:rsid w:val="00D23C15"/>
    <w:rsid w:val="00D23CCB"/>
    <w:rsid w:val="00D23CDE"/>
    <w:rsid w:val="00D23D1A"/>
    <w:rsid w:val="00D23F25"/>
    <w:rsid w:val="00D23F49"/>
    <w:rsid w:val="00D24034"/>
    <w:rsid w:val="00D2403C"/>
    <w:rsid w:val="00D24115"/>
    <w:rsid w:val="00D2428F"/>
    <w:rsid w:val="00D2438E"/>
    <w:rsid w:val="00D243B9"/>
    <w:rsid w:val="00D2448E"/>
    <w:rsid w:val="00D244C6"/>
    <w:rsid w:val="00D245B6"/>
    <w:rsid w:val="00D24740"/>
    <w:rsid w:val="00D24767"/>
    <w:rsid w:val="00D2483E"/>
    <w:rsid w:val="00D24887"/>
    <w:rsid w:val="00D248AF"/>
    <w:rsid w:val="00D248D7"/>
    <w:rsid w:val="00D24944"/>
    <w:rsid w:val="00D249BD"/>
    <w:rsid w:val="00D24A1C"/>
    <w:rsid w:val="00D24A69"/>
    <w:rsid w:val="00D24ACA"/>
    <w:rsid w:val="00D24B31"/>
    <w:rsid w:val="00D24B61"/>
    <w:rsid w:val="00D24B93"/>
    <w:rsid w:val="00D24D48"/>
    <w:rsid w:val="00D24DBE"/>
    <w:rsid w:val="00D24E26"/>
    <w:rsid w:val="00D24EB9"/>
    <w:rsid w:val="00D24FAE"/>
    <w:rsid w:val="00D24FCE"/>
    <w:rsid w:val="00D24FDA"/>
    <w:rsid w:val="00D2504C"/>
    <w:rsid w:val="00D251D8"/>
    <w:rsid w:val="00D2523F"/>
    <w:rsid w:val="00D25265"/>
    <w:rsid w:val="00D253AD"/>
    <w:rsid w:val="00D2544E"/>
    <w:rsid w:val="00D254D1"/>
    <w:rsid w:val="00D2557A"/>
    <w:rsid w:val="00D255A8"/>
    <w:rsid w:val="00D2565C"/>
    <w:rsid w:val="00D2566B"/>
    <w:rsid w:val="00D256A5"/>
    <w:rsid w:val="00D257C3"/>
    <w:rsid w:val="00D2582C"/>
    <w:rsid w:val="00D258BE"/>
    <w:rsid w:val="00D2591F"/>
    <w:rsid w:val="00D2592D"/>
    <w:rsid w:val="00D259CC"/>
    <w:rsid w:val="00D25A51"/>
    <w:rsid w:val="00D25AA0"/>
    <w:rsid w:val="00D25C8E"/>
    <w:rsid w:val="00D25CBA"/>
    <w:rsid w:val="00D25CDF"/>
    <w:rsid w:val="00D25D37"/>
    <w:rsid w:val="00D25DA6"/>
    <w:rsid w:val="00D25E79"/>
    <w:rsid w:val="00D25EB6"/>
    <w:rsid w:val="00D25EE0"/>
    <w:rsid w:val="00D25F94"/>
    <w:rsid w:val="00D25FC5"/>
    <w:rsid w:val="00D26181"/>
    <w:rsid w:val="00D261D5"/>
    <w:rsid w:val="00D26242"/>
    <w:rsid w:val="00D26254"/>
    <w:rsid w:val="00D26323"/>
    <w:rsid w:val="00D26342"/>
    <w:rsid w:val="00D26379"/>
    <w:rsid w:val="00D263B5"/>
    <w:rsid w:val="00D263E1"/>
    <w:rsid w:val="00D26425"/>
    <w:rsid w:val="00D2647D"/>
    <w:rsid w:val="00D26514"/>
    <w:rsid w:val="00D2651C"/>
    <w:rsid w:val="00D26537"/>
    <w:rsid w:val="00D26547"/>
    <w:rsid w:val="00D26604"/>
    <w:rsid w:val="00D26619"/>
    <w:rsid w:val="00D26620"/>
    <w:rsid w:val="00D26654"/>
    <w:rsid w:val="00D2665F"/>
    <w:rsid w:val="00D2669C"/>
    <w:rsid w:val="00D266C5"/>
    <w:rsid w:val="00D2678A"/>
    <w:rsid w:val="00D26811"/>
    <w:rsid w:val="00D26829"/>
    <w:rsid w:val="00D26895"/>
    <w:rsid w:val="00D268CE"/>
    <w:rsid w:val="00D2690B"/>
    <w:rsid w:val="00D26955"/>
    <w:rsid w:val="00D269D0"/>
    <w:rsid w:val="00D269F4"/>
    <w:rsid w:val="00D26A0B"/>
    <w:rsid w:val="00D26A10"/>
    <w:rsid w:val="00D26C8B"/>
    <w:rsid w:val="00D26CF1"/>
    <w:rsid w:val="00D26D7A"/>
    <w:rsid w:val="00D26DE7"/>
    <w:rsid w:val="00D26E29"/>
    <w:rsid w:val="00D26E4D"/>
    <w:rsid w:val="00D26EBE"/>
    <w:rsid w:val="00D26ECF"/>
    <w:rsid w:val="00D26F58"/>
    <w:rsid w:val="00D27052"/>
    <w:rsid w:val="00D27073"/>
    <w:rsid w:val="00D27099"/>
    <w:rsid w:val="00D270B6"/>
    <w:rsid w:val="00D270EF"/>
    <w:rsid w:val="00D270F0"/>
    <w:rsid w:val="00D271C6"/>
    <w:rsid w:val="00D27210"/>
    <w:rsid w:val="00D2723D"/>
    <w:rsid w:val="00D272CD"/>
    <w:rsid w:val="00D2733C"/>
    <w:rsid w:val="00D27379"/>
    <w:rsid w:val="00D2739A"/>
    <w:rsid w:val="00D274EA"/>
    <w:rsid w:val="00D274F4"/>
    <w:rsid w:val="00D2750F"/>
    <w:rsid w:val="00D27513"/>
    <w:rsid w:val="00D275AB"/>
    <w:rsid w:val="00D275D5"/>
    <w:rsid w:val="00D27685"/>
    <w:rsid w:val="00D276B0"/>
    <w:rsid w:val="00D2786A"/>
    <w:rsid w:val="00D279A7"/>
    <w:rsid w:val="00D279BB"/>
    <w:rsid w:val="00D279D7"/>
    <w:rsid w:val="00D279D8"/>
    <w:rsid w:val="00D27AF3"/>
    <w:rsid w:val="00D27AF5"/>
    <w:rsid w:val="00D27B69"/>
    <w:rsid w:val="00D27BF4"/>
    <w:rsid w:val="00D27C2C"/>
    <w:rsid w:val="00D27C3A"/>
    <w:rsid w:val="00D27D06"/>
    <w:rsid w:val="00D27D69"/>
    <w:rsid w:val="00D27ED6"/>
    <w:rsid w:val="00D27FA3"/>
    <w:rsid w:val="00D27FC9"/>
    <w:rsid w:val="00D27FCA"/>
    <w:rsid w:val="00D300CB"/>
    <w:rsid w:val="00D30103"/>
    <w:rsid w:val="00D3019F"/>
    <w:rsid w:val="00D301B2"/>
    <w:rsid w:val="00D30209"/>
    <w:rsid w:val="00D30282"/>
    <w:rsid w:val="00D302E9"/>
    <w:rsid w:val="00D3031C"/>
    <w:rsid w:val="00D30350"/>
    <w:rsid w:val="00D3037D"/>
    <w:rsid w:val="00D3037F"/>
    <w:rsid w:val="00D30447"/>
    <w:rsid w:val="00D3052D"/>
    <w:rsid w:val="00D3056D"/>
    <w:rsid w:val="00D3058A"/>
    <w:rsid w:val="00D30645"/>
    <w:rsid w:val="00D30681"/>
    <w:rsid w:val="00D306A9"/>
    <w:rsid w:val="00D30727"/>
    <w:rsid w:val="00D3074D"/>
    <w:rsid w:val="00D30838"/>
    <w:rsid w:val="00D3085E"/>
    <w:rsid w:val="00D30911"/>
    <w:rsid w:val="00D30983"/>
    <w:rsid w:val="00D30989"/>
    <w:rsid w:val="00D30A2F"/>
    <w:rsid w:val="00D30A8A"/>
    <w:rsid w:val="00D30B25"/>
    <w:rsid w:val="00D30B4D"/>
    <w:rsid w:val="00D30C0C"/>
    <w:rsid w:val="00D30C6A"/>
    <w:rsid w:val="00D30CA5"/>
    <w:rsid w:val="00D30CF2"/>
    <w:rsid w:val="00D30D03"/>
    <w:rsid w:val="00D30D0A"/>
    <w:rsid w:val="00D30F01"/>
    <w:rsid w:val="00D30F62"/>
    <w:rsid w:val="00D3105B"/>
    <w:rsid w:val="00D31067"/>
    <w:rsid w:val="00D3116F"/>
    <w:rsid w:val="00D311CA"/>
    <w:rsid w:val="00D3120E"/>
    <w:rsid w:val="00D3123B"/>
    <w:rsid w:val="00D31281"/>
    <w:rsid w:val="00D3131B"/>
    <w:rsid w:val="00D313BA"/>
    <w:rsid w:val="00D31448"/>
    <w:rsid w:val="00D31577"/>
    <w:rsid w:val="00D315D8"/>
    <w:rsid w:val="00D3160E"/>
    <w:rsid w:val="00D3162E"/>
    <w:rsid w:val="00D3166D"/>
    <w:rsid w:val="00D3168C"/>
    <w:rsid w:val="00D316A9"/>
    <w:rsid w:val="00D3176F"/>
    <w:rsid w:val="00D318BD"/>
    <w:rsid w:val="00D3192C"/>
    <w:rsid w:val="00D3198C"/>
    <w:rsid w:val="00D31B31"/>
    <w:rsid w:val="00D31BEC"/>
    <w:rsid w:val="00D31D6B"/>
    <w:rsid w:val="00D31D81"/>
    <w:rsid w:val="00D31DCA"/>
    <w:rsid w:val="00D31DF1"/>
    <w:rsid w:val="00D31FC7"/>
    <w:rsid w:val="00D320A6"/>
    <w:rsid w:val="00D320F6"/>
    <w:rsid w:val="00D32116"/>
    <w:rsid w:val="00D3221B"/>
    <w:rsid w:val="00D3228E"/>
    <w:rsid w:val="00D322B5"/>
    <w:rsid w:val="00D322C4"/>
    <w:rsid w:val="00D32321"/>
    <w:rsid w:val="00D32383"/>
    <w:rsid w:val="00D32415"/>
    <w:rsid w:val="00D3242D"/>
    <w:rsid w:val="00D32448"/>
    <w:rsid w:val="00D32491"/>
    <w:rsid w:val="00D324D5"/>
    <w:rsid w:val="00D3250F"/>
    <w:rsid w:val="00D3254B"/>
    <w:rsid w:val="00D3255E"/>
    <w:rsid w:val="00D32598"/>
    <w:rsid w:val="00D326B4"/>
    <w:rsid w:val="00D32714"/>
    <w:rsid w:val="00D3284F"/>
    <w:rsid w:val="00D328AD"/>
    <w:rsid w:val="00D328CB"/>
    <w:rsid w:val="00D32941"/>
    <w:rsid w:val="00D329CB"/>
    <w:rsid w:val="00D32A58"/>
    <w:rsid w:val="00D32AB0"/>
    <w:rsid w:val="00D32AF2"/>
    <w:rsid w:val="00D32C73"/>
    <w:rsid w:val="00D32D78"/>
    <w:rsid w:val="00D32D7D"/>
    <w:rsid w:val="00D32DEF"/>
    <w:rsid w:val="00D32DF3"/>
    <w:rsid w:val="00D32E48"/>
    <w:rsid w:val="00D32F2A"/>
    <w:rsid w:val="00D32F46"/>
    <w:rsid w:val="00D32F69"/>
    <w:rsid w:val="00D32FCD"/>
    <w:rsid w:val="00D3302D"/>
    <w:rsid w:val="00D33182"/>
    <w:rsid w:val="00D3319E"/>
    <w:rsid w:val="00D331F4"/>
    <w:rsid w:val="00D3337E"/>
    <w:rsid w:val="00D33397"/>
    <w:rsid w:val="00D33403"/>
    <w:rsid w:val="00D33416"/>
    <w:rsid w:val="00D334A1"/>
    <w:rsid w:val="00D334D6"/>
    <w:rsid w:val="00D33569"/>
    <w:rsid w:val="00D33631"/>
    <w:rsid w:val="00D336EB"/>
    <w:rsid w:val="00D337E1"/>
    <w:rsid w:val="00D3381F"/>
    <w:rsid w:val="00D33843"/>
    <w:rsid w:val="00D3391B"/>
    <w:rsid w:val="00D33A21"/>
    <w:rsid w:val="00D33B00"/>
    <w:rsid w:val="00D33B07"/>
    <w:rsid w:val="00D33B68"/>
    <w:rsid w:val="00D33B6C"/>
    <w:rsid w:val="00D33B7F"/>
    <w:rsid w:val="00D33D2B"/>
    <w:rsid w:val="00D33D4B"/>
    <w:rsid w:val="00D33D72"/>
    <w:rsid w:val="00D33E47"/>
    <w:rsid w:val="00D33EA1"/>
    <w:rsid w:val="00D33EE7"/>
    <w:rsid w:val="00D33F44"/>
    <w:rsid w:val="00D33FA9"/>
    <w:rsid w:val="00D34079"/>
    <w:rsid w:val="00D340D3"/>
    <w:rsid w:val="00D34158"/>
    <w:rsid w:val="00D3420C"/>
    <w:rsid w:val="00D342E3"/>
    <w:rsid w:val="00D3430A"/>
    <w:rsid w:val="00D343DB"/>
    <w:rsid w:val="00D343E6"/>
    <w:rsid w:val="00D34489"/>
    <w:rsid w:val="00D344CD"/>
    <w:rsid w:val="00D34512"/>
    <w:rsid w:val="00D34538"/>
    <w:rsid w:val="00D34540"/>
    <w:rsid w:val="00D34571"/>
    <w:rsid w:val="00D3459F"/>
    <w:rsid w:val="00D345C1"/>
    <w:rsid w:val="00D3460E"/>
    <w:rsid w:val="00D3468E"/>
    <w:rsid w:val="00D3474B"/>
    <w:rsid w:val="00D34755"/>
    <w:rsid w:val="00D3478D"/>
    <w:rsid w:val="00D347E2"/>
    <w:rsid w:val="00D34814"/>
    <w:rsid w:val="00D3481B"/>
    <w:rsid w:val="00D34830"/>
    <w:rsid w:val="00D3486B"/>
    <w:rsid w:val="00D348C7"/>
    <w:rsid w:val="00D3493A"/>
    <w:rsid w:val="00D349A7"/>
    <w:rsid w:val="00D34A83"/>
    <w:rsid w:val="00D34A88"/>
    <w:rsid w:val="00D34B0F"/>
    <w:rsid w:val="00D34B10"/>
    <w:rsid w:val="00D34B51"/>
    <w:rsid w:val="00D34BA7"/>
    <w:rsid w:val="00D34BF0"/>
    <w:rsid w:val="00D34BFA"/>
    <w:rsid w:val="00D34C40"/>
    <w:rsid w:val="00D34C76"/>
    <w:rsid w:val="00D34D04"/>
    <w:rsid w:val="00D34D3D"/>
    <w:rsid w:val="00D34D99"/>
    <w:rsid w:val="00D34E6C"/>
    <w:rsid w:val="00D34EBC"/>
    <w:rsid w:val="00D34EE4"/>
    <w:rsid w:val="00D34EFD"/>
    <w:rsid w:val="00D34F4E"/>
    <w:rsid w:val="00D34F8B"/>
    <w:rsid w:val="00D3502B"/>
    <w:rsid w:val="00D35050"/>
    <w:rsid w:val="00D35052"/>
    <w:rsid w:val="00D35098"/>
    <w:rsid w:val="00D352A8"/>
    <w:rsid w:val="00D35313"/>
    <w:rsid w:val="00D3534A"/>
    <w:rsid w:val="00D3534F"/>
    <w:rsid w:val="00D35365"/>
    <w:rsid w:val="00D35458"/>
    <w:rsid w:val="00D354DB"/>
    <w:rsid w:val="00D35563"/>
    <w:rsid w:val="00D357A4"/>
    <w:rsid w:val="00D35992"/>
    <w:rsid w:val="00D359B1"/>
    <w:rsid w:val="00D359DE"/>
    <w:rsid w:val="00D35A1E"/>
    <w:rsid w:val="00D35A2B"/>
    <w:rsid w:val="00D35A7C"/>
    <w:rsid w:val="00D35ACD"/>
    <w:rsid w:val="00D35ADD"/>
    <w:rsid w:val="00D35B30"/>
    <w:rsid w:val="00D35C44"/>
    <w:rsid w:val="00D35CED"/>
    <w:rsid w:val="00D35D3B"/>
    <w:rsid w:val="00D35D3C"/>
    <w:rsid w:val="00D35E21"/>
    <w:rsid w:val="00D35E5B"/>
    <w:rsid w:val="00D35E61"/>
    <w:rsid w:val="00D35E8E"/>
    <w:rsid w:val="00D35EC1"/>
    <w:rsid w:val="00D35F57"/>
    <w:rsid w:val="00D36067"/>
    <w:rsid w:val="00D36099"/>
    <w:rsid w:val="00D3609C"/>
    <w:rsid w:val="00D360EB"/>
    <w:rsid w:val="00D361D7"/>
    <w:rsid w:val="00D362BB"/>
    <w:rsid w:val="00D362CA"/>
    <w:rsid w:val="00D363D4"/>
    <w:rsid w:val="00D363E2"/>
    <w:rsid w:val="00D3643B"/>
    <w:rsid w:val="00D36533"/>
    <w:rsid w:val="00D36579"/>
    <w:rsid w:val="00D365A8"/>
    <w:rsid w:val="00D36607"/>
    <w:rsid w:val="00D3673D"/>
    <w:rsid w:val="00D367F1"/>
    <w:rsid w:val="00D369A3"/>
    <w:rsid w:val="00D369CD"/>
    <w:rsid w:val="00D369CE"/>
    <w:rsid w:val="00D36A36"/>
    <w:rsid w:val="00D36A63"/>
    <w:rsid w:val="00D36A6B"/>
    <w:rsid w:val="00D36AA5"/>
    <w:rsid w:val="00D36AE2"/>
    <w:rsid w:val="00D36B33"/>
    <w:rsid w:val="00D36BD0"/>
    <w:rsid w:val="00D36C02"/>
    <w:rsid w:val="00D36C6D"/>
    <w:rsid w:val="00D36CF4"/>
    <w:rsid w:val="00D36DA2"/>
    <w:rsid w:val="00D36DC8"/>
    <w:rsid w:val="00D36E10"/>
    <w:rsid w:val="00D36E24"/>
    <w:rsid w:val="00D36E8F"/>
    <w:rsid w:val="00D36EA4"/>
    <w:rsid w:val="00D36EE3"/>
    <w:rsid w:val="00D36EEF"/>
    <w:rsid w:val="00D36EFA"/>
    <w:rsid w:val="00D37013"/>
    <w:rsid w:val="00D37026"/>
    <w:rsid w:val="00D37083"/>
    <w:rsid w:val="00D37084"/>
    <w:rsid w:val="00D37245"/>
    <w:rsid w:val="00D3728A"/>
    <w:rsid w:val="00D37367"/>
    <w:rsid w:val="00D373A8"/>
    <w:rsid w:val="00D373CE"/>
    <w:rsid w:val="00D37450"/>
    <w:rsid w:val="00D374D0"/>
    <w:rsid w:val="00D374F2"/>
    <w:rsid w:val="00D375CA"/>
    <w:rsid w:val="00D3768D"/>
    <w:rsid w:val="00D376B3"/>
    <w:rsid w:val="00D3786B"/>
    <w:rsid w:val="00D37891"/>
    <w:rsid w:val="00D3794C"/>
    <w:rsid w:val="00D379C8"/>
    <w:rsid w:val="00D379C9"/>
    <w:rsid w:val="00D37A79"/>
    <w:rsid w:val="00D37AE6"/>
    <w:rsid w:val="00D37B74"/>
    <w:rsid w:val="00D37C3C"/>
    <w:rsid w:val="00D37D31"/>
    <w:rsid w:val="00D37D38"/>
    <w:rsid w:val="00D37E8A"/>
    <w:rsid w:val="00D37EDF"/>
    <w:rsid w:val="00D37F00"/>
    <w:rsid w:val="00D37FCE"/>
    <w:rsid w:val="00D37FF6"/>
    <w:rsid w:val="00D400B6"/>
    <w:rsid w:val="00D401D5"/>
    <w:rsid w:val="00D401F9"/>
    <w:rsid w:val="00D4021E"/>
    <w:rsid w:val="00D40290"/>
    <w:rsid w:val="00D4040D"/>
    <w:rsid w:val="00D40456"/>
    <w:rsid w:val="00D404B2"/>
    <w:rsid w:val="00D40556"/>
    <w:rsid w:val="00D40569"/>
    <w:rsid w:val="00D4064F"/>
    <w:rsid w:val="00D4067B"/>
    <w:rsid w:val="00D40732"/>
    <w:rsid w:val="00D40741"/>
    <w:rsid w:val="00D40794"/>
    <w:rsid w:val="00D4079F"/>
    <w:rsid w:val="00D407B2"/>
    <w:rsid w:val="00D407FB"/>
    <w:rsid w:val="00D40801"/>
    <w:rsid w:val="00D4083E"/>
    <w:rsid w:val="00D408AB"/>
    <w:rsid w:val="00D408C9"/>
    <w:rsid w:val="00D40974"/>
    <w:rsid w:val="00D409B1"/>
    <w:rsid w:val="00D409E9"/>
    <w:rsid w:val="00D40A08"/>
    <w:rsid w:val="00D40A75"/>
    <w:rsid w:val="00D40BD9"/>
    <w:rsid w:val="00D40BDD"/>
    <w:rsid w:val="00D40CCC"/>
    <w:rsid w:val="00D40D45"/>
    <w:rsid w:val="00D40D63"/>
    <w:rsid w:val="00D40E5D"/>
    <w:rsid w:val="00D40E86"/>
    <w:rsid w:val="00D40E99"/>
    <w:rsid w:val="00D40F2D"/>
    <w:rsid w:val="00D40FBA"/>
    <w:rsid w:val="00D40FE2"/>
    <w:rsid w:val="00D40FEB"/>
    <w:rsid w:val="00D40FF0"/>
    <w:rsid w:val="00D41091"/>
    <w:rsid w:val="00D4112B"/>
    <w:rsid w:val="00D411E1"/>
    <w:rsid w:val="00D411EF"/>
    <w:rsid w:val="00D4126C"/>
    <w:rsid w:val="00D41336"/>
    <w:rsid w:val="00D41474"/>
    <w:rsid w:val="00D4153A"/>
    <w:rsid w:val="00D41635"/>
    <w:rsid w:val="00D41675"/>
    <w:rsid w:val="00D416F3"/>
    <w:rsid w:val="00D4180E"/>
    <w:rsid w:val="00D41840"/>
    <w:rsid w:val="00D41878"/>
    <w:rsid w:val="00D418EA"/>
    <w:rsid w:val="00D41917"/>
    <w:rsid w:val="00D41A28"/>
    <w:rsid w:val="00D41A2D"/>
    <w:rsid w:val="00D41A37"/>
    <w:rsid w:val="00D41A5D"/>
    <w:rsid w:val="00D41AF6"/>
    <w:rsid w:val="00D41B23"/>
    <w:rsid w:val="00D41C3A"/>
    <w:rsid w:val="00D41CC0"/>
    <w:rsid w:val="00D41D00"/>
    <w:rsid w:val="00D41D6D"/>
    <w:rsid w:val="00D41DA1"/>
    <w:rsid w:val="00D41E22"/>
    <w:rsid w:val="00D41E3F"/>
    <w:rsid w:val="00D41E51"/>
    <w:rsid w:val="00D41E54"/>
    <w:rsid w:val="00D41E7B"/>
    <w:rsid w:val="00D4200D"/>
    <w:rsid w:val="00D42024"/>
    <w:rsid w:val="00D4208D"/>
    <w:rsid w:val="00D420AC"/>
    <w:rsid w:val="00D420B0"/>
    <w:rsid w:val="00D420B7"/>
    <w:rsid w:val="00D420EA"/>
    <w:rsid w:val="00D422AB"/>
    <w:rsid w:val="00D423D1"/>
    <w:rsid w:val="00D42406"/>
    <w:rsid w:val="00D42500"/>
    <w:rsid w:val="00D42557"/>
    <w:rsid w:val="00D42647"/>
    <w:rsid w:val="00D4264F"/>
    <w:rsid w:val="00D42763"/>
    <w:rsid w:val="00D427CA"/>
    <w:rsid w:val="00D427E9"/>
    <w:rsid w:val="00D42840"/>
    <w:rsid w:val="00D4287E"/>
    <w:rsid w:val="00D42984"/>
    <w:rsid w:val="00D429A4"/>
    <w:rsid w:val="00D429E4"/>
    <w:rsid w:val="00D42A67"/>
    <w:rsid w:val="00D42A90"/>
    <w:rsid w:val="00D42AB0"/>
    <w:rsid w:val="00D42AFA"/>
    <w:rsid w:val="00D42B04"/>
    <w:rsid w:val="00D42B2A"/>
    <w:rsid w:val="00D42B5B"/>
    <w:rsid w:val="00D42B5E"/>
    <w:rsid w:val="00D42BEC"/>
    <w:rsid w:val="00D42BFB"/>
    <w:rsid w:val="00D42C83"/>
    <w:rsid w:val="00D42CDD"/>
    <w:rsid w:val="00D42DF2"/>
    <w:rsid w:val="00D42E64"/>
    <w:rsid w:val="00D42F66"/>
    <w:rsid w:val="00D42FE3"/>
    <w:rsid w:val="00D42FE7"/>
    <w:rsid w:val="00D430E0"/>
    <w:rsid w:val="00D4310D"/>
    <w:rsid w:val="00D43183"/>
    <w:rsid w:val="00D431A9"/>
    <w:rsid w:val="00D431BF"/>
    <w:rsid w:val="00D4330E"/>
    <w:rsid w:val="00D43330"/>
    <w:rsid w:val="00D4334F"/>
    <w:rsid w:val="00D433EE"/>
    <w:rsid w:val="00D43405"/>
    <w:rsid w:val="00D43406"/>
    <w:rsid w:val="00D4348D"/>
    <w:rsid w:val="00D4349D"/>
    <w:rsid w:val="00D434DD"/>
    <w:rsid w:val="00D435C2"/>
    <w:rsid w:val="00D4360D"/>
    <w:rsid w:val="00D43663"/>
    <w:rsid w:val="00D4366E"/>
    <w:rsid w:val="00D436B9"/>
    <w:rsid w:val="00D436C1"/>
    <w:rsid w:val="00D43705"/>
    <w:rsid w:val="00D43803"/>
    <w:rsid w:val="00D43889"/>
    <w:rsid w:val="00D439B4"/>
    <w:rsid w:val="00D439CA"/>
    <w:rsid w:val="00D43BA3"/>
    <w:rsid w:val="00D43BFD"/>
    <w:rsid w:val="00D43D25"/>
    <w:rsid w:val="00D43D6A"/>
    <w:rsid w:val="00D43D8B"/>
    <w:rsid w:val="00D43DB1"/>
    <w:rsid w:val="00D43E65"/>
    <w:rsid w:val="00D4400D"/>
    <w:rsid w:val="00D44070"/>
    <w:rsid w:val="00D44119"/>
    <w:rsid w:val="00D441BE"/>
    <w:rsid w:val="00D44202"/>
    <w:rsid w:val="00D44212"/>
    <w:rsid w:val="00D44349"/>
    <w:rsid w:val="00D44353"/>
    <w:rsid w:val="00D4435D"/>
    <w:rsid w:val="00D4439B"/>
    <w:rsid w:val="00D443B5"/>
    <w:rsid w:val="00D443EA"/>
    <w:rsid w:val="00D444F0"/>
    <w:rsid w:val="00D444FA"/>
    <w:rsid w:val="00D44532"/>
    <w:rsid w:val="00D44578"/>
    <w:rsid w:val="00D445B8"/>
    <w:rsid w:val="00D44699"/>
    <w:rsid w:val="00D446FA"/>
    <w:rsid w:val="00D4470A"/>
    <w:rsid w:val="00D4473C"/>
    <w:rsid w:val="00D44800"/>
    <w:rsid w:val="00D44834"/>
    <w:rsid w:val="00D4483B"/>
    <w:rsid w:val="00D4483F"/>
    <w:rsid w:val="00D448F1"/>
    <w:rsid w:val="00D449BA"/>
    <w:rsid w:val="00D449C0"/>
    <w:rsid w:val="00D449CE"/>
    <w:rsid w:val="00D44A38"/>
    <w:rsid w:val="00D44A8E"/>
    <w:rsid w:val="00D44BDE"/>
    <w:rsid w:val="00D44C77"/>
    <w:rsid w:val="00D44C84"/>
    <w:rsid w:val="00D44CF8"/>
    <w:rsid w:val="00D44D67"/>
    <w:rsid w:val="00D44E27"/>
    <w:rsid w:val="00D44E7D"/>
    <w:rsid w:val="00D44EF7"/>
    <w:rsid w:val="00D44F64"/>
    <w:rsid w:val="00D44FF5"/>
    <w:rsid w:val="00D45037"/>
    <w:rsid w:val="00D45072"/>
    <w:rsid w:val="00D4508B"/>
    <w:rsid w:val="00D45096"/>
    <w:rsid w:val="00D4509E"/>
    <w:rsid w:val="00D4514A"/>
    <w:rsid w:val="00D45161"/>
    <w:rsid w:val="00D4519D"/>
    <w:rsid w:val="00D451A2"/>
    <w:rsid w:val="00D451D0"/>
    <w:rsid w:val="00D4525D"/>
    <w:rsid w:val="00D4525F"/>
    <w:rsid w:val="00D4526C"/>
    <w:rsid w:val="00D452B5"/>
    <w:rsid w:val="00D4530D"/>
    <w:rsid w:val="00D4537A"/>
    <w:rsid w:val="00D45399"/>
    <w:rsid w:val="00D45499"/>
    <w:rsid w:val="00D454F3"/>
    <w:rsid w:val="00D455CE"/>
    <w:rsid w:val="00D45627"/>
    <w:rsid w:val="00D45676"/>
    <w:rsid w:val="00D45682"/>
    <w:rsid w:val="00D456D1"/>
    <w:rsid w:val="00D45711"/>
    <w:rsid w:val="00D457F3"/>
    <w:rsid w:val="00D4585B"/>
    <w:rsid w:val="00D4591B"/>
    <w:rsid w:val="00D4593F"/>
    <w:rsid w:val="00D45945"/>
    <w:rsid w:val="00D45A1F"/>
    <w:rsid w:val="00D45A9C"/>
    <w:rsid w:val="00D45B0F"/>
    <w:rsid w:val="00D45B1F"/>
    <w:rsid w:val="00D45B46"/>
    <w:rsid w:val="00D45C61"/>
    <w:rsid w:val="00D45C8F"/>
    <w:rsid w:val="00D45CC6"/>
    <w:rsid w:val="00D45CD6"/>
    <w:rsid w:val="00D45D2D"/>
    <w:rsid w:val="00D45DC0"/>
    <w:rsid w:val="00D45EB4"/>
    <w:rsid w:val="00D45F11"/>
    <w:rsid w:val="00D45F24"/>
    <w:rsid w:val="00D460A2"/>
    <w:rsid w:val="00D46118"/>
    <w:rsid w:val="00D46167"/>
    <w:rsid w:val="00D461F3"/>
    <w:rsid w:val="00D46229"/>
    <w:rsid w:val="00D46258"/>
    <w:rsid w:val="00D4628A"/>
    <w:rsid w:val="00D46378"/>
    <w:rsid w:val="00D46379"/>
    <w:rsid w:val="00D463B1"/>
    <w:rsid w:val="00D46428"/>
    <w:rsid w:val="00D46510"/>
    <w:rsid w:val="00D465E4"/>
    <w:rsid w:val="00D4666C"/>
    <w:rsid w:val="00D466E4"/>
    <w:rsid w:val="00D468B9"/>
    <w:rsid w:val="00D4690D"/>
    <w:rsid w:val="00D46933"/>
    <w:rsid w:val="00D4696C"/>
    <w:rsid w:val="00D4698B"/>
    <w:rsid w:val="00D46A21"/>
    <w:rsid w:val="00D46AF0"/>
    <w:rsid w:val="00D46AFF"/>
    <w:rsid w:val="00D46B4B"/>
    <w:rsid w:val="00D46B95"/>
    <w:rsid w:val="00D46BB0"/>
    <w:rsid w:val="00D46BEC"/>
    <w:rsid w:val="00D46C53"/>
    <w:rsid w:val="00D46CBD"/>
    <w:rsid w:val="00D46D09"/>
    <w:rsid w:val="00D46D10"/>
    <w:rsid w:val="00D46DB9"/>
    <w:rsid w:val="00D46E84"/>
    <w:rsid w:val="00D46EE6"/>
    <w:rsid w:val="00D46FAB"/>
    <w:rsid w:val="00D46FC7"/>
    <w:rsid w:val="00D46FD8"/>
    <w:rsid w:val="00D46FED"/>
    <w:rsid w:val="00D46FF7"/>
    <w:rsid w:val="00D47048"/>
    <w:rsid w:val="00D470B8"/>
    <w:rsid w:val="00D4714B"/>
    <w:rsid w:val="00D471FC"/>
    <w:rsid w:val="00D4735F"/>
    <w:rsid w:val="00D47456"/>
    <w:rsid w:val="00D47491"/>
    <w:rsid w:val="00D474A2"/>
    <w:rsid w:val="00D47536"/>
    <w:rsid w:val="00D4753C"/>
    <w:rsid w:val="00D47554"/>
    <w:rsid w:val="00D47575"/>
    <w:rsid w:val="00D4758F"/>
    <w:rsid w:val="00D475CD"/>
    <w:rsid w:val="00D475F5"/>
    <w:rsid w:val="00D47679"/>
    <w:rsid w:val="00D47741"/>
    <w:rsid w:val="00D47765"/>
    <w:rsid w:val="00D47822"/>
    <w:rsid w:val="00D47840"/>
    <w:rsid w:val="00D47915"/>
    <w:rsid w:val="00D4797F"/>
    <w:rsid w:val="00D479BD"/>
    <w:rsid w:val="00D479D5"/>
    <w:rsid w:val="00D479E0"/>
    <w:rsid w:val="00D47A1A"/>
    <w:rsid w:val="00D47A6C"/>
    <w:rsid w:val="00D47A87"/>
    <w:rsid w:val="00D47AEB"/>
    <w:rsid w:val="00D47C6D"/>
    <w:rsid w:val="00D47CB5"/>
    <w:rsid w:val="00D47CED"/>
    <w:rsid w:val="00D47DB9"/>
    <w:rsid w:val="00D47E2B"/>
    <w:rsid w:val="00D47F9F"/>
    <w:rsid w:val="00D47FBC"/>
    <w:rsid w:val="00D47FC2"/>
    <w:rsid w:val="00D50022"/>
    <w:rsid w:val="00D500D4"/>
    <w:rsid w:val="00D501D1"/>
    <w:rsid w:val="00D50215"/>
    <w:rsid w:val="00D5024B"/>
    <w:rsid w:val="00D5025A"/>
    <w:rsid w:val="00D50270"/>
    <w:rsid w:val="00D502CB"/>
    <w:rsid w:val="00D502F1"/>
    <w:rsid w:val="00D50323"/>
    <w:rsid w:val="00D503E1"/>
    <w:rsid w:val="00D50425"/>
    <w:rsid w:val="00D50470"/>
    <w:rsid w:val="00D50541"/>
    <w:rsid w:val="00D505B7"/>
    <w:rsid w:val="00D506D7"/>
    <w:rsid w:val="00D506F8"/>
    <w:rsid w:val="00D507D1"/>
    <w:rsid w:val="00D5088C"/>
    <w:rsid w:val="00D508E0"/>
    <w:rsid w:val="00D50907"/>
    <w:rsid w:val="00D509B5"/>
    <w:rsid w:val="00D509CE"/>
    <w:rsid w:val="00D50A15"/>
    <w:rsid w:val="00D50A60"/>
    <w:rsid w:val="00D50AB1"/>
    <w:rsid w:val="00D50AD6"/>
    <w:rsid w:val="00D50ADD"/>
    <w:rsid w:val="00D50B34"/>
    <w:rsid w:val="00D50B90"/>
    <w:rsid w:val="00D50D31"/>
    <w:rsid w:val="00D50DA2"/>
    <w:rsid w:val="00D50E4A"/>
    <w:rsid w:val="00D50ECA"/>
    <w:rsid w:val="00D50EEA"/>
    <w:rsid w:val="00D50F0E"/>
    <w:rsid w:val="00D50F77"/>
    <w:rsid w:val="00D51045"/>
    <w:rsid w:val="00D5108A"/>
    <w:rsid w:val="00D5118D"/>
    <w:rsid w:val="00D511F2"/>
    <w:rsid w:val="00D51249"/>
    <w:rsid w:val="00D51264"/>
    <w:rsid w:val="00D512AC"/>
    <w:rsid w:val="00D51380"/>
    <w:rsid w:val="00D5139E"/>
    <w:rsid w:val="00D513A4"/>
    <w:rsid w:val="00D51460"/>
    <w:rsid w:val="00D51475"/>
    <w:rsid w:val="00D5156A"/>
    <w:rsid w:val="00D515C5"/>
    <w:rsid w:val="00D515C9"/>
    <w:rsid w:val="00D516B4"/>
    <w:rsid w:val="00D5180C"/>
    <w:rsid w:val="00D519E5"/>
    <w:rsid w:val="00D51A0B"/>
    <w:rsid w:val="00D51A2C"/>
    <w:rsid w:val="00D51A4E"/>
    <w:rsid w:val="00D51B98"/>
    <w:rsid w:val="00D51B9E"/>
    <w:rsid w:val="00D51BCD"/>
    <w:rsid w:val="00D51BE7"/>
    <w:rsid w:val="00D51CD2"/>
    <w:rsid w:val="00D51D0B"/>
    <w:rsid w:val="00D51D7B"/>
    <w:rsid w:val="00D51DEB"/>
    <w:rsid w:val="00D51E3A"/>
    <w:rsid w:val="00D51E47"/>
    <w:rsid w:val="00D51E6F"/>
    <w:rsid w:val="00D51ED6"/>
    <w:rsid w:val="00D51FF8"/>
    <w:rsid w:val="00D52018"/>
    <w:rsid w:val="00D52054"/>
    <w:rsid w:val="00D52142"/>
    <w:rsid w:val="00D52154"/>
    <w:rsid w:val="00D52198"/>
    <w:rsid w:val="00D521AD"/>
    <w:rsid w:val="00D521C6"/>
    <w:rsid w:val="00D521FF"/>
    <w:rsid w:val="00D52262"/>
    <w:rsid w:val="00D52290"/>
    <w:rsid w:val="00D523D4"/>
    <w:rsid w:val="00D524D8"/>
    <w:rsid w:val="00D52577"/>
    <w:rsid w:val="00D525B6"/>
    <w:rsid w:val="00D5264B"/>
    <w:rsid w:val="00D5271A"/>
    <w:rsid w:val="00D5275E"/>
    <w:rsid w:val="00D527FB"/>
    <w:rsid w:val="00D52867"/>
    <w:rsid w:val="00D52899"/>
    <w:rsid w:val="00D528C0"/>
    <w:rsid w:val="00D52952"/>
    <w:rsid w:val="00D52AB1"/>
    <w:rsid w:val="00D52AC3"/>
    <w:rsid w:val="00D52B21"/>
    <w:rsid w:val="00D52B8B"/>
    <w:rsid w:val="00D52BDE"/>
    <w:rsid w:val="00D52C2D"/>
    <w:rsid w:val="00D52C62"/>
    <w:rsid w:val="00D52C87"/>
    <w:rsid w:val="00D52CFD"/>
    <w:rsid w:val="00D52D00"/>
    <w:rsid w:val="00D52D25"/>
    <w:rsid w:val="00D52E28"/>
    <w:rsid w:val="00D52EEC"/>
    <w:rsid w:val="00D52F43"/>
    <w:rsid w:val="00D52F46"/>
    <w:rsid w:val="00D52F4D"/>
    <w:rsid w:val="00D52F7C"/>
    <w:rsid w:val="00D53095"/>
    <w:rsid w:val="00D530F7"/>
    <w:rsid w:val="00D531E9"/>
    <w:rsid w:val="00D53227"/>
    <w:rsid w:val="00D53303"/>
    <w:rsid w:val="00D5335F"/>
    <w:rsid w:val="00D53446"/>
    <w:rsid w:val="00D5348A"/>
    <w:rsid w:val="00D534C8"/>
    <w:rsid w:val="00D534D4"/>
    <w:rsid w:val="00D5351A"/>
    <w:rsid w:val="00D5353A"/>
    <w:rsid w:val="00D535E3"/>
    <w:rsid w:val="00D536C7"/>
    <w:rsid w:val="00D536D6"/>
    <w:rsid w:val="00D53750"/>
    <w:rsid w:val="00D5379C"/>
    <w:rsid w:val="00D537BF"/>
    <w:rsid w:val="00D537E3"/>
    <w:rsid w:val="00D53888"/>
    <w:rsid w:val="00D53912"/>
    <w:rsid w:val="00D53955"/>
    <w:rsid w:val="00D539C5"/>
    <w:rsid w:val="00D53B2D"/>
    <w:rsid w:val="00D53B70"/>
    <w:rsid w:val="00D53BD3"/>
    <w:rsid w:val="00D53BE6"/>
    <w:rsid w:val="00D53C63"/>
    <w:rsid w:val="00D53C9B"/>
    <w:rsid w:val="00D53D30"/>
    <w:rsid w:val="00D53D6F"/>
    <w:rsid w:val="00D53E42"/>
    <w:rsid w:val="00D53EFE"/>
    <w:rsid w:val="00D53F43"/>
    <w:rsid w:val="00D5412A"/>
    <w:rsid w:val="00D54136"/>
    <w:rsid w:val="00D54198"/>
    <w:rsid w:val="00D542AE"/>
    <w:rsid w:val="00D542D6"/>
    <w:rsid w:val="00D5432E"/>
    <w:rsid w:val="00D54354"/>
    <w:rsid w:val="00D54426"/>
    <w:rsid w:val="00D544F8"/>
    <w:rsid w:val="00D54574"/>
    <w:rsid w:val="00D54585"/>
    <w:rsid w:val="00D54639"/>
    <w:rsid w:val="00D54667"/>
    <w:rsid w:val="00D548D6"/>
    <w:rsid w:val="00D5492B"/>
    <w:rsid w:val="00D54A1B"/>
    <w:rsid w:val="00D54A65"/>
    <w:rsid w:val="00D54A79"/>
    <w:rsid w:val="00D54AF8"/>
    <w:rsid w:val="00D54B0C"/>
    <w:rsid w:val="00D54B71"/>
    <w:rsid w:val="00D54BAF"/>
    <w:rsid w:val="00D54BFE"/>
    <w:rsid w:val="00D54C78"/>
    <w:rsid w:val="00D54D1D"/>
    <w:rsid w:val="00D54E39"/>
    <w:rsid w:val="00D54F2A"/>
    <w:rsid w:val="00D54FD7"/>
    <w:rsid w:val="00D55014"/>
    <w:rsid w:val="00D55086"/>
    <w:rsid w:val="00D550E8"/>
    <w:rsid w:val="00D55158"/>
    <w:rsid w:val="00D5518B"/>
    <w:rsid w:val="00D552BD"/>
    <w:rsid w:val="00D552FE"/>
    <w:rsid w:val="00D55322"/>
    <w:rsid w:val="00D553C7"/>
    <w:rsid w:val="00D553F4"/>
    <w:rsid w:val="00D55474"/>
    <w:rsid w:val="00D554F0"/>
    <w:rsid w:val="00D55545"/>
    <w:rsid w:val="00D5555A"/>
    <w:rsid w:val="00D555E8"/>
    <w:rsid w:val="00D55689"/>
    <w:rsid w:val="00D556CE"/>
    <w:rsid w:val="00D55769"/>
    <w:rsid w:val="00D55862"/>
    <w:rsid w:val="00D55889"/>
    <w:rsid w:val="00D558AF"/>
    <w:rsid w:val="00D55900"/>
    <w:rsid w:val="00D55921"/>
    <w:rsid w:val="00D55A05"/>
    <w:rsid w:val="00D55A4C"/>
    <w:rsid w:val="00D55B82"/>
    <w:rsid w:val="00D55B92"/>
    <w:rsid w:val="00D55BBD"/>
    <w:rsid w:val="00D55BC2"/>
    <w:rsid w:val="00D55BE8"/>
    <w:rsid w:val="00D55C12"/>
    <w:rsid w:val="00D55C51"/>
    <w:rsid w:val="00D55DD6"/>
    <w:rsid w:val="00D55E13"/>
    <w:rsid w:val="00D55E9B"/>
    <w:rsid w:val="00D55EAE"/>
    <w:rsid w:val="00D55EC7"/>
    <w:rsid w:val="00D55F05"/>
    <w:rsid w:val="00D55F97"/>
    <w:rsid w:val="00D56019"/>
    <w:rsid w:val="00D560DD"/>
    <w:rsid w:val="00D56106"/>
    <w:rsid w:val="00D5610D"/>
    <w:rsid w:val="00D5612A"/>
    <w:rsid w:val="00D56202"/>
    <w:rsid w:val="00D5621E"/>
    <w:rsid w:val="00D56239"/>
    <w:rsid w:val="00D562CD"/>
    <w:rsid w:val="00D562D4"/>
    <w:rsid w:val="00D5634F"/>
    <w:rsid w:val="00D56384"/>
    <w:rsid w:val="00D563AE"/>
    <w:rsid w:val="00D563D1"/>
    <w:rsid w:val="00D563F8"/>
    <w:rsid w:val="00D5641E"/>
    <w:rsid w:val="00D5645A"/>
    <w:rsid w:val="00D5647A"/>
    <w:rsid w:val="00D564D8"/>
    <w:rsid w:val="00D56528"/>
    <w:rsid w:val="00D565E8"/>
    <w:rsid w:val="00D56617"/>
    <w:rsid w:val="00D5663B"/>
    <w:rsid w:val="00D56662"/>
    <w:rsid w:val="00D56665"/>
    <w:rsid w:val="00D5667D"/>
    <w:rsid w:val="00D56690"/>
    <w:rsid w:val="00D566C5"/>
    <w:rsid w:val="00D56746"/>
    <w:rsid w:val="00D567F7"/>
    <w:rsid w:val="00D56805"/>
    <w:rsid w:val="00D56880"/>
    <w:rsid w:val="00D568ED"/>
    <w:rsid w:val="00D56909"/>
    <w:rsid w:val="00D569B9"/>
    <w:rsid w:val="00D56ABA"/>
    <w:rsid w:val="00D56AC3"/>
    <w:rsid w:val="00D56ACA"/>
    <w:rsid w:val="00D56B33"/>
    <w:rsid w:val="00D56B5F"/>
    <w:rsid w:val="00D56C61"/>
    <w:rsid w:val="00D56C9C"/>
    <w:rsid w:val="00D56D2F"/>
    <w:rsid w:val="00D56D52"/>
    <w:rsid w:val="00D56DF1"/>
    <w:rsid w:val="00D56E6F"/>
    <w:rsid w:val="00D56F63"/>
    <w:rsid w:val="00D56F6B"/>
    <w:rsid w:val="00D56FD6"/>
    <w:rsid w:val="00D56FE8"/>
    <w:rsid w:val="00D5708E"/>
    <w:rsid w:val="00D570F7"/>
    <w:rsid w:val="00D5717A"/>
    <w:rsid w:val="00D571FF"/>
    <w:rsid w:val="00D57210"/>
    <w:rsid w:val="00D57276"/>
    <w:rsid w:val="00D573CB"/>
    <w:rsid w:val="00D573D7"/>
    <w:rsid w:val="00D57451"/>
    <w:rsid w:val="00D574F3"/>
    <w:rsid w:val="00D5757B"/>
    <w:rsid w:val="00D575CF"/>
    <w:rsid w:val="00D57616"/>
    <w:rsid w:val="00D57685"/>
    <w:rsid w:val="00D5768F"/>
    <w:rsid w:val="00D57722"/>
    <w:rsid w:val="00D57726"/>
    <w:rsid w:val="00D57779"/>
    <w:rsid w:val="00D57836"/>
    <w:rsid w:val="00D578E9"/>
    <w:rsid w:val="00D57967"/>
    <w:rsid w:val="00D5796D"/>
    <w:rsid w:val="00D57AFD"/>
    <w:rsid w:val="00D57B10"/>
    <w:rsid w:val="00D57B54"/>
    <w:rsid w:val="00D57CC3"/>
    <w:rsid w:val="00D57CE1"/>
    <w:rsid w:val="00D57D27"/>
    <w:rsid w:val="00D57D35"/>
    <w:rsid w:val="00D57F40"/>
    <w:rsid w:val="00D57F70"/>
    <w:rsid w:val="00D57F76"/>
    <w:rsid w:val="00D57F94"/>
    <w:rsid w:val="00D6005D"/>
    <w:rsid w:val="00D60065"/>
    <w:rsid w:val="00D6008B"/>
    <w:rsid w:val="00D600B3"/>
    <w:rsid w:val="00D60127"/>
    <w:rsid w:val="00D60175"/>
    <w:rsid w:val="00D601DE"/>
    <w:rsid w:val="00D60222"/>
    <w:rsid w:val="00D602ED"/>
    <w:rsid w:val="00D60339"/>
    <w:rsid w:val="00D60375"/>
    <w:rsid w:val="00D603A5"/>
    <w:rsid w:val="00D603EA"/>
    <w:rsid w:val="00D603EB"/>
    <w:rsid w:val="00D60541"/>
    <w:rsid w:val="00D60581"/>
    <w:rsid w:val="00D605B3"/>
    <w:rsid w:val="00D605C1"/>
    <w:rsid w:val="00D606F6"/>
    <w:rsid w:val="00D60714"/>
    <w:rsid w:val="00D6072F"/>
    <w:rsid w:val="00D607A0"/>
    <w:rsid w:val="00D607B1"/>
    <w:rsid w:val="00D607F8"/>
    <w:rsid w:val="00D6081F"/>
    <w:rsid w:val="00D60995"/>
    <w:rsid w:val="00D609DB"/>
    <w:rsid w:val="00D60A15"/>
    <w:rsid w:val="00D60BDB"/>
    <w:rsid w:val="00D60C5D"/>
    <w:rsid w:val="00D60CC3"/>
    <w:rsid w:val="00D60CC6"/>
    <w:rsid w:val="00D60D59"/>
    <w:rsid w:val="00D60D80"/>
    <w:rsid w:val="00D60D97"/>
    <w:rsid w:val="00D60E3B"/>
    <w:rsid w:val="00D60E87"/>
    <w:rsid w:val="00D60F01"/>
    <w:rsid w:val="00D60F67"/>
    <w:rsid w:val="00D60FFB"/>
    <w:rsid w:val="00D61022"/>
    <w:rsid w:val="00D61024"/>
    <w:rsid w:val="00D61031"/>
    <w:rsid w:val="00D610F7"/>
    <w:rsid w:val="00D61155"/>
    <w:rsid w:val="00D61179"/>
    <w:rsid w:val="00D611D9"/>
    <w:rsid w:val="00D611DF"/>
    <w:rsid w:val="00D61207"/>
    <w:rsid w:val="00D6128B"/>
    <w:rsid w:val="00D612A2"/>
    <w:rsid w:val="00D612B7"/>
    <w:rsid w:val="00D61376"/>
    <w:rsid w:val="00D6143F"/>
    <w:rsid w:val="00D61454"/>
    <w:rsid w:val="00D6147E"/>
    <w:rsid w:val="00D61488"/>
    <w:rsid w:val="00D614A2"/>
    <w:rsid w:val="00D614D1"/>
    <w:rsid w:val="00D61514"/>
    <w:rsid w:val="00D6157B"/>
    <w:rsid w:val="00D615CC"/>
    <w:rsid w:val="00D615D3"/>
    <w:rsid w:val="00D615E7"/>
    <w:rsid w:val="00D6169B"/>
    <w:rsid w:val="00D616CF"/>
    <w:rsid w:val="00D616D8"/>
    <w:rsid w:val="00D616DC"/>
    <w:rsid w:val="00D61750"/>
    <w:rsid w:val="00D6175E"/>
    <w:rsid w:val="00D61766"/>
    <w:rsid w:val="00D617B2"/>
    <w:rsid w:val="00D617DE"/>
    <w:rsid w:val="00D61820"/>
    <w:rsid w:val="00D6183F"/>
    <w:rsid w:val="00D61844"/>
    <w:rsid w:val="00D6188A"/>
    <w:rsid w:val="00D618E3"/>
    <w:rsid w:val="00D61998"/>
    <w:rsid w:val="00D619B5"/>
    <w:rsid w:val="00D61A61"/>
    <w:rsid w:val="00D61AFC"/>
    <w:rsid w:val="00D61CEC"/>
    <w:rsid w:val="00D61E15"/>
    <w:rsid w:val="00D61F7D"/>
    <w:rsid w:val="00D61F8B"/>
    <w:rsid w:val="00D61FC0"/>
    <w:rsid w:val="00D620FC"/>
    <w:rsid w:val="00D62162"/>
    <w:rsid w:val="00D6216B"/>
    <w:rsid w:val="00D621D2"/>
    <w:rsid w:val="00D6224A"/>
    <w:rsid w:val="00D623BA"/>
    <w:rsid w:val="00D623D6"/>
    <w:rsid w:val="00D623FC"/>
    <w:rsid w:val="00D62485"/>
    <w:rsid w:val="00D62509"/>
    <w:rsid w:val="00D62577"/>
    <w:rsid w:val="00D625C9"/>
    <w:rsid w:val="00D625D3"/>
    <w:rsid w:val="00D62602"/>
    <w:rsid w:val="00D6264D"/>
    <w:rsid w:val="00D6269C"/>
    <w:rsid w:val="00D6273C"/>
    <w:rsid w:val="00D627C1"/>
    <w:rsid w:val="00D627C6"/>
    <w:rsid w:val="00D62862"/>
    <w:rsid w:val="00D62896"/>
    <w:rsid w:val="00D6297D"/>
    <w:rsid w:val="00D62A32"/>
    <w:rsid w:val="00D62B76"/>
    <w:rsid w:val="00D62B80"/>
    <w:rsid w:val="00D62B96"/>
    <w:rsid w:val="00D62BCA"/>
    <w:rsid w:val="00D62BEB"/>
    <w:rsid w:val="00D62CAE"/>
    <w:rsid w:val="00D62E4B"/>
    <w:rsid w:val="00D62E5C"/>
    <w:rsid w:val="00D62EFF"/>
    <w:rsid w:val="00D63028"/>
    <w:rsid w:val="00D63056"/>
    <w:rsid w:val="00D6309A"/>
    <w:rsid w:val="00D63158"/>
    <w:rsid w:val="00D631CB"/>
    <w:rsid w:val="00D6322A"/>
    <w:rsid w:val="00D6328B"/>
    <w:rsid w:val="00D6334C"/>
    <w:rsid w:val="00D63375"/>
    <w:rsid w:val="00D63452"/>
    <w:rsid w:val="00D6347F"/>
    <w:rsid w:val="00D634F8"/>
    <w:rsid w:val="00D63559"/>
    <w:rsid w:val="00D6357D"/>
    <w:rsid w:val="00D63626"/>
    <w:rsid w:val="00D63643"/>
    <w:rsid w:val="00D63665"/>
    <w:rsid w:val="00D63676"/>
    <w:rsid w:val="00D636A6"/>
    <w:rsid w:val="00D63706"/>
    <w:rsid w:val="00D6370B"/>
    <w:rsid w:val="00D637A3"/>
    <w:rsid w:val="00D637EF"/>
    <w:rsid w:val="00D6381A"/>
    <w:rsid w:val="00D63830"/>
    <w:rsid w:val="00D63858"/>
    <w:rsid w:val="00D63898"/>
    <w:rsid w:val="00D63992"/>
    <w:rsid w:val="00D639DC"/>
    <w:rsid w:val="00D63AD1"/>
    <w:rsid w:val="00D63B07"/>
    <w:rsid w:val="00D63B20"/>
    <w:rsid w:val="00D63B2C"/>
    <w:rsid w:val="00D63B41"/>
    <w:rsid w:val="00D63BD3"/>
    <w:rsid w:val="00D63BDB"/>
    <w:rsid w:val="00D63C2C"/>
    <w:rsid w:val="00D63C30"/>
    <w:rsid w:val="00D63C7F"/>
    <w:rsid w:val="00D63D7D"/>
    <w:rsid w:val="00D63DEC"/>
    <w:rsid w:val="00D63DF3"/>
    <w:rsid w:val="00D63E19"/>
    <w:rsid w:val="00D63F68"/>
    <w:rsid w:val="00D63FC9"/>
    <w:rsid w:val="00D63FDA"/>
    <w:rsid w:val="00D63FFF"/>
    <w:rsid w:val="00D64075"/>
    <w:rsid w:val="00D64079"/>
    <w:rsid w:val="00D6408C"/>
    <w:rsid w:val="00D64108"/>
    <w:rsid w:val="00D64118"/>
    <w:rsid w:val="00D64249"/>
    <w:rsid w:val="00D642A2"/>
    <w:rsid w:val="00D64348"/>
    <w:rsid w:val="00D6438C"/>
    <w:rsid w:val="00D643E8"/>
    <w:rsid w:val="00D643F4"/>
    <w:rsid w:val="00D644BE"/>
    <w:rsid w:val="00D64529"/>
    <w:rsid w:val="00D645F0"/>
    <w:rsid w:val="00D64626"/>
    <w:rsid w:val="00D64638"/>
    <w:rsid w:val="00D646AF"/>
    <w:rsid w:val="00D646D8"/>
    <w:rsid w:val="00D6472A"/>
    <w:rsid w:val="00D64788"/>
    <w:rsid w:val="00D647E3"/>
    <w:rsid w:val="00D6485F"/>
    <w:rsid w:val="00D648A5"/>
    <w:rsid w:val="00D648E2"/>
    <w:rsid w:val="00D64903"/>
    <w:rsid w:val="00D64950"/>
    <w:rsid w:val="00D64961"/>
    <w:rsid w:val="00D6496E"/>
    <w:rsid w:val="00D6497D"/>
    <w:rsid w:val="00D64A11"/>
    <w:rsid w:val="00D64A30"/>
    <w:rsid w:val="00D64A7E"/>
    <w:rsid w:val="00D64A85"/>
    <w:rsid w:val="00D64AA9"/>
    <w:rsid w:val="00D64ACF"/>
    <w:rsid w:val="00D64B97"/>
    <w:rsid w:val="00D64BCC"/>
    <w:rsid w:val="00D64BDA"/>
    <w:rsid w:val="00D64C51"/>
    <w:rsid w:val="00D64C6D"/>
    <w:rsid w:val="00D64D03"/>
    <w:rsid w:val="00D64D35"/>
    <w:rsid w:val="00D64D40"/>
    <w:rsid w:val="00D64DA9"/>
    <w:rsid w:val="00D64DBB"/>
    <w:rsid w:val="00D64E40"/>
    <w:rsid w:val="00D64EF5"/>
    <w:rsid w:val="00D64F1F"/>
    <w:rsid w:val="00D64F28"/>
    <w:rsid w:val="00D64FC6"/>
    <w:rsid w:val="00D6512F"/>
    <w:rsid w:val="00D65166"/>
    <w:rsid w:val="00D65182"/>
    <w:rsid w:val="00D65193"/>
    <w:rsid w:val="00D651A8"/>
    <w:rsid w:val="00D651AB"/>
    <w:rsid w:val="00D651F2"/>
    <w:rsid w:val="00D65204"/>
    <w:rsid w:val="00D65214"/>
    <w:rsid w:val="00D6531D"/>
    <w:rsid w:val="00D65343"/>
    <w:rsid w:val="00D65356"/>
    <w:rsid w:val="00D6537B"/>
    <w:rsid w:val="00D6553C"/>
    <w:rsid w:val="00D65556"/>
    <w:rsid w:val="00D65665"/>
    <w:rsid w:val="00D657B7"/>
    <w:rsid w:val="00D657C9"/>
    <w:rsid w:val="00D657CC"/>
    <w:rsid w:val="00D657FE"/>
    <w:rsid w:val="00D6588D"/>
    <w:rsid w:val="00D65A6B"/>
    <w:rsid w:val="00D65A7C"/>
    <w:rsid w:val="00D65A86"/>
    <w:rsid w:val="00D65AD1"/>
    <w:rsid w:val="00D65B6D"/>
    <w:rsid w:val="00D65BEF"/>
    <w:rsid w:val="00D65C81"/>
    <w:rsid w:val="00D65CF8"/>
    <w:rsid w:val="00D65D71"/>
    <w:rsid w:val="00D65DD4"/>
    <w:rsid w:val="00D65E2E"/>
    <w:rsid w:val="00D65E30"/>
    <w:rsid w:val="00D65F22"/>
    <w:rsid w:val="00D65F39"/>
    <w:rsid w:val="00D65F46"/>
    <w:rsid w:val="00D65F8A"/>
    <w:rsid w:val="00D65F94"/>
    <w:rsid w:val="00D65F96"/>
    <w:rsid w:val="00D66109"/>
    <w:rsid w:val="00D6612E"/>
    <w:rsid w:val="00D6613B"/>
    <w:rsid w:val="00D66151"/>
    <w:rsid w:val="00D66169"/>
    <w:rsid w:val="00D661F7"/>
    <w:rsid w:val="00D6634B"/>
    <w:rsid w:val="00D6635D"/>
    <w:rsid w:val="00D664D2"/>
    <w:rsid w:val="00D6657D"/>
    <w:rsid w:val="00D665D3"/>
    <w:rsid w:val="00D6661A"/>
    <w:rsid w:val="00D6666B"/>
    <w:rsid w:val="00D666D4"/>
    <w:rsid w:val="00D667A6"/>
    <w:rsid w:val="00D667D2"/>
    <w:rsid w:val="00D667DF"/>
    <w:rsid w:val="00D667E2"/>
    <w:rsid w:val="00D667FE"/>
    <w:rsid w:val="00D66817"/>
    <w:rsid w:val="00D668E5"/>
    <w:rsid w:val="00D668FF"/>
    <w:rsid w:val="00D66975"/>
    <w:rsid w:val="00D6699F"/>
    <w:rsid w:val="00D66AE0"/>
    <w:rsid w:val="00D66BAA"/>
    <w:rsid w:val="00D66BD3"/>
    <w:rsid w:val="00D66C5D"/>
    <w:rsid w:val="00D66CA9"/>
    <w:rsid w:val="00D66DAC"/>
    <w:rsid w:val="00D66EA7"/>
    <w:rsid w:val="00D66EE1"/>
    <w:rsid w:val="00D66F41"/>
    <w:rsid w:val="00D66FC0"/>
    <w:rsid w:val="00D67002"/>
    <w:rsid w:val="00D67014"/>
    <w:rsid w:val="00D6703B"/>
    <w:rsid w:val="00D67095"/>
    <w:rsid w:val="00D670C4"/>
    <w:rsid w:val="00D6711C"/>
    <w:rsid w:val="00D67173"/>
    <w:rsid w:val="00D6720C"/>
    <w:rsid w:val="00D6730D"/>
    <w:rsid w:val="00D67493"/>
    <w:rsid w:val="00D674EC"/>
    <w:rsid w:val="00D6751D"/>
    <w:rsid w:val="00D675C5"/>
    <w:rsid w:val="00D675F5"/>
    <w:rsid w:val="00D67618"/>
    <w:rsid w:val="00D67622"/>
    <w:rsid w:val="00D6767B"/>
    <w:rsid w:val="00D676B4"/>
    <w:rsid w:val="00D67745"/>
    <w:rsid w:val="00D677D9"/>
    <w:rsid w:val="00D6780E"/>
    <w:rsid w:val="00D6787F"/>
    <w:rsid w:val="00D678C6"/>
    <w:rsid w:val="00D67916"/>
    <w:rsid w:val="00D6792C"/>
    <w:rsid w:val="00D679C1"/>
    <w:rsid w:val="00D67AEC"/>
    <w:rsid w:val="00D67B45"/>
    <w:rsid w:val="00D67BC2"/>
    <w:rsid w:val="00D67BEB"/>
    <w:rsid w:val="00D67BF6"/>
    <w:rsid w:val="00D67C66"/>
    <w:rsid w:val="00D67CAC"/>
    <w:rsid w:val="00D67D6A"/>
    <w:rsid w:val="00D67DEE"/>
    <w:rsid w:val="00D67F2D"/>
    <w:rsid w:val="00D67F3C"/>
    <w:rsid w:val="00D7001D"/>
    <w:rsid w:val="00D7002A"/>
    <w:rsid w:val="00D7007C"/>
    <w:rsid w:val="00D700EC"/>
    <w:rsid w:val="00D70239"/>
    <w:rsid w:val="00D70342"/>
    <w:rsid w:val="00D70411"/>
    <w:rsid w:val="00D70422"/>
    <w:rsid w:val="00D70468"/>
    <w:rsid w:val="00D7046C"/>
    <w:rsid w:val="00D7048D"/>
    <w:rsid w:val="00D70493"/>
    <w:rsid w:val="00D70510"/>
    <w:rsid w:val="00D70628"/>
    <w:rsid w:val="00D7064F"/>
    <w:rsid w:val="00D70657"/>
    <w:rsid w:val="00D706E5"/>
    <w:rsid w:val="00D70713"/>
    <w:rsid w:val="00D70755"/>
    <w:rsid w:val="00D70766"/>
    <w:rsid w:val="00D70817"/>
    <w:rsid w:val="00D7084D"/>
    <w:rsid w:val="00D708A7"/>
    <w:rsid w:val="00D709A0"/>
    <w:rsid w:val="00D709E6"/>
    <w:rsid w:val="00D70AF5"/>
    <w:rsid w:val="00D70B38"/>
    <w:rsid w:val="00D70BA6"/>
    <w:rsid w:val="00D70BB4"/>
    <w:rsid w:val="00D70BB5"/>
    <w:rsid w:val="00D70D01"/>
    <w:rsid w:val="00D70D0E"/>
    <w:rsid w:val="00D70D2B"/>
    <w:rsid w:val="00D70D5E"/>
    <w:rsid w:val="00D70E41"/>
    <w:rsid w:val="00D70E6E"/>
    <w:rsid w:val="00D70FEB"/>
    <w:rsid w:val="00D71018"/>
    <w:rsid w:val="00D710CD"/>
    <w:rsid w:val="00D7117B"/>
    <w:rsid w:val="00D7119B"/>
    <w:rsid w:val="00D711A1"/>
    <w:rsid w:val="00D71293"/>
    <w:rsid w:val="00D712AC"/>
    <w:rsid w:val="00D712AD"/>
    <w:rsid w:val="00D712D4"/>
    <w:rsid w:val="00D712FE"/>
    <w:rsid w:val="00D71328"/>
    <w:rsid w:val="00D71331"/>
    <w:rsid w:val="00D71558"/>
    <w:rsid w:val="00D71571"/>
    <w:rsid w:val="00D715C0"/>
    <w:rsid w:val="00D7174D"/>
    <w:rsid w:val="00D71753"/>
    <w:rsid w:val="00D71805"/>
    <w:rsid w:val="00D7181B"/>
    <w:rsid w:val="00D7181F"/>
    <w:rsid w:val="00D7187C"/>
    <w:rsid w:val="00D71961"/>
    <w:rsid w:val="00D71990"/>
    <w:rsid w:val="00D71A07"/>
    <w:rsid w:val="00D71B2F"/>
    <w:rsid w:val="00D71C65"/>
    <w:rsid w:val="00D71D32"/>
    <w:rsid w:val="00D71D6A"/>
    <w:rsid w:val="00D71D89"/>
    <w:rsid w:val="00D71D8E"/>
    <w:rsid w:val="00D71D99"/>
    <w:rsid w:val="00D71DD9"/>
    <w:rsid w:val="00D71E3C"/>
    <w:rsid w:val="00D71E7C"/>
    <w:rsid w:val="00D71E9C"/>
    <w:rsid w:val="00D71F3C"/>
    <w:rsid w:val="00D71F4F"/>
    <w:rsid w:val="00D71F77"/>
    <w:rsid w:val="00D720D1"/>
    <w:rsid w:val="00D7212F"/>
    <w:rsid w:val="00D721BF"/>
    <w:rsid w:val="00D721FE"/>
    <w:rsid w:val="00D7224A"/>
    <w:rsid w:val="00D722E9"/>
    <w:rsid w:val="00D7235C"/>
    <w:rsid w:val="00D723BC"/>
    <w:rsid w:val="00D723DC"/>
    <w:rsid w:val="00D723E3"/>
    <w:rsid w:val="00D7247C"/>
    <w:rsid w:val="00D724AA"/>
    <w:rsid w:val="00D72504"/>
    <w:rsid w:val="00D7252B"/>
    <w:rsid w:val="00D72575"/>
    <w:rsid w:val="00D72583"/>
    <w:rsid w:val="00D725A1"/>
    <w:rsid w:val="00D7264E"/>
    <w:rsid w:val="00D7265A"/>
    <w:rsid w:val="00D7270D"/>
    <w:rsid w:val="00D72715"/>
    <w:rsid w:val="00D7274C"/>
    <w:rsid w:val="00D727A0"/>
    <w:rsid w:val="00D727ED"/>
    <w:rsid w:val="00D727F3"/>
    <w:rsid w:val="00D72839"/>
    <w:rsid w:val="00D728AA"/>
    <w:rsid w:val="00D7291C"/>
    <w:rsid w:val="00D7294B"/>
    <w:rsid w:val="00D72982"/>
    <w:rsid w:val="00D729C4"/>
    <w:rsid w:val="00D72A71"/>
    <w:rsid w:val="00D72B84"/>
    <w:rsid w:val="00D72C3A"/>
    <w:rsid w:val="00D72C40"/>
    <w:rsid w:val="00D72D15"/>
    <w:rsid w:val="00D72D23"/>
    <w:rsid w:val="00D72D61"/>
    <w:rsid w:val="00D72DEC"/>
    <w:rsid w:val="00D72EFF"/>
    <w:rsid w:val="00D72F97"/>
    <w:rsid w:val="00D72FC1"/>
    <w:rsid w:val="00D72FE2"/>
    <w:rsid w:val="00D730D7"/>
    <w:rsid w:val="00D73109"/>
    <w:rsid w:val="00D73150"/>
    <w:rsid w:val="00D731AC"/>
    <w:rsid w:val="00D731FA"/>
    <w:rsid w:val="00D73224"/>
    <w:rsid w:val="00D732CF"/>
    <w:rsid w:val="00D7330E"/>
    <w:rsid w:val="00D73361"/>
    <w:rsid w:val="00D7344E"/>
    <w:rsid w:val="00D7358A"/>
    <w:rsid w:val="00D735AC"/>
    <w:rsid w:val="00D73650"/>
    <w:rsid w:val="00D7374D"/>
    <w:rsid w:val="00D73766"/>
    <w:rsid w:val="00D737A9"/>
    <w:rsid w:val="00D737BB"/>
    <w:rsid w:val="00D737D6"/>
    <w:rsid w:val="00D73823"/>
    <w:rsid w:val="00D73894"/>
    <w:rsid w:val="00D738C1"/>
    <w:rsid w:val="00D738DF"/>
    <w:rsid w:val="00D73923"/>
    <w:rsid w:val="00D7394B"/>
    <w:rsid w:val="00D739AD"/>
    <w:rsid w:val="00D73A03"/>
    <w:rsid w:val="00D73B34"/>
    <w:rsid w:val="00D73B70"/>
    <w:rsid w:val="00D73B7B"/>
    <w:rsid w:val="00D73B8B"/>
    <w:rsid w:val="00D73BE1"/>
    <w:rsid w:val="00D73CB9"/>
    <w:rsid w:val="00D73D02"/>
    <w:rsid w:val="00D73D1D"/>
    <w:rsid w:val="00D73D20"/>
    <w:rsid w:val="00D73D43"/>
    <w:rsid w:val="00D73D58"/>
    <w:rsid w:val="00D73DF0"/>
    <w:rsid w:val="00D73E22"/>
    <w:rsid w:val="00D73ECF"/>
    <w:rsid w:val="00D73F10"/>
    <w:rsid w:val="00D73FD1"/>
    <w:rsid w:val="00D740CA"/>
    <w:rsid w:val="00D7413E"/>
    <w:rsid w:val="00D74154"/>
    <w:rsid w:val="00D74166"/>
    <w:rsid w:val="00D74196"/>
    <w:rsid w:val="00D741A0"/>
    <w:rsid w:val="00D74206"/>
    <w:rsid w:val="00D7422C"/>
    <w:rsid w:val="00D74252"/>
    <w:rsid w:val="00D74261"/>
    <w:rsid w:val="00D7427F"/>
    <w:rsid w:val="00D742A3"/>
    <w:rsid w:val="00D74300"/>
    <w:rsid w:val="00D743A3"/>
    <w:rsid w:val="00D74414"/>
    <w:rsid w:val="00D74424"/>
    <w:rsid w:val="00D7446D"/>
    <w:rsid w:val="00D744CD"/>
    <w:rsid w:val="00D74547"/>
    <w:rsid w:val="00D7456B"/>
    <w:rsid w:val="00D7463E"/>
    <w:rsid w:val="00D74644"/>
    <w:rsid w:val="00D746BD"/>
    <w:rsid w:val="00D7470C"/>
    <w:rsid w:val="00D7493C"/>
    <w:rsid w:val="00D74941"/>
    <w:rsid w:val="00D74945"/>
    <w:rsid w:val="00D74AC2"/>
    <w:rsid w:val="00D74B05"/>
    <w:rsid w:val="00D74B49"/>
    <w:rsid w:val="00D74B5B"/>
    <w:rsid w:val="00D74B72"/>
    <w:rsid w:val="00D74BCA"/>
    <w:rsid w:val="00D74C2D"/>
    <w:rsid w:val="00D74C38"/>
    <w:rsid w:val="00D74C85"/>
    <w:rsid w:val="00D74CFB"/>
    <w:rsid w:val="00D74D9B"/>
    <w:rsid w:val="00D74EB4"/>
    <w:rsid w:val="00D74EB7"/>
    <w:rsid w:val="00D74EC2"/>
    <w:rsid w:val="00D74F36"/>
    <w:rsid w:val="00D74F87"/>
    <w:rsid w:val="00D74FBB"/>
    <w:rsid w:val="00D74FD0"/>
    <w:rsid w:val="00D75092"/>
    <w:rsid w:val="00D75114"/>
    <w:rsid w:val="00D7511D"/>
    <w:rsid w:val="00D7511E"/>
    <w:rsid w:val="00D7515F"/>
    <w:rsid w:val="00D75164"/>
    <w:rsid w:val="00D751A2"/>
    <w:rsid w:val="00D751BE"/>
    <w:rsid w:val="00D751C7"/>
    <w:rsid w:val="00D751D6"/>
    <w:rsid w:val="00D752D5"/>
    <w:rsid w:val="00D75307"/>
    <w:rsid w:val="00D75331"/>
    <w:rsid w:val="00D753A4"/>
    <w:rsid w:val="00D753ED"/>
    <w:rsid w:val="00D753F4"/>
    <w:rsid w:val="00D7543F"/>
    <w:rsid w:val="00D75471"/>
    <w:rsid w:val="00D75475"/>
    <w:rsid w:val="00D754BB"/>
    <w:rsid w:val="00D754C8"/>
    <w:rsid w:val="00D755B3"/>
    <w:rsid w:val="00D756BE"/>
    <w:rsid w:val="00D7577A"/>
    <w:rsid w:val="00D7578B"/>
    <w:rsid w:val="00D7579B"/>
    <w:rsid w:val="00D75844"/>
    <w:rsid w:val="00D7584F"/>
    <w:rsid w:val="00D75905"/>
    <w:rsid w:val="00D75A2A"/>
    <w:rsid w:val="00D75A92"/>
    <w:rsid w:val="00D75AB8"/>
    <w:rsid w:val="00D75B2F"/>
    <w:rsid w:val="00D75B5D"/>
    <w:rsid w:val="00D75B6B"/>
    <w:rsid w:val="00D75BD2"/>
    <w:rsid w:val="00D75D54"/>
    <w:rsid w:val="00D75E17"/>
    <w:rsid w:val="00D75E33"/>
    <w:rsid w:val="00D75E39"/>
    <w:rsid w:val="00D75F1B"/>
    <w:rsid w:val="00D75F52"/>
    <w:rsid w:val="00D75FB5"/>
    <w:rsid w:val="00D76026"/>
    <w:rsid w:val="00D76048"/>
    <w:rsid w:val="00D76143"/>
    <w:rsid w:val="00D76164"/>
    <w:rsid w:val="00D7618A"/>
    <w:rsid w:val="00D76192"/>
    <w:rsid w:val="00D76194"/>
    <w:rsid w:val="00D761B6"/>
    <w:rsid w:val="00D76206"/>
    <w:rsid w:val="00D7624D"/>
    <w:rsid w:val="00D76270"/>
    <w:rsid w:val="00D762FD"/>
    <w:rsid w:val="00D76351"/>
    <w:rsid w:val="00D76356"/>
    <w:rsid w:val="00D76439"/>
    <w:rsid w:val="00D764CD"/>
    <w:rsid w:val="00D764E3"/>
    <w:rsid w:val="00D764EB"/>
    <w:rsid w:val="00D764FC"/>
    <w:rsid w:val="00D7650D"/>
    <w:rsid w:val="00D76535"/>
    <w:rsid w:val="00D766D4"/>
    <w:rsid w:val="00D766E7"/>
    <w:rsid w:val="00D7674A"/>
    <w:rsid w:val="00D7675E"/>
    <w:rsid w:val="00D767CC"/>
    <w:rsid w:val="00D767DC"/>
    <w:rsid w:val="00D7694B"/>
    <w:rsid w:val="00D7697B"/>
    <w:rsid w:val="00D76A01"/>
    <w:rsid w:val="00D76A30"/>
    <w:rsid w:val="00D76A5C"/>
    <w:rsid w:val="00D76A71"/>
    <w:rsid w:val="00D76B44"/>
    <w:rsid w:val="00D76B53"/>
    <w:rsid w:val="00D76C31"/>
    <w:rsid w:val="00D76C40"/>
    <w:rsid w:val="00D76D5E"/>
    <w:rsid w:val="00D76D7E"/>
    <w:rsid w:val="00D76E49"/>
    <w:rsid w:val="00D76E53"/>
    <w:rsid w:val="00D76E68"/>
    <w:rsid w:val="00D76E95"/>
    <w:rsid w:val="00D76ECE"/>
    <w:rsid w:val="00D76FB7"/>
    <w:rsid w:val="00D770F9"/>
    <w:rsid w:val="00D7711C"/>
    <w:rsid w:val="00D77147"/>
    <w:rsid w:val="00D7716E"/>
    <w:rsid w:val="00D771BE"/>
    <w:rsid w:val="00D7721C"/>
    <w:rsid w:val="00D772BB"/>
    <w:rsid w:val="00D77314"/>
    <w:rsid w:val="00D77335"/>
    <w:rsid w:val="00D7738D"/>
    <w:rsid w:val="00D774DA"/>
    <w:rsid w:val="00D774E9"/>
    <w:rsid w:val="00D7750B"/>
    <w:rsid w:val="00D77546"/>
    <w:rsid w:val="00D775FD"/>
    <w:rsid w:val="00D77727"/>
    <w:rsid w:val="00D77730"/>
    <w:rsid w:val="00D77778"/>
    <w:rsid w:val="00D777AB"/>
    <w:rsid w:val="00D7782B"/>
    <w:rsid w:val="00D77857"/>
    <w:rsid w:val="00D77889"/>
    <w:rsid w:val="00D778B3"/>
    <w:rsid w:val="00D779D5"/>
    <w:rsid w:val="00D77A19"/>
    <w:rsid w:val="00D77ABA"/>
    <w:rsid w:val="00D77B09"/>
    <w:rsid w:val="00D77B34"/>
    <w:rsid w:val="00D77BEB"/>
    <w:rsid w:val="00D77CB7"/>
    <w:rsid w:val="00D77D19"/>
    <w:rsid w:val="00D77DA1"/>
    <w:rsid w:val="00D77E4F"/>
    <w:rsid w:val="00D77E9A"/>
    <w:rsid w:val="00D77EE8"/>
    <w:rsid w:val="00D77F29"/>
    <w:rsid w:val="00D77F31"/>
    <w:rsid w:val="00D77FA2"/>
    <w:rsid w:val="00D80021"/>
    <w:rsid w:val="00D800B8"/>
    <w:rsid w:val="00D800F6"/>
    <w:rsid w:val="00D80105"/>
    <w:rsid w:val="00D8011E"/>
    <w:rsid w:val="00D80183"/>
    <w:rsid w:val="00D801D9"/>
    <w:rsid w:val="00D80289"/>
    <w:rsid w:val="00D80307"/>
    <w:rsid w:val="00D803C1"/>
    <w:rsid w:val="00D8051D"/>
    <w:rsid w:val="00D80571"/>
    <w:rsid w:val="00D80626"/>
    <w:rsid w:val="00D80649"/>
    <w:rsid w:val="00D8065C"/>
    <w:rsid w:val="00D8066C"/>
    <w:rsid w:val="00D8069A"/>
    <w:rsid w:val="00D806E8"/>
    <w:rsid w:val="00D807B2"/>
    <w:rsid w:val="00D8083A"/>
    <w:rsid w:val="00D808A5"/>
    <w:rsid w:val="00D808F7"/>
    <w:rsid w:val="00D80929"/>
    <w:rsid w:val="00D809D5"/>
    <w:rsid w:val="00D80A37"/>
    <w:rsid w:val="00D80A75"/>
    <w:rsid w:val="00D80AB3"/>
    <w:rsid w:val="00D80AF3"/>
    <w:rsid w:val="00D80C5F"/>
    <w:rsid w:val="00D80CF5"/>
    <w:rsid w:val="00D80D52"/>
    <w:rsid w:val="00D80D8D"/>
    <w:rsid w:val="00D80E5E"/>
    <w:rsid w:val="00D80EE2"/>
    <w:rsid w:val="00D80F4B"/>
    <w:rsid w:val="00D80FA9"/>
    <w:rsid w:val="00D80FFB"/>
    <w:rsid w:val="00D81087"/>
    <w:rsid w:val="00D810CB"/>
    <w:rsid w:val="00D811DB"/>
    <w:rsid w:val="00D81382"/>
    <w:rsid w:val="00D813BA"/>
    <w:rsid w:val="00D813D9"/>
    <w:rsid w:val="00D81427"/>
    <w:rsid w:val="00D814A9"/>
    <w:rsid w:val="00D814E5"/>
    <w:rsid w:val="00D81627"/>
    <w:rsid w:val="00D8163C"/>
    <w:rsid w:val="00D81679"/>
    <w:rsid w:val="00D816CC"/>
    <w:rsid w:val="00D816E2"/>
    <w:rsid w:val="00D81720"/>
    <w:rsid w:val="00D81756"/>
    <w:rsid w:val="00D8175E"/>
    <w:rsid w:val="00D81786"/>
    <w:rsid w:val="00D817AF"/>
    <w:rsid w:val="00D81892"/>
    <w:rsid w:val="00D8190C"/>
    <w:rsid w:val="00D81933"/>
    <w:rsid w:val="00D81955"/>
    <w:rsid w:val="00D819C0"/>
    <w:rsid w:val="00D819ED"/>
    <w:rsid w:val="00D81A15"/>
    <w:rsid w:val="00D81A61"/>
    <w:rsid w:val="00D81BA8"/>
    <w:rsid w:val="00D81BFE"/>
    <w:rsid w:val="00D81C6C"/>
    <w:rsid w:val="00D81CC0"/>
    <w:rsid w:val="00D81CEE"/>
    <w:rsid w:val="00D81D69"/>
    <w:rsid w:val="00D81E7E"/>
    <w:rsid w:val="00D81EAD"/>
    <w:rsid w:val="00D81ED6"/>
    <w:rsid w:val="00D81ED8"/>
    <w:rsid w:val="00D81F7D"/>
    <w:rsid w:val="00D82048"/>
    <w:rsid w:val="00D82166"/>
    <w:rsid w:val="00D82195"/>
    <w:rsid w:val="00D821DD"/>
    <w:rsid w:val="00D822FD"/>
    <w:rsid w:val="00D8233C"/>
    <w:rsid w:val="00D823CD"/>
    <w:rsid w:val="00D8241B"/>
    <w:rsid w:val="00D824B1"/>
    <w:rsid w:val="00D82513"/>
    <w:rsid w:val="00D8251B"/>
    <w:rsid w:val="00D82562"/>
    <w:rsid w:val="00D82610"/>
    <w:rsid w:val="00D82741"/>
    <w:rsid w:val="00D8277C"/>
    <w:rsid w:val="00D82868"/>
    <w:rsid w:val="00D82891"/>
    <w:rsid w:val="00D828F8"/>
    <w:rsid w:val="00D82914"/>
    <w:rsid w:val="00D82BF9"/>
    <w:rsid w:val="00D82C0A"/>
    <w:rsid w:val="00D82C4E"/>
    <w:rsid w:val="00D82CEE"/>
    <w:rsid w:val="00D82D41"/>
    <w:rsid w:val="00D82D8B"/>
    <w:rsid w:val="00D82E18"/>
    <w:rsid w:val="00D82F09"/>
    <w:rsid w:val="00D82F35"/>
    <w:rsid w:val="00D82FAC"/>
    <w:rsid w:val="00D82FD1"/>
    <w:rsid w:val="00D83035"/>
    <w:rsid w:val="00D830F3"/>
    <w:rsid w:val="00D83112"/>
    <w:rsid w:val="00D83124"/>
    <w:rsid w:val="00D8315A"/>
    <w:rsid w:val="00D8323A"/>
    <w:rsid w:val="00D8323B"/>
    <w:rsid w:val="00D8349B"/>
    <w:rsid w:val="00D834CD"/>
    <w:rsid w:val="00D83506"/>
    <w:rsid w:val="00D8350D"/>
    <w:rsid w:val="00D8357F"/>
    <w:rsid w:val="00D83650"/>
    <w:rsid w:val="00D836AE"/>
    <w:rsid w:val="00D837B5"/>
    <w:rsid w:val="00D837D2"/>
    <w:rsid w:val="00D837E3"/>
    <w:rsid w:val="00D83915"/>
    <w:rsid w:val="00D83980"/>
    <w:rsid w:val="00D83989"/>
    <w:rsid w:val="00D839D4"/>
    <w:rsid w:val="00D839F1"/>
    <w:rsid w:val="00D83A33"/>
    <w:rsid w:val="00D83B6C"/>
    <w:rsid w:val="00D83B94"/>
    <w:rsid w:val="00D83B9E"/>
    <w:rsid w:val="00D83C07"/>
    <w:rsid w:val="00D83C14"/>
    <w:rsid w:val="00D83C31"/>
    <w:rsid w:val="00D83CA8"/>
    <w:rsid w:val="00D83DD5"/>
    <w:rsid w:val="00D83E74"/>
    <w:rsid w:val="00D83E8F"/>
    <w:rsid w:val="00D83EAD"/>
    <w:rsid w:val="00D83F75"/>
    <w:rsid w:val="00D83FAD"/>
    <w:rsid w:val="00D84049"/>
    <w:rsid w:val="00D8408C"/>
    <w:rsid w:val="00D840B9"/>
    <w:rsid w:val="00D84105"/>
    <w:rsid w:val="00D8414E"/>
    <w:rsid w:val="00D8419E"/>
    <w:rsid w:val="00D841F1"/>
    <w:rsid w:val="00D8421A"/>
    <w:rsid w:val="00D8423F"/>
    <w:rsid w:val="00D842CC"/>
    <w:rsid w:val="00D84355"/>
    <w:rsid w:val="00D8435C"/>
    <w:rsid w:val="00D84366"/>
    <w:rsid w:val="00D843A2"/>
    <w:rsid w:val="00D8442A"/>
    <w:rsid w:val="00D84512"/>
    <w:rsid w:val="00D84537"/>
    <w:rsid w:val="00D845BA"/>
    <w:rsid w:val="00D845DA"/>
    <w:rsid w:val="00D84670"/>
    <w:rsid w:val="00D8467B"/>
    <w:rsid w:val="00D84690"/>
    <w:rsid w:val="00D84692"/>
    <w:rsid w:val="00D846C8"/>
    <w:rsid w:val="00D8472A"/>
    <w:rsid w:val="00D847BC"/>
    <w:rsid w:val="00D847FD"/>
    <w:rsid w:val="00D84801"/>
    <w:rsid w:val="00D8493C"/>
    <w:rsid w:val="00D84976"/>
    <w:rsid w:val="00D84B0B"/>
    <w:rsid w:val="00D84B45"/>
    <w:rsid w:val="00D84B96"/>
    <w:rsid w:val="00D84C45"/>
    <w:rsid w:val="00D84C68"/>
    <w:rsid w:val="00D84CDE"/>
    <w:rsid w:val="00D84D4E"/>
    <w:rsid w:val="00D84D78"/>
    <w:rsid w:val="00D84D89"/>
    <w:rsid w:val="00D84DF6"/>
    <w:rsid w:val="00D84E67"/>
    <w:rsid w:val="00D85009"/>
    <w:rsid w:val="00D8500A"/>
    <w:rsid w:val="00D8515B"/>
    <w:rsid w:val="00D85176"/>
    <w:rsid w:val="00D85214"/>
    <w:rsid w:val="00D8527F"/>
    <w:rsid w:val="00D85297"/>
    <w:rsid w:val="00D8536E"/>
    <w:rsid w:val="00D85388"/>
    <w:rsid w:val="00D85406"/>
    <w:rsid w:val="00D85541"/>
    <w:rsid w:val="00D8561F"/>
    <w:rsid w:val="00D856AB"/>
    <w:rsid w:val="00D8574E"/>
    <w:rsid w:val="00D85769"/>
    <w:rsid w:val="00D857F8"/>
    <w:rsid w:val="00D857FF"/>
    <w:rsid w:val="00D8582F"/>
    <w:rsid w:val="00D85867"/>
    <w:rsid w:val="00D858CF"/>
    <w:rsid w:val="00D858E6"/>
    <w:rsid w:val="00D858F6"/>
    <w:rsid w:val="00D85903"/>
    <w:rsid w:val="00D85938"/>
    <w:rsid w:val="00D85996"/>
    <w:rsid w:val="00D859A3"/>
    <w:rsid w:val="00D859C6"/>
    <w:rsid w:val="00D85D4B"/>
    <w:rsid w:val="00D85D73"/>
    <w:rsid w:val="00D85F65"/>
    <w:rsid w:val="00D85FCE"/>
    <w:rsid w:val="00D85FEE"/>
    <w:rsid w:val="00D85FF3"/>
    <w:rsid w:val="00D85FF9"/>
    <w:rsid w:val="00D8601B"/>
    <w:rsid w:val="00D86036"/>
    <w:rsid w:val="00D860E9"/>
    <w:rsid w:val="00D860FD"/>
    <w:rsid w:val="00D8611B"/>
    <w:rsid w:val="00D8621D"/>
    <w:rsid w:val="00D86283"/>
    <w:rsid w:val="00D863D6"/>
    <w:rsid w:val="00D86475"/>
    <w:rsid w:val="00D86488"/>
    <w:rsid w:val="00D864EC"/>
    <w:rsid w:val="00D864FB"/>
    <w:rsid w:val="00D86521"/>
    <w:rsid w:val="00D86625"/>
    <w:rsid w:val="00D866A8"/>
    <w:rsid w:val="00D86710"/>
    <w:rsid w:val="00D86725"/>
    <w:rsid w:val="00D8679E"/>
    <w:rsid w:val="00D86827"/>
    <w:rsid w:val="00D86828"/>
    <w:rsid w:val="00D8685B"/>
    <w:rsid w:val="00D8687B"/>
    <w:rsid w:val="00D868BE"/>
    <w:rsid w:val="00D8691B"/>
    <w:rsid w:val="00D86959"/>
    <w:rsid w:val="00D869B3"/>
    <w:rsid w:val="00D869CC"/>
    <w:rsid w:val="00D869EB"/>
    <w:rsid w:val="00D86A28"/>
    <w:rsid w:val="00D86A64"/>
    <w:rsid w:val="00D86A66"/>
    <w:rsid w:val="00D86A8D"/>
    <w:rsid w:val="00D86B19"/>
    <w:rsid w:val="00D86B42"/>
    <w:rsid w:val="00D86CD1"/>
    <w:rsid w:val="00D86EF0"/>
    <w:rsid w:val="00D86F25"/>
    <w:rsid w:val="00D86F32"/>
    <w:rsid w:val="00D86F91"/>
    <w:rsid w:val="00D86FA7"/>
    <w:rsid w:val="00D87011"/>
    <w:rsid w:val="00D87015"/>
    <w:rsid w:val="00D870FF"/>
    <w:rsid w:val="00D8710F"/>
    <w:rsid w:val="00D87127"/>
    <w:rsid w:val="00D8712C"/>
    <w:rsid w:val="00D8712F"/>
    <w:rsid w:val="00D87174"/>
    <w:rsid w:val="00D871DB"/>
    <w:rsid w:val="00D8725E"/>
    <w:rsid w:val="00D873DF"/>
    <w:rsid w:val="00D87403"/>
    <w:rsid w:val="00D87477"/>
    <w:rsid w:val="00D87483"/>
    <w:rsid w:val="00D874BC"/>
    <w:rsid w:val="00D874C1"/>
    <w:rsid w:val="00D8763A"/>
    <w:rsid w:val="00D8786D"/>
    <w:rsid w:val="00D87907"/>
    <w:rsid w:val="00D87AE6"/>
    <w:rsid w:val="00D87B33"/>
    <w:rsid w:val="00D87B7E"/>
    <w:rsid w:val="00D87B80"/>
    <w:rsid w:val="00D87C0D"/>
    <w:rsid w:val="00D87C93"/>
    <w:rsid w:val="00D87CAF"/>
    <w:rsid w:val="00D87DE4"/>
    <w:rsid w:val="00D87DE8"/>
    <w:rsid w:val="00D87E85"/>
    <w:rsid w:val="00D87EED"/>
    <w:rsid w:val="00D87F28"/>
    <w:rsid w:val="00D87F55"/>
    <w:rsid w:val="00D87FEA"/>
    <w:rsid w:val="00D90132"/>
    <w:rsid w:val="00D901B2"/>
    <w:rsid w:val="00D90267"/>
    <w:rsid w:val="00D9026C"/>
    <w:rsid w:val="00D902C5"/>
    <w:rsid w:val="00D90452"/>
    <w:rsid w:val="00D904B3"/>
    <w:rsid w:val="00D90673"/>
    <w:rsid w:val="00D9067F"/>
    <w:rsid w:val="00D906DF"/>
    <w:rsid w:val="00D9077C"/>
    <w:rsid w:val="00D908A2"/>
    <w:rsid w:val="00D90991"/>
    <w:rsid w:val="00D909EE"/>
    <w:rsid w:val="00D90A0C"/>
    <w:rsid w:val="00D90A13"/>
    <w:rsid w:val="00D90A53"/>
    <w:rsid w:val="00D90B0B"/>
    <w:rsid w:val="00D90BB7"/>
    <w:rsid w:val="00D90BEC"/>
    <w:rsid w:val="00D90C8C"/>
    <w:rsid w:val="00D90C96"/>
    <w:rsid w:val="00D90D1B"/>
    <w:rsid w:val="00D90DF0"/>
    <w:rsid w:val="00D90E2F"/>
    <w:rsid w:val="00D90E4D"/>
    <w:rsid w:val="00D90E68"/>
    <w:rsid w:val="00D90EC0"/>
    <w:rsid w:val="00D90EE3"/>
    <w:rsid w:val="00D90EF6"/>
    <w:rsid w:val="00D910F2"/>
    <w:rsid w:val="00D9113D"/>
    <w:rsid w:val="00D911CA"/>
    <w:rsid w:val="00D91212"/>
    <w:rsid w:val="00D9123D"/>
    <w:rsid w:val="00D91240"/>
    <w:rsid w:val="00D91251"/>
    <w:rsid w:val="00D91289"/>
    <w:rsid w:val="00D9131B"/>
    <w:rsid w:val="00D9131C"/>
    <w:rsid w:val="00D9143C"/>
    <w:rsid w:val="00D9149E"/>
    <w:rsid w:val="00D9166C"/>
    <w:rsid w:val="00D91696"/>
    <w:rsid w:val="00D916A2"/>
    <w:rsid w:val="00D916C5"/>
    <w:rsid w:val="00D916FB"/>
    <w:rsid w:val="00D91755"/>
    <w:rsid w:val="00D91993"/>
    <w:rsid w:val="00D91A1A"/>
    <w:rsid w:val="00D91A24"/>
    <w:rsid w:val="00D91A59"/>
    <w:rsid w:val="00D91A85"/>
    <w:rsid w:val="00D91A9B"/>
    <w:rsid w:val="00D91A9D"/>
    <w:rsid w:val="00D91AD3"/>
    <w:rsid w:val="00D91C32"/>
    <w:rsid w:val="00D91D14"/>
    <w:rsid w:val="00D91D92"/>
    <w:rsid w:val="00D92023"/>
    <w:rsid w:val="00D92041"/>
    <w:rsid w:val="00D920AA"/>
    <w:rsid w:val="00D921FA"/>
    <w:rsid w:val="00D922A3"/>
    <w:rsid w:val="00D922D1"/>
    <w:rsid w:val="00D92377"/>
    <w:rsid w:val="00D923BB"/>
    <w:rsid w:val="00D92456"/>
    <w:rsid w:val="00D924E0"/>
    <w:rsid w:val="00D9260F"/>
    <w:rsid w:val="00D927AC"/>
    <w:rsid w:val="00D92832"/>
    <w:rsid w:val="00D9293B"/>
    <w:rsid w:val="00D92949"/>
    <w:rsid w:val="00D9298B"/>
    <w:rsid w:val="00D92ACA"/>
    <w:rsid w:val="00D92AEE"/>
    <w:rsid w:val="00D92B75"/>
    <w:rsid w:val="00D92B76"/>
    <w:rsid w:val="00D92CE3"/>
    <w:rsid w:val="00D92D9B"/>
    <w:rsid w:val="00D92E0C"/>
    <w:rsid w:val="00D92E7C"/>
    <w:rsid w:val="00D92E85"/>
    <w:rsid w:val="00D92F51"/>
    <w:rsid w:val="00D9300A"/>
    <w:rsid w:val="00D93063"/>
    <w:rsid w:val="00D930B9"/>
    <w:rsid w:val="00D93118"/>
    <w:rsid w:val="00D9315C"/>
    <w:rsid w:val="00D931A1"/>
    <w:rsid w:val="00D931CF"/>
    <w:rsid w:val="00D93230"/>
    <w:rsid w:val="00D9326C"/>
    <w:rsid w:val="00D93274"/>
    <w:rsid w:val="00D9329A"/>
    <w:rsid w:val="00D932F5"/>
    <w:rsid w:val="00D933A9"/>
    <w:rsid w:val="00D9341A"/>
    <w:rsid w:val="00D93504"/>
    <w:rsid w:val="00D9350E"/>
    <w:rsid w:val="00D93631"/>
    <w:rsid w:val="00D9365A"/>
    <w:rsid w:val="00D93687"/>
    <w:rsid w:val="00D93756"/>
    <w:rsid w:val="00D938A0"/>
    <w:rsid w:val="00D938CF"/>
    <w:rsid w:val="00D939A3"/>
    <w:rsid w:val="00D939F7"/>
    <w:rsid w:val="00D93A3D"/>
    <w:rsid w:val="00D93A66"/>
    <w:rsid w:val="00D93A8B"/>
    <w:rsid w:val="00D93B9F"/>
    <w:rsid w:val="00D93BB2"/>
    <w:rsid w:val="00D93BC7"/>
    <w:rsid w:val="00D93BFF"/>
    <w:rsid w:val="00D93C9F"/>
    <w:rsid w:val="00D93D06"/>
    <w:rsid w:val="00D93DA7"/>
    <w:rsid w:val="00D93E9F"/>
    <w:rsid w:val="00D93F40"/>
    <w:rsid w:val="00D93F85"/>
    <w:rsid w:val="00D93FF6"/>
    <w:rsid w:val="00D9405D"/>
    <w:rsid w:val="00D940A6"/>
    <w:rsid w:val="00D9410F"/>
    <w:rsid w:val="00D94155"/>
    <w:rsid w:val="00D94179"/>
    <w:rsid w:val="00D941BF"/>
    <w:rsid w:val="00D9422A"/>
    <w:rsid w:val="00D94246"/>
    <w:rsid w:val="00D94283"/>
    <w:rsid w:val="00D94315"/>
    <w:rsid w:val="00D94403"/>
    <w:rsid w:val="00D9443B"/>
    <w:rsid w:val="00D94500"/>
    <w:rsid w:val="00D94535"/>
    <w:rsid w:val="00D94586"/>
    <w:rsid w:val="00D94659"/>
    <w:rsid w:val="00D94687"/>
    <w:rsid w:val="00D946F0"/>
    <w:rsid w:val="00D94773"/>
    <w:rsid w:val="00D94794"/>
    <w:rsid w:val="00D948E4"/>
    <w:rsid w:val="00D9493A"/>
    <w:rsid w:val="00D949BD"/>
    <w:rsid w:val="00D94A5E"/>
    <w:rsid w:val="00D94BC8"/>
    <w:rsid w:val="00D94BF1"/>
    <w:rsid w:val="00D94BFD"/>
    <w:rsid w:val="00D94C01"/>
    <w:rsid w:val="00D94CCF"/>
    <w:rsid w:val="00D94CD5"/>
    <w:rsid w:val="00D94D34"/>
    <w:rsid w:val="00D94D48"/>
    <w:rsid w:val="00D94D71"/>
    <w:rsid w:val="00D94E0F"/>
    <w:rsid w:val="00D94E67"/>
    <w:rsid w:val="00D94F77"/>
    <w:rsid w:val="00D94FAA"/>
    <w:rsid w:val="00D95026"/>
    <w:rsid w:val="00D95050"/>
    <w:rsid w:val="00D9509D"/>
    <w:rsid w:val="00D95101"/>
    <w:rsid w:val="00D95159"/>
    <w:rsid w:val="00D9525D"/>
    <w:rsid w:val="00D952C5"/>
    <w:rsid w:val="00D952DD"/>
    <w:rsid w:val="00D95300"/>
    <w:rsid w:val="00D95383"/>
    <w:rsid w:val="00D9545B"/>
    <w:rsid w:val="00D954CC"/>
    <w:rsid w:val="00D95528"/>
    <w:rsid w:val="00D955EB"/>
    <w:rsid w:val="00D956A4"/>
    <w:rsid w:val="00D959D6"/>
    <w:rsid w:val="00D95A2C"/>
    <w:rsid w:val="00D95AC6"/>
    <w:rsid w:val="00D95B4A"/>
    <w:rsid w:val="00D95B6E"/>
    <w:rsid w:val="00D95D26"/>
    <w:rsid w:val="00D95DA4"/>
    <w:rsid w:val="00D95DB8"/>
    <w:rsid w:val="00D95DD0"/>
    <w:rsid w:val="00D95DED"/>
    <w:rsid w:val="00D95E34"/>
    <w:rsid w:val="00D95E67"/>
    <w:rsid w:val="00D95E85"/>
    <w:rsid w:val="00D95F37"/>
    <w:rsid w:val="00D95F5D"/>
    <w:rsid w:val="00D95F68"/>
    <w:rsid w:val="00D95F6B"/>
    <w:rsid w:val="00D95F6D"/>
    <w:rsid w:val="00D95F9B"/>
    <w:rsid w:val="00D95FEE"/>
    <w:rsid w:val="00D96064"/>
    <w:rsid w:val="00D960D6"/>
    <w:rsid w:val="00D96154"/>
    <w:rsid w:val="00D963C2"/>
    <w:rsid w:val="00D96413"/>
    <w:rsid w:val="00D96492"/>
    <w:rsid w:val="00D96546"/>
    <w:rsid w:val="00D9657D"/>
    <w:rsid w:val="00D9661D"/>
    <w:rsid w:val="00D96620"/>
    <w:rsid w:val="00D96622"/>
    <w:rsid w:val="00D96624"/>
    <w:rsid w:val="00D96719"/>
    <w:rsid w:val="00D9671C"/>
    <w:rsid w:val="00D9675E"/>
    <w:rsid w:val="00D967CE"/>
    <w:rsid w:val="00D967D8"/>
    <w:rsid w:val="00D9686D"/>
    <w:rsid w:val="00D968B2"/>
    <w:rsid w:val="00D968DF"/>
    <w:rsid w:val="00D96911"/>
    <w:rsid w:val="00D96958"/>
    <w:rsid w:val="00D9699D"/>
    <w:rsid w:val="00D969E9"/>
    <w:rsid w:val="00D96AD2"/>
    <w:rsid w:val="00D96AFB"/>
    <w:rsid w:val="00D96AFF"/>
    <w:rsid w:val="00D96BED"/>
    <w:rsid w:val="00D96C01"/>
    <w:rsid w:val="00D96D4C"/>
    <w:rsid w:val="00D96DE9"/>
    <w:rsid w:val="00D96E10"/>
    <w:rsid w:val="00D96EE0"/>
    <w:rsid w:val="00D96F9A"/>
    <w:rsid w:val="00D96FE3"/>
    <w:rsid w:val="00D97044"/>
    <w:rsid w:val="00D9706E"/>
    <w:rsid w:val="00D97084"/>
    <w:rsid w:val="00D9708B"/>
    <w:rsid w:val="00D97198"/>
    <w:rsid w:val="00D971B0"/>
    <w:rsid w:val="00D971B6"/>
    <w:rsid w:val="00D97242"/>
    <w:rsid w:val="00D97263"/>
    <w:rsid w:val="00D972DB"/>
    <w:rsid w:val="00D972EB"/>
    <w:rsid w:val="00D97324"/>
    <w:rsid w:val="00D97328"/>
    <w:rsid w:val="00D97438"/>
    <w:rsid w:val="00D974E8"/>
    <w:rsid w:val="00D974E9"/>
    <w:rsid w:val="00D975AE"/>
    <w:rsid w:val="00D97637"/>
    <w:rsid w:val="00D976A4"/>
    <w:rsid w:val="00D976DB"/>
    <w:rsid w:val="00D9772E"/>
    <w:rsid w:val="00D97760"/>
    <w:rsid w:val="00D9776B"/>
    <w:rsid w:val="00D977C6"/>
    <w:rsid w:val="00D9783F"/>
    <w:rsid w:val="00D978C4"/>
    <w:rsid w:val="00D978FA"/>
    <w:rsid w:val="00D97957"/>
    <w:rsid w:val="00D97978"/>
    <w:rsid w:val="00D979D1"/>
    <w:rsid w:val="00D97A24"/>
    <w:rsid w:val="00D97A55"/>
    <w:rsid w:val="00D97A87"/>
    <w:rsid w:val="00D97BA8"/>
    <w:rsid w:val="00D97BFA"/>
    <w:rsid w:val="00D97C37"/>
    <w:rsid w:val="00D97CB7"/>
    <w:rsid w:val="00D97D5D"/>
    <w:rsid w:val="00D97D70"/>
    <w:rsid w:val="00D97DDA"/>
    <w:rsid w:val="00D97DE8"/>
    <w:rsid w:val="00D97DEA"/>
    <w:rsid w:val="00D97FDC"/>
    <w:rsid w:val="00DA0024"/>
    <w:rsid w:val="00DA0060"/>
    <w:rsid w:val="00DA01C8"/>
    <w:rsid w:val="00DA0237"/>
    <w:rsid w:val="00DA0267"/>
    <w:rsid w:val="00DA043D"/>
    <w:rsid w:val="00DA046E"/>
    <w:rsid w:val="00DA04B1"/>
    <w:rsid w:val="00DA050C"/>
    <w:rsid w:val="00DA0568"/>
    <w:rsid w:val="00DA06B5"/>
    <w:rsid w:val="00DA0744"/>
    <w:rsid w:val="00DA0755"/>
    <w:rsid w:val="00DA08F5"/>
    <w:rsid w:val="00DA0A49"/>
    <w:rsid w:val="00DA0AF6"/>
    <w:rsid w:val="00DA0BFF"/>
    <w:rsid w:val="00DA0C5D"/>
    <w:rsid w:val="00DA0C78"/>
    <w:rsid w:val="00DA0C9F"/>
    <w:rsid w:val="00DA0D09"/>
    <w:rsid w:val="00DA0D58"/>
    <w:rsid w:val="00DA0D6C"/>
    <w:rsid w:val="00DA0D8B"/>
    <w:rsid w:val="00DA0DBF"/>
    <w:rsid w:val="00DA0E3C"/>
    <w:rsid w:val="00DA0F52"/>
    <w:rsid w:val="00DA0F63"/>
    <w:rsid w:val="00DA0FE6"/>
    <w:rsid w:val="00DA1076"/>
    <w:rsid w:val="00DA1095"/>
    <w:rsid w:val="00DA10CF"/>
    <w:rsid w:val="00DA111F"/>
    <w:rsid w:val="00DA1140"/>
    <w:rsid w:val="00DA11FC"/>
    <w:rsid w:val="00DA127C"/>
    <w:rsid w:val="00DA1314"/>
    <w:rsid w:val="00DA1345"/>
    <w:rsid w:val="00DA136E"/>
    <w:rsid w:val="00DA13FD"/>
    <w:rsid w:val="00DA1419"/>
    <w:rsid w:val="00DA1482"/>
    <w:rsid w:val="00DA14C9"/>
    <w:rsid w:val="00DA14FD"/>
    <w:rsid w:val="00DA158B"/>
    <w:rsid w:val="00DA15AF"/>
    <w:rsid w:val="00DA15E5"/>
    <w:rsid w:val="00DA15E8"/>
    <w:rsid w:val="00DA1607"/>
    <w:rsid w:val="00DA1653"/>
    <w:rsid w:val="00DA172B"/>
    <w:rsid w:val="00DA179B"/>
    <w:rsid w:val="00DA189A"/>
    <w:rsid w:val="00DA18AA"/>
    <w:rsid w:val="00DA18D3"/>
    <w:rsid w:val="00DA18D6"/>
    <w:rsid w:val="00DA1956"/>
    <w:rsid w:val="00DA19C7"/>
    <w:rsid w:val="00DA1A35"/>
    <w:rsid w:val="00DA1B17"/>
    <w:rsid w:val="00DA1B8E"/>
    <w:rsid w:val="00DA1C0A"/>
    <w:rsid w:val="00DA1C8C"/>
    <w:rsid w:val="00DA1D6E"/>
    <w:rsid w:val="00DA1DA3"/>
    <w:rsid w:val="00DA1EAB"/>
    <w:rsid w:val="00DA1F36"/>
    <w:rsid w:val="00DA1F75"/>
    <w:rsid w:val="00DA1F9A"/>
    <w:rsid w:val="00DA2081"/>
    <w:rsid w:val="00DA21EB"/>
    <w:rsid w:val="00DA2217"/>
    <w:rsid w:val="00DA22EA"/>
    <w:rsid w:val="00DA231E"/>
    <w:rsid w:val="00DA2351"/>
    <w:rsid w:val="00DA2391"/>
    <w:rsid w:val="00DA23DD"/>
    <w:rsid w:val="00DA23EE"/>
    <w:rsid w:val="00DA241D"/>
    <w:rsid w:val="00DA242B"/>
    <w:rsid w:val="00DA247E"/>
    <w:rsid w:val="00DA24B1"/>
    <w:rsid w:val="00DA2543"/>
    <w:rsid w:val="00DA256D"/>
    <w:rsid w:val="00DA2570"/>
    <w:rsid w:val="00DA25BE"/>
    <w:rsid w:val="00DA25C3"/>
    <w:rsid w:val="00DA25C4"/>
    <w:rsid w:val="00DA2643"/>
    <w:rsid w:val="00DA2666"/>
    <w:rsid w:val="00DA26A9"/>
    <w:rsid w:val="00DA276E"/>
    <w:rsid w:val="00DA278B"/>
    <w:rsid w:val="00DA2871"/>
    <w:rsid w:val="00DA2960"/>
    <w:rsid w:val="00DA29AE"/>
    <w:rsid w:val="00DA2AEC"/>
    <w:rsid w:val="00DA2BD1"/>
    <w:rsid w:val="00DA2C46"/>
    <w:rsid w:val="00DA2C4E"/>
    <w:rsid w:val="00DA2C99"/>
    <w:rsid w:val="00DA2D0B"/>
    <w:rsid w:val="00DA2E8D"/>
    <w:rsid w:val="00DA2ECA"/>
    <w:rsid w:val="00DA2F1C"/>
    <w:rsid w:val="00DA2F2C"/>
    <w:rsid w:val="00DA2FA9"/>
    <w:rsid w:val="00DA2FD1"/>
    <w:rsid w:val="00DA3008"/>
    <w:rsid w:val="00DA3021"/>
    <w:rsid w:val="00DA307D"/>
    <w:rsid w:val="00DA312C"/>
    <w:rsid w:val="00DA318F"/>
    <w:rsid w:val="00DA31F4"/>
    <w:rsid w:val="00DA3366"/>
    <w:rsid w:val="00DA3385"/>
    <w:rsid w:val="00DA33AB"/>
    <w:rsid w:val="00DA33DA"/>
    <w:rsid w:val="00DA3463"/>
    <w:rsid w:val="00DA34C4"/>
    <w:rsid w:val="00DA35C5"/>
    <w:rsid w:val="00DA35CE"/>
    <w:rsid w:val="00DA35CF"/>
    <w:rsid w:val="00DA3610"/>
    <w:rsid w:val="00DA3622"/>
    <w:rsid w:val="00DA365E"/>
    <w:rsid w:val="00DA36DC"/>
    <w:rsid w:val="00DA36E7"/>
    <w:rsid w:val="00DA370D"/>
    <w:rsid w:val="00DA3758"/>
    <w:rsid w:val="00DA3819"/>
    <w:rsid w:val="00DA3903"/>
    <w:rsid w:val="00DA3AAE"/>
    <w:rsid w:val="00DA3AE0"/>
    <w:rsid w:val="00DA3B01"/>
    <w:rsid w:val="00DA3B40"/>
    <w:rsid w:val="00DA3B57"/>
    <w:rsid w:val="00DA3BF9"/>
    <w:rsid w:val="00DA3DD6"/>
    <w:rsid w:val="00DA3DEB"/>
    <w:rsid w:val="00DA3EE3"/>
    <w:rsid w:val="00DA3F0E"/>
    <w:rsid w:val="00DA3F3C"/>
    <w:rsid w:val="00DA3F41"/>
    <w:rsid w:val="00DA3F8B"/>
    <w:rsid w:val="00DA3FF6"/>
    <w:rsid w:val="00DA40B4"/>
    <w:rsid w:val="00DA40B8"/>
    <w:rsid w:val="00DA4101"/>
    <w:rsid w:val="00DA4245"/>
    <w:rsid w:val="00DA4318"/>
    <w:rsid w:val="00DA4367"/>
    <w:rsid w:val="00DA43D6"/>
    <w:rsid w:val="00DA4546"/>
    <w:rsid w:val="00DA45D7"/>
    <w:rsid w:val="00DA464D"/>
    <w:rsid w:val="00DA4669"/>
    <w:rsid w:val="00DA466E"/>
    <w:rsid w:val="00DA46B3"/>
    <w:rsid w:val="00DA47BD"/>
    <w:rsid w:val="00DA480E"/>
    <w:rsid w:val="00DA4825"/>
    <w:rsid w:val="00DA48FD"/>
    <w:rsid w:val="00DA4977"/>
    <w:rsid w:val="00DA49E8"/>
    <w:rsid w:val="00DA49E9"/>
    <w:rsid w:val="00DA4A2D"/>
    <w:rsid w:val="00DA4A48"/>
    <w:rsid w:val="00DA4AA6"/>
    <w:rsid w:val="00DA4AC2"/>
    <w:rsid w:val="00DA4B71"/>
    <w:rsid w:val="00DA4B7C"/>
    <w:rsid w:val="00DA4BAB"/>
    <w:rsid w:val="00DA4BEA"/>
    <w:rsid w:val="00DA4CD3"/>
    <w:rsid w:val="00DA4D1A"/>
    <w:rsid w:val="00DA4D5D"/>
    <w:rsid w:val="00DA4D85"/>
    <w:rsid w:val="00DA4D9A"/>
    <w:rsid w:val="00DA4E5E"/>
    <w:rsid w:val="00DA4ECF"/>
    <w:rsid w:val="00DA4EEF"/>
    <w:rsid w:val="00DA4F16"/>
    <w:rsid w:val="00DA4F5F"/>
    <w:rsid w:val="00DA5034"/>
    <w:rsid w:val="00DA5091"/>
    <w:rsid w:val="00DA52E8"/>
    <w:rsid w:val="00DA5330"/>
    <w:rsid w:val="00DA5515"/>
    <w:rsid w:val="00DA565B"/>
    <w:rsid w:val="00DA56AD"/>
    <w:rsid w:val="00DA5778"/>
    <w:rsid w:val="00DA57AA"/>
    <w:rsid w:val="00DA58AC"/>
    <w:rsid w:val="00DA5919"/>
    <w:rsid w:val="00DA5985"/>
    <w:rsid w:val="00DA59A5"/>
    <w:rsid w:val="00DA5A25"/>
    <w:rsid w:val="00DA5ADE"/>
    <w:rsid w:val="00DA5B5A"/>
    <w:rsid w:val="00DA5B6D"/>
    <w:rsid w:val="00DA5B93"/>
    <w:rsid w:val="00DA5BB5"/>
    <w:rsid w:val="00DA5BDD"/>
    <w:rsid w:val="00DA5C6E"/>
    <w:rsid w:val="00DA5CB2"/>
    <w:rsid w:val="00DA5D43"/>
    <w:rsid w:val="00DA5D55"/>
    <w:rsid w:val="00DA5D64"/>
    <w:rsid w:val="00DA5D80"/>
    <w:rsid w:val="00DA5D9A"/>
    <w:rsid w:val="00DA5DC6"/>
    <w:rsid w:val="00DA5E20"/>
    <w:rsid w:val="00DA5E59"/>
    <w:rsid w:val="00DA5E8B"/>
    <w:rsid w:val="00DA5EEF"/>
    <w:rsid w:val="00DA5FE5"/>
    <w:rsid w:val="00DA60C0"/>
    <w:rsid w:val="00DA60CD"/>
    <w:rsid w:val="00DA6182"/>
    <w:rsid w:val="00DA61A8"/>
    <w:rsid w:val="00DA61CF"/>
    <w:rsid w:val="00DA6201"/>
    <w:rsid w:val="00DA6204"/>
    <w:rsid w:val="00DA62DC"/>
    <w:rsid w:val="00DA62E5"/>
    <w:rsid w:val="00DA62ED"/>
    <w:rsid w:val="00DA6424"/>
    <w:rsid w:val="00DA65C4"/>
    <w:rsid w:val="00DA65E0"/>
    <w:rsid w:val="00DA65EB"/>
    <w:rsid w:val="00DA660A"/>
    <w:rsid w:val="00DA667D"/>
    <w:rsid w:val="00DA66F6"/>
    <w:rsid w:val="00DA680A"/>
    <w:rsid w:val="00DA684C"/>
    <w:rsid w:val="00DA6857"/>
    <w:rsid w:val="00DA68EB"/>
    <w:rsid w:val="00DA68ED"/>
    <w:rsid w:val="00DA68FC"/>
    <w:rsid w:val="00DA68FD"/>
    <w:rsid w:val="00DA692A"/>
    <w:rsid w:val="00DA698B"/>
    <w:rsid w:val="00DA6A35"/>
    <w:rsid w:val="00DA6A7C"/>
    <w:rsid w:val="00DA6AEB"/>
    <w:rsid w:val="00DA6B1D"/>
    <w:rsid w:val="00DA6C20"/>
    <w:rsid w:val="00DA6C4C"/>
    <w:rsid w:val="00DA6CA2"/>
    <w:rsid w:val="00DA6CF9"/>
    <w:rsid w:val="00DA6D1E"/>
    <w:rsid w:val="00DA6E2C"/>
    <w:rsid w:val="00DA7030"/>
    <w:rsid w:val="00DA7176"/>
    <w:rsid w:val="00DA71DB"/>
    <w:rsid w:val="00DA71E2"/>
    <w:rsid w:val="00DA72C2"/>
    <w:rsid w:val="00DA737D"/>
    <w:rsid w:val="00DA73E6"/>
    <w:rsid w:val="00DA744C"/>
    <w:rsid w:val="00DA7460"/>
    <w:rsid w:val="00DA7495"/>
    <w:rsid w:val="00DA757D"/>
    <w:rsid w:val="00DA759B"/>
    <w:rsid w:val="00DA7625"/>
    <w:rsid w:val="00DA769A"/>
    <w:rsid w:val="00DA76C3"/>
    <w:rsid w:val="00DA76DA"/>
    <w:rsid w:val="00DA7752"/>
    <w:rsid w:val="00DA78C4"/>
    <w:rsid w:val="00DA78E5"/>
    <w:rsid w:val="00DA7918"/>
    <w:rsid w:val="00DA792D"/>
    <w:rsid w:val="00DA793A"/>
    <w:rsid w:val="00DA7944"/>
    <w:rsid w:val="00DA7964"/>
    <w:rsid w:val="00DA79FC"/>
    <w:rsid w:val="00DA7A04"/>
    <w:rsid w:val="00DA7A47"/>
    <w:rsid w:val="00DA7AAA"/>
    <w:rsid w:val="00DA7B1E"/>
    <w:rsid w:val="00DA7B57"/>
    <w:rsid w:val="00DA7C45"/>
    <w:rsid w:val="00DA7CAE"/>
    <w:rsid w:val="00DA7CEE"/>
    <w:rsid w:val="00DA7D38"/>
    <w:rsid w:val="00DA7D56"/>
    <w:rsid w:val="00DA7D6C"/>
    <w:rsid w:val="00DA7D71"/>
    <w:rsid w:val="00DA7ED6"/>
    <w:rsid w:val="00DA7ED7"/>
    <w:rsid w:val="00DA7F6E"/>
    <w:rsid w:val="00DA7F75"/>
    <w:rsid w:val="00DA7FDF"/>
    <w:rsid w:val="00DB0002"/>
    <w:rsid w:val="00DB0083"/>
    <w:rsid w:val="00DB01BE"/>
    <w:rsid w:val="00DB030F"/>
    <w:rsid w:val="00DB0343"/>
    <w:rsid w:val="00DB0393"/>
    <w:rsid w:val="00DB03ED"/>
    <w:rsid w:val="00DB04E9"/>
    <w:rsid w:val="00DB058E"/>
    <w:rsid w:val="00DB05AF"/>
    <w:rsid w:val="00DB060D"/>
    <w:rsid w:val="00DB0657"/>
    <w:rsid w:val="00DB067D"/>
    <w:rsid w:val="00DB06AA"/>
    <w:rsid w:val="00DB06C4"/>
    <w:rsid w:val="00DB06D4"/>
    <w:rsid w:val="00DB07D2"/>
    <w:rsid w:val="00DB09D0"/>
    <w:rsid w:val="00DB0A3D"/>
    <w:rsid w:val="00DB0A4B"/>
    <w:rsid w:val="00DB0A6E"/>
    <w:rsid w:val="00DB0AA5"/>
    <w:rsid w:val="00DB0B70"/>
    <w:rsid w:val="00DB0BAE"/>
    <w:rsid w:val="00DB0C5C"/>
    <w:rsid w:val="00DB0C67"/>
    <w:rsid w:val="00DB0D55"/>
    <w:rsid w:val="00DB0DB2"/>
    <w:rsid w:val="00DB0DDB"/>
    <w:rsid w:val="00DB0E05"/>
    <w:rsid w:val="00DB0EBB"/>
    <w:rsid w:val="00DB0F5F"/>
    <w:rsid w:val="00DB0FB1"/>
    <w:rsid w:val="00DB103F"/>
    <w:rsid w:val="00DB1085"/>
    <w:rsid w:val="00DB11BA"/>
    <w:rsid w:val="00DB11E4"/>
    <w:rsid w:val="00DB11FA"/>
    <w:rsid w:val="00DB12C7"/>
    <w:rsid w:val="00DB1446"/>
    <w:rsid w:val="00DB14A3"/>
    <w:rsid w:val="00DB157C"/>
    <w:rsid w:val="00DB15FD"/>
    <w:rsid w:val="00DB16A5"/>
    <w:rsid w:val="00DB16C8"/>
    <w:rsid w:val="00DB16CF"/>
    <w:rsid w:val="00DB1718"/>
    <w:rsid w:val="00DB17B1"/>
    <w:rsid w:val="00DB17B5"/>
    <w:rsid w:val="00DB180C"/>
    <w:rsid w:val="00DB1863"/>
    <w:rsid w:val="00DB18B3"/>
    <w:rsid w:val="00DB199A"/>
    <w:rsid w:val="00DB19A3"/>
    <w:rsid w:val="00DB19A7"/>
    <w:rsid w:val="00DB19B1"/>
    <w:rsid w:val="00DB1A47"/>
    <w:rsid w:val="00DB1A92"/>
    <w:rsid w:val="00DB1AB3"/>
    <w:rsid w:val="00DB1B29"/>
    <w:rsid w:val="00DB1BAF"/>
    <w:rsid w:val="00DB1BD6"/>
    <w:rsid w:val="00DB1C43"/>
    <w:rsid w:val="00DB1C47"/>
    <w:rsid w:val="00DB1CAE"/>
    <w:rsid w:val="00DB1CB5"/>
    <w:rsid w:val="00DB1CC6"/>
    <w:rsid w:val="00DB1CCF"/>
    <w:rsid w:val="00DB1CE2"/>
    <w:rsid w:val="00DB1D3B"/>
    <w:rsid w:val="00DB1D64"/>
    <w:rsid w:val="00DB1E51"/>
    <w:rsid w:val="00DB1F74"/>
    <w:rsid w:val="00DB1F98"/>
    <w:rsid w:val="00DB20ED"/>
    <w:rsid w:val="00DB2147"/>
    <w:rsid w:val="00DB2193"/>
    <w:rsid w:val="00DB219C"/>
    <w:rsid w:val="00DB220F"/>
    <w:rsid w:val="00DB222B"/>
    <w:rsid w:val="00DB2266"/>
    <w:rsid w:val="00DB2412"/>
    <w:rsid w:val="00DB246C"/>
    <w:rsid w:val="00DB2481"/>
    <w:rsid w:val="00DB24DF"/>
    <w:rsid w:val="00DB24F9"/>
    <w:rsid w:val="00DB252F"/>
    <w:rsid w:val="00DB2552"/>
    <w:rsid w:val="00DB2609"/>
    <w:rsid w:val="00DB270A"/>
    <w:rsid w:val="00DB2862"/>
    <w:rsid w:val="00DB2A1C"/>
    <w:rsid w:val="00DB2B50"/>
    <w:rsid w:val="00DB2B75"/>
    <w:rsid w:val="00DB2CA0"/>
    <w:rsid w:val="00DB2CC6"/>
    <w:rsid w:val="00DB2D4B"/>
    <w:rsid w:val="00DB2DBF"/>
    <w:rsid w:val="00DB2DE8"/>
    <w:rsid w:val="00DB2DEF"/>
    <w:rsid w:val="00DB2E06"/>
    <w:rsid w:val="00DB2E0B"/>
    <w:rsid w:val="00DB2E21"/>
    <w:rsid w:val="00DB2E6F"/>
    <w:rsid w:val="00DB2E94"/>
    <w:rsid w:val="00DB2FAC"/>
    <w:rsid w:val="00DB2FB0"/>
    <w:rsid w:val="00DB2FB2"/>
    <w:rsid w:val="00DB3023"/>
    <w:rsid w:val="00DB306C"/>
    <w:rsid w:val="00DB3133"/>
    <w:rsid w:val="00DB3175"/>
    <w:rsid w:val="00DB3178"/>
    <w:rsid w:val="00DB31B6"/>
    <w:rsid w:val="00DB3299"/>
    <w:rsid w:val="00DB32D4"/>
    <w:rsid w:val="00DB3356"/>
    <w:rsid w:val="00DB3406"/>
    <w:rsid w:val="00DB3459"/>
    <w:rsid w:val="00DB36A2"/>
    <w:rsid w:val="00DB36B3"/>
    <w:rsid w:val="00DB37A8"/>
    <w:rsid w:val="00DB37F5"/>
    <w:rsid w:val="00DB38D4"/>
    <w:rsid w:val="00DB3955"/>
    <w:rsid w:val="00DB398A"/>
    <w:rsid w:val="00DB39AD"/>
    <w:rsid w:val="00DB39CA"/>
    <w:rsid w:val="00DB39E1"/>
    <w:rsid w:val="00DB3A3F"/>
    <w:rsid w:val="00DB3AB9"/>
    <w:rsid w:val="00DB3AD8"/>
    <w:rsid w:val="00DB3B10"/>
    <w:rsid w:val="00DB3BA6"/>
    <w:rsid w:val="00DB3BD2"/>
    <w:rsid w:val="00DB3C35"/>
    <w:rsid w:val="00DB3E4C"/>
    <w:rsid w:val="00DB3EC9"/>
    <w:rsid w:val="00DB3EE7"/>
    <w:rsid w:val="00DB3F8A"/>
    <w:rsid w:val="00DB3FA2"/>
    <w:rsid w:val="00DB3FD9"/>
    <w:rsid w:val="00DB401A"/>
    <w:rsid w:val="00DB4038"/>
    <w:rsid w:val="00DB4083"/>
    <w:rsid w:val="00DB411D"/>
    <w:rsid w:val="00DB416A"/>
    <w:rsid w:val="00DB419B"/>
    <w:rsid w:val="00DB42BA"/>
    <w:rsid w:val="00DB42BE"/>
    <w:rsid w:val="00DB434A"/>
    <w:rsid w:val="00DB4410"/>
    <w:rsid w:val="00DB4447"/>
    <w:rsid w:val="00DB44FC"/>
    <w:rsid w:val="00DB4588"/>
    <w:rsid w:val="00DB459A"/>
    <w:rsid w:val="00DB4633"/>
    <w:rsid w:val="00DB4639"/>
    <w:rsid w:val="00DB469B"/>
    <w:rsid w:val="00DB4719"/>
    <w:rsid w:val="00DB473C"/>
    <w:rsid w:val="00DB47DC"/>
    <w:rsid w:val="00DB4831"/>
    <w:rsid w:val="00DB48FC"/>
    <w:rsid w:val="00DB494F"/>
    <w:rsid w:val="00DB4950"/>
    <w:rsid w:val="00DB4976"/>
    <w:rsid w:val="00DB4989"/>
    <w:rsid w:val="00DB49DC"/>
    <w:rsid w:val="00DB49DF"/>
    <w:rsid w:val="00DB4A6D"/>
    <w:rsid w:val="00DB4A71"/>
    <w:rsid w:val="00DB4A99"/>
    <w:rsid w:val="00DB4AB9"/>
    <w:rsid w:val="00DB4B29"/>
    <w:rsid w:val="00DB4BE9"/>
    <w:rsid w:val="00DB4BF5"/>
    <w:rsid w:val="00DB4C10"/>
    <w:rsid w:val="00DB4C61"/>
    <w:rsid w:val="00DB4C8A"/>
    <w:rsid w:val="00DB4D0F"/>
    <w:rsid w:val="00DB4D9A"/>
    <w:rsid w:val="00DB4DB7"/>
    <w:rsid w:val="00DB4E16"/>
    <w:rsid w:val="00DB4E17"/>
    <w:rsid w:val="00DB5001"/>
    <w:rsid w:val="00DB50CD"/>
    <w:rsid w:val="00DB510C"/>
    <w:rsid w:val="00DB5150"/>
    <w:rsid w:val="00DB52B4"/>
    <w:rsid w:val="00DB5323"/>
    <w:rsid w:val="00DB541D"/>
    <w:rsid w:val="00DB543E"/>
    <w:rsid w:val="00DB56B9"/>
    <w:rsid w:val="00DB571A"/>
    <w:rsid w:val="00DB57A2"/>
    <w:rsid w:val="00DB5820"/>
    <w:rsid w:val="00DB583C"/>
    <w:rsid w:val="00DB594D"/>
    <w:rsid w:val="00DB5982"/>
    <w:rsid w:val="00DB599E"/>
    <w:rsid w:val="00DB5A00"/>
    <w:rsid w:val="00DB5A5B"/>
    <w:rsid w:val="00DB5B04"/>
    <w:rsid w:val="00DB5B26"/>
    <w:rsid w:val="00DB5B6C"/>
    <w:rsid w:val="00DB5B9C"/>
    <w:rsid w:val="00DB5BBB"/>
    <w:rsid w:val="00DB5CA9"/>
    <w:rsid w:val="00DB5CAA"/>
    <w:rsid w:val="00DB5D2E"/>
    <w:rsid w:val="00DB5DF9"/>
    <w:rsid w:val="00DB5E04"/>
    <w:rsid w:val="00DB5E18"/>
    <w:rsid w:val="00DB5FBC"/>
    <w:rsid w:val="00DB60D1"/>
    <w:rsid w:val="00DB6108"/>
    <w:rsid w:val="00DB6168"/>
    <w:rsid w:val="00DB619A"/>
    <w:rsid w:val="00DB6269"/>
    <w:rsid w:val="00DB635D"/>
    <w:rsid w:val="00DB63D6"/>
    <w:rsid w:val="00DB640F"/>
    <w:rsid w:val="00DB6422"/>
    <w:rsid w:val="00DB6449"/>
    <w:rsid w:val="00DB6581"/>
    <w:rsid w:val="00DB6593"/>
    <w:rsid w:val="00DB65B3"/>
    <w:rsid w:val="00DB65EB"/>
    <w:rsid w:val="00DB6653"/>
    <w:rsid w:val="00DB666D"/>
    <w:rsid w:val="00DB670F"/>
    <w:rsid w:val="00DB6712"/>
    <w:rsid w:val="00DB6738"/>
    <w:rsid w:val="00DB67A7"/>
    <w:rsid w:val="00DB6804"/>
    <w:rsid w:val="00DB6929"/>
    <w:rsid w:val="00DB6950"/>
    <w:rsid w:val="00DB69DD"/>
    <w:rsid w:val="00DB6A1A"/>
    <w:rsid w:val="00DB6AE0"/>
    <w:rsid w:val="00DB6C09"/>
    <w:rsid w:val="00DB6C10"/>
    <w:rsid w:val="00DB6CA8"/>
    <w:rsid w:val="00DB6E9B"/>
    <w:rsid w:val="00DB6F95"/>
    <w:rsid w:val="00DB7060"/>
    <w:rsid w:val="00DB70A7"/>
    <w:rsid w:val="00DB71D4"/>
    <w:rsid w:val="00DB7231"/>
    <w:rsid w:val="00DB724B"/>
    <w:rsid w:val="00DB72C2"/>
    <w:rsid w:val="00DB731C"/>
    <w:rsid w:val="00DB7381"/>
    <w:rsid w:val="00DB738D"/>
    <w:rsid w:val="00DB7412"/>
    <w:rsid w:val="00DB7478"/>
    <w:rsid w:val="00DB74AC"/>
    <w:rsid w:val="00DB7524"/>
    <w:rsid w:val="00DB752B"/>
    <w:rsid w:val="00DB755B"/>
    <w:rsid w:val="00DB760E"/>
    <w:rsid w:val="00DB7624"/>
    <w:rsid w:val="00DB7647"/>
    <w:rsid w:val="00DB7674"/>
    <w:rsid w:val="00DB770D"/>
    <w:rsid w:val="00DB7760"/>
    <w:rsid w:val="00DB7774"/>
    <w:rsid w:val="00DB7857"/>
    <w:rsid w:val="00DB78DC"/>
    <w:rsid w:val="00DB78E1"/>
    <w:rsid w:val="00DB78ED"/>
    <w:rsid w:val="00DB7941"/>
    <w:rsid w:val="00DB7A8A"/>
    <w:rsid w:val="00DB7AA2"/>
    <w:rsid w:val="00DB7AFE"/>
    <w:rsid w:val="00DB7B66"/>
    <w:rsid w:val="00DB7C27"/>
    <w:rsid w:val="00DB7C8B"/>
    <w:rsid w:val="00DB7CB4"/>
    <w:rsid w:val="00DB7D26"/>
    <w:rsid w:val="00DB7D42"/>
    <w:rsid w:val="00DB7DA3"/>
    <w:rsid w:val="00DB7F92"/>
    <w:rsid w:val="00DC0013"/>
    <w:rsid w:val="00DC00E2"/>
    <w:rsid w:val="00DC016F"/>
    <w:rsid w:val="00DC019E"/>
    <w:rsid w:val="00DC02DF"/>
    <w:rsid w:val="00DC033E"/>
    <w:rsid w:val="00DC0380"/>
    <w:rsid w:val="00DC048E"/>
    <w:rsid w:val="00DC04DD"/>
    <w:rsid w:val="00DC06C9"/>
    <w:rsid w:val="00DC0768"/>
    <w:rsid w:val="00DC077B"/>
    <w:rsid w:val="00DC083A"/>
    <w:rsid w:val="00DC0859"/>
    <w:rsid w:val="00DC0928"/>
    <w:rsid w:val="00DC0A65"/>
    <w:rsid w:val="00DC0ACF"/>
    <w:rsid w:val="00DC0AE4"/>
    <w:rsid w:val="00DC0B0D"/>
    <w:rsid w:val="00DC0B66"/>
    <w:rsid w:val="00DC0CB3"/>
    <w:rsid w:val="00DC0D77"/>
    <w:rsid w:val="00DC0DAF"/>
    <w:rsid w:val="00DC0E70"/>
    <w:rsid w:val="00DC0F83"/>
    <w:rsid w:val="00DC0FDC"/>
    <w:rsid w:val="00DC100F"/>
    <w:rsid w:val="00DC10BE"/>
    <w:rsid w:val="00DC1160"/>
    <w:rsid w:val="00DC1191"/>
    <w:rsid w:val="00DC1243"/>
    <w:rsid w:val="00DC129E"/>
    <w:rsid w:val="00DC12EE"/>
    <w:rsid w:val="00DC1333"/>
    <w:rsid w:val="00DC137B"/>
    <w:rsid w:val="00DC13B4"/>
    <w:rsid w:val="00DC1412"/>
    <w:rsid w:val="00DC142D"/>
    <w:rsid w:val="00DC1438"/>
    <w:rsid w:val="00DC1480"/>
    <w:rsid w:val="00DC1529"/>
    <w:rsid w:val="00DC1623"/>
    <w:rsid w:val="00DC1677"/>
    <w:rsid w:val="00DC1691"/>
    <w:rsid w:val="00DC1737"/>
    <w:rsid w:val="00DC1774"/>
    <w:rsid w:val="00DC17B1"/>
    <w:rsid w:val="00DC1894"/>
    <w:rsid w:val="00DC191E"/>
    <w:rsid w:val="00DC194A"/>
    <w:rsid w:val="00DC19CC"/>
    <w:rsid w:val="00DC19F0"/>
    <w:rsid w:val="00DC1AA5"/>
    <w:rsid w:val="00DC1AC2"/>
    <w:rsid w:val="00DC1B42"/>
    <w:rsid w:val="00DC1B56"/>
    <w:rsid w:val="00DC1C16"/>
    <w:rsid w:val="00DC1C41"/>
    <w:rsid w:val="00DC1D97"/>
    <w:rsid w:val="00DC1DB4"/>
    <w:rsid w:val="00DC1E6C"/>
    <w:rsid w:val="00DC1F12"/>
    <w:rsid w:val="00DC1F70"/>
    <w:rsid w:val="00DC1FA8"/>
    <w:rsid w:val="00DC2003"/>
    <w:rsid w:val="00DC200D"/>
    <w:rsid w:val="00DC20E4"/>
    <w:rsid w:val="00DC2116"/>
    <w:rsid w:val="00DC2189"/>
    <w:rsid w:val="00DC219D"/>
    <w:rsid w:val="00DC222F"/>
    <w:rsid w:val="00DC2333"/>
    <w:rsid w:val="00DC2356"/>
    <w:rsid w:val="00DC2428"/>
    <w:rsid w:val="00DC252A"/>
    <w:rsid w:val="00DC256D"/>
    <w:rsid w:val="00DC257F"/>
    <w:rsid w:val="00DC2583"/>
    <w:rsid w:val="00DC2593"/>
    <w:rsid w:val="00DC25B6"/>
    <w:rsid w:val="00DC265A"/>
    <w:rsid w:val="00DC29E5"/>
    <w:rsid w:val="00DC2A5C"/>
    <w:rsid w:val="00DC2A7E"/>
    <w:rsid w:val="00DC2CA6"/>
    <w:rsid w:val="00DC2E4A"/>
    <w:rsid w:val="00DC2E94"/>
    <w:rsid w:val="00DC2EDF"/>
    <w:rsid w:val="00DC2EF4"/>
    <w:rsid w:val="00DC2F5E"/>
    <w:rsid w:val="00DC304E"/>
    <w:rsid w:val="00DC3086"/>
    <w:rsid w:val="00DC3101"/>
    <w:rsid w:val="00DC3147"/>
    <w:rsid w:val="00DC31D8"/>
    <w:rsid w:val="00DC327F"/>
    <w:rsid w:val="00DC330D"/>
    <w:rsid w:val="00DC3356"/>
    <w:rsid w:val="00DC34A0"/>
    <w:rsid w:val="00DC3526"/>
    <w:rsid w:val="00DC35A6"/>
    <w:rsid w:val="00DC35B2"/>
    <w:rsid w:val="00DC3605"/>
    <w:rsid w:val="00DC371F"/>
    <w:rsid w:val="00DC3804"/>
    <w:rsid w:val="00DC3845"/>
    <w:rsid w:val="00DC38CE"/>
    <w:rsid w:val="00DC38D9"/>
    <w:rsid w:val="00DC390F"/>
    <w:rsid w:val="00DC3932"/>
    <w:rsid w:val="00DC3947"/>
    <w:rsid w:val="00DC3A18"/>
    <w:rsid w:val="00DC3A44"/>
    <w:rsid w:val="00DC3B2F"/>
    <w:rsid w:val="00DC3B3E"/>
    <w:rsid w:val="00DC3B43"/>
    <w:rsid w:val="00DC3D47"/>
    <w:rsid w:val="00DC3DA5"/>
    <w:rsid w:val="00DC3DB5"/>
    <w:rsid w:val="00DC3DCE"/>
    <w:rsid w:val="00DC3E01"/>
    <w:rsid w:val="00DC3E25"/>
    <w:rsid w:val="00DC3E54"/>
    <w:rsid w:val="00DC3E65"/>
    <w:rsid w:val="00DC3E99"/>
    <w:rsid w:val="00DC3FC2"/>
    <w:rsid w:val="00DC4035"/>
    <w:rsid w:val="00DC40A3"/>
    <w:rsid w:val="00DC40BD"/>
    <w:rsid w:val="00DC4173"/>
    <w:rsid w:val="00DC4250"/>
    <w:rsid w:val="00DC42D9"/>
    <w:rsid w:val="00DC42DC"/>
    <w:rsid w:val="00DC4355"/>
    <w:rsid w:val="00DC4367"/>
    <w:rsid w:val="00DC444D"/>
    <w:rsid w:val="00DC44B4"/>
    <w:rsid w:val="00DC44CD"/>
    <w:rsid w:val="00DC44E5"/>
    <w:rsid w:val="00DC44FB"/>
    <w:rsid w:val="00DC451F"/>
    <w:rsid w:val="00DC452C"/>
    <w:rsid w:val="00DC4594"/>
    <w:rsid w:val="00DC45A6"/>
    <w:rsid w:val="00DC4656"/>
    <w:rsid w:val="00DC46BB"/>
    <w:rsid w:val="00DC47E2"/>
    <w:rsid w:val="00DC498E"/>
    <w:rsid w:val="00DC49E3"/>
    <w:rsid w:val="00DC4A35"/>
    <w:rsid w:val="00DC4A71"/>
    <w:rsid w:val="00DC4AB5"/>
    <w:rsid w:val="00DC4AF6"/>
    <w:rsid w:val="00DC4AF8"/>
    <w:rsid w:val="00DC4B96"/>
    <w:rsid w:val="00DC4BE5"/>
    <w:rsid w:val="00DC4C7E"/>
    <w:rsid w:val="00DC4CDB"/>
    <w:rsid w:val="00DC4CE7"/>
    <w:rsid w:val="00DC4D63"/>
    <w:rsid w:val="00DC4D71"/>
    <w:rsid w:val="00DC4D75"/>
    <w:rsid w:val="00DC4D7C"/>
    <w:rsid w:val="00DC4D8E"/>
    <w:rsid w:val="00DC4ED2"/>
    <w:rsid w:val="00DC4F1F"/>
    <w:rsid w:val="00DC4F89"/>
    <w:rsid w:val="00DC4FB6"/>
    <w:rsid w:val="00DC4FBD"/>
    <w:rsid w:val="00DC5019"/>
    <w:rsid w:val="00DC50D9"/>
    <w:rsid w:val="00DC50DF"/>
    <w:rsid w:val="00DC510A"/>
    <w:rsid w:val="00DC5135"/>
    <w:rsid w:val="00DC5271"/>
    <w:rsid w:val="00DC52C5"/>
    <w:rsid w:val="00DC52F8"/>
    <w:rsid w:val="00DC538E"/>
    <w:rsid w:val="00DC5484"/>
    <w:rsid w:val="00DC549B"/>
    <w:rsid w:val="00DC5578"/>
    <w:rsid w:val="00DC5588"/>
    <w:rsid w:val="00DC55BA"/>
    <w:rsid w:val="00DC55E5"/>
    <w:rsid w:val="00DC55F1"/>
    <w:rsid w:val="00DC59AD"/>
    <w:rsid w:val="00DC5B0F"/>
    <w:rsid w:val="00DC5B80"/>
    <w:rsid w:val="00DC5B9C"/>
    <w:rsid w:val="00DC5BC5"/>
    <w:rsid w:val="00DC5BDA"/>
    <w:rsid w:val="00DC5C1D"/>
    <w:rsid w:val="00DC5C32"/>
    <w:rsid w:val="00DC5C73"/>
    <w:rsid w:val="00DC5D1F"/>
    <w:rsid w:val="00DC5D23"/>
    <w:rsid w:val="00DC5DA0"/>
    <w:rsid w:val="00DC5DAB"/>
    <w:rsid w:val="00DC5E0F"/>
    <w:rsid w:val="00DC5E4A"/>
    <w:rsid w:val="00DC5F15"/>
    <w:rsid w:val="00DC5F61"/>
    <w:rsid w:val="00DC5F7B"/>
    <w:rsid w:val="00DC5FEE"/>
    <w:rsid w:val="00DC6113"/>
    <w:rsid w:val="00DC628F"/>
    <w:rsid w:val="00DC62C0"/>
    <w:rsid w:val="00DC631E"/>
    <w:rsid w:val="00DC635E"/>
    <w:rsid w:val="00DC6397"/>
    <w:rsid w:val="00DC63A4"/>
    <w:rsid w:val="00DC641C"/>
    <w:rsid w:val="00DC6462"/>
    <w:rsid w:val="00DC6478"/>
    <w:rsid w:val="00DC6494"/>
    <w:rsid w:val="00DC64DF"/>
    <w:rsid w:val="00DC662F"/>
    <w:rsid w:val="00DC669A"/>
    <w:rsid w:val="00DC66C2"/>
    <w:rsid w:val="00DC66D3"/>
    <w:rsid w:val="00DC6711"/>
    <w:rsid w:val="00DC676C"/>
    <w:rsid w:val="00DC67B4"/>
    <w:rsid w:val="00DC67B5"/>
    <w:rsid w:val="00DC6808"/>
    <w:rsid w:val="00DC6A1E"/>
    <w:rsid w:val="00DC6C83"/>
    <w:rsid w:val="00DC6DA7"/>
    <w:rsid w:val="00DC6E32"/>
    <w:rsid w:val="00DC6E33"/>
    <w:rsid w:val="00DC6F00"/>
    <w:rsid w:val="00DC6F24"/>
    <w:rsid w:val="00DC6F6E"/>
    <w:rsid w:val="00DC6FAD"/>
    <w:rsid w:val="00DC6FED"/>
    <w:rsid w:val="00DC7066"/>
    <w:rsid w:val="00DC7096"/>
    <w:rsid w:val="00DC7098"/>
    <w:rsid w:val="00DC716A"/>
    <w:rsid w:val="00DC71A8"/>
    <w:rsid w:val="00DC7269"/>
    <w:rsid w:val="00DC72AB"/>
    <w:rsid w:val="00DC72BD"/>
    <w:rsid w:val="00DC731A"/>
    <w:rsid w:val="00DC7449"/>
    <w:rsid w:val="00DC7490"/>
    <w:rsid w:val="00DC74CA"/>
    <w:rsid w:val="00DC751E"/>
    <w:rsid w:val="00DC7573"/>
    <w:rsid w:val="00DC75A1"/>
    <w:rsid w:val="00DC76A1"/>
    <w:rsid w:val="00DC76CB"/>
    <w:rsid w:val="00DC77EE"/>
    <w:rsid w:val="00DC7832"/>
    <w:rsid w:val="00DC7845"/>
    <w:rsid w:val="00DC793C"/>
    <w:rsid w:val="00DC79C4"/>
    <w:rsid w:val="00DC7A56"/>
    <w:rsid w:val="00DC7AB5"/>
    <w:rsid w:val="00DC7ACD"/>
    <w:rsid w:val="00DC7AE2"/>
    <w:rsid w:val="00DC7AF3"/>
    <w:rsid w:val="00DC7AF5"/>
    <w:rsid w:val="00DC7BBB"/>
    <w:rsid w:val="00DC7BCB"/>
    <w:rsid w:val="00DC7BFA"/>
    <w:rsid w:val="00DC7C27"/>
    <w:rsid w:val="00DC7C8F"/>
    <w:rsid w:val="00DC7CFD"/>
    <w:rsid w:val="00DC7D59"/>
    <w:rsid w:val="00DC7EAE"/>
    <w:rsid w:val="00DC7F82"/>
    <w:rsid w:val="00DD011F"/>
    <w:rsid w:val="00DD0196"/>
    <w:rsid w:val="00DD01E7"/>
    <w:rsid w:val="00DD0212"/>
    <w:rsid w:val="00DD03FB"/>
    <w:rsid w:val="00DD0485"/>
    <w:rsid w:val="00DD049B"/>
    <w:rsid w:val="00DD058A"/>
    <w:rsid w:val="00DD05F0"/>
    <w:rsid w:val="00DD06F1"/>
    <w:rsid w:val="00DD0739"/>
    <w:rsid w:val="00DD07E9"/>
    <w:rsid w:val="00DD07F8"/>
    <w:rsid w:val="00DD081C"/>
    <w:rsid w:val="00DD086F"/>
    <w:rsid w:val="00DD08AA"/>
    <w:rsid w:val="00DD08C5"/>
    <w:rsid w:val="00DD090B"/>
    <w:rsid w:val="00DD09B2"/>
    <w:rsid w:val="00DD0A0F"/>
    <w:rsid w:val="00DD0AE1"/>
    <w:rsid w:val="00DD0B08"/>
    <w:rsid w:val="00DD0BAB"/>
    <w:rsid w:val="00DD0C39"/>
    <w:rsid w:val="00DD0D54"/>
    <w:rsid w:val="00DD0E12"/>
    <w:rsid w:val="00DD0E52"/>
    <w:rsid w:val="00DD0EC8"/>
    <w:rsid w:val="00DD0ED0"/>
    <w:rsid w:val="00DD0EDB"/>
    <w:rsid w:val="00DD0F8F"/>
    <w:rsid w:val="00DD1078"/>
    <w:rsid w:val="00DD1130"/>
    <w:rsid w:val="00DD114D"/>
    <w:rsid w:val="00DD1186"/>
    <w:rsid w:val="00DD11B3"/>
    <w:rsid w:val="00DD11BC"/>
    <w:rsid w:val="00DD11BD"/>
    <w:rsid w:val="00DD1241"/>
    <w:rsid w:val="00DD1270"/>
    <w:rsid w:val="00DD12A1"/>
    <w:rsid w:val="00DD12B0"/>
    <w:rsid w:val="00DD13A6"/>
    <w:rsid w:val="00DD1437"/>
    <w:rsid w:val="00DD1443"/>
    <w:rsid w:val="00DD1501"/>
    <w:rsid w:val="00DD153B"/>
    <w:rsid w:val="00DD1591"/>
    <w:rsid w:val="00DD15BF"/>
    <w:rsid w:val="00DD15D7"/>
    <w:rsid w:val="00DD1622"/>
    <w:rsid w:val="00DD167B"/>
    <w:rsid w:val="00DD172A"/>
    <w:rsid w:val="00DD17A1"/>
    <w:rsid w:val="00DD197B"/>
    <w:rsid w:val="00DD19DF"/>
    <w:rsid w:val="00DD1AB8"/>
    <w:rsid w:val="00DD1ABB"/>
    <w:rsid w:val="00DD1AE0"/>
    <w:rsid w:val="00DD1B2F"/>
    <w:rsid w:val="00DD1B6D"/>
    <w:rsid w:val="00DD1C09"/>
    <w:rsid w:val="00DD1C30"/>
    <w:rsid w:val="00DD1C43"/>
    <w:rsid w:val="00DD1D0F"/>
    <w:rsid w:val="00DD1D17"/>
    <w:rsid w:val="00DD1D36"/>
    <w:rsid w:val="00DD1D45"/>
    <w:rsid w:val="00DD1D90"/>
    <w:rsid w:val="00DD1DB4"/>
    <w:rsid w:val="00DD1E5F"/>
    <w:rsid w:val="00DD1F1C"/>
    <w:rsid w:val="00DD1F39"/>
    <w:rsid w:val="00DD203E"/>
    <w:rsid w:val="00DD20EA"/>
    <w:rsid w:val="00DD2140"/>
    <w:rsid w:val="00DD21FE"/>
    <w:rsid w:val="00DD220D"/>
    <w:rsid w:val="00DD2286"/>
    <w:rsid w:val="00DD2295"/>
    <w:rsid w:val="00DD2316"/>
    <w:rsid w:val="00DD241B"/>
    <w:rsid w:val="00DD24E0"/>
    <w:rsid w:val="00DD2510"/>
    <w:rsid w:val="00DD2578"/>
    <w:rsid w:val="00DD260F"/>
    <w:rsid w:val="00DD2619"/>
    <w:rsid w:val="00DD26CE"/>
    <w:rsid w:val="00DD26ED"/>
    <w:rsid w:val="00DD26FF"/>
    <w:rsid w:val="00DD2748"/>
    <w:rsid w:val="00DD27AE"/>
    <w:rsid w:val="00DD2882"/>
    <w:rsid w:val="00DD2889"/>
    <w:rsid w:val="00DD28DD"/>
    <w:rsid w:val="00DD2A54"/>
    <w:rsid w:val="00DD2ADE"/>
    <w:rsid w:val="00DD2AE0"/>
    <w:rsid w:val="00DD2AE6"/>
    <w:rsid w:val="00DD2B2C"/>
    <w:rsid w:val="00DD2B6C"/>
    <w:rsid w:val="00DD2C5E"/>
    <w:rsid w:val="00DD2CF8"/>
    <w:rsid w:val="00DD2D04"/>
    <w:rsid w:val="00DD2D0E"/>
    <w:rsid w:val="00DD2D89"/>
    <w:rsid w:val="00DD2D8B"/>
    <w:rsid w:val="00DD2D97"/>
    <w:rsid w:val="00DD2DAD"/>
    <w:rsid w:val="00DD2E3F"/>
    <w:rsid w:val="00DD2F8E"/>
    <w:rsid w:val="00DD2FB9"/>
    <w:rsid w:val="00DD3017"/>
    <w:rsid w:val="00DD3020"/>
    <w:rsid w:val="00DD30CC"/>
    <w:rsid w:val="00DD3398"/>
    <w:rsid w:val="00DD33E3"/>
    <w:rsid w:val="00DD343F"/>
    <w:rsid w:val="00DD34CE"/>
    <w:rsid w:val="00DD35EC"/>
    <w:rsid w:val="00DD3639"/>
    <w:rsid w:val="00DD3714"/>
    <w:rsid w:val="00DD3780"/>
    <w:rsid w:val="00DD37AF"/>
    <w:rsid w:val="00DD37D9"/>
    <w:rsid w:val="00DD37E6"/>
    <w:rsid w:val="00DD3804"/>
    <w:rsid w:val="00DD38EA"/>
    <w:rsid w:val="00DD390D"/>
    <w:rsid w:val="00DD391C"/>
    <w:rsid w:val="00DD395C"/>
    <w:rsid w:val="00DD3966"/>
    <w:rsid w:val="00DD39B8"/>
    <w:rsid w:val="00DD39CD"/>
    <w:rsid w:val="00DD39D8"/>
    <w:rsid w:val="00DD39DE"/>
    <w:rsid w:val="00DD39EB"/>
    <w:rsid w:val="00DD3A5D"/>
    <w:rsid w:val="00DD3A84"/>
    <w:rsid w:val="00DD3B5D"/>
    <w:rsid w:val="00DD3B5E"/>
    <w:rsid w:val="00DD3C76"/>
    <w:rsid w:val="00DD3CCF"/>
    <w:rsid w:val="00DD3DF3"/>
    <w:rsid w:val="00DD3E0E"/>
    <w:rsid w:val="00DD3E2D"/>
    <w:rsid w:val="00DD3E63"/>
    <w:rsid w:val="00DD3F5F"/>
    <w:rsid w:val="00DD3F62"/>
    <w:rsid w:val="00DD3FA4"/>
    <w:rsid w:val="00DD4092"/>
    <w:rsid w:val="00DD4127"/>
    <w:rsid w:val="00DD4143"/>
    <w:rsid w:val="00DD4164"/>
    <w:rsid w:val="00DD4269"/>
    <w:rsid w:val="00DD4274"/>
    <w:rsid w:val="00DD42B1"/>
    <w:rsid w:val="00DD42C6"/>
    <w:rsid w:val="00DD4380"/>
    <w:rsid w:val="00DD444D"/>
    <w:rsid w:val="00DD44E5"/>
    <w:rsid w:val="00DD4513"/>
    <w:rsid w:val="00DD45F6"/>
    <w:rsid w:val="00DD4614"/>
    <w:rsid w:val="00DD463D"/>
    <w:rsid w:val="00DD46A7"/>
    <w:rsid w:val="00DD486D"/>
    <w:rsid w:val="00DD49CB"/>
    <w:rsid w:val="00DD4A90"/>
    <w:rsid w:val="00DD4AC1"/>
    <w:rsid w:val="00DD4B0A"/>
    <w:rsid w:val="00DD4B6C"/>
    <w:rsid w:val="00DD4B97"/>
    <w:rsid w:val="00DD4BA3"/>
    <w:rsid w:val="00DD4D2A"/>
    <w:rsid w:val="00DD4DD4"/>
    <w:rsid w:val="00DD4F64"/>
    <w:rsid w:val="00DD50DE"/>
    <w:rsid w:val="00DD50E5"/>
    <w:rsid w:val="00DD5194"/>
    <w:rsid w:val="00DD5357"/>
    <w:rsid w:val="00DD54EC"/>
    <w:rsid w:val="00DD556E"/>
    <w:rsid w:val="00DD55AB"/>
    <w:rsid w:val="00DD55AD"/>
    <w:rsid w:val="00DD55C1"/>
    <w:rsid w:val="00DD5619"/>
    <w:rsid w:val="00DD5660"/>
    <w:rsid w:val="00DD5678"/>
    <w:rsid w:val="00DD5738"/>
    <w:rsid w:val="00DD58E0"/>
    <w:rsid w:val="00DD59AF"/>
    <w:rsid w:val="00DD59D5"/>
    <w:rsid w:val="00DD5A06"/>
    <w:rsid w:val="00DD5A19"/>
    <w:rsid w:val="00DD5A46"/>
    <w:rsid w:val="00DD5A9E"/>
    <w:rsid w:val="00DD5AB7"/>
    <w:rsid w:val="00DD5B86"/>
    <w:rsid w:val="00DD5BD1"/>
    <w:rsid w:val="00DD5C4C"/>
    <w:rsid w:val="00DD5CBA"/>
    <w:rsid w:val="00DD5DC5"/>
    <w:rsid w:val="00DD5E19"/>
    <w:rsid w:val="00DD5E45"/>
    <w:rsid w:val="00DD5FE9"/>
    <w:rsid w:val="00DD5FED"/>
    <w:rsid w:val="00DD6017"/>
    <w:rsid w:val="00DD601D"/>
    <w:rsid w:val="00DD60B3"/>
    <w:rsid w:val="00DD610E"/>
    <w:rsid w:val="00DD6158"/>
    <w:rsid w:val="00DD616F"/>
    <w:rsid w:val="00DD61AD"/>
    <w:rsid w:val="00DD6247"/>
    <w:rsid w:val="00DD6268"/>
    <w:rsid w:val="00DD62A2"/>
    <w:rsid w:val="00DD631E"/>
    <w:rsid w:val="00DD6350"/>
    <w:rsid w:val="00DD6360"/>
    <w:rsid w:val="00DD63FD"/>
    <w:rsid w:val="00DD63FE"/>
    <w:rsid w:val="00DD64AB"/>
    <w:rsid w:val="00DD650D"/>
    <w:rsid w:val="00DD6575"/>
    <w:rsid w:val="00DD65FF"/>
    <w:rsid w:val="00DD6632"/>
    <w:rsid w:val="00DD6669"/>
    <w:rsid w:val="00DD66BA"/>
    <w:rsid w:val="00DD66E3"/>
    <w:rsid w:val="00DD6757"/>
    <w:rsid w:val="00DD6779"/>
    <w:rsid w:val="00DD67A0"/>
    <w:rsid w:val="00DD67CC"/>
    <w:rsid w:val="00DD681A"/>
    <w:rsid w:val="00DD68C4"/>
    <w:rsid w:val="00DD6948"/>
    <w:rsid w:val="00DD6958"/>
    <w:rsid w:val="00DD6A50"/>
    <w:rsid w:val="00DD6AAB"/>
    <w:rsid w:val="00DD6AE3"/>
    <w:rsid w:val="00DD6B10"/>
    <w:rsid w:val="00DD6B1D"/>
    <w:rsid w:val="00DD6BAF"/>
    <w:rsid w:val="00DD6BBF"/>
    <w:rsid w:val="00DD6BE5"/>
    <w:rsid w:val="00DD6BF5"/>
    <w:rsid w:val="00DD6C04"/>
    <w:rsid w:val="00DD6C18"/>
    <w:rsid w:val="00DD6D36"/>
    <w:rsid w:val="00DD6D41"/>
    <w:rsid w:val="00DD6D56"/>
    <w:rsid w:val="00DD6D9C"/>
    <w:rsid w:val="00DD6DCF"/>
    <w:rsid w:val="00DD6E4C"/>
    <w:rsid w:val="00DD6EAF"/>
    <w:rsid w:val="00DD6ECB"/>
    <w:rsid w:val="00DD6EE4"/>
    <w:rsid w:val="00DD7042"/>
    <w:rsid w:val="00DD7063"/>
    <w:rsid w:val="00DD7093"/>
    <w:rsid w:val="00DD70A0"/>
    <w:rsid w:val="00DD7146"/>
    <w:rsid w:val="00DD715F"/>
    <w:rsid w:val="00DD71D2"/>
    <w:rsid w:val="00DD71FA"/>
    <w:rsid w:val="00DD7295"/>
    <w:rsid w:val="00DD72FB"/>
    <w:rsid w:val="00DD7328"/>
    <w:rsid w:val="00DD7341"/>
    <w:rsid w:val="00DD7416"/>
    <w:rsid w:val="00DD74A0"/>
    <w:rsid w:val="00DD74AF"/>
    <w:rsid w:val="00DD7526"/>
    <w:rsid w:val="00DD75B9"/>
    <w:rsid w:val="00DD7605"/>
    <w:rsid w:val="00DD7669"/>
    <w:rsid w:val="00DD7675"/>
    <w:rsid w:val="00DD7680"/>
    <w:rsid w:val="00DD774C"/>
    <w:rsid w:val="00DD775A"/>
    <w:rsid w:val="00DD7788"/>
    <w:rsid w:val="00DD779A"/>
    <w:rsid w:val="00DD77B6"/>
    <w:rsid w:val="00DD7805"/>
    <w:rsid w:val="00DD78B2"/>
    <w:rsid w:val="00DD7979"/>
    <w:rsid w:val="00DD79E9"/>
    <w:rsid w:val="00DD7A56"/>
    <w:rsid w:val="00DD7AEE"/>
    <w:rsid w:val="00DD7B2E"/>
    <w:rsid w:val="00DD7B4D"/>
    <w:rsid w:val="00DD7B6A"/>
    <w:rsid w:val="00DD7C03"/>
    <w:rsid w:val="00DD7CD7"/>
    <w:rsid w:val="00DD7CEF"/>
    <w:rsid w:val="00DD7E80"/>
    <w:rsid w:val="00DD7E97"/>
    <w:rsid w:val="00DE0215"/>
    <w:rsid w:val="00DE0221"/>
    <w:rsid w:val="00DE0245"/>
    <w:rsid w:val="00DE025E"/>
    <w:rsid w:val="00DE0261"/>
    <w:rsid w:val="00DE0278"/>
    <w:rsid w:val="00DE03F3"/>
    <w:rsid w:val="00DE0400"/>
    <w:rsid w:val="00DE0463"/>
    <w:rsid w:val="00DE0466"/>
    <w:rsid w:val="00DE0514"/>
    <w:rsid w:val="00DE0575"/>
    <w:rsid w:val="00DE05FB"/>
    <w:rsid w:val="00DE0644"/>
    <w:rsid w:val="00DE069F"/>
    <w:rsid w:val="00DE073E"/>
    <w:rsid w:val="00DE0748"/>
    <w:rsid w:val="00DE07A9"/>
    <w:rsid w:val="00DE086D"/>
    <w:rsid w:val="00DE08BA"/>
    <w:rsid w:val="00DE08BE"/>
    <w:rsid w:val="00DE09DB"/>
    <w:rsid w:val="00DE09F5"/>
    <w:rsid w:val="00DE0A18"/>
    <w:rsid w:val="00DE0AB7"/>
    <w:rsid w:val="00DE0AF5"/>
    <w:rsid w:val="00DE0B85"/>
    <w:rsid w:val="00DE0C21"/>
    <w:rsid w:val="00DE0C26"/>
    <w:rsid w:val="00DE0CB0"/>
    <w:rsid w:val="00DE0CE3"/>
    <w:rsid w:val="00DE0CF3"/>
    <w:rsid w:val="00DE0D14"/>
    <w:rsid w:val="00DE0D8B"/>
    <w:rsid w:val="00DE0D8F"/>
    <w:rsid w:val="00DE0D9B"/>
    <w:rsid w:val="00DE0E5C"/>
    <w:rsid w:val="00DE0F12"/>
    <w:rsid w:val="00DE0F1B"/>
    <w:rsid w:val="00DE0F7C"/>
    <w:rsid w:val="00DE0FA0"/>
    <w:rsid w:val="00DE0FF8"/>
    <w:rsid w:val="00DE106D"/>
    <w:rsid w:val="00DE1088"/>
    <w:rsid w:val="00DE10D0"/>
    <w:rsid w:val="00DE10DB"/>
    <w:rsid w:val="00DE10E0"/>
    <w:rsid w:val="00DE11B3"/>
    <w:rsid w:val="00DE11CA"/>
    <w:rsid w:val="00DE1511"/>
    <w:rsid w:val="00DE1584"/>
    <w:rsid w:val="00DE15AD"/>
    <w:rsid w:val="00DE1663"/>
    <w:rsid w:val="00DE1686"/>
    <w:rsid w:val="00DE16BD"/>
    <w:rsid w:val="00DE16CC"/>
    <w:rsid w:val="00DE17AF"/>
    <w:rsid w:val="00DE181E"/>
    <w:rsid w:val="00DE1873"/>
    <w:rsid w:val="00DE1929"/>
    <w:rsid w:val="00DE19DC"/>
    <w:rsid w:val="00DE1A31"/>
    <w:rsid w:val="00DE1A9A"/>
    <w:rsid w:val="00DE1C50"/>
    <w:rsid w:val="00DE1CAB"/>
    <w:rsid w:val="00DE1CBC"/>
    <w:rsid w:val="00DE1D72"/>
    <w:rsid w:val="00DE1DC1"/>
    <w:rsid w:val="00DE1DD8"/>
    <w:rsid w:val="00DE1DDE"/>
    <w:rsid w:val="00DE1E5E"/>
    <w:rsid w:val="00DE1E76"/>
    <w:rsid w:val="00DE1EEF"/>
    <w:rsid w:val="00DE1F59"/>
    <w:rsid w:val="00DE206C"/>
    <w:rsid w:val="00DE20EE"/>
    <w:rsid w:val="00DE2119"/>
    <w:rsid w:val="00DE2156"/>
    <w:rsid w:val="00DE2161"/>
    <w:rsid w:val="00DE21DB"/>
    <w:rsid w:val="00DE223B"/>
    <w:rsid w:val="00DE22AE"/>
    <w:rsid w:val="00DE2371"/>
    <w:rsid w:val="00DE24B2"/>
    <w:rsid w:val="00DE24E3"/>
    <w:rsid w:val="00DE2589"/>
    <w:rsid w:val="00DE25A1"/>
    <w:rsid w:val="00DE25BA"/>
    <w:rsid w:val="00DE25C5"/>
    <w:rsid w:val="00DE25D0"/>
    <w:rsid w:val="00DE25DC"/>
    <w:rsid w:val="00DE2655"/>
    <w:rsid w:val="00DE26A4"/>
    <w:rsid w:val="00DE2729"/>
    <w:rsid w:val="00DE2794"/>
    <w:rsid w:val="00DE27F6"/>
    <w:rsid w:val="00DE2882"/>
    <w:rsid w:val="00DE297D"/>
    <w:rsid w:val="00DE29D5"/>
    <w:rsid w:val="00DE2A0C"/>
    <w:rsid w:val="00DE2A1B"/>
    <w:rsid w:val="00DE2AE3"/>
    <w:rsid w:val="00DE2BCA"/>
    <w:rsid w:val="00DE2C6C"/>
    <w:rsid w:val="00DE2CEF"/>
    <w:rsid w:val="00DE2D15"/>
    <w:rsid w:val="00DE2D3A"/>
    <w:rsid w:val="00DE2DE6"/>
    <w:rsid w:val="00DE2DF0"/>
    <w:rsid w:val="00DE2EC5"/>
    <w:rsid w:val="00DE2FAC"/>
    <w:rsid w:val="00DE3063"/>
    <w:rsid w:val="00DE30DA"/>
    <w:rsid w:val="00DE31D1"/>
    <w:rsid w:val="00DE3332"/>
    <w:rsid w:val="00DE33CB"/>
    <w:rsid w:val="00DE35A6"/>
    <w:rsid w:val="00DE36E0"/>
    <w:rsid w:val="00DE3706"/>
    <w:rsid w:val="00DE3720"/>
    <w:rsid w:val="00DE381D"/>
    <w:rsid w:val="00DE3832"/>
    <w:rsid w:val="00DE38BF"/>
    <w:rsid w:val="00DE391D"/>
    <w:rsid w:val="00DE3AF9"/>
    <w:rsid w:val="00DE3B61"/>
    <w:rsid w:val="00DE3B7C"/>
    <w:rsid w:val="00DE3C13"/>
    <w:rsid w:val="00DE3C2F"/>
    <w:rsid w:val="00DE3C3C"/>
    <w:rsid w:val="00DE3C5D"/>
    <w:rsid w:val="00DE3C93"/>
    <w:rsid w:val="00DE3CB8"/>
    <w:rsid w:val="00DE3E0A"/>
    <w:rsid w:val="00DE3E38"/>
    <w:rsid w:val="00DE3E9A"/>
    <w:rsid w:val="00DE3EE0"/>
    <w:rsid w:val="00DE3F07"/>
    <w:rsid w:val="00DE3F26"/>
    <w:rsid w:val="00DE3F56"/>
    <w:rsid w:val="00DE3F68"/>
    <w:rsid w:val="00DE3FCA"/>
    <w:rsid w:val="00DE41A2"/>
    <w:rsid w:val="00DE41E0"/>
    <w:rsid w:val="00DE4210"/>
    <w:rsid w:val="00DE425A"/>
    <w:rsid w:val="00DE42FF"/>
    <w:rsid w:val="00DE4311"/>
    <w:rsid w:val="00DE431C"/>
    <w:rsid w:val="00DE4346"/>
    <w:rsid w:val="00DE43A9"/>
    <w:rsid w:val="00DE44E6"/>
    <w:rsid w:val="00DE4560"/>
    <w:rsid w:val="00DE462B"/>
    <w:rsid w:val="00DE4635"/>
    <w:rsid w:val="00DE467E"/>
    <w:rsid w:val="00DE472B"/>
    <w:rsid w:val="00DE47B5"/>
    <w:rsid w:val="00DE47D2"/>
    <w:rsid w:val="00DE48AF"/>
    <w:rsid w:val="00DE4947"/>
    <w:rsid w:val="00DE4969"/>
    <w:rsid w:val="00DE49F8"/>
    <w:rsid w:val="00DE4A5B"/>
    <w:rsid w:val="00DE4A9C"/>
    <w:rsid w:val="00DE4ACD"/>
    <w:rsid w:val="00DE4B4D"/>
    <w:rsid w:val="00DE4C1E"/>
    <w:rsid w:val="00DE4C36"/>
    <w:rsid w:val="00DE4C63"/>
    <w:rsid w:val="00DE4C96"/>
    <w:rsid w:val="00DE4D48"/>
    <w:rsid w:val="00DE4DE0"/>
    <w:rsid w:val="00DE4F3A"/>
    <w:rsid w:val="00DE4FAD"/>
    <w:rsid w:val="00DE50CE"/>
    <w:rsid w:val="00DE50D0"/>
    <w:rsid w:val="00DE5147"/>
    <w:rsid w:val="00DE5222"/>
    <w:rsid w:val="00DE5248"/>
    <w:rsid w:val="00DE5262"/>
    <w:rsid w:val="00DE5326"/>
    <w:rsid w:val="00DE53F3"/>
    <w:rsid w:val="00DE5418"/>
    <w:rsid w:val="00DE5460"/>
    <w:rsid w:val="00DE554B"/>
    <w:rsid w:val="00DE55AA"/>
    <w:rsid w:val="00DE55EE"/>
    <w:rsid w:val="00DE5619"/>
    <w:rsid w:val="00DE567E"/>
    <w:rsid w:val="00DE5729"/>
    <w:rsid w:val="00DE574A"/>
    <w:rsid w:val="00DE5789"/>
    <w:rsid w:val="00DE57F8"/>
    <w:rsid w:val="00DE58CD"/>
    <w:rsid w:val="00DE5924"/>
    <w:rsid w:val="00DE595F"/>
    <w:rsid w:val="00DE597B"/>
    <w:rsid w:val="00DE5980"/>
    <w:rsid w:val="00DE59E1"/>
    <w:rsid w:val="00DE59FF"/>
    <w:rsid w:val="00DE5A0B"/>
    <w:rsid w:val="00DE5A2D"/>
    <w:rsid w:val="00DE5A5B"/>
    <w:rsid w:val="00DE5A72"/>
    <w:rsid w:val="00DE5A9E"/>
    <w:rsid w:val="00DE5AB7"/>
    <w:rsid w:val="00DE5BB0"/>
    <w:rsid w:val="00DE5C04"/>
    <w:rsid w:val="00DE5CDF"/>
    <w:rsid w:val="00DE5D26"/>
    <w:rsid w:val="00DE5DB7"/>
    <w:rsid w:val="00DE5E7F"/>
    <w:rsid w:val="00DE5F1D"/>
    <w:rsid w:val="00DE5F54"/>
    <w:rsid w:val="00DE5FC7"/>
    <w:rsid w:val="00DE6027"/>
    <w:rsid w:val="00DE6077"/>
    <w:rsid w:val="00DE6098"/>
    <w:rsid w:val="00DE60BB"/>
    <w:rsid w:val="00DE62C8"/>
    <w:rsid w:val="00DE62F3"/>
    <w:rsid w:val="00DE633F"/>
    <w:rsid w:val="00DE63A5"/>
    <w:rsid w:val="00DE63AC"/>
    <w:rsid w:val="00DE63D4"/>
    <w:rsid w:val="00DE6403"/>
    <w:rsid w:val="00DE640B"/>
    <w:rsid w:val="00DE6420"/>
    <w:rsid w:val="00DE649C"/>
    <w:rsid w:val="00DE64EB"/>
    <w:rsid w:val="00DE659C"/>
    <w:rsid w:val="00DE6711"/>
    <w:rsid w:val="00DE67B2"/>
    <w:rsid w:val="00DE6818"/>
    <w:rsid w:val="00DE6861"/>
    <w:rsid w:val="00DE6868"/>
    <w:rsid w:val="00DE6878"/>
    <w:rsid w:val="00DE688E"/>
    <w:rsid w:val="00DE6956"/>
    <w:rsid w:val="00DE695E"/>
    <w:rsid w:val="00DE69BB"/>
    <w:rsid w:val="00DE6A1B"/>
    <w:rsid w:val="00DE6A94"/>
    <w:rsid w:val="00DE6AC4"/>
    <w:rsid w:val="00DE6B0F"/>
    <w:rsid w:val="00DE6C71"/>
    <w:rsid w:val="00DE6C93"/>
    <w:rsid w:val="00DE6CA0"/>
    <w:rsid w:val="00DE6D19"/>
    <w:rsid w:val="00DE6D6A"/>
    <w:rsid w:val="00DE6DB2"/>
    <w:rsid w:val="00DE6E3C"/>
    <w:rsid w:val="00DE6E40"/>
    <w:rsid w:val="00DE6E5B"/>
    <w:rsid w:val="00DE6E94"/>
    <w:rsid w:val="00DE6EDF"/>
    <w:rsid w:val="00DE7021"/>
    <w:rsid w:val="00DE70A3"/>
    <w:rsid w:val="00DE70F9"/>
    <w:rsid w:val="00DE7132"/>
    <w:rsid w:val="00DE7168"/>
    <w:rsid w:val="00DE7207"/>
    <w:rsid w:val="00DE7218"/>
    <w:rsid w:val="00DE728A"/>
    <w:rsid w:val="00DE7324"/>
    <w:rsid w:val="00DE734A"/>
    <w:rsid w:val="00DE7416"/>
    <w:rsid w:val="00DE74BD"/>
    <w:rsid w:val="00DE7547"/>
    <w:rsid w:val="00DE7602"/>
    <w:rsid w:val="00DE7713"/>
    <w:rsid w:val="00DE77D6"/>
    <w:rsid w:val="00DE77EC"/>
    <w:rsid w:val="00DE7974"/>
    <w:rsid w:val="00DE7992"/>
    <w:rsid w:val="00DE79A0"/>
    <w:rsid w:val="00DE79F3"/>
    <w:rsid w:val="00DE7A82"/>
    <w:rsid w:val="00DE7BF0"/>
    <w:rsid w:val="00DE7C11"/>
    <w:rsid w:val="00DE7C7E"/>
    <w:rsid w:val="00DE7CAF"/>
    <w:rsid w:val="00DE7ECC"/>
    <w:rsid w:val="00DE7EF1"/>
    <w:rsid w:val="00DE7EFB"/>
    <w:rsid w:val="00DE7F12"/>
    <w:rsid w:val="00DE7F34"/>
    <w:rsid w:val="00DE7F3B"/>
    <w:rsid w:val="00DE7F51"/>
    <w:rsid w:val="00DE7FD1"/>
    <w:rsid w:val="00DE7FD8"/>
    <w:rsid w:val="00DF0077"/>
    <w:rsid w:val="00DF041E"/>
    <w:rsid w:val="00DF0422"/>
    <w:rsid w:val="00DF04BB"/>
    <w:rsid w:val="00DF05C2"/>
    <w:rsid w:val="00DF0621"/>
    <w:rsid w:val="00DF0622"/>
    <w:rsid w:val="00DF062B"/>
    <w:rsid w:val="00DF065E"/>
    <w:rsid w:val="00DF06CE"/>
    <w:rsid w:val="00DF0712"/>
    <w:rsid w:val="00DF0733"/>
    <w:rsid w:val="00DF0786"/>
    <w:rsid w:val="00DF079A"/>
    <w:rsid w:val="00DF0863"/>
    <w:rsid w:val="00DF08F9"/>
    <w:rsid w:val="00DF09D7"/>
    <w:rsid w:val="00DF0A4D"/>
    <w:rsid w:val="00DF0B23"/>
    <w:rsid w:val="00DF0BE8"/>
    <w:rsid w:val="00DF0C88"/>
    <w:rsid w:val="00DF0CD3"/>
    <w:rsid w:val="00DF0CEA"/>
    <w:rsid w:val="00DF0CEE"/>
    <w:rsid w:val="00DF0E59"/>
    <w:rsid w:val="00DF0F60"/>
    <w:rsid w:val="00DF0F62"/>
    <w:rsid w:val="00DF1010"/>
    <w:rsid w:val="00DF1047"/>
    <w:rsid w:val="00DF1149"/>
    <w:rsid w:val="00DF118B"/>
    <w:rsid w:val="00DF119E"/>
    <w:rsid w:val="00DF1254"/>
    <w:rsid w:val="00DF1272"/>
    <w:rsid w:val="00DF14D9"/>
    <w:rsid w:val="00DF15AB"/>
    <w:rsid w:val="00DF16A2"/>
    <w:rsid w:val="00DF171E"/>
    <w:rsid w:val="00DF17F7"/>
    <w:rsid w:val="00DF182F"/>
    <w:rsid w:val="00DF18D7"/>
    <w:rsid w:val="00DF18D8"/>
    <w:rsid w:val="00DF1916"/>
    <w:rsid w:val="00DF1967"/>
    <w:rsid w:val="00DF19E8"/>
    <w:rsid w:val="00DF1A4F"/>
    <w:rsid w:val="00DF1AE8"/>
    <w:rsid w:val="00DF1BCB"/>
    <w:rsid w:val="00DF1C7E"/>
    <w:rsid w:val="00DF1C7F"/>
    <w:rsid w:val="00DF1D39"/>
    <w:rsid w:val="00DF1D80"/>
    <w:rsid w:val="00DF1DBB"/>
    <w:rsid w:val="00DF1E32"/>
    <w:rsid w:val="00DF1E6C"/>
    <w:rsid w:val="00DF1E94"/>
    <w:rsid w:val="00DF1EBA"/>
    <w:rsid w:val="00DF1ED2"/>
    <w:rsid w:val="00DF1FCA"/>
    <w:rsid w:val="00DF2060"/>
    <w:rsid w:val="00DF2121"/>
    <w:rsid w:val="00DF219A"/>
    <w:rsid w:val="00DF231D"/>
    <w:rsid w:val="00DF2343"/>
    <w:rsid w:val="00DF2367"/>
    <w:rsid w:val="00DF23A2"/>
    <w:rsid w:val="00DF23E3"/>
    <w:rsid w:val="00DF2424"/>
    <w:rsid w:val="00DF247C"/>
    <w:rsid w:val="00DF2527"/>
    <w:rsid w:val="00DF2599"/>
    <w:rsid w:val="00DF25A8"/>
    <w:rsid w:val="00DF25BE"/>
    <w:rsid w:val="00DF2692"/>
    <w:rsid w:val="00DF26BA"/>
    <w:rsid w:val="00DF276F"/>
    <w:rsid w:val="00DF278A"/>
    <w:rsid w:val="00DF279A"/>
    <w:rsid w:val="00DF283E"/>
    <w:rsid w:val="00DF29EE"/>
    <w:rsid w:val="00DF2A8D"/>
    <w:rsid w:val="00DF2ABD"/>
    <w:rsid w:val="00DF2B08"/>
    <w:rsid w:val="00DF2C54"/>
    <w:rsid w:val="00DF2CC9"/>
    <w:rsid w:val="00DF2D20"/>
    <w:rsid w:val="00DF2D59"/>
    <w:rsid w:val="00DF2D84"/>
    <w:rsid w:val="00DF2DC9"/>
    <w:rsid w:val="00DF2EBA"/>
    <w:rsid w:val="00DF2F0B"/>
    <w:rsid w:val="00DF3074"/>
    <w:rsid w:val="00DF308D"/>
    <w:rsid w:val="00DF314B"/>
    <w:rsid w:val="00DF31B0"/>
    <w:rsid w:val="00DF3201"/>
    <w:rsid w:val="00DF321D"/>
    <w:rsid w:val="00DF326E"/>
    <w:rsid w:val="00DF32DC"/>
    <w:rsid w:val="00DF32F0"/>
    <w:rsid w:val="00DF333F"/>
    <w:rsid w:val="00DF33DC"/>
    <w:rsid w:val="00DF33EE"/>
    <w:rsid w:val="00DF3591"/>
    <w:rsid w:val="00DF3627"/>
    <w:rsid w:val="00DF369E"/>
    <w:rsid w:val="00DF36F1"/>
    <w:rsid w:val="00DF36FC"/>
    <w:rsid w:val="00DF3737"/>
    <w:rsid w:val="00DF3763"/>
    <w:rsid w:val="00DF37B4"/>
    <w:rsid w:val="00DF381B"/>
    <w:rsid w:val="00DF381D"/>
    <w:rsid w:val="00DF3845"/>
    <w:rsid w:val="00DF38A9"/>
    <w:rsid w:val="00DF39C7"/>
    <w:rsid w:val="00DF3A65"/>
    <w:rsid w:val="00DF3AAA"/>
    <w:rsid w:val="00DF3AAE"/>
    <w:rsid w:val="00DF3C07"/>
    <w:rsid w:val="00DF3C1C"/>
    <w:rsid w:val="00DF3CAB"/>
    <w:rsid w:val="00DF3D44"/>
    <w:rsid w:val="00DF3ECD"/>
    <w:rsid w:val="00DF3F50"/>
    <w:rsid w:val="00DF3F55"/>
    <w:rsid w:val="00DF3F76"/>
    <w:rsid w:val="00DF3FD2"/>
    <w:rsid w:val="00DF4095"/>
    <w:rsid w:val="00DF40E2"/>
    <w:rsid w:val="00DF4165"/>
    <w:rsid w:val="00DF4264"/>
    <w:rsid w:val="00DF431E"/>
    <w:rsid w:val="00DF4332"/>
    <w:rsid w:val="00DF43B6"/>
    <w:rsid w:val="00DF4413"/>
    <w:rsid w:val="00DF4415"/>
    <w:rsid w:val="00DF4420"/>
    <w:rsid w:val="00DF4444"/>
    <w:rsid w:val="00DF4518"/>
    <w:rsid w:val="00DF45B3"/>
    <w:rsid w:val="00DF4717"/>
    <w:rsid w:val="00DF47D6"/>
    <w:rsid w:val="00DF47F1"/>
    <w:rsid w:val="00DF4A25"/>
    <w:rsid w:val="00DF4A8A"/>
    <w:rsid w:val="00DF4A9D"/>
    <w:rsid w:val="00DF4AED"/>
    <w:rsid w:val="00DF4B69"/>
    <w:rsid w:val="00DF4B85"/>
    <w:rsid w:val="00DF4BD2"/>
    <w:rsid w:val="00DF4C41"/>
    <w:rsid w:val="00DF4C47"/>
    <w:rsid w:val="00DF4C9F"/>
    <w:rsid w:val="00DF4CF3"/>
    <w:rsid w:val="00DF4D45"/>
    <w:rsid w:val="00DF4DAF"/>
    <w:rsid w:val="00DF4DD5"/>
    <w:rsid w:val="00DF4E47"/>
    <w:rsid w:val="00DF4E58"/>
    <w:rsid w:val="00DF4E9E"/>
    <w:rsid w:val="00DF4EBA"/>
    <w:rsid w:val="00DF4F18"/>
    <w:rsid w:val="00DF4F5D"/>
    <w:rsid w:val="00DF506B"/>
    <w:rsid w:val="00DF5093"/>
    <w:rsid w:val="00DF50E3"/>
    <w:rsid w:val="00DF516B"/>
    <w:rsid w:val="00DF5177"/>
    <w:rsid w:val="00DF52BA"/>
    <w:rsid w:val="00DF52F4"/>
    <w:rsid w:val="00DF535A"/>
    <w:rsid w:val="00DF5387"/>
    <w:rsid w:val="00DF53B1"/>
    <w:rsid w:val="00DF54A7"/>
    <w:rsid w:val="00DF54EA"/>
    <w:rsid w:val="00DF5506"/>
    <w:rsid w:val="00DF55B2"/>
    <w:rsid w:val="00DF564B"/>
    <w:rsid w:val="00DF5657"/>
    <w:rsid w:val="00DF5725"/>
    <w:rsid w:val="00DF5728"/>
    <w:rsid w:val="00DF575D"/>
    <w:rsid w:val="00DF590A"/>
    <w:rsid w:val="00DF5938"/>
    <w:rsid w:val="00DF59C7"/>
    <w:rsid w:val="00DF59C9"/>
    <w:rsid w:val="00DF5A40"/>
    <w:rsid w:val="00DF5A97"/>
    <w:rsid w:val="00DF5AB0"/>
    <w:rsid w:val="00DF5AED"/>
    <w:rsid w:val="00DF5BBB"/>
    <w:rsid w:val="00DF5BFD"/>
    <w:rsid w:val="00DF5CAE"/>
    <w:rsid w:val="00DF5D1F"/>
    <w:rsid w:val="00DF5D45"/>
    <w:rsid w:val="00DF5DC8"/>
    <w:rsid w:val="00DF5F18"/>
    <w:rsid w:val="00DF6050"/>
    <w:rsid w:val="00DF605B"/>
    <w:rsid w:val="00DF60AA"/>
    <w:rsid w:val="00DF62AB"/>
    <w:rsid w:val="00DF6359"/>
    <w:rsid w:val="00DF6398"/>
    <w:rsid w:val="00DF63C4"/>
    <w:rsid w:val="00DF6410"/>
    <w:rsid w:val="00DF648B"/>
    <w:rsid w:val="00DF6528"/>
    <w:rsid w:val="00DF653A"/>
    <w:rsid w:val="00DF6582"/>
    <w:rsid w:val="00DF65DD"/>
    <w:rsid w:val="00DF6618"/>
    <w:rsid w:val="00DF6757"/>
    <w:rsid w:val="00DF67A1"/>
    <w:rsid w:val="00DF67F5"/>
    <w:rsid w:val="00DF681B"/>
    <w:rsid w:val="00DF692D"/>
    <w:rsid w:val="00DF6A57"/>
    <w:rsid w:val="00DF6B0D"/>
    <w:rsid w:val="00DF6B2A"/>
    <w:rsid w:val="00DF6BCB"/>
    <w:rsid w:val="00DF6BF3"/>
    <w:rsid w:val="00DF6CBB"/>
    <w:rsid w:val="00DF6D1C"/>
    <w:rsid w:val="00DF6D80"/>
    <w:rsid w:val="00DF6E2A"/>
    <w:rsid w:val="00DF6F1A"/>
    <w:rsid w:val="00DF6F58"/>
    <w:rsid w:val="00DF70BC"/>
    <w:rsid w:val="00DF710B"/>
    <w:rsid w:val="00DF7286"/>
    <w:rsid w:val="00DF7287"/>
    <w:rsid w:val="00DF72D4"/>
    <w:rsid w:val="00DF7350"/>
    <w:rsid w:val="00DF73A8"/>
    <w:rsid w:val="00DF73B8"/>
    <w:rsid w:val="00DF7442"/>
    <w:rsid w:val="00DF76A2"/>
    <w:rsid w:val="00DF7760"/>
    <w:rsid w:val="00DF77E1"/>
    <w:rsid w:val="00DF780C"/>
    <w:rsid w:val="00DF78A8"/>
    <w:rsid w:val="00DF7946"/>
    <w:rsid w:val="00DF7972"/>
    <w:rsid w:val="00DF7A84"/>
    <w:rsid w:val="00DF7B12"/>
    <w:rsid w:val="00DF7B41"/>
    <w:rsid w:val="00DF7B77"/>
    <w:rsid w:val="00DF7B91"/>
    <w:rsid w:val="00DF7C28"/>
    <w:rsid w:val="00DF7C3F"/>
    <w:rsid w:val="00DF7C56"/>
    <w:rsid w:val="00DF7CC3"/>
    <w:rsid w:val="00DF7DA7"/>
    <w:rsid w:val="00DF7EC5"/>
    <w:rsid w:val="00DF7F68"/>
    <w:rsid w:val="00DF7F6B"/>
    <w:rsid w:val="00DF7F8A"/>
    <w:rsid w:val="00E00023"/>
    <w:rsid w:val="00E00024"/>
    <w:rsid w:val="00E00058"/>
    <w:rsid w:val="00E00090"/>
    <w:rsid w:val="00E000FF"/>
    <w:rsid w:val="00E00196"/>
    <w:rsid w:val="00E00204"/>
    <w:rsid w:val="00E00288"/>
    <w:rsid w:val="00E003E0"/>
    <w:rsid w:val="00E003FA"/>
    <w:rsid w:val="00E0040A"/>
    <w:rsid w:val="00E004BF"/>
    <w:rsid w:val="00E004DB"/>
    <w:rsid w:val="00E004E0"/>
    <w:rsid w:val="00E00518"/>
    <w:rsid w:val="00E0059F"/>
    <w:rsid w:val="00E00621"/>
    <w:rsid w:val="00E00622"/>
    <w:rsid w:val="00E00743"/>
    <w:rsid w:val="00E0075F"/>
    <w:rsid w:val="00E00802"/>
    <w:rsid w:val="00E00812"/>
    <w:rsid w:val="00E00874"/>
    <w:rsid w:val="00E0087D"/>
    <w:rsid w:val="00E0094F"/>
    <w:rsid w:val="00E009AC"/>
    <w:rsid w:val="00E009C6"/>
    <w:rsid w:val="00E009CC"/>
    <w:rsid w:val="00E00A91"/>
    <w:rsid w:val="00E00AF3"/>
    <w:rsid w:val="00E00B35"/>
    <w:rsid w:val="00E00B62"/>
    <w:rsid w:val="00E00BEA"/>
    <w:rsid w:val="00E00C30"/>
    <w:rsid w:val="00E00C35"/>
    <w:rsid w:val="00E00C88"/>
    <w:rsid w:val="00E00C8B"/>
    <w:rsid w:val="00E00C98"/>
    <w:rsid w:val="00E00CBF"/>
    <w:rsid w:val="00E00D03"/>
    <w:rsid w:val="00E00E22"/>
    <w:rsid w:val="00E00E7E"/>
    <w:rsid w:val="00E00EDF"/>
    <w:rsid w:val="00E00F20"/>
    <w:rsid w:val="00E00F7F"/>
    <w:rsid w:val="00E00FFE"/>
    <w:rsid w:val="00E0107B"/>
    <w:rsid w:val="00E010AF"/>
    <w:rsid w:val="00E010C1"/>
    <w:rsid w:val="00E010C7"/>
    <w:rsid w:val="00E010E4"/>
    <w:rsid w:val="00E010FE"/>
    <w:rsid w:val="00E0128E"/>
    <w:rsid w:val="00E013FA"/>
    <w:rsid w:val="00E0142B"/>
    <w:rsid w:val="00E0143F"/>
    <w:rsid w:val="00E0151B"/>
    <w:rsid w:val="00E0156D"/>
    <w:rsid w:val="00E01585"/>
    <w:rsid w:val="00E0171F"/>
    <w:rsid w:val="00E01752"/>
    <w:rsid w:val="00E0186C"/>
    <w:rsid w:val="00E01901"/>
    <w:rsid w:val="00E01970"/>
    <w:rsid w:val="00E01976"/>
    <w:rsid w:val="00E01A15"/>
    <w:rsid w:val="00E01A23"/>
    <w:rsid w:val="00E01A7C"/>
    <w:rsid w:val="00E01B1A"/>
    <w:rsid w:val="00E01B21"/>
    <w:rsid w:val="00E01B89"/>
    <w:rsid w:val="00E01C25"/>
    <w:rsid w:val="00E01D15"/>
    <w:rsid w:val="00E01D18"/>
    <w:rsid w:val="00E01D1D"/>
    <w:rsid w:val="00E01D22"/>
    <w:rsid w:val="00E01DC6"/>
    <w:rsid w:val="00E01E15"/>
    <w:rsid w:val="00E01E16"/>
    <w:rsid w:val="00E01E24"/>
    <w:rsid w:val="00E01E2A"/>
    <w:rsid w:val="00E01F0A"/>
    <w:rsid w:val="00E01FCB"/>
    <w:rsid w:val="00E02143"/>
    <w:rsid w:val="00E02147"/>
    <w:rsid w:val="00E0216A"/>
    <w:rsid w:val="00E02170"/>
    <w:rsid w:val="00E0230D"/>
    <w:rsid w:val="00E02386"/>
    <w:rsid w:val="00E02467"/>
    <w:rsid w:val="00E02569"/>
    <w:rsid w:val="00E026C5"/>
    <w:rsid w:val="00E02709"/>
    <w:rsid w:val="00E02713"/>
    <w:rsid w:val="00E028A7"/>
    <w:rsid w:val="00E0290C"/>
    <w:rsid w:val="00E0292C"/>
    <w:rsid w:val="00E029A1"/>
    <w:rsid w:val="00E029A6"/>
    <w:rsid w:val="00E02A46"/>
    <w:rsid w:val="00E02A51"/>
    <w:rsid w:val="00E02AB7"/>
    <w:rsid w:val="00E02AFD"/>
    <w:rsid w:val="00E02B36"/>
    <w:rsid w:val="00E02C01"/>
    <w:rsid w:val="00E02D16"/>
    <w:rsid w:val="00E02D1F"/>
    <w:rsid w:val="00E02D24"/>
    <w:rsid w:val="00E02D63"/>
    <w:rsid w:val="00E02D7F"/>
    <w:rsid w:val="00E02E00"/>
    <w:rsid w:val="00E02E6D"/>
    <w:rsid w:val="00E02F12"/>
    <w:rsid w:val="00E02F4D"/>
    <w:rsid w:val="00E0305D"/>
    <w:rsid w:val="00E030D2"/>
    <w:rsid w:val="00E03288"/>
    <w:rsid w:val="00E0330F"/>
    <w:rsid w:val="00E03393"/>
    <w:rsid w:val="00E03394"/>
    <w:rsid w:val="00E033AA"/>
    <w:rsid w:val="00E033DA"/>
    <w:rsid w:val="00E03568"/>
    <w:rsid w:val="00E035C4"/>
    <w:rsid w:val="00E035C9"/>
    <w:rsid w:val="00E0366E"/>
    <w:rsid w:val="00E036C6"/>
    <w:rsid w:val="00E03716"/>
    <w:rsid w:val="00E037D1"/>
    <w:rsid w:val="00E037F4"/>
    <w:rsid w:val="00E03859"/>
    <w:rsid w:val="00E038D8"/>
    <w:rsid w:val="00E038EF"/>
    <w:rsid w:val="00E03936"/>
    <w:rsid w:val="00E039EF"/>
    <w:rsid w:val="00E03A44"/>
    <w:rsid w:val="00E03AF4"/>
    <w:rsid w:val="00E03B44"/>
    <w:rsid w:val="00E03C02"/>
    <w:rsid w:val="00E03C12"/>
    <w:rsid w:val="00E03C85"/>
    <w:rsid w:val="00E03E41"/>
    <w:rsid w:val="00E03E48"/>
    <w:rsid w:val="00E03E61"/>
    <w:rsid w:val="00E03E83"/>
    <w:rsid w:val="00E03F87"/>
    <w:rsid w:val="00E03FA2"/>
    <w:rsid w:val="00E04002"/>
    <w:rsid w:val="00E040B9"/>
    <w:rsid w:val="00E040E8"/>
    <w:rsid w:val="00E0413D"/>
    <w:rsid w:val="00E04189"/>
    <w:rsid w:val="00E0418F"/>
    <w:rsid w:val="00E041D2"/>
    <w:rsid w:val="00E041DD"/>
    <w:rsid w:val="00E042FE"/>
    <w:rsid w:val="00E0435C"/>
    <w:rsid w:val="00E0438A"/>
    <w:rsid w:val="00E043AA"/>
    <w:rsid w:val="00E04468"/>
    <w:rsid w:val="00E04496"/>
    <w:rsid w:val="00E044AC"/>
    <w:rsid w:val="00E04628"/>
    <w:rsid w:val="00E0465F"/>
    <w:rsid w:val="00E046C2"/>
    <w:rsid w:val="00E046F0"/>
    <w:rsid w:val="00E04711"/>
    <w:rsid w:val="00E0472B"/>
    <w:rsid w:val="00E04801"/>
    <w:rsid w:val="00E04803"/>
    <w:rsid w:val="00E04838"/>
    <w:rsid w:val="00E048F9"/>
    <w:rsid w:val="00E04953"/>
    <w:rsid w:val="00E04971"/>
    <w:rsid w:val="00E04A40"/>
    <w:rsid w:val="00E04A85"/>
    <w:rsid w:val="00E04A87"/>
    <w:rsid w:val="00E04B1C"/>
    <w:rsid w:val="00E04B61"/>
    <w:rsid w:val="00E04CA0"/>
    <w:rsid w:val="00E04CD4"/>
    <w:rsid w:val="00E04D60"/>
    <w:rsid w:val="00E04DF9"/>
    <w:rsid w:val="00E04E18"/>
    <w:rsid w:val="00E04E3D"/>
    <w:rsid w:val="00E04EA1"/>
    <w:rsid w:val="00E04EF4"/>
    <w:rsid w:val="00E04FF6"/>
    <w:rsid w:val="00E05030"/>
    <w:rsid w:val="00E05034"/>
    <w:rsid w:val="00E05153"/>
    <w:rsid w:val="00E05166"/>
    <w:rsid w:val="00E051CB"/>
    <w:rsid w:val="00E0522A"/>
    <w:rsid w:val="00E053A4"/>
    <w:rsid w:val="00E05436"/>
    <w:rsid w:val="00E0546E"/>
    <w:rsid w:val="00E0563F"/>
    <w:rsid w:val="00E05648"/>
    <w:rsid w:val="00E05661"/>
    <w:rsid w:val="00E0576A"/>
    <w:rsid w:val="00E057AD"/>
    <w:rsid w:val="00E05967"/>
    <w:rsid w:val="00E059DD"/>
    <w:rsid w:val="00E05A54"/>
    <w:rsid w:val="00E05BC4"/>
    <w:rsid w:val="00E05BFA"/>
    <w:rsid w:val="00E05D0E"/>
    <w:rsid w:val="00E05D35"/>
    <w:rsid w:val="00E05D5F"/>
    <w:rsid w:val="00E05E58"/>
    <w:rsid w:val="00E05EFF"/>
    <w:rsid w:val="00E05F04"/>
    <w:rsid w:val="00E05FD1"/>
    <w:rsid w:val="00E05FFA"/>
    <w:rsid w:val="00E060B5"/>
    <w:rsid w:val="00E06140"/>
    <w:rsid w:val="00E0618F"/>
    <w:rsid w:val="00E061F1"/>
    <w:rsid w:val="00E062C0"/>
    <w:rsid w:val="00E062F7"/>
    <w:rsid w:val="00E0630C"/>
    <w:rsid w:val="00E06313"/>
    <w:rsid w:val="00E0656B"/>
    <w:rsid w:val="00E065D6"/>
    <w:rsid w:val="00E06648"/>
    <w:rsid w:val="00E06696"/>
    <w:rsid w:val="00E066EF"/>
    <w:rsid w:val="00E066F3"/>
    <w:rsid w:val="00E06724"/>
    <w:rsid w:val="00E06725"/>
    <w:rsid w:val="00E06747"/>
    <w:rsid w:val="00E0680E"/>
    <w:rsid w:val="00E06848"/>
    <w:rsid w:val="00E06AEA"/>
    <w:rsid w:val="00E06B91"/>
    <w:rsid w:val="00E06BC9"/>
    <w:rsid w:val="00E06C4D"/>
    <w:rsid w:val="00E06C9F"/>
    <w:rsid w:val="00E06D4A"/>
    <w:rsid w:val="00E06D63"/>
    <w:rsid w:val="00E06D68"/>
    <w:rsid w:val="00E06ECD"/>
    <w:rsid w:val="00E06F09"/>
    <w:rsid w:val="00E06F90"/>
    <w:rsid w:val="00E06F94"/>
    <w:rsid w:val="00E0702A"/>
    <w:rsid w:val="00E07039"/>
    <w:rsid w:val="00E0724E"/>
    <w:rsid w:val="00E07335"/>
    <w:rsid w:val="00E0748F"/>
    <w:rsid w:val="00E0755C"/>
    <w:rsid w:val="00E07610"/>
    <w:rsid w:val="00E0764D"/>
    <w:rsid w:val="00E076EE"/>
    <w:rsid w:val="00E077FA"/>
    <w:rsid w:val="00E078AA"/>
    <w:rsid w:val="00E078C5"/>
    <w:rsid w:val="00E07935"/>
    <w:rsid w:val="00E0795C"/>
    <w:rsid w:val="00E079D9"/>
    <w:rsid w:val="00E07A0F"/>
    <w:rsid w:val="00E07A2C"/>
    <w:rsid w:val="00E07A48"/>
    <w:rsid w:val="00E07A8C"/>
    <w:rsid w:val="00E07AED"/>
    <w:rsid w:val="00E07B02"/>
    <w:rsid w:val="00E07B7B"/>
    <w:rsid w:val="00E07BA1"/>
    <w:rsid w:val="00E07BC7"/>
    <w:rsid w:val="00E07C2E"/>
    <w:rsid w:val="00E07CA1"/>
    <w:rsid w:val="00E07D01"/>
    <w:rsid w:val="00E1007F"/>
    <w:rsid w:val="00E101AC"/>
    <w:rsid w:val="00E10234"/>
    <w:rsid w:val="00E1028E"/>
    <w:rsid w:val="00E102AC"/>
    <w:rsid w:val="00E10304"/>
    <w:rsid w:val="00E10363"/>
    <w:rsid w:val="00E105BD"/>
    <w:rsid w:val="00E105D5"/>
    <w:rsid w:val="00E10693"/>
    <w:rsid w:val="00E1075E"/>
    <w:rsid w:val="00E108A6"/>
    <w:rsid w:val="00E108B5"/>
    <w:rsid w:val="00E108D3"/>
    <w:rsid w:val="00E108D5"/>
    <w:rsid w:val="00E108E9"/>
    <w:rsid w:val="00E10A0F"/>
    <w:rsid w:val="00E10AB4"/>
    <w:rsid w:val="00E10C20"/>
    <w:rsid w:val="00E10C6C"/>
    <w:rsid w:val="00E10CC0"/>
    <w:rsid w:val="00E10CF2"/>
    <w:rsid w:val="00E10D01"/>
    <w:rsid w:val="00E10D27"/>
    <w:rsid w:val="00E10DC5"/>
    <w:rsid w:val="00E10EE6"/>
    <w:rsid w:val="00E10F11"/>
    <w:rsid w:val="00E10F22"/>
    <w:rsid w:val="00E10F49"/>
    <w:rsid w:val="00E10F67"/>
    <w:rsid w:val="00E10F83"/>
    <w:rsid w:val="00E11062"/>
    <w:rsid w:val="00E11064"/>
    <w:rsid w:val="00E110C9"/>
    <w:rsid w:val="00E11116"/>
    <w:rsid w:val="00E111AA"/>
    <w:rsid w:val="00E111E0"/>
    <w:rsid w:val="00E11227"/>
    <w:rsid w:val="00E11296"/>
    <w:rsid w:val="00E112B5"/>
    <w:rsid w:val="00E1130E"/>
    <w:rsid w:val="00E1131A"/>
    <w:rsid w:val="00E1137D"/>
    <w:rsid w:val="00E11444"/>
    <w:rsid w:val="00E1145A"/>
    <w:rsid w:val="00E114B6"/>
    <w:rsid w:val="00E1157C"/>
    <w:rsid w:val="00E11587"/>
    <w:rsid w:val="00E1159A"/>
    <w:rsid w:val="00E115D1"/>
    <w:rsid w:val="00E11643"/>
    <w:rsid w:val="00E11671"/>
    <w:rsid w:val="00E1169F"/>
    <w:rsid w:val="00E11771"/>
    <w:rsid w:val="00E11788"/>
    <w:rsid w:val="00E117FB"/>
    <w:rsid w:val="00E11863"/>
    <w:rsid w:val="00E11876"/>
    <w:rsid w:val="00E11883"/>
    <w:rsid w:val="00E118C7"/>
    <w:rsid w:val="00E118D2"/>
    <w:rsid w:val="00E11944"/>
    <w:rsid w:val="00E11957"/>
    <w:rsid w:val="00E119D0"/>
    <w:rsid w:val="00E119EB"/>
    <w:rsid w:val="00E11A5F"/>
    <w:rsid w:val="00E11B1A"/>
    <w:rsid w:val="00E11C81"/>
    <w:rsid w:val="00E11C89"/>
    <w:rsid w:val="00E11CC2"/>
    <w:rsid w:val="00E11D15"/>
    <w:rsid w:val="00E11E5D"/>
    <w:rsid w:val="00E11F00"/>
    <w:rsid w:val="00E11F20"/>
    <w:rsid w:val="00E11F4E"/>
    <w:rsid w:val="00E11F6A"/>
    <w:rsid w:val="00E11F83"/>
    <w:rsid w:val="00E11F90"/>
    <w:rsid w:val="00E11FCD"/>
    <w:rsid w:val="00E1209E"/>
    <w:rsid w:val="00E120D9"/>
    <w:rsid w:val="00E120FB"/>
    <w:rsid w:val="00E1211E"/>
    <w:rsid w:val="00E121A5"/>
    <w:rsid w:val="00E1221E"/>
    <w:rsid w:val="00E12224"/>
    <w:rsid w:val="00E12319"/>
    <w:rsid w:val="00E12336"/>
    <w:rsid w:val="00E1236C"/>
    <w:rsid w:val="00E124BD"/>
    <w:rsid w:val="00E12739"/>
    <w:rsid w:val="00E12772"/>
    <w:rsid w:val="00E127F8"/>
    <w:rsid w:val="00E12829"/>
    <w:rsid w:val="00E12855"/>
    <w:rsid w:val="00E1288B"/>
    <w:rsid w:val="00E128D5"/>
    <w:rsid w:val="00E12946"/>
    <w:rsid w:val="00E1298F"/>
    <w:rsid w:val="00E129AA"/>
    <w:rsid w:val="00E129AC"/>
    <w:rsid w:val="00E129CA"/>
    <w:rsid w:val="00E12A17"/>
    <w:rsid w:val="00E12A53"/>
    <w:rsid w:val="00E12AE4"/>
    <w:rsid w:val="00E12BA0"/>
    <w:rsid w:val="00E12BD7"/>
    <w:rsid w:val="00E12BEF"/>
    <w:rsid w:val="00E12D94"/>
    <w:rsid w:val="00E12DBF"/>
    <w:rsid w:val="00E12E1B"/>
    <w:rsid w:val="00E12E70"/>
    <w:rsid w:val="00E12E97"/>
    <w:rsid w:val="00E12F3B"/>
    <w:rsid w:val="00E12FC0"/>
    <w:rsid w:val="00E12FDF"/>
    <w:rsid w:val="00E1304F"/>
    <w:rsid w:val="00E1308A"/>
    <w:rsid w:val="00E131A3"/>
    <w:rsid w:val="00E131CE"/>
    <w:rsid w:val="00E13225"/>
    <w:rsid w:val="00E132E1"/>
    <w:rsid w:val="00E13419"/>
    <w:rsid w:val="00E134C9"/>
    <w:rsid w:val="00E13562"/>
    <w:rsid w:val="00E135B4"/>
    <w:rsid w:val="00E13699"/>
    <w:rsid w:val="00E13766"/>
    <w:rsid w:val="00E1377C"/>
    <w:rsid w:val="00E137EC"/>
    <w:rsid w:val="00E13991"/>
    <w:rsid w:val="00E1399D"/>
    <w:rsid w:val="00E139AD"/>
    <w:rsid w:val="00E13B27"/>
    <w:rsid w:val="00E13B57"/>
    <w:rsid w:val="00E13B68"/>
    <w:rsid w:val="00E13BC2"/>
    <w:rsid w:val="00E13C31"/>
    <w:rsid w:val="00E13CDF"/>
    <w:rsid w:val="00E13CF1"/>
    <w:rsid w:val="00E13D01"/>
    <w:rsid w:val="00E13D6A"/>
    <w:rsid w:val="00E13E67"/>
    <w:rsid w:val="00E13ECB"/>
    <w:rsid w:val="00E13F1A"/>
    <w:rsid w:val="00E13F29"/>
    <w:rsid w:val="00E13F7A"/>
    <w:rsid w:val="00E13FA8"/>
    <w:rsid w:val="00E13FCF"/>
    <w:rsid w:val="00E14152"/>
    <w:rsid w:val="00E14169"/>
    <w:rsid w:val="00E141BB"/>
    <w:rsid w:val="00E141BE"/>
    <w:rsid w:val="00E14222"/>
    <w:rsid w:val="00E14336"/>
    <w:rsid w:val="00E14389"/>
    <w:rsid w:val="00E1441E"/>
    <w:rsid w:val="00E14471"/>
    <w:rsid w:val="00E14475"/>
    <w:rsid w:val="00E144B4"/>
    <w:rsid w:val="00E144FB"/>
    <w:rsid w:val="00E14501"/>
    <w:rsid w:val="00E145E2"/>
    <w:rsid w:val="00E14736"/>
    <w:rsid w:val="00E1474E"/>
    <w:rsid w:val="00E147BC"/>
    <w:rsid w:val="00E1487A"/>
    <w:rsid w:val="00E1489F"/>
    <w:rsid w:val="00E148BF"/>
    <w:rsid w:val="00E148DB"/>
    <w:rsid w:val="00E148F6"/>
    <w:rsid w:val="00E148FF"/>
    <w:rsid w:val="00E14992"/>
    <w:rsid w:val="00E149CC"/>
    <w:rsid w:val="00E149F4"/>
    <w:rsid w:val="00E14B31"/>
    <w:rsid w:val="00E14B36"/>
    <w:rsid w:val="00E14B40"/>
    <w:rsid w:val="00E14B94"/>
    <w:rsid w:val="00E14C98"/>
    <w:rsid w:val="00E14CD9"/>
    <w:rsid w:val="00E14D24"/>
    <w:rsid w:val="00E14D27"/>
    <w:rsid w:val="00E14D4F"/>
    <w:rsid w:val="00E14E20"/>
    <w:rsid w:val="00E14FA8"/>
    <w:rsid w:val="00E15046"/>
    <w:rsid w:val="00E15134"/>
    <w:rsid w:val="00E1513C"/>
    <w:rsid w:val="00E15241"/>
    <w:rsid w:val="00E152C5"/>
    <w:rsid w:val="00E15406"/>
    <w:rsid w:val="00E1540F"/>
    <w:rsid w:val="00E154B4"/>
    <w:rsid w:val="00E154E7"/>
    <w:rsid w:val="00E15545"/>
    <w:rsid w:val="00E15554"/>
    <w:rsid w:val="00E155C4"/>
    <w:rsid w:val="00E15649"/>
    <w:rsid w:val="00E15676"/>
    <w:rsid w:val="00E157F0"/>
    <w:rsid w:val="00E15988"/>
    <w:rsid w:val="00E15A32"/>
    <w:rsid w:val="00E15ACD"/>
    <w:rsid w:val="00E15BB3"/>
    <w:rsid w:val="00E15C88"/>
    <w:rsid w:val="00E15CB3"/>
    <w:rsid w:val="00E15F13"/>
    <w:rsid w:val="00E16080"/>
    <w:rsid w:val="00E16089"/>
    <w:rsid w:val="00E160D1"/>
    <w:rsid w:val="00E16128"/>
    <w:rsid w:val="00E16142"/>
    <w:rsid w:val="00E16144"/>
    <w:rsid w:val="00E161DA"/>
    <w:rsid w:val="00E161F5"/>
    <w:rsid w:val="00E162A6"/>
    <w:rsid w:val="00E162B9"/>
    <w:rsid w:val="00E162DA"/>
    <w:rsid w:val="00E16353"/>
    <w:rsid w:val="00E163A3"/>
    <w:rsid w:val="00E1645B"/>
    <w:rsid w:val="00E1651F"/>
    <w:rsid w:val="00E16559"/>
    <w:rsid w:val="00E1661B"/>
    <w:rsid w:val="00E166D4"/>
    <w:rsid w:val="00E166E3"/>
    <w:rsid w:val="00E166F8"/>
    <w:rsid w:val="00E1670E"/>
    <w:rsid w:val="00E16717"/>
    <w:rsid w:val="00E16828"/>
    <w:rsid w:val="00E168B1"/>
    <w:rsid w:val="00E16935"/>
    <w:rsid w:val="00E1698C"/>
    <w:rsid w:val="00E16A04"/>
    <w:rsid w:val="00E16A9B"/>
    <w:rsid w:val="00E16AFC"/>
    <w:rsid w:val="00E16B5C"/>
    <w:rsid w:val="00E16B69"/>
    <w:rsid w:val="00E16B9A"/>
    <w:rsid w:val="00E16C8E"/>
    <w:rsid w:val="00E16CDF"/>
    <w:rsid w:val="00E16D57"/>
    <w:rsid w:val="00E16D5C"/>
    <w:rsid w:val="00E16E32"/>
    <w:rsid w:val="00E16E9B"/>
    <w:rsid w:val="00E16F0B"/>
    <w:rsid w:val="00E16FB1"/>
    <w:rsid w:val="00E17056"/>
    <w:rsid w:val="00E170DD"/>
    <w:rsid w:val="00E1717B"/>
    <w:rsid w:val="00E171F2"/>
    <w:rsid w:val="00E17253"/>
    <w:rsid w:val="00E17279"/>
    <w:rsid w:val="00E172D4"/>
    <w:rsid w:val="00E172FF"/>
    <w:rsid w:val="00E17373"/>
    <w:rsid w:val="00E173EC"/>
    <w:rsid w:val="00E176C3"/>
    <w:rsid w:val="00E17717"/>
    <w:rsid w:val="00E1775B"/>
    <w:rsid w:val="00E177AD"/>
    <w:rsid w:val="00E177F0"/>
    <w:rsid w:val="00E17C67"/>
    <w:rsid w:val="00E17DAE"/>
    <w:rsid w:val="00E17F6F"/>
    <w:rsid w:val="00E17FCE"/>
    <w:rsid w:val="00E20089"/>
    <w:rsid w:val="00E200B9"/>
    <w:rsid w:val="00E200FC"/>
    <w:rsid w:val="00E20131"/>
    <w:rsid w:val="00E201AE"/>
    <w:rsid w:val="00E201DB"/>
    <w:rsid w:val="00E20208"/>
    <w:rsid w:val="00E2032F"/>
    <w:rsid w:val="00E203DD"/>
    <w:rsid w:val="00E203E8"/>
    <w:rsid w:val="00E203ED"/>
    <w:rsid w:val="00E204FC"/>
    <w:rsid w:val="00E20530"/>
    <w:rsid w:val="00E205BB"/>
    <w:rsid w:val="00E206FE"/>
    <w:rsid w:val="00E208E5"/>
    <w:rsid w:val="00E20926"/>
    <w:rsid w:val="00E20A8A"/>
    <w:rsid w:val="00E20ABD"/>
    <w:rsid w:val="00E20AE9"/>
    <w:rsid w:val="00E20BED"/>
    <w:rsid w:val="00E20CCA"/>
    <w:rsid w:val="00E20D5F"/>
    <w:rsid w:val="00E20DA8"/>
    <w:rsid w:val="00E20DE7"/>
    <w:rsid w:val="00E20DFB"/>
    <w:rsid w:val="00E20E07"/>
    <w:rsid w:val="00E20E54"/>
    <w:rsid w:val="00E20E5A"/>
    <w:rsid w:val="00E20E82"/>
    <w:rsid w:val="00E20F7A"/>
    <w:rsid w:val="00E20F9C"/>
    <w:rsid w:val="00E210F1"/>
    <w:rsid w:val="00E211F1"/>
    <w:rsid w:val="00E21210"/>
    <w:rsid w:val="00E212BF"/>
    <w:rsid w:val="00E212CF"/>
    <w:rsid w:val="00E21363"/>
    <w:rsid w:val="00E2138B"/>
    <w:rsid w:val="00E213E7"/>
    <w:rsid w:val="00E21453"/>
    <w:rsid w:val="00E21474"/>
    <w:rsid w:val="00E21536"/>
    <w:rsid w:val="00E2158C"/>
    <w:rsid w:val="00E2159F"/>
    <w:rsid w:val="00E21668"/>
    <w:rsid w:val="00E21674"/>
    <w:rsid w:val="00E216DF"/>
    <w:rsid w:val="00E21711"/>
    <w:rsid w:val="00E2173F"/>
    <w:rsid w:val="00E218B5"/>
    <w:rsid w:val="00E219B3"/>
    <w:rsid w:val="00E219C7"/>
    <w:rsid w:val="00E219D9"/>
    <w:rsid w:val="00E219E8"/>
    <w:rsid w:val="00E219F4"/>
    <w:rsid w:val="00E219FC"/>
    <w:rsid w:val="00E21ABD"/>
    <w:rsid w:val="00E21B4D"/>
    <w:rsid w:val="00E21B5B"/>
    <w:rsid w:val="00E21B69"/>
    <w:rsid w:val="00E21C79"/>
    <w:rsid w:val="00E21CA8"/>
    <w:rsid w:val="00E21CBA"/>
    <w:rsid w:val="00E21CF7"/>
    <w:rsid w:val="00E21D89"/>
    <w:rsid w:val="00E21EA4"/>
    <w:rsid w:val="00E21F6C"/>
    <w:rsid w:val="00E21F74"/>
    <w:rsid w:val="00E21FDE"/>
    <w:rsid w:val="00E2205D"/>
    <w:rsid w:val="00E220BE"/>
    <w:rsid w:val="00E2213E"/>
    <w:rsid w:val="00E221AA"/>
    <w:rsid w:val="00E221BF"/>
    <w:rsid w:val="00E221D6"/>
    <w:rsid w:val="00E221DE"/>
    <w:rsid w:val="00E222D3"/>
    <w:rsid w:val="00E222F7"/>
    <w:rsid w:val="00E2246F"/>
    <w:rsid w:val="00E22496"/>
    <w:rsid w:val="00E2257C"/>
    <w:rsid w:val="00E22598"/>
    <w:rsid w:val="00E225F5"/>
    <w:rsid w:val="00E226C4"/>
    <w:rsid w:val="00E226C8"/>
    <w:rsid w:val="00E22728"/>
    <w:rsid w:val="00E22731"/>
    <w:rsid w:val="00E22778"/>
    <w:rsid w:val="00E22865"/>
    <w:rsid w:val="00E22885"/>
    <w:rsid w:val="00E228DF"/>
    <w:rsid w:val="00E2299B"/>
    <w:rsid w:val="00E229EF"/>
    <w:rsid w:val="00E22A17"/>
    <w:rsid w:val="00E22A63"/>
    <w:rsid w:val="00E22C8E"/>
    <w:rsid w:val="00E22C9B"/>
    <w:rsid w:val="00E22D8E"/>
    <w:rsid w:val="00E22DF7"/>
    <w:rsid w:val="00E22E04"/>
    <w:rsid w:val="00E22E42"/>
    <w:rsid w:val="00E22EC4"/>
    <w:rsid w:val="00E22ED2"/>
    <w:rsid w:val="00E23018"/>
    <w:rsid w:val="00E2303D"/>
    <w:rsid w:val="00E2304C"/>
    <w:rsid w:val="00E23083"/>
    <w:rsid w:val="00E2309F"/>
    <w:rsid w:val="00E23161"/>
    <w:rsid w:val="00E232BE"/>
    <w:rsid w:val="00E233B8"/>
    <w:rsid w:val="00E23412"/>
    <w:rsid w:val="00E23518"/>
    <w:rsid w:val="00E23526"/>
    <w:rsid w:val="00E2356A"/>
    <w:rsid w:val="00E236DC"/>
    <w:rsid w:val="00E238DB"/>
    <w:rsid w:val="00E23921"/>
    <w:rsid w:val="00E23950"/>
    <w:rsid w:val="00E23A66"/>
    <w:rsid w:val="00E23AAB"/>
    <w:rsid w:val="00E23C1B"/>
    <w:rsid w:val="00E23C2C"/>
    <w:rsid w:val="00E23CDF"/>
    <w:rsid w:val="00E23D1B"/>
    <w:rsid w:val="00E23D73"/>
    <w:rsid w:val="00E23DB2"/>
    <w:rsid w:val="00E23DC4"/>
    <w:rsid w:val="00E23DC5"/>
    <w:rsid w:val="00E23DC6"/>
    <w:rsid w:val="00E23DED"/>
    <w:rsid w:val="00E23E08"/>
    <w:rsid w:val="00E23E4D"/>
    <w:rsid w:val="00E23E4F"/>
    <w:rsid w:val="00E23EA3"/>
    <w:rsid w:val="00E23F67"/>
    <w:rsid w:val="00E23FBD"/>
    <w:rsid w:val="00E2412B"/>
    <w:rsid w:val="00E2416D"/>
    <w:rsid w:val="00E241AE"/>
    <w:rsid w:val="00E241F8"/>
    <w:rsid w:val="00E24263"/>
    <w:rsid w:val="00E2428B"/>
    <w:rsid w:val="00E24465"/>
    <w:rsid w:val="00E244A8"/>
    <w:rsid w:val="00E24518"/>
    <w:rsid w:val="00E24631"/>
    <w:rsid w:val="00E2463E"/>
    <w:rsid w:val="00E2467D"/>
    <w:rsid w:val="00E246D7"/>
    <w:rsid w:val="00E2476E"/>
    <w:rsid w:val="00E24778"/>
    <w:rsid w:val="00E24893"/>
    <w:rsid w:val="00E24918"/>
    <w:rsid w:val="00E249EA"/>
    <w:rsid w:val="00E24A05"/>
    <w:rsid w:val="00E24A7B"/>
    <w:rsid w:val="00E24A87"/>
    <w:rsid w:val="00E24AF5"/>
    <w:rsid w:val="00E24B38"/>
    <w:rsid w:val="00E24B9D"/>
    <w:rsid w:val="00E24BA3"/>
    <w:rsid w:val="00E24C8A"/>
    <w:rsid w:val="00E24C92"/>
    <w:rsid w:val="00E24DBF"/>
    <w:rsid w:val="00E24E09"/>
    <w:rsid w:val="00E24EA3"/>
    <w:rsid w:val="00E24F42"/>
    <w:rsid w:val="00E24F51"/>
    <w:rsid w:val="00E24FF8"/>
    <w:rsid w:val="00E2504A"/>
    <w:rsid w:val="00E25084"/>
    <w:rsid w:val="00E2513D"/>
    <w:rsid w:val="00E25152"/>
    <w:rsid w:val="00E251E3"/>
    <w:rsid w:val="00E2528E"/>
    <w:rsid w:val="00E252F8"/>
    <w:rsid w:val="00E2531F"/>
    <w:rsid w:val="00E25321"/>
    <w:rsid w:val="00E2533B"/>
    <w:rsid w:val="00E253A5"/>
    <w:rsid w:val="00E253F3"/>
    <w:rsid w:val="00E25411"/>
    <w:rsid w:val="00E254D5"/>
    <w:rsid w:val="00E25507"/>
    <w:rsid w:val="00E25545"/>
    <w:rsid w:val="00E25587"/>
    <w:rsid w:val="00E255A9"/>
    <w:rsid w:val="00E255DF"/>
    <w:rsid w:val="00E25601"/>
    <w:rsid w:val="00E2563E"/>
    <w:rsid w:val="00E25650"/>
    <w:rsid w:val="00E25658"/>
    <w:rsid w:val="00E25794"/>
    <w:rsid w:val="00E257FD"/>
    <w:rsid w:val="00E25848"/>
    <w:rsid w:val="00E25862"/>
    <w:rsid w:val="00E258E5"/>
    <w:rsid w:val="00E2597F"/>
    <w:rsid w:val="00E25A5B"/>
    <w:rsid w:val="00E25AC6"/>
    <w:rsid w:val="00E25AF1"/>
    <w:rsid w:val="00E25B23"/>
    <w:rsid w:val="00E25B30"/>
    <w:rsid w:val="00E25B5D"/>
    <w:rsid w:val="00E25B8C"/>
    <w:rsid w:val="00E25D00"/>
    <w:rsid w:val="00E25EB3"/>
    <w:rsid w:val="00E25EE0"/>
    <w:rsid w:val="00E25FDD"/>
    <w:rsid w:val="00E2605F"/>
    <w:rsid w:val="00E26155"/>
    <w:rsid w:val="00E261A4"/>
    <w:rsid w:val="00E261CD"/>
    <w:rsid w:val="00E262C9"/>
    <w:rsid w:val="00E26303"/>
    <w:rsid w:val="00E2630D"/>
    <w:rsid w:val="00E2634A"/>
    <w:rsid w:val="00E2639A"/>
    <w:rsid w:val="00E26448"/>
    <w:rsid w:val="00E264A5"/>
    <w:rsid w:val="00E264D6"/>
    <w:rsid w:val="00E2652D"/>
    <w:rsid w:val="00E265A5"/>
    <w:rsid w:val="00E265D0"/>
    <w:rsid w:val="00E266A1"/>
    <w:rsid w:val="00E26720"/>
    <w:rsid w:val="00E26726"/>
    <w:rsid w:val="00E267D6"/>
    <w:rsid w:val="00E2681D"/>
    <w:rsid w:val="00E26845"/>
    <w:rsid w:val="00E2689A"/>
    <w:rsid w:val="00E268C6"/>
    <w:rsid w:val="00E26940"/>
    <w:rsid w:val="00E2694D"/>
    <w:rsid w:val="00E269A5"/>
    <w:rsid w:val="00E26A7E"/>
    <w:rsid w:val="00E26BBD"/>
    <w:rsid w:val="00E26BD6"/>
    <w:rsid w:val="00E26C0B"/>
    <w:rsid w:val="00E26CB6"/>
    <w:rsid w:val="00E26D0C"/>
    <w:rsid w:val="00E26D55"/>
    <w:rsid w:val="00E26DC1"/>
    <w:rsid w:val="00E26DF6"/>
    <w:rsid w:val="00E26E71"/>
    <w:rsid w:val="00E26EBE"/>
    <w:rsid w:val="00E26ED0"/>
    <w:rsid w:val="00E26F67"/>
    <w:rsid w:val="00E27057"/>
    <w:rsid w:val="00E270C9"/>
    <w:rsid w:val="00E270D1"/>
    <w:rsid w:val="00E2736E"/>
    <w:rsid w:val="00E27389"/>
    <w:rsid w:val="00E273B5"/>
    <w:rsid w:val="00E2741D"/>
    <w:rsid w:val="00E2742A"/>
    <w:rsid w:val="00E27474"/>
    <w:rsid w:val="00E27487"/>
    <w:rsid w:val="00E2748F"/>
    <w:rsid w:val="00E274DB"/>
    <w:rsid w:val="00E27569"/>
    <w:rsid w:val="00E27646"/>
    <w:rsid w:val="00E2766C"/>
    <w:rsid w:val="00E276A5"/>
    <w:rsid w:val="00E276A6"/>
    <w:rsid w:val="00E2770C"/>
    <w:rsid w:val="00E27816"/>
    <w:rsid w:val="00E27963"/>
    <w:rsid w:val="00E27988"/>
    <w:rsid w:val="00E27A0A"/>
    <w:rsid w:val="00E27A24"/>
    <w:rsid w:val="00E27BA5"/>
    <w:rsid w:val="00E27BF0"/>
    <w:rsid w:val="00E27C2B"/>
    <w:rsid w:val="00E27D17"/>
    <w:rsid w:val="00E27E06"/>
    <w:rsid w:val="00E27F64"/>
    <w:rsid w:val="00E28621"/>
    <w:rsid w:val="00E30035"/>
    <w:rsid w:val="00E3007A"/>
    <w:rsid w:val="00E30135"/>
    <w:rsid w:val="00E30164"/>
    <w:rsid w:val="00E301B3"/>
    <w:rsid w:val="00E301D9"/>
    <w:rsid w:val="00E301E9"/>
    <w:rsid w:val="00E30241"/>
    <w:rsid w:val="00E3024E"/>
    <w:rsid w:val="00E30297"/>
    <w:rsid w:val="00E3034D"/>
    <w:rsid w:val="00E304D5"/>
    <w:rsid w:val="00E304FA"/>
    <w:rsid w:val="00E3055B"/>
    <w:rsid w:val="00E30568"/>
    <w:rsid w:val="00E305A2"/>
    <w:rsid w:val="00E30626"/>
    <w:rsid w:val="00E30653"/>
    <w:rsid w:val="00E30675"/>
    <w:rsid w:val="00E3088A"/>
    <w:rsid w:val="00E308BA"/>
    <w:rsid w:val="00E308C3"/>
    <w:rsid w:val="00E30963"/>
    <w:rsid w:val="00E30A99"/>
    <w:rsid w:val="00E30AA8"/>
    <w:rsid w:val="00E30AF3"/>
    <w:rsid w:val="00E30BBB"/>
    <w:rsid w:val="00E30C9F"/>
    <w:rsid w:val="00E30D36"/>
    <w:rsid w:val="00E30D38"/>
    <w:rsid w:val="00E30D55"/>
    <w:rsid w:val="00E30DCF"/>
    <w:rsid w:val="00E30E6E"/>
    <w:rsid w:val="00E30EC4"/>
    <w:rsid w:val="00E30EDA"/>
    <w:rsid w:val="00E30F24"/>
    <w:rsid w:val="00E30F61"/>
    <w:rsid w:val="00E3103E"/>
    <w:rsid w:val="00E3107C"/>
    <w:rsid w:val="00E31099"/>
    <w:rsid w:val="00E31195"/>
    <w:rsid w:val="00E311F5"/>
    <w:rsid w:val="00E3126F"/>
    <w:rsid w:val="00E312A4"/>
    <w:rsid w:val="00E312F1"/>
    <w:rsid w:val="00E31546"/>
    <w:rsid w:val="00E31689"/>
    <w:rsid w:val="00E3171E"/>
    <w:rsid w:val="00E31723"/>
    <w:rsid w:val="00E31724"/>
    <w:rsid w:val="00E31749"/>
    <w:rsid w:val="00E31861"/>
    <w:rsid w:val="00E31887"/>
    <w:rsid w:val="00E318EB"/>
    <w:rsid w:val="00E319A4"/>
    <w:rsid w:val="00E31A27"/>
    <w:rsid w:val="00E31AEB"/>
    <w:rsid w:val="00E31C30"/>
    <w:rsid w:val="00E31C46"/>
    <w:rsid w:val="00E31C76"/>
    <w:rsid w:val="00E31CB0"/>
    <w:rsid w:val="00E31E22"/>
    <w:rsid w:val="00E31E2C"/>
    <w:rsid w:val="00E31E5C"/>
    <w:rsid w:val="00E31E9C"/>
    <w:rsid w:val="00E31EF0"/>
    <w:rsid w:val="00E31F77"/>
    <w:rsid w:val="00E32038"/>
    <w:rsid w:val="00E32045"/>
    <w:rsid w:val="00E32115"/>
    <w:rsid w:val="00E32139"/>
    <w:rsid w:val="00E32151"/>
    <w:rsid w:val="00E321F6"/>
    <w:rsid w:val="00E322C4"/>
    <w:rsid w:val="00E3238F"/>
    <w:rsid w:val="00E3242A"/>
    <w:rsid w:val="00E32465"/>
    <w:rsid w:val="00E32471"/>
    <w:rsid w:val="00E32479"/>
    <w:rsid w:val="00E324A7"/>
    <w:rsid w:val="00E324F1"/>
    <w:rsid w:val="00E32501"/>
    <w:rsid w:val="00E32524"/>
    <w:rsid w:val="00E325B1"/>
    <w:rsid w:val="00E326A4"/>
    <w:rsid w:val="00E326FE"/>
    <w:rsid w:val="00E32740"/>
    <w:rsid w:val="00E3274E"/>
    <w:rsid w:val="00E32847"/>
    <w:rsid w:val="00E32852"/>
    <w:rsid w:val="00E3293B"/>
    <w:rsid w:val="00E329B3"/>
    <w:rsid w:val="00E32BAD"/>
    <w:rsid w:val="00E32BEC"/>
    <w:rsid w:val="00E32C50"/>
    <w:rsid w:val="00E32C60"/>
    <w:rsid w:val="00E32C6D"/>
    <w:rsid w:val="00E32C81"/>
    <w:rsid w:val="00E32CA4"/>
    <w:rsid w:val="00E32CD4"/>
    <w:rsid w:val="00E32D63"/>
    <w:rsid w:val="00E32D9F"/>
    <w:rsid w:val="00E32DA4"/>
    <w:rsid w:val="00E32DBF"/>
    <w:rsid w:val="00E32E2C"/>
    <w:rsid w:val="00E32E6D"/>
    <w:rsid w:val="00E32EFE"/>
    <w:rsid w:val="00E32F17"/>
    <w:rsid w:val="00E32F1C"/>
    <w:rsid w:val="00E32F1F"/>
    <w:rsid w:val="00E32F66"/>
    <w:rsid w:val="00E32F7E"/>
    <w:rsid w:val="00E3303D"/>
    <w:rsid w:val="00E33161"/>
    <w:rsid w:val="00E331ED"/>
    <w:rsid w:val="00E332B4"/>
    <w:rsid w:val="00E332CE"/>
    <w:rsid w:val="00E332E0"/>
    <w:rsid w:val="00E332E5"/>
    <w:rsid w:val="00E3334D"/>
    <w:rsid w:val="00E33363"/>
    <w:rsid w:val="00E33476"/>
    <w:rsid w:val="00E334ED"/>
    <w:rsid w:val="00E33502"/>
    <w:rsid w:val="00E335E3"/>
    <w:rsid w:val="00E3360E"/>
    <w:rsid w:val="00E33631"/>
    <w:rsid w:val="00E33662"/>
    <w:rsid w:val="00E33664"/>
    <w:rsid w:val="00E3372B"/>
    <w:rsid w:val="00E33735"/>
    <w:rsid w:val="00E337D2"/>
    <w:rsid w:val="00E3381C"/>
    <w:rsid w:val="00E3389F"/>
    <w:rsid w:val="00E3399A"/>
    <w:rsid w:val="00E339C6"/>
    <w:rsid w:val="00E33A83"/>
    <w:rsid w:val="00E33AAC"/>
    <w:rsid w:val="00E33B1D"/>
    <w:rsid w:val="00E33B2A"/>
    <w:rsid w:val="00E33BAC"/>
    <w:rsid w:val="00E33BB2"/>
    <w:rsid w:val="00E33BC8"/>
    <w:rsid w:val="00E33C4E"/>
    <w:rsid w:val="00E33D78"/>
    <w:rsid w:val="00E33D7E"/>
    <w:rsid w:val="00E33DFA"/>
    <w:rsid w:val="00E33E02"/>
    <w:rsid w:val="00E33E40"/>
    <w:rsid w:val="00E33F26"/>
    <w:rsid w:val="00E33F3E"/>
    <w:rsid w:val="00E33F76"/>
    <w:rsid w:val="00E33FA6"/>
    <w:rsid w:val="00E3403D"/>
    <w:rsid w:val="00E340B5"/>
    <w:rsid w:val="00E34125"/>
    <w:rsid w:val="00E3421D"/>
    <w:rsid w:val="00E342F5"/>
    <w:rsid w:val="00E342FF"/>
    <w:rsid w:val="00E343A9"/>
    <w:rsid w:val="00E34410"/>
    <w:rsid w:val="00E34436"/>
    <w:rsid w:val="00E344EE"/>
    <w:rsid w:val="00E3455B"/>
    <w:rsid w:val="00E34598"/>
    <w:rsid w:val="00E345B5"/>
    <w:rsid w:val="00E345DB"/>
    <w:rsid w:val="00E346AB"/>
    <w:rsid w:val="00E34739"/>
    <w:rsid w:val="00E347DA"/>
    <w:rsid w:val="00E34808"/>
    <w:rsid w:val="00E348A3"/>
    <w:rsid w:val="00E34917"/>
    <w:rsid w:val="00E3497E"/>
    <w:rsid w:val="00E3499B"/>
    <w:rsid w:val="00E3499F"/>
    <w:rsid w:val="00E34A75"/>
    <w:rsid w:val="00E34AB0"/>
    <w:rsid w:val="00E34ADF"/>
    <w:rsid w:val="00E34B44"/>
    <w:rsid w:val="00E34BCA"/>
    <w:rsid w:val="00E34C98"/>
    <w:rsid w:val="00E34D09"/>
    <w:rsid w:val="00E34DB1"/>
    <w:rsid w:val="00E34E3F"/>
    <w:rsid w:val="00E34E74"/>
    <w:rsid w:val="00E34E9A"/>
    <w:rsid w:val="00E34EF8"/>
    <w:rsid w:val="00E34F78"/>
    <w:rsid w:val="00E34FFC"/>
    <w:rsid w:val="00E3506E"/>
    <w:rsid w:val="00E351AD"/>
    <w:rsid w:val="00E351BD"/>
    <w:rsid w:val="00E352C0"/>
    <w:rsid w:val="00E352EF"/>
    <w:rsid w:val="00E352F9"/>
    <w:rsid w:val="00E35336"/>
    <w:rsid w:val="00E35352"/>
    <w:rsid w:val="00E35361"/>
    <w:rsid w:val="00E353F2"/>
    <w:rsid w:val="00E35456"/>
    <w:rsid w:val="00E3548A"/>
    <w:rsid w:val="00E354D5"/>
    <w:rsid w:val="00E35663"/>
    <w:rsid w:val="00E356EB"/>
    <w:rsid w:val="00E3571A"/>
    <w:rsid w:val="00E3573A"/>
    <w:rsid w:val="00E35754"/>
    <w:rsid w:val="00E3584F"/>
    <w:rsid w:val="00E35850"/>
    <w:rsid w:val="00E35885"/>
    <w:rsid w:val="00E358BE"/>
    <w:rsid w:val="00E35901"/>
    <w:rsid w:val="00E35999"/>
    <w:rsid w:val="00E35ACA"/>
    <w:rsid w:val="00E35AF9"/>
    <w:rsid w:val="00E35B23"/>
    <w:rsid w:val="00E35B6A"/>
    <w:rsid w:val="00E35BA9"/>
    <w:rsid w:val="00E35BFE"/>
    <w:rsid w:val="00E35C45"/>
    <w:rsid w:val="00E35CC1"/>
    <w:rsid w:val="00E35CCE"/>
    <w:rsid w:val="00E35CDB"/>
    <w:rsid w:val="00E35CF6"/>
    <w:rsid w:val="00E35DE4"/>
    <w:rsid w:val="00E35EC1"/>
    <w:rsid w:val="00E35F20"/>
    <w:rsid w:val="00E35F32"/>
    <w:rsid w:val="00E35F9C"/>
    <w:rsid w:val="00E35FBA"/>
    <w:rsid w:val="00E36065"/>
    <w:rsid w:val="00E360B8"/>
    <w:rsid w:val="00E3612F"/>
    <w:rsid w:val="00E3618A"/>
    <w:rsid w:val="00E3620C"/>
    <w:rsid w:val="00E36224"/>
    <w:rsid w:val="00E362C4"/>
    <w:rsid w:val="00E36369"/>
    <w:rsid w:val="00E363AB"/>
    <w:rsid w:val="00E363CB"/>
    <w:rsid w:val="00E36401"/>
    <w:rsid w:val="00E3642F"/>
    <w:rsid w:val="00E364D9"/>
    <w:rsid w:val="00E36546"/>
    <w:rsid w:val="00E36612"/>
    <w:rsid w:val="00E3678C"/>
    <w:rsid w:val="00E368C4"/>
    <w:rsid w:val="00E368D8"/>
    <w:rsid w:val="00E36968"/>
    <w:rsid w:val="00E3698D"/>
    <w:rsid w:val="00E369DC"/>
    <w:rsid w:val="00E36A73"/>
    <w:rsid w:val="00E36AA6"/>
    <w:rsid w:val="00E36B10"/>
    <w:rsid w:val="00E36B44"/>
    <w:rsid w:val="00E36B46"/>
    <w:rsid w:val="00E36C4E"/>
    <w:rsid w:val="00E36C77"/>
    <w:rsid w:val="00E36C91"/>
    <w:rsid w:val="00E36CBF"/>
    <w:rsid w:val="00E36D35"/>
    <w:rsid w:val="00E36D89"/>
    <w:rsid w:val="00E3712B"/>
    <w:rsid w:val="00E3713E"/>
    <w:rsid w:val="00E3719E"/>
    <w:rsid w:val="00E371D4"/>
    <w:rsid w:val="00E3736C"/>
    <w:rsid w:val="00E3741D"/>
    <w:rsid w:val="00E3748B"/>
    <w:rsid w:val="00E3749A"/>
    <w:rsid w:val="00E3750E"/>
    <w:rsid w:val="00E3751E"/>
    <w:rsid w:val="00E37575"/>
    <w:rsid w:val="00E375C6"/>
    <w:rsid w:val="00E375D5"/>
    <w:rsid w:val="00E3774A"/>
    <w:rsid w:val="00E377A5"/>
    <w:rsid w:val="00E377B6"/>
    <w:rsid w:val="00E37855"/>
    <w:rsid w:val="00E378E2"/>
    <w:rsid w:val="00E379CD"/>
    <w:rsid w:val="00E37AD7"/>
    <w:rsid w:val="00E37ADC"/>
    <w:rsid w:val="00E37B27"/>
    <w:rsid w:val="00E37C37"/>
    <w:rsid w:val="00E37C48"/>
    <w:rsid w:val="00E37D65"/>
    <w:rsid w:val="00E37D9C"/>
    <w:rsid w:val="00E37E51"/>
    <w:rsid w:val="00E37E85"/>
    <w:rsid w:val="00E37EC8"/>
    <w:rsid w:val="00E37EE4"/>
    <w:rsid w:val="00E37F64"/>
    <w:rsid w:val="00E40076"/>
    <w:rsid w:val="00E40084"/>
    <w:rsid w:val="00E40096"/>
    <w:rsid w:val="00E4012E"/>
    <w:rsid w:val="00E401B2"/>
    <w:rsid w:val="00E401F4"/>
    <w:rsid w:val="00E40264"/>
    <w:rsid w:val="00E4026F"/>
    <w:rsid w:val="00E40298"/>
    <w:rsid w:val="00E40477"/>
    <w:rsid w:val="00E4047B"/>
    <w:rsid w:val="00E4051E"/>
    <w:rsid w:val="00E406F5"/>
    <w:rsid w:val="00E40749"/>
    <w:rsid w:val="00E4078B"/>
    <w:rsid w:val="00E4082F"/>
    <w:rsid w:val="00E40897"/>
    <w:rsid w:val="00E4099C"/>
    <w:rsid w:val="00E409B6"/>
    <w:rsid w:val="00E409C4"/>
    <w:rsid w:val="00E40A1F"/>
    <w:rsid w:val="00E40AA4"/>
    <w:rsid w:val="00E40AD0"/>
    <w:rsid w:val="00E40B0D"/>
    <w:rsid w:val="00E40B2A"/>
    <w:rsid w:val="00E40C2B"/>
    <w:rsid w:val="00E40C75"/>
    <w:rsid w:val="00E40C80"/>
    <w:rsid w:val="00E40CBC"/>
    <w:rsid w:val="00E40D5A"/>
    <w:rsid w:val="00E40D7D"/>
    <w:rsid w:val="00E40D9B"/>
    <w:rsid w:val="00E40F17"/>
    <w:rsid w:val="00E40F4A"/>
    <w:rsid w:val="00E40F91"/>
    <w:rsid w:val="00E41002"/>
    <w:rsid w:val="00E4101F"/>
    <w:rsid w:val="00E41132"/>
    <w:rsid w:val="00E41176"/>
    <w:rsid w:val="00E411A4"/>
    <w:rsid w:val="00E4121F"/>
    <w:rsid w:val="00E41228"/>
    <w:rsid w:val="00E413BA"/>
    <w:rsid w:val="00E414F5"/>
    <w:rsid w:val="00E415E0"/>
    <w:rsid w:val="00E41635"/>
    <w:rsid w:val="00E41664"/>
    <w:rsid w:val="00E41677"/>
    <w:rsid w:val="00E416FE"/>
    <w:rsid w:val="00E417B2"/>
    <w:rsid w:val="00E41897"/>
    <w:rsid w:val="00E418A7"/>
    <w:rsid w:val="00E418EF"/>
    <w:rsid w:val="00E41A31"/>
    <w:rsid w:val="00E41A8C"/>
    <w:rsid w:val="00E41AC4"/>
    <w:rsid w:val="00E41B13"/>
    <w:rsid w:val="00E41B8F"/>
    <w:rsid w:val="00E41B98"/>
    <w:rsid w:val="00E41BA8"/>
    <w:rsid w:val="00E41BB9"/>
    <w:rsid w:val="00E41BE0"/>
    <w:rsid w:val="00E41C26"/>
    <w:rsid w:val="00E41C2A"/>
    <w:rsid w:val="00E41C47"/>
    <w:rsid w:val="00E41C7C"/>
    <w:rsid w:val="00E41CB5"/>
    <w:rsid w:val="00E41DA3"/>
    <w:rsid w:val="00E41DB4"/>
    <w:rsid w:val="00E41DBE"/>
    <w:rsid w:val="00E41E1D"/>
    <w:rsid w:val="00E41E24"/>
    <w:rsid w:val="00E41E86"/>
    <w:rsid w:val="00E41F72"/>
    <w:rsid w:val="00E41F9C"/>
    <w:rsid w:val="00E41FA8"/>
    <w:rsid w:val="00E41FAD"/>
    <w:rsid w:val="00E41FD0"/>
    <w:rsid w:val="00E42040"/>
    <w:rsid w:val="00E42186"/>
    <w:rsid w:val="00E421AA"/>
    <w:rsid w:val="00E421EE"/>
    <w:rsid w:val="00E4223C"/>
    <w:rsid w:val="00E42264"/>
    <w:rsid w:val="00E422A3"/>
    <w:rsid w:val="00E42458"/>
    <w:rsid w:val="00E424A1"/>
    <w:rsid w:val="00E42520"/>
    <w:rsid w:val="00E42549"/>
    <w:rsid w:val="00E42582"/>
    <w:rsid w:val="00E425DC"/>
    <w:rsid w:val="00E425EC"/>
    <w:rsid w:val="00E4269B"/>
    <w:rsid w:val="00E426BF"/>
    <w:rsid w:val="00E427AF"/>
    <w:rsid w:val="00E427BB"/>
    <w:rsid w:val="00E42879"/>
    <w:rsid w:val="00E42936"/>
    <w:rsid w:val="00E429F9"/>
    <w:rsid w:val="00E42A22"/>
    <w:rsid w:val="00E42A5F"/>
    <w:rsid w:val="00E42AC0"/>
    <w:rsid w:val="00E42B32"/>
    <w:rsid w:val="00E42B4C"/>
    <w:rsid w:val="00E42BAE"/>
    <w:rsid w:val="00E42BED"/>
    <w:rsid w:val="00E42C38"/>
    <w:rsid w:val="00E42C4D"/>
    <w:rsid w:val="00E42C57"/>
    <w:rsid w:val="00E42D02"/>
    <w:rsid w:val="00E42D40"/>
    <w:rsid w:val="00E42DDC"/>
    <w:rsid w:val="00E42DDF"/>
    <w:rsid w:val="00E42DEE"/>
    <w:rsid w:val="00E42EC7"/>
    <w:rsid w:val="00E42F5D"/>
    <w:rsid w:val="00E42FA6"/>
    <w:rsid w:val="00E431BD"/>
    <w:rsid w:val="00E43235"/>
    <w:rsid w:val="00E432DF"/>
    <w:rsid w:val="00E4330C"/>
    <w:rsid w:val="00E4334D"/>
    <w:rsid w:val="00E4337D"/>
    <w:rsid w:val="00E43426"/>
    <w:rsid w:val="00E4343B"/>
    <w:rsid w:val="00E4348C"/>
    <w:rsid w:val="00E43637"/>
    <w:rsid w:val="00E438CE"/>
    <w:rsid w:val="00E438F4"/>
    <w:rsid w:val="00E438FE"/>
    <w:rsid w:val="00E4391F"/>
    <w:rsid w:val="00E439BC"/>
    <w:rsid w:val="00E439EB"/>
    <w:rsid w:val="00E43A87"/>
    <w:rsid w:val="00E43AD7"/>
    <w:rsid w:val="00E43B9B"/>
    <w:rsid w:val="00E43C0B"/>
    <w:rsid w:val="00E43C19"/>
    <w:rsid w:val="00E43C1E"/>
    <w:rsid w:val="00E43C73"/>
    <w:rsid w:val="00E43C97"/>
    <w:rsid w:val="00E43CAA"/>
    <w:rsid w:val="00E43CD9"/>
    <w:rsid w:val="00E43F2B"/>
    <w:rsid w:val="00E44023"/>
    <w:rsid w:val="00E44068"/>
    <w:rsid w:val="00E440CE"/>
    <w:rsid w:val="00E441C6"/>
    <w:rsid w:val="00E442B8"/>
    <w:rsid w:val="00E442F6"/>
    <w:rsid w:val="00E44304"/>
    <w:rsid w:val="00E44315"/>
    <w:rsid w:val="00E44353"/>
    <w:rsid w:val="00E44365"/>
    <w:rsid w:val="00E443BB"/>
    <w:rsid w:val="00E44427"/>
    <w:rsid w:val="00E44532"/>
    <w:rsid w:val="00E44534"/>
    <w:rsid w:val="00E44540"/>
    <w:rsid w:val="00E44613"/>
    <w:rsid w:val="00E44622"/>
    <w:rsid w:val="00E4462E"/>
    <w:rsid w:val="00E4465B"/>
    <w:rsid w:val="00E44698"/>
    <w:rsid w:val="00E446EE"/>
    <w:rsid w:val="00E44765"/>
    <w:rsid w:val="00E4476D"/>
    <w:rsid w:val="00E44815"/>
    <w:rsid w:val="00E4486A"/>
    <w:rsid w:val="00E4489F"/>
    <w:rsid w:val="00E448EE"/>
    <w:rsid w:val="00E44900"/>
    <w:rsid w:val="00E44A4B"/>
    <w:rsid w:val="00E44A7E"/>
    <w:rsid w:val="00E44AB5"/>
    <w:rsid w:val="00E44AC4"/>
    <w:rsid w:val="00E44AD7"/>
    <w:rsid w:val="00E44AFE"/>
    <w:rsid w:val="00E44C85"/>
    <w:rsid w:val="00E44CBD"/>
    <w:rsid w:val="00E44CDE"/>
    <w:rsid w:val="00E44D30"/>
    <w:rsid w:val="00E44DE1"/>
    <w:rsid w:val="00E44DE6"/>
    <w:rsid w:val="00E44E8E"/>
    <w:rsid w:val="00E44F06"/>
    <w:rsid w:val="00E44F53"/>
    <w:rsid w:val="00E44F98"/>
    <w:rsid w:val="00E44FD6"/>
    <w:rsid w:val="00E45015"/>
    <w:rsid w:val="00E4507E"/>
    <w:rsid w:val="00E450DE"/>
    <w:rsid w:val="00E4511C"/>
    <w:rsid w:val="00E45151"/>
    <w:rsid w:val="00E45259"/>
    <w:rsid w:val="00E45273"/>
    <w:rsid w:val="00E452BA"/>
    <w:rsid w:val="00E45331"/>
    <w:rsid w:val="00E45384"/>
    <w:rsid w:val="00E453C5"/>
    <w:rsid w:val="00E45439"/>
    <w:rsid w:val="00E45458"/>
    <w:rsid w:val="00E454FD"/>
    <w:rsid w:val="00E4551D"/>
    <w:rsid w:val="00E455F0"/>
    <w:rsid w:val="00E45618"/>
    <w:rsid w:val="00E4561E"/>
    <w:rsid w:val="00E4562C"/>
    <w:rsid w:val="00E45671"/>
    <w:rsid w:val="00E45677"/>
    <w:rsid w:val="00E4567F"/>
    <w:rsid w:val="00E456B3"/>
    <w:rsid w:val="00E45710"/>
    <w:rsid w:val="00E4575E"/>
    <w:rsid w:val="00E4583A"/>
    <w:rsid w:val="00E45840"/>
    <w:rsid w:val="00E45854"/>
    <w:rsid w:val="00E459E4"/>
    <w:rsid w:val="00E459E7"/>
    <w:rsid w:val="00E45A0E"/>
    <w:rsid w:val="00E45A50"/>
    <w:rsid w:val="00E45B21"/>
    <w:rsid w:val="00E45C5A"/>
    <w:rsid w:val="00E45CEA"/>
    <w:rsid w:val="00E45D46"/>
    <w:rsid w:val="00E45DE1"/>
    <w:rsid w:val="00E45EB7"/>
    <w:rsid w:val="00E45FE7"/>
    <w:rsid w:val="00E4603A"/>
    <w:rsid w:val="00E460D4"/>
    <w:rsid w:val="00E4610C"/>
    <w:rsid w:val="00E46127"/>
    <w:rsid w:val="00E4620C"/>
    <w:rsid w:val="00E4632F"/>
    <w:rsid w:val="00E46386"/>
    <w:rsid w:val="00E4638D"/>
    <w:rsid w:val="00E46395"/>
    <w:rsid w:val="00E4640B"/>
    <w:rsid w:val="00E46424"/>
    <w:rsid w:val="00E4642E"/>
    <w:rsid w:val="00E46444"/>
    <w:rsid w:val="00E4658C"/>
    <w:rsid w:val="00E465CB"/>
    <w:rsid w:val="00E4661C"/>
    <w:rsid w:val="00E46688"/>
    <w:rsid w:val="00E4671E"/>
    <w:rsid w:val="00E46809"/>
    <w:rsid w:val="00E46871"/>
    <w:rsid w:val="00E46906"/>
    <w:rsid w:val="00E469B7"/>
    <w:rsid w:val="00E469F9"/>
    <w:rsid w:val="00E46A07"/>
    <w:rsid w:val="00E46A1B"/>
    <w:rsid w:val="00E46A81"/>
    <w:rsid w:val="00E46A97"/>
    <w:rsid w:val="00E46B39"/>
    <w:rsid w:val="00E46B67"/>
    <w:rsid w:val="00E46B84"/>
    <w:rsid w:val="00E46B91"/>
    <w:rsid w:val="00E46BDE"/>
    <w:rsid w:val="00E46C4E"/>
    <w:rsid w:val="00E46C65"/>
    <w:rsid w:val="00E46D46"/>
    <w:rsid w:val="00E46DC6"/>
    <w:rsid w:val="00E46DD4"/>
    <w:rsid w:val="00E46E4F"/>
    <w:rsid w:val="00E47048"/>
    <w:rsid w:val="00E47114"/>
    <w:rsid w:val="00E47146"/>
    <w:rsid w:val="00E4724A"/>
    <w:rsid w:val="00E47280"/>
    <w:rsid w:val="00E47365"/>
    <w:rsid w:val="00E47514"/>
    <w:rsid w:val="00E47604"/>
    <w:rsid w:val="00E4760F"/>
    <w:rsid w:val="00E47688"/>
    <w:rsid w:val="00E476FA"/>
    <w:rsid w:val="00E47756"/>
    <w:rsid w:val="00E4781C"/>
    <w:rsid w:val="00E4785D"/>
    <w:rsid w:val="00E47864"/>
    <w:rsid w:val="00E478A8"/>
    <w:rsid w:val="00E478D1"/>
    <w:rsid w:val="00E478DA"/>
    <w:rsid w:val="00E478E8"/>
    <w:rsid w:val="00E47947"/>
    <w:rsid w:val="00E479AA"/>
    <w:rsid w:val="00E479DA"/>
    <w:rsid w:val="00E47A0D"/>
    <w:rsid w:val="00E47A1E"/>
    <w:rsid w:val="00E47A44"/>
    <w:rsid w:val="00E47A55"/>
    <w:rsid w:val="00E47B2B"/>
    <w:rsid w:val="00E47BD8"/>
    <w:rsid w:val="00E47BEF"/>
    <w:rsid w:val="00E47CEB"/>
    <w:rsid w:val="00E47D24"/>
    <w:rsid w:val="00E47D40"/>
    <w:rsid w:val="00E47D94"/>
    <w:rsid w:val="00E47DAE"/>
    <w:rsid w:val="00E47E4E"/>
    <w:rsid w:val="00E47F5F"/>
    <w:rsid w:val="00E47F72"/>
    <w:rsid w:val="00E47FB9"/>
    <w:rsid w:val="00E5016B"/>
    <w:rsid w:val="00E50179"/>
    <w:rsid w:val="00E501ED"/>
    <w:rsid w:val="00E5020C"/>
    <w:rsid w:val="00E5021C"/>
    <w:rsid w:val="00E50275"/>
    <w:rsid w:val="00E502AD"/>
    <w:rsid w:val="00E5033F"/>
    <w:rsid w:val="00E50385"/>
    <w:rsid w:val="00E50394"/>
    <w:rsid w:val="00E503F7"/>
    <w:rsid w:val="00E50452"/>
    <w:rsid w:val="00E50519"/>
    <w:rsid w:val="00E5054A"/>
    <w:rsid w:val="00E50659"/>
    <w:rsid w:val="00E506B5"/>
    <w:rsid w:val="00E506FA"/>
    <w:rsid w:val="00E50731"/>
    <w:rsid w:val="00E509B5"/>
    <w:rsid w:val="00E509BF"/>
    <w:rsid w:val="00E50A14"/>
    <w:rsid w:val="00E50C6E"/>
    <w:rsid w:val="00E50C72"/>
    <w:rsid w:val="00E50C8C"/>
    <w:rsid w:val="00E50D1F"/>
    <w:rsid w:val="00E50E30"/>
    <w:rsid w:val="00E50E56"/>
    <w:rsid w:val="00E50EE5"/>
    <w:rsid w:val="00E50F7E"/>
    <w:rsid w:val="00E5100B"/>
    <w:rsid w:val="00E5104E"/>
    <w:rsid w:val="00E510BC"/>
    <w:rsid w:val="00E511DB"/>
    <w:rsid w:val="00E51232"/>
    <w:rsid w:val="00E51357"/>
    <w:rsid w:val="00E51397"/>
    <w:rsid w:val="00E51434"/>
    <w:rsid w:val="00E51445"/>
    <w:rsid w:val="00E51481"/>
    <w:rsid w:val="00E514A8"/>
    <w:rsid w:val="00E5158B"/>
    <w:rsid w:val="00E515DE"/>
    <w:rsid w:val="00E51700"/>
    <w:rsid w:val="00E5172D"/>
    <w:rsid w:val="00E51832"/>
    <w:rsid w:val="00E5184F"/>
    <w:rsid w:val="00E51933"/>
    <w:rsid w:val="00E51980"/>
    <w:rsid w:val="00E51A00"/>
    <w:rsid w:val="00E51A3C"/>
    <w:rsid w:val="00E51AE9"/>
    <w:rsid w:val="00E51C29"/>
    <w:rsid w:val="00E51C41"/>
    <w:rsid w:val="00E51CAE"/>
    <w:rsid w:val="00E51DD6"/>
    <w:rsid w:val="00E51DFF"/>
    <w:rsid w:val="00E51E06"/>
    <w:rsid w:val="00E51E1F"/>
    <w:rsid w:val="00E51F9A"/>
    <w:rsid w:val="00E5208D"/>
    <w:rsid w:val="00E520EF"/>
    <w:rsid w:val="00E520FC"/>
    <w:rsid w:val="00E5212A"/>
    <w:rsid w:val="00E52154"/>
    <w:rsid w:val="00E521DE"/>
    <w:rsid w:val="00E5227C"/>
    <w:rsid w:val="00E522DA"/>
    <w:rsid w:val="00E5230D"/>
    <w:rsid w:val="00E523AC"/>
    <w:rsid w:val="00E52416"/>
    <w:rsid w:val="00E52423"/>
    <w:rsid w:val="00E52456"/>
    <w:rsid w:val="00E52492"/>
    <w:rsid w:val="00E524E7"/>
    <w:rsid w:val="00E525D9"/>
    <w:rsid w:val="00E525E0"/>
    <w:rsid w:val="00E526D1"/>
    <w:rsid w:val="00E526FD"/>
    <w:rsid w:val="00E5274B"/>
    <w:rsid w:val="00E52872"/>
    <w:rsid w:val="00E52900"/>
    <w:rsid w:val="00E52926"/>
    <w:rsid w:val="00E52982"/>
    <w:rsid w:val="00E52C5A"/>
    <w:rsid w:val="00E52C82"/>
    <w:rsid w:val="00E52CA7"/>
    <w:rsid w:val="00E52D07"/>
    <w:rsid w:val="00E52D1A"/>
    <w:rsid w:val="00E52D9F"/>
    <w:rsid w:val="00E52DA0"/>
    <w:rsid w:val="00E52E13"/>
    <w:rsid w:val="00E52EF1"/>
    <w:rsid w:val="00E52F03"/>
    <w:rsid w:val="00E52F0F"/>
    <w:rsid w:val="00E53012"/>
    <w:rsid w:val="00E53157"/>
    <w:rsid w:val="00E53161"/>
    <w:rsid w:val="00E5319C"/>
    <w:rsid w:val="00E531C9"/>
    <w:rsid w:val="00E531E8"/>
    <w:rsid w:val="00E5321C"/>
    <w:rsid w:val="00E5321D"/>
    <w:rsid w:val="00E5327A"/>
    <w:rsid w:val="00E53289"/>
    <w:rsid w:val="00E5328F"/>
    <w:rsid w:val="00E532C3"/>
    <w:rsid w:val="00E5343F"/>
    <w:rsid w:val="00E534A2"/>
    <w:rsid w:val="00E53553"/>
    <w:rsid w:val="00E535E0"/>
    <w:rsid w:val="00E535F8"/>
    <w:rsid w:val="00E53640"/>
    <w:rsid w:val="00E53685"/>
    <w:rsid w:val="00E536CD"/>
    <w:rsid w:val="00E5374D"/>
    <w:rsid w:val="00E53814"/>
    <w:rsid w:val="00E5381E"/>
    <w:rsid w:val="00E5386F"/>
    <w:rsid w:val="00E53870"/>
    <w:rsid w:val="00E53877"/>
    <w:rsid w:val="00E53878"/>
    <w:rsid w:val="00E5387B"/>
    <w:rsid w:val="00E538AA"/>
    <w:rsid w:val="00E538E3"/>
    <w:rsid w:val="00E53979"/>
    <w:rsid w:val="00E539C5"/>
    <w:rsid w:val="00E53A6B"/>
    <w:rsid w:val="00E53AA3"/>
    <w:rsid w:val="00E53ACD"/>
    <w:rsid w:val="00E53C3D"/>
    <w:rsid w:val="00E53C50"/>
    <w:rsid w:val="00E53C73"/>
    <w:rsid w:val="00E53CCA"/>
    <w:rsid w:val="00E53CD0"/>
    <w:rsid w:val="00E53E35"/>
    <w:rsid w:val="00E53EEC"/>
    <w:rsid w:val="00E5403F"/>
    <w:rsid w:val="00E5409B"/>
    <w:rsid w:val="00E541B5"/>
    <w:rsid w:val="00E541F7"/>
    <w:rsid w:val="00E54280"/>
    <w:rsid w:val="00E542A5"/>
    <w:rsid w:val="00E542EB"/>
    <w:rsid w:val="00E5434B"/>
    <w:rsid w:val="00E54388"/>
    <w:rsid w:val="00E543B4"/>
    <w:rsid w:val="00E54413"/>
    <w:rsid w:val="00E544F2"/>
    <w:rsid w:val="00E54508"/>
    <w:rsid w:val="00E5451D"/>
    <w:rsid w:val="00E54567"/>
    <w:rsid w:val="00E545BB"/>
    <w:rsid w:val="00E546E9"/>
    <w:rsid w:val="00E54717"/>
    <w:rsid w:val="00E54939"/>
    <w:rsid w:val="00E54945"/>
    <w:rsid w:val="00E54948"/>
    <w:rsid w:val="00E54985"/>
    <w:rsid w:val="00E54A02"/>
    <w:rsid w:val="00E54A0E"/>
    <w:rsid w:val="00E54A29"/>
    <w:rsid w:val="00E54B43"/>
    <w:rsid w:val="00E54B72"/>
    <w:rsid w:val="00E54BAF"/>
    <w:rsid w:val="00E54C75"/>
    <w:rsid w:val="00E54CD1"/>
    <w:rsid w:val="00E54D59"/>
    <w:rsid w:val="00E54DEB"/>
    <w:rsid w:val="00E54DF9"/>
    <w:rsid w:val="00E54F18"/>
    <w:rsid w:val="00E54F40"/>
    <w:rsid w:val="00E54F82"/>
    <w:rsid w:val="00E54F89"/>
    <w:rsid w:val="00E54F97"/>
    <w:rsid w:val="00E54F99"/>
    <w:rsid w:val="00E5504F"/>
    <w:rsid w:val="00E5506A"/>
    <w:rsid w:val="00E550A5"/>
    <w:rsid w:val="00E55257"/>
    <w:rsid w:val="00E55268"/>
    <w:rsid w:val="00E552EF"/>
    <w:rsid w:val="00E55355"/>
    <w:rsid w:val="00E55399"/>
    <w:rsid w:val="00E553CF"/>
    <w:rsid w:val="00E5540E"/>
    <w:rsid w:val="00E55473"/>
    <w:rsid w:val="00E55495"/>
    <w:rsid w:val="00E554A7"/>
    <w:rsid w:val="00E554BE"/>
    <w:rsid w:val="00E55579"/>
    <w:rsid w:val="00E5568D"/>
    <w:rsid w:val="00E55699"/>
    <w:rsid w:val="00E5574B"/>
    <w:rsid w:val="00E557D9"/>
    <w:rsid w:val="00E55834"/>
    <w:rsid w:val="00E55973"/>
    <w:rsid w:val="00E55984"/>
    <w:rsid w:val="00E559F6"/>
    <w:rsid w:val="00E55A43"/>
    <w:rsid w:val="00E55A73"/>
    <w:rsid w:val="00E55A7D"/>
    <w:rsid w:val="00E55AD5"/>
    <w:rsid w:val="00E55AEF"/>
    <w:rsid w:val="00E55BE4"/>
    <w:rsid w:val="00E55D97"/>
    <w:rsid w:val="00E55DB9"/>
    <w:rsid w:val="00E55E7F"/>
    <w:rsid w:val="00E55E97"/>
    <w:rsid w:val="00E560C1"/>
    <w:rsid w:val="00E561A4"/>
    <w:rsid w:val="00E561D4"/>
    <w:rsid w:val="00E562A2"/>
    <w:rsid w:val="00E562C2"/>
    <w:rsid w:val="00E562C3"/>
    <w:rsid w:val="00E56370"/>
    <w:rsid w:val="00E56382"/>
    <w:rsid w:val="00E563A2"/>
    <w:rsid w:val="00E563E6"/>
    <w:rsid w:val="00E5645F"/>
    <w:rsid w:val="00E56497"/>
    <w:rsid w:val="00E564CE"/>
    <w:rsid w:val="00E564D1"/>
    <w:rsid w:val="00E564E3"/>
    <w:rsid w:val="00E56568"/>
    <w:rsid w:val="00E565DF"/>
    <w:rsid w:val="00E565F2"/>
    <w:rsid w:val="00E566CB"/>
    <w:rsid w:val="00E566D2"/>
    <w:rsid w:val="00E566D3"/>
    <w:rsid w:val="00E56700"/>
    <w:rsid w:val="00E567BE"/>
    <w:rsid w:val="00E5687C"/>
    <w:rsid w:val="00E568E9"/>
    <w:rsid w:val="00E5690C"/>
    <w:rsid w:val="00E56973"/>
    <w:rsid w:val="00E56A2F"/>
    <w:rsid w:val="00E56ABC"/>
    <w:rsid w:val="00E56AD9"/>
    <w:rsid w:val="00E56AE9"/>
    <w:rsid w:val="00E56AEF"/>
    <w:rsid w:val="00E56B77"/>
    <w:rsid w:val="00E56BD0"/>
    <w:rsid w:val="00E56BD8"/>
    <w:rsid w:val="00E56CD1"/>
    <w:rsid w:val="00E56CEC"/>
    <w:rsid w:val="00E56DEE"/>
    <w:rsid w:val="00E56E49"/>
    <w:rsid w:val="00E56E7B"/>
    <w:rsid w:val="00E56EB0"/>
    <w:rsid w:val="00E56EE2"/>
    <w:rsid w:val="00E57048"/>
    <w:rsid w:val="00E570DD"/>
    <w:rsid w:val="00E57163"/>
    <w:rsid w:val="00E57232"/>
    <w:rsid w:val="00E5729D"/>
    <w:rsid w:val="00E572AB"/>
    <w:rsid w:val="00E572ED"/>
    <w:rsid w:val="00E572FF"/>
    <w:rsid w:val="00E57305"/>
    <w:rsid w:val="00E57334"/>
    <w:rsid w:val="00E57338"/>
    <w:rsid w:val="00E57375"/>
    <w:rsid w:val="00E573C5"/>
    <w:rsid w:val="00E573C7"/>
    <w:rsid w:val="00E5741D"/>
    <w:rsid w:val="00E5745E"/>
    <w:rsid w:val="00E57472"/>
    <w:rsid w:val="00E574A2"/>
    <w:rsid w:val="00E574A3"/>
    <w:rsid w:val="00E575FD"/>
    <w:rsid w:val="00E57639"/>
    <w:rsid w:val="00E57685"/>
    <w:rsid w:val="00E57690"/>
    <w:rsid w:val="00E576C8"/>
    <w:rsid w:val="00E577AF"/>
    <w:rsid w:val="00E577E5"/>
    <w:rsid w:val="00E57880"/>
    <w:rsid w:val="00E57B5D"/>
    <w:rsid w:val="00E57C4B"/>
    <w:rsid w:val="00E57C5D"/>
    <w:rsid w:val="00E57C99"/>
    <w:rsid w:val="00E57D49"/>
    <w:rsid w:val="00E57D86"/>
    <w:rsid w:val="00E57DBD"/>
    <w:rsid w:val="00E57DD8"/>
    <w:rsid w:val="00E57E02"/>
    <w:rsid w:val="00E57E0A"/>
    <w:rsid w:val="00E57E9E"/>
    <w:rsid w:val="00E57ED3"/>
    <w:rsid w:val="00E57F0A"/>
    <w:rsid w:val="00E57F74"/>
    <w:rsid w:val="00E57F95"/>
    <w:rsid w:val="00E57F97"/>
    <w:rsid w:val="00E57FD6"/>
    <w:rsid w:val="00E60040"/>
    <w:rsid w:val="00E60061"/>
    <w:rsid w:val="00E60089"/>
    <w:rsid w:val="00E600AE"/>
    <w:rsid w:val="00E600C5"/>
    <w:rsid w:val="00E600DB"/>
    <w:rsid w:val="00E60243"/>
    <w:rsid w:val="00E60255"/>
    <w:rsid w:val="00E6029E"/>
    <w:rsid w:val="00E602EA"/>
    <w:rsid w:val="00E602F3"/>
    <w:rsid w:val="00E60325"/>
    <w:rsid w:val="00E60384"/>
    <w:rsid w:val="00E605B9"/>
    <w:rsid w:val="00E605E6"/>
    <w:rsid w:val="00E60611"/>
    <w:rsid w:val="00E60647"/>
    <w:rsid w:val="00E60693"/>
    <w:rsid w:val="00E606E9"/>
    <w:rsid w:val="00E60727"/>
    <w:rsid w:val="00E6072C"/>
    <w:rsid w:val="00E60749"/>
    <w:rsid w:val="00E6081C"/>
    <w:rsid w:val="00E60856"/>
    <w:rsid w:val="00E60897"/>
    <w:rsid w:val="00E608D9"/>
    <w:rsid w:val="00E6092C"/>
    <w:rsid w:val="00E6099B"/>
    <w:rsid w:val="00E60A7F"/>
    <w:rsid w:val="00E60B80"/>
    <w:rsid w:val="00E60B97"/>
    <w:rsid w:val="00E60BC8"/>
    <w:rsid w:val="00E60C4E"/>
    <w:rsid w:val="00E60C55"/>
    <w:rsid w:val="00E60C69"/>
    <w:rsid w:val="00E60D68"/>
    <w:rsid w:val="00E60E11"/>
    <w:rsid w:val="00E60E88"/>
    <w:rsid w:val="00E60E95"/>
    <w:rsid w:val="00E60EE9"/>
    <w:rsid w:val="00E60F41"/>
    <w:rsid w:val="00E60FC4"/>
    <w:rsid w:val="00E61201"/>
    <w:rsid w:val="00E6122C"/>
    <w:rsid w:val="00E61285"/>
    <w:rsid w:val="00E612FB"/>
    <w:rsid w:val="00E61343"/>
    <w:rsid w:val="00E613A1"/>
    <w:rsid w:val="00E61431"/>
    <w:rsid w:val="00E6146D"/>
    <w:rsid w:val="00E614C1"/>
    <w:rsid w:val="00E614C6"/>
    <w:rsid w:val="00E6155D"/>
    <w:rsid w:val="00E61582"/>
    <w:rsid w:val="00E6176A"/>
    <w:rsid w:val="00E617D6"/>
    <w:rsid w:val="00E61813"/>
    <w:rsid w:val="00E6183C"/>
    <w:rsid w:val="00E61ADA"/>
    <w:rsid w:val="00E61B67"/>
    <w:rsid w:val="00E61B92"/>
    <w:rsid w:val="00E61BAD"/>
    <w:rsid w:val="00E61BB3"/>
    <w:rsid w:val="00E61C46"/>
    <w:rsid w:val="00E61C72"/>
    <w:rsid w:val="00E61CDF"/>
    <w:rsid w:val="00E61D05"/>
    <w:rsid w:val="00E61D4C"/>
    <w:rsid w:val="00E61DB0"/>
    <w:rsid w:val="00E61E89"/>
    <w:rsid w:val="00E61ECE"/>
    <w:rsid w:val="00E61EE3"/>
    <w:rsid w:val="00E61F1F"/>
    <w:rsid w:val="00E61F2B"/>
    <w:rsid w:val="00E61FEE"/>
    <w:rsid w:val="00E62045"/>
    <w:rsid w:val="00E620E8"/>
    <w:rsid w:val="00E620F2"/>
    <w:rsid w:val="00E6214D"/>
    <w:rsid w:val="00E6221C"/>
    <w:rsid w:val="00E622E3"/>
    <w:rsid w:val="00E62315"/>
    <w:rsid w:val="00E62337"/>
    <w:rsid w:val="00E62350"/>
    <w:rsid w:val="00E62367"/>
    <w:rsid w:val="00E6250D"/>
    <w:rsid w:val="00E6263C"/>
    <w:rsid w:val="00E6263E"/>
    <w:rsid w:val="00E627C8"/>
    <w:rsid w:val="00E627EB"/>
    <w:rsid w:val="00E6289C"/>
    <w:rsid w:val="00E62982"/>
    <w:rsid w:val="00E629A7"/>
    <w:rsid w:val="00E62A07"/>
    <w:rsid w:val="00E62A28"/>
    <w:rsid w:val="00E62A89"/>
    <w:rsid w:val="00E62B81"/>
    <w:rsid w:val="00E62BB4"/>
    <w:rsid w:val="00E62C10"/>
    <w:rsid w:val="00E62C38"/>
    <w:rsid w:val="00E62C92"/>
    <w:rsid w:val="00E62DA9"/>
    <w:rsid w:val="00E62E4A"/>
    <w:rsid w:val="00E62EA6"/>
    <w:rsid w:val="00E62EB2"/>
    <w:rsid w:val="00E62EB7"/>
    <w:rsid w:val="00E62F25"/>
    <w:rsid w:val="00E62F5D"/>
    <w:rsid w:val="00E62FD5"/>
    <w:rsid w:val="00E6302A"/>
    <w:rsid w:val="00E63083"/>
    <w:rsid w:val="00E630D4"/>
    <w:rsid w:val="00E63153"/>
    <w:rsid w:val="00E63171"/>
    <w:rsid w:val="00E631B4"/>
    <w:rsid w:val="00E63307"/>
    <w:rsid w:val="00E63344"/>
    <w:rsid w:val="00E63378"/>
    <w:rsid w:val="00E6350A"/>
    <w:rsid w:val="00E63573"/>
    <w:rsid w:val="00E63624"/>
    <w:rsid w:val="00E636F4"/>
    <w:rsid w:val="00E636F6"/>
    <w:rsid w:val="00E63712"/>
    <w:rsid w:val="00E6371E"/>
    <w:rsid w:val="00E637C4"/>
    <w:rsid w:val="00E637CC"/>
    <w:rsid w:val="00E637CF"/>
    <w:rsid w:val="00E637FD"/>
    <w:rsid w:val="00E63921"/>
    <w:rsid w:val="00E63A09"/>
    <w:rsid w:val="00E63A90"/>
    <w:rsid w:val="00E63CBB"/>
    <w:rsid w:val="00E63CC3"/>
    <w:rsid w:val="00E63DEB"/>
    <w:rsid w:val="00E63E10"/>
    <w:rsid w:val="00E63E1F"/>
    <w:rsid w:val="00E63E5A"/>
    <w:rsid w:val="00E63EB6"/>
    <w:rsid w:val="00E63EC2"/>
    <w:rsid w:val="00E63F25"/>
    <w:rsid w:val="00E63F44"/>
    <w:rsid w:val="00E63FA4"/>
    <w:rsid w:val="00E63FC3"/>
    <w:rsid w:val="00E6402C"/>
    <w:rsid w:val="00E640FA"/>
    <w:rsid w:val="00E64128"/>
    <w:rsid w:val="00E64157"/>
    <w:rsid w:val="00E64199"/>
    <w:rsid w:val="00E64218"/>
    <w:rsid w:val="00E6421E"/>
    <w:rsid w:val="00E6429B"/>
    <w:rsid w:val="00E6433B"/>
    <w:rsid w:val="00E64368"/>
    <w:rsid w:val="00E643BA"/>
    <w:rsid w:val="00E643DB"/>
    <w:rsid w:val="00E64441"/>
    <w:rsid w:val="00E644BD"/>
    <w:rsid w:val="00E644CE"/>
    <w:rsid w:val="00E6454A"/>
    <w:rsid w:val="00E6454D"/>
    <w:rsid w:val="00E6461D"/>
    <w:rsid w:val="00E64668"/>
    <w:rsid w:val="00E64684"/>
    <w:rsid w:val="00E64706"/>
    <w:rsid w:val="00E647EF"/>
    <w:rsid w:val="00E6487F"/>
    <w:rsid w:val="00E648E5"/>
    <w:rsid w:val="00E64910"/>
    <w:rsid w:val="00E649CA"/>
    <w:rsid w:val="00E64A3B"/>
    <w:rsid w:val="00E64A96"/>
    <w:rsid w:val="00E64B39"/>
    <w:rsid w:val="00E64B5E"/>
    <w:rsid w:val="00E64B91"/>
    <w:rsid w:val="00E64BE4"/>
    <w:rsid w:val="00E64C5F"/>
    <w:rsid w:val="00E64C8D"/>
    <w:rsid w:val="00E64C96"/>
    <w:rsid w:val="00E64CDF"/>
    <w:rsid w:val="00E64CF4"/>
    <w:rsid w:val="00E64CF6"/>
    <w:rsid w:val="00E64D13"/>
    <w:rsid w:val="00E64D6C"/>
    <w:rsid w:val="00E64E45"/>
    <w:rsid w:val="00E64E4A"/>
    <w:rsid w:val="00E64F34"/>
    <w:rsid w:val="00E64F77"/>
    <w:rsid w:val="00E64FB3"/>
    <w:rsid w:val="00E6500F"/>
    <w:rsid w:val="00E650D5"/>
    <w:rsid w:val="00E65156"/>
    <w:rsid w:val="00E65174"/>
    <w:rsid w:val="00E6518B"/>
    <w:rsid w:val="00E651BB"/>
    <w:rsid w:val="00E651F6"/>
    <w:rsid w:val="00E6522D"/>
    <w:rsid w:val="00E6527D"/>
    <w:rsid w:val="00E652EA"/>
    <w:rsid w:val="00E6531F"/>
    <w:rsid w:val="00E65348"/>
    <w:rsid w:val="00E65369"/>
    <w:rsid w:val="00E653CB"/>
    <w:rsid w:val="00E653EA"/>
    <w:rsid w:val="00E65451"/>
    <w:rsid w:val="00E654E1"/>
    <w:rsid w:val="00E6553A"/>
    <w:rsid w:val="00E65565"/>
    <w:rsid w:val="00E655D4"/>
    <w:rsid w:val="00E655D6"/>
    <w:rsid w:val="00E658E4"/>
    <w:rsid w:val="00E658FF"/>
    <w:rsid w:val="00E65914"/>
    <w:rsid w:val="00E6593B"/>
    <w:rsid w:val="00E65971"/>
    <w:rsid w:val="00E65994"/>
    <w:rsid w:val="00E659A2"/>
    <w:rsid w:val="00E659CE"/>
    <w:rsid w:val="00E659EA"/>
    <w:rsid w:val="00E65A76"/>
    <w:rsid w:val="00E65B97"/>
    <w:rsid w:val="00E65BF5"/>
    <w:rsid w:val="00E65C2F"/>
    <w:rsid w:val="00E65C39"/>
    <w:rsid w:val="00E65C47"/>
    <w:rsid w:val="00E65CEB"/>
    <w:rsid w:val="00E65D14"/>
    <w:rsid w:val="00E65D43"/>
    <w:rsid w:val="00E65D56"/>
    <w:rsid w:val="00E65E55"/>
    <w:rsid w:val="00E65ED7"/>
    <w:rsid w:val="00E65FC9"/>
    <w:rsid w:val="00E660B3"/>
    <w:rsid w:val="00E66108"/>
    <w:rsid w:val="00E661FE"/>
    <w:rsid w:val="00E6625D"/>
    <w:rsid w:val="00E6627D"/>
    <w:rsid w:val="00E66292"/>
    <w:rsid w:val="00E663BB"/>
    <w:rsid w:val="00E66429"/>
    <w:rsid w:val="00E66489"/>
    <w:rsid w:val="00E66527"/>
    <w:rsid w:val="00E6656A"/>
    <w:rsid w:val="00E665B8"/>
    <w:rsid w:val="00E665C0"/>
    <w:rsid w:val="00E66645"/>
    <w:rsid w:val="00E666E4"/>
    <w:rsid w:val="00E666FC"/>
    <w:rsid w:val="00E6677B"/>
    <w:rsid w:val="00E667AF"/>
    <w:rsid w:val="00E668AB"/>
    <w:rsid w:val="00E6694D"/>
    <w:rsid w:val="00E669C6"/>
    <w:rsid w:val="00E669D7"/>
    <w:rsid w:val="00E669D8"/>
    <w:rsid w:val="00E66A82"/>
    <w:rsid w:val="00E66AED"/>
    <w:rsid w:val="00E66B50"/>
    <w:rsid w:val="00E66C74"/>
    <w:rsid w:val="00E66D36"/>
    <w:rsid w:val="00E66D3A"/>
    <w:rsid w:val="00E66D59"/>
    <w:rsid w:val="00E66D8D"/>
    <w:rsid w:val="00E66D8E"/>
    <w:rsid w:val="00E66DC2"/>
    <w:rsid w:val="00E66E16"/>
    <w:rsid w:val="00E66E77"/>
    <w:rsid w:val="00E66EAC"/>
    <w:rsid w:val="00E66F10"/>
    <w:rsid w:val="00E6702F"/>
    <w:rsid w:val="00E67080"/>
    <w:rsid w:val="00E67120"/>
    <w:rsid w:val="00E6712C"/>
    <w:rsid w:val="00E6713E"/>
    <w:rsid w:val="00E6714A"/>
    <w:rsid w:val="00E67194"/>
    <w:rsid w:val="00E671D2"/>
    <w:rsid w:val="00E6720B"/>
    <w:rsid w:val="00E673DA"/>
    <w:rsid w:val="00E67576"/>
    <w:rsid w:val="00E67594"/>
    <w:rsid w:val="00E675B8"/>
    <w:rsid w:val="00E67602"/>
    <w:rsid w:val="00E6765F"/>
    <w:rsid w:val="00E67761"/>
    <w:rsid w:val="00E67976"/>
    <w:rsid w:val="00E679A6"/>
    <w:rsid w:val="00E67A87"/>
    <w:rsid w:val="00E67A91"/>
    <w:rsid w:val="00E67AA8"/>
    <w:rsid w:val="00E67C5B"/>
    <w:rsid w:val="00E67C8E"/>
    <w:rsid w:val="00E67CA7"/>
    <w:rsid w:val="00E67CE4"/>
    <w:rsid w:val="00E67D02"/>
    <w:rsid w:val="00E67D3E"/>
    <w:rsid w:val="00E67DC0"/>
    <w:rsid w:val="00E67E02"/>
    <w:rsid w:val="00E67EC8"/>
    <w:rsid w:val="00E67EDB"/>
    <w:rsid w:val="00E67FC7"/>
    <w:rsid w:val="00E70052"/>
    <w:rsid w:val="00E7007B"/>
    <w:rsid w:val="00E70098"/>
    <w:rsid w:val="00E70123"/>
    <w:rsid w:val="00E70146"/>
    <w:rsid w:val="00E70204"/>
    <w:rsid w:val="00E7025A"/>
    <w:rsid w:val="00E702E8"/>
    <w:rsid w:val="00E70376"/>
    <w:rsid w:val="00E703E6"/>
    <w:rsid w:val="00E7040E"/>
    <w:rsid w:val="00E70465"/>
    <w:rsid w:val="00E704DB"/>
    <w:rsid w:val="00E70569"/>
    <w:rsid w:val="00E706C3"/>
    <w:rsid w:val="00E707D4"/>
    <w:rsid w:val="00E708A4"/>
    <w:rsid w:val="00E708B9"/>
    <w:rsid w:val="00E708DF"/>
    <w:rsid w:val="00E70941"/>
    <w:rsid w:val="00E709C8"/>
    <w:rsid w:val="00E709CA"/>
    <w:rsid w:val="00E70AC7"/>
    <w:rsid w:val="00E70AEE"/>
    <w:rsid w:val="00E70B06"/>
    <w:rsid w:val="00E70BAC"/>
    <w:rsid w:val="00E70BEE"/>
    <w:rsid w:val="00E70C78"/>
    <w:rsid w:val="00E70CC8"/>
    <w:rsid w:val="00E70CCE"/>
    <w:rsid w:val="00E70DC9"/>
    <w:rsid w:val="00E70FA8"/>
    <w:rsid w:val="00E7101C"/>
    <w:rsid w:val="00E711A6"/>
    <w:rsid w:val="00E712BB"/>
    <w:rsid w:val="00E7130F"/>
    <w:rsid w:val="00E7132A"/>
    <w:rsid w:val="00E7132D"/>
    <w:rsid w:val="00E7145D"/>
    <w:rsid w:val="00E71502"/>
    <w:rsid w:val="00E71717"/>
    <w:rsid w:val="00E717BE"/>
    <w:rsid w:val="00E717EA"/>
    <w:rsid w:val="00E71851"/>
    <w:rsid w:val="00E718FF"/>
    <w:rsid w:val="00E71906"/>
    <w:rsid w:val="00E7195F"/>
    <w:rsid w:val="00E7197B"/>
    <w:rsid w:val="00E71989"/>
    <w:rsid w:val="00E719BE"/>
    <w:rsid w:val="00E71A20"/>
    <w:rsid w:val="00E71A9F"/>
    <w:rsid w:val="00E71ADD"/>
    <w:rsid w:val="00E71AE8"/>
    <w:rsid w:val="00E71AFE"/>
    <w:rsid w:val="00E71B04"/>
    <w:rsid w:val="00E71C07"/>
    <w:rsid w:val="00E71D1C"/>
    <w:rsid w:val="00E71D2C"/>
    <w:rsid w:val="00E71D3D"/>
    <w:rsid w:val="00E71D66"/>
    <w:rsid w:val="00E71D7D"/>
    <w:rsid w:val="00E71DB2"/>
    <w:rsid w:val="00E71DEE"/>
    <w:rsid w:val="00E71E21"/>
    <w:rsid w:val="00E71EBC"/>
    <w:rsid w:val="00E71F24"/>
    <w:rsid w:val="00E71F71"/>
    <w:rsid w:val="00E71FE9"/>
    <w:rsid w:val="00E72017"/>
    <w:rsid w:val="00E72092"/>
    <w:rsid w:val="00E721FB"/>
    <w:rsid w:val="00E72203"/>
    <w:rsid w:val="00E72220"/>
    <w:rsid w:val="00E722B7"/>
    <w:rsid w:val="00E722BC"/>
    <w:rsid w:val="00E722CA"/>
    <w:rsid w:val="00E722E7"/>
    <w:rsid w:val="00E72305"/>
    <w:rsid w:val="00E72471"/>
    <w:rsid w:val="00E725AC"/>
    <w:rsid w:val="00E7263F"/>
    <w:rsid w:val="00E72643"/>
    <w:rsid w:val="00E72684"/>
    <w:rsid w:val="00E726AC"/>
    <w:rsid w:val="00E726C1"/>
    <w:rsid w:val="00E72709"/>
    <w:rsid w:val="00E72755"/>
    <w:rsid w:val="00E727F4"/>
    <w:rsid w:val="00E72842"/>
    <w:rsid w:val="00E728C2"/>
    <w:rsid w:val="00E7299D"/>
    <w:rsid w:val="00E729FA"/>
    <w:rsid w:val="00E72A4D"/>
    <w:rsid w:val="00E72A93"/>
    <w:rsid w:val="00E72B5B"/>
    <w:rsid w:val="00E72BC8"/>
    <w:rsid w:val="00E72C54"/>
    <w:rsid w:val="00E72C63"/>
    <w:rsid w:val="00E72CD9"/>
    <w:rsid w:val="00E72D62"/>
    <w:rsid w:val="00E72DCF"/>
    <w:rsid w:val="00E72E01"/>
    <w:rsid w:val="00E72E11"/>
    <w:rsid w:val="00E72E6D"/>
    <w:rsid w:val="00E72FEF"/>
    <w:rsid w:val="00E73084"/>
    <w:rsid w:val="00E73117"/>
    <w:rsid w:val="00E732CF"/>
    <w:rsid w:val="00E7334B"/>
    <w:rsid w:val="00E7345F"/>
    <w:rsid w:val="00E73469"/>
    <w:rsid w:val="00E73495"/>
    <w:rsid w:val="00E73505"/>
    <w:rsid w:val="00E735CC"/>
    <w:rsid w:val="00E73624"/>
    <w:rsid w:val="00E73650"/>
    <w:rsid w:val="00E73653"/>
    <w:rsid w:val="00E73670"/>
    <w:rsid w:val="00E736F1"/>
    <w:rsid w:val="00E7371F"/>
    <w:rsid w:val="00E73901"/>
    <w:rsid w:val="00E73AD3"/>
    <w:rsid w:val="00E73B66"/>
    <w:rsid w:val="00E73C11"/>
    <w:rsid w:val="00E73C4F"/>
    <w:rsid w:val="00E73D04"/>
    <w:rsid w:val="00E73D56"/>
    <w:rsid w:val="00E73D9A"/>
    <w:rsid w:val="00E73DA0"/>
    <w:rsid w:val="00E73DBD"/>
    <w:rsid w:val="00E73DE5"/>
    <w:rsid w:val="00E73E02"/>
    <w:rsid w:val="00E73E38"/>
    <w:rsid w:val="00E73E76"/>
    <w:rsid w:val="00E73EA6"/>
    <w:rsid w:val="00E73ECA"/>
    <w:rsid w:val="00E73ED2"/>
    <w:rsid w:val="00E73FFE"/>
    <w:rsid w:val="00E740F1"/>
    <w:rsid w:val="00E74121"/>
    <w:rsid w:val="00E74156"/>
    <w:rsid w:val="00E74223"/>
    <w:rsid w:val="00E742A3"/>
    <w:rsid w:val="00E742CC"/>
    <w:rsid w:val="00E74398"/>
    <w:rsid w:val="00E74490"/>
    <w:rsid w:val="00E744A6"/>
    <w:rsid w:val="00E744CE"/>
    <w:rsid w:val="00E745D0"/>
    <w:rsid w:val="00E74645"/>
    <w:rsid w:val="00E74684"/>
    <w:rsid w:val="00E74693"/>
    <w:rsid w:val="00E746A1"/>
    <w:rsid w:val="00E746B1"/>
    <w:rsid w:val="00E74768"/>
    <w:rsid w:val="00E747FB"/>
    <w:rsid w:val="00E7480D"/>
    <w:rsid w:val="00E74835"/>
    <w:rsid w:val="00E748AF"/>
    <w:rsid w:val="00E7495F"/>
    <w:rsid w:val="00E7497A"/>
    <w:rsid w:val="00E74A50"/>
    <w:rsid w:val="00E74AAC"/>
    <w:rsid w:val="00E74B48"/>
    <w:rsid w:val="00E74B5F"/>
    <w:rsid w:val="00E74B76"/>
    <w:rsid w:val="00E74B7A"/>
    <w:rsid w:val="00E74B97"/>
    <w:rsid w:val="00E74BE7"/>
    <w:rsid w:val="00E74CE9"/>
    <w:rsid w:val="00E74D51"/>
    <w:rsid w:val="00E74D8F"/>
    <w:rsid w:val="00E74E4C"/>
    <w:rsid w:val="00E74E9B"/>
    <w:rsid w:val="00E74ED8"/>
    <w:rsid w:val="00E7505B"/>
    <w:rsid w:val="00E7505F"/>
    <w:rsid w:val="00E75105"/>
    <w:rsid w:val="00E75187"/>
    <w:rsid w:val="00E7518B"/>
    <w:rsid w:val="00E751C0"/>
    <w:rsid w:val="00E75257"/>
    <w:rsid w:val="00E75258"/>
    <w:rsid w:val="00E75293"/>
    <w:rsid w:val="00E752A9"/>
    <w:rsid w:val="00E752D8"/>
    <w:rsid w:val="00E7530D"/>
    <w:rsid w:val="00E75342"/>
    <w:rsid w:val="00E75374"/>
    <w:rsid w:val="00E753F9"/>
    <w:rsid w:val="00E75489"/>
    <w:rsid w:val="00E7549D"/>
    <w:rsid w:val="00E754F2"/>
    <w:rsid w:val="00E75567"/>
    <w:rsid w:val="00E75684"/>
    <w:rsid w:val="00E756A2"/>
    <w:rsid w:val="00E756C4"/>
    <w:rsid w:val="00E75707"/>
    <w:rsid w:val="00E7583C"/>
    <w:rsid w:val="00E7595D"/>
    <w:rsid w:val="00E7596D"/>
    <w:rsid w:val="00E759BA"/>
    <w:rsid w:val="00E75A06"/>
    <w:rsid w:val="00E75AB7"/>
    <w:rsid w:val="00E75B17"/>
    <w:rsid w:val="00E75BD7"/>
    <w:rsid w:val="00E75D74"/>
    <w:rsid w:val="00E75D7B"/>
    <w:rsid w:val="00E75DB5"/>
    <w:rsid w:val="00E75E27"/>
    <w:rsid w:val="00E75F2C"/>
    <w:rsid w:val="00E75F34"/>
    <w:rsid w:val="00E7601D"/>
    <w:rsid w:val="00E760A8"/>
    <w:rsid w:val="00E760D7"/>
    <w:rsid w:val="00E760DC"/>
    <w:rsid w:val="00E7610D"/>
    <w:rsid w:val="00E761F7"/>
    <w:rsid w:val="00E762A9"/>
    <w:rsid w:val="00E763CC"/>
    <w:rsid w:val="00E764E5"/>
    <w:rsid w:val="00E766DC"/>
    <w:rsid w:val="00E7677C"/>
    <w:rsid w:val="00E76799"/>
    <w:rsid w:val="00E76904"/>
    <w:rsid w:val="00E769C3"/>
    <w:rsid w:val="00E76A93"/>
    <w:rsid w:val="00E76AA4"/>
    <w:rsid w:val="00E76AE6"/>
    <w:rsid w:val="00E76C5B"/>
    <w:rsid w:val="00E76C8C"/>
    <w:rsid w:val="00E76CE5"/>
    <w:rsid w:val="00E76DC0"/>
    <w:rsid w:val="00E76F9E"/>
    <w:rsid w:val="00E76FC8"/>
    <w:rsid w:val="00E77046"/>
    <w:rsid w:val="00E77055"/>
    <w:rsid w:val="00E770BA"/>
    <w:rsid w:val="00E77180"/>
    <w:rsid w:val="00E77251"/>
    <w:rsid w:val="00E7728E"/>
    <w:rsid w:val="00E7730D"/>
    <w:rsid w:val="00E773AD"/>
    <w:rsid w:val="00E77406"/>
    <w:rsid w:val="00E774B7"/>
    <w:rsid w:val="00E774BC"/>
    <w:rsid w:val="00E774DD"/>
    <w:rsid w:val="00E7756F"/>
    <w:rsid w:val="00E77613"/>
    <w:rsid w:val="00E7768D"/>
    <w:rsid w:val="00E776FB"/>
    <w:rsid w:val="00E7775D"/>
    <w:rsid w:val="00E777E3"/>
    <w:rsid w:val="00E77815"/>
    <w:rsid w:val="00E778B9"/>
    <w:rsid w:val="00E77928"/>
    <w:rsid w:val="00E7797B"/>
    <w:rsid w:val="00E779CD"/>
    <w:rsid w:val="00E77A7E"/>
    <w:rsid w:val="00E77AF2"/>
    <w:rsid w:val="00E77B7A"/>
    <w:rsid w:val="00E77BA8"/>
    <w:rsid w:val="00E77BDE"/>
    <w:rsid w:val="00E77BFF"/>
    <w:rsid w:val="00E77C54"/>
    <w:rsid w:val="00E77CFE"/>
    <w:rsid w:val="00E77FB4"/>
    <w:rsid w:val="00E80068"/>
    <w:rsid w:val="00E800EC"/>
    <w:rsid w:val="00E80120"/>
    <w:rsid w:val="00E80164"/>
    <w:rsid w:val="00E802FE"/>
    <w:rsid w:val="00E80329"/>
    <w:rsid w:val="00E80394"/>
    <w:rsid w:val="00E804B4"/>
    <w:rsid w:val="00E804BD"/>
    <w:rsid w:val="00E804E4"/>
    <w:rsid w:val="00E80526"/>
    <w:rsid w:val="00E80561"/>
    <w:rsid w:val="00E80587"/>
    <w:rsid w:val="00E806CE"/>
    <w:rsid w:val="00E806D0"/>
    <w:rsid w:val="00E8084D"/>
    <w:rsid w:val="00E8087F"/>
    <w:rsid w:val="00E808E7"/>
    <w:rsid w:val="00E8097D"/>
    <w:rsid w:val="00E8098B"/>
    <w:rsid w:val="00E80A56"/>
    <w:rsid w:val="00E80B1C"/>
    <w:rsid w:val="00E80BE9"/>
    <w:rsid w:val="00E80BF6"/>
    <w:rsid w:val="00E80CD5"/>
    <w:rsid w:val="00E80D1F"/>
    <w:rsid w:val="00E80D3A"/>
    <w:rsid w:val="00E80D54"/>
    <w:rsid w:val="00E80D91"/>
    <w:rsid w:val="00E80DD7"/>
    <w:rsid w:val="00E80DDC"/>
    <w:rsid w:val="00E80E4E"/>
    <w:rsid w:val="00E80E81"/>
    <w:rsid w:val="00E80E93"/>
    <w:rsid w:val="00E80EDC"/>
    <w:rsid w:val="00E80F3E"/>
    <w:rsid w:val="00E80FE4"/>
    <w:rsid w:val="00E81097"/>
    <w:rsid w:val="00E810DC"/>
    <w:rsid w:val="00E81166"/>
    <w:rsid w:val="00E81185"/>
    <w:rsid w:val="00E811F2"/>
    <w:rsid w:val="00E81220"/>
    <w:rsid w:val="00E81380"/>
    <w:rsid w:val="00E813A0"/>
    <w:rsid w:val="00E8147E"/>
    <w:rsid w:val="00E81484"/>
    <w:rsid w:val="00E814F4"/>
    <w:rsid w:val="00E81567"/>
    <w:rsid w:val="00E815A6"/>
    <w:rsid w:val="00E8162B"/>
    <w:rsid w:val="00E81680"/>
    <w:rsid w:val="00E81755"/>
    <w:rsid w:val="00E817C6"/>
    <w:rsid w:val="00E817DD"/>
    <w:rsid w:val="00E817F1"/>
    <w:rsid w:val="00E81970"/>
    <w:rsid w:val="00E81975"/>
    <w:rsid w:val="00E819B1"/>
    <w:rsid w:val="00E81A40"/>
    <w:rsid w:val="00E81A66"/>
    <w:rsid w:val="00E81A7C"/>
    <w:rsid w:val="00E81A9B"/>
    <w:rsid w:val="00E81AC5"/>
    <w:rsid w:val="00E81AEC"/>
    <w:rsid w:val="00E81B1C"/>
    <w:rsid w:val="00E81BA7"/>
    <w:rsid w:val="00E81BB8"/>
    <w:rsid w:val="00E81BD4"/>
    <w:rsid w:val="00E81C02"/>
    <w:rsid w:val="00E81C0E"/>
    <w:rsid w:val="00E81C24"/>
    <w:rsid w:val="00E81C3C"/>
    <w:rsid w:val="00E81CC1"/>
    <w:rsid w:val="00E81CD6"/>
    <w:rsid w:val="00E81D40"/>
    <w:rsid w:val="00E81ECF"/>
    <w:rsid w:val="00E81EF4"/>
    <w:rsid w:val="00E81F21"/>
    <w:rsid w:val="00E81F28"/>
    <w:rsid w:val="00E81F48"/>
    <w:rsid w:val="00E81F4C"/>
    <w:rsid w:val="00E81FFC"/>
    <w:rsid w:val="00E82164"/>
    <w:rsid w:val="00E821FB"/>
    <w:rsid w:val="00E82390"/>
    <w:rsid w:val="00E8255F"/>
    <w:rsid w:val="00E82667"/>
    <w:rsid w:val="00E8276A"/>
    <w:rsid w:val="00E827BA"/>
    <w:rsid w:val="00E827C0"/>
    <w:rsid w:val="00E8286C"/>
    <w:rsid w:val="00E82962"/>
    <w:rsid w:val="00E82A6E"/>
    <w:rsid w:val="00E82AD0"/>
    <w:rsid w:val="00E82AE6"/>
    <w:rsid w:val="00E82B8D"/>
    <w:rsid w:val="00E82D70"/>
    <w:rsid w:val="00E82DC1"/>
    <w:rsid w:val="00E82E10"/>
    <w:rsid w:val="00E82E2E"/>
    <w:rsid w:val="00E82E97"/>
    <w:rsid w:val="00E82F9E"/>
    <w:rsid w:val="00E830FA"/>
    <w:rsid w:val="00E8312C"/>
    <w:rsid w:val="00E83173"/>
    <w:rsid w:val="00E83251"/>
    <w:rsid w:val="00E832E7"/>
    <w:rsid w:val="00E832FB"/>
    <w:rsid w:val="00E8331E"/>
    <w:rsid w:val="00E83322"/>
    <w:rsid w:val="00E8334B"/>
    <w:rsid w:val="00E83411"/>
    <w:rsid w:val="00E8341C"/>
    <w:rsid w:val="00E835B1"/>
    <w:rsid w:val="00E8362F"/>
    <w:rsid w:val="00E83635"/>
    <w:rsid w:val="00E83649"/>
    <w:rsid w:val="00E836AC"/>
    <w:rsid w:val="00E83735"/>
    <w:rsid w:val="00E837DE"/>
    <w:rsid w:val="00E837F8"/>
    <w:rsid w:val="00E83885"/>
    <w:rsid w:val="00E838E1"/>
    <w:rsid w:val="00E83944"/>
    <w:rsid w:val="00E83949"/>
    <w:rsid w:val="00E83980"/>
    <w:rsid w:val="00E83992"/>
    <w:rsid w:val="00E83A49"/>
    <w:rsid w:val="00E83AE5"/>
    <w:rsid w:val="00E83B16"/>
    <w:rsid w:val="00E83B1B"/>
    <w:rsid w:val="00E83B28"/>
    <w:rsid w:val="00E83B4C"/>
    <w:rsid w:val="00E83C2A"/>
    <w:rsid w:val="00E83CE7"/>
    <w:rsid w:val="00E83D90"/>
    <w:rsid w:val="00E83DC4"/>
    <w:rsid w:val="00E83DDB"/>
    <w:rsid w:val="00E83E32"/>
    <w:rsid w:val="00E83E69"/>
    <w:rsid w:val="00E83E94"/>
    <w:rsid w:val="00E83ECD"/>
    <w:rsid w:val="00E83F3F"/>
    <w:rsid w:val="00E83F82"/>
    <w:rsid w:val="00E83FD1"/>
    <w:rsid w:val="00E84012"/>
    <w:rsid w:val="00E84021"/>
    <w:rsid w:val="00E840A2"/>
    <w:rsid w:val="00E840A7"/>
    <w:rsid w:val="00E840CA"/>
    <w:rsid w:val="00E841D1"/>
    <w:rsid w:val="00E8431E"/>
    <w:rsid w:val="00E8445E"/>
    <w:rsid w:val="00E84466"/>
    <w:rsid w:val="00E844BD"/>
    <w:rsid w:val="00E84636"/>
    <w:rsid w:val="00E84727"/>
    <w:rsid w:val="00E8477D"/>
    <w:rsid w:val="00E847AE"/>
    <w:rsid w:val="00E847C5"/>
    <w:rsid w:val="00E8480A"/>
    <w:rsid w:val="00E8481F"/>
    <w:rsid w:val="00E84895"/>
    <w:rsid w:val="00E848E9"/>
    <w:rsid w:val="00E84904"/>
    <w:rsid w:val="00E84928"/>
    <w:rsid w:val="00E84958"/>
    <w:rsid w:val="00E84A3A"/>
    <w:rsid w:val="00E84A49"/>
    <w:rsid w:val="00E84A6B"/>
    <w:rsid w:val="00E84AB1"/>
    <w:rsid w:val="00E84ACD"/>
    <w:rsid w:val="00E84B06"/>
    <w:rsid w:val="00E84B61"/>
    <w:rsid w:val="00E84B97"/>
    <w:rsid w:val="00E84C8F"/>
    <w:rsid w:val="00E84C9F"/>
    <w:rsid w:val="00E84CA4"/>
    <w:rsid w:val="00E84CC9"/>
    <w:rsid w:val="00E84DDD"/>
    <w:rsid w:val="00E84DEB"/>
    <w:rsid w:val="00E84E88"/>
    <w:rsid w:val="00E84F64"/>
    <w:rsid w:val="00E84F9D"/>
    <w:rsid w:val="00E85008"/>
    <w:rsid w:val="00E85010"/>
    <w:rsid w:val="00E85047"/>
    <w:rsid w:val="00E850BB"/>
    <w:rsid w:val="00E850CF"/>
    <w:rsid w:val="00E85115"/>
    <w:rsid w:val="00E8513D"/>
    <w:rsid w:val="00E85166"/>
    <w:rsid w:val="00E85175"/>
    <w:rsid w:val="00E8520F"/>
    <w:rsid w:val="00E8521A"/>
    <w:rsid w:val="00E8522C"/>
    <w:rsid w:val="00E85274"/>
    <w:rsid w:val="00E852C5"/>
    <w:rsid w:val="00E85361"/>
    <w:rsid w:val="00E85362"/>
    <w:rsid w:val="00E85376"/>
    <w:rsid w:val="00E85447"/>
    <w:rsid w:val="00E85503"/>
    <w:rsid w:val="00E8551C"/>
    <w:rsid w:val="00E85551"/>
    <w:rsid w:val="00E856E5"/>
    <w:rsid w:val="00E85751"/>
    <w:rsid w:val="00E857F6"/>
    <w:rsid w:val="00E85855"/>
    <w:rsid w:val="00E858BD"/>
    <w:rsid w:val="00E858C8"/>
    <w:rsid w:val="00E858CA"/>
    <w:rsid w:val="00E858D9"/>
    <w:rsid w:val="00E85931"/>
    <w:rsid w:val="00E8594F"/>
    <w:rsid w:val="00E85960"/>
    <w:rsid w:val="00E8597E"/>
    <w:rsid w:val="00E859F3"/>
    <w:rsid w:val="00E85A89"/>
    <w:rsid w:val="00E85B01"/>
    <w:rsid w:val="00E85BD3"/>
    <w:rsid w:val="00E85CAF"/>
    <w:rsid w:val="00E85D4A"/>
    <w:rsid w:val="00E85EAD"/>
    <w:rsid w:val="00E85F56"/>
    <w:rsid w:val="00E85F5A"/>
    <w:rsid w:val="00E85FA3"/>
    <w:rsid w:val="00E85FA9"/>
    <w:rsid w:val="00E85FBB"/>
    <w:rsid w:val="00E85FEB"/>
    <w:rsid w:val="00E86149"/>
    <w:rsid w:val="00E8614A"/>
    <w:rsid w:val="00E86230"/>
    <w:rsid w:val="00E86315"/>
    <w:rsid w:val="00E86357"/>
    <w:rsid w:val="00E86424"/>
    <w:rsid w:val="00E86440"/>
    <w:rsid w:val="00E8645C"/>
    <w:rsid w:val="00E86577"/>
    <w:rsid w:val="00E865B7"/>
    <w:rsid w:val="00E865BE"/>
    <w:rsid w:val="00E865C9"/>
    <w:rsid w:val="00E866DA"/>
    <w:rsid w:val="00E866E6"/>
    <w:rsid w:val="00E8674E"/>
    <w:rsid w:val="00E86762"/>
    <w:rsid w:val="00E867F5"/>
    <w:rsid w:val="00E8681C"/>
    <w:rsid w:val="00E868DB"/>
    <w:rsid w:val="00E868FA"/>
    <w:rsid w:val="00E86A2B"/>
    <w:rsid w:val="00E86A44"/>
    <w:rsid w:val="00E86A5B"/>
    <w:rsid w:val="00E86AD3"/>
    <w:rsid w:val="00E86BCE"/>
    <w:rsid w:val="00E86BEB"/>
    <w:rsid w:val="00E86BF7"/>
    <w:rsid w:val="00E86D0D"/>
    <w:rsid w:val="00E86D40"/>
    <w:rsid w:val="00E86DF1"/>
    <w:rsid w:val="00E86DFB"/>
    <w:rsid w:val="00E86E89"/>
    <w:rsid w:val="00E86F13"/>
    <w:rsid w:val="00E86F7D"/>
    <w:rsid w:val="00E86F80"/>
    <w:rsid w:val="00E86FC9"/>
    <w:rsid w:val="00E86FF9"/>
    <w:rsid w:val="00E87004"/>
    <w:rsid w:val="00E8702B"/>
    <w:rsid w:val="00E8706D"/>
    <w:rsid w:val="00E87096"/>
    <w:rsid w:val="00E871F5"/>
    <w:rsid w:val="00E8721A"/>
    <w:rsid w:val="00E87242"/>
    <w:rsid w:val="00E87358"/>
    <w:rsid w:val="00E873B1"/>
    <w:rsid w:val="00E8743B"/>
    <w:rsid w:val="00E875CC"/>
    <w:rsid w:val="00E87600"/>
    <w:rsid w:val="00E87632"/>
    <w:rsid w:val="00E876D5"/>
    <w:rsid w:val="00E87701"/>
    <w:rsid w:val="00E87787"/>
    <w:rsid w:val="00E8778E"/>
    <w:rsid w:val="00E8778F"/>
    <w:rsid w:val="00E8781B"/>
    <w:rsid w:val="00E8786B"/>
    <w:rsid w:val="00E878B7"/>
    <w:rsid w:val="00E878D6"/>
    <w:rsid w:val="00E87909"/>
    <w:rsid w:val="00E87918"/>
    <w:rsid w:val="00E87939"/>
    <w:rsid w:val="00E87A2F"/>
    <w:rsid w:val="00E87A52"/>
    <w:rsid w:val="00E87B4E"/>
    <w:rsid w:val="00E87B6D"/>
    <w:rsid w:val="00E87BCC"/>
    <w:rsid w:val="00E87C3A"/>
    <w:rsid w:val="00E87CFD"/>
    <w:rsid w:val="00E87D24"/>
    <w:rsid w:val="00E87D9F"/>
    <w:rsid w:val="00E87DA8"/>
    <w:rsid w:val="00E87DC7"/>
    <w:rsid w:val="00E87E0D"/>
    <w:rsid w:val="00E87E1C"/>
    <w:rsid w:val="00E87E4C"/>
    <w:rsid w:val="00E87EC2"/>
    <w:rsid w:val="00E87EF3"/>
    <w:rsid w:val="00E9016B"/>
    <w:rsid w:val="00E90237"/>
    <w:rsid w:val="00E902C1"/>
    <w:rsid w:val="00E902C9"/>
    <w:rsid w:val="00E9038C"/>
    <w:rsid w:val="00E9046F"/>
    <w:rsid w:val="00E90473"/>
    <w:rsid w:val="00E90691"/>
    <w:rsid w:val="00E90752"/>
    <w:rsid w:val="00E90762"/>
    <w:rsid w:val="00E9077B"/>
    <w:rsid w:val="00E90786"/>
    <w:rsid w:val="00E907C5"/>
    <w:rsid w:val="00E907E8"/>
    <w:rsid w:val="00E907FE"/>
    <w:rsid w:val="00E90800"/>
    <w:rsid w:val="00E90830"/>
    <w:rsid w:val="00E90871"/>
    <w:rsid w:val="00E90921"/>
    <w:rsid w:val="00E90961"/>
    <w:rsid w:val="00E909F8"/>
    <w:rsid w:val="00E90A0B"/>
    <w:rsid w:val="00E90A99"/>
    <w:rsid w:val="00E90AA1"/>
    <w:rsid w:val="00E90B2C"/>
    <w:rsid w:val="00E90B4A"/>
    <w:rsid w:val="00E90BB7"/>
    <w:rsid w:val="00E90BCB"/>
    <w:rsid w:val="00E90C4C"/>
    <w:rsid w:val="00E90CEE"/>
    <w:rsid w:val="00E90D75"/>
    <w:rsid w:val="00E90D96"/>
    <w:rsid w:val="00E90DA9"/>
    <w:rsid w:val="00E90EEE"/>
    <w:rsid w:val="00E90F99"/>
    <w:rsid w:val="00E90FFA"/>
    <w:rsid w:val="00E91056"/>
    <w:rsid w:val="00E9118D"/>
    <w:rsid w:val="00E911C9"/>
    <w:rsid w:val="00E91207"/>
    <w:rsid w:val="00E912B0"/>
    <w:rsid w:val="00E9134F"/>
    <w:rsid w:val="00E91379"/>
    <w:rsid w:val="00E913D3"/>
    <w:rsid w:val="00E913E4"/>
    <w:rsid w:val="00E91517"/>
    <w:rsid w:val="00E915F7"/>
    <w:rsid w:val="00E9160E"/>
    <w:rsid w:val="00E91636"/>
    <w:rsid w:val="00E916A9"/>
    <w:rsid w:val="00E916DD"/>
    <w:rsid w:val="00E916DF"/>
    <w:rsid w:val="00E916EB"/>
    <w:rsid w:val="00E9186F"/>
    <w:rsid w:val="00E91881"/>
    <w:rsid w:val="00E918E5"/>
    <w:rsid w:val="00E9192F"/>
    <w:rsid w:val="00E91952"/>
    <w:rsid w:val="00E91A5A"/>
    <w:rsid w:val="00E91AE7"/>
    <w:rsid w:val="00E91B1B"/>
    <w:rsid w:val="00E91B34"/>
    <w:rsid w:val="00E91BB2"/>
    <w:rsid w:val="00E91BC7"/>
    <w:rsid w:val="00E91C05"/>
    <w:rsid w:val="00E91C07"/>
    <w:rsid w:val="00E91C79"/>
    <w:rsid w:val="00E91CCF"/>
    <w:rsid w:val="00E91D2C"/>
    <w:rsid w:val="00E91D61"/>
    <w:rsid w:val="00E91E01"/>
    <w:rsid w:val="00E91E80"/>
    <w:rsid w:val="00E91EAA"/>
    <w:rsid w:val="00E91F40"/>
    <w:rsid w:val="00E92089"/>
    <w:rsid w:val="00E920E3"/>
    <w:rsid w:val="00E92145"/>
    <w:rsid w:val="00E92190"/>
    <w:rsid w:val="00E921F1"/>
    <w:rsid w:val="00E921F7"/>
    <w:rsid w:val="00E92252"/>
    <w:rsid w:val="00E922E5"/>
    <w:rsid w:val="00E924C5"/>
    <w:rsid w:val="00E9250B"/>
    <w:rsid w:val="00E9253E"/>
    <w:rsid w:val="00E92559"/>
    <w:rsid w:val="00E925B7"/>
    <w:rsid w:val="00E9265E"/>
    <w:rsid w:val="00E927D0"/>
    <w:rsid w:val="00E92830"/>
    <w:rsid w:val="00E92878"/>
    <w:rsid w:val="00E9296F"/>
    <w:rsid w:val="00E92A12"/>
    <w:rsid w:val="00E92A1B"/>
    <w:rsid w:val="00E92A3D"/>
    <w:rsid w:val="00E92AD8"/>
    <w:rsid w:val="00E92B70"/>
    <w:rsid w:val="00E92BD9"/>
    <w:rsid w:val="00E92BEE"/>
    <w:rsid w:val="00E92C3E"/>
    <w:rsid w:val="00E92E7B"/>
    <w:rsid w:val="00E92EA6"/>
    <w:rsid w:val="00E92EC5"/>
    <w:rsid w:val="00E92ED5"/>
    <w:rsid w:val="00E92F3F"/>
    <w:rsid w:val="00E92F74"/>
    <w:rsid w:val="00E93017"/>
    <w:rsid w:val="00E930BB"/>
    <w:rsid w:val="00E930CE"/>
    <w:rsid w:val="00E930E9"/>
    <w:rsid w:val="00E930F0"/>
    <w:rsid w:val="00E93165"/>
    <w:rsid w:val="00E9321D"/>
    <w:rsid w:val="00E93263"/>
    <w:rsid w:val="00E93271"/>
    <w:rsid w:val="00E93281"/>
    <w:rsid w:val="00E93297"/>
    <w:rsid w:val="00E93325"/>
    <w:rsid w:val="00E933F8"/>
    <w:rsid w:val="00E93489"/>
    <w:rsid w:val="00E934B9"/>
    <w:rsid w:val="00E93579"/>
    <w:rsid w:val="00E93705"/>
    <w:rsid w:val="00E937A2"/>
    <w:rsid w:val="00E93828"/>
    <w:rsid w:val="00E93938"/>
    <w:rsid w:val="00E93967"/>
    <w:rsid w:val="00E93977"/>
    <w:rsid w:val="00E93B0B"/>
    <w:rsid w:val="00E93B2E"/>
    <w:rsid w:val="00E93B38"/>
    <w:rsid w:val="00E93B82"/>
    <w:rsid w:val="00E93C0D"/>
    <w:rsid w:val="00E93CB6"/>
    <w:rsid w:val="00E93DE9"/>
    <w:rsid w:val="00E93DF7"/>
    <w:rsid w:val="00E9405A"/>
    <w:rsid w:val="00E94165"/>
    <w:rsid w:val="00E9418A"/>
    <w:rsid w:val="00E9424C"/>
    <w:rsid w:val="00E9431D"/>
    <w:rsid w:val="00E943A6"/>
    <w:rsid w:val="00E943C7"/>
    <w:rsid w:val="00E943E2"/>
    <w:rsid w:val="00E943EA"/>
    <w:rsid w:val="00E943EC"/>
    <w:rsid w:val="00E94471"/>
    <w:rsid w:val="00E944B9"/>
    <w:rsid w:val="00E945CF"/>
    <w:rsid w:val="00E94623"/>
    <w:rsid w:val="00E946A8"/>
    <w:rsid w:val="00E946DA"/>
    <w:rsid w:val="00E946F8"/>
    <w:rsid w:val="00E9470C"/>
    <w:rsid w:val="00E947B6"/>
    <w:rsid w:val="00E9485B"/>
    <w:rsid w:val="00E948B8"/>
    <w:rsid w:val="00E948C9"/>
    <w:rsid w:val="00E94917"/>
    <w:rsid w:val="00E94A51"/>
    <w:rsid w:val="00E94AB0"/>
    <w:rsid w:val="00E94BF4"/>
    <w:rsid w:val="00E94C21"/>
    <w:rsid w:val="00E94DCC"/>
    <w:rsid w:val="00E94E84"/>
    <w:rsid w:val="00E94ED2"/>
    <w:rsid w:val="00E94F5D"/>
    <w:rsid w:val="00E94FE2"/>
    <w:rsid w:val="00E94FE8"/>
    <w:rsid w:val="00E95064"/>
    <w:rsid w:val="00E95171"/>
    <w:rsid w:val="00E9517C"/>
    <w:rsid w:val="00E95193"/>
    <w:rsid w:val="00E95239"/>
    <w:rsid w:val="00E95363"/>
    <w:rsid w:val="00E953B4"/>
    <w:rsid w:val="00E95413"/>
    <w:rsid w:val="00E95435"/>
    <w:rsid w:val="00E95562"/>
    <w:rsid w:val="00E9576B"/>
    <w:rsid w:val="00E9577E"/>
    <w:rsid w:val="00E95783"/>
    <w:rsid w:val="00E957A6"/>
    <w:rsid w:val="00E957E4"/>
    <w:rsid w:val="00E95832"/>
    <w:rsid w:val="00E9585A"/>
    <w:rsid w:val="00E95965"/>
    <w:rsid w:val="00E95994"/>
    <w:rsid w:val="00E95A36"/>
    <w:rsid w:val="00E95A4B"/>
    <w:rsid w:val="00E95AA8"/>
    <w:rsid w:val="00E95BD8"/>
    <w:rsid w:val="00E95D2A"/>
    <w:rsid w:val="00E95D83"/>
    <w:rsid w:val="00E95DA3"/>
    <w:rsid w:val="00E95DCC"/>
    <w:rsid w:val="00E95E0F"/>
    <w:rsid w:val="00E95EB2"/>
    <w:rsid w:val="00E95EB6"/>
    <w:rsid w:val="00E95F47"/>
    <w:rsid w:val="00E9608E"/>
    <w:rsid w:val="00E961E8"/>
    <w:rsid w:val="00E962AB"/>
    <w:rsid w:val="00E962FF"/>
    <w:rsid w:val="00E963C8"/>
    <w:rsid w:val="00E96487"/>
    <w:rsid w:val="00E96490"/>
    <w:rsid w:val="00E9651D"/>
    <w:rsid w:val="00E96547"/>
    <w:rsid w:val="00E96552"/>
    <w:rsid w:val="00E9655D"/>
    <w:rsid w:val="00E9656D"/>
    <w:rsid w:val="00E965D1"/>
    <w:rsid w:val="00E9661B"/>
    <w:rsid w:val="00E96689"/>
    <w:rsid w:val="00E966E3"/>
    <w:rsid w:val="00E9670F"/>
    <w:rsid w:val="00E96823"/>
    <w:rsid w:val="00E968B4"/>
    <w:rsid w:val="00E96921"/>
    <w:rsid w:val="00E96925"/>
    <w:rsid w:val="00E96962"/>
    <w:rsid w:val="00E969AA"/>
    <w:rsid w:val="00E96AE9"/>
    <w:rsid w:val="00E96B25"/>
    <w:rsid w:val="00E96B90"/>
    <w:rsid w:val="00E96C4B"/>
    <w:rsid w:val="00E96C6B"/>
    <w:rsid w:val="00E96C6E"/>
    <w:rsid w:val="00E96D18"/>
    <w:rsid w:val="00E96D68"/>
    <w:rsid w:val="00E96DFC"/>
    <w:rsid w:val="00E96E05"/>
    <w:rsid w:val="00E96EE9"/>
    <w:rsid w:val="00E96EEF"/>
    <w:rsid w:val="00E96F61"/>
    <w:rsid w:val="00E96F79"/>
    <w:rsid w:val="00E97021"/>
    <w:rsid w:val="00E97049"/>
    <w:rsid w:val="00E97100"/>
    <w:rsid w:val="00E971EF"/>
    <w:rsid w:val="00E97234"/>
    <w:rsid w:val="00E9733E"/>
    <w:rsid w:val="00E97399"/>
    <w:rsid w:val="00E97421"/>
    <w:rsid w:val="00E974C3"/>
    <w:rsid w:val="00E974F3"/>
    <w:rsid w:val="00E9763C"/>
    <w:rsid w:val="00E9769C"/>
    <w:rsid w:val="00E9776E"/>
    <w:rsid w:val="00E977AD"/>
    <w:rsid w:val="00E9783B"/>
    <w:rsid w:val="00E97A4E"/>
    <w:rsid w:val="00E97A5F"/>
    <w:rsid w:val="00E97AC1"/>
    <w:rsid w:val="00E97ACC"/>
    <w:rsid w:val="00E97D6A"/>
    <w:rsid w:val="00E97DCD"/>
    <w:rsid w:val="00E97DD3"/>
    <w:rsid w:val="00E97FE1"/>
    <w:rsid w:val="00E97FEA"/>
    <w:rsid w:val="00EA0001"/>
    <w:rsid w:val="00EA00DE"/>
    <w:rsid w:val="00EA01CE"/>
    <w:rsid w:val="00EA01F9"/>
    <w:rsid w:val="00EA027A"/>
    <w:rsid w:val="00EA02DC"/>
    <w:rsid w:val="00EA030E"/>
    <w:rsid w:val="00EA03A8"/>
    <w:rsid w:val="00EA0402"/>
    <w:rsid w:val="00EA0438"/>
    <w:rsid w:val="00EA0560"/>
    <w:rsid w:val="00EA0578"/>
    <w:rsid w:val="00EA0586"/>
    <w:rsid w:val="00EA061D"/>
    <w:rsid w:val="00EA0718"/>
    <w:rsid w:val="00EA075F"/>
    <w:rsid w:val="00EA0774"/>
    <w:rsid w:val="00EA0821"/>
    <w:rsid w:val="00EA0864"/>
    <w:rsid w:val="00EA0897"/>
    <w:rsid w:val="00EA08A9"/>
    <w:rsid w:val="00EA08E5"/>
    <w:rsid w:val="00EA09D0"/>
    <w:rsid w:val="00EA09D6"/>
    <w:rsid w:val="00EA09E4"/>
    <w:rsid w:val="00EA09FB"/>
    <w:rsid w:val="00EA0A23"/>
    <w:rsid w:val="00EA0A42"/>
    <w:rsid w:val="00EA0A81"/>
    <w:rsid w:val="00EA0A83"/>
    <w:rsid w:val="00EA0ABF"/>
    <w:rsid w:val="00EA0BCB"/>
    <w:rsid w:val="00EA0C17"/>
    <w:rsid w:val="00EA0CB0"/>
    <w:rsid w:val="00EA0CD6"/>
    <w:rsid w:val="00EA0D10"/>
    <w:rsid w:val="00EA0D30"/>
    <w:rsid w:val="00EA0D5D"/>
    <w:rsid w:val="00EA0E2B"/>
    <w:rsid w:val="00EA0E37"/>
    <w:rsid w:val="00EA0ECC"/>
    <w:rsid w:val="00EA0ED3"/>
    <w:rsid w:val="00EA0F0F"/>
    <w:rsid w:val="00EA0FB7"/>
    <w:rsid w:val="00EA1026"/>
    <w:rsid w:val="00EA1040"/>
    <w:rsid w:val="00EA1058"/>
    <w:rsid w:val="00EA1096"/>
    <w:rsid w:val="00EA10AC"/>
    <w:rsid w:val="00EA114F"/>
    <w:rsid w:val="00EA11F1"/>
    <w:rsid w:val="00EA1202"/>
    <w:rsid w:val="00EA12CF"/>
    <w:rsid w:val="00EA146F"/>
    <w:rsid w:val="00EA150E"/>
    <w:rsid w:val="00EA1629"/>
    <w:rsid w:val="00EA1632"/>
    <w:rsid w:val="00EA16B4"/>
    <w:rsid w:val="00EA16C4"/>
    <w:rsid w:val="00EA17B8"/>
    <w:rsid w:val="00EA1808"/>
    <w:rsid w:val="00EA1827"/>
    <w:rsid w:val="00EA18C3"/>
    <w:rsid w:val="00EA18E3"/>
    <w:rsid w:val="00EA18F5"/>
    <w:rsid w:val="00EA19A7"/>
    <w:rsid w:val="00EA1A88"/>
    <w:rsid w:val="00EA1AA9"/>
    <w:rsid w:val="00EA1B05"/>
    <w:rsid w:val="00EA1B23"/>
    <w:rsid w:val="00EA1B51"/>
    <w:rsid w:val="00EA1B55"/>
    <w:rsid w:val="00EA1B61"/>
    <w:rsid w:val="00EA1D23"/>
    <w:rsid w:val="00EA1E1C"/>
    <w:rsid w:val="00EA1E6C"/>
    <w:rsid w:val="00EA1E93"/>
    <w:rsid w:val="00EA1F14"/>
    <w:rsid w:val="00EA1F4A"/>
    <w:rsid w:val="00EA1F55"/>
    <w:rsid w:val="00EA1FA8"/>
    <w:rsid w:val="00EA23CA"/>
    <w:rsid w:val="00EA2476"/>
    <w:rsid w:val="00EA24BE"/>
    <w:rsid w:val="00EA24DB"/>
    <w:rsid w:val="00EA26D6"/>
    <w:rsid w:val="00EA26EF"/>
    <w:rsid w:val="00EA274A"/>
    <w:rsid w:val="00EA274E"/>
    <w:rsid w:val="00EA27A4"/>
    <w:rsid w:val="00EA280B"/>
    <w:rsid w:val="00EA2887"/>
    <w:rsid w:val="00EA28CC"/>
    <w:rsid w:val="00EA290E"/>
    <w:rsid w:val="00EA296B"/>
    <w:rsid w:val="00EA297A"/>
    <w:rsid w:val="00EA297C"/>
    <w:rsid w:val="00EA29AB"/>
    <w:rsid w:val="00EA2A60"/>
    <w:rsid w:val="00EA2AA0"/>
    <w:rsid w:val="00EA2C1E"/>
    <w:rsid w:val="00EA2C3F"/>
    <w:rsid w:val="00EA2D6D"/>
    <w:rsid w:val="00EA2D74"/>
    <w:rsid w:val="00EA2DD8"/>
    <w:rsid w:val="00EA2E19"/>
    <w:rsid w:val="00EA2E35"/>
    <w:rsid w:val="00EA2E55"/>
    <w:rsid w:val="00EA2EAE"/>
    <w:rsid w:val="00EA2EB3"/>
    <w:rsid w:val="00EA2F6B"/>
    <w:rsid w:val="00EA2FC9"/>
    <w:rsid w:val="00EA302E"/>
    <w:rsid w:val="00EA3059"/>
    <w:rsid w:val="00EA312E"/>
    <w:rsid w:val="00EA3162"/>
    <w:rsid w:val="00EA3242"/>
    <w:rsid w:val="00EA326E"/>
    <w:rsid w:val="00EA3282"/>
    <w:rsid w:val="00EA3385"/>
    <w:rsid w:val="00EA33A5"/>
    <w:rsid w:val="00EA33F9"/>
    <w:rsid w:val="00EA3480"/>
    <w:rsid w:val="00EA34EC"/>
    <w:rsid w:val="00EA3520"/>
    <w:rsid w:val="00EA35E1"/>
    <w:rsid w:val="00EA3660"/>
    <w:rsid w:val="00EA3781"/>
    <w:rsid w:val="00EA3793"/>
    <w:rsid w:val="00EA37A7"/>
    <w:rsid w:val="00EA3834"/>
    <w:rsid w:val="00EA3893"/>
    <w:rsid w:val="00EA3929"/>
    <w:rsid w:val="00EA39E5"/>
    <w:rsid w:val="00EA3A09"/>
    <w:rsid w:val="00EA3A0E"/>
    <w:rsid w:val="00EA3C21"/>
    <w:rsid w:val="00EA3C5C"/>
    <w:rsid w:val="00EA3CB4"/>
    <w:rsid w:val="00EA3CF8"/>
    <w:rsid w:val="00EA3D45"/>
    <w:rsid w:val="00EA3DBB"/>
    <w:rsid w:val="00EA3E16"/>
    <w:rsid w:val="00EA3EB6"/>
    <w:rsid w:val="00EA3EE0"/>
    <w:rsid w:val="00EA400A"/>
    <w:rsid w:val="00EA4091"/>
    <w:rsid w:val="00EA40E4"/>
    <w:rsid w:val="00EA41B6"/>
    <w:rsid w:val="00EA41C7"/>
    <w:rsid w:val="00EA41F1"/>
    <w:rsid w:val="00EA42D6"/>
    <w:rsid w:val="00EA45DA"/>
    <w:rsid w:val="00EA45E3"/>
    <w:rsid w:val="00EA464A"/>
    <w:rsid w:val="00EA4663"/>
    <w:rsid w:val="00EA46FD"/>
    <w:rsid w:val="00EA4845"/>
    <w:rsid w:val="00EA4868"/>
    <w:rsid w:val="00EA48B4"/>
    <w:rsid w:val="00EA48D8"/>
    <w:rsid w:val="00EA48F3"/>
    <w:rsid w:val="00EA4901"/>
    <w:rsid w:val="00EA49DA"/>
    <w:rsid w:val="00EA4A4B"/>
    <w:rsid w:val="00EA4A6F"/>
    <w:rsid w:val="00EA4AB6"/>
    <w:rsid w:val="00EA4B4F"/>
    <w:rsid w:val="00EA4B65"/>
    <w:rsid w:val="00EA4BFF"/>
    <w:rsid w:val="00EA4DEB"/>
    <w:rsid w:val="00EA4E78"/>
    <w:rsid w:val="00EA4F70"/>
    <w:rsid w:val="00EA4FCF"/>
    <w:rsid w:val="00EA5102"/>
    <w:rsid w:val="00EA5131"/>
    <w:rsid w:val="00EA515C"/>
    <w:rsid w:val="00EA5163"/>
    <w:rsid w:val="00EA52C6"/>
    <w:rsid w:val="00EA5301"/>
    <w:rsid w:val="00EA5438"/>
    <w:rsid w:val="00EA54F1"/>
    <w:rsid w:val="00EA5568"/>
    <w:rsid w:val="00EA5659"/>
    <w:rsid w:val="00EA57AC"/>
    <w:rsid w:val="00EA57F0"/>
    <w:rsid w:val="00EA586E"/>
    <w:rsid w:val="00EA5875"/>
    <w:rsid w:val="00EA5906"/>
    <w:rsid w:val="00EA597D"/>
    <w:rsid w:val="00EA5A60"/>
    <w:rsid w:val="00EA5AFD"/>
    <w:rsid w:val="00EA5B45"/>
    <w:rsid w:val="00EA5BF8"/>
    <w:rsid w:val="00EA5C56"/>
    <w:rsid w:val="00EA5CF5"/>
    <w:rsid w:val="00EA5D18"/>
    <w:rsid w:val="00EA5DAF"/>
    <w:rsid w:val="00EA5EBD"/>
    <w:rsid w:val="00EA5F2E"/>
    <w:rsid w:val="00EA5F80"/>
    <w:rsid w:val="00EA5F9C"/>
    <w:rsid w:val="00EA5FAF"/>
    <w:rsid w:val="00EA5FCF"/>
    <w:rsid w:val="00EA604C"/>
    <w:rsid w:val="00EA6054"/>
    <w:rsid w:val="00EA623A"/>
    <w:rsid w:val="00EA62F7"/>
    <w:rsid w:val="00EA62FF"/>
    <w:rsid w:val="00EA63BF"/>
    <w:rsid w:val="00EA6426"/>
    <w:rsid w:val="00EA6432"/>
    <w:rsid w:val="00EA6434"/>
    <w:rsid w:val="00EA6470"/>
    <w:rsid w:val="00EA64A7"/>
    <w:rsid w:val="00EA6508"/>
    <w:rsid w:val="00EA651B"/>
    <w:rsid w:val="00EA651E"/>
    <w:rsid w:val="00EA65B4"/>
    <w:rsid w:val="00EA666A"/>
    <w:rsid w:val="00EA6710"/>
    <w:rsid w:val="00EA6720"/>
    <w:rsid w:val="00EA67C0"/>
    <w:rsid w:val="00EA680B"/>
    <w:rsid w:val="00EA682C"/>
    <w:rsid w:val="00EA6890"/>
    <w:rsid w:val="00EA6921"/>
    <w:rsid w:val="00EA6979"/>
    <w:rsid w:val="00EA699C"/>
    <w:rsid w:val="00EA6A43"/>
    <w:rsid w:val="00EA6A7C"/>
    <w:rsid w:val="00EA6AAA"/>
    <w:rsid w:val="00EA6AC2"/>
    <w:rsid w:val="00EA6AC6"/>
    <w:rsid w:val="00EA6BB7"/>
    <w:rsid w:val="00EA6BC2"/>
    <w:rsid w:val="00EA6BDA"/>
    <w:rsid w:val="00EA6C10"/>
    <w:rsid w:val="00EA6C2A"/>
    <w:rsid w:val="00EA6C39"/>
    <w:rsid w:val="00EA6DA2"/>
    <w:rsid w:val="00EA6E0F"/>
    <w:rsid w:val="00EA6E14"/>
    <w:rsid w:val="00EA6E2A"/>
    <w:rsid w:val="00EA6EAD"/>
    <w:rsid w:val="00EA6EFE"/>
    <w:rsid w:val="00EA70B7"/>
    <w:rsid w:val="00EA7108"/>
    <w:rsid w:val="00EA71F2"/>
    <w:rsid w:val="00EA72DC"/>
    <w:rsid w:val="00EA73A4"/>
    <w:rsid w:val="00EA741A"/>
    <w:rsid w:val="00EA7427"/>
    <w:rsid w:val="00EA742F"/>
    <w:rsid w:val="00EA74C8"/>
    <w:rsid w:val="00EA7602"/>
    <w:rsid w:val="00EA76EF"/>
    <w:rsid w:val="00EA7716"/>
    <w:rsid w:val="00EA7770"/>
    <w:rsid w:val="00EA778A"/>
    <w:rsid w:val="00EA77B9"/>
    <w:rsid w:val="00EA77F6"/>
    <w:rsid w:val="00EA7864"/>
    <w:rsid w:val="00EA78B4"/>
    <w:rsid w:val="00EA79EB"/>
    <w:rsid w:val="00EA7A5F"/>
    <w:rsid w:val="00EA7B73"/>
    <w:rsid w:val="00EA7B92"/>
    <w:rsid w:val="00EA7C5F"/>
    <w:rsid w:val="00EA7D47"/>
    <w:rsid w:val="00EA7DB7"/>
    <w:rsid w:val="00EA7E57"/>
    <w:rsid w:val="00EA7E67"/>
    <w:rsid w:val="00EA7E87"/>
    <w:rsid w:val="00EA7F3A"/>
    <w:rsid w:val="00EB0037"/>
    <w:rsid w:val="00EB0045"/>
    <w:rsid w:val="00EB0046"/>
    <w:rsid w:val="00EB004F"/>
    <w:rsid w:val="00EB0051"/>
    <w:rsid w:val="00EB00D5"/>
    <w:rsid w:val="00EB00F7"/>
    <w:rsid w:val="00EB0254"/>
    <w:rsid w:val="00EB025A"/>
    <w:rsid w:val="00EB025C"/>
    <w:rsid w:val="00EB0260"/>
    <w:rsid w:val="00EB03F2"/>
    <w:rsid w:val="00EB046A"/>
    <w:rsid w:val="00EB0494"/>
    <w:rsid w:val="00EB04C6"/>
    <w:rsid w:val="00EB04CF"/>
    <w:rsid w:val="00EB04D8"/>
    <w:rsid w:val="00EB0597"/>
    <w:rsid w:val="00EB059C"/>
    <w:rsid w:val="00EB0722"/>
    <w:rsid w:val="00EB074F"/>
    <w:rsid w:val="00EB07D8"/>
    <w:rsid w:val="00EB0854"/>
    <w:rsid w:val="00EB0923"/>
    <w:rsid w:val="00EB098A"/>
    <w:rsid w:val="00EB0A25"/>
    <w:rsid w:val="00EB0A65"/>
    <w:rsid w:val="00EB0A87"/>
    <w:rsid w:val="00EB0B38"/>
    <w:rsid w:val="00EB0BB0"/>
    <w:rsid w:val="00EB0BB8"/>
    <w:rsid w:val="00EB0BB9"/>
    <w:rsid w:val="00EB0BD8"/>
    <w:rsid w:val="00EB0C58"/>
    <w:rsid w:val="00EB0D02"/>
    <w:rsid w:val="00EB0D24"/>
    <w:rsid w:val="00EB0D48"/>
    <w:rsid w:val="00EB0DA5"/>
    <w:rsid w:val="00EB0DFC"/>
    <w:rsid w:val="00EB0E0B"/>
    <w:rsid w:val="00EB0E10"/>
    <w:rsid w:val="00EB0E2E"/>
    <w:rsid w:val="00EB0E3F"/>
    <w:rsid w:val="00EB0E86"/>
    <w:rsid w:val="00EB0EAB"/>
    <w:rsid w:val="00EB0ECD"/>
    <w:rsid w:val="00EB0F99"/>
    <w:rsid w:val="00EB1023"/>
    <w:rsid w:val="00EB1082"/>
    <w:rsid w:val="00EB10C3"/>
    <w:rsid w:val="00EB1108"/>
    <w:rsid w:val="00EB1170"/>
    <w:rsid w:val="00EB1172"/>
    <w:rsid w:val="00EB11B7"/>
    <w:rsid w:val="00EB121F"/>
    <w:rsid w:val="00EB1247"/>
    <w:rsid w:val="00EB12A7"/>
    <w:rsid w:val="00EB12BB"/>
    <w:rsid w:val="00EB132B"/>
    <w:rsid w:val="00EB136A"/>
    <w:rsid w:val="00EB14DC"/>
    <w:rsid w:val="00EB151F"/>
    <w:rsid w:val="00EB15D5"/>
    <w:rsid w:val="00EB17C0"/>
    <w:rsid w:val="00EB17FF"/>
    <w:rsid w:val="00EB1880"/>
    <w:rsid w:val="00EB197F"/>
    <w:rsid w:val="00EB198F"/>
    <w:rsid w:val="00EB19AF"/>
    <w:rsid w:val="00EB19C7"/>
    <w:rsid w:val="00EB19FA"/>
    <w:rsid w:val="00EB1A1F"/>
    <w:rsid w:val="00EB1A93"/>
    <w:rsid w:val="00EB1AB2"/>
    <w:rsid w:val="00EB1B1C"/>
    <w:rsid w:val="00EB1BDF"/>
    <w:rsid w:val="00EB1CA6"/>
    <w:rsid w:val="00EB1EFC"/>
    <w:rsid w:val="00EB2070"/>
    <w:rsid w:val="00EB2088"/>
    <w:rsid w:val="00EB211A"/>
    <w:rsid w:val="00EB214F"/>
    <w:rsid w:val="00EB21AB"/>
    <w:rsid w:val="00EB2223"/>
    <w:rsid w:val="00EB2234"/>
    <w:rsid w:val="00EB22A4"/>
    <w:rsid w:val="00EB2374"/>
    <w:rsid w:val="00EB2438"/>
    <w:rsid w:val="00EB249A"/>
    <w:rsid w:val="00EB24D4"/>
    <w:rsid w:val="00EB25EA"/>
    <w:rsid w:val="00EB2692"/>
    <w:rsid w:val="00EB27D3"/>
    <w:rsid w:val="00EB28D0"/>
    <w:rsid w:val="00EB2916"/>
    <w:rsid w:val="00EB2936"/>
    <w:rsid w:val="00EB2944"/>
    <w:rsid w:val="00EB2988"/>
    <w:rsid w:val="00EB2AC1"/>
    <w:rsid w:val="00EB2AE0"/>
    <w:rsid w:val="00EB2B15"/>
    <w:rsid w:val="00EB2B87"/>
    <w:rsid w:val="00EB2B9A"/>
    <w:rsid w:val="00EB2C19"/>
    <w:rsid w:val="00EB2C4C"/>
    <w:rsid w:val="00EB2C87"/>
    <w:rsid w:val="00EB2C96"/>
    <w:rsid w:val="00EB2CA4"/>
    <w:rsid w:val="00EB2D2C"/>
    <w:rsid w:val="00EB2D3E"/>
    <w:rsid w:val="00EB2E78"/>
    <w:rsid w:val="00EB2FA8"/>
    <w:rsid w:val="00EB304F"/>
    <w:rsid w:val="00EB30BC"/>
    <w:rsid w:val="00EB3174"/>
    <w:rsid w:val="00EB31C9"/>
    <w:rsid w:val="00EB31FF"/>
    <w:rsid w:val="00EB328B"/>
    <w:rsid w:val="00EB328C"/>
    <w:rsid w:val="00EB32B6"/>
    <w:rsid w:val="00EB32C2"/>
    <w:rsid w:val="00EB3461"/>
    <w:rsid w:val="00EB3486"/>
    <w:rsid w:val="00EB358D"/>
    <w:rsid w:val="00EB365F"/>
    <w:rsid w:val="00EB3682"/>
    <w:rsid w:val="00EB36CA"/>
    <w:rsid w:val="00EB3769"/>
    <w:rsid w:val="00EB377E"/>
    <w:rsid w:val="00EB37E1"/>
    <w:rsid w:val="00EB39E2"/>
    <w:rsid w:val="00EB39EB"/>
    <w:rsid w:val="00EB3AC1"/>
    <w:rsid w:val="00EB3AC6"/>
    <w:rsid w:val="00EB3AE6"/>
    <w:rsid w:val="00EB3B79"/>
    <w:rsid w:val="00EB3BE1"/>
    <w:rsid w:val="00EB3CD3"/>
    <w:rsid w:val="00EB3CD9"/>
    <w:rsid w:val="00EB3CE1"/>
    <w:rsid w:val="00EB3CFA"/>
    <w:rsid w:val="00EB3D55"/>
    <w:rsid w:val="00EB3E5C"/>
    <w:rsid w:val="00EB3E6F"/>
    <w:rsid w:val="00EB3EC0"/>
    <w:rsid w:val="00EB3F08"/>
    <w:rsid w:val="00EB3F27"/>
    <w:rsid w:val="00EB41C4"/>
    <w:rsid w:val="00EB41DD"/>
    <w:rsid w:val="00EB4291"/>
    <w:rsid w:val="00EB42C9"/>
    <w:rsid w:val="00EB4349"/>
    <w:rsid w:val="00EB441B"/>
    <w:rsid w:val="00EB4452"/>
    <w:rsid w:val="00EB4460"/>
    <w:rsid w:val="00EB4471"/>
    <w:rsid w:val="00EB4495"/>
    <w:rsid w:val="00EB4544"/>
    <w:rsid w:val="00EB4661"/>
    <w:rsid w:val="00EB471C"/>
    <w:rsid w:val="00EB4730"/>
    <w:rsid w:val="00EB4792"/>
    <w:rsid w:val="00EB47DC"/>
    <w:rsid w:val="00EB48E7"/>
    <w:rsid w:val="00EB499A"/>
    <w:rsid w:val="00EB49D2"/>
    <w:rsid w:val="00EB4A75"/>
    <w:rsid w:val="00EB4B01"/>
    <w:rsid w:val="00EB4B8B"/>
    <w:rsid w:val="00EB4BAF"/>
    <w:rsid w:val="00EB4BF3"/>
    <w:rsid w:val="00EB4C35"/>
    <w:rsid w:val="00EB4C4F"/>
    <w:rsid w:val="00EB4CF2"/>
    <w:rsid w:val="00EB4D43"/>
    <w:rsid w:val="00EB4D58"/>
    <w:rsid w:val="00EB4DBE"/>
    <w:rsid w:val="00EB4DEF"/>
    <w:rsid w:val="00EB4DF2"/>
    <w:rsid w:val="00EB4EA9"/>
    <w:rsid w:val="00EB4ED9"/>
    <w:rsid w:val="00EB4F97"/>
    <w:rsid w:val="00EB4FAD"/>
    <w:rsid w:val="00EB502F"/>
    <w:rsid w:val="00EB5089"/>
    <w:rsid w:val="00EB50F7"/>
    <w:rsid w:val="00EB50F9"/>
    <w:rsid w:val="00EB5145"/>
    <w:rsid w:val="00EB5178"/>
    <w:rsid w:val="00EB52D2"/>
    <w:rsid w:val="00EB532E"/>
    <w:rsid w:val="00EB53C3"/>
    <w:rsid w:val="00EB542A"/>
    <w:rsid w:val="00EB54A1"/>
    <w:rsid w:val="00EB54F1"/>
    <w:rsid w:val="00EB54F3"/>
    <w:rsid w:val="00EB5531"/>
    <w:rsid w:val="00EB5698"/>
    <w:rsid w:val="00EB56C8"/>
    <w:rsid w:val="00EB57AC"/>
    <w:rsid w:val="00EB58A8"/>
    <w:rsid w:val="00EB58E6"/>
    <w:rsid w:val="00EB5950"/>
    <w:rsid w:val="00EB598B"/>
    <w:rsid w:val="00EB59A1"/>
    <w:rsid w:val="00EB59B1"/>
    <w:rsid w:val="00EB59F0"/>
    <w:rsid w:val="00EB5A2D"/>
    <w:rsid w:val="00EB5A92"/>
    <w:rsid w:val="00EB5AD1"/>
    <w:rsid w:val="00EB5AE8"/>
    <w:rsid w:val="00EB5B0E"/>
    <w:rsid w:val="00EB5B2E"/>
    <w:rsid w:val="00EB5B41"/>
    <w:rsid w:val="00EB5B6C"/>
    <w:rsid w:val="00EB5D96"/>
    <w:rsid w:val="00EB5D9C"/>
    <w:rsid w:val="00EB5DB6"/>
    <w:rsid w:val="00EB5E00"/>
    <w:rsid w:val="00EB5E3E"/>
    <w:rsid w:val="00EB5F69"/>
    <w:rsid w:val="00EB5FE2"/>
    <w:rsid w:val="00EB6006"/>
    <w:rsid w:val="00EB6082"/>
    <w:rsid w:val="00EB61C8"/>
    <w:rsid w:val="00EB61C9"/>
    <w:rsid w:val="00EB61D5"/>
    <w:rsid w:val="00EB6273"/>
    <w:rsid w:val="00EB62A1"/>
    <w:rsid w:val="00EB62CB"/>
    <w:rsid w:val="00EB62F2"/>
    <w:rsid w:val="00EB646C"/>
    <w:rsid w:val="00EB654D"/>
    <w:rsid w:val="00EB6576"/>
    <w:rsid w:val="00EB65EC"/>
    <w:rsid w:val="00EB6635"/>
    <w:rsid w:val="00EB6729"/>
    <w:rsid w:val="00EB6784"/>
    <w:rsid w:val="00EB68A2"/>
    <w:rsid w:val="00EB6902"/>
    <w:rsid w:val="00EB69AA"/>
    <w:rsid w:val="00EB6A0F"/>
    <w:rsid w:val="00EB6B39"/>
    <w:rsid w:val="00EB6B4D"/>
    <w:rsid w:val="00EB6BFD"/>
    <w:rsid w:val="00EB6C3F"/>
    <w:rsid w:val="00EB6C81"/>
    <w:rsid w:val="00EB6CB1"/>
    <w:rsid w:val="00EB6E62"/>
    <w:rsid w:val="00EB6E69"/>
    <w:rsid w:val="00EB6E6C"/>
    <w:rsid w:val="00EB6E9C"/>
    <w:rsid w:val="00EB6EB5"/>
    <w:rsid w:val="00EB6EF1"/>
    <w:rsid w:val="00EB6F50"/>
    <w:rsid w:val="00EB6F5E"/>
    <w:rsid w:val="00EB6F62"/>
    <w:rsid w:val="00EB6FE3"/>
    <w:rsid w:val="00EB6FE5"/>
    <w:rsid w:val="00EB703E"/>
    <w:rsid w:val="00EB70B5"/>
    <w:rsid w:val="00EB70BB"/>
    <w:rsid w:val="00EB70D4"/>
    <w:rsid w:val="00EB7104"/>
    <w:rsid w:val="00EB7122"/>
    <w:rsid w:val="00EB7145"/>
    <w:rsid w:val="00EB7287"/>
    <w:rsid w:val="00EB72F3"/>
    <w:rsid w:val="00EB738D"/>
    <w:rsid w:val="00EB762E"/>
    <w:rsid w:val="00EB7641"/>
    <w:rsid w:val="00EB767D"/>
    <w:rsid w:val="00EB7686"/>
    <w:rsid w:val="00EB7689"/>
    <w:rsid w:val="00EB7715"/>
    <w:rsid w:val="00EB771C"/>
    <w:rsid w:val="00EB77D5"/>
    <w:rsid w:val="00EB7846"/>
    <w:rsid w:val="00EB784F"/>
    <w:rsid w:val="00EB78D2"/>
    <w:rsid w:val="00EB79E9"/>
    <w:rsid w:val="00EB7A4E"/>
    <w:rsid w:val="00EB7A6C"/>
    <w:rsid w:val="00EB7AB5"/>
    <w:rsid w:val="00EB7B55"/>
    <w:rsid w:val="00EB7BBA"/>
    <w:rsid w:val="00EB7BC5"/>
    <w:rsid w:val="00EB7C80"/>
    <w:rsid w:val="00EB7C9B"/>
    <w:rsid w:val="00EB7D5A"/>
    <w:rsid w:val="00EB7D6F"/>
    <w:rsid w:val="00EB7DBE"/>
    <w:rsid w:val="00EB7E3C"/>
    <w:rsid w:val="00EB7EC2"/>
    <w:rsid w:val="00EB7ECA"/>
    <w:rsid w:val="00EB7FB4"/>
    <w:rsid w:val="00EB7FCC"/>
    <w:rsid w:val="00EC0041"/>
    <w:rsid w:val="00EC00B3"/>
    <w:rsid w:val="00EC0109"/>
    <w:rsid w:val="00EC0130"/>
    <w:rsid w:val="00EC01D6"/>
    <w:rsid w:val="00EC0203"/>
    <w:rsid w:val="00EC0218"/>
    <w:rsid w:val="00EC03A3"/>
    <w:rsid w:val="00EC0432"/>
    <w:rsid w:val="00EC043B"/>
    <w:rsid w:val="00EC0474"/>
    <w:rsid w:val="00EC0508"/>
    <w:rsid w:val="00EC0518"/>
    <w:rsid w:val="00EC052E"/>
    <w:rsid w:val="00EC06BE"/>
    <w:rsid w:val="00EC075E"/>
    <w:rsid w:val="00EC0781"/>
    <w:rsid w:val="00EC07D5"/>
    <w:rsid w:val="00EC07F7"/>
    <w:rsid w:val="00EC0862"/>
    <w:rsid w:val="00EC08E4"/>
    <w:rsid w:val="00EC08EC"/>
    <w:rsid w:val="00EC094E"/>
    <w:rsid w:val="00EC0968"/>
    <w:rsid w:val="00EC0A1C"/>
    <w:rsid w:val="00EC0A99"/>
    <w:rsid w:val="00EC0B1E"/>
    <w:rsid w:val="00EC0BDB"/>
    <w:rsid w:val="00EC0BF6"/>
    <w:rsid w:val="00EC0BFB"/>
    <w:rsid w:val="00EC0CB0"/>
    <w:rsid w:val="00EC0D2C"/>
    <w:rsid w:val="00EC0D9F"/>
    <w:rsid w:val="00EC0DF4"/>
    <w:rsid w:val="00EC0E44"/>
    <w:rsid w:val="00EC0EC2"/>
    <w:rsid w:val="00EC0EED"/>
    <w:rsid w:val="00EC0FC2"/>
    <w:rsid w:val="00EC10CC"/>
    <w:rsid w:val="00EC1161"/>
    <w:rsid w:val="00EC117F"/>
    <w:rsid w:val="00EC1182"/>
    <w:rsid w:val="00EC11BA"/>
    <w:rsid w:val="00EC1261"/>
    <w:rsid w:val="00EC137D"/>
    <w:rsid w:val="00EC138E"/>
    <w:rsid w:val="00EC13EF"/>
    <w:rsid w:val="00EC145F"/>
    <w:rsid w:val="00EC14F0"/>
    <w:rsid w:val="00EC1537"/>
    <w:rsid w:val="00EC1539"/>
    <w:rsid w:val="00EC1557"/>
    <w:rsid w:val="00EC1584"/>
    <w:rsid w:val="00EC15AD"/>
    <w:rsid w:val="00EC1601"/>
    <w:rsid w:val="00EC1628"/>
    <w:rsid w:val="00EC1635"/>
    <w:rsid w:val="00EC164B"/>
    <w:rsid w:val="00EC1677"/>
    <w:rsid w:val="00EC16B0"/>
    <w:rsid w:val="00EC17BE"/>
    <w:rsid w:val="00EC17EF"/>
    <w:rsid w:val="00EC181D"/>
    <w:rsid w:val="00EC184E"/>
    <w:rsid w:val="00EC1897"/>
    <w:rsid w:val="00EC18F6"/>
    <w:rsid w:val="00EC18FC"/>
    <w:rsid w:val="00EC1919"/>
    <w:rsid w:val="00EC1929"/>
    <w:rsid w:val="00EC192D"/>
    <w:rsid w:val="00EC192F"/>
    <w:rsid w:val="00EC1935"/>
    <w:rsid w:val="00EC1977"/>
    <w:rsid w:val="00EC19B8"/>
    <w:rsid w:val="00EC1A04"/>
    <w:rsid w:val="00EC1A8A"/>
    <w:rsid w:val="00EC1AB8"/>
    <w:rsid w:val="00EC1AC7"/>
    <w:rsid w:val="00EC1C57"/>
    <w:rsid w:val="00EC1CCF"/>
    <w:rsid w:val="00EC1E3B"/>
    <w:rsid w:val="00EC1E6C"/>
    <w:rsid w:val="00EC1FAE"/>
    <w:rsid w:val="00EC215E"/>
    <w:rsid w:val="00EC21AD"/>
    <w:rsid w:val="00EC22B0"/>
    <w:rsid w:val="00EC22FB"/>
    <w:rsid w:val="00EC232B"/>
    <w:rsid w:val="00EC234A"/>
    <w:rsid w:val="00EC2456"/>
    <w:rsid w:val="00EC24A2"/>
    <w:rsid w:val="00EC24DE"/>
    <w:rsid w:val="00EC2501"/>
    <w:rsid w:val="00EC2517"/>
    <w:rsid w:val="00EC25FF"/>
    <w:rsid w:val="00EC2625"/>
    <w:rsid w:val="00EC26C3"/>
    <w:rsid w:val="00EC26E4"/>
    <w:rsid w:val="00EC2705"/>
    <w:rsid w:val="00EC27B9"/>
    <w:rsid w:val="00EC2944"/>
    <w:rsid w:val="00EC2A06"/>
    <w:rsid w:val="00EC2A24"/>
    <w:rsid w:val="00EC2A3C"/>
    <w:rsid w:val="00EC2A91"/>
    <w:rsid w:val="00EC2C52"/>
    <w:rsid w:val="00EC2D28"/>
    <w:rsid w:val="00EC2D6A"/>
    <w:rsid w:val="00EC2E41"/>
    <w:rsid w:val="00EC2E74"/>
    <w:rsid w:val="00EC2EA0"/>
    <w:rsid w:val="00EC300F"/>
    <w:rsid w:val="00EC306F"/>
    <w:rsid w:val="00EC308A"/>
    <w:rsid w:val="00EC30C3"/>
    <w:rsid w:val="00EC30CC"/>
    <w:rsid w:val="00EC313A"/>
    <w:rsid w:val="00EC314C"/>
    <w:rsid w:val="00EC3182"/>
    <w:rsid w:val="00EC31B4"/>
    <w:rsid w:val="00EC31CF"/>
    <w:rsid w:val="00EC3201"/>
    <w:rsid w:val="00EC3363"/>
    <w:rsid w:val="00EC3399"/>
    <w:rsid w:val="00EC34EC"/>
    <w:rsid w:val="00EC34FA"/>
    <w:rsid w:val="00EC35A9"/>
    <w:rsid w:val="00EC35C9"/>
    <w:rsid w:val="00EC35E9"/>
    <w:rsid w:val="00EC36BE"/>
    <w:rsid w:val="00EC36D4"/>
    <w:rsid w:val="00EC38D8"/>
    <w:rsid w:val="00EC3930"/>
    <w:rsid w:val="00EC396E"/>
    <w:rsid w:val="00EC39DD"/>
    <w:rsid w:val="00EC3A0A"/>
    <w:rsid w:val="00EC3A96"/>
    <w:rsid w:val="00EC3B04"/>
    <w:rsid w:val="00EC3B06"/>
    <w:rsid w:val="00EC3BF5"/>
    <w:rsid w:val="00EC3CF6"/>
    <w:rsid w:val="00EC3DAA"/>
    <w:rsid w:val="00EC3DCF"/>
    <w:rsid w:val="00EC3DFB"/>
    <w:rsid w:val="00EC3E5F"/>
    <w:rsid w:val="00EC3EC6"/>
    <w:rsid w:val="00EC3F1B"/>
    <w:rsid w:val="00EC3F32"/>
    <w:rsid w:val="00EC3F33"/>
    <w:rsid w:val="00EC3F6D"/>
    <w:rsid w:val="00EC3FD5"/>
    <w:rsid w:val="00EC402A"/>
    <w:rsid w:val="00EC402C"/>
    <w:rsid w:val="00EC4231"/>
    <w:rsid w:val="00EC4232"/>
    <w:rsid w:val="00EC423D"/>
    <w:rsid w:val="00EC4250"/>
    <w:rsid w:val="00EC4272"/>
    <w:rsid w:val="00EC4282"/>
    <w:rsid w:val="00EC42D8"/>
    <w:rsid w:val="00EC433C"/>
    <w:rsid w:val="00EC4362"/>
    <w:rsid w:val="00EC43C8"/>
    <w:rsid w:val="00EC4494"/>
    <w:rsid w:val="00EC44A3"/>
    <w:rsid w:val="00EC44AB"/>
    <w:rsid w:val="00EC45DB"/>
    <w:rsid w:val="00EC45EA"/>
    <w:rsid w:val="00EC4694"/>
    <w:rsid w:val="00EC46DF"/>
    <w:rsid w:val="00EC4707"/>
    <w:rsid w:val="00EC48A8"/>
    <w:rsid w:val="00EC48E4"/>
    <w:rsid w:val="00EC48FF"/>
    <w:rsid w:val="00EC4954"/>
    <w:rsid w:val="00EC4966"/>
    <w:rsid w:val="00EC4AAA"/>
    <w:rsid w:val="00EC4AFA"/>
    <w:rsid w:val="00EC4B0D"/>
    <w:rsid w:val="00EC4B71"/>
    <w:rsid w:val="00EC4C3E"/>
    <w:rsid w:val="00EC4CB5"/>
    <w:rsid w:val="00EC4DAE"/>
    <w:rsid w:val="00EC4F79"/>
    <w:rsid w:val="00EC51AE"/>
    <w:rsid w:val="00EC51BF"/>
    <w:rsid w:val="00EC51D3"/>
    <w:rsid w:val="00EC5298"/>
    <w:rsid w:val="00EC52F3"/>
    <w:rsid w:val="00EC5453"/>
    <w:rsid w:val="00EC54D5"/>
    <w:rsid w:val="00EC54DC"/>
    <w:rsid w:val="00EC54ED"/>
    <w:rsid w:val="00EC5545"/>
    <w:rsid w:val="00EC5551"/>
    <w:rsid w:val="00EC5590"/>
    <w:rsid w:val="00EC5591"/>
    <w:rsid w:val="00EC55F1"/>
    <w:rsid w:val="00EC5671"/>
    <w:rsid w:val="00EC569D"/>
    <w:rsid w:val="00EC56B1"/>
    <w:rsid w:val="00EC56F7"/>
    <w:rsid w:val="00EC5745"/>
    <w:rsid w:val="00EC5748"/>
    <w:rsid w:val="00EC57A4"/>
    <w:rsid w:val="00EC57FA"/>
    <w:rsid w:val="00EC5917"/>
    <w:rsid w:val="00EC5965"/>
    <w:rsid w:val="00EC59D5"/>
    <w:rsid w:val="00EC5A9D"/>
    <w:rsid w:val="00EC5C6A"/>
    <w:rsid w:val="00EC5CE9"/>
    <w:rsid w:val="00EC5D2D"/>
    <w:rsid w:val="00EC5D40"/>
    <w:rsid w:val="00EC5D6B"/>
    <w:rsid w:val="00EC5DC0"/>
    <w:rsid w:val="00EC5F2B"/>
    <w:rsid w:val="00EC6008"/>
    <w:rsid w:val="00EC6099"/>
    <w:rsid w:val="00EC60BE"/>
    <w:rsid w:val="00EC60C0"/>
    <w:rsid w:val="00EC6167"/>
    <w:rsid w:val="00EC6200"/>
    <w:rsid w:val="00EC6265"/>
    <w:rsid w:val="00EC6296"/>
    <w:rsid w:val="00EC6332"/>
    <w:rsid w:val="00EC63C8"/>
    <w:rsid w:val="00EC6489"/>
    <w:rsid w:val="00EC6491"/>
    <w:rsid w:val="00EC64A8"/>
    <w:rsid w:val="00EC64F4"/>
    <w:rsid w:val="00EC6507"/>
    <w:rsid w:val="00EC6530"/>
    <w:rsid w:val="00EC6564"/>
    <w:rsid w:val="00EC65B7"/>
    <w:rsid w:val="00EC65FE"/>
    <w:rsid w:val="00EC661D"/>
    <w:rsid w:val="00EC6669"/>
    <w:rsid w:val="00EC66A7"/>
    <w:rsid w:val="00EC6707"/>
    <w:rsid w:val="00EC6761"/>
    <w:rsid w:val="00EC6787"/>
    <w:rsid w:val="00EC688B"/>
    <w:rsid w:val="00EC68D4"/>
    <w:rsid w:val="00EC6983"/>
    <w:rsid w:val="00EC698C"/>
    <w:rsid w:val="00EC69BA"/>
    <w:rsid w:val="00EC69ED"/>
    <w:rsid w:val="00EC6A5C"/>
    <w:rsid w:val="00EC6A8C"/>
    <w:rsid w:val="00EC6AA1"/>
    <w:rsid w:val="00EC6BD1"/>
    <w:rsid w:val="00EC6CAF"/>
    <w:rsid w:val="00EC6CB7"/>
    <w:rsid w:val="00EC6CE4"/>
    <w:rsid w:val="00EC6D18"/>
    <w:rsid w:val="00EC6D33"/>
    <w:rsid w:val="00EC6DAA"/>
    <w:rsid w:val="00EC6DB9"/>
    <w:rsid w:val="00EC6E66"/>
    <w:rsid w:val="00EC6EC6"/>
    <w:rsid w:val="00EC6F96"/>
    <w:rsid w:val="00EC701F"/>
    <w:rsid w:val="00EC7050"/>
    <w:rsid w:val="00EC70A3"/>
    <w:rsid w:val="00EC714E"/>
    <w:rsid w:val="00EC7198"/>
    <w:rsid w:val="00EC71E6"/>
    <w:rsid w:val="00EC71EE"/>
    <w:rsid w:val="00EC7297"/>
    <w:rsid w:val="00EC72C7"/>
    <w:rsid w:val="00EC7307"/>
    <w:rsid w:val="00EC733A"/>
    <w:rsid w:val="00EC7342"/>
    <w:rsid w:val="00EC7361"/>
    <w:rsid w:val="00EC7374"/>
    <w:rsid w:val="00EC73AA"/>
    <w:rsid w:val="00EC73B7"/>
    <w:rsid w:val="00EC73FD"/>
    <w:rsid w:val="00EC7454"/>
    <w:rsid w:val="00EC7464"/>
    <w:rsid w:val="00EC7472"/>
    <w:rsid w:val="00EC753F"/>
    <w:rsid w:val="00EC7545"/>
    <w:rsid w:val="00EC75A0"/>
    <w:rsid w:val="00EC75B2"/>
    <w:rsid w:val="00EC76C7"/>
    <w:rsid w:val="00EC7747"/>
    <w:rsid w:val="00EC78A9"/>
    <w:rsid w:val="00EC78EF"/>
    <w:rsid w:val="00EC7942"/>
    <w:rsid w:val="00EC7A2D"/>
    <w:rsid w:val="00EC7BAA"/>
    <w:rsid w:val="00EC7D7B"/>
    <w:rsid w:val="00EC7DC5"/>
    <w:rsid w:val="00EC7E0B"/>
    <w:rsid w:val="00EC7F25"/>
    <w:rsid w:val="00EC7FFA"/>
    <w:rsid w:val="00ED014E"/>
    <w:rsid w:val="00ED018E"/>
    <w:rsid w:val="00ED0231"/>
    <w:rsid w:val="00ED02A6"/>
    <w:rsid w:val="00ED02B3"/>
    <w:rsid w:val="00ED0314"/>
    <w:rsid w:val="00ED0414"/>
    <w:rsid w:val="00ED0418"/>
    <w:rsid w:val="00ED0450"/>
    <w:rsid w:val="00ED048B"/>
    <w:rsid w:val="00ED0515"/>
    <w:rsid w:val="00ED0586"/>
    <w:rsid w:val="00ED0588"/>
    <w:rsid w:val="00ED05B8"/>
    <w:rsid w:val="00ED05EA"/>
    <w:rsid w:val="00ED0716"/>
    <w:rsid w:val="00ED0775"/>
    <w:rsid w:val="00ED07E5"/>
    <w:rsid w:val="00ED0802"/>
    <w:rsid w:val="00ED0976"/>
    <w:rsid w:val="00ED0A4B"/>
    <w:rsid w:val="00ED0AD5"/>
    <w:rsid w:val="00ED0B1F"/>
    <w:rsid w:val="00ED0B59"/>
    <w:rsid w:val="00ED0B6A"/>
    <w:rsid w:val="00ED0C70"/>
    <w:rsid w:val="00ED0C8C"/>
    <w:rsid w:val="00ED0C98"/>
    <w:rsid w:val="00ED0D69"/>
    <w:rsid w:val="00ED0DB2"/>
    <w:rsid w:val="00ED0DEC"/>
    <w:rsid w:val="00ED0EA9"/>
    <w:rsid w:val="00ED0EF8"/>
    <w:rsid w:val="00ED0F04"/>
    <w:rsid w:val="00ED0F54"/>
    <w:rsid w:val="00ED0F83"/>
    <w:rsid w:val="00ED100A"/>
    <w:rsid w:val="00ED104B"/>
    <w:rsid w:val="00ED1077"/>
    <w:rsid w:val="00ED108F"/>
    <w:rsid w:val="00ED1102"/>
    <w:rsid w:val="00ED1111"/>
    <w:rsid w:val="00ED114D"/>
    <w:rsid w:val="00ED1251"/>
    <w:rsid w:val="00ED125A"/>
    <w:rsid w:val="00ED1277"/>
    <w:rsid w:val="00ED12BA"/>
    <w:rsid w:val="00ED12C3"/>
    <w:rsid w:val="00ED12D4"/>
    <w:rsid w:val="00ED13D6"/>
    <w:rsid w:val="00ED13E1"/>
    <w:rsid w:val="00ED140C"/>
    <w:rsid w:val="00ED1563"/>
    <w:rsid w:val="00ED1582"/>
    <w:rsid w:val="00ED158B"/>
    <w:rsid w:val="00ED15A7"/>
    <w:rsid w:val="00ED15C1"/>
    <w:rsid w:val="00ED1661"/>
    <w:rsid w:val="00ED1669"/>
    <w:rsid w:val="00ED166F"/>
    <w:rsid w:val="00ED16F1"/>
    <w:rsid w:val="00ED1717"/>
    <w:rsid w:val="00ED1831"/>
    <w:rsid w:val="00ED184D"/>
    <w:rsid w:val="00ED1877"/>
    <w:rsid w:val="00ED188F"/>
    <w:rsid w:val="00ED18E5"/>
    <w:rsid w:val="00ED19C8"/>
    <w:rsid w:val="00ED19E6"/>
    <w:rsid w:val="00ED1A03"/>
    <w:rsid w:val="00ED1A08"/>
    <w:rsid w:val="00ED1AB0"/>
    <w:rsid w:val="00ED1B6F"/>
    <w:rsid w:val="00ED1C36"/>
    <w:rsid w:val="00ED1C96"/>
    <w:rsid w:val="00ED1CBD"/>
    <w:rsid w:val="00ED1D0F"/>
    <w:rsid w:val="00ED1D16"/>
    <w:rsid w:val="00ED1D1E"/>
    <w:rsid w:val="00ED1D40"/>
    <w:rsid w:val="00ED1D8C"/>
    <w:rsid w:val="00ED1E19"/>
    <w:rsid w:val="00ED1E5B"/>
    <w:rsid w:val="00ED1F01"/>
    <w:rsid w:val="00ED1F89"/>
    <w:rsid w:val="00ED1FD2"/>
    <w:rsid w:val="00ED2029"/>
    <w:rsid w:val="00ED2059"/>
    <w:rsid w:val="00ED2140"/>
    <w:rsid w:val="00ED2141"/>
    <w:rsid w:val="00ED21B4"/>
    <w:rsid w:val="00ED21C1"/>
    <w:rsid w:val="00ED21DD"/>
    <w:rsid w:val="00ED21F5"/>
    <w:rsid w:val="00ED2398"/>
    <w:rsid w:val="00ED239E"/>
    <w:rsid w:val="00ED23AE"/>
    <w:rsid w:val="00ED23F1"/>
    <w:rsid w:val="00ED242F"/>
    <w:rsid w:val="00ED25A6"/>
    <w:rsid w:val="00ED2629"/>
    <w:rsid w:val="00ED2646"/>
    <w:rsid w:val="00ED2707"/>
    <w:rsid w:val="00ED2723"/>
    <w:rsid w:val="00ED2763"/>
    <w:rsid w:val="00ED27CB"/>
    <w:rsid w:val="00ED2809"/>
    <w:rsid w:val="00ED28C7"/>
    <w:rsid w:val="00ED2912"/>
    <w:rsid w:val="00ED296F"/>
    <w:rsid w:val="00ED299F"/>
    <w:rsid w:val="00ED29A9"/>
    <w:rsid w:val="00ED29D5"/>
    <w:rsid w:val="00ED29DF"/>
    <w:rsid w:val="00ED2A41"/>
    <w:rsid w:val="00ED2A78"/>
    <w:rsid w:val="00ED2ADC"/>
    <w:rsid w:val="00ED2B00"/>
    <w:rsid w:val="00ED2B39"/>
    <w:rsid w:val="00ED2B65"/>
    <w:rsid w:val="00ED2BF6"/>
    <w:rsid w:val="00ED2C13"/>
    <w:rsid w:val="00ED2CE6"/>
    <w:rsid w:val="00ED2D52"/>
    <w:rsid w:val="00ED2DF6"/>
    <w:rsid w:val="00ED2E06"/>
    <w:rsid w:val="00ED2F0A"/>
    <w:rsid w:val="00ED3075"/>
    <w:rsid w:val="00ED3090"/>
    <w:rsid w:val="00ED310A"/>
    <w:rsid w:val="00ED310F"/>
    <w:rsid w:val="00ED31A1"/>
    <w:rsid w:val="00ED3267"/>
    <w:rsid w:val="00ED32C5"/>
    <w:rsid w:val="00ED33D9"/>
    <w:rsid w:val="00ED34AA"/>
    <w:rsid w:val="00ED3588"/>
    <w:rsid w:val="00ED35BF"/>
    <w:rsid w:val="00ED3602"/>
    <w:rsid w:val="00ED3728"/>
    <w:rsid w:val="00ED3744"/>
    <w:rsid w:val="00ED3761"/>
    <w:rsid w:val="00ED38DF"/>
    <w:rsid w:val="00ED3995"/>
    <w:rsid w:val="00ED3A0F"/>
    <w:rsid w:val="00ED3A2B"/>
    <w:rsid w:val="00ED3A9E"/>
    <w:rsid w:val="00ED3AAD"/>
    <w:rsid w:val="00ED3B33"/>
    <w:rsid w:val="00ED3B80"/>
    <w:rsid w:val="00ED3BA0"/>
    <w:rsid w:val="00ED3BE9"/>
    <w:rsid w:val="00ED3C01"/>
    <w:rsid w:val="00ED3CB8"/>
    <w:rsid w:val="00ED3CC0"/>
    <w:rsid w:val="00ED3CCD"/>
    <w:rsid w:val="00ED3D60"/>
    <w:rsid w:val="00ED3D73"/>
    <w:rsid w:val="00ED3D95"/>
    <w:rsid w:val="00ED3E29"/>
    <w:rsid w:val="00ED3E41"/>
    <w:rsid w:val="00ED3EC5"/>
    <w:rsid w:val="00ED400C"/>
    <w:rsid w:val="00ED4033"/>
    <w:rsid w:val="00ED4040"/>
    <w:rsid w:val="00ED4041"/>
    <w:rsid w:val="00ED4071"/>
    <w:rsid w:val="00ED4085"/>
    <w:rsid w:val="00ED40E0"/>
    <w:rsid w:val="00ED4100"/>
    <w:rsid w:val="00ED4112"/>
    <w:rsid w:val="00ED42D9"/>
    <w:rsid w:val="00ED44A3"/>
    <w:rsid w:val="00ED4506"/>
    <w:rsid w:val="00ED45AF"/>
    <w:rsid w:val="00ED4609"/>
    <w:rsid w:val="00ED460A"/>
    <w:rsid w:val="00ED4660"/>
    <w:rsid w:val="00ED47A5"/>
    <w:rsid w:val="00ED4888"/>
    <w:rsid w:val="00ED48CE"/>
    <w:rsid w:val="00ED492F"/>
    <w:rsid w:val="00ED4971"/>
    <w:rsid w:val="00ED49B8"/>
    <w:rsid w:val="00ED49D0"/>
    <w:rsid w:val="00ED4AA4"/>
    <w:rsid w:val="00ED4BAF"/>
    <w:rsid w:val="00ED4C24"/>
    <w:rsid w:val="00ED4D5E"/>
    <w:rsid w:val="00ED4DF4"/>
    <w:rsid w:val="00ED4E6B"/>
    <w:rsid w:val="00ED4E8F"/>
    <w:rsid w:val="00ED4F00"/>
    <w:rsid w:val="00ED4F55"/>
    <w:rsid w:val="00ED5039"/>
    <w:rsid w:val="00ED50BC"/>
    <w:rsid w:val="00ED50C8"/>
    <w:rsid w:val="00ED50E4"/>
    <w:rsid w:val="00ED5134"/>
    <w:rsid w:val="00ED515C"/>
    <w:rsid w:val="00ED5379"/>
    <w:rsid w:val="00ED5390"/>
    <w:rsid w:val="00ED53E7"/>
    <w:rsid w:val="00ED53F4"/>
    <w:rsid w:val="00ED53F7"/>
    <w:rsid w:val="00ED548E"/>
    <w:rsid w:val="00ED5528"/>
    <w:rsid w:val="00ED55C7"/>
    <w:rsid w:val="00ED55EC"/>
    <w:rsid w:val="00ED5630"/>
    <w:rsid w:val="00ED5656"/>
    <w:rsid w:val="00ED56BF"/>
    <w:rsid w:val="00ED56C1"/>
    <w:rsid w:val="00ED5773"/>
    <w:rsid w:val="00ED57A9"/>
    <w:rsid w:val="00ED5878"/>
    <w:rsid w:val="00ED5888"/>
    <w:rsid w:val="00ED58F6"/>
    <w:rsid w:val="00ED593B"/>
    <w:rsid w:val="00ED594D"/>
    <w:rsid w:val="00ED5987"/>
    <w:rsid w:val="00ED5995"/>
    <w:rsid w:val="00ED5AC4"/>
    <w:rsid w:val="00ED5AE8"/>
    <w:rsid w:val="00ED5B71"/>
    <w:rsid w:val="00ED5BD4"/>
    <w:rsid w:val="00ED5C84"/>
    <w:rsid w:val="00ED5E1B"/>
    <w:rsid w:val="00ED5E60"/>
    <w:rsid w:val="00ED5EF2"/>
    <w:rsid w:val="00ED5F7D"/>
    <w:rsid w:val="00ED5FC1"/>
    <w:rsid w:val="00ED5FD2"/>
    <w:rsid w:val="00ED60B3"/>
    <w:rsid w:val="00ED6196"/>
    <w:rsid w:val="00ED61EB"/>
    <w:rsid w:val="00ED6386"/>
    <w:rsid w:val="00ED63EA"/>
    <w:rsid w:val="00ED6470"/>
    <w:rsid w:val="00ED64D8"/>
    <w:rsid w:val="00ED659A"/>
    <w:rsid w:val="00ED65A9"/>
    <w:rsid w:val="00ED6669"/>
    <w:rsid w:val="00ED6676"/>
    <w:rsid w:val="00ED6840"/>
    <w:rsid w:val="00ED694F"/>
    <w:rsid w:val="00ED6A2A"/>
    <w:rsid w:val="00ED6A76"/>
    <w:rsid w:val="00ED6A7C"/>
    <w:rsid w:val="00ED6AC0"/>
    <w:rsid w:val="00ED6AF5"/>
    <w:rsid w:val="00ED6B4F"/>
    <w:rsid w:val="00ED6BBF"/>
    <w:rsid w:val="00ED6BD1"/>
    <w:rsid w:val="00ED6CEB"/>
    <w:rsid w:val="00ED6D1F"/>
    <w:rsid w:val="00ED6D37"/>
    <w:rsid w:val="00ED6ED2"/>
    <w:rsid w:val="00ED6F59"/>
    <w:rsid w:val="00ED6F65"/>
    <w:rsid w:val="00ED6F9A"/>
    <w:rsid w:val="00ED6FB9"/>
    <w:rsid w:val="00ED7014"/>
    <w:rsid w:val="00ED70AF"/>
    <w:rsid w:val="00ED70B0"/>
    <w:rsid w:val="00ED7197"/>
    <w:rsid w:val="00ED720A"/>
    <w:rsid w:val="00ED73A1"/>
    <w:rsid w:val="00ED7527"/>
    <w:rsid w:val="00ED7591"/>
    <w:rsid w:val="00ED75B7"/>
    <w:rsid w:val="00ED7610"/>
    <w:rsid w:val="00ED764F"/>
    <w:rsid w:val="00ED7658"/>
    <w:rsid w:val="00ED7685"/>
    <w:rsid w:val="00ED76EF"/>
    <w:rsid w:val="00ED76F7"/>
    <w:rsid w:val="00ED783F"/>
    <w:rsid w:val="00ED78DC"/>
    <w:rsid w:val="00ED7909"/>
    <w:rsid w:val="00ED7996"/>
    <w:rsid w:val="00ED7A1C"/>
    <w:rsid w:val="00ED7B84"/>
    <w:rsid w:val="00ED7BD7"/>
    <w:rsid w:val="00ED7C79"/>
    <w:rsid w:val="00ED7CC6"/>
    <w:rsid w:val="00ED7D95"/>
    <w:rsid w:val="00ED7ED1"/>
    <w:rsid w:val="00ED7F5D"/>
    <w:rsid w:val="00ED7F7F"/>
    <w:rsid w:val="00ED7F8E"/>
    <w:rsid w:val="00EE00C7"/>
    <w:rsid w:val="00EE00FF"/>
    <w:rsid w:val="00EE010B"/>
    <w:rsid w:val="00EE019C"/>
    <w:rsid w:val="00EE0245"/>
    <w:rsid w:val="00EE0283"/>
    <w:rsid w:val="00EE02B7"/>
    <w:rsid w:val="00EE0351"/>
    <w:rsid w:val="00EE0378"/>
    <w:rsid w:val="00EE040C"/>
    <w:rsid w:val="00EE0544"/>
    <w:rsid w:val="00EE05B9"/>
    <w:rsid w:val="00EE05ED"/>
    <w:rsid w:val="00EE0603"/>
    <w:rsid w:val="00EE062C"/>
    <w:rsid w:val="00EE068E"/>
    <w:rsid w:val="00EE0695"/>
    <w:rsid w:val="00EE0732"/>
    <w:rsid w:val="00EE074E"/>
    <w:rsid w:val="00EE07BA"/>
    <w:rsid w:val="00EE0803"/>
    <w:rsid w:val="00EE0867"/>
    <w:rsid w:val="00EE08C8"/>
    <w:rsid w:val="00EE08EC"/>
    <w:rsid w:val="00EE0947"/>
    <w:rsid w:val="00EE0A7E"/>
    <w:rsid w:val="00EE0A9C"/>
    <w:rsid w:val="00EE0AF6"/>
    <w:rsid w:val="00EE0B2E"/>
    <w:rsid w:val="00EE0BDF"/>
    <w:rsid w:val="00EE0C5B"/>
    <w:rsid w:val="00EE0C6D"/>
    <w:rsid w:val="00EE0CA9"/>
    <w:rsid w:val="00EE0DD6"/>
    <w:rsid w:val="00EE0DFB"/>
    <w:rsid w:val="00EE0F01"/>
    <w:rsid w:val="00EE0F44"/>
    <w:rsid w:val="00EE0F63"/>
    <w:rsid w:val="00EE10B4"/>
    <w:rsid w:val="00EE10D6"/>
    <w:rsid w:val="00EE10F2"/>
    <w:rsid w:val="00EE115F"/>
    <w:rsid w:val="00EE1187"/>
    <w:rsid w:val="00EE11FA"/>
    <w:rsid w:val="00EE1215"/>
    <w:rsid w:val="00EE1289"/>
    <w:rsid w:val="00EE1303"/>
    <w:rsid w:val="00EE131B"/>
    <w:rsid w:val="00EE1351"/>
    <w:rsid w:val="00EE13BE"/>
    <w:rsid w:val="00EE13EB"/>
    <w:rsid w:val="00EE1401"/>
    <w:rsid w:val="00EE1451"/>
    <w:rsid w:val="00EE158C"/>
    <w:rsid w:val="00EE1602"/>
    <w:rsid w:val="00EE163E"/>
    <w:rsid w:val="00EE164D"/>
    <w:rsid w:val="00EE1682"/>
    <w:rsid w:val="00EE176A"/>
    <w:rsid w:val="00EE18B4"/>
    <w:rsid w:val="00EE1994"/>
    <w:rsid w:val="00EE19BD"/>
    <w:rsid w:val="00EE1A6B"/>
    <w:rsid w:val="00EE1A91"/>
    <w:rsid w:val="00EE1AB7"/>
    <w:rsid w:val="00EE1ABD"/>
    <w:rsid w:val="00EE1AC0"/>
    <w:rsid w:val="00EE1B5F"/>
    <w:rsid w:val="00EE1BC9"/>
    <w:rsid w:val="00EE1BFF"/>
    <w:rsid w:val="00EE1D7C"/>
    <w:rsid w:val="00EE1E3D"/>
    <w:rsid w:val="00EE1E62"/>
    <w:rsid w:val="00EE1F41"/>
    <w:rsid w:val="00EE200D"/>
    <w:rsid w:val="00EE207D"/>
    <w:rsid w:val="00EE209E"/>
    <w:rsid w:val="00EE2143"/>
    <w:rsid w:val="00EE214B"/>
    <w:rsid w:val="00EE2192"/>
    <w:rsid w:val="00EE2251"/>
    <w:rsid w:val="00EE2320"/>
    <w:rsid w:val="00EE2401"/>
    <w:rsid w:val="00EE2409"/>
    <w:rsid w:val="00EE240D"/>
    <w:rsid w:val="00EE2430"/>
    <w:rsid w:val="00EE246C"/>
    <w:rsid w:val="00EE24B8"/>
    <w:rsid w:val="00EE24C2"/>
    <w:rsid w:val="00EE250E"/>
    <w:rsid w:val="00EE253C"/>
    <w:rsid w:val="00EE2557"/>
    <w:rsid w:val="00EE2569"/>
    <w:rsid w:val="00EE25A8"/>
    <w:rsid w:val="00EE2631"/>
    <w:rsid w:val="00EE2721"/>
    <w:rsid w:val="00EE274A"/>
    <w:rsid w:val="00EE293C"/>
    <w:rsid w:val="00EE296C"/>
    <w:rsid w:val="00EE29D6"/>
    <w:rsid w:val="00EE2A5D"/>
    <w:rsid w:val="00EE2ABC"/>
    <w:rsid w:val="00EE2B73"/>
    <w:rsid w:val="00EE2C1C"/>
    <w:rsid w:val="00EE2C85"/>
    <w:rsid w:val="00EE2D65"/>
    <w:rsid w:val="00EE2D66"/>
    <w:rsid w:val="00EE2E07"/>
    <w:rsid w:val="00EE2F31"/>
    <w:rsid w:val="00EE2F71"/>
    <w:rsid w:val="00EE2FC1"/>
    <w:rsid w:val="00EE3090"/>
    <w:rsid w:val="00EE30D8"/>
    <w:rsid w:val="00EE3107"/>
    <w:rsid w:val="00EE3154"/>
    <w:rsid w:val="00EE31D9"/>
    <w:rsid w:val="00EE33C2"/>
    <w:rsid w:val="00EE33D1"/>
    <w:rsid w:val="00EE34F8"/>
    <w:rsid w:val="00EE3562"/>
    <w:rsid w:val="00EE356B"/>
    <w:rsid w:val="00EE3590"/>
    <w:rsid w:val="00EE3591"/>
    <w:rsid w:val="00EE35B6"/>
    <w:rsid w:val="00EE35E8"/>
    <w:rsid w:val="00EE3655"/>
    <w:rsid w:val="00EE3660"/>
    <w:rsid w:val="00EE369B"/>
    <w:rsid w:val="00EE369F"/>
    <w:rsid w:val="00EE36F1"/>
    <w:rsid w:val="00EE379F"/>
    <w:rsid w:val="00EE37D6"/>
    <w:rsid w:val="00EE3875"/>
    <w:rsid w:val="00EE38AB"/>
    <w:rsid w:val="00EE38E5"/>
    <w:rsid w:val="00EE3905"/>
    <w:rsid w:val="00EE391A"/>
    <w:rsid w:val="00EE3938"/>
    <w:rsid w:val="00EE3AB2"/>
    <w:rsid w:val="00EE3AB5"/>
    <w:rsid w:val="00EE3B37"/>
    <w:rsid w:val="00EE3B4E"/>
    <w:rsid w:val="00EE3B69"/>
    <w:rsid w:val="00EE3B6B"/>
    <w:rsid w:val="00EE3BA2"/>
    <w:rsid w:val="00EE3BB7"/>
    <w:rsid w:val="00EE3C21"/>
    <w:rsid w:val="00EE3C96"/>
    <w:rsid w:val="00EE3C9A"/>
    <w:rsid w:val="00EE3CCE"/>
    <w:rsid w:val="00EE3D0B"/>
    <w:rsid w:val="00EE3D65"/>
    <w:rsid w:val="00EE3D68"/>
    <w:rsid w:val="00EE3DB9"/>
    <w:rsid w:val="00EE3DD9"/>
    <w:rsid w:val="00EE3E59"/>
    <w:rsid w:val="00EE3E89"/>
    <w:rsid w:val="00EE3EEC"/>
    <w:rsid w:val="00EE3EF1"/>
    <w:rsid w:val="00EE3F81"/>
    <w:rsid w:val="00EE3F9C"/>
    <w:rsid w:val="00EE3FFB"/>
    <w:rsid w:val="00EE4061"/>
    <w:rsid w:val="00EE40A0"/>
    <w:rsid w:val="00EE40EC"/>
    <w:rsid w:val="00EE40F4"/>
    <w:rsid w:val="00EE4106"/>
    <w:rsid w:val="00EE4128"/>
    <w:rsid w:val="00EE4130"/>
    <w:rsid w:val="00EE4266"/>
    <w:rsid w:val="00EE4271"/>
    <w:rsid w:val="00EE42A6"/>
    <w:rsid w:val="00EE42D4"/>
    <w:rsid w:val="00EE4310"/>
    <w:rsid w:val="00EE4346"/>
    <w:rsid w:val="00EE4363"/>
    <w:rsid w:val="00EE4459"/>
    <w:rsid w:val="00EE44DD"/>
    <w:rsid w:val="00EE45B4"/>
    <w:rsid w:val="00EE4639"/>
    <w:rsid w:val="00EE46A4"/>
    <w:rsid w:val="00EE46F9"/>
    <w:rsid w:val="00EE4713"/>
    <w:rsid w:val="00EE4742"/>
    <w:rsid w:val="00EE477C"/>
    <w:rsid w:val="00EE47DD"/>
    <w:rsid w:val="00EE47E9"/>
    <w:rsid w:val="00EE487D"/>
    <w:rsid w:val="00EE488D"/>
    <w:rsid w:val="00EE49BB"/>
    <w:rsid w:val="00EE4A59"/>
    <w:rsid w:val="00EE4A95"/>
    <w:rsid w:val="00EE4BDB"/>
    <w:rsid w:val="00EE4C98"/>
    <w:rsid w:val="00EE4CA7"/>
    <w:rsid w:val="00EE4CA8"/>
    <w:rsid w:val="00EE4CB6"/>
    <w:rsid w:val="00EE4D02"/>
    <w:rsid w:val="00EE4D1D"/>
    <w:rsid w:val="00EE4D42"/>
    <w:rsid w:val="00EE4ED5"/>
    <w:rsid w:val="00EE4EEC"/>
    <w:rsid w:val="00EE4F08"/>
    <w:rsid w:val="00EE4F5B"/>
    <w:rsid w:val="00EE502E"/>
    <w:rsid w:val="00EE51B8"/>
    <w:rsid w:val="00EE51E0"/>
    <w:rsid w:val="00EE5335"/>
    <w:rsid w:val="00EE553C"/>
    <w:rsid w:val="00EE558A"/>
    <w:rsid w:val="00EE5647"/>
    <w:rsid w:val="00EE568F"/>
    <w:rsid w:val="00EE56EA"/>
    <w:rsid w:val="00EE56F3"/>
    <w:rsid w:val="00EE56FE"/>
    <w:rsid w:val="00EE5729"/>
    <w:rsid w:val="00EE5770"/>
    <w:rsid w:val="00EE57AC"/>
    <w:rsid w:val="00EE5812"/>
    <w:rsid w:val="00EE58D3"/>
    <w:rsid w:val="00EE58F3"/>
    <w:rsid w:val="00EE5939"/>
    <w:rsid w:val="00EE596B"/>
    <w:rsid w:val="00EE5A13"/>
    <w:rsid w:val="00EE5B05"/>
    <w:rsid w:val="00EE5B0D"/>
    <w:rsid w:val="00EE5B2E"/>
    <w:rsid w:val="00EE5B52"/>
    <w:rsid w:val="00EE5C1A"/>
    <w:rsid w:val="00EE5C29"/>
    <w:rsid w:val="00EE5C85"/>
    <w:rsid w:val="00EE5CC7"/>
    <w:rsid w:val="00EE5D43"/>
    <w:rsid w:val="00EE5E0F"/>
    <w:rsid w:val="00EE5E75"/>
    <w:rsid w:val="00EE5F84"/>
    <w:rsid w:val="00EE5FA0"/>
    <w:rsid w:val="00EE5FDE"/>
    <w:rsid w:val="00EE6099"/>
    <w:rsid w:val="00EE609B"/>
    <w:rsid w:val="00EE61A0"/>
    <w:rsid w:val="00EE6240"/>
    <w:rsid w:val="00EE636A"/>
    <w:rsid w:val="00EE63F1"/>
    <w:rsid w:val="00EE6495"/>
    <w:rsid w:val="00EE64BC"/>
    <w:rsid w:val="00EE6686"/>
    <w:rsid w:val="00EE6766"/>
    <w:rsid w:val="00EE6781"/>
    <w:rsid w:val="00EE6807"/>
    <w:rsid w:val="00EE688B"/>
    <w:rsid w:val="00EE68CA"/>
    <w:rsid w:val="00EE68F7"/>
    <w:rsid w:val="00EE6905"/>
    <w:rsid w:val="00EE69BA"/>
    <w:rsid w:val="00EE6A12"/>
    <w:rsid w:val="00EE6AB6"/>
    <w:rsid w:val="00EE6ACC"/>
    <w:rsid w:val="00EE6AEF"/>
    <w:rsid w:val="00EE6AF0"/>
    <w:rsid w:val="00EE6BC1"/>
    <w:rsid w:val="00EE6BD0"/>
    <w:rsid w:val="00EE6C2B"/>
    <w:rsid w:val="00EE6C40"/>
    <w:rsid w:val="00EE6CC3"/>
    <w:rsid w:val="00EE6CCA"/>
    <w:rsid w:val="00EE6CFE"/>
    <w:rsid w:val="00EE6D2D"/>
    <w:rsid w:val="00EE6DD0"/>
    <w:rsid w:val="00EE6FA8"/>
    <w:rsid w:val="00EE6FB5"/>
    <w:rsid w:val="00EE6FFA"/>
    <w:rsid w:val="00EE704E"/>
    <w:rsid w:val="00EE7072"/>
    <w:rsid w:val="00EE7316"/>
    <w:rsid w:val="00EE735B"/>
    <w:rsid w:val="00EE73D4"/>
    <w:rsid w:val="00EE7469"/>
    <w:rsid w:val="00EE7593"/>
    <w:rsid w:val="00EE75F8"/>
    <w:rsid w:val="00EE762A"/>
    <w:rsid w:val="00EE763B"/>
    <w:rsid w:val="00EE7647"/>
    <w:rsid w:val="00EE768A"/>
    <w:rsid w:val="00EE769E"/>
    <w:rsid w:val="00EE769F"/>
    <w:rsid w:val="00EE76A1"/>
    <w:rsid w:val="00EE77A4"/>
    <w:rsid w:val="00EE7826"/>
    <w:rsid w:val="00EE7844"/>
    <w:rsid w:val="00EE7848"/>
    <w:rsid w:val="00EE78EF"/>
    <w:rsid w:val="00EE7961"/>
    <w:rsid w:val="00EE7A28"/>
    <w:rsid w:val="00EE7A8C"/>
    <w:rsid w:val="00EE7AF0"/>
    <w:rsid w:val="00EE7B1E"/>
    <w:rsid w:val="00EE7B5E"/>
    <w:rsid w:val="00EE7BEC"/>
    <w:rsid w:val="00EE7C2B"/>
    <w:rsid w:val="00EE7CD5"/>
    <w:rsid w:val="00EE7D7B"/>
    <w:rsid w:val="00EE7DB3"/>
    <w:rsid w:val="00EE7E69"/>
    <w:rsid w:val="00EE7E93"/>
    <w:rsid w:val="00EE7F19"/>
    <w:rsid w:val="00EEBE84"/>
    <w:rsid w:val="00EF0010"/>
    <w:rsid w:val="00EF0018"/>
    <w:rsid w:val="00EF0062"/>
    <w:rsid w:val="00EF00DC"/>
    <w:rsid w:val="00EF0138"/>
    <w:rsid w:val="00EF016E"/>
    <w:rsid w:val="00EF0220"/>
    <w:rsid w:val="00EF0245"/>
    <w:rsid w:val="00EF035B"/>
    <w:rsid w:val="00EF037B"/>
    <w:rsid w:val="00EF039E"/>
    <w:rsid w:val="00EF03E8"/>
    <w:rsid w:val="00EF0434"/>
    <w:rsid w:val="00EF04EC"/>
    <w:rsid w:val="00EF0501"/>
    <w:rsid w:val="00EF0559"/>
    <w:rsid w:val="00EF058C"/>
    <w:rsid w:val="00EF05D5"/>
    <w:rsid w:val="00EF0606"/>
    <w:rsid w:val="00EF065A"/>
    <w:rsid w:val="00EF06C7"/>
    <w:rsid w:val="00EF0732"/>
    <w:rsid w:val="00EF075F"/>
    <w:rsid w:val="00EF077C"/>
    <w:rsid w:val="00EF077F"/>
    <w:rsid w:val="00EF07BF"/>
    <w:rsid w:val="00EF07DE"/>
    <w:rsid w:val="00EF0838"/>
    <w:rsid w:val="00EF08FA"/>
    <w:rsid w:val="00EF092F"/>
    <w:rsid w:val="00EF09F2"/>
    <w:rsid w:val="00EF0ADE"/>
    <w:rsid w:val="00EF0BBD"/>
    <w:rsid w:val="00EF0D09"/>
    <w:rsid w:val="00EF0D4A"/>
    <w:rsid w:val="00EF0D52"/>
    <w:rsid w:val="00EF0D67"/>
    <w:rsid w:val="00EF0E66"/>
    <w:rsid w:val="00EF1109"/>
    <w:rsid w:val="00EF1140"/>
    <w:rsid w:val="00EF11F8"/>
    <w:rsid w:val="00EF1286"/>
    <w:rsid w:val="00EF12E5"/>
    <w:rsid w:val="00EF1375"/>
    <w:rsid w:val="00EF13D8"/>
    <w:rsid w:val="00EF145A"/>
    <w:rsid w:val="00EF1489"/>
    <w:rsid w:val="00EF1509"/>
    <w:rsid w:val="00EF156D"/>
    <w:rsid w:val="00EF159B"/>
    <w:rsid w:val="00EF15E6"/>
    <w:rsid w:val="00EF1607"/>
    <w:rsid w:val="00EF1652"/>
    <w:rsid w:val="00EF1679"/>
    <w:rsid w:val="00EF172B"/>
    <w:rsid w:val="00EF1740"/>
    <w:rsid w:val="00EF1773"/>
    <w:rsid w:val="00EF17A7"/>
    <w:rsid w:val="00EF17C7"/>
    <w:rsid w:val="00EF1862"/>
    <w:rsid w:val="00EF1884"/>
    <w:rsid w:val="00EF188F"/>
    <w:rsid w:val="00EF192C"/>
    <w:rsid w:val="00EF194D"/>
    <w:rsid w:val="00EF1969"/>
    <w:rsid w:val="00EF196A"/>
    <w:rsid w:val="00EF1A72"/>
    <w:rsid w:val="00EF1AA5"/>
    <w:rsid w:val="00EF1B6E"/>
    <w:rsid w:val="00EF1B70"/>
    <w:rsid w:val="00EF1BCE"/>
    <w:rsid w:val="00EF1D4E"/>
    <w:rsid w:val="00EF1E10"/>
    <w:rsid w:val="00EF1E73"/>
    <w:rsid w:val="00EF1ECF"/>
    <w:rsid w:val="00EF1F1F"/>
    <w:rsid w:val="00EF1FDA"/>
    <w:rsid w:val="00EF20BB"/>
    <w:rsid w:val="00EF218D"/>
    <w:rsid w:val="00EF21D7"/>
    <w:rsid w:val="00EF22F3"/>
    <w:rsid w:val="00EF2444"/>
    <w:rsid w:val="00EF264F"/>
    <w:rsid w:val="00EF265D"/>
    <w:rsid w:val="00EF2692"/>
    <w:rsid w:val="00EF26B5"/>
    <w:rsid w:val="00EF26BC"/>
    <w:rsid w:val="00EF26F0"/>
    <w:rsid w:val="00EF2824"/>
    <w:rsid w:val="00EF28AF"/>
    <w:rsid w:val="00EF2920"/>
    <w:rsid w:val="00EF2B0A"/>
    <w:rsid w:val="00EF2B20"/>
    <w:rsid w:val="00EF2B66"/>
    <w:rsid w:val="00EF2C76"/>
    <w:rsid w:val="00EF2CBA"/>
    <w:rsid w:val="00EF2D82"/>
    <w:rsid w:val="00EF2DE9"/>
    <w:rsid w:val="00EF2E7D"/>
    <w:rsid w:val="00EF2F29"/>
    <w:rsid w:val="00EF300C"/>
    <w:rsid w:val="00EF3023"/>
    <w:rsid w:val="00EF3070"/>
    <w:rsid w:val="00EF3174"/>
    <w:rsid w:val="00EF31F0"/>
    <w:rsid w:val="00EF329A"/>
    <w:rsid w:val="00EF32D5"/>
    <w:rsid w:val="00EF32EA"/>
    <w:rsid w:val="00EF33EE"/>
    <w:rsid w:val="00EF3432"/>
    <w:rsid w:val="00EF3544"/>
    <w:rsid w:val="00EF3576"/>
    <w:rsid w:val="00EF364C"/>
    <w:rsid w:val="00EF372C"/>
    <w:rsid w:val="00EF3776"/>
    <w:rsid w:val="00EF39AB"/>
    <w:rsid w:val="00EF3A21"/>
    <w:rsid w:val="00EF3A28"/>
    <w:rsid w:val="00EF3ACA"/>
    <w:rsid w:val="00EF3B12"/>
    <w:rsid w:val="00EF3BA7"/>
    <w:rsid w:val="00EF3C19"/>
    <w:rsid w:val="00EF3CC6"/>
    <w:rsid w:val="00EF3CD5"/>
    <w:rsid w:val="00EF3D05"/>
    <w:rsid w:val="00EF3E59"/>
    <w:rsid w:val="00EF3EE8"/>
    <w:rsid w:val="00EF3F30"/>
    <w:rsid w:val="00EF3F50"/>
    <w:rsid w:val="00EF3FEF"/>
    <w:rsid w:val="00EF4011"/>
    <w:rsid w:val="00EF4056"/>
    <w:rsid w:val="00EF40BD"/>
    <w:rsid w:val="00EF4236"/>
    <w:rsid w:val="00EF4267"/>
    <w:rsid w:val="00EF42F0"/>
    <w:rsid w:val="00EF433A"/>
    <w:rsid w:val="00EF4382"/>
    <w:rsid w:val="00EF438B"/>
    <w:rsid w:val="00EF4400"/>
    <w:rsid w:val="00EF4436"/>
    <w:rsid w:val="00EF44A4"/>
    <w:rsid w:val="00EF44D6"/>
    <w:rsid w:val="00EF4512"/>
    <w:rsid w:val="00EF4674"/>
    <w:rsid w:val="00EF472A"/>
    <w:rsid w:val="00EF47B2"/>
    <w:rsid w:val="00EF4896"/>
    <w:rsid w:val="00EF48A9"/>
    <w:rsid w:val="00EF48F9"/>
    <w:rsid w:val="00EF491A"/>
    <w:rsid w:val="00EF498E"/>
    <w:rsid w:val="00EF49B1"/>
    <w:rsid w:val="00EF49F7"/>
    <w:rsid w:val="00EF4A57"/>
    <w:rsid w:val="00EF4AB8"/>
    <w:rsid w:val="00EF4B4E"/>
    <w:rsid w:val="00EF4C57"/>
    <w:rsid w:val="00EF4CB8"/>
    <w:rsid w:val="00EF4CC7"/>
    <w:rsid w:val="00EF4CCA"/>
    <w:rsid w:val="00EF4D54"/>
    <w:rsid w:val="00EF4DEC"/>
    <w:rsid w:val="00EF4EA3"/>
    <w:rsid w:val="00EF4F1D"/>
    <w:rsid w:val="00EF4F2C"/>
    <w:rsid w:val="00EF4F9F"/>
    <w:rsid w:val="00EF4FC0"/>
    <w:rsid w:val="00EF4FC1"/>
    <w:rsid w:val="00EF4FE0"/>
    <w:rsid w:val="00EF501F"/>
    <w:rsid w:val="00EF5054"/>
    <w:rsid w:val="00EF511D"/>
    <w:rsid w:val="00EF5160"/>
    <w:rsid w:val="00EF52D8"/>
    <w:rsid w:val="00EF53DD"/>
    <w:rsid w:val="00EF5428"/>
    <w:rsid w:val="00EF5446"/>
    <w:rsid w:val="00EF544A"/>
    <w:rsid w:val="00EF5489"/>
    <w:rsid w:val="00EF548F"/>
    <w:rsid w:val="00EF54BA"/>
    <w:rsid w:val="00EF54BD"/>
    <w:rsid w:val="00EF54D4"/>
    <w:rsid w:val="00EF562B"/>
    <w:rsid w:val="00EF5780"/>
    <w:rsid w:val="00EF59AF"/>
    <w:rsid w:val="00EF59E4"/>
    <w:rsid w:val="00EF5A1A"/>
    <w:rsid w:val="00EF5AFA"/>
    <w:rsid w:val="00EF5B0C"/>
    <w:rsid w:val="00EF5C01"/>
    <w:rsid w:val="00EF5C50"/>
    <w:rsid w:val="00EF5C71"/>
    <w:rsid w:val="00EF5C86"/>
    <w:rsid w:val="00EF5CD9"/>
    <w:rsid w:val="00EF5CEB"/>
    <w:rsid w:val="00EF5D0E"/>
    <w:rsid w:val="00EF5D69"/>
    <w:rsid w:val="00EF5E24"/>
    <w:rsid w:val="00EF5F2F"/>
    <w:rsid w:val="00EF5FB9"/>
    <w:rsid w:val="00EF5FDB"/>
    <w:rsid w:val="00EF6058"/>
    <w:rsid w:val="00EF606B"/>
    <w:rsid w:val="00EF60A5"/>
    <w:rsid w:val="00EF60B9"/>
    <w:rsid w:val="00EF60F5"/>
    <w:rsid w:val="00EF61A1"/>
    <w:rsid w:val="00EF61B4"/>
    <w:rsid w:val="00EF6232"/>
    <w:rsid w:val="00EF6263"/>
    <w:rsid w:val="00EF6285"/>
    <w:rsid w:val="00EF629E"/>
    <w:rsid w:val="00EF6347"/>
    <w:rsid w:val="00EF6357"/>
    <w:rsid w:val="00EF6437"/>
    <w:rsid w:val="00EF6474"/>
    <w:rsid w:val="00EF6475"/>
    <w:rsid w:val="00EF649C"/>
    <w:rsid w:val="00EF64C0"/>
    <w:rsid w:val="00EF65B6"/>
    <w:rsid w:val="00EF65D7"/>
    <w:rsid w:val="00EF6625"/>
    <w:rsid w:val="00EF6667"/>
    <w:rsid w:val="00EF66BD"/>
    <w:rsid w:val="00EF6770"/>
    <w:rsid w:val="00EF686E"/>
    <w:rsid w:val="00EF6893"/>
    <w:rsid w:val="00EF689B"/>
    <w:rsid w:val="00EF68CF"/>
    <w:rsid w:val="00EF68EE"/>
    <w:rsid w:val="00EF6977"/>
    <w:rsid w:val="00EF69B8"/>
    <w:rsid w:val="00EF6AFF"/>
    <w:rsid w:val="00EF6B20"/>
    <w:rsid w:val="00EF6BAF"/>
    <w:rsid w:val="00EF6C2B"/>
    <w:rsid w:val="00EF6CC8"/>
    <w:rsid w:val="00EF6CDA"/>
    <w:rsid w:val="00EF6D54"/>
    <w:rsid w:val="00EF6D7E"/>
    <w:rsid w:val="00EF6DBD"/>
    <w:rsid w:val="00EF6E57"/>
    <w:rsid w:val="00EF6EC6"/>
    <w:rsid w:val="00EF6ECA"/>
    <w:rsid w:val="00EF6EE9"/>
    <w:rsid w:val="00EF6F4E"/>
    <w:rsid w:val="00EF6F9C"/>
    <w:rsid w:val="00EF6FF1"/>
    <w:rsid w:val="00EF7088"/>
    <w:rsid w:val="00EF70A9"/>
    <w:rsid w:val="00EF70B1"/>
    <w:rsid w:val="00EF711D"/>
    <w:rsid w:val="00EF7157"/>
    <w:rsid w:val="00EF71BD"/>
    <w:rsid w:val="00EF7375"/>
    <w:rsid w:val="00EF73CF"/>
    <w:rsid w:val="00EF7445"/>
    <w:rsid w:val="00EF7447"/>
    <w:rsid w:val="00EF745B"/>
    <w:rsid w:val="00EF7462"/>
    <w:rsid w:val="00EF747C"/>
    <w:rsid w:val="00EF749A"/>
    <w:rsid w:val="00EF7512"/>
    <w:rsid w:val="00EF762B"/>
    <w:rsid w:val="00EF762C"/>
    <w:rsid w:val="00EF763F"/>
    <w:rsid w:val="00EF7666"/>
    <w:rsid w:val="00EF77D2"/>
    <w:rsid w:val="00EF782E"/>
    <w:rsid w:val="00EF7830"/>
    <w:rsid w:val="00EF78C6"/>
    <w:rsid w:val="00EF78D6"/>
    <w:rsid w:val="00EF79B7"/>
    <w:rsid w:val="00EF7A1D"/>
    <w:rsid w:val="00EF7ADD"/>
    <w:rsid w:val="00EF7AE7"/>
    <w:rsid w:val="00EF7AEC"/>
    <w:rsid w:val="00EF7AEE"/>
    <w:rsid w:val="00EF7BE3"/>
    <w:rsid w:val="00EF7BE8"/>
    <w:rsid w:val="00EF7BEF"/>
    <w:rsid w:val="00EF7CDB"/>
    <w:rsid w:val="00EF7D4A"/>
    <w:rsid w:val="00F0008F"/>
    <w:rsid w:val="00F00093"/>
    <w:rsid w:val="00F0009A"/>
    <w:rsid w:val="00F000ED"/>
    <w:rsid w:val="00F00113"/>
    <w:rsid w:val="00F0017D"/>
    <w:rsid w:val="00F001B3"/>
    <w:rsid w:val="00F001B6"/>
    <w:rsid w:val="00F001E6"/>
    <w:rsid w:val="00F00240"/>
    <w:rsid w:val="00F003C2"/>
    <w:rsid w:val="00F003F9"/>
    <w:rsid w:val="00F0042E"/>
    <w:rsid w:val="00F00571"/>
    <w:rsid w:val="00F005AC"/>
    <w:rsid w:val="00F005D5"/>
    <w:rsid w:val="00F005FB"/>
    <w:rsid w:val="00F00672"/>
    <w:rsid w:val="00F0077C"/>
    <w:rsid w:val="00F007EC"/>
    <w:rsid w:val="00F00858"/>
    <w:rsid w:val="00F009BC"/>
    <w:rsid w:val="00F00B1D"/>
    <w:rsid w:val="00F00B49"/>
    <w:rsid w:val="00F00BF0"/>
    <w:rsid w:val="00F00C77"/>
    <w:rsid w:val="00F00CC1"/>
    <w:rsid w:val="00F00CEE"/>
    <w:rsid w:val="00F00D35"/>
    <w:rsid w:val="00F00D3C"/>
    <w:rsid w:val="00F00D7E"/>
    <w:rsid w:val="00F00D85"/>
    <w:rsid w:val="00F00F0F"/>
    <w:rsid w:val="00F00F29"/>
    <w:rsid w:val="00F00FD6"/>
    <w:rsid w:val="00F0102A"/>
    <w:rsid w:val="00F01089"/>
    <w:rsid w:val="00F010DF"/>
    <w:rsid w:val="00F0111A"/>
    <w:rsid w:val="00F01126"/>
    <w:rsid w:val="00F0117A"/>
    <w:rsid w:val="00F01188"/>
    <w:rsid w:val="00F011AC"/>
    <w:rsid w:val="00F01209"/>
    <w:rsid w:val="00F01273"/>
    <w:rsid w:val="00F01317"/>
    <w:rsid w:val="00F01322"/>
    <w:rsid w:val="00F0136B"/>
    <w:rsid w:val="00F013D3"/>
    <w:rsid w:val="00F01431"/>
    <w:rsid w:val="00F01472"/>
    <w:rsid w:val="00F014A4"/>
    <w:rsid w:val="00F014B9"/>
    <w:rsid w:val="00F014CC"/>
    <w:rsid w:val="00F014D7"/>
    <w:rsid w:val="00F0158A"/>
    <w:rsid w:val="00F01643"/>
    <w:rsid w:val="00F01697"/>
    <w:rsid w:val="00F016B4"/>
    <w:rsid w:val="00F01800"/>
    <w:rsid w:val="00F0187F"/>
    <w:rsid w:val="00F018D9"/>
    <w:rsid w:val="00F01945"/>
    <w:rsid w:val="00F019F1"/>
    <w:rsid w:val="00F01A33"/>
    <w:rsid w:val="00F01B92"/>
    <w:rsid w:val="00F01B9A"/>
    <w:rsid w:val="00F01C39"/>
    <w:rsid w:val="00F01DFB"/>
    <w:rsid w:val="00F01E38"/>
    <w:rsid w:val="00F01E62"/>
    <w:rsid w:val="00F01E63"/>
    <w:rsid w:val="00F01E99"/>
    <w:rsid w:val="00F01EC9"/>
    <w:rsid w:val="00F01F20"/>
    <w:rsid w:val="00F01F21"/>
    <w:rsid w:val="00F01F2F"/>
    <w:rsid w:val="00F01F4B"/>
    <w:rsid w:val="00F01FC3"/>
    <w:rsid w:val="00F0204F"/>
    <w:rsid w:val="00F020AA"/>
    <w:rsid w:val="00F02140"/>
    <w:rsid w:val="00F021F0"/>
    <w:rsid w:val="00F02219"/>
    <w:rsid w:val="00F02220"/>
    <w:rsid w:val="00F02271"/>
    <w:rsid w:val="00F022F9"/>
    <w:rsid w:val="00F02318"/>
    <w:rsid w:val="00F02335"/>
    <w:rsid w:val="00F0248C"/>
    <w:rsid w:val="00F02533"/>
    <w:rsid w:val="00F02576"/>
    <w:rsid w:val="00F02594"/>
    <w:rsid w:val="00F025B2"/>
    <w:rsid w:val="00F025B5"/>
    <w:rsid w:val="00F025BA"/>
    <w:rsid w:val="00F025FE"/>
    <w:rsid w:val="00F026A4"/>
    <w:rsid w:val="00F026ED"/>
    <w:rsid w:val="00F02732"/>
    <w:rsid w:val="00F0274B"/>
    <w:rsid w:val="00F0281A"/>
    <w:rsid w:val="00F02824"/>
    <w:rsid w:val="00F0286D"/>
    <w:rsid w:val="00F02891"/>
    <w:rsid w:val="00F028BD"/>
    <w:rsid w:val="00F029CB"/>
    <w:rsid w:val="00F02A02"/>
    <w:rsid w:val="00F02A9C"/>
    <w:rsid w:val="00F02B2D"/>
    <w:rsid w:val="00F02B42"/>
    <w:rsid w:val="00F02C48"/>
    <w:rsid w:val="00F02C71"/>
    <w:rsid w:val="00F02CE7"/>
    <w:rsid w:val="00F02D2C"/>
    <w:rsid w:val="00F02D7C"/>
    <w:rsid w:val="00F02D9D"/>
    <w:rsid w:val="00F02E03"/>
    <w:rsid w:val="00F02E2F"/>
    <w:rsid w:val="00F03029"/>
    <w:rsid w:val="00F03083"/>
    <w:rsid w:val="00F030A0"/>
    <w:rsid w:val="00F03118"/>
    <w:rsid w:val="00F031A0"/>
    <w:rsid w:val="00F032B1"/>
    <w:rsid w:val="00F032DE"/>
    <w:rsid w:val="00F03374"/>
    <w:rsid w:val="00F034D2"/>
    <w:rsid w:val="00F034F6"/>
    <w:rsid w:val="00F03550"/>
    <w:rsid w:val="00F03587"/>
    <w:rsid w:val="00F035F1"/>
    <w:rsid w:val="00F03650"/>
    <w:rsid w:val="00F03675"/>
    <w:rsid w:val="00F03762"/>
    <w:rsid w:val="00F0376D"/>
    <w:rsid w:val="00F0378D"/>
    <w:rsid w:val="00F03813"/>
    <w:rsid w:val="00F038A6"/>
    <w:rsid w:val="00F03970"/>
    <w:rsid w:val="00F039DE"/>
    <w:rsid w:val="00F039E5"/>
    <w:rsid w:val="00F03A24"/>
    <w:rsid w:val="00F03A4B"/>
    <w:rsid w:val="00F03A73"/>
    <w:rsid w:val="00F03B57"/>
    <w:rsid w:val="00F03B62"/>
    <w:rsid w:val="00F03C58"/>
    <w:rsid w:val="00F03F48"/>
    <w:rsid w:val="00F04005"/>
    <w:rsid w:val="00F04073"/>
    <w:rsid w:val="00F040C4"/>
    <w:rsid w:val="00F040E0"/>
    <w:rsid w:val="00F040E2"/>
    <w:rsid w:val="00F041D7"/>
    <w:rsid w:val="00F0423C"/>
    <w:rsid w:val="00F042A1"/>
    <w:rsid w:val="00F04307"/>
    <w:rsid w:val="00F0431E"/>
    <w:rsid w:val="00F043B4"/>
    <w:rsid w:val="00F044E6"/>
    <w:rsid w:val="00F04597"/>
    <w:rsid w:val="00F04638"/>
    <w:rsid w:val="00F046D3"/>
    <w:rsid w:val="00F046D4"/>
    <w:rsid w:val="00F046ED"/>
    <w:rsid w:val="00F04708"/>
    <w:rsid w:val="00F04732"/>
    <w:rsid w:val="00F047CD"/>
    <w:rsid w:val="00F0482D"/>
    <w:rsid w:val="00F0485B"/>
    <w:rsid w:val="00F0489D"/>
    <w:rsid w:val="00F048AF"/>
    <w:rsid w:val="00F04907"/>
    <w:rsid w:val="00F04970"/>
    <w:rsid w:val="00F04A9D"/>
    <w:rsid w:val="00F04AAC"/>
    <w:rsid w:val="00F04B2D"/>
    <w:rsid w:val="00F04B85"/>
    <w:rsid w:val="00F04B9B"/>
    <w:rsid w:val="00F04BA7"/>
    <w:rsid w:val="00F04C07"/>
    <w:rsid w:val="00F04C0C"/>
    <w:rsid w:val="00F04CD5"/>
    <w:rsid w:val="00F04D67"/>
    <w:rsid w:val="00F04E77"/>
    <w:rsid w:val="00F04EA0"/>
    <w:rsid w:val="00F04FA2"/>
    <w:rsid w:val="00F05114"/>
    <w:rsid w:val="00F0517B"/>
    <w:rsid w:val="00F051EA"/>
    <w:rsid w:val="00F05316"/>
    <w:rsid w:val="00F053B8"/>
    <w:rsid w:val="00F053F8"/>
    <w:rsid w:val="00F054B2"/>
    <w:rsid w:val="00F054DD"/>
    <w:rsid w:val="00F054EC"/>
    <w:rsid w:val="00F05502"/>
    <w:rsid w:val="00F0553B"/>
    <w:rsid w:val="00F05546"/>
    <w:rsid w:val="00F05557"/>
    <w:rsid w:val="00F0565B"/>
    <w:rsid w:val="00F0566F"/>
    <w:rsid w:val="00F05704"/>
    <w:rsid w:val="00F05727"/>
    <w:rsid w:val="00F05779"/>
    <w:rsid w:val="00F05793"/>
    <w:rsid w:val="00F0579C"/>
    <w:rsid w:val="00F0589A"/>
    <w:rsid w:val="00F05A42"/>
    <w:rsid w:val="00F05A70"/>
    <w:rsid w:val="00F05A9E"/>
    <w:rsid w:val="00F05AA3"/>
    <w:rsid w:val="00F05B0E"/>
    <w:rsid w:val="00F05B41"/>
    <w:rsid w:val="00F05B61"/>
    <w:rsid w:val="00F05B85"/>
    <w:rsid w:val="00F05BC8"/>
    <w:rsid w:val="00F05C06"/>
    <w:rsid w:val="00F05C27"/>
    <w:rsid w:val="00F05C72"/>
    <w:rsid w:val="00F05C96"/>
    <w:rsid w:val="00F05C9A"/>
    <w:rsid w:val="00F05D78"/>
    <w:rsid w:val="00F05D96"/>
    <w:rsid w:val="00F05DD3"/>
    <w:rsid w:val="00F05EA6"/>
    <w:rsid w:val="00F05F37"/>
    <w:rsid w:val="00F05F46"/>
    <w:rsid w:val="00F05F7E"/>
    <w:rsid w:val="00F06036"/>
    <w:rsid w:val="00F06046"/>
    <w:rsid w:val="00F0604E"/>
    <w:rsid w:val="00F06142"/>
    <w:rsid w:val="00F0619D"/>
    <w:rsid w:val="00F061EB"/>
    <w:rsid w:val="00F062E2"/>
    <w:rsid w:val="00F0632F"/>
    <w:rsid w:val="00F0639B"/>
    <w:rsid w:val="00F063CF"/>
    <w:rsid w:val="00F06447"/>
    <w:rsid w:val="00F066B6"/>
    <w:rsid w:val="00F06710"/>
    <w:rsid w:val="00F06782"/>
    <w:rsid w:val="00F06871"/>
    <w:rsid w:val="00F068F0"/>
    <w:rsid w:val="00F069BA"/>
    <w:rsid w:val="00F069E1"/>
    <w:rsid w:val="00F069E5"/>
    <w:rsid w:val="00F069E6"/>
    <w:rsid w:val="00F06A0A"/>
    <w:rsid w:val="00F06A37"/>
    <w:rsid w:val="00F06A96"/>
    <w:rsid w:val="00F06BA2"/>
    <w:rsid w:val="00F06BCE"/>
    <w:rsid w:val="00F06E50"/>
    <w:rsid w:val="00F06E53"/>
    <w:rsid w:val="00F06E59"/>
    <w:rsid w:val="00F06E64"/>
    <w:rsid w:val="00F06E88"/>
    <w:rsid w:val="00F06EF7"/>
    <w:rsid w:val="00F06F36"/>
    <w:rsid w:val="00F07034"/>
    <w:rsid w:val="00F0706E"/>
    <w:rsid w:val="00F0708B"/>
    <w:rsid w:val="00F07172"/>
    <w:rsid w:val="00F07257"/>
    <w:rsid w:val="00F0731B"/>
    <w:rsid w:val="00F07327"/>
    <w:rsid w:val="00F073D1"/>
    <w:rsid w:val="00F074EA"/>
    <w:rsid w:val="00F07659"/>
    <w:rsid w:val="00F076A8"/>
    <w:rsid w:val="00F077B8"/>
    <w:rsid w:val="00F077D6"/>
    <w:rsid w:val="00F079B3"/>
    <w:rsid w:val="00F07ADA"/>
    <w:rsid w:val="00F07C57"/>
    <w:rsid w:val="00F07C8F"/>
    <w:rsid w:val="00F07CB6"/>
    <w:rsid w:val="00F07D5D"/>
    <w:rsid w:val="00F07DA5"/>
    <w:rsid w:val="00F07DB4"/>
    <w:rsid w:val="00F07DE1"/>
    <w:rsid w:val="00F07DE2"/>
    <w:rsid w:val="00F07EA0"/>
    <w:rsid w:val="00F07EB9"/>
    <w:rsid w:val="00F100A3"/>
    <w:rsid w:val="00F100E4"/>
    <w:rsid w:val="00F10183"/>
    <w:rsid w:val="00F101AB"/>
    <w:rsid w:val="00F10258"/>
    <w:rsid w:val="00F102A6"/>
    <w:rsid w:val="00F102F4"/>
    <w:rsid w:val="00F10324"/>
    <w:rsid w:val="00F1038D"/>
    <w:rsid w:val="00F103E8"/>
    <w:rsid w:val="00F104CF"/>
    <w:rsid w:val="00F104DB"/>
    <w:rsid w:val="00F1052C"/>
    <w:rsid w:val="00F105AA"/>
    <w:rsid w:val="00F10638"/>
    <w:rsid w:val="00F1068B"/>
    <w:rsid w:val="00F106FB"/>
    <w:rsid w:val="00F106FD"/>
    <w:rsid w:val="00F10772"/>
    <w:rsid w:val="00F107AB"/>
    <w:rsid w:val="00F10831"/>
    <w:rsid w:val="00F10876"/>
    <w:rsid w:val="00F10945"/>
    <w:rsid w:val="00F10956"/>
    <w:rsid w:val="00F10966"/>
    <w:rsid w:val="00F10986"/>
    <w:rsid w:val="00F109D1"/>
    <w:rsid w:val="00F109DF"/>
    <w:rsid w:val="00F10A91"/>
    <w:rsid w:val="00F10BAF"/>
    <w:rsid w:val="00F10BE4"/>
    <w:rsid w:val="00F10CED"/>
    <w:rsid w:val="00F10D9B"/>
    <w:rsid w:val="00F10DAF"/>
    <w:rsid w:val="00F10E0A"/>
    <w:rsid w:val="00F10E84"/>
    <w:rsid w:val="00F10E88"/>
    <w:rsid w:val="00F10F4E"/>
    <w:rsid w:val="00F10F96"/>
    <w:rsid w:val="00F11049"/>
    <w:rsid w:val="00F110AC"/>
    <w:rsid w:val="00F110AF"/>
    <w:rsid w:val="00F110D6"/>
    <w:rsid w:val="00F11132"/>
    <w:rsid w:val="00F11166"/>
    <w:rsid w:val="00F1120D"/>
    <w:rsid w:val="00F11331"/>
    <w:rsid w:val="00F11367"/>
    <w:rsid w:val="00F11384"/>
    <w:rsid w:val="00F11466"/>
    <w:rsid w:val="00F11485"/>
    <w:rsid w:val="00F11486"/>
    <w:rsid w:val="00F115B2"/>
    <w:rsid w:val="00F115CE"/>
    <w:rsid w:val="00F1160B"/>
    <w:rsid w:val="00F11703"/>
    <w:rsid w:val="00F11791"/>
    <w:rsid w:val="00F11795"/>
    <w:rsid w:val="00F1180C"/>
    <w:rsid w:val="00F118AD"/>
    <w:rsid w:val="00F118AF"/>
    <w:rsid w:val="00F119C4"/>
    <w:rsid w:val="00F119F4"/>
    <w:rsid w:val="00F11ADF"/>
    <w:rsid w:val="00F11B20"/>
    <w:rsid w:val="00F11BB0"/>
    <w:rsid w:val="00F11BB2"/>
    <w:rsid w:val="00F11BEE"/>
    <w:rsid w:val="00F11CAD"/>
    <w:rsid w:val="00F11CB3"/>
    <w:rsid w:val="00F11D48"/>
    <w:rsid w:val="00F11D7B"/>
    <w:rsid w:val="00F11E18"/>
    <w:rsid w:val="00F11E1F"/>
    <w:rsid w:val="00F11F48"/>
    <w:rsid w:val="00F11F57"/>
    <w:rsid w:val="00F11F83"/>
    <w:rsid w:val="00F11FEE"/>
    <w:rsid w:val="00F12031"/>
    <w:rsid w:val="00F12173"/>
    <w:rsid w:val="00F12213"/>
    <w:rsid w:val="00F12223"/>
    <w:rsid w:val="00F12234"/>
    <w:rsid w:val="00F12245"/>
    <w:rsid w:val="00F122B8"/>
    <w:rsid w:val="00F122E5"/>
    <w:rsid w:val="00F1234B"/>
    <w:rsid w:val="00F1238D"/>
    <w:rsid w:val="00F124B4"/>
    <w:rsid w:val="00F124E4"/>
    <w:rsid w:val="00F124ED"/>
    <w:rsid w:val="00F125B7"/>
    <w:rsid w:val="00F1280A"/>
    <w:rsid w:val="00F1286B"/>
    <w:rsid w:val="00F128B2"/>
    <w:rsid w:val="00F128DD"/>
    <w:rsid w:val="00F12902"/>
    <w:rsid w:val="00F1290A"/>
    <w:rsid w:val="00F12968"/>
    <w:rsid w:val="00F12A48"/>
    <w:rsid w:val="00F12A65"/>
    <w:rsid w:val="00F12AE6"/>
    <w:rsid w:val="00F12B51"/>
    <w:rsid w:val="00F12C33"/>
    <w:rsid w:val="00F12C43"/>
    <w:rsid w:val="00F12C67"/>
    <w:rsid w:val="00F12D5F"/>
    <w:rsid w:val="00F12DB4"/>
    <w:rsid w:val="00F12DE0"/>
    <w:rsid w:val="00F12E2D"/>
    <w:rsid w:val="00F12F2D"/>
    <w:rsid w:val="00F12F3E"/>
    <w:rsid w:val="00F12F61"/>
    <w:rsid w:val="00F12FD8"/>
    <w:rsid w:val="00F130AE"/>
    <w:rsid w:val="00F13197"/>
    <w:rsid w:val="00F131FB"/>
    <w:rsid w:val="00F13317"/>
    <w:rsid w:val="00F1339C"/>
    <w:rsid w:val="00F133EF"/>
    <w:rsid w:val="00F1340D"/>
    <w:rsid w:val="00F1343C"/>
    <w:rsid w:val="00F134BE"/>
    <w:rsid w:val="00F134C5"/>
    <w:rsid w:val="00F135B1"/>
    <w:rsid w:val="00F1368C"/>
    <w:rsid w:val="00F1369A"/>
    <w:rsid w:val="00F136C4"/>
    <w:rsid w:val="00F136D1"/>
    <w:rsid w:val="00F13765"/>
    <w:rsid w:val="00F137BE"/>
    <w:rsid w:val="00F1382B"/>
    <w:rsid w:val="00F1385F"/>
    <w:rsid w:val="00F138D4"/>
    <w:rsid w:val="00F1396B"/>
    <w:rsid w:val="00F139C2"/>
    <w:rsid w:val="00F13A28"/>
    <w:rsid w:val="00F13A42"/>
    <w:rsid w:val="00F13A8A"/>
    <w:rsid w:val="00F13AB9"/>
    <w:rsid w:val="00F13AD8"/>
    <w:rsid w:val="00F13B02"/>
    <w:rsid w:val="00F13B24"/>
    <w:rsid w:val="00F13B6E"/>
    <w:rsid w:val="00F13C06"/>
    <w:rsid w:val="00F13C81"/>
    <w:rsid w:val="00F13CDA"/>
    <w:rsid w:val="00F13D37"/>
    <w:rsid w:val="00F13DD6"/>
    <w:rsid w:val="00F13DF5"/>
    <w:rsid w:val="00F13E70"/>
    <w:rsid w:val="00F13E9D"/>
    <w:rsid w:val="00F13EA3"/>
    <w:rsid w:val="00F13F0F"/>
    <w:rsid w:val="00F13FFF"/>
    <w:rsid w:val="00F14026"/>
    <w:rsid w:val="00F1408B"/>
    <w:rsid w:val="00F140AF"/>
    <w:rsid w:val="00F1424A"/>
    <w:rsid w:val="00F14291"/>
    <w:rsid w:val="00F14351"/>
    <w:rsid w:val="00F14379"/>
    <w:rsid w:val="00F143D1"/>
    <w:rsid w:val="00F143DA"/>
    <w:rsid w:val="00F14433"/>
    <w:rsid w:val="00F14455"/>
    <w:rsid w:val="00F14497"/>
    <w:rsid w:val="00F1449A"/>
    <w:rsid w:val="00F1449B"/>
    <w:rsid w:val="00F144B2"/>
    <w:rsid w:val="00F1453B"/>
    <w:rsid w:val="00F14574"/>
    <w:rsid w:val="00F14595"/>
    <w:rsid w:val="00F145F5"/>
    <w:rsid w:val="00F1460F"/>
    <w:rsid w:val="00F14628"/>
    <w:rsid w:val="00F14694"/>
    <w:rsid w:val="00F146E3"/>
    <w:rsid w:val="00F148CA"/>
    <w:rsid w:val="00F1497E"/>
    <w:rsid w:val="00F149D4"/>
    <w:rsid w:val="00F149E5"/>
    <w:rsid w:val="00F14A2E"/>
    <w:rsid w:val="00F14A72"/>
    <w:rsid w:val="00F14B7F"/>
    <w:rsid w:val="00F14B98"/>
    <w:rsid w:val="00F14C6D"/>
    <w:rsid w:val="00F14CBA"/>
    <w:rsid w:val="00F14D44"/>
    <w:rsid w:val="00F14E8D"/>
    <w:rsid w:val="00F14EAB"/>
    <w:rsid w:val="00F14F10"/>
    <w:rsid w:val="00F14F23"/>
    <w:rsid w:val="00F14F87"/>
    <w:rsid w:val="00F14FAF"/>
    <w:rsid w:val="00F14FDB"/>
    <w:rsid w:val="00F150BE"/>
    <w:rsid w:val="00F1511E"/>
    <w:rsid w:val="00F15126"/>
    <w:rsid w:val="00F1512B"/>
    <w:rsid w:val="00F1520A"/>
    <w:rsid w:val="00F15262"/>
    <w:rsid w:val="00F153E4"/>
    <w:rsid w:val="00F15433"/>
    <w:rsid w:val="00F1545D"/>
    <w:rsid w:val="00F154D0"/>
    <w:rsid w:val="00F154E9"/>
    <w:rsid w:val="00F15543"/>
    <w:rsid w:val="00F155A2"/>
    <w:rsid w:val="00F1562B"/>
    <w:rsid w:val="00F1562F"/>
    <w:rsid w:val="00F156E2"/>
    <w:rsid w:val="00F15722"/>
    <w:rsid w:val="00F15776"/>
    <w:rsid w:val="00F15842"/>
    <w:rsid w:val="00F1585F"/>
    <w:rsid w:val="00F15863"/>
    <w:rsid w:val="00F1589A"/>
    <w:rsid w:val="00F158F4"/>
    <w:rsid w:val="00F1596A"/>
    <w:rsid w:val="00F159EA"/>
    <w:rsid w:val="00F15A07"/>
    <w:rsid w:val="00F15A9C"/>
    <w:rsid w:val="00F15A9D"/>
    <w:rsid w:val="00F15ACE"/>
    <w:rsid w:val="00F15ADB"/>
    <w:rsid w:val="00F15B22"/>
    <w:rsid w:val="00F15BB3"/>
    <w:rsid w:val="00F15C35"/>
    <w:rsid w:val="00F15CAC"/>
    <w:rsid w:val="00F15D15"/>
    <w:rsid w:val="00F15D3B"/>
    <w:rsid w:val="00F15D4B"/>
    <w:rsid w:val="00F15D5E"/>
    <w:rsid w:val="00F15D6F"/>
    <w:rsid w:val="00F15DE3"/>
    <w:rsid w:val="00F15E0F"/>
    <w:rsid w:val="00F15F51"/>
    <w:rsid w:val="00F16104"/>
    <w:rsid w:val="00F1614F"/>
    <w:rsid w:val="00F16184"/>
    <w:rsid w:val="00F16233"/>
    <w:rsid w:val="00F16270"/>
    <w:rsid w:val="00F1633A"/>
    <w:rsid w:val="00F1649F"/>
    <w:rsid w:val="00F164E4"/>
    <w:rsid w:val="00F16500"/>
    <w:rsid w:val="00F1652B"/>
    <w:rsid w:val="00F16538"/>
    <w:rsid w:val="00F16556"/>
    <w:rsid w:val="00F165CE"/>
    <w:rsid w:val="00F1666C"/>
    <w:rsid w:val="00F16687"/>
    <w:rsid w:val="00F166DF"/>
    <w:rsid w:val="00F16721"/>
    <w:rsid w:val="00F1676C"/>
    <w:rsid w:val="00F169B3"/>
    <w:rsid w:val="00F16ADB"/>
    <w:rsid w:val="00F16CEB"/>
    <w:rsid w:val="00F16D4C"/>
    <w:rsid w:val="00F16D55"/>
    <w:rsid w:val="00F16DEF"/>
    <w:rsid w:val="00F16E10"/>
    <w:rsid w:val="00F16E13"/>
    <w:rsid w:val="00F16E85"/>
    <w:rsid w:val="00F16E86"/>
    <w:rsid w:val="00F16F15"/>
    <w:rsid w:val="00F16F58"/>
    <w:rsid w:val="00F16F78"/>
    <w:rsid w:val="00F17124"/>
    <w:rsid w:val="00F17173"/>
    <w:rsid w:val="00F17227"/>
    <w:rsid w:val="00F17242"/>
    <w:rsid w:val="00F17280"/>
    <w:rsid w:val="00F172F4"/>
    <w:rsid w:val="00F172FE"/>
    <w:rsid w:val="00F17386"/>
    <w:rsid w:val="00F173C4"/>
    <w:rsid w:val="00F17479"/>
    <w:rsid w:val="00F1758C"/>
    <w:rsid w:val="00F175B9"/>
    <w:rsid w:val="00F175C3"/>
    <w:rsid w:val="00F176F2"/>
    <w:rsid w:val="00F17850"/>
    <w:rsid w:val="00F178F2"/>
    <w:rsid w:val="00F1792D"/>
    <w:rsid w:val="00F17936"/>
    <w:rsid w:val="00F17983"/>
    <w:rsid w:val="00F179F1"/>
    <w:rsid w:val="00F17B61"/>
    <w:rsid w:val="00F17BBE"/>
    <w:rsid w:val="00F17C55"/>
    <w:rsid w:val="00F17DAE"/>
    <w:rsid w:val="00F17E21"/>
    <w:rsid w:val="00F17E25"/>
    <w:rsid w:val="00F17E80"/>
    <w:rsid w:val="00F17E91"/>
    <w:rsid w:val="00F17F5D"/>
    <w:rsid w:val="00F2000B"/>
    <w:rsid w:val="00F200A0"/>
    <w:rsid w:val="00F200B3"/>
    <w:rsid w:val="00F200B9"/>
    <w:rsid w:val="00F20144"/>
    <w:rsid w:val="00F20170"/>
    <w:rsid w:val="00F201CF"/>
    <w:rsid w:val="00F201F1"/>
    <w:rsid w:val="00F202AD"/>
    <w:rsid w:val="00F202C8"/>
    <w:rsid w:val="00F2035B"/>
    <w:rsid w:val="00F203CD"/>
    <w:rsid w:val="00F203D3"/>
    <w:rsid w:val="00F203EE"/>
    <w:rsid w:val="00F203F1"/>
    <w:rsid w:val="00F203FB"/>
    <w:rsid w:val="00F2040C"/>
    <w:rsid w:val="00F2043E"/>
    <w:rsid w:val="00F204C5"/>
    <w:rsid w:val="00F2050B"/>
    <w:rsid w:val="00F2053B"/>
    <w:rsid w:val="00F20576"/>
    <w:rsid w:val="00F205B9"/>
    <w:rsid w:val="00F20623"/>
    <w:rsid w:val="00F2063F"/>
    <w:rsid w:val="00F206BB"/>
    <w:rsid w:val="00F206C4"/>
    <w:rsid w:val="00F2074E"/>
    <w:rsid w:val="00F20820"/>
    <w:rsid w:val="00F208C1"/>
    <w:rsid w:val="00F20912"/>
    <w:rsid w:val="00F20933"/>
    <w:rsid w:val="00F209C0"/>
    <w:rsid w:val="00F20AA9"/>
    <w:rsid w:val="00F20BB4"/>
    <w:rsid w:val="00F20BDE"/>
    <w:rsid w:val="00F20BF5"/>
    <w:rsid w:val="00F20C04"/>
    <w:rsid w:val="00F20C36"/>
    <w:rsid w:val="00F20CBB"/>
    <w:rsid w:val="00F20CFB"/>
    <w:rsid w:val="00F20D6F"/>
    <w:rsid w:val="00F20DB1"/>
    <w:rsid w:val="00F20E71"/>
    <w:rsid w:val="00F20E8A"/>
    <w:rsid w:val="00F20F4E"/>
    <w:rsid w:val="00F21009"/>
    <w:rsid w:val="00F2113D"/>
    <w:rsid w:val="00F211A9"/>
    <w:rsid w:val="00F211F7"/>
    <w:rsid w:val="00F21288"/>
    <w:rsid w:val="00F213EB"/>
    <w:rsid w:val="00F21528"/>
    <w:rsid w:val="00F2157E"/>
    <w:rsid w:val="00F215BC"/>
    <w:rsid w:val="00F21602"/>
    <w:rsid w:val="00F21643"/>
    <w:rsid w:val="00F21677"/>
    <w:rsid w:val="00F216A3"/>
    <w:rsid w:val="00F21903"/>
    <w:rsid w:val="00F21909"/>
    <w:rsid w:val="00F21A32"/>
    <w:rsid w:val="00F21A44"/>
    <w:rsid w:val="00F21AC2"/>
    <w:rsid w:val="00F21BA9"/>
    <w:rsid w:val="00F21BB2"/>
    <w:rsid w:val="00F21CAA"/>
    <w:rsid w:val="00F21CCE"/>
    <w:rsid w:val="00F21CD8"/>
    <w:rsid w:val="00F21D98"/>
    <w:rsid w:val="00F21DCD"/>
    <w:rsid w:val="00F21EBF"/>
    <w:rsid w:val="00F21ECC"/>
    <w:rsid w:val="00F21F22"/>
    <w:rsid w:val="00F21F81"/>
    <w:rsid w:val="00F21FBB"/>
    <w:rsid w:val="00F21FBD"/>
    <w:rsid w:val="00F21FF8"/>
    <w:rsid w:val="00F22131"/>
    <w:rsid w:val="00F2213C"/>
    <w:rsid w:val="00F2225A"/>
    <w:rsid w:val="00F22266"/>
    <w:rsid w:val="00F222D6"/>
    <w:rsid w:val="00F22388"/>
    <w:rsid w:val="00F22394"/>
    <w:rsid w:val="00F2241D"/>
    <w:rsid w:val="00F2245F"/>
    <w:rsid w:val="00F2249B"/>
    <w:rsid w:val="00F22621"/>
    <w:rsid w:val="00F22629"/>
    <w:rsid w:val="00F227BC"/>
    <w:rsid w:val="00F2280B"/>
    <w:rsid w:val="00F228A4"/>
    <w:rsid w:val="00F228A6"/>
    <w:rsid w:val="00F228EF"/>
    <w:rsid w:val="00F22981"/>
    <w:rsid w:val="00F22B45"/>
    <w:rsid w:val="00F22C77"/>
    <w:rsid w:val="00F22CAB"/>
    <w:rsid w:val="00F22CE4"/>
    <w:rsid w:val="00F22DCA"/>
    <w:rsid w:val="00F22DE4"/>
    <w:rsid w:val="00F22DEF"/>
    <w:rsid w:val="00F22E97"/>
    <w:rsid w:val="00F22ED5"/>
    <w:rsid w:val="00F22EFE"/>
    <w:rsid w:val="00F22F6B"/>
    <w:rsid w:val="00F22F7D"/>
    <w:rsid w:val="00F2300D"/>
    <w:rsid w:val="00F230DF"/>
    <w:rsid w:val="00F23117"/>
    <w:rsid w:val="00F23118"/>
    <w:rsid w:val="00F231D3"/>
    <w:rsid w:val="00F2320B"/>
    <w:rsid w:val="00F23220"/>
    <w:rsid w:val="00F232A5"/>
    <w:rsid w:val="00F232C8"/>
    <w:rsid w:val="00F23329"/>
    <w:rsid w:val="00F23471"/>
    <w:rsid w:val="00F23480"/>
    <w:rsid w:val="00F23498"/>
    <w:rsid w:val="00F23682"/>
    <w:rsid w:val="00F23716"/>
    <w:rsid w:val="00F237A7"/>
    <w:rsid w:val="00F23822"/>
    <w:rsid w:val="00F2382E"/>
    <w:rsid w:val="00F238C4"/>
    <w:rsid w:val="00F238F9"/>
    <w:rsid w:val="00F23A81"/>
    <w:rsid w:val="00F23A84"/>
    <w:rsid w:val="00F23AC7"/>
    <w:rsid w:val="00F23AE6"/>
    <w:rsid w:val="00F23B60"/>
    <w:rsid w:val="00F23C21"/>
    <w:rsid w:val="00F23C53"/>
    <w:rsid w:val="00F23C6C"/>
    <w:rsid w:val="00F23D1E"/>
    <w:rsid w:val="00F23E61"/>
    <w:rsid w:val="00F23EFC"/>
    <w:rsid w:val="00F23F31"/>
    <w:rsid w:val="00F240B7"/>
    <w:rsid w:val="00F240CA"/>
    <w:rsid w:val="00F240CE"/>
    <w:rsid w:val="00F24137"/>
    <w:rsid w:val="00F241F7"/>
    <w:rsid w:val="00F2421E"/>
    <w:rsid w:val="00F24239"/>
    <w:rsid w:val="00F242A7"/>
    <w:rsid w:val="00F24370"/>
    <w:rsid w:val="00F243E7"/>
    <w:rsid w:val="00F2440E"/>
    <w:rsid w:val="00F2446D"/>
    <w:rsid w:val="00F244E1"/>
    <w:rsid w:val="00F2452D"/>
    <w:rsid w:val="00F24582"/>
    <w:rsid w:val="00F245C4"/>
    <w:rsid w:val="00F245EC"/>
    <w:rsid w:val="00F24670"/>
    <w:rsid w:val="00F2468D"/>
    <w:rsid w:val="00F246A8"/>
    <w:rsid w:val="00F246BE"/>
    <w:rsid w:val="00F24707"/>
    <w:rsid w:val="00F2477D"/>
    <w:rsid w:val="00F24838"/>
    <w:rsid w:val="00F2485A"/>
    <w:rsid w:val="00F248C3"/>
    <w:rsid w:val="00F248DD"/>
    <w:rsid w:val="00F24901"/>
    <w:rsid w:val="00F24986"/>
    <w:rsid w:val="00F249E0"/>
    <w:rsid w:val="00F24A1B"/>
    <w:rsid w:val="00F24A37"/>
    <w:rsid w:val="00F24A3F"/>
    <w:rsid w:val="00F24B2F"/>
    <w:rsid w:val="00F24B47"/>
    <w:rsid w:val="00F24B65"/>
    <w:rsid w:val="00F24B78"/>
    <w:rsid w:val="00F24B92"/>
    <w:rsid w:val="00F24BAA"/>
    <w:rsid w:val="00F24D17"/>
    <w:rsid w:val="00F24D44"/>
    <w:rsid w:val="00F24D45"/>
    <w:rsid w:val="00F24D4F"/>
    <w:rsid w:val="00F24E3E"/>
    <w:rsid w:val="00F24E42"/>
    <w:rsid w:val="00F24EB3"/>
    <w:rsid w:val="00F24EE1"/>
    <w:rsid w:val="00F2500A"/>
    <w:rsid w:val="00F250B4"/>
    <w:rsid w:val="00F252EA"/>
    <w:rsid w:val="00F253B6"/>
    <w:rsid w:val="00F2546A"/>
    <w:rsid w:val="00F25559"/>
    <w:rsid w:val="00F25591"/>
    <w:rsid w:val="00F255C5"/>
    <w:rsid w:val="00F255FE"/>
    <w:rsid w:val="00F25768"/>
    <w:rsid w:val="00F2578C"/>
    <w:rsid w:val="00F25792"/>
    <w:rsid w:val="00F257AC"/>
    <w:rsid w:val="00F257C4"/>
    <w:rsid w:val="00F258A4"/>
    <w:rsid w:val="00F2590C"/>
    <w:rsid w:val="00F25984"/>
    <w:rsid w:val="00F2599D"/>
    <w:rsid w:val="00F259DA"/>
    <w:rsid w:val="00F25A22"/>
    <w:rsid w:val="00F25A32"/>
    <w:rsid w:val="00F25A3B"/>
    <w:rsid w:val="00F25AB9"/>
    <w:rsid w:val="00F25AE9"/>
    <w:rsid w:val="00F25BFC"/>
    <w:rsid w:val="00F25C48"/>
    <w:rsid w:val="00F25DB1"/>
    <w:rsid w:val="00F25E4A"/>
    <w:rsid w:val="00F25EC2"/>
    <w:rsid w:val="00F25EE1"/>
    <w:rsid w:val="00F25FAC"/>
    <w:rsid w:val="00F25FBD"/>
    <w:rsid w:val="00F2603F"/>
    <w:rsid w:val="00F26105"/>
    <w:rsid w:val="00F2613D"/>
    <w:rsid w:val="00F26153"/>
    <w:rsid w:val="00F2615E"/>
    <w:rsid w:val="00F261E4"/>
    <w:rsid w:val="00F26204"/>
    <w:rsid w:val="00F26493"/>
    <w:rsid w:val="00F264CC"/>
    <w:rsid w:val="00F264DC"/>
    <w:rsid w:val="00F26615"/>
    <w:rsid w:val="00F2665F"/>
    <w:rsid w:val="00F26724"/>
    <w:rsid w:val="00F26792"/>
    <w:rsid w:val="00F26793"/>
    <w:rsid w:val="00F26835"/>
    <w:rsid w:val="00F268FC"/>
    <w:rsid w:val="00F269D1"/>
    <w:rsid w:val="00F26A4B"/>
    <w:rsid w:val="00F26A56"/>
    <w:rsid w:val="00F26A84"/>
    <w:rsid w:val="00F26ADE"/>
    <w:rsid w:val="00F26B27"/>
    <w:rsid w:val="00F26B65"/>
    <w:rsid w:val="00F26B83"/>
    <w:rsid w:val="00F26C47"/>
    <w:rsid w:val="00F26C5B"/>
    <w:rsid w:val="00F26CDB"/>
    <w:rsid w:val="00F26D12"/>
    <w:rsid w:val="00F26D15"/>
    <w:rsid w:val="00F26DD3"/>
    <w:rsid w:val="00F26E56"/>
    <w:rsid w:val="00F26F92"/>
    <w:rsid w:val="00F2700C"/>
    <w:rsid w:val="00F27078"/>
    <w:rsid w:val="00F2707F"/>
    <w:rsid w:val="00F271E8"/>
    <w:rsid w:val="00F2725B"/>
    <w:rsid w:val="00F272AA"/>
    <w:rsid w:val="00F273B6"/>
    <w:rsid w:val="00F273FC"/>
    <w:rsid w:val="00F274D7"/>
    <w:rsid w:val="00F27536"/>
    <w:rsid w:val="00F27553"/>
    <w:rsid w:val="00F2760D"/>
    <w:rsid w:val="00F2774B"/>
    <w:rsid w:val="00F27957"/>
    <w:rsid w:val="00F27986"/>
    <w:rsid w:val="00F27A32"/>
    <w:rsid w:val="00F27A58"/>
    <w:rsid w:val="00F27A5D"/>
    <w:rsid w:val="00F27A91"/>
    <w:rsid w:val="00F27B4D"/>
    <w:rsid w:val="00F27BC4"/>
    <w:rsid w:val="00F27C21"/>
    <w:rsid w:val="00F27C5F"/>
    <w:rsid w:val="00F27CE9"/>
    <w:rsid w:val="00F27D32"/>
    <w:rsid w:val="00F27E7E"/>
    <w:rsid w:val="00F27EAA"/>
    <w:rsid w:val="00F27F2E"/>
    <w:rsid w:val="00F27F3D"/>
    <w:rsid w:val="00F300E3"/>
    <w:rsid w:val="00F300F7"/>
    <w:rsid w:val="00F3011A"/>
    <w:rsid w:val="00F3018A"/>
    <w:rsid w:val="00F301A0"/>
    <w:rsid w:val="00F3024A"/>
    <w:rsid w:val="00F30290"/>
    <w:rsid w:val="00F30334"/>
    <w:rsid w:val="00F303B3"/>
    <w:rsid w:val="00F303BB"/>
    <w:rsid w:val="00F30480"/>
    <w:rsid w:val="00F305B1"/>
    <w:rsid w:val="00F305B8"/>
    <w:rsid w:val="00F30734"/>
    <w:rsid w:val="00F3092A"/>
    <w:rsid w:val="00F30935"/>
    <w:rsid w:val="00F30A03"/>
    <w:rsid w:val="00F30A52"/>
    <w:rsid w:val="00F30AAA"/>
    <w:rsid w:val="00F30AF0"/>
    <w:rsid w:val="00F30AF1"/>
    <w:rsid w:val="00F30BEA"/>
    <w:rsid w:val="00F30C52"/>
    <w:rsid w:val="00F30D4B"/>
    <w:rsid w:val="00F30D61"/>
    <w:rsid w:val="00F30DC6"/>
    <w:rsid w:val="00F30E0C"/>
    <w:rsid w:val="00F30E38"/>
    <w:rsid w:val="00F30F03"/>
    <w:rsid w:val="00F30F1C"/>
    <w:rsid w:val="00F30F52"/>
    <w:rsid w:val="00F30FC5"/>
    <w:rsid w:val="00F3101C"/>
    <w:rsid w:val="00F31046"/>
    <w:rsid w:val="00F3108F"/>
    <w:rsid w:val="00F3109B"/>
    <w:rsid w:val="00F310D0"/>
    <w:rsid w:val="00F3113B"/>
    <w:rsid w:val="00F3113E"/>
    <w:rsid w:val="00F31215"/>
    <w:rsid w:val="00F31297"/>
    <w:rsid w:val="00F312A6"/>
    <w:rsid w:val="00F3135A"/>
    <w:rsid w:val="00F31376"/>
    <w:rsid w:val="00F313A4"/>
    <w:rsid w:val="00F313BD"/>
    <w:rsid w:val="00F313D3"/>
    <w:rsid w:val="00F313DC"/>
    <w:rsid w:val="00F31457"/>
    <w:rsid w:val="00F31492"/>
    <w:rsid w:val="00F314D4"/>
    <w:rsid w:val="00F31549"/>
    <w:rsid w:val="00F315B5"/>
    <w:rsid w:val="00F31639"/>
    <w:rsid w:val="00F31656"/>
    <w:rsid w:val="00F31847"/>
    <w:rsid w:val="00F318E3"/>
    <w:rsid w:val="00F318E9"/>
    <w:rsid w:val="00F319BC"/>
    <w:rsid w:val="00F31A50"/>
    <w:rsid w:val="00F31A60"/>
    <w:rsid w:val="00F31AD9"/>
    <w:rsid w:val="00F31AF1"/>
    <w:rsid w:val="00F31B54"/>
    <w:rsid w:val="00F31B63"/>
    <w:rsid w:val="00F31BED"/>
    <w:rsid w:val="00F31C31"/>
    <w:rsid w:val="00F31CC1"/>
    <w:rsid w:val="00F31D38"/>
    <w:rsid w:val="00F31EE0"/>
    <w:rsid w:val="00F31EF9"/>
    <w:rsid w:val="00F31FB9"/>
    <w:rsid w:val="00F31FEE"/>
    <w:rsid w:val="00F320FD"/>
    <w:rsid w:val="00F3211A"/>
    <w:rsid w:val="00F3211E"/>
    <w:rsid w:val="00F321BA"/>
    <w:rsid w:val="00F321E7"/>
    <w:rsid w:val="00F32219"/>
    <w:rsid w:val="00F322BC"/>
    <w:rsid w:val="00F32336"/>
    <w:rsid w:val="00F3235D"/>
    <w:rsid w:val="00F32363"/>
    <w:rsid w:val="00F32378"/>
    <w:rsid w:val="00F323A4"/>
    <w:rsid w:val="00F32447"/>
    <w:rsid w:val="00F324ED"/>
    <w:rsid w:val="00F325C6"/>
    <w:rsid w:val="00F32723"/>
    <w:rsid w:val="00F32803"/>
    <w:rsid w:val="00F328C0"/>
    <w:rsid w:val="00F328D4"/>
    <w:rsid w:val="00F3293C"/>
    <w:rsid w:val="00F32970"/>
    <w:rsid w:val="00F32A12"/>
    <w:rsid w:val="00F32A23"/>
    <w:rsid w:val="00F32AFB"/>
    <w:rsid w:val="00F32B54"/>
    <w:rsid w:val="00F32C64"/>
    <w:rsid w:val="00F32C87"/>
    <w:rsid w:val="00F32D32"/>
    <w:rsid w:val="00F32D71"/>
    <w:rsid w:val="00F32E69"/>
    <w:rsid w:val="00F32E92"/>
    <w:rsid w:val="00F32E93"/>
    <w:rsid w:val="00F32EA9"/>
    <w:rsid w:val="00F32EDD"/>
    <w:rsid w:val="00F32F05"/>
    <w:rsid w:val="00F32F9A"/>
    <w:rsid w:val="00F32FCC"/>
    <w:rsid w:val="00F32FE0"/>
    <w:rsid w:val="00F32FFF"/>
    <w:rsid w:val="00F33096"/>
    <w:rsid w:val="00F330BA"/>
    <w:rsid w:val="00F330CD"/>
    <w:rsid w:val="00F3318C"/>
    <w:rsid w:val="00F331E2"/>
    <w:rsid w:val="00F33233"/>
    <w:rsid w:val="00F332CB"/>
    <w:rsid w:val="00F3335C"/>
    <w:rsid w:val="00F333A9"/>
    <w:rsid w:val="00F333B8"/>
    <w:rsid w:val="00F33443"/>
    <w:rsid w:val="00F3348F"/>
    <w:rsid w:val="00F33589"/>
    <w:rsid w:val="00F33753"/>
    <w:rsid w:val="00F337C6"/>
    <w:rsid w:val="00F338BD"/>
    <w:rsid w:val="00F338CE"/>
    <w:rsid w:val="00F33936"/>
    <w:rsid w:val="00F33937"/>
    <w:rsid w:val="00F33A4F"/>
    <w:rsid w:val="00F33AF6"/>
    <w:rsid w:val="00F33B08"/>
    <w:rsid w:val="00F33C9B"/>
    <w:rsid w:val="00F33D5F"/>
    <w:rsid w:val="00F33D64"/>
    <w:rsid w:val="00F33D95"/>
    <w:rsid w:val="00F33DCA"/>
    <w:rsid w:val="00F33EFE"/>
    <w:rsid w:val="00F34284"/>
    <w:rsid w:val="00F3428B"/>
    <w:rsid w:val="00F342EC"/>
    <w:rsid w:val="00F343F5"/>
    <w:rsid w:val="00F34421"/>
    <w:rsid w:val="00F34435"/>
    <w:rsid w:val="00F3443A"/>
    <w:rsid w:val="00F344A7"/>
    <w:rsid w:val="00F3459B"/>
    <w:rsid w:val="00F3465F"/>
    <w:rsid w:val="00F346DB"/>
    <w:rsid w:val="00F346FC"/>
    <w:rsid w:val="00F34774"/>
    <w:rsid w:val="00F3481C"/>
    <w:rsid w:val="00F34950"/>
    <w:rsid w:val="00F34982"/>
    <w:rsid w:val="00F34AFF"/>
    <w:rsid w:val="00F34BAC"/>
    <w:rsid w:val="00F34C09"/>
    <w:rsid w:val="00F34D08"/>
    <w:rsid w:val="00F34D32"/>
    <w:rsid w:val="00F34E46"/>
    <w:rsid w:val="00F34EAE"/>
    <w:rsid w:val="00F34EF9"/>
    <w:rsid w:val="00F34FCC"/>
    <w:rsid w:val="00F350A5"/>
    <w:rsid w:val="00F3514F"/>
    <w:rsid w:val="00F35191"/>
    <w:rsid w:val="00F3522A"/>
    <w:rsid w:val="00F3523C"/>
    <w:rsid w:val="00F35376"/>
    <w:rsid w:val="00F353DC"/>
    <w:rsid w:val="00F353F8"/>
    <w:rsid w:val="00F35444"/>
    <w:rsid w:val="00F354BC"/>
    <w:rsid w:val="00F35501"/>
    <w:rsid w:val="00F35502"/>
    <w:rsid w:val="00F35518"/>
    <w:rsid w:val="00F35535"/>
    <w:rsid w:val="00F3557A"/>
    <w:rsid w:val="00F355D3"/>
    <w:rsid w:val="00F355E5"/>
    <w:rsid w:val="00F35692"/>
    <w:rsid w:val="00F3581D"/>
    <w:rsid w:val="00F35822"/>
    <w:rsid w:val="00F3582A"/>
    <w:rsid w:val="00F35882"/>
    <w:rsid w:val="00F358C7"/>
    <w:rsid w:val="00F358F1"/>
    <w:rsid w:val="00F35905"/>
    <w:rsid w:val="00F35950"/>
    <w:rsid w:val="00F35978"/>
    <w:rsid w:val="00F3597A"/>
    <w:rsid w:val="00F359E0"/>
    <w:rsid w:val="00F359E3"/>
    <w:rsid w:val="00F359FD"/>
    <w:rsid w:val="00F35A89"/>
    <w:rsid w:val="00F35AA1"/>
    <w:rsid w:val="00F35ACB"/>
    <w:rsid w:val="00F35AE8"/>
    <w:rsid w:val="00F35B07"/>
    <w:rsid w:val="00F35B34"/>
    <w:rsid w:val="00F35BDD"/>
    <w:rsid w:val="00F35CA4"/>
    <w:rsid w:val="00F35D18"/>
    <w:rsid w:val="00F35DB5"/>
    <w:rsid w:val="00F35DFE"/>
    <w:rsid w:val="00F35E02"/>
    <w:rsid w:val="00F35E64"/>
    <w:rsid w:val="00F35F3D"/>
    <w:rsid w:val="00F35F60"/>
    <w:rsid w:val="00F36026"/>
    <w:rsid w:val="00F362EC"/>
    <w:rsid w:val="00F363A3"/>
    <w:rsid w:val="00F363B3"/>
    <w:rsid w:val="00F363F2"/>
    <w:rsid w:val="00F36438"/>
    <w:rsid w:val="00F36451"/>
    <w:rsid w:val="00F36472"/>
    <w:rsid w:val="00F36473"/>
    <w:rsid w:val="00F364E3"/>
    <w:rsid w:val="00F364F9"/>
    <w:rsid w:val="00F3679B"/>
    <w:rsid w:val="00F36831"/>
    <w:rsid w:val="00F36898"/>
    <w:rsid w:val="00F368BC"/>
    <w:rsid w:val="00F3695F"/>
    <w:rsid w:val="00F36A39"/>
    <w:rsid w:val="00F36A44"/>
    <w:rsid w:val="00F36A8A"/>
    <w:rsid w:val="00F36A9E"/>
    <w:rsid w:val="00F36AF8"/>
    <w:rsid w:val="00F36B23"/>
    <w:rsid w:val="00F36B95"/>
    <w:rsid w:val="00F36D06"/>
    <w:rsid w:val="00F36DCB"/>
    <w:rsid w:val="00F36DDD"/>
    <w:rsid w:val="00F36E1B"/>
    <w:rsid w:val="00F36E30"/>
    <w:rsid w:val="00F36E38"/>
    <w:rsid w:val="00F37096"/>
    <w:rsid w:val="00F370D8"/>
    <w:rsid w:val="00F370E6"/>
    <w:rsid w:val="00F3711F"/>
    <w:rsid w:val="00F3726B"/>
    <w:rsid w:val="00F372D2"/>
    <w:rsid w:val="00F37365"/>
    <w:rsid w:val="00F37376"/>
    <w:rsid w:val="00F373AC"/>
    <w:rsid w:val="00F37408"/>
    <w:rsid w:val="00F37481"/>
    <w:rsid w:val="00F374B4"/>
    <w:rsid w:val="00F374E3"/>
    <w:rsid w:val="00F374FD"/>
    <w:rsid w:val="00F37520"/>
    <w:rsid w:val="00F37545"/>
    <w:rsid w:val="00F375A0"/>
    <w:rsid w:val="00F37660"/>
    <w:rsid w:val="00F37694"/>
    <w:rsid w:val="00F376F7"/>
    <w:rsid w:val="00F3772A"/>
    <w:rsid w:val="00F37891"/>
    <w:rsid w:val="00F378B7"/>
    <w:rsid w:val="00F37911"/>
    <w:rsid w:val="00F37922"/>
    <w:rsid w:val="00F379DF"/>
    <w:rsid w:val="00F37A18"/>
    <w:rsid w:val="00F37A8E"/>
    <w:rsid w:val="00F37AB5"/>
    <w:rsid w:val="00F37AD4"/>
    <w:rsid w:val="00F37AE9"/>
    <w:rsid w:val="00F37B22"/>
    <w:rsid w:val="00F37B39"/>
    <w:rsid w:val="00F37B65"/>
    <w:rsid w:val="00F37BBC"/>
    <w:rsid w:val="00F37C49"/>
    <w:rsid w:val="00F37C5F"/>
    <w:rsid w:val="00F37D17"/>
    <w:rsid w:val="00F37DB9"/>
    <w:rsid w:val="00F37DC0"/>
    <w:rsid w:val="00F37DD5"/>
    <w:rsid w:val="00F37DE6"/>
    <w:rsid w:val="00F37E1D"/>
    <w:rsid w:val="00F37F4A"/>
    <w:rsid w:val="00F37FA5"/>
    <w:rsid w:val="00F40074"/>
    <w:rsid w:val="00F4011D"/>
    <w:rsid w:val="00F40172"/>
    <w:rsid w:val="00F401B2"/>
    <w:rsid w:val="00F40236"/>
    <w:rsid w:val="00F40239"/>
    <w:rsid w:val="00F40267"/>
    <w:rsid w:val="00F40290"/>
    <w:rsid w:val="00F402B4"/>
    <w:rsid w:val="00F4030C"/>
    <w:rsid w:val="00F40417"/>
    <w:rsid w:val="00F404E8"/>
    <w:rsid w:val="00F404ED"/>
    <w:rsid w:val="00F404EE"/>
    <w:rsid w:val="00F405A1"/>
    <w:rsid w:val="00F405D1"/>
    <w:rsid w:val="00F40676"/>
    <w:rsid w:val="00F4068A"/>
    <w:rsid w:val="00F406FB"/>
    <w:rsid w:val="00F40706"/>
    <w:rsid w:val="00F4071E"/>
    <w:rsid w:val="00F4077F"/>
    <w:rsid w:val="00F40836"/>
    <w:rsid w:val="00F40853"/>
    <w:rsid w:val="00F408C7"/>
    <w:rsid w:val="00F408FF"/>
    <w:rsid w:val="00F40A59"/>
    <w:rsid w:val="00F40B2E"/>
    <w:rsid w:val="00F40B8E"/>
    <w:rsid w:val="00F40BF6"/>
    <w:rsid w:val="00F40CDD"/>
    <w:rsid w:val="00F40CF5"/>
    <w:rsid w:val="00F40D97"/>
    <w:rsid w:val="00F40DDA"/>
    <w:rsid w:val="00F40DF9"/>
    <w:rsid w:val="00F40E29"/>
    <w:rsid w:val="00F40F05"/>
    <w:rsid w:val="00F40F1D"/>
    <w:rsid w:val="00F40F80"/>
    <w:rsid w:val="00F40F87"/>
    <w:rsid w:val="00F40FE4"/>
    <w:rsid w:val="00F4103E"/>
    <w:rsid w:val="00F4103F"/>
    <w:rsid w:val="00F4106F"/>
    <w:rsid w:val="00F410F7"/>
    <w:rsid w:val="00F41104"/>
    <w:rsid w:val="00F41247"/>
    <w:rsid w:val="00F4125C"/>
    <w:rsid w:val="00F412E6"/>
    <w:rsid w:val="00F41301"/>
    <w:rsid w:val="00F41340"/>
    <w:rsid w:val="00F41371"/>
    <w:rsid w:val="00F41431"/>
    <w:rsid w:val="00F41482"/>
    <w:rsid w:val="00F414A8"/>
    <w:rsid w:val="00F414E1"/>
    <w:rsid w:val="00F414E6"/>
    <w:rsid w:val="00F414EE"/>
    <w:rsid w:val="00F4159F"/>
    <w:rsid w:val="00F415BE"/>
    <w:rsid w:val="00F415BF"/>
    <w:rsid w:val="00F41628"/>
    <w:rsid w:val="00F416B9"/>
    <w:rsid w:val="00F41788"/>
    <w:rsid w:val="00F41789"/>
    <w:rsid w:val="00F417C3"/>
    <w:rsid w:val="00F4189C"/>
    <w:rsid w:val="00F418AB"/>
    <w:rsid w:val="00F41905"/>
    <w:rsid w:val="00F41985"/>
    <w:rsid w:val="00F41993"/>
    <w:rsid w:val="00F41A74"/>
    <w:rsid w:val="00F41A87"/>
    <w:rsid w:val="00F41AE6"/>
    <w:rsid w:val="00F41AFD"/>
    <w:rsid w:val="00F41B60"/>
    <w:rsid w:val="00F41BBE"/>
    <w:rsid w:val="00F41C55"/>
    <w:rsid w:val="00F41CAA"/>
    <w:rsid w:val="00F41CEB"/>
    <w:rsid w:val="00F41DAC"/>
    <w:rsid w:val="00F41EFC"/>
    <w:rsid w:val="00F41F6B"/>
    <w:rsid w:val="00F41FAF"/>
    <w:rsid w:val="00F41FB9"/>
    <w:rsid w:val="00F4215B"/>
    <w:rsid w:val="00F421F4"/>
    <w:rsid w:val="00F42230"/>
    <w:rsid w:val="00F4229E"/>
    <w:rsid w:val="00F422EA"/>
    <w:rsid w:val="00F422ED"/>
    <w:rsid w:val="00F422FA"/>
    <w:rsid w:val="00F42389"/>
    <w:rsid w:val="00F42391"/>
    <w:rsid w:val="00F423E4"/>
    <w:rsid w:val="00F42550"/>
    <w:rsid w:val="00F4259E"/>
    <w:rsid w:val="00F425B6"/>
    <w:rsid w:val="00F42616"/>
    <w:rsid w:val="00F426A7"/>
    <w:rsid w:val="00F426D0"/>
    <w:rsid w:val="00F426D8"/>
    <w:rsid w:val="00F427B2"/>
    <w:rsid w:val="00F427E5"/>
    <w:rsid w:val="00F427FD"/>
    <w:rsid w:val="00F4283D"/>
    <w:rsid w:val="00F428B3"/>
    <w:rsid w:val="00F428F9"/>
    <w:rsid w:val="00F4295D"/>
    <w:rsid w:val="00F42997"/>
    <w:rsid w:val="00F42A76"/>
    <w:rsid w:val="00F42B18"/>
    <w:rsid w:val="00F42B61"/>
    <w:rsid w:val="00F42B86"/>
    <w:rsid w:val="00F42BA5"/>
    <w:rsid w:val="00F42BC2"/>
    <w:rsid w:val="00F42C2F"/>
    <w:rsid w:val="00F42C40"/>
    <w:rsid w:val="00F42C61"/>
    <w:rsid w:val="00F42CAE"/>
    <w:rsid w:val="00F42D1C"/>
    <w:rsid w:val="00F42D1F"/>
    <w:rsid w:val="00F42DAE"/>
    <w:rsid w:val="00F42F0B"/>
    <w:rsid w:val="00F42FEC"/>
    <w:rsid w:val="00F42FFF"/>
    <w:rsid w:val="00F43089"/>
    <w:rsid w:val="00F430BD"/>
    <w:rsid w:val="00F4310D"/>
    <w:rsid w:val="00F43210"/>
    <w:rsid w:val="00F43274"/>
    <w:rsid w:val="00F43284"/>
    <w:rsid w:val="00F432B0"/>
    <w:rsid w:val="00F4333B"/>
    <w:rsid w:val="00F433AD"/>
    <w:rsid w:val="00F433B5"/>
    <w:rsid w:val="00F433C8"/>
    <w:rsid w:val="00F4340A"/>
    <w:rsid w:val="00F43499"/>
    <w:rsid w:val="00F434A8"/>
    <w:rsid w:val="00F434E2"/>
    <w:rsid w:val="00F4359B"/>
    <w:rsid w:val="00F435BD"/>
    <w:rsid w:val="00F436E6"/>
    <w:rsid w:val="00F436EC"/>
    <w:rsid w:val="00F43719"/>
    <w:rsid w:val="00F437AC"/>
    <w:rsid w:val="00F4383D"/>
    <w:rsid w:val="00F43903"/>
    <w:rsid w:val="00F43A53"/>
    <w:rsid w:val="00F43AB4"/>
    <w:rsid w:val="00F43B0C"/>
    <w:rsid w:val="00F43B5C"/>
    <w:rsid w:val="00F43BCF"/>
    <w:rsid w:val="00F43C4C"/>
    <w:rsid w:val="00F43C6A"/>
    <w:rsid w:val="00F43D22"/>
    <w:rsid w:val="00F43D8F"/>
    <w:rsid w:val="00F43D93"/>
    <w:rsid w:val="00F43D9D"/>
    <w:rsid w:val="00F43ED7"/>
    <w:rsid w:val="00F43F0A"/>
    <w:rsid w:val="00F43F6B"/>
    <w:rsid w:val="00F43FF2"/>
    <w:rsid w:val="00F44015"/>
    <w:rsid w:val="00F44017"/>
    <w:rsid w:val="00F44038"/>
    <w:rsid w:val="00F44060"/>
    <w:rsid w:val="00F44066"/>
    <w:rsid w:val="00F44084"/>
    <w:rsid w:val="00F44127"/>
    <w:rsid w:val="00F44240"/>
    <w:rsid w:val="00F44265"/>
    <w:rsid w:val="00F442B2"/>
    <w:rsid w:val="00F44304"/>
    <w:rsid w:val="00F44306"/>
    <w:rsid w:val="00F44424"/>
    <w:rsid w:val="00F444A5"/>
    <w:rsid w:val="00F44571"/>
    <w:rsid w:val="00F445A6"/>
    <w:rsid w:val="00F445CF"/>
    <w:rsid w:val="00F44698"/>
    <w:rsid w:val="00F446B2"/>
    <w:rsid w:val="00F4476B"/>
    <w:rsid w:val="00F4484B"/>
    <w:rsid w:val="00F448BD"/>
    <w:rsid w:val="00F44A3D"/>
    <w:rsid w:val="00F44A9A"/>
    <w:rsid w:val="00F44AA0"/>
    <w:rsid w:val="00F44AEC"/>
    <w:rsid w:val="00F44B32"/>
    <w:rsid w:val="00F44C3F"/>
    <w:rsid w:val="00F44CCA"/>
    <w:rsid w:val="00F44D01"/>
    <w:rsid w:val="00F44D2F"/>
    <w:rsid w:val="00F44D98"/>
    <w:rsid w:val="00F44DAF"/>
    <w:rsid w:val="00F44E64"/>
    <w:rsid w:val="00F44E79"/>
    <w:rsid w:val="00F44EC3"/>
    <w:rsid w:val="00F44F27"/>
    <w:rsid w:val="00F44F6A"/>
    <w:rsid w:val="00F44FD3"/>
    <w:rsid w:val="00F45027"/>
    <w:rsid w:val="00F4504F"/>
    <w:rsid w:val="00F45141"/>
    <w:rsid w:val="00F45178"/>
    <w:rsid w:val="00F45191"/>
    <w:rsid w:val="00F451EB"/>
    <w:rsid w:val="00F451EE"/>
    <w:rsid w:val="00F451FD"/>
    <w:rsid w:val="00F4523B"/>
    <w:rsid w:val="00F452B9"/>
    <w:rsid w:val="00F452C2"/>
    <w:rsid w:val="00F452C5"/>
    <w:rsid w:val="00F453AF"/>
    <w:rsid w:val="00F453B0"/>
    <w:rsid w:val="00F453E6"/>
    <w:rsid w:val="00F4541D"/>
    <w:rsid w:val="00F45470"/>
    <w:rsid w:val="00F45493"/>
    <w:rsid w:val="00F4549F"/>
    <w:rsid w:val="00F454C8"/>
    <w:rsid w:val="00F45557"/>
    <w:rsid w:val="00F45624"/>
    <w:rsid w:val="00F45625"/>
    <w:rsid w:val="00F4562E"/>
    <w:rsid w:val="00F45652"/>
    <w:rsid w:val="00F45655"/>
    <w:rsid w:val="00F45686"/>
    <w:rsid w:val="00F4574C"/>
    <w:rsid w:val="00F457C6"/>
    <w:rsid w:val="00F45877"/>
    <w:rsid w:val="00F458AF"/>
    <w:rsid w:val="00F458BC"/>
    <w:rsid w:val="00F458E5"/>
    <w:rsid w:val="00F458F2"/>
    <w:rsid w:val="00F4591B"/>
    <w:rsid w:val="00F4593C"/>
    <w:rsid w:val="00F45959"/>
    <w:rsid w:val="00F4595D"/>
    <w:rsid w:val="00F45A07"/>
    <w:rsid w:val="00F45AAD"/>
    <w:rsid w:val="00F45AB2"/>
    <w:rsid w:val="00F45AB5"/>
    <w:rsid w:val="00F45B1E"/>
    <w:rsid w:val="00F45B47"/>
    <w:rsid w:val="00F45BAA"/>
    <w:rsid w:val="00F45BB3"/>
    <w:rsid w:val="00F45BC4"/>
    <w:rsid w:val="00F45BED"/>
    <w:rsid w:val="00F45C11"/>
    <w:rsid w:val="00F45CB5"/>
    <w:rsid w:val="00F45D05"/>
    <w:rsid w:val="00F45D90"/>
    <w:rsid w:val="00F45F18"/>
    <w:rsid w:val="00F45F83"/>
    <w:rsid w:val="00F45F9E"/>
    <w:rsid w:val="00F45FB8"/>
    <w:rsid w:val="00F46057"/>
    <w:rsid w:val="00F46060"/>
    <w:rsid w:val="00F460E5"/>
    <w:rsid w:val="00F4614E"/>
    <w:rsid w:val="00F4617F"/>
    <w:rsid w:val="00F46234"/>
    <w:rsid w:val="00F462C4"/>
    <w:rsid w:val="00F462EA"/>
    <w:rsid w:val="00F46439"/>
    <w:rsid w:val="00F464E4"/>
    <w:rsid w:val="00F466FC"/>
    <w:rsid w:val="00F46778"/>
    <w:rsid w:val="00F468A5"/>
    <w:rsid w:val="00F4692B"/>
    <w:rsid w:val="00F46974"/>
    <w:rsid w:val="00F469BC"/>
    <w:rsid w:val="00F46A67"/>
    <w:rsid w:val="00F46AD7"/>
    <w:rsid w:val="00F46B86"/>
    <w:rsid w:val="00F46C16"/>
    <w:rsid w:val="00F46CE6"/>
    <w:rsid w:val="00F46D52"/>
    <w:rsid w:val="00F46DAE"/>
    <w:rsid w:val="00F46E08"/>
    <w:rsid w:val="00F46EED"/>
    <w:rsid w:val="00F46FCB"/>
    <w:rsid w:val="00F46FF4"/>
    <w:rsid w:val="00F47087"/>
    <w:rsid w:val="00F4708C"/>
    <w:rsid w:val="00F470E8"/>
    <w:rsid w:val="00F47118"/>
    <w:rsid w:val="00F47123"/>
    <w:rsid w:val="00F4712E"/>
    <w:rsid w:val="00F47202"/>
    <w:rsid w:val="00F47243"/>
    <w:rsid w:val="00F4729C"/>
    <w:rsid w:val="00F472AF"/>
    <w:rsid w:val="00F472F1"/>
    <w:rsid w:val="00F47402"/>
    <w:rsid w:val="00F4740A"/>
    <w:rsid w:val="00F47424"/>
    <w:rsid w:val="00F474A9"/>
    <w:rsid w:val="00F47529"/>
    <w:rsid w:val="00F47583"/>
    <w:rsid w:val="00F47586"/>
    <w:rsid w:val="00F4761B"/>
    <w:rsid w:val="00F47668"/>
    <w:rsid w:val="00F476F7"/>
    <w:rsid w:val="00F4782F"/>
    <w:rsid w:val="00F47960"/>
    <w:rsid w:val="00F479A9"/>
    <w:rsid w:val="00F47A04"/>
    <w:rsid w:val="00F47A25"/>
    <w:rsid w:val="00F47BA5"/>
    <w:rsid w:val="00F47BF4"/>
    <w:rsid w:val="00F47C1F"/>
    <w:rsid w:val="00F47C75"/>
    <w:rsid w:val="00F47CBC"/>
    <w:rsid w:val="00F47CC3"/>
    <w:rsid w:val="00F47CF5"/>
    <w:rsid w:val="00F47D08"/>
    <w:rsid w:val="00F47DFB"/>
    <w:rsid w:val="00F47F14"/>
    <w:rsid w:val="00F47F24"/>
    <w:rsid w:val="00F47F6B"/>
    <w:rsid w:val="00F50010"/>
    <w:rsid w:val="00F50091"/>
    <w:rsid w:val="00F50190"/>
    <w:rsid w:val="00F501A4"/>
    <w:rsid w:val="00F50361"/>
    <w:rsid w:val="00F504C4"/>
    <w:rsid w:val="00F504DA"/>
    <w:rsid w:val="00F504E6"/>
    <w:rsid w:val="00F50555"/>
    <w:rsid w:val="00F505B1"/>
    <w:rsid w:val="00F50640"/>
    <w:rsid w:val="00F50645"/>
    <w:rsid w:val="00F50742"/>
    <w:rsid w:val="00F50779"/>
    <w:rsid w:val="00F5077F"/>
    <w:rsid w:val="00F507BA"/>
    <w:rsid w:val="00F507C3"/>
    <w:rsid w:val="00F50807"/>
    <w:rsid w:val="00F50876"/>
    <w:rsid w:val="00F50888"/>
    <w:rsid w:val="00F508DB"/>
    <w:rsid w:val="00F5091F"/>
    <w:rsid w:val="00F50C38"/>
    <w:rsid w:val="00F50C6C"/>
    <w:rsid w:val="00F50C79"/>
    <w:rsid w:val="00F50D85"/>
    <w:rsid w:val="00F50DA4"/>
    <w:rsid w:val="00F50EA9"/>
    <w:rsid w:val="00F50EE7"/>
    <w:rsid w:val="00F50F44"/>
    <w:rsid w:val="00F50F70"/>
    <w:rsid w:val="00F50F77"/>
    <w:rsid w:val="00F5116C"/>
    <w:rsid w:val="00F51185"/>
    <w:rsid w:val="00F5125C"/>
    <w:rsid w:val="00F51303"/>
    <w:rsid w:val="00F5130B"/>
    <w:rsid w:val="00F51311"/>
    <w:rsid w:val="00F5132B"/>
    <w:rsid w:val="00F51346"/>
    <w:rsid w:val="00F51382"/>
    <w:rsid w:val="00F513D1"/>
    <w:rsid w:val="00F514ED"/>
    <w:rsid w:val="00F515DF"/>
    <w:rsid w:val="00F51617"/>
    <w:rsid w:val="00F516B2"/>
    <w:rsid w:val="00F51713"/>
    <w:rsid w:val="00F5177E"/>
    <w:rsid w:val="00F517CC"/>
    <w:rsid w:val="00F517E4"/>
    <w:rsid w:val="00F517F2"/>
    <w:rsid w:val="00F51809"/>
    <w:rsid w:val="00F51827"/>
    <w:rsid w:val="00F51920"/>
    <w:rsid w:val="00F51A25"/>
    <w:rsid w:val="00F51A49"/>
    <w:rsid w:val="00F51A7A"/>
    <w:rsid w:val="00F51B30"/>
    <w:rsid w:val="00F51B4F"/>
    <w:rsid w:val="00F51C0C"/>
    <w:rsid w:val="00F51C80"/>
    <w:rsid w:val="00F51E08"/>
    <w:rsid w:val="00F51E62"/>
    <w:rsid w:val="00F51E85"/>
    <w:rsid w:val="00F51F11"/>
    <w:rsid w:val="00F51F5F"/>
    <w:rsid w:val="00F52201"/>
    <w:rsid w:val="00F5236F"/>
    <w:rsid w:val="00F52411"/>
    <w:rsid w:val="00F5241A"/>
    <w:rsid w:val="00F524C4"/>
    <w:rsid w:val="00F524D4"/>
    <w:rsid w:val="00F524D7"/>
    <w:rsid w:val="00F52505"/>
    <w:rsid w:val="00F52580"/>
    <w:rsid w:val="00F525E8"/>
    <w:rsid w:val="00F5269A"/>
    <w:rsid w:val="00F526C9"/>
    <w:rsid w:val="00F526EC"/>
    <w:rsid w:val="00F52707"/>
    <w:rsid w:val="00F52732"/>
    <w:rsid w:val="00F5278E"/>
    <w:rsid w:val="00F527E9"/>
    <w:rsid w:val="00F5280A"/>
    <w:rsid w:val="00F52857"/>
    <w:rsid w:val="00F528A8"/>
    <w:rsid w:val="00F528D3"/>
    <w:rsid w:val="00F529CA"/>
    <w:rsid w:val="00F529F5"/>
    <w:rsid w:val="00F52AD6"/>
    <w:rsid w:val="00F52AE0"/>
    <w:rsid w:val="00F52B2F"/>
    <w:rsid w:val="00F52B97"/>
    <w:rsid w:val="00F52BA8"/>
    <w:rsid w:val="00F52BB9"/>
    <w:rsid w:val="00F52BD2"/>
    <w:rsid w:val="00F52BDD"/>
    <w:rsid w:val="00F52BE0"/>
    <w:rsid w:val="00F52C0C"/>
    <w:rsid w:val="00F52C45"/>
    <w:rsid w:val="00F52C65"/>
    <w:rsid w:val="00F52C85"/>
    <w:rsid w:val="00F52CFD"/>
    <w:rsid w:val="00F52DAA"/>
    <w:rsid w:val="00F52EB3"/>
    <w:rsid w:val="00F52FC4"/>
    <w:rsid w:val="00F52FDE"/>
    <w:rsid w:val="00F5307C"/>
    <w:rsid w:val="00F5323A"/>
    <w:rsid w:val="00F532A8"/>
    <w:rsid w:val="00F53371"/>
    <w:rsid w:val="00F533B0"/>
    <w:rsid w:val="00F533D9"/>
    <w:rsid w:val="00F53417"/>
    <w:rsid w:val="00F534C2"/>
    <w:rsid w:val="00F534F0"/>
    <w:rsid w:val="00F536D3"/>
    <w:rsid w:val="00F53726"/>
    <w:rsid w:val="00F53759"/>
    <w:rsid w:val="00F53763"/>
    <w:rsid w:val="00F537EE"/>
    <w:rsid w:val="00F53806"/>
    <w:rsid w:val="00F53812"/>
    <w:rsid w:val="00F538F4"/>
    <w:rsid w:val="00F53906"/>
    <w:rsid w:val="00F5391A"/>
    <w:rsid w:val="00F5397B"/>
    <w:rsid w:val="00F5397C"/>
    <w:rsid w:val="00F539CA"/>
    <w:rsid w:val="00F53A24"/>
    <w:rsid w:val="00F53A3D"/>
    <w:rsid w:val="00F53A61"/>
    <w:rsid w:val="00F53AA3"/>
    <w:rsid w:val="00F53AC8"/>
    <w:rsid w:val="00F53B01"/>
    <w:rsid w:val="00F53BE1"/>
    <w:rsid w:val="00F53CB8"/>
    <w:rsid w:val="00F53DB1"/>
    <w:rsid w:val="00F53E27"/>
    <w:rsid w:val="00F53E4C"/>
    <w:rsid w:val="00F53E4D"/>
    <w:rsid w:val="00F53F56"/>
    <w:rsid w:val="00F53F5D"/>
    <w:rsid w:val="00F54124"/>
    <w:rsid w:val="00F54142"/>
    <w:rsid w:val="00F541F7"/>
    <w:rsid w:val="00F54224"/>
    <w:rsid w:val="00F54229"/>
    <w:rsid w:val="00F54276"/>
    <w:rsid w:val="00F5429E"/>
    <w:rsid w:val="00F542AA"/>
    <w:rsid w:val="00F54324"/>
    <w:rsid w:val="00F5434E"/>
    <w:rsid w:val="00F54393"/>
    <w:rsid w:val="00F5445F"/>
    <w:rsid w:val="00F5447E"/>
    <w:rsid w:val="00F544DB"/>
    <w:rsid w:val="00F5456F"/>
    <w:rsid w:val="00F54597"/>
    <w:rsid w:val="00F545A9"/>
    <w:rsid w:val="00F5463C"/>
    <w:rsid w:val="00F54641"/>
    <w:rsid w:val="00F54662"/>
    <w:rsid w:val="00F5469F"/>
    <w:rsid w:val="00F546D0"/>
    <w:rsid w:val="00F548C1"/>
    <w:rsid w:val="00F5497A"/>
    <w:rsid w:val="00F549D7"/>
    <w:rsid w:val="00F54A83"/>
    <w:rsid w:val="00F54C5E"/>
    <w:rsid w:val="00F54C85"/>
    <w:rsid w:val="00F54CA9"/>
    <w:rsid w:val="00F54CDE"/>
    <w:rsid w:val="00F54D52"/>
    <w:rsid w:val="00F54DC4"/>
    <w:rsid w:val="00F54DFA"/>
    <w:rsid w:val="00F54EFC"/>
    <w:rsid w:val="00F5502D"/>
    <w:rsid w:val="00F55041"/>
    <w:rsid w:val="00F5505F"/>
    <w:rsid w:val="00F55071"/>
    <w:rsid w:val="00F550D1"/>
    <w:rsid w:val="00F550F1"/>
    <w:rsid w:val="00F55169"/>
    <w:rsid w:val="00F55175"/>
    <w:rsid w:val="00F5518A"/>
    <w:rsid w:val="00F55197"/>
    <w:rsid w:val="00F551D7"/>
    <w:rsid w:val="00F551DE"/>
    <w:rsid w:val="00F55273"/>
    <w:rsid w:val="00F5534B"/>
    <w:rsid w:val="00F55388"/>
    <w:rsid w:val="00F553DF"/>
    <w:rsid w:val="00F55451"/>
    <w:rsid w:val="00F554A8"/>
    <w:rsid w:val="00F55723"/>
    <w:rsid w:val="00F5579F"/>
    <w:rsid w:val="00F55821"/>
    <w:rsid w:val="00F55871"/>
    <w:rsid w:val="00F55879"/>
    <w:rsid w:val="00F55911"/>
    <w:rsid w:val="00F5599A"/>
    <w:rsid w:val="00F559BC"/>
    <w:rsid w:val="00F559E7"/>
    <w:rsid w:val="00F55A7A"/>
    <w:rsid w:val="00F55B67"/>
    <w:rsid w:val="00F55BC7"/>
    <w:rsid w:val="00F55C74"/>
    <w:rsid w:val="00F55D0F"/>
    <w:rsid w:val="00F55D82"/>
    <w:rsid w:val="00F55DA7"/>
    <w:rsid w:val="00F55DC2"/>
    <w:rsid w:val="00F55E56"/>
    <w:rsid w:val="00F55E75"/>
    <w:rsid w:val="00F55FAA"/>
    <w:rsid w:val="00F55FBF"/>
    <w:rsid w:val="00F55FCF"/>
    <w:rsid w:val="00F560C3"/>
    <w:rsid w:val="00F561CA"/>
    <w:rsid w:val="00F5626B"/>
    <w:rsid w:val="00F562A4"/>
    <w:rsid w:val="00F562A8"/>
    <w:rsid w:val="00F56329"/>
    <w:rsid w:val="00F5632F"/>
    <w:rsid w:val="00F563B9"/>
    <w:rsid w:val="00F56435"/>
    <w:rsid w:val="00F5647B"/>
    <w:rsid w:val="00F564D5"/>
    <w:rsid w:val="00F56543"/>
    <w:rsid w:val="00F56574"/>
    <w:rsid w:val="00F565F1"/>
    <w:rsid w:val="00F5662F"/>
    <w:rsid w:val="00F5665A"/>
    <w:rsid w:val="00F5666B"/>
    <w:rsid w:val="00F566F1"/>
    <w:rsid w:val="00F5672F"/>
    <w:rsid w:val="00F5677C"/>
    <w:rsid w:val="00F5679E"/>
    <w:rsid w:val="00F567D6"/>
    <w:rsid w:val="00F56864"/>
    <w:rsid w:val="00F568AD"/>
    <w:rsid w:val="00F568C3"/>
    <w:rsid w:val="00F568CF"/>
    <w:rsid w:val="00F56955"/>
    <w:rsid w:val="00F56994"/>
    <w:rsid w:val="00F569AC"/>
    <w:rsid w:val="00F56B92"/>
    <w:rsid w:val="00F56BAF"/>
    <w:rsid w:val="00F56BCA"/>
    <w:rsid w:val="00F56BF3"/>
    <w:rsid w:val="00F56CBD"/>
    <w:rsid w:val="00F56D11"/>
    <w:rsid w:val="00F56D75"/>
    <w:rsid w:val="00F56DA1"/>
    <w:rsid w:val="00F56E67"/>
    <w:rsid w:val="00F56E73"/>
    <w:rsid w:val="00F56E8D"/>
    <w:rsid w:val="00F56EA7"/>
    <w:rsid w:val="00F56ED8"/>
    <w:rsid w:val="00F56EF0"/>
    <w:rsid w:val="00F56F3A"/>
    <w:rsid w:val="00F56F42"/>
    <w:rsid w:val="00F56F63"/>
    <w:rsid w:val="00F56F6E"/>
    <w:rsid w:val="00F56FCD"/>
    <w:rsid w:val="00F57086"/>
    <w:rsid w:val="00F57187"/>
    <w:rsid w:val="00F571CC"/>
    <w:rsid w:val="00F5722B"/>
    <w:rsid w:val="00F57386"/>
    <w:rsid w:val="00F57395"/>
    <w:rsid w:val="00F57427"/>
    <w:rsid w:val="00F57533"/>
    <w:rsid w:val="00F5756A"/>
    <w:rsid w:val="00F575AD"/>
    <w:rsid w:val="00F57628"/>
    <w:rsid w:val="00F5767C"/>
    <w:rsid w:val="00F576C5"/>
    <w:rsid w:val="00F57835"/>
    <w:rsid w:val="00F578B2"/>
    <w:rsid w:val="00F57969"/>
    <w:rsid w:val="00F5799B"/>
    <w:rsid w:val="00F579DF"/>
    <w:rsid w:val="00F57A3F"/>
    <w:rsid w:val="00F57A54"/>
    <w:rsid w:val="00F57A74"/>
    <w:rsid w:val="00F57A8C"/>
    <w:rsid w:val="00F57AF0"/>
    <w:rsid w:val="00F57AF7"/>
    <w:rsid w:val="00F57B17"/>
    <w:rsid w:val="00F57B1E"/>
    <w:rsid w:val="00F57B94"/>
    <w:rsid w:val="00F57D6B"/>
    <w:rsid w:val="00F57DA0"/>
    <w:rsid w:val="00F57DCD"/>
    <w:rsid w:val="00F57DF1"/>
    <w:rsid w:val="00F57EA2"/>
    <w:rsid w:val="00F57EA3"/>
    <w:rsid w:val="00F57EF8"/>
    <w:rsid w:val="00F57F00"/>
    <w:rsid w:val="00F57F6C"/>
    <w:rsid w:val="00F57FE3"/>
    <w:rsid w:val="00F6007B"/>
    <w:rsid w:val="00F600AA"/>
    <w:rsid w:val="00F6013D"/>
    <w:rsid w:val="00F60192"/>
    <w:rsid w:val="00F603DA"/>
    <w:rsid w:val="00F6040C"/>
    <w:rsid w:val="00F60429"/>
    <w:rsid w:val="00F60436"/>
    <w:rsid w:val="00F6044A"/>
    <w:rsid w:val="00F60521"/>
    <w:rsid w:val="00F60554"/>
    <w:rsid w:val="00F605B9"/>
    <w:rsid w:val="00F6068E"/>
    <w:rsid w:val="00F606AB"/>
    <w:rsid w:val="00F6070A"/>
    <w:rsid w:val="00F6075E"/>
    <w:rsid w:val="00F6077A"/>
    <w:rsid w:val="00F6084B"/>
    <w:rsid w:val="00F60894"/>
    <w:rsid w:val="00F60953"/>
    <w:rsid w:val="00F609A8"/>
    <w:rsid w:val="00F60A07"/>
    <w:rsid w:val="00F60AAE"/>
    <w:rsid w:val="00F60AB5"/>
    <w:rsid w:val="00F60B4F"/>
    <w:rsid w:val="00F60BA6"/>
    <w:rsid w:val="00F60BEE"/>
    <w:rsid w:val="00F60C66"/>
    <w:rsid w:val="00F60CA8"/>
    <w:rsid w:val="00F60D1E"/>
    <w:rsid w:val="00F60D43"/>
    <w:rsid w:val="00F60D59"/>
    <w:rsid w:val="00F60D95"/>
    <w:rsid w:val="00F60E11"/>
    <w:rsid w:val="00F60F07"/>
    <w:rsid w:val="00F60F51"/>
    <w:rsid w:val="00F60FD7"/>
    <w:rsid w:val="00F61074"/>
    <w:rsid w:val="00F610F6"/>
    <w:rsid w:val="00F61109"/>
    <w:rsid w:val="00F61148"/>
    <w:rsid w:val="00F6114D"/>
    <w:rsid w:val="00F611F0"/>
    <w:rsid w:val="00F61283"/>
    <w:rsid w:val="00F61296"/>
    <w:rsid w:val="00F612BF"/>
    <w:rsid w:val="00F612C8"/>
    <w:rsid w:val="00F6132F"/>
    <w:rsid w:val="00F6133C"/>
    <w:rsid w:val="00F613CE"/>
    <w:rsid w:val="00F6141C"/>
    <w:rsid w:val="00F61440"/>
    <w:rsid w:val="00F61464"/>
    <w:rsid w:val="00F614C1"/>
    <w:rsid w:val="00F6158D"/>
    <w:rsid w:val="00F61592"/>
    <w:rsid w:val="00F615FB"/>
    <w:rsid w:val="00F6168F"/>
    <w:rsid w:val="00F616C7"/>
    <w:rsid w:val="00F61730"/>
    <w:rsid w:val="00F617E8"/>
    <w:rsid w:val="00F61849"/>
    <w:rsid w:val="00F6196C"/>
    <w:rsid w:val="00F619C6"/>
    <w:rsid w:val="00F61B70"/>
    <w:rsid w:val="00F61B9F"/>
    <w:rsid w:val="00F61CC0"/>
    <w:rsid w:val="00F61D27"/>
    <w:rsid w:val="00F61D28"/>
    <w:rsid w:val="00F61D39"/>
    <w:rsid w:val="00F61DAD"/>
    <w:rsid w:val="00F61DC7"/>
    <w:rsid w:val="00F61DE8"/>
    <w:rsid w:val="00F61E68"/>
    <w:rsid w:val="00F61EB8"/>
    <w:rsid w:val="00F61EFD"/>
    <w:rsid w:val="00F61F90"/>
    <w:rsid w:val="00F620BE"/>
    <w:rsid w:val="00F620C9"/>
    <w:rsid w:val="00F621A3"/>
    <w:rsid w:val="00F621DE"/>
    <w:rsid w:val="00F62251"/>
    <w:rsid w:val="00F62266"/>
    <w:rsid w:val="00F622DD"/>
    <w:rsid w:val="00F6230E"/>
    <w:rsid w:val="00F62332"/>
    <w:rsid w:val="00F623C5"/>
    <w:rsid w:val="00F6243A"/>
    <w:rsid w:val="00F62463"/>
    <w:rsid w:val="00F625C8"/>
    <w:rsid w:val="00F625FB"/>
    <w:rsid w:val="00F62602"/>
    <w:rsid w:val="00F627D3"/>
    <w:rsid w:val="00F6289F"/>
    <w:rsid w:val="00F628D3"/>
    <w:rsid w:val="00F62941"/>
    <w:rsid w:val="00F62964"/>
    <w:rsid w:val="00F629FF"/>
    <w:rsid w:val="00F62A05"/>
    <w:rsid w:val="00F62A11"/>
    <w:rsid w:val="00F62A8A"/>
    <w:rsid w:val="00F62A97"/>
    <w:rsid w:val="00F62AB8"/>
    <w:rsid w:val="00F62AE3"/>
    <w:rsid w:val="00F62CE0"/>
    <w:rsid w:val="00F62CFB"/>
    <w:rsid w:val="00F62E56"/>
    <w:rsid w:val="00F62F46"/>
    <w:rsid w:val="00F62F4E"/>
    <w:rsid w:val="00F62FF7"/>
    <w:rsid w:val="00F63082"/>
    <w:rsid w:val="00F63093"/>
    <w:rsid w:val="00F63148"/>
    <w:rsid w:val="00F63150"/>
    <w:rsid w:val="00F63153"/>
    <w:rsid w:val="00F63288"/>
    <w:rsid w:val="00F63355"/>
    <w:rsid w:val="00F633AB"/>
    <w:rsid w:val="00F633AF"/>
    <w:rsid w:val="00F634E4"/>
    <w:rsid w:val="00F63501"/>
    <w:rsid w:val="00F635AD"/>
    <w:rsid w:val="00F635B9"/>
    <w:rsid w:val="00F6360D"/>
    <w:rsid w:val="00F6362A"/>
    <w:rsid w:val="00F63767"/>
    <w:rsid w:val="00F637B0"/>
    <w:rsid w:val="00F637EB"/>
    <w:rsid w:val="00F637F1"/>
    <w:rsid w:val="00F63837"/>
    <w:rsid w:val="00F63912"/>
    <w:rsid w:val="00F63921"/>
    <w:rsid w:val="00F6392E"/>
    <w:rsid w:val="00F6393B"/>
    <w:rsid w:val="00F63A7C"/>
    <w:rsid w:val="00F63AD2"/>
    <w:rsid w:val="00F63AE5"/>
    <w:rsid w:val="00F63BA4"/>
    <w:rsid w:val="00F63D1C"/>
    <w:rsid w:val="00F63FB6"/>
    <w:rsid w:val="00F64037"/>
    <w:rsid w:val="00F64063"/>
    <w:rsid w:val="00F640C5"/>
    <w:rsid w:val="00F64131"/>
    <w:rsid w:val="00F64159"/>
    <w:rsid w:val="00F641AD"/>
    <w:rsid w:val="00F641EB"/>
    <w:rsid w:val="00F6424A"/>
    <w:rsid w:val="00F6429C"/>
    <w:rsid w:val="00F642A7"/>
    <w:rsid w:val="00F64307"/>
    <w:rsid w:val="00F64323"/>
    <w:rsid w:val="00F64371"/>
    <w:rsid w:val="00F64387"/>
    <w:rsid w:val="00F643EC"/>
    <w:rsid w:val="00F64481"/>
    <w:rsid w:val="00F64565"/>
    <w:rsid w:val="00F64577"/>
    <w:rsid w:val="00F6459B"/>
    <w:rsid w:val="00F645C2"/>
    <w:rsid w:val="00F645F0"/>
    <w:rsid w:val="00F646A8"/>
    <w:rsid w:val="00F646E2"/>
    <w:rsid w:val="00F646F5"/>
    <w:rsid w:val="00F64877"/>
    <w:rsid w:val="00F64881"/>
    <w:rsid w:val="00F64932"/>
    <w:rsid w:val="00F64987"/>
    <w:rsid w:val="00F64A39"/>
    <w:rsid w:val="00F64ADB"/>
    <w:rsid w:val="00F64B2E"/>
    <w:rsid w:val="00F64B9F"/>
    <w:rsid w:val="00F64C04"/>
    <w:rsid w:val="00F64C8C"/>
    <w:rsid w:val="00F64CB2"/>
    <w:rsid w:val="00F64CF3"/>
    <w:rsid w:val="00F64D84"/>
    <w:rsid w:val="00F64DF1"/>
    <w:rsid w:val="00F64F2F"/>
    <w:rsid w:val="00F64F37"/>
    <w:rsid w:val="00F64FEE"/>
    <w:rsid w:val="00F650A7"/>
    <w:rsid w:val="00F650BB"/>
    <w:rsid w:val="00F65154"/>
    <w:rsid w:val="00F651CA"/>
    <w:rsid w:val="00F65224"/>
    <w:rsid w:val="00F65239"/>
    <w:rsid w:val="00F6536F"/>
    <w:rsid w:val="00F65370"/>
    <w:rsid w:val="00F6537C"/>
    <w:rsid w:val="00F65383"/>
    <w:rsid w:val="00F653E6"/>
    <w:rsid w:val="00F653F3"/>
    <w:rsid w:val="00F654A3"/>
    <w:rsid w:val="00F65565"/>
    <w:rsid w:val="00F65660"/>
    <w:rsid w:val="00F65673"/>
    <w:rsid w:val="00F65780"/>
    <w:rsid w:val="00F65893"/>
    <w:rsid w:val="00F658BA"/>
    <w:rsid w:val="00F658DF"/>
    <w:rsid w:val="00F65914"/>
    <w:rsid w:val="00F6592B"/>
    <w:rsid w:val="00F65988"/>
    <w:rsid w:val="00F65BB8"/>
    <w:rsid w:val="00F65C42"/>
    <w:rsid w:val="00F65C5C"/>
    <w:rsid w:val="00F65D5B"/>
    <w:rsid w:val="00F65E1F"/>
    <w:rsid w:val="00F65E81"/>
    <w:rsid w:val="00F65F1A"/>
    <w:rsid w:val="00F65F61"/>
    <w:rsid w:val="00F65FE2"/>
    <w:rsid w:val="00F65FE7"/>
    <w:rsid w:val="00F6603C"/>
    <w:rsid w:val="00F6609F"/>
    <w:rsid w:val="00F661B9"/>
    <w:rsid w:val="00F662CD"/>
    <w:rsid w:val="00F66325"/>
    <w:rsid w:val="00F66344"/>
    <w:rsid w:val="00F664C1"/>
    <w:rsid w:val="00F664CC"/>
    <w:rsid w:val="00F66504"/>
    <w:rsid w:val="00F66522"/>
    <w:rsid w:val="00F66531"/>
    <w:rsid w:val="00F66690"/>
    <w:rsid w:val="00F667CA"/>
    <w:rsid w:val="00F6685A"/>
    <w:rsid w:val="00F668A7"/>
    <w:rsid w:val="00F66901"/>
    <w:rsid w:val="00F66911"/>
    <w:rsid w:val="00F66A6C"/>
    <w:rsid w:val="00F66A95"/>
    <w:rsid w:val="00F66B44"/>
    <w:rsid w:val="00F66C0F"/>
    <w:rsid w:val="00F66CD2"/>
    <w:rsid w:val="00F66CE9"/>
    <w:rsid w:val="00F66D0F"/>
    <w:rsid w:val="00F66D16"/>
    <w:rsid w:val="00F66D82"/>
    <w:rsid w:val="00F66DBA"/>
    <w:rsid w:val="00F66DE9"/>
    <w:rsid w:val="00F66DFB"/>
    <w:rsid w:val="00F66E5F"/>
    <w:rsid w:val="00F66EE2"/>
    <w:rsid w:val="00F66F15"/>
    <w:rsid w:val="00F66F83"/>
    <w:rsid w:val="00F67015"/>
    <w:rsid w:val="00F67042"/>
    <w:rsid w:val="00F67067"/>
    <w:rsid w:val="00F67089"/>
    <w:rsid w:val="00F6708C"/>
    <w:rsid w:val="00F670CE"/>
    <w:rsid w:val="00F670F7"/>
    <w:rsid w:val="00F6715E"/>
    <w:rsid w:val="00F67167"/>
    <w:rsid w:val="00F671B2"/>
    <w:rsid w:val="00F671C3"/>
    <w:rsid w:val="00F6723B"/>
    <w:rsid w:val="00F67259"/>
    <w:rsid w:val="00F6728A"/>
    <w:rsid w:val="00F672B9"/>
    <w:rsid w:val="00F673D7"/>
    <w:rsid w:val="00F673FE"/>
    <w:rsid w:val="00F67400"/>
    <w:rsid w:val="00F674A8"/>
    <w:rsid w:val="00F674E9"/>
    <w:rsid w:val="00F67538"/>
    <w:rsid w:val="00F675EC"/>
    <w:rsid w:val="00F6770D"/>
    <w:rsid w:val="00F6771E"/>
    <w:rsid w:val="00F67762"/>
    <w:rsid w:val="00F67783"/>
    <w:rsid w:val="00F6782C"/>
    <w:rsid w:val="00F678C9"/>
    <w:rsid w:val="00F6791A"/>
    <w:rsid w:val="00F6795B"/>
    <w:rsid w:val="00F67989"/>
    <w:rsid w:val="00F679B4"/>
    <w:rsid w:val="00F679E9"/>
    <w:rsid w:val="00F67A14"/>
    <w:rsid w:val="00F67A69"/>
    <w:rsid w:val="00F67AFA"/>
    <w:rsid w:val="00F67B08"/>
    <w:rsid w:val="00F67B62"/>
    <w:rsid w:val="00F67BFB"/>
    <w:rsid w:val="00F67DDB"/>
    <w:rsid w:val="00F67E87"/>
    <w:rsid w:val="00F70073"/>
    <w:rsid w:val="00F7009B"/>
    <w:rsid w:val="00F700CB"/>
    <w:rsid w:val="00F7010F"/>
    <w:rsid w:val="00F70188"/>
    <w:rsid w:val="00F701AD"/>
    <w:rsid w:val="00F7022A"/>
    <w:rsid w:val="00F7027B"/>
    <w:rsid w:val="00F7027C"/>
    <w:rsid w:val="00F702B0"/>
    <w:rsid w:val="00F7034F"/>
    <w:rsid w:val="00F703E5"/>
    <w:rsid w:val="00F703FA"/>
    <w:rsid w:val="00F70454"/>
    <w:rsid w:val="00F7047E"/>
    <w:rsid w:val="00F704C4"/>
    <w:rsid w:val="00F704ED"/>
    <w:rsid w:val="00F704F8"/>
    <w:rsid w:val="00F705C4"/>
    <w:rsid w:val="00F705C5"/>
    <w:rsid w:val="00F70608"/>
    <w:rsid w:val="00F7061A"/>
    <w:rsid w:val="00F706F1"/>
    <w:rsid w:val="00F70718"/>
    <w:rsid w:val="00F70769"/>
    <w:rsid w:val="00F7077F"/>
    <w:rsid w:val="00F7079D"/>
    <w:rsid w:val="00F707FF"/>
    <w:rsid w:val="00F708FA"/>
    <w:rsid w:val="00F70904"/>
    <w:rsid w:val="00F709AC"/>
    <w:rsid w:val="00F70A01"/>
    <w:rsid w:val="00F70AD2"/>
    <w:rsid w:val="00F70B18"/>
    <w:rsid w:val="00F70B42"/>
    <w:rsid w:val="00F70B8E"/>
    <w:rsid w:val="00F70C33"/>
    <w:rsid w:val="00F70CDB"/>
    <w:rsid w:val="00F70CE4"/>
    <w:rsid w:val="00F70CFF"/>
    <w:rsid w:val="00F70D61"/>
    <w:rsid w:val="00F70D97"/>
    <w:rsid w:val="00F70DBA"/>
    <w:rsid w:val="00F70E6B"/>
    <w:rsid w:val="00F70EAC"/>
    <w:rsid w:val="00F70F37"/>
    <w:rsid w:val="00F71077"/>
    <w:rsid w:val="00F71126"/>
    <w:rsid w:val="00F71146"/>
    <w:rsid w:val="00F7114F"/>
    <w:rsid w:val="00F711B2"/>
    <w:rsid w:val="00F71238"/>
    <w:rsid w:val="00F7135D"/>
    <w:rsid w:val="00F713E0"/>
    <w:rsid w:val="00F71456"/>
    <w:rsid w:val="00F7159A"/>
    <w:rsid w:val="00F716AD"/>
    <w:rsid w:val="00F7172F"/>
    <w:rsid w:val="00F71775"/>
    <w:rsid w:val="00F717CF"/>
    <w:rsid w:val="00F71843"/>
    <w:rsid w:val="00F718D8"/>
    <w:rsid w:val="00F7199F"/>
    <w:rsid w:val="00F71A42"/>
    <w:rsid w:val="00F71B2B"/>
    <w:rsid w:val="00F71BCE"/>
    <w:rsid w:val="00F71C17"/>
    <w:rsid w:val="00F71CE0"/>
    <w:rsid w:val="00F71D5B"/>
    <w:rsid w:val="00F71DF7"/>
    <w:rsid w:val="00F71E04"/>
    <w:rsid w:val="00F71E89"/>
    <w:rsid w:val="00F71EDB"/>
    <w:rsid w:val="00F71F0A"/>
    <w:rsid w:val="00F71F23"/>
    <w:rsid w:val="00F71F48"/>
    <w:rsid w:val="00F71FAD"/>
    <w:rsid w:val="00F72030"/>
    <w:rsid w:val="00F72122"/>
    <w:rsid w:val="00F72135"/>
    <w:rsid w:val="00F72154"/>
    <w:rsid w:val="00F7228D"/>
    <w:rsid w:val="00F722F8"/>
    <w:rsid w:val="00F72377"/>
    <w:rsid w:val="00F723DE"/>
    <w:rsid w:val="00F72410"/>
    <w:rsid w:val="00F72436"/>
    <w:rsid w:val="00F7243E"/>
    <w:rsid w:val="00F724ED"/>
    <w:rsid w:val="00F7252E"/>
    <w:rsid w:val="00F72579"/>
    <w:rsid w:val="00F7257B"/>
    <w:rsid w:val="00F7259A"/>
    <w:rsid w:val="00F72661"/>
    <w:rsid w:val="00F726DE"/>
    <w:rsid w:val="00F72778"/>
    <w:rsid w:val="00F72792"/>
    <w:rsid w:val="00F72794"/>
    <w:rsid w:val="00F727E7"/>
    <w:rsid w:val="00F7293D"/>
    <w:rsid w:val="00F72A04"/>
    <w:rsid w:val="00F72A1E"/>
    <w:rsid w:val="00F72B0B"/>
    <w:rsid w:val="00F72B3E"/>
    <w:rsid w:val="00F72B5A"/>
    <w:rsid w:val="00F72B93"/>
    <w:rsid w:val="00F72BA3"/>
    <w:rsid w:val="00F72BE5"/>
    <w:rsid w:val="00F72C03"/>
    <w:rsid w:val="00F72C3B"/>
    <w:rsid w:val="00F72D94"/>
    <w:rsid w:val="00F72DB5"/>
    <w:rsid w:val="00F72E17"/>
    <w:rsid w:val="00F72E36"/>
    <w:rsid w:val="00F72ED6"/>
    <w:rsid w:val="00F72EE8"/>
    <w:rsid w:val="00F72F83"/>
    <w:rsid w:val="00F73002"/>
    <w:rsid w:val="00F73047"/>
    <w:rsid w:val="00F730AC"/>
    <w:rsid w:val="00F73134"/>
    <w:rsid w:val="00F73194"/>
    <w:rsid w:val="00F73295"/>
    <w:rsid w:val="00F73303"/>
    <w:rsid w:val="00F73553"/>
    <w:rsid w:val="00F7355F"/>
    <w:rsid w:val="00F73616"/>
    <w:rsid w:val="00F73683"/>
    <w:rsid w:val="00F736AA"/>
    <w:rsid w:val="00F736E9"/>
    <w:rsid w:val="00F7373C"/>
    <w:rsid w:val="00F73754"/>
    <w:rsid w:val="00F73843"/>
    <w:rsid w:val="00F73882"/>
    <w:rsid w:val="00F738D2"/>
    <w:rsid w:val="00F739DA"/>
    <w:rsid w:val="00F739FD"/>
    <w:rsid w:val="00F73A13"/>
    <w:rsid w:val="00F73B3A"/>
    <w:rsid w:val="00F73BFF"/>
    <w:rsid w:val="00F73C59"/>
    <w:rsid w:val="00F73CB4"/>
    <w:rsid w:val="00F73CBB"/>
    <w:rsid w:val="00F73CBE"/>
    <w:rsid w:val="00F73CC5"/>
    <w:rsid w:val="00F73CDA"/>
    <w:rsid w:val="00F73D4C"/>
    <w:rsid w:val="00F73E2E"/>
    <w:rsid w:val="00F73E5C"/>
    <w:rsid w:val="00F73E8C"/>
    <w:rsid w:val="00F73F41"/>
    <w:rsid w:val="00F73FA5"/>
    <w:rsid w:val="00F7405C"/>
    <w:rsid w:val="00F740DD"/>
    <w:rsid w:val="00F74242"/>
    <w:rsid w:val="00F74283"/>
    <w:rsid w:val="00F74367"/>
    <w:rsid w:val="00F7440C"/>
    <w:rsid w:val="00F7443C"/>
    <w:rsid w:val="00F74454"/>
    <w:rsid w:val="00F7446B"/>
    <w:rsid w:val="00F74549"/>
    <w:rsid w:val="00F74552"/>
    <w:rsid w:val="00F7459D"/>
    <w:rsid w:val="00F7476B"/>
    <w:rsid w:val="00F74788"/>
    <w:rsid w:val="00F74912"/>
    <w:rsid w:val="00F74980"/>
    <w:rsid w:val="00F7498B"/>
    <w:rsid w:val="00F749F4"/>
    <w:rsid w:val="00F74AAA"/>
    <w:rsid w:val="00F74BC8"/>
    <w:rsid w:val="00F74C30"/>
    <w:rsid w:val="00F74C61"/>
    <w:rsid w:val="00F74CD1"/>
    <w:rsid w:val="00F74E04"/>
    <w:rsid w:val="00F74E2A"/>
    <w:rsid w:val="00F74E53"/>
    <w:rsid w:val="00F74EAB"/>
    <w:rsid w:val="00F74F12"/>
    <w:rsid w:val="00F74F71"/>
    <w:rsid w:val="00F74FA5"/>
    <w:rsid w:val="00F75034"/>
    <w:rsid w:val="00F75193"/>
    <w:rsid w:val="00F7519B"/>
    <w:rsid w:val="00F7521D"/>
    <w:rsid w:val="00F75362"/>
    <w:rsid w:val="00F754D4"/>
    <w:rsid w:val="00F755E4"/>
    <w:rsid w:val="00F7564C"/>
    <w:rsid w:val="00F756DA"/>
    <w:rsid w:val="00F7579E"/>
    <w:rsid w:val="00F757DD"/>
    <w:rsid w:val="00F75801"/>
    <w:rsid w:val="00F758DD"/>
    <w:rsid w:val="00F75978"/>
    <w:rsid w:val="00F759F4"/>
    <w:rsid w:val="00F75A57"/>
    <w:rsid w:val="00F75B29"/>
    <w:rsid w:val="00F75B81"/>
    <w:rsid w:val="00F75B86"/>
    <w:rsid w:val="00F75BA1"/>
    <w:rsid w:val="00F75BD0"/>
    <w:rsid w:val="00F75BD9"/>
    <w:rsid w:val="00F75C81"/>
    <w:rsid w:val="00F75CD9"/>
    <w:rsid w:val="00F75CDC"/>
    <w:rsid w:val="00F75CF9"/>
    <w:rsid w:val="00F75EA5"/>
    <w:rsid w:val="00F75EF4"/>
    <w:rsid w:val="00F75F95"/>
    <w:rsid w:val="00F75FB6"/>
    <w:rsid w:val="00F76079"/>
    <w:rsid w:val="00F760F9"/>
    <w:rsid w:val="00F762B7"/>
    <w:rsid w:val="00F76319"/>
    <w:rsid w:val="00F7638C"/>
    <w:rsid w:val="00F763A6"/>
    <w:rsid w:val="00F763D2"/>
    <w:rsid w:val="00F76432"/>
    <w:rsid w:val="00F764E7"/>
    <w:rsid w:val="00F76609"/>
    <w:rsid w:val="00F766A0"/>
    <w:rsid w:val="00F766DF"/>
    <w:rsid w:val="00F7692A"/>
    <w:rsid w:val="00F769C1"/>
    <w:rsid w:val="00F76BB8"/>
    <w:rsid w:val="00F76C34"/>
    <w:rsid w:val="00F76CC2"/>
    <w:rsid w:val="00F76D2B"/>
    <w:rsid w:val="00F76D54"/>
    <w:rsid w:val="00F76D56"/>
    <w:rsid w:val="00F76E4B"/>
    <w:rsid w:val="00F76E58"/>
    <w:rsid w:val="00F76EE5"/>
    <w:rsid w:val="00F76EF1"/>
    <w:rsid w:val="00F76F3A"/>
    <w:rsid w:val="00F7709A"/>
    <w:rsid w:val="00F770CA"/>
    <w:rsid w:val="00F77249"/>
    <w:rsid w:val="00F7725C"/>
    <w:rsid w:val="00F77276"/>
    <w:rsid w:val="00F77285"/>
    <w:rsid w:val="00F772FD"/>
    <w:rsid w:val="00F77321"/>
    <w:rsid w:val="00F77360"/>
    <w:rsid w:val="00F773F2"/>
    <w:rsid w:val="00F7740E"/>
    <w:rsid w:val="00F77583"/>
    <w:rsid w:val="00F7759E"/>
    <w:rsid w:val="00F77611"/>
    <w:rsid w:val="00F77650"/>
    <w:rsid w:val="00F77813"/>
    <w:rsid w:val="00F77912"/>
    <w:rsid w:val="00F77918"/>
    <w:rsid w:val="00F77987"/>
    <w:rsid w:val="00F779F0"/>
    <w:rsid w:val="00F77A64"/>
    <w:rsid w:val="00F77A68"/>
    <w:rsid w:val="00F77B67"/>
    <w:rsid w:val="00F77B8A"/>
    <w:rsid w:val="00F77C53"/>
    <w:rsid w:val="00F77D12"/>
    <w:rsid w:val="00F77DD7"/>
    <w:rsid w:val="00F77E86"/>
    <w:rsid w:val="00F77E96"/>
    <w:rsid w:val="00F77EED"/>
    <w:rsid w:val="00F77FF0"/>
    <w:rsid w:val="00F77FF5"/>
    <w:rsid w:val="00F800BC"/>
    <w:rsid w:val="00F80150"/>
    <w:rsid w:val="00F80264"/>
    <w:rsid w:val="00F80274"/>
    <w:rsid w:val="00F802F3"/>
    <w:rsid w:val="00F80435"/>
    <w:rsid w:val="00F80457"/>
    <w:rsid w:val="00F8046E"/>
    <w:rsid w:val="00F80506"/>
    <w:rsid w:val="00F805E2"/>
    <w:rsid w:val="00F80613"/>
    <w:rsid w:val="00F8063F"/>
    <w:rsid w:val="00F80683"/>
    <w:rsid w:val="00F80687"/>
    <w:rsid w:val="00F806AC"/>
    <w:rsid w:val="00F80735"/>
    <w:rsid w:val="00F80758"/>
    <w:rsid w:val="00F807FF"/>
    <w:rsid w:val="00F80B50"/>
    <w:rsid w:val="00F80B58"/>
    <w:rsid w:val="00F80B78"/>
    <w:rsid w:val="00F80C08"/>
    <w:rsid w:val="00F80CBB"/>
    <w:rsid w:val="00F80D11"/>
    <w:rsid w:val="00F80D1B"/>
    <w:rsid w:val="00F80DE5"/>
    <w:rsid w:val="00F80DF1"/>
    <w:rsid w:val="00F80E35"/>
    <w:rsid w:val="00F80E4E"/>
    <w:rsid w:val="00F80E51"/>
    <w:rsid w:val="00F80E6F"/>
    <w:rsid w:val="00F80E7B"/>
    <w:rsid w:val="00F80E7F"/>
    <w:rsid w:val="00F80ED6"/>
    <w:rsid w:val="00F80FCA"/>
    <w:rsid w:val="00F81003"/>
    <w:rsid w:val="00F81010"/>
    <w:rsid w:val="00F81062"/>
    <w:rsid w:val="00F8113D"/>
    <w:rsid w:val="00F81198"/>
    <w:rsid w:val="00F811D9"/>
    <w:rsid w:val="00F8121A"/>
    <w:rsid w:val="00F812DC"/>
    <w:rsid w:val="00F812E3"/>
    <w:rsid w:val="00F8133F"/>
    <w:rsid w:val="00F8135F"/>
    <w:rsid w:val="00F813E7"/>
    <w:rsid w:val="00F8141D"/>
    <w:rsid w:val="00F81440"/>
    <w:rsid w:val="00F8145C"/>
    <w:rsid w:val="00F81544"/>
    <w:rsid w:val="00F81560"/>
    <w:rsid w:val="00F81577"/>
    <w:rsid w:val="00F815ED"/>
    <w:rsid w:val="00F815FE"/>
    <w:rsid w:val="00F816CF"/>
    <w:rsid w:val="00F816DD"/>
    <w:rsid w:val="00F8179D"/>
    <w:rsid w:val="00F818FF"/>
    <w:rsid w:val="00F81969"/>
    <w:rsid w:val="00F8197D"/>
    <w:rsid w:val="00F819D3"/>
    <w:rsid w:val="00F819FA"/>
    <w:rsid w:val="00F81AE5"/>
    <w:rsid w:val="00F81B6E"/>
    <w:rsid w:val="00F81BCF"/>
    <w:rsid w:val="00F81BE9"/>
    <w:rsid w:val="00F81CE4"/>
    <w:rsid w:val="00F81DA7"/>
    <w:rsid w:val="00F81E22"/>
    <w:rsid w:val="00F81E46"/>
    <w:rsid w:val="00F81F3F"/>
    <w:rsid w:val="00F81FBD"/>
    <w:rsid w:val="00F81FD5"/>
    <w:rsid w:val="00F8204D"/>
    <w:rsid w:val="00F821AD"/>
    <w:rsid w:val="00F821BC"/>
    <w:rsid w:val="00F82561"/>
    <w:rsid w:val="00F826BD"/>
    <w:rsid w:val="00F826CB"/>
    <w:rsid w:val="00F82732"/>
    <w:rsid w:val="00F827C6"/>
    <w:rsid w:val="00F828C1"/>
    <w:rsid w:val="00F8292C"/>
    <w:rsid w:val="00F829C3"/>
    <w:rsid w:val="00F829ED"/>
    <w:rsid w:val="00F82A6A"/>
    <w:rsid w:val="00F82B18"/>
    <w:rsid w:val="00F82B9D"/>
    <w:rsid w:val="00F82D52"/>
    <w:rsid w:val="00F82DDE"/>
    <w:rsid w:val="00F82E2E"/>
    <w:rsid w:val="00F82ED8"/>
    <w:rsid w:val="00F82F57"/>
    <w:rsid w:val="00F82F62"/>
    <w:rsid w:val="00F82F7C"/>
    <w:rsid w:val="00F8303C"/>
    <w:rsid w:val="00F8304E"/>
    <w:rsid w:val="00F8308C"/>
    <w:rsid w:val="00F830BF"/>
    <w:rsid w:val="00F831B2"/>
    <w:rsid w:val="00F83211"/>
    <w:rsid w:val="00F83269"/>
    <w:rsid w:val="00F832F8"/>
    <w:rsid w:val="00F832FF"/>
    <w:rsid w:val="00F83398"/>
    <w:rsid w:val="00F833A6"/>
    <w:rsid w:val="00F833F3"/>
    <w:rsid w:val="00F8346C"/>
    <w:rsid w:val="00F834AA"/>
    <w:rsid w:val="00F83536"/>
    <w:rsid w:val="00F836EB"/>
    <w:rsid w:val="00F8371A"/>
    <w:rsid w:val="00F83733"/>
    <w:rsid w:val="00F83752"/>
    <w:rsid w:val="00F83856"/>
    <w:rsid w:val="00F83868"/>
    <w:rsid w:val="00F838D6"/>
    <w:rsid w:val="00F839C9"/>
    <w:rsid w:val="00F83A64"/>
    <w:rsid w:val="00F83A7A"/>
    <w:rsid w:val="00F83C7B"/>
    <w:rsid w:val="00F83CB5"/>
    <w:rsid w:val="00F83CD1"/>
    <w:rsid w:val="00F83D45"/>
    <w:rsid w:val="00F83D6F"/>
    <w:rsid w:val="00F83DF7"/>
    <w:rsid w:val="00F83E09"/>
    <w:rsid w:val="00F83E0B"/>
    <w:rsid w:val="00F83F06"/>
    <w:rsid w:val="00F83F58"/>
    <w:rsid w:val="00F83F62"/>
    <w:rsid w:val="00F83F65"/>
    <w:rsid w:val="00F83F74"/>
    <w:rsid w:val="00F83F90"/>
    <w:rsid w:val="00F84051"/>
    <w:rsid w:val="00F840A1"/>
    <w:rsid w:val="00F8423A"/>
    <w:rsid w:val="00F84364"/>
    <w:rsid w:val="00F8437E"/>
    <w:rsid w:val="00F8437F"/>
    <w:rsid w:val="00F84393"/>
    <w:rsid w:val="00F843B3"/>
    <w:rsid w:val="00F843E9"/>
    <w:rsid w:val="00F84449"/>
    <w:rsid w:val="00F8444C"/>
    <w:rsid w:val="00F8454A"/>
    <w:rsid w:val="00F8458F"/>
    <w:rsid w:val="00F84815"/>
    <w:rsid w:val="00F8491D"/>
    <w:rsid w:val="00F84937"/>
    <w:rsid w:val="00F849B4"/>
    <w:rsid w:val="00F84ADE"/>
    <w:rsid w:val="00F84B12"/>
    <w:rsid w:val="00F84B31"/>
    <w:rsid w:val="00F84B42"/>
    <w:rsid w:val="00F84B5A"/>
    <w:rsid w:val="00F84C66"/>
    <w:rsid w:val="00F84DC3"/>
    <w:rsid w:val="00F84E07"/>
    <w:rsid w:val="00F84E16"/>
    <w:rsid w:val="00F84F01"/>
    <w:rsid w:val="00F84F2A"/>
    <w:rsid w:val="00F84F35"/>
    <w:rsid w:val="00F84F5E"/>
    <w:rsid w:val="00F84F6C"/>
    <w:rsid w:val="00F84FA4"/>
    <w:rsid w:val="00F850F0"/>
    <w:rsid w:val="00F85159"/>
    <w:rsid w:val="00F8537C"/>
    <w:rsid w:val="00F853F9"/>
    <w:rsid w:val="00F8542C"/>
    <w:rsid w:val="00F854BE"/>
    <w:rsid w:val="00F854E9"/>
    <w:rsid w:val="00F854F3"/>
    <w:rsid w:val="00F85579"/>
    <w:rsid w:val="00F855E8"/>
    <w:rsid w:val="00F85674"/>
    <w:rsid w:val="00F85690"/>
    <w:rsid w:val="00F8569A"/>
    <w:rsid w:val="00F856E3"/>
    <w:rsid w:val="00F856E4"/>
    <w:rsid w:val="00F856FC"/>
    <w:rsid w:val="00F857DB"/>
    <w:rsid w:val="00F85808"/>
    <w:rsid w:val="00F85820"/>
    <w:rsid w:val="00F8582D"/>
    <w:rsid w:val="00F8583E"/>
    <w:rsid w:val="00F85867"/>
    <w:rsid w:val="00F8589A"/>
    <w:rsid w:val="00F858CB"/>
    <w:rsid w:val="00F85962"/>
    <w:rsid w:val="00F85997"/>
    <w:rsid w:val="00F859A4"/>
    <w:rsid w:val="00F85A56"/>
    <w:rsid w:val="00F85A8B"/>
    <w:rsid w:val="00F85AA8"/>
    <w:rsid w:val="00F85B26"/>
    <w:rsid w:val="00F85B63"/>
    <w:rsid w:val="00F85D0D"/>
    <w:rsid w:val="00F85D1C"/>
    <w:rsid w:val="00F85D73"/>
    <w:rsid w:val="00F85D91"/>
    <w:rsid w:val="00F85D96"/>
    <w:rsid w:val="00F85F6D"/>
    <w:rsid w:val="00F85FC2"/>
    <w:rsid w:val="00F860CE"/>
    <w:rsid w:val="00F860D6"/>
    <w:rsid w:val="00F8619F"/>
    <w:rsid w:val="00F861AC"/>
    <w:rsid w:val="00F86238"/>
    <w:rsid w:val="00F862C2"/>
    <w:rsid w:val="00F862CA"/>
    <w:rsid w:val="00F862EC"/>
    <w:rsid w:val="00F863F5"/>
    <w:rsid w:val="00F8641E"/>
    <w:rsid w:val="00F8646C"/>
    <w:rsid w:val="00F8647D"/>
    <w:rsid w:val="00F864C3"/>
    <w:rsid w:val="00F864ED"/>
    <w:rsid w:val="00F86526"/>
    <w:rsid w:val="00F8653E"/>
    <w:rsid w:val="00F86738"/>
    <w:rsid w:val="00F8683F"/>
    <w:rsid w:val="00F86902"/>
    <w:rsid w:val="00F86A1C"/>
    <w:rsid w:val="00F86A49"/>
    <w:rsid w:val="00F86AEB"/>
    <w:rsid w:val="00F86B72"/>
    <w:rsid w:val="00F86C6E"/>
    <w:rsid w:val="00F86CA5"/>
    <w:rsid w:val="00F86CE9"/>
    <w:rsid w:val="00F86CFF"/>
    <w:rsid w:val="00F86D16"/>
    <w:rsid w:val="00F86F23"/>
    <w:rsid w:val="00F86FFE"/>
    <w:rsid w:val="00F8700C"/>
    <w:rsid w:val="00F8701C"/>
    <w:rsid w:val="00F87025"/>
    <w:rsid w:val="00F87039"/>
    <w:rsid w:val="00F8717E"/>
    <w:rsid w:val="00F87189"/>
    <w:rsid w:val="00F8726F"/>
    <w:rsid w:val="00F87324"/>
    <w:rsid w:val="00F87335"/>
    <w:rsid w:val="00F87339"/>
    <w:rsid w:val="00F87382"/>
    <w:rsid w:val="00F87386"/>
    <w:rsid w:val="00F873AE"/>
    <w:rsid w:val="00F873C8"/>
    <w:rsid w:val="00F873D9"/>
    <w:rsid w:val="00F873E2"/>
    <w:rsid w:val="00F87457"/>
    <w:rsid w:val="00F875D3"/>
    <w:rsid w:val="00F875FF"/>
    <w:rsid w:val="00F8765E"/>
    <w:rsid w:val="00F876BA"/>
    <w:rsid w:val="00F876F6"/>
    <w:rsid w:val="00F87754"/>
    <w:rsid w:val="00F87770"/>
    <w:rsid w:val="00F8780E"/>
    <w:rsid w:val="00F878AC"/>
    <w:rsid w:val="00F878D0"/>
    <w:rsid w:val="00F878F0"/>
    <w:rsid w:val="00F8793B"/>
    <w:rsid w:val="00F87AC0"/>
    <w:rsid w:val="00F87B2A"/>
    <w:rsid w:val="00F87B2B"/>
    <w:rsid w:val="00F87B3F"/>
    <w:rsid w:val="00F87B7C"/>
    <w:rsid w:val="00F87D2F"/>
    <w:rsid w:val="00F87DF5"/>
    <w:rsid w:val="00F87DFF"/>
    <w:rsid w:val="00F87E13"/>
    <w:rsid w:val="00F87F5D"/>
    <w:rsid w:val="00F87F67"/>
    <w:rsid w:val="00F87F7F"/>
    <w:rsid w:val="00F90109"/>
    <w:rsid w:val="00F9011C"/>
    <w:rsid w:val="00F90140"/>
    <w:rsid w:val="00F901DE"/>
    <w:rsid w:val="00F9023D"/>
    <w:rsid w:val="00F90295"/>
    <w:rsid w:val="00F902F1"/>
    <w:rsid w:val="00F90370"/>
    <w:rsid w:val="00F9044B"/>
    <w:rsid w:val="00F9046A"/>
    <w:rsid w:val="00F9047A"/>
    <w:rsid w:val="00F904C4"/>
    <w:rsid w:val="00F90511"/>
    <w:rsid w:val="00F90527"/>
    <w:rsid w:val="00F90737"/>
    <w:rsid w:val="00F90757"/>
    <w:rsid w:val="00F907D7"/>
    <w:rsid w:val="00F908BD"/>
    <w:rsid w:val="00F90923"/>
    <w:rsid w:val="00F90A5B"/>
    <w:rsid w:val="00F90AFF"/>
    <w:rsid w:val="00F90B6D"/>
    <w:rsid w:val="00F90BB9"/>
    <w:rsid w:val="00F90C0D"/>
    <w:rsid w:val="00F90CE3"/>
    <w:rsid w:val="00F90D91"/>
    <w:rsid w:val="00F90D92"/>
    <w:rsid w:val="00F90E15"/>
    <w:rsid w:val="00F90E4C"/>
    <w:rsid w:val="00F90E7D"/>
    <w:rsid w:val="00F90EAE"/>
    <w:rsid w:val="00F90F0B"/>
    <w:rsid w:val="00F90F7A"/>
    <w:rsid w:val="00F90F7E"/>
    <w:rsid w:val="00F910F2"/>
    <w:rsid w:val="00F9111E"/>
    <w:rsid w:val="00F9117C"/>
    <w:rsid w:val="00F9118C"/>
    <w:rsid w:val="00F911D2"/>
    <w:rsid w:val="00F911E8"/>
    <w:rsid w:val="00F91221"/>
    <w:rsid w:val="00F91254"/>
    <w:rsid w:val="00F9126B"/>
    <w:rsid w:val="00F913B7"/>
    <w:rsid w:val="00F91470"/>
    <w:rsid w:val="00F9147E"/>
    <w:rsid w:val="00F91486"/>
    <w:rsid w:val="00F91505"/>
    <w:rsid w:val="00F91507"/>
    <w:rsid w:val="00F91554"/>
    <w:rsid w:val="00F91570"/>
    <w:rsid w:val="00F915D2"/>
    <w:rsid w:val="00F915F6"/>
    <w:rsid w:val="00F91679"/>
    <w:rsid w:val="00F916DE"/>
    <w:rsid w:val="00F917C9"/>
    <w:rsid w:val="00F917ED"/>
    <w:rsid w:val="00F91807"/>
    <w:rsid w:val="00F9183F"/>
    <w:rsid w:val="00F91879"/>
    <w:rsid w:val="00F918A2"/>
    <w:rsid w:val="00F918B1"/>
    <w:rsid w:val="00F918C2"/>
    <w:rsid w:val="00F91923"/>
    <w:rsid w:val="00F91974"/>
    <w:rsid w:val="00F91981"/>
    <w:rsid w:val="00F91993"/>
    <w:rsid w:val="00F919A4"/>
    <w:rsid w:val="00F91A2D"/>
    <w:rsid w:val="00F91B4D"/>
    <w:rsid w:val="00F91B59"/>
    <w:rsid w:val="00F91BC7"/>
    <w:rsid w:val="00F91BE7"/>
    <w:rsid w:val="00F91C71"/>
    <w:rsid w:val="00F91CCA"/>
    <w:rsid w:val="00F91DC4"/>
    <w:rsid w:val="00F91DF6"/>
    <w:rsid w:val="00F91DFF"/>
    <w:rsid w:val="00F91E33"/>
    <w:rsid w:val="00F91E4A"/>
    <w:rsid w:val="00F91EA7"/>
    <w:rsid w:val="00F91EE1"/>
    <w:rsid w:val="00F91EFC"/>
    <w:rsid w:val="00F91F12"/>
    <w:rsid w:val="00F91FCA"/>
    <w:rsid w:val="00F91FCE"/>
    <w:rsid w:val="00F91FF0"/>
    <w:rsid w:val="00F92035"/>
    <w:rsid w:val="00F92099"/>
    <w:rsid w:val="00F920F8"/>
    <w:rsid w:val="00F9212F"/>
    <w:rsid w:val="00F92172"/>
    <w:rsid w:val="00F92181"/>
    <w:rsid w:val="00F92234"/>
    <w:rsid w:val="00F922BE"/>
    <w:rsid w:val="00F92542"/>
    <w:rsid w:val="00F925FC"/>
    <w:rsid w:val="00F925FD"/>
    <w:rsid w:val="00F9261E"/>
    <w:rsid w:val="00F92668"/>
    <w:rsid w:val="00F926A9"/>
    <w:rsid w:val="00F926DD"/>
    <w:rsid w:val="00F9274E"/>
    <w:rsid w:val="00F927A4"/>
    <w:rsid w:val="00F92820"/>
    <w:rsid w:val="00F9283D"/>
    <w:rsid w:val="00F92906"/>
    <w:rsid w:val="00F92932"/>
    <w:rsid w:val="00F9299D"/>
    <w:rsid w:val="00F929B0"/>
    <w:rsid w:val="00F929E3"/>
    <w:rsid w:val="00F92A50"/>
    <w:rsid w:val="00F92A74"/>
    <w:rsid w:val="00F92A96"/>
    <w:rsid w:val="00F92BE7"/>
    <w:rsid w:val="00F92C11"/>
    <w:rsid w:val="00F92CA4"/>
    <w:rsid w:val="00F92DC8"/>
    <w:rsid w:val="00F92E18"/>
    <w:rsid w:val="00F92E38"/>
    <w:rsid w:val="00F92EC8"/>
    <w:rsid w:val="00F93082"/>
    <w:rsid w:val="00F9308A"/>
    <w:rsid w:val="00F93110"/>
    <w:rsid w:val="00F93120"/>
    <w:rsid w:val="00F9328B"/>
    <w:rsid w:val="00F93344"/>
    <w:rsid w:val="00F93494"/>
    <w:rsid w:val="00F9349E"/>
    <w:rsid w:val="00F934E5"/>
    <w:rsid w:val="00F93527"/>
    <w:rsid w:val="00F9352F"/>
    <w:rsid w:val="00F9357D"/>
    <w:rsid w:val="00F93652"/>
    <w:rsid w:val="00F936E0"/>
    <w:rsid w:val="00F936E8"/>
    <w:rsid w:val="00F93741"/>
    <w:rsid w:val="00F937D5"/>
    <w:rsid w:val="00F939FB"/>
    <w:rsid w:val="00F93AA8"/>
    <w:rsid w:val="00F93B74"/>
    <w:rsid w:val="00F93B80"/>
    <w:rsid w:val="00F93B83"/>
    <w:rsid w:val="00F93C11"/>
    <w:rsid w:val="00F93C9A"/>
    <w:rsid w:val="00F93D08"/>
    <w:rsid w:val="00F93DF3"/>
    <w:rsid w:val="00F93E61"/>
    <w:rsid w:val="00F93E81"/>
    <w:rsid w:val="00F93E98"/>
    <w:rsid w:val="00F93F47"/>
    <w:rsid w:val="00F93F69"/>
    <w:rsid w:val="00F93F91"/>
    <w:rsid w:val="00F94074"/>
    <w:rsid w:val="00F9416E"/>
    <w:rsid w:val="00F94172"/>
    <w:rsid w:val="00F941A5"/>
    <w:rsid w:val="00F9420D"/>
    <w:rsid w:val="00F94295"/>
    <w:rsid w:val="00F94301"/>
    <w:rsid w:val="00F94317"/>
    <w:rsid w:val="00F94345"/>
    <w:rsid w:val="00F94381"/>
    <w:rsid w:val="00F9445C"/>
    <w:rsid w:val="00F94569"/>
    <w:rsid w:val="00F946E8"/>
    <w:rsid w:val="00F94796"/>
    <w:rsid w:val="00F947BE"/>
    <w:rsid w:val="00F947E9"/>
    <w:rsid w:val="00F947FD"/>
    <w:rsid w:val="00F9488B"/>
    <w:rsid w:val="00F94AFE"/>
    <w:rsid w:val="00F94B42"/>
    <w:rsid w:val="00F94B45"/>
    <w:rsid w:val="00F94CEB"/>
    <w:rsid w:val="00F94DE7"/>
    <w:rsid w:val="00F94E09"/>
    <w:rsid w:val="00F94E36"/>
    <w:rsid w:val="00F94F2C"/>
    <w:rsid w:val="00F94FDE"/>
    <w:rsid w:val="00F95004"/>
    <w:rsid w:val="00F950AC"/>
    <w:rsid w:val="00F950F0"/>
    <w:rsid w:val="00F95158"/>
    <w:rsid w:val="00F9516C"/>
    <w:rsid w:val="00F952CB"/>
    <w:rsid w:val="00F952F4"/>
    <w:rsid w:val="00F95302"/>
    <w:rsid w:val="00F95392"/>
    <w:rsid w:val="00F954A1"/>
    <w:rsid w:val="00F95597"/>
    <w:rsid w:val="00F9562C"/>
    <w:rsid w:val="00F9562F"/>
    <w:rsid w:val="00F95652"/>
    <w:rsid w:val="00F9565B"/>
    <w:rsid w:val="00F956C8"/>
    <w:rsid w:val="00F956DB"/>
    <w:rsid w:val="00F957CC"/>
    <w:rsid w:val="00F957ED"/>
    <w:rsid w:val="00F957F1"/>
    <w:rsid w:val="00F957F2"/>
    <w:rsid w:val="00F9592A"/>
    <w:rsid w:val="00F95A97"/>
    <w:rsid w:val="00F95B6B"/>
    <w:rsid w:val="00F95BC8"/>
    <w:rsid w:val="00F95BEC"/>
    <w:rsid w:val="00F95C49"/>
    <w:rsid w:val="00F95C6F"/>
    <w:rsid w:val="00F95CFA"/>
    <w:rsid w:val="00F95D7D"/>
    <w:rsid w:val="00F95D86"/>
    <w:rsid w:val="00F95DAE"/>
    <w:rsid w:val="00F95E30"/>
    <w:rsid w:val="00F95F5A"/>
    <w:rsid w:val="00F95F9C"/>
    <w:rsid w:val="00F961CF"/>
    <w:rsid w:val="00F961EC"/>
    <w:rsid w:val="00F9628A"/>
    <w:rsid w:val="00F9639F"/>
    <w:rsid w:val="00F963AB"/>
    <w:rsid w:val="00F9641B"/>
    <w:rsid w:val="00F96457"/>
    <w:rsid w:val="00F965AC"/>
    <w:rsid w:val="00F96635"/>
    <w:rsid w:val="00F9665F"/>
    <w:rsid w:val="00F9674F"/>
    <w:rsid w:val="00F967C0"/>
    <w:rsid w:val="00F96832"/>
    <w:rsid w:val="00F96852"/>
    <w:rsid w:val="00F96923"/>
    <w:rsid w:val="00F96980"/>
    <w:rsid w:val="00F969C3"/>
    <w:rsid w:val="00F969E4"/>
    <w:rsid w:val="00F96A12"/>
    <w:rsid w:val="00F96A5C"/>
    <w:rsid w:val="00F96A5D"/>
    <w:rsid w:val="00F96A76"/>
    <w:rsid w:val="00F96B0E"/>
    <w:rsid w:val="00F96B6A"/>
    <w:rsid w:val="00F96BC2"/>
    <w:rsid w:val="00F96C08"/>
    <w:rsid w:val="00F96C5E"/>
    <w:rsid w:val="00F96C88"/>
    <w:rsid w:val="00F96CAD"/>
    <w:rsid w:val="00F96D0D"/>
    <w:rsid w:val="00F96DC2"/>
    <w:rsid w:val="00F96E39"/>
    <w:rsid w:val="00F96E41"/>
    <w:rsid w:val="00F96ED8"/>
    <w:rsid w:val="00F96EDB"/>
    <w:rsid w:val="00F96EDE"/>
    <w:rsid w:val="00F96F18"/>
    <w:rsid w:val="00F96F51"/>
    <w:rsid w:val="00F96F7E"/>
    <w:rsid w:val="00F96FC8"/>
    <w:rsid w:val="00F96FE2"/>
    <w:rsid w:val="00F96FE8"/>
    <w:rsid w:val="00F970E2"/>
    <w:rsid w:val="00F970ED"/>
    <w:rsid w:val="00F970FB"/>
    <w:rsid w:val="00F97160"/>
    <w:rsid w:val="00F97187"/>
    <w:rsid w:val="00F972CE"/>
    <w:rsid w:val="00F972EA"/>
    <w:rsid w:val="00F9731F"/>
    <w:rsid w:val="00F97343"/>
    <w:rsid w:val="00F97398"/>
    <w:rsid w:val="00F973AA"/>
    <w:rsid w:val="00F97450"/>
    <w:rsid w:val="00F97512"/>
    <w:rsid w:val="00F9760B"/>
    <w:rsid w:val="00F976E5"/>
    <w:rsid w:val="00F976ED"/>
    <w:rsid w:val="00F97726"/>
    <w:rsid w:val="00F97771"/>
    <w:rsid w:val="00F9785F"/>
    <w:rsid w:val="00F97893"/>
    <w:rsid w:val="00F978AB"/>
    <w:rsid w:val="00F97975"/>
    <w:rsid w:val="00F979D7"/>
    <w:rsid w:val="00F979ED"/>
    <w:rsid w:val="00F97A83"/>
    <w:rsid w:val="00F97AC3"/>
    <w:rsid w:val="00F97AC9"/>
    <w:rsid w:val="00F97AD3"/>
    <w:rsid w:val="00F97B69"/>
    <w:rsid w:val="00F97B94"/>
    <w:rsid w:val="00F97C14"/>
    <w:rsid w:val="00F97C48"/>
    <w:rsid w:val="00F97D93"/>
    <w:rsid w:val="00F97DA1"/>
    <w:rsid w:val="00F97DC5"/>
    <w:rsid w:val="00F97DDF"/>
    <w:rsid w:val="00F97E6D"/>
    <w:rsid w:val="00F97E7C"/>
    <w:rsid w:val="00F97F62"/>
    <w:rsid w:val="00F97F89"/>
    <w:rsid w:val="00F97FCE"/>
    <w:rsid w:val="00F97FEB"/>
    <w:rsid w:val="00F97FF9"/>
    <w:rsid w:val="00FA004C"/>
    <w:rsid w:val="00FA007B"/>
    <w:rsid w:val="00FA011B"/>
    <w:rsid w:val="00FA013B"/>
    <w:rsid w:val="00FA016A"/>
    <w:rsid w:val="00FA026C"/>
    <w:rsid w:val="00FA02FD"/>
    <w:rsid w:val="00FA03B2"/>
    <w:rsid w:val="00FA03DE"/>
    <w:rsid w:val="00FA0446"/>
    <w:rsid w:val="00FA04B3"/>
    <w:rsid w:val="00FA052B"/>
    <w:rsid w:val="00FA06A1"/>
    <w:rsid w:val="00FA06BE"/>
    <w:rsid w:val="00FA070D"/>
    <w:rsid w:val="00FA071A"/>
    <w:rsid w:val="00FA0787"/>
    <w:rsid w:val="00FA078E"/>
    <w:rsid w:val="00FA07BA"/>
    <w:rsid w:val="00FA082C"/>
    <w:rsid w:val="00FA087A"/>
    <w:rsid w:val="00FA088F"/>
    <w:rsid w:val="00FA08BC"/>
    <w:rsid w:val="00FA0915"/>
    <w:rsid w:val="00FA09A1"/>
    <w:rsid w:val="00FA0A35"/>
    <w:rsid w:val="00FA0A67"/>
    <w:rsid w:val="00FA0A72"/>
    <w:rsid w:val="00FA0AF5"/>
    <w:rsid w:val="00FA0AFC"/>
    <w:rsid w:val="00FA0B08"/>
    <w:rsid w:val="00FA0B5D"/>
    <w:rsid w:val="00FA0BC5"/>
    <w:rsid w:val="00FA0CB0"/>
    <w:rsid w:val="00FA0E2D"/>
    <w:rsid w:val="00FA0E9B"/>
    <w:rsid w:val="00FA0EE5"/>
    <w:rsid w:val="00FA0F22"/>
    <w:rsid w:val="00FA0F52"/>
    <w:rsid w:val="00FA0F72"/>
    <w:rsid w:val="00FA1039"/>
    <w:rsid w:val="00FA103D"/>
    <w:rsid w:val="00FA10C0"/>
    <w:rsid w:val="00FA126A"/>
    <w:rsid w:val="00FA13D4"/>
    <w:rsid w:val="00FA13F8"/>
    <w:rsid w:val="00FA146C"/>
    <w:rsid w:val="00FA149A"/>
    <w:rsid w:val="00FA1521"/>
    <w:rsid w:val="00FA1558"/>
    <w:rsid w:val="00FA155B"/>
    <w:rsid w:val="00FA1599"/>
    <w:rsid w:val="00FA15C3"/>
    <w:rsid w:val="00FA162F"/>
    <w:rsid w:val="00FA1710"/>
    <w:rsid w:val="00FA1794"/>
    <w:rsid w:val="00FA17E7"/>
    <w:rsid w:val="00FA1801"/>
    <w:rsid w:val="00FA1901"/>
    <w:rsid w:val="00FA192B"/>
    <w:rsid w:val="00FA1A89"/>
    <w:rsid w:val="00FA1AB2"/>
    <w:rsid w:val="00FA1B57"/>
    <w:rsid w:val="00FA1C47"/>
    <w:rsid w:val="00FA1C64"/>
    <w:rsid w:val="00FA1C67"/>
    <w:rsid w:val="00FA1DD0"/>
    <w:rsid w:val="00FA1E5C"/>
    <w:rsid w:val="00FA1E5D"/>
    <w:rsid w:val="00FA207C"/>
    <w:rsid w:val="00FA20F4"/>
    <w:rsid w:val="00FA2111"/>
    <w:rsid w:val="00FA217B"/>
    <w:rsid w:val="00FA21C9"/>
    <w:rsid w:val="00FA2208"/>
    <w:rsid w:val="00FA220C"/>
    <w:rsid w:val="00FA24FE"/>
    <w:rsid w:val="00FA25E5"/>
    <w:rsid w:val="00FA2659"/>
    <w:rsid w:val="00FA26FC"/>
    <w:rsid w:val="00FA2811"/>
    <w:rsid w:val="00FA282D"/>
    <w:rsid w:val="00FA2858"/>
    <w:rsid w:val="00FA293A"/>
    <w:rsid w:val="00FA29B1"/>
    <w:rsid w:val="00FA29EA"/>
    <w:rsid w:val="00FA2ABF"/>
    <w:rsid w:val="00FA2B23"/>
    <w:rsid w:val="00FA2B55"/>
    <w:rsid w:val="00FA2BA9"/>
    <w:rsid w:val="00FA2C27"/>
    <w:rsid w:val="00FA2D02"/>
    <w:rsid w:val="00FA2D19"/>
    <w:rsid w:val="00FA2DB2"/>
    <w:rsid w:val="00FA2DB9"/>
    <w:rsid w:val="00FA2EBC"/>
    <w:rsid w:val="00FA2ED5"/>
    <w:rsid w:val="00FA2FF9"/>
    <w:rsid w:val="00FA301C"/>
    <w:rsid w:val="00FA3054"/>
    <w:rsid w:val="00FA309E"/>
    <w:rsid w:val="00FA30E0"/>
    <w:rsid w:val="00FA316D"/>
    <w:rsid w:val="00FA31CC"/>
    <w:rsid w:val="00FA324D"/>
    <w:rsid w:val="00FA324F"/>
    <w:rsid w:val="00FA3257"/>
    <w:rsid w:val="00FA32F1"/>
    <w:rsid w:val="00FA33FF"/>
    <w:rsid w:val="00FA3412"/>
    <w:rsid w:val="00FA3445"/>
    <w:rsid w:val="00FA36B1"/>
    <w:rsid w:val="00FA36EB"/>
    <w:rsid w:val="00FA372F"/>
    <w:rsid w:val="00FA3795"/>
    <w:rsid w:val="00FA37CE"/>
    <w:rsid w:val="00FA383E"/>
    <w:rsid w:val="00FA397F"/>
    <w:rsid w:val="00FA3A8A"/>
    <w:rsid w:val="00FA3A9B"/>
    <w:rsid w:val="00FA3B5C"/>
    <w:rsid w:val="00FA3D06"/>
    <w:rsid w:val="00FA3D55"/>
    <w:rsid w:val="00FA3DD5"/>
    <w:rsid w:val="00FA3E00"/>
    <w:rsid w:val="00FA3EAF"/>
    <w:rsid w:val="00FA3F4B"/>
    <w:rsid w:val="00FA406C"/>
    <w:rsid w:val="00FA407C"/>
    <w:rsid w:val="00FA4174"/>
    <w:rsid w:val="00FA4183"/>
    <w:rsid w:val="00FA41DE"/>
    <w:rsid w:val="00FA42D1"/>
    <w:rsid w:val="00FA4367"/>
    <w:rsid w:val="00FA43D8"/>
    <w:rsid w:val="00FA4406"/>
    <w:rsid w:val="00FA4427"/>
    <w:rsid w:val="00FA444D"/>
    <w:rsid w:val="00FA447F"/>
    <w:rsid w:val="00FA44A5"/>
    <w:rsid w:val="00FA44CB"/>
    <w:rsid w:val="00FA4563"/>
    <w:rsid w:val="00FA457C"/>
    <w:rsid w:val="00FA467D"/>
    <w:rsid w:val="00FA46D0"/>
    <w:rsid w:val="00FA4771"/>
    <w:rsid w:val="00FA47AD"/>
    <w:rsid w:val="00FA47EE"/>
    <w:rsid w:val="00FA480E"/>
    <w:rsid w:val="00FA484E"/>
    <w:rsid w:val="00FA4886"/>
    <w:rsid w:val="00FA48C6"/>
    <w:rsid w:val="00FA48DB"/>
    <w:rsid w:val="00FA491D"/>
    <w:rsid w:val="00FA49FE"/>
    <w:rsid w:val="00FA4A3C"/>
    <w:rsid w:val="00FA4AEC"/>
    <w:rsid w:val="00FA4C4B"/>
    <w:rsid w:val="00FA4C5A"/>
    <w:rsid w:val="00FA4D01"/>
    <w:rsid w:val="00FA4D4A"/>
    <w:rsid w:val="00FA4D52"/>
    <w:rsid w:val="00FA4E84"/>
    <w:rsid w:val="00FA4EE8"/>
    <w:rsid w:val="00FA4F11"/>
    <w:rsid w:val="00FA4F2D"/>
    <w:rsid w:val="00FA4FE0"/>
    <w:rsid w:val="00FA51A9"/>
    <w:rsid w:val="00FA51AB"/>
    <w:rsid w:val="00FA52D9"/>
    <w:rsid w:val="00FA537B"/>
    <w:rsid w:val="00FA5401"/>
    <w:rsid w:val="00FA5531"/>
    <w:rsid w:val="00FA554C"/>
    <w:rsid w:val="00FA55D8"/>
    <w:rsid w:val="00FA5654"/>
    <w:rsid w:val="00FA569A"/>
    <w:rsid w:val="00FA573E"/>
    <w:rsid w:val="00FA5751"/>
    <w:rsid w:val="00FA588C"/>
    <w:rsid w:val="00FA5938"/>
    <w:rsid w:val="00FA595B"/>
    <w:rsid w:val="00FA5A14"/>
    <w:rsid w:val="00FA5AA1"/>
    <w:rsid w:val="00FA5AEC"/>
    <w:rsid w:val="00FA5B6D"/>
    <w:rsid w:val="00FA5C3B"/>
    <w:rsid w:val="00FA5C6A"/>
    <w:rsid w:val="00FA5CD5"/>
    <w:rsid w:val="00FA5CE1"/>
    <w:rsid w:val="00FA5D0C"/>
    <w:rsid w:val="00FA5D62"/>
    <w:rsid w:val="00FA5DF4"/>
    <w:rsid w:val="00FA5E74"/>
    <w:rsid w:val="00FA5E9E"/>
    <w:rsid w:val="00FA5EF7"/>
    <w:rsid w:val="00FA5F37"/>
    <w:rsid w:val="00FA5F94"/>
    <w:rsid w:val="00FA6000"/>
    <w:rsid w:val="00FA6070"/>
    <w:rsid w:val="00FA61DE"/>
    <w:rsid w:val="00FA62A8"/>
    <w:rsid w:val="00FA633F"/>
    <w:rsid w:val="00FA635C"/>
    <w:rsid w:val="00FA6465"/>
    <w:rsid w:val="00FA64A7"/>
    <w:rsid w:val="00FA64F7"/>
    <w:rsid w:val="00FA64FB"/>
    <w:rsid w:val="00FA6516"/>
    <w:rsid w:val="00FA6537"/>
    <w:rsid w:val="00FA6592"/>
    <w:rsid w:val="00FA6684"/>
    <w:rsid w:val="00FA66A2"/>
    <w:rsid w:val="00FA672E"/>
    <w:rsid w:val="00FA67A3"/>
    <w:rsid w:val="00FA67D3"/>
    <w:rsid w:val="00FA67F4"/>
    <w:rsid w:val="00FA6829"/>
    <w:rsid w:val="00FA683E"/>
    <w:rsid w:val="00FA6980"/>
    <w:rsid w:val="00FA69A9"/>
    <w:rsid w:val="00FA6A1E"/>
    <w:rsid w:val="00FA6A77"/>
    <w:rsid w:val="00FA6ACD"/>
    <w:rsid w:val="00FA6B2B"/>
    <w:rsid w:val="00FA6B3B"/>
    <w:rsid w:val="00FA6C0F"/>
    <w:rsid w:val="00FA6C1B"/>
    <w:rsid w:val="00FA6C4B"/>
    <w:rsid w:val="00FA6DD2"/>
    <w:rsid w:val="00FA6E00"/>
    <w:rsid w:val="00FA6ECD"/>
    <w:rsid w:val="00FA6F26"/>
    <w:rsid w:val="00FA6F3B"/>
    <w:rsid w:val="00FA6F3D"/>
    <w:rsid w:val="00FA6FCA"/>
    <w:rsid w:val="00FA6FED"/>
    <w:rsid w:val="00FA7049"/>
    <w:rsid w:val="00FA7082"/>
    <w:rsid w:val="00FA70F6"/>
    <w:rsid w:val="00FA7109"/>
    <w:rsid w:val="00FA712F"/>
    <w:rsid w:val="00FA7233"/>
    <w:rsid w:val="00FA723F"/>
    <w:rsid w:val="00FA7313"/>
    <w:rsid w:val="00FA73B2"/>
    <w:rsid w:val="00FA7451"/>
    <w:rsid w:val="00FA7548"/>
    <w:rsid w:val="00FA7571"/>
    <w:rsid w:val="00FA7592"/>
    <w:rsid w:val="00FA75A3"/>
    <w:rsid w:val="00FA7613"/>
    <w:rsid w:val="00FA7692"/>
    <w:rsid w:val="00FA771D"/>
    <w:rsid w:val="00FA77B3"/>
    <w:rsid w:val="00FA7815"/>
    <w:rsid w:val="00FA7821"/>
    <w:rsid w:val="00FA7837"/>
    <w:rsid w:val="00FA78F1"/>
    <w:rsid w:val="00FA79E0"/>
    <w:rsid w:val="00FA7A36"/>
    <w:rsid w:val="00FA7A41"/>
    <w:rsid w:val="00FA7ACA"/>
    <w:rsid w:val="00FA7AFE"/>
    <w:rsid w:val="00FA7B31"/>
    <w:rsid w:val="00FA7B78"/>
    <w:rsid w:val="00FA7C30"/>
    <w:rsid w:val="00FA7C9B"/>
    <w:rsid w:val="00FA7CEE"/>
    <w:rsid w:val="00FA7D33"/>
    <w:rsid w:val="00FA7D39"/>
    <w:rsid w:val="00FA7DE3"/>
    <w:rsid w:val="00FA7DFA"/>
    <w:rsid w:val="00FA7E0B"/>
    <w:rsid w:val="00FA7E7A"/>
    <w:rsid w:val="00FA7E9F"/>
    <w:rsid w:val="00FA7ED2"/>
    <w:rsid w:val="00FB0002"/>
    <w:rsid w:val="00FB0091"/>
    <w:rsid w:val="00FB00F9"/>
    <w:rsid w:val="00FB0104"/>
    <w:rsid w:val="00FB0184"/>
    <w:rsid w:val="00FB02A8"/>
    <w:rsid w:val="00FB02F2"/>
    <w:rsid w:val="00FB0382"/>
    <w:rsid w:val="00FB0436"/>
    <w:rsid w:val="00FB045A"/>
    <w:rsid w:val="00FB04AA"/>
    <w:rsid w:val="00FB054E"/>
    <w:rsid w:val="00FB0605"/>
    <w:rsid w:val="00FB0629"/>
    <w:rsid w:val="00FB066D"/>
    <w:rsid w:val="00FB0674"/>
    <w:rsid w:val="00FB075D"/>
    <w:rsid w:val="00FB07AD"/>
    <w:rsid w:val="00FB07BE"/>
    <w:rsid w:val="00FB07F8"/>
    <w:rsid w:val="00FB07F9"/>
    <w:rsid w:val="00FB0833"/>
    <w:rsid w:val="00FB084F"/>
    <w:rsid w:val="00FB0899"/>
    <w:rsid w:val="00FB08A7"/>
    <w:rsid w:val="00FB090A"/>
    <w:rsid w:val="00FB0A04"/>
    <w:rsid w:val="00FB0A1D"/>
    <w:rsid w:val="00FB0AEF"/>
    <w:rsid w:val="00FB0B26"/>
    <w:rsid w:val="00FB0B2D"/>
    <w:rsid w:val="00FB0B80"/>
    <w:rsid w:val="00FB0B9F"/>
    <w:rsid w:val="00FB0C05"/>
    <w:rsid w:val="00FB0C74"/>
    <w:rsid w:val="00FB0D47"/>
    <w:rsid w:val="00FB0D78"/>
    <w:rsid w:val="00FB0E01"/>
    <w:rsid w:val="00FB0E8C"/>
    <w:rsid w:val="00FB0E97"/>
    <w:rsid w:val="00FB0EAB"/>
    <w:rsid w:val="00FB0EE4"/>
    <w:rsid w:val="00FB0EF7"/>
    <w:rsid w:val="00FB0FC8"/>
    <w:rsid w:val="00FB1067"/>
    <w:rsid w:val="00FB1070"/>
    <w:rsid w:val="00FB112A"/>
    <w:rsid w:val="00FB1147"/>
    <w:rsid w:val="00FB1194"/>
    <w:rsid w:val="00FB119B"/>
    <w:rsid w:val="00FB1294"/>
    <w:rsid w:val="00FB1331"/>
    <w:rsid w:val="00FB135C"/>
    <w:rsid w:val="00FB13A3"/>
    <w:rsid w:val="00FB14BB"/>
    <w:rsid w:val="00FB14E6"/>
    <w:rsid w:val="00FB15E5"/>
    <w:rsid w:val="00FB1633"/>
    <w:rsid w:val="00FB1690"/>
    <w:rsid w:val="00FB16E2"/>
    <w:rsid w:val="00FB16F1"/>
    <w:rsid w:val="00FB1788"/>
    <w:rsid w:val="00FB178A"/>
    <w:rsid w:val="00FB1791"/>
    <w:rsid w:val="00FB182D"/>
    <w:rsid w:val="00FB1901"/>
    <w:rsid w:val="00FB1921"/>
    <w:rsid w:val="00FB1936"/>
    <w:rsid w:val="00FB193F"/>
    <w:rsid w:val="00FB1987"/>
    <w:rsid w:val="00FB198A"/>
    <w:rsid w:val="00FB198D"/>
    <w:rsid w:val="00FB1998"/>
    <w:rsid w:val="00FB19A0"/>
    <w:rsid w:val="00FB19D2"/>
    <w:rsid w:val="00FB1A31"/>
    <w:rsid w:val="00FB1A35"/>
    <w:rsid w:val="00FB1ABB"/>
    <w:rsid w:val="00FB1C2B"/>
    <w:rsid w:val="00FB1C76"/>
    <w:rsid w:val="00FB1CD7"/>
    <w:rsid w:val="00FB1CFE"/>
    <w:rsid w:val="00FB1D2D"/>
    <w:rsid w:val="00FB1D70"/>
    <w:rsid w:val="00FB1DE5"/>
    <w:rsid w:val="00FB1DF7"/>
    <w:rsid w:val="00FB1E0D"/>
    <w:rsid w:val="00FB1F6B"/>
    <w:rsid w:val="00FB1F9D"/>
    <w:rsid w:val="00FB1FC5"/>
    <w:rsid w:val="00FB204E"/>
    <w:rsid w:val="00FB205E"/>
    <w:rsid w:val="00FB20E7"/>
    <w:rsid w:val="00FB20F7"/>
    <w:rsid w:val="00FB2101"/>
    <w:rsid w:val="00FB2359"/>
    <w:rsid w:val="00FB23CA"/>
    <w:rsid w:val="00FB23F7"/>
    <w:rsid w:val="00FB2402"/>
    <w:rsid w:val="00FB246B"/>
    <w:rsid w:val="00FB25B0"/>
    <w:rsid w:val="00FB268F"/>
    <w:rsid w:val="00FB2692"/>
    <w:rsid w:val="00FB27B2"/>
    <w:rsid w:val="00FB27BC"/>
    <w:rsid w:val="00FB27C9"/>
    <w:rsid w:val="00FB2803"/>
    <w:rsid w:val="00FB2821"/>
    <w:rsid w:val="00FB2823"/>
    <w:rsid w:val="00FB2894"/>
    <w:rsid w:val="00FB289B"/>
    <w:rsid w:val="00FB28A8"/>
    <w:rsid w:val="00FB2907"/>
    <w:rsid w:val="00FB293A"/>
    <w:rsid w:val="00FB29EB"/>
    <w:rsid w:val="00FB2A07"/>
    <w:rsid w:val="00FB2A31"/>
    <w:rsid w:val="00FB2B05"/>
    <w:rsid w:val="00FB2B11"/>
    <w:rsid w:val="00FB2B22"/>
    <w:rsid w:val="00FB2C04"/>
    <w:rsid w:val="00FB2C5E"/>
    <w:rsid w:val="00FB2CA2"/>
    <w:rsid w:val="00FB2DA2"/>
    <w:rsid w:val="00FB2DE2"/>
    <w:rsid w:val="00FB2E7D"/>
    <w:rsid w:val="00FB2EDA"/>
    <w:rsid w:val="00FB2F26"/>
    <w:rsid w:val="00FB2F6E"/>
    <w:rsid w:val="00FB2F7A"/>
    <w:rsid w:val="00FB2F82"/>
    <w:rsid w:val="00FB30B2"/>
    <w:rsid w:val="00FB30FD"/>
    <w:rsid w:val="00FB310C"/>
    <w:rsid w:val="00FB3121"/>
    <w:rsid w:val="00FB3145"/>
    <w:rsid w:val="00FB3178"/>
    <w:rsid w:val="00FB31A7"/>
    <w:rsid w:val="00FB31C0"/>
    <w:rsid w:val="00FB329B"/>
    <w:rsid w:val="00FB32E9"/>
    <w:rsid w:val="00FB3300"/>
    <w:rsid w:val="00FB3355"/>
    <w:rsid w:val="00FB33F9"/>
    <w:rsid w:val="00FB341C"/>
    <w:rsid w:val="00FB351A"/>
    <w:rsid w:val="00FB35A5"/>
    <w:rsid w:val="00FB35DE"/>
    <w:rsid w:val="00FB3731"/>
    <w:rsid w:val="00FB3734"/>
    <w:rsid w:val="00FB37B2"/>
    <w:rsid w:val="00FB37F0"/>
    <w:rsid w:val="00FB380A"/>
    <w:rsid w:val="00FB382D"/>
    <w:rsid w:val="00FB3952"/>
    <w:rsid w:val="00FB39DE"/>
    <w:rsid w:val="00FB3AA9"/>
    <w:rsid w:val="00FB3B3A"/>
    <w:rsid w:val="00FB3B57"/>
    <w:rsid w:val="00FB3CF9"/>
    <w:rsid w:val="00FB3DA9"/>
    <w:rsid w:val="00FB3EB3"/>
    <w:rsid w:val="00FB3EE0"/>
    <w:rsid w:val="00FB3EEF"/>
    <w:rsid w:val="00FB3EF0"/>
    <w:rsid w:val="00FB3F3C"/>
    <w:rsid w:val="00FB4045"/>
    <w:rsid w:val="00FB40ED"/>
    <w:rsid w:val="00FB42C4"/>
    <w:rsid w:val="00FB43AA"/>
    <w:rsid w:val="00FB43DD"/>
    <w:rsid w:val="00FB43E6"/>
    <w:rsid w:val="00FB441E"/>
    <w:rsid w:val="00FB4428"/>
    <w:rsid w:val="00FB44D5"/>
    <w:rsid w:val="00FB456C"/>
    <w:rsid w:val="00FB45D1"/>
    <w:rsid w:val="00FB46B0"/>
    <w:rsid w:val="00FB4720"/>
    <w:rsid w:val="00FB47A1"/>
    <w:rsid w:val="00FB47DF"/>
    <w:rsid w:val="00FB47EE"/>
    <w:rsid w:val="00FB47FF"/>
    <w:rsid w:val="00FB4864"/>
    <w:rsid w:val="00FB4876"/>
    <w:rsid w:val="00FB49BD"/>
    <w:rsid w:val="00FB4A81"/>
    <w:rsid w:val="00FB4A88"/>
    <w:rsid w:val="00FB4B17"/>
    <w:rsid w:val="00FB4B3A"/>
    <w:rsid w:val="00FB4B74"/>
    <w:rsid w:val="00FB4BCE"/>
    <w:rsid w:val="00FB4CAE"/>
    <w:rsid w:val="00FB4CB3"/>
    <w:rsid w:val="00FB4D4E"/>
    <w:rsid w:val="00FB4D6F"/>
    <w:rsid w:val="00FB4DBF"/>
    <w:rsid w:val="00FB4F5E"/>
    <w:rsid w:val="00FB4F9B"/>
    <w:rsid w:val="00FB4FA0"/>
    <w:rsid w:val="00FB4FEA"/>
    <w:rsid w:val="00FB5033"/>
    <w:rsid w:val="00FB50B4"/>
    <w:rsid w:val="00FB50EA"/>
    <w:rsid w:val="00FB50FA"/>
    <w:rsid w:val="00FB51DD"/>
    <w:rsid w:val="00FB5268"/>
    <w:rsid w:val="00FB5277"/>
    <w:rsid w:val="00FB529E"/>
    <w:rsid w:val="00FB52ED"/>
    <w:rsid w:val="00FB53F2"/>
    <w:rsid w:val="00FB543A"/>
    <w:rsid w:val="00FB54A1"/>
    <w:rsid w:val="00FB54B2"/>
    <w:rsid w:val="00FB54F5"/>
    <w:rsid w:val="00FB5564"/>
    <w:rsid w:val="00FB5596"/>
    <w:rsid w:val="00FB559B"/>
    <w:rsid w:val="00FB55CE"/>
    <w:rsid w:val="00FB560D"/>
    <w:rsid w:val="00FB5644"/>
    <w:rsid w:val="00FB5693"/>
    <w:rsid w:val="00FB56A1"/>
    <w:rsid w:val="00FB56D6"/>
    <w:rsid w:val="00FB5706"/>
    <w:rsid w:val="00FB5783"/>
    <w:rsid w:val="00FB57AA"/>
    <w:rsid w:val="00FB58E8"/>
    <w:rsid w:val="00FB5959"/>
    <w:rsid w:val="00FB59ED"/>
    <w:rsid w:val="00FB5A0C"/>
    <w:rsid w:val="00FB5BBD"/>
    <w:rsid w:val="00FB5C7A"/>
    <w:rsid w:val="00FB5D10"/>
    <w:rsid w:val="00FB5DF5"/>
    <w:rsid w:val="00FB5E0A"/>
    <w:rsid w:val="00FB5E29"/>
    <w:rsid w:val="00FB5E4F"/>
    <w:rsid w:val="00FB5EA7"/>
    <w:rsid w:val="00FB5EB3"/>
    <w:rsid w:val="00FB5F47"/>
    <w:rsid w:val="00FB5F70"/>
    <w:rsid w:val="00FB600C"/>
    <w:rsid w:val="00FB6031"/>
    <w:rsid w:val="00FB6077"/>
    <w:rsid w:val="00FB60B9"/>
    <w:rsid w:val="00FB60DA"/>
    <w:rsid w:val="00FB6280"/>
    <w:rsid w:val="00FB6298"/>
    <w:rsid w:val="00FB62D8"/>
    <w:rsid w:val="00FB6369"/>
    <w:rsid w:val="00FB637F"/>
    <w:rsid w:val="00FB6409"/>
    <w:rsid w:val="00FB6453"/>
    <w:rsid w:val="00FB6573"/>
    <w:rsid w:val="00FB65D9"/>
    <w:rsid w:val="00FB66E5"/>
    <w:rsid w:val="00FB66FC"/>
    <w:rsid w:val="00FB6750"/>
    <w:rsid w:val="00FB6820"/>
    <w:rsid w:val="00FB6822"/>
    <w:rsid w:val="00FB682B"/>
    <w:rsid w:val="00FB6941"/>
    <w:rsid w:val="00FB69D7"/>
    <w:rsid w:val="00FB69D9"/>
    <w:rsid w:val="00FB6A1F"/>
    <w:rsid w:val="00FB6A39"/>
    <w:rsid w:val="00FB6A80"/>
    <w:rsid w:val="00FB6A83"/>
    <w:rsid w:val="00FB6A84"/>
    <w:rsid w:val="00FB6A9A"/>
    <w:rsid w:val="00FB6AC0"/>
    <w:rsid w:val="00FB6ADE"/>
    <w:rsid w:val="00FB6AFC"/>
    <w:rsid w:val="00FB6B0D"/>
    <w:rsid w:val="00FB6BF9"/>
    <w:rsid w:val="00FB6C25"/>
    <w:rsid w:val="00FB6C7F"/>
    <w:rsid w:val="00FB6D0C"/>
    <w:rsid w:val="00FB6DA3"/>
    <w:rsid w:val="00FB6E3B"/>
    <w:rsid w:val="00FB6EAF"/>
    <w:rsid w:val="00FB6F7C"/>
    <w:rsid w:val="00FB7008"/>
    <w:rsid w:val="00FB7028"/>
    <w:rsid w:val="00FB70B7"/>
    <w:rsid w:val="00FB7144"/>
    <w:rsid w:val="00FB71AD"/>
    <w:rsid w:val="00FB7236"/>
    <w:rsid w:val="00FB7266"/>
    <w:rsid w:val="00FB7314"/>
    <w:rsid w:val="00FB735A"/>
    <w:rsid w:val="00FB735D"/>
    <w:rsid w:val="00FB73F3"/>
    <w:rsid w:val="00FB7404"/>
    <w:rsid w:val="00FB7408"/>
    <w:rsid w:val="00FB742A"/>
    <w:rsid w:val="00FB74B5"/>
    <w:rsid w:val="00FB74E5"/>
    <w:rsid w:val="00FB7533"/>
    <w:rsid w:val="00FB756D"/>
    <w:rsid w:val="00FB757D"/>
    <w:rsid w:val="00FB76FC"/>
    <w:rsid w:val="00FB7846"/>
    <w:rsid w:val="00FB7898"/>
    <w:rsid w:val="00FB791C"/>
    <w:rsid w:val="00FB793B"/>
    <w:rsid w:val="00FB7941"/>
    <w:rsid w:val="00FB7943"/>
    <w:rsid w:val="00FB79D3"/>
    <w:rsid w:val="00FB7A1C"/>
    <w:rsid w:val="00FB7A5C"/>
    <w:rsid w:val="00FB7B10"/>
    <w:rsid w:val="00FB7BC9"/>
    <w:rsid w:val="00FB7BE4"/>
    <w:rsid w:val="00FB7C41"/>
    <w:rsid w:val="00FB7C4B"/>
    <w:rsid w:val="00FB7CE4"/>
    <w:rsid w:val="00FB7CF2"/>
    <w:rsid w:val="00FB7ECB"/>
    <w:rsid w:val="00FB7ED2"/>
    <w:rsid w:val="00FB7F3B"/>
    <w:rsid w:val="00FB7F8E"/>
    <w:rsid w:val="00FC0022"/>
    <w:rsid w:val="00FC0038"/>
    <w:rsid w:val="00FC003E"/>
    <w:rsid w:val="00FC0068"/>
    <w:rsid w:val="00FC01A0"/>
    <w:rsid w:val="00FC01C0"/>
    <w:rsid w:val="00FC0250"/>
    <w:rsid w:val="00FC0302"/>
    <w:rsid w:val="00FC036F"/>
    <w:rsid w:val="00FC038D"/>
    <w:rsid w:val="00FC0440"/>
    <w:rsid w:val="00FC048D"/>
    <w:rsid w:val="00FC04A1"/>
    <w:rsid w:val="00FC04FB"/>
    <w:rsid w:val="00FC052E"/>
    <w:rsid w:val="00FC0607"/>
    <w:rsid w:val="00FC0804"/>
    <w:rsid w:val="00FC08AB"/>
    <w:rsid w:val="00FC0912"/>
    <w:rsid w:val="00FC0961"/>
    <w:rsid w:val="00FC096C"/>
    <w:rsid w:val="00FC09C4"/>
    <w:rsid w:val="00FC09FF"/>
    <w:rsid w:val="00FC0AAB"/>
    <w:rsid w:val="00FC0BA4"/>
    <w:rsid w:val="00FC0C0E"/>
    <w:rsid w:val="00FC0C4E"/>
    <w:rsid w:val="00FC0C5A"/>
    <w:rsid w:val="00FC0D16"/>
    <w:rsid w:val="00FC0D23"/>
    <w:rsid w:val="00FC0D27"/>
    <w:rsid w:val="00FC0D8D"/>
    <w:rsid w:val="00FC0E0D"/>
    <w:rsid w:val="00FC0E9E"/>
    <w:rsid w:val="00FC0F2B"/>
    <w:rsid w:val="00FC0F3A"/>
    <w:rsid w:val="00FC0F94"/>
    <w:rsid w:val="00FC1004"/>
    <w:rsid w:val="00FC1081"/>
    <w:rsid w:val="00FC10F6"/>
    <w:rsid w:val="00FC1119"/>
    <w:rsid w:val="00FC1178"/>
    <w:rsid w:val="00FC11AA"/>
    <w:rsid w:val="00FC1216"/>
    <w:rsid w:val="00FC125B"/>
    <w:rsid w:val="00FC1264"/>
    <w:rsid w:val="00FC1397"/>
    <w:rsid w:val="00FC13E2"/>
    <w:rsid w:val="00FC13F1"/>
    <w:rsid w:val="00FC1402"/>
    <w:rsid w:val="00FC1495"/>
    <w:rsid w:val="00FC14BC"/>
    <w:rsid w:val="00FC14C8"/>
    <w:rsid w:val="00FC14EB"/>
    <w:rsid w:val="00FC1507"/>
    <w:rsid w:val="00FC152D"/>
    <w:rsid w:val="00FC15DF"/>
    <w:rsid w:val="00FC15E3"/>
    <w:rsid w:val="00FC1652"/>
    <w:rsid w:val="00FC16B4"/>
    <w:rsid w:val="00FC16B7"/>
    <w:rsid w:val="00FC16F9"/>
    <w:rsid w:val="00FC17D0"/>
    <w:rsid w:val="00FC17E0"/>
    <w:rsid w:val="00FC199D"/>
    <w:rsid w:val="00FC1A36"/>
    <w:rsid w:val="00FC1B06"/>
    <w:rsid w:val="00FC1B15"/>
    <w:rsid w:val="00FC1B63"/>
    <w:rsid w:val="00FC1C1B"/>
    <w:rsid w:val="00FC1CE9"/>
    <w:rsid w:val="00FC1D2F"/>
    <w:rsid w:val="00FC1D31"/>
    <w:rsid w:val="00FC1D6F"/>
    <w:rsid w:val="00FC1D9A"/>
    <w:rsid w:val="00FC1D9D"/>
    <w:rsid w:val="00FC1DAB"/>
    <w:rsid w:val="00FC1DF2"/>
    <w:rsid w:val="00FC1DF4"/>
    <w:rsid w:val="00FC1E0D"/>
    <w:rsid w:val="00FC1E4B"/>
    <w:rsid w:val="00FC1EEE"/>
    <w:rsid w:val="00FC1EFF"/>
    <w:rsid w:val="00FC1FA9"/>
    <w:rsid w:val="00FC1FF8"/>
    <w:rsid w:val="00FC20B0"/>
    <w:rsid w:val="00FC212D"/>
    <w:rsid w:val="00FC2137"/>
    <w:rsid w:val="00FC2228"/>
    <w:rsid w:val="00FC2328"/>
    <w:rsid w:val="00FC239C"/>
    <w:rsid w:val="00FC243A"/>
    <w:rsid w:val="00FC243C"/>
    <w:rsid w:val="00FC247C"/>
    <w:rsid w:val="00FC24C7"/>
    <w:rsid w:val="00FC24FC"/>
    <w:rsid w:val="00FC250A"/>
    <w:rsid w:val="00FC25F9"/>
    <w:rsid w:val="00FC2649"/>
    <w:rsid w:val="00FC2773"/>
    <w:rsid w:val="00FC27CE"/>
    <w:rsid w:val="00FC27FA"/>
    <w:rsid w:val="00FC285D"/>
    <w:rsid w:val="00FC2864"/>
    <w:rsid w:val="00FC2917"/>
    <w:rsid w:val="00FC2923"/>
    <w:rsid w:val="00FC29A6"/>
    <w:rsid w:val="00FC2A14"/>
    <w:rsid w:val="00FC2A8A"/>
    <w:rsid w:val="00FC2B23"/>
    <w:rsid w:val="00FC2B80"/>
    <w:rsid w:val="00FC2BCF"/>
    <w:rsid w:val="00FC2C97"/>
    <w:rsid w:val="00FC2C9E"/>
    <w:rsid w:val="00FC2D1E"/>
    <w:rsid w:val="00FC2D7B"/>
    <w:rsid w:val="00FC2DB3"/>
    <w:rsid w:val="00FC2DDE"/>
    <w:rsid w:val="00FC2E00"/>
    <w:rsid w:val="00FC2E2B"/>
    <w:rsid w:val="00FC2E52"/>
    <w:rsid w:val="00FC2E6C"/>
    <w:rsid w:val="00FC2E7D"/>
    <w:rsid w:val="00FC2E8E"/>
    <w:rsid w:val="00FC2ECC"/>
    <w:rsid w:val="00FC2F47"/>
    <w:rsid w:val="00FC2F4F"/>
    <w:rsid w:val="00FC2FC5"/>
    <w:rsid w:val="00FC3005"/>
    <w:rsid w:val="00FC314D"/>
    <w:rsid w:val="00FC3151"/>
    <w:rsid w:val="00FC3189"/>
    <w:rsid w:val="00FC31C3"/>
    <w:rsid w:val="00FC3287"/>
    <w:rsid w:val="00FC32F7"/>
    <w:rsid w:val="00FC32F9"/>
    <w:rsid w:val="00FC33F2"/>
    <w:rsid w:val="00FC33F9"/>
    <w:rsid w:val="00FC3403"/>
    <w:rsid w:val="00FC3516"/>
    <w:rsid w:val="00FC3558"/>
    <w:rsid w:val="00FC35A9"/>
    <w:rsid w:val="00FC35F4"/>
    <w:rsid w:val="00FC3641"/>
    <w:rsid w:val="00FC3648"/>
    <w:rsid w:val="00FC36A8"/>
    <w:rsid w:val="00FC36AA"/>
    <w:rsid w:val="00FC36D0"/>
    <w:rsid w:val="00FC376A"/>
    <w:rsid w:val="00FC3941"/>
    <w:rsid w:val="00FC3951"/>
    <w:rsid w:val="00FC3964"/>
    <w:rsid w:val="00FC3987"/>
    <w:rsid w:val="00FC39C6"/>
    <w:rsid w:val="00FC3A55"/>
    <w:rsid w:val="00FC3A62"/>
    <w:rsid w:val="00FC3A77"/>
    <w:rsid w:val="00FC3B2F"/>
    <w:rsid w:val="00FC3C50"/>
    <w:rsid w:val="00FC3C6C"/>
    <w:rsid w:val="00FC3D0C"/>
    <w:rsid w:val="00FC3DA8"/>
    <w:rsid w:val="00FC3DC9"/>
    <w:rsid w:val="00FC3E14"/>
    <w:rsid w:val="00FC3E33"/>
    <w:rsid w:val="00FC3E45"/>
    <w:rsid w:val="00FC3F64"/>
    <w:rsid w:val="00FC4005"/>
    <w:rsid w:val="00FC4020"/>
    <w:rsid w:val="00FC4064"/>
    <w:rsid w:val="00FC40BE"/>
    <w:rsid w:val="00FC4139"/>
    <w:rsid w:val="00FC4169"/>
    <w:rsid w:val="00FC417A"/>
    <w:rsid w:val="00FC41C3"/>
    <w:rsid w:val="00FC42CA"/>
    <w:rsid w:val="00FC43FA"/>
    <w:rsid w:val="00FC44F5"/>
    <w:rsid w:val="00FC4509"/>
    <w:rsid w:val="00FC4521"/>
    <w:rsid w:val="00FC4618"/>
    <w:rsid w:val="00FC4630"/>
    <w:rsid w:val="00FC46A1"/>
    <w:rsid w:val="00FC46BF"/>
    <w:rsid w:val="00FC4755"/>
    <w:rsid w:val="00FC47AD"/>
    <w:rsid w:val="00FC47D2"/>
    <w:rsid w:val="00FC48B8"/>
    <w:rsid w:val="00FC48BF"/>
    <w:rsid w:val="00FC491F"/>
    <w:rsid w:val="00FC495A"/>
    <w:rsid w:val="00FC49A1"/>
    <w:rsid w:val="00FC49AD"/>
    <w:rsid w:val="00FC4A66"/>
    <w:rsid w:val="00FC4AD9"/>
    <w:rsid w:val="00FC4ADC"/>
    <w:rsid w:val="00FC4B9D"/>
    <w:rsid w:val="00FC4E27"/>
    <w:rsid w:val="00FC4F83"/>
    <w:rsid w:val="00FC4FBE"/>
    <w:rsid w:val="00FC5008"/>
    <w:rsid w:val="00FC5097"/>
    <w:rsid w:val="00FC50C8"/>
    <w:rsid w:val="00FC50DB"/>
    <w:rsid w:val="00FC50EF"/>
    <w:rsid w:val="00FC5229"/>
    <w:rsid w:val="00FC5271"/>
    <w:rsid w:val="00FC5360"/>
    <w:rsid w:val="00FC537E"/>
    <w:rsid w:val="00FC5416"/>
    <w:rsid w:val="00FC558B"/>
    <w:rsid w:val="00FC561F"/>
    <w:rsid w:val="00FC5623"/>
    <w:rsid w:val="00FC565B"/>
    <w:rsid w:val="00FC5676"/>
    <w:rsid w:val="00FC56D5"/>
    <w:rsid w:val="00FC56DE"/>
    <w:rsid w:val="00FC5749"/>
    <w:rsid w:val="00FC5A1B"/>
    <w:rsid w:val="00FC5C70"/>
    <w:rsid w:val="00FC5C79"/>
    <w:rsid w:val="00FC5C99"/>
    <w:rsid w:val="00FC5E69"/>
    <w:rsid w:val="00FC5F71"/>
    <w:rsid w:val="00FC6030"/>
    <w:rsid w:val="00FC60AF"/>
    <w:rsid w:val="00FC6123"/>
    <w:rsid w:val="00FC6136"/>
    <w:rsid w:val="00FC622A"/>
    <w:rsid w:val="00FC635A"/>
    <w:rsid w:val="00FC63AA"/>
    <w:rsid w:val="00FC63BC"/>
    <w:rsid w:val="00FC63CB"/>
    <w:rsid w:val="00FC6452"/>
    <w:rsid w:val="00FC6507"/>
    <w:rsid w:val="00FC652A"/>
    <w:rsid w:val="00FC6564"/>
    <w:rsid w:val="00FC65B4"/>
    <w:rsid w:val="00FC676B"/>
    <w:rsid w:val="00FC6900"/>
    <w:rsid w:val="00FC6912"/>
    <w:rsid w:val="00FC69A1"/>
    <w:rsid w:val="00FC69FB"/>
    <w:rsid w:val="00FC6A36"/>
    <w:rsid w:val="00FC6BAC"/>
    <w:rsid w:val="00FC6BEE"/>
    <w:rsid w:val="00FC6C4F"/>
    <w:rsid w:val="00FC6CB5"/>
    <w:rsid w:val="00FC6CC0"/>
    <w:rsid w:val="00FC6D28"/>
    <w:rsid w:val="00FC6D69"/>
    <w:rsid w:val="00FC6E59"/>
    <w:rsid w:val="00FC6E86"/>
    <w:rsid w:val="00FC6E8D"/>
    <w:rsid w:val="00FC6E97"/>
    <w:rsid w:val="00FC6E9A"/>
    <w:rsid w:val="00FC6EBD"/>
    <w:rsid w:val="00FC6EFD"/>
    <w:rsid w:val="00FC6F72"/>
    <w:rsid w:val="00FC709C"/>
    <w:rsid w:val="00FC70FC"/>
    <w:rsid w:val="00FC718D"/>
    <w:rsid w:val="00FC71C2"/>
    <w:rsid w:val="00FC72C1"/>
    <w:rsid w:val="00FC7334"/>
    <w:rsid w:val="00FC73E2"/>
    <w:rsid w:val="00FC73EC"/>
    <w:rsid w:val="00FC74B1"/>
    <w:rsid w:val="00FC74C9"/>
    <w:rsid w:val="00FC7531"/>
    <w:rsid w:val="00FC75A0"/>
    <w:rsid w:val="00FC75D4"/>
    <w:rsid w:val="00FC76A9"/>
    <w:rsid w:val="00FC76D9"/>
    <w:rsid w:val="00FC76E2"/>
    <w:rsid w:val="00FC7725"/>
    <w:rsid w:val="00FC774A"/>
    <w:rsid w:val="00FC77A2"/>
    <w:rsid w:val="00FC77F7"/>
    <w:rsid w:val="00FC7883"/>
    <w:rsid w:val="00FC78C6"/>
    <w:rsid w:val="00FC79DF"/>
    <w:rsid w:val="00FC7AFD"/>
    <w:rsid w:val="00FC7B37"/>
    <w:rsid w:val="00FC7B3F"/>
    <w:rsid w:val="00FC7B49"/>
    <w:rsid w:val="00FC7B8E"/>
    <w:rsid w:val="00FC7B9C"/>
    <w:rsid w:val="00FC7BE4"/>
    <w:rsid w:val="00FC7C3C"/>
    <w:rsid w:val="00FC7C50"/>
    <w:rsid w:val="00FC7CE8"/>
    <w:rsid w:val="00FC7D21"/>
    <w:rsid w:val="00FC7D27"/>
    <w:rsid w:val="00FC7D66"/>
    <w:rsid w:val="00FC7D8E"/>
    <w:rsid w:val="00FC7DA6"/>
    <w:rsid w:val="00FC7E3C"/>
    <w:rsid w:val="00FC7E51"/>
    <w:rsid w:val="00FC7F08"/>
    <w:rsid w:val="00FC7FEF"/>
    <w:rsid w:val="00FC7FF9"/>
    <w:rsid w:val="00FD000D"/>
    <w:rsid w:val="00FD0176"/>
    <w:rsid w:val="00FD017E"/>
    <w:rsid w:val="00FD01A5"/>
    <w:rsid w:val="00FD0212"/>
    <w:rsid w:val="00FD02A0"/>
    <w:rsid w:val="00FD02E8"/>
    <w:rsid w:val="00FD0327"/>
    <w:rsid w:val="00FD0372"/>
    <w:rsid w:val="00FD0394"/>
    <w:rsid w:val="00FD045F"/>
    <w:rsid w:val="00FD04E2"/>
    <w:rsid w:val="00FD0560"/>
    <w:rsid w:val="00FD05D8"/>
    <w:rsid w:val="00FD0603"/>
    <w:rsid w:val="00FD06F4"/>
    <w:rsid w:val="00FD07EC"/>
    <w:rsid w:val="00FD08A8"/>
    <w:rsid w:val="00FD08D1"/>
    <w:rsid w:val="00FD08F0"/>
    <w:rsid w:val="00FD0938"/>
    <w:rsid w:val="00FD0952"/>
    <w:rsid w:val="00FD097D"/>
    <w:rsid w:val="00FD09C6"/>
    <w:rsid w:val="00FD0A75"/>
    <w:rsid w:val="00FD0AE9"/>
    <w:rsid w:val="00FD0C92"/>
    <w:rsid w:val="00FD0C9B"/>
    <w:rsid w:val="00FD0C9E"/>
    <w:rsid w:val="00FD0CA3"/>
    <w:rsid w:val="00FD0CA8"/>
    <w:rsid w:val="00FD0CAF"/>
    <w:rsid w:val="00FD0CCE"/>
    <w:rsid w:val="00FD0E57"/>
    <w:rsid w:val="00FD0ED2"/>
    <w:rsid w:val="00FD0ED7"/>
    <w:rsid w:val="00FD0F23"/>
    <w:rsid w:val="00FD0F29"/>
    <w:rsid w:val="00FD1002"/>
    <w:rsid w:val="00FD1006"/>
    <w:rsid w:val="00FD101B"/>
    <w:rsid w:val="00FD1059"/>
    <w:rsid w:val="00FD1093"/>
    <w:rsid w:val="00FD117E"/>
    <w:rsid w:val="00FD11DB"/>
    <w:rsid w:val="00FD12D8"/>
    <w:rsid w:val="00FD1379"/>
    <w:rsid w:val="00FD13E4"/>
    <w:rsid w:val="00FD1423"/>
    <w:rsid w:val="00FD144C"/>
    <w:rsid w:val="00FD148F"/>
    <w:rsid w:val="00FD14BA"/>
    <w:rsid w:val="00FD14C8"/>
    <w:rsid w:val="00FD1595"/>
    <w:rsid w:val="00FD1633"/>
    <w:rsid w:val="00FD1735"/>
    <w:rsid w:val="00FD1814"/>
    <w:rsid w:val="00FD18D2"/>
    <w:rsid w:val="00FD18FF"/>
    <w:rsid w:val="00FD1932"/>
    <w:rsid w:val="00FD1967"/>
    <w:rsid w:val="00FD1973"/>
    <w:rsid w:val="00FD1989"/>
    <w:rsid w:val="00FD1998"/>
    <w:rsid w:val="00FD19B4"/>
    <w:rsid w:val="00FD1A6C"/>
    <w:rsid w:val="00FD1AA3"/>
    <w:rsid w:val="00FD1B17"/>
    <w:rsid w:val="00FD1BB5"/>
    <w:rsid w:val="00FD1BD1"/>
    <w:rsid w:val="00FD1BD7"/>
    <w:rsid w:val="00FD1C6D"/>
    <w:rsid w:val="00FD1CB7"/>
    <w:rsid w:val="00FD1CD5"/>
    <w:rsid w:val="00FD1DEB"/>
    <w:rsid w:val="00FD1E4F"/>
    <w:rsid w:val="00FD1EA6"/>
    <w:rsid w:val="00FD1F6F"/>
    <w:rsid w:val="00FD2167"/>
    <w:rsid w:val="00FD21DB"/>
    <w:rsid w:val="00FD2238"/>
    <w:rsid w:val="00FD22B5"/>
    <w:rsid w:val="00FD22EC"/>
    <w:rsid w:val="00FD247F"/>
    <w:rsid w:val="00FD24DE"/>
    <w:rsid w:val="00FD24EA"/>
    <w:rsid w:val="00FD25C7"/>
    <w:rsid w:val="00FD2690"/>
    <w:rsid w:val="00FD26B2"/>
    <w:rsid w:val="00FD26C5"/>
    <w:rsid w:val="00FD27B9"/>
    <w:rsid w:val="00FD2898"/>
    <w:rsid w:val="00FD29D5"/>
    <w:rsid w:val="00FD2A4B"/>
    <w:rsid w:val="00FD2A55"/>
    <w:rsid w:val="00FD2A85"/>
    <w:rsid w:val="00FD2AC1"/>
    <w:rsid w:val="00FD2AF4"/>
    <w:rsid w:val="00FD2B14"/>
    <w:rsid w:val="00FD2BB3"/>
    <w:rsid w:val="00FD2BC7"/>
    <w:rsid w:val="00FD2DDD"/>
    <w:rsid w:val="00FD2EAF"/>
    <w:rsid w:val="00FD2EDB"/>
    <w:rsid w:val="00FD2EDC"/>
    <w:rsid w:val="00FD2EF6"/>
    <w:rsid w:val="00FD2F61"/>
    <w:rsid w:val="00FD2F9B"/>
    <w:rsid w:val="00FD2FBD"/>
    <w:rsid w:val="00FD2FF6"/>
    <w:rsid w:val="00FD3012"/>
    <w:rsid w:val="00FD307E"/>
    <w:rsid w:val="00FD31D6"/>
    <w:rsid w:val="00FD31E2"/>
    <w:rsid w:val="00FD323A"/>
    <w:rsid w:val="00FD32F8"/>
    <w:rsid w:val="00FD332D"/>
    <w:rsid w:val="00FD34D2"/>
    <w:rsid w:val="00FD3535"/>
    <w:rsid w:val="00FD35A4"/>
    <w:rsid w:val="00FD36C4"/>
    <w:rsid w:val="00FD36D5"/>
    <w:rsid w:val="00FD376A"/>
    <w:rsid w:val="00FD391A"/>
    <w:rsid w:val="00FD3A19"/>
    <w:rsid w:val="00FD3A45"/>
    <w:rsid w:val="00FD3B34"/>
    <w:rsid w:val="00FD3B45"/>
    <w:rsid w:val="00FD3B54"/>
    <w:rsid w:val="00FD3B8B"/>
    <w:rsid w:val="00FD3C8A"/>
    <w:rsid w:val="00FD3C91"/>
    <w:rsid w:val="00FD3C9A"/>
    <w:rsid w:val="00FD3D84"/>
    <w:rsid w:val="00FD3DA4"/>
    <w:rsid w:val="00FD3E3E"/>
    <w:rsid w:val="00FD3E4E"/>
    <w:rsid w:val="00FD3E56"/>
    <w:rsid w:val="00FD3F77"/>
    <w:rsid w:val="00FD4027"/>
    <w:rsid w:val="00FD4082"/>
    <w:rsid w:val="00FD40C6"/>
    <w:rsid w:val="00FD4249"/>
    <w:rsid w:val="00FD4317"/>
    <w:rsid w:val="00FD437C"/>
    <w:rsid w:val="00FD4438"/>
    <w:rsid w:val="00FD45C4"/>
    <w:rsid w:val="00FD45E0"/>
    <w:rsid w:val="00FD45FA"/>
    <w:rsid w:val="00FD46E0"/>
    <w:rsid w:val="00FD4733"/>
    <w:rsid w:val="00FD4788"/>
    <w:rsid w:val="00FD47BB"/>
    <w:rsid w:val="00FD47C7"/>
    <w:rsid w:val="00FD47EF"/>
    <w:rsid w:val="00FD483E"/>
    <w:rsid w:val="00FD485C"/>
    <w:rsid w:val="00FD489F"/>
    <w:rsid w:val="00FD49AD"/>
    <w:rsid w:val="00FD4A37"/>
    <w:rsid w:val="00FD4A46"/>
    <w:rsid w:val="00FD4A51"/>
    <w:rsid w:val="00FD4A61"/>
    <w:rsid w:val="00FD4ABB"/>
    <w:rsid w:val="00FD4B2C"/>
    <w:rsid w:val="00FD4B88"/>
    <w:rsid w:val="00FD4B9F"/>
    <w:rsid w:val="00FD4BC2"/>
    <w:rsid w:val="00FD4CA3"/>
    <w:rsid w:val="00FD4D58"/>
    <w:rsid w:val="00FD4DF4"/>
    <w:rsid w:val="00FD4EB6"/>
    <w:rsid w:val="00FD4F28"/>
    <w:rsid w:val="00FD4FC8"/>
    <w:rsid w:val="00FD5000"/>
    <w:rsid w:val="00FD5022"/>
    <w:rsid w:val="00FD5114"/>
    <w:rsid w:val="00FD51AC"/>
    <w:rsid w:val="00FD51B4"/>
    <w:rsid w:val="00FD5203"/>
    <w:rsid w:val="00FD52C0"/>
    <w:rsid w:val="00FD5309"/>
    <w:rsid w:val="00FD5320"/>
    <w:rsid w:val="00FD54D4"/>
    <w:rsid w:val="00FD5521"/>
    <w:rsid w:val="00FD5595"/>
    <w:rsid w:val="00FD55D2"/>
    <w:rsid w:val="00FD5720"/>
    <w:rsid w:val="00FD576A"/>
    <w:rsid w:val="00FD576F"/>
    <w:rsid w:val="00FD587F"/>
    <w:rsid w:val="00FD5894"/>
    <w:rsid w:val="00FD58F3"/>
    <w:rsid w:val="00FD58FF"/>
    <w:rsid w:val="00FD5944"/>
    <w:rsid w:val="00FD5954"/>
    <w:rsid w:val="00FD5978"/>
    <w:rsid w:val="00FD59BD"/>
    <w:rsid w:val="00FD5A17"/>
    <w:rsid w:val="00FD5A25"/>
    <w:rsid w:val="00FD5A2A"/>
    <w:rsid w:val="00FD5A84"/>
    <w:rsid w:val="00FD5A9F"/>
    <w:rsid w:val="00FD5AF9"/>
    <w:rsid w:val="00FD5B2D"/>
    <w:rsid w:val="00FD5B5E"/>
    <w:rsid w:val="00FD5B79"/>
    <w:rsid w:val="00FD5BAF"/>
    <w:rsid w:val="00FD5C43"/>
    <w:rsid w:val="00FD5C62"/>
    <w:rsid w:val="00FD5CF3"/>
    <w:rsid w:val="00FD5D4D"/>
    <w:rsid w:val="00FD5DFD"/>
    <w:rsid w:val="00FD5F4A"/>
    <w:rsid w:val="00FD5FA7"/>
    <w:rsid w:val="00FD600B"/>
    <w:rsid w:val="00FD60C5"/>
    <w:rsid w:val="00FD61AD"/>
    <w:rsid w:val="00FD64C0"/>
    <w:rsid w:val="00FD64E0"/>
    <w:rsid w:val="00FD6589"/>
    <w:rsid w:val="00FD65AC"/>
    <w:rsid w:val="00FD65BB"/>
    <w:rsid w:val="00FD65D4"/>
    <w:rsid w:val="00FD6643"/>
    <w:rsid w:val="00FD664B"/>
    <w:rsid w:val="00FD6705"/>
    <w:rsid w:val="00FD674E"/>
    <w:rsid w:val="00FD6761"/>
    <w:rsid w:val="00FD67DE"/>
    <w:rsid w:val="00FD6828"/>
    <w:rsid w:val="00FD684C"/>
    <w:rsid w:val="00FD68E0"/>
    <w:rsid w:val="00FD6993"/>
    <w:rsid w:val="00FD69AB"/>
    <w:rsid w:val="00FD69B7"/>
    <w:rsid w:val="00FD69C9"/>
    <w:rsid w:val="00FD6A33"/>
    <w:rsid w:val="00FD6A98"/>
    <w:rsid w:val="00FD6ADB"/>
    <w:rsid w:val="00FD6CAB"/>
    <w:rsid w:val="00FD6D44"/>
    <w:rsid w:val="00FD6DEC"/>
    <w:rsid w:val="00FD6E3E"/>
    <w:rsid w:val="00FD6E89"/>
    <w:rsid w:val="00FD6EED"/>
    <w:rsid w:val="00FD6F6D"/>
    <w:rsid w:val="00FD6F79"/>
    <w:rsid w:val="00FD70E9"/>
    <w:rsid w:val="00FD7120"/>
    <w:rsid w:val="00FD7159"/>
    <w:rsid w:val="00FD7183"/>
    <w:rsid w:val="00FD7280"/>
    <w:rsid w:val="00FD7297"/>
    <w:rsid w:val="00FD729C"/>
    <w:rsid w:val="00FD72A8"/>
    <w:rsid w:val="00FD7415"/>
    <w:rsid w:val="00FD746A"/>
    <w:rsid w:val="00FD74EF"/>
    <w:rsid w:val="00FD7519"/>
    <w:rsid w:val="00FD76C1"/>
    <w:rsid w:val="00FD76E6"/>
    <w:rsid w:val="00FD7771"/>
    <w:rsid w:val="00FD7787"/>
    <w:rsid w:val="00FD77A6"/>
    <w:rsid w:val="00FD7861"/>
    <w:rsid w:val="00FD7879"/>
    <w:rsid w:val="00FD79B4"/>
    <w:rsid w:val="00FD7AB7"/>
    <w:rsid w:val="00FD7B4E"/>
    <w:rsid w:val="00FD7B78"/>
    <w:rsid w:val="00FD7C1B"/>
    <w:rsid w:val="00FD7C25"/>
    <w:rsid w:val="00FD7C4A"/>
    <w:rsid w:val="00FD7DDB"/>
    <w:rsid w:val="00FD7E37"/>
    <w:rsid w:val="00FD7F0B"/>
    <w:rsid w:val="00FD7FB2"/>
    <w:rsid w:val="00FD7FF8"/>
    <w:rsid w:val="00FE0024"/>
    <w:rsid w:val="00FE002C"/>
    <w:rsid w:val="00FE0056"/>
    <w:rsid w:val="00FE0107"/>
    <w:rsid w:val="00FE0117"/>
    <w:rsid w:val="00FE0143"/>
    <w:rsid w:val="00FE0144"/>
    <w:rsid w:val="00FE0178"/>
    <w:rsid w:val="00FE01C7"/>
    <w:rsid w:val="00FE01DF"/>
    <w:rsid w:val="00FE0234"/>
    <w:rsid w:val="00FE0245"/>
    <w:rsid w:val="00FE027B"/>
    <w:rsid w:val="00FE0286"/>
    <w:rsid w:val="00FE02FE"/>
    <w:rsid w:val="00FE040C"/>
    <w:rsid w:val="00FE0472"/>
    <w:rsid w:val="00FE04CA"/>
    <w:rsid w:val="00FE04FF"/>
    <w:rsid w:val="00FE0600"/>
    <w:rsid w:val="00FE063E"/>
    <w:rsid w:val="00FE06CA"/>
    <w:rsid w:val="00FE07C0"/>
    <w:rsid w:val="00FE07F0"/>
    <w:rsid w:val="00FE0850"/>
    <w:rsid w:val="00FE085F"/>
    <w:rsid w:val="00FE088D"/>
    <w:rsid w:val="00FE0A90"/>
    <w:rsid w:val="00FE0AA2"/>
    <w:rsid w:val="00FE0AD0"/>
    <w:rsid w:val="00FE0BCA"/>
    <w:rsid w:val="00FE0BE5"/>
    <w:rsid w:val="00FE0BEC"/>
    <w:rsid w:val="00FE0C20"/>
    <w:rsid w:val="00FE0C62"/>
    <w:rsid w:val="00FE0C65"/>
    <w:rsid w:val="00FE0CAC"/>
    <w:rsid w:val="00FE0D33"/>
    <w:rsid w:val="00FE0D45"/>
    <w:rsid w:val="00FE0D74"/>
    <w:rsid w:val="00FE0DB3"/>
    <w:rsid w:val="00FE0EE4"/>
    <w:rsid w:val="00FE0F0F"/>
    <w:rsid w:val="00FE0FB6"/>
    <w:rsid w:val="00FE1015"/>
    <w:rsid w:val="00FE10D6"/>
    <w:rsid w:val="00FE10D9"/>
    <w:rsid w:val="00FE1287"/>
    <w:rsid w:val="00FE1311"/>
    <w:rsid w:val="00FE139E"/>
    <w:rsid w:val="00FE13E6"/>
    <w:rsid w:val="00FE1447"/>
    <w:rsid w:val="00FE14CE"/>
    <w:rsid w:val="00FE156C"/>
    <w:rsid w:val="00FE163A"/>
    <w:rsid w:val="00FE16A5"/>
    <w:rsid w:val="00FE16C7"/>
    <w:rsid w:val="00FE176B"/>
    <w:rsid w:val="00FE17E1"/>
    <w:rsid w:val="00FE189A"/>
    <w:rsid w:val="00FE18F2"/>
    <w:rsid w:val="00FE1918"/>
    <w:rsid w:val="00FE1979"/>
    <w:rsid w:val="00FE197D"/>
    <w:rsid w:val="00FE1A48"/>
    <w:rsid w:val="00FE1A89"/>
    <w:rsid w:val="00FE1B33"/>
    <w:rsid w:val="00FE1B4A"/>
    <w:rsid w:val="00FE1B67"/>
    <w:rsid w:val="00FE1B74"/>
    <w:rsid w:val="00FE1B76"/>
    <w:rsid w:val="00FE1BB3"/>
    <w:rsid w:val="00FE1C46"/>
    <w:rsid w:val="00FE1CAE"/>
    <w:rsid w:val="00FE1D31"/>
    <w:rsid w:val="00FE1DAF"/>
    <w:rsid w:val="00FE1DEC"/>
    <w:rsid w:val="00FE1DFF"/>
    <w:rsid w:val="00FE1E51"/>
    <w:rsid w:val="00FE1E6B"/>
    <w:rsid w:val="00FE1EF0"/>
    <w:rsid w:val="00FE1F4A"/>
    <w:rsid w:val="00FE210B"/>
    <w:rsid w:val="00FE21B6"/>
    <w:rsid w:val="00FE21E6"/>
    <w:rsid w:val="00FE2242"/>
    <w:rsid w:val="00FE229A"/>
    <w:rsid w:val="00FE2341"/>
    <w:rsid w:val="00FE2444"/>
    <w:rsid w:val="00FE246F"/>
    <w:rsid w:val="00FE24CD"/>
    <w:rsid w:val="00FE24D9"/>
    <w:rsid w:val="00FE25C6"/>
    <w:rsid w:val="00FE2661"/>
    <w:rsid w:val="00FE2779"/>
    <w:rsid w:val="00FE27BB"/>
    <w:rsid w:val="00FE27C7"/>
    <w:rsid w:val="00FE2801"/>
    <w:rsid w:val="00FE287C"/>
    <w:rsid w:val="00FE28A7"/>
    <w:rsid w:val="00FE28D7"/>
    <w:rsid w:val="00FE2942"/>
    <w:rsid w:val="00FE296C"/>
    <w:rsid w:val="00FE29B7"/>
    <w:rsid w:val="00FE2A24"/>
    <w:rsid w:val="00FE2A45"/>
    <w:rsid w:val="00FE2AD2"/>
    <w:rsid w:val="00FE2B23"/>
    <w:rsid w:val="00FE2B25"/>
    <w:rsid w:val="00FE2B77"/>
    <w:rsid w:val="00FE2BC9"/>
    <w:rsid w:val="00FE2BD0"/>
    <w:rsid w:val="00FE2BE4"/>
    <w:rsid w:val="00FE2BE9"/>
    <w:rsid w:val="00FE2C0D"/>
    <w:rsid w:val="00FE2C7B"/>
    <w:rsid w:val="00FE2D35"/>
    <w:rsid w:val="00FE2D97"/>
    <w:rsid w:val="00FE2DB4"/>
    <w:rsid w:val="00FE2DFA"/>
    <w:rsid w:val="00FE2E3B"/>
    <w:rsid w:val="00FE2E60"/>
    <w:rsid w:val="00FE2F28"/>
    <w:rsid w:val="00FE2FB9"/>
    <w:rsid w:val="00FE2FCF"/>
    <w:rsid w:val="00FE2FDB"/>
    <w:rsid w:val="00FE308A"/>
    <w:rsid w:val="00FE30A1"/>
    <w:rsid w:val="00FE312C"/>
    <w:rsid w:val="00FE3189"/>
    <w:rsid w:val="00FE31F9"/>
    <w:rsid w:val="00FE3217"/>
    <w:rsid w:val="00FE3252"/>
    <w:rsid w:val="00FE328F"/>
    <w:rsid w:val="00FE32C0"/>
    <w:rsid w:val="00FE3323"/>
    <w:rsid w:val="00FE3338"/>
    <w:rsid w:val="00FE3393"/>
    <w:rsid w:val="00FE3491"/>
    <w:rsid w:val="00FE34F4"/>
    <w:rsid w:val="00FE3501"/>
    <w:rsid w:val="00FE3544"/>
    <w:rsid w:val="00FE35A9"/>
    <w:rsid w:val="00FE35DE"/>
    <w:rsid w:val="00FE364A"/>
    <w:rsid w:val="00FE36C3"/>
    <w:rsid w:val="00FE36E3"/>
    <w:rsid w:val="00FE37D0"/>
    <w:rsid w:val="00FE380C"/>
    <w:rsid w:val="00FE38BB"/>
    <w:rsid w:val="00FE38D4"/>
    <w:rsid w:val="00FE39B8"/>
    <w:rsid w:val="00FE3A24"/>
    <w:rsid w:val="00FE3A44"/>
    <w:rsid w:val="00FE3A77"/>
    <w:rsid w:val="00FE3AAF"/>
    <w:rsid w:val="00FE3ACC"/>
    <w:rsid w:val="00FE3B76"/>
    <w:rsid w:val="00FE3B78"/>
    <w:rsid w:val="00FE3B80"/>
    <w:rsid w:val="00FE3B97"/>
    <w:rsid w:val="00FE3BB9"/>
    <w:rsid w:val="00FE3C39"/>
    <w:rsid w:val="00FE3CAC"/>
    <w:rsid w:val="00FE3D04"/>
    <w:rsid w:val="00FE3D06"/>
    <w:rsid w:val="00FE3DF9"/>
    <w:rsid w:val="00FE3EA8"/>
    <w:rsid w:val="00FE3F75"/>
    <w:rsid w:val="00FE403B"/>
    <w:rsid w:val="00FE4046"/>
    <w:rsid w:val="00FE4076"/>
    <w:rsid w:val="00FE40EF"/>
    <w:rsid w:val="00FE40FE"/>
    <w:rsid w:val="00FE40FF"/>
    <w:rsid w:val="00FE4100"/>
    <w:rsid w:val="00FE4122"/>
    <w:rsid w:val="00FE41D6"/>
    <w:rsid w:val="00FE429F"/>
    <w:rsid w:val="00FE4373"/>
    <w:rsid w:val="00FE43D6"/>
    <w:rsid w:val="00FE442B"/>
    <w:rsid w:val="00FE4512"/>
    <w:rsid w:val="00FE458E"/>
    <w:rsid w:val="00FE45DC"/>
    <w:rsid w:val="00FE4602"/>
    <w:rsid w:val="00FE465C"/>
    <w:rsid w:val="00FE4664"/>
    <w:rsid w:val="00FE4859"/>
    <w:rsid w:val="00FE4929"/>
    <w:rsid w:val="00FE4954"/>
    <w:rsid w:val="00FE49B3"/>
    <w:rsid w:val="00FE4A0D"/>
    <w:rsid w:val="00FE4A48"/>
    <w:rsid w:val="00FE4B6A"/>
    <w:rsid w:val="00FE4B78"/>
    <w:rsid w:val="00FE4BC7"/>
    <w:rsid w:val="00FE4BE5"/>
    <w:rsid w:val="00FE4CF3"/>
    <w:rsid w:val="00FE4D86"/>
    <w:rsid w:val="00FE4DCF"/>
    <w:rsid w:val="00FE4E5A"/>
    <w:rsid w:val="00FE4E9C"/>
    <w:rsid w:val="00FE4FF0"/>
    <w:rsid w:val="00FE5018"/>
    <w:rsid w:val="00FE50D2"/>
    <w:rsid w:val="00FE50FD"/>
    <w:rsid w:val="00FE514A"/>
    <w:rsid w:val="00FE51BE"/>
    <w:rsid w:val="00FE5286"/>
    <w:rsid w:val="00FE52BE"/>
    <w:rsid w:val="00FE52F7"/>
    <w:rsid w:val="00FE535C"/>
    <w:rsid w:val="00FE5400"/>
    <w:rsid w:val="00FE540D"/>
    <w:rsid w:val="00FE5560"/>
    <w:rsid w:val="00FE5562"/>
    <w:rsid w:val="00FE55DC"/>
    <w:rsid w:val="00FE5676"/>
    <w:rsid w:val="00FE56C8"/>
    <w:rsid w:val="00FE56EC"/>
    <w:rsid w:val="00FE58AB"/>
    <w:rsid w:val="00FE58CF"/>
    <w:rsid w:val="00FE58FB"/>
    <w:rsid w:val="00FE5A14"/>
    <w:rsid w:val="00FE5B34"/>
    <w:rsid w:val="00FE5B43"/>
    <w:rsid w:val="00FE5B7E"/>
    <w:rsid w:val="00FE5B9D"/>
    <w:rsid w:val="00FE5C5E"/>
    <w:rsid w:val="00FE5CC0"/>
    <w:rsid w:val="00FE5CE2"/>
    <w:rsid w:val="00FE5CEF"/>
    <w:rsid w:val="00FE5D23"/>
    <w:rsid w:val="00FE5D9D"/>
    <w:rsid w:val="00FE5E36"/>
    <w:rsid w:val="00FE5F16"/>
    <w:rsid w:val="00FE5FDB"/>
    <w:rsid w:val="00FE609E"/>
    <w:rsid w:val="00FE60A2"/>
    <w:rsid w:val="00FE6167"/>
    <w:rsid w:val="00FE61FB"/>
    <w:rsid w:val="00FE6226"/>
    <w:rsid w:val="00FE6272"/>
    <w:rsid w:val="00FE6324"/>
    <w:rsid w:val="00FE63E3"/>
    <w:rsid w:val="00FE6424"/>
    <w:rsid w:val="00FE642E"/>
    <w:rsid w:val="00FE65FB"/>
    <w:rsid w:val="00FE661D"/>
    <w:rsid w:val="00FE66D4"/>
    <w:rsid w:val="00FE6727"/>
    <w:rsid w:val="00FE6755"/>
    <w:rsid w:val="00FE6788"/>
    <w:rsid w:val="00FE6888"/>
    <w:rsid w:val="00FE6908"/>
    <w:rsid w:val="00FE6931"/>
    <w:rsid w:val="00FE698C"/>
    <w:rsid w:val="00FE6991"/>
    <w:rsid w:val="00FE699C"/>
    <w:rsid w:val="00FE69FE"/>
    <w:rsid w:val="00FE6A41"/>
    <w:rsid w:val="00FE6AA8"/>
    <w:rsid w:val="00FE6AB5"/>
    <w:rsid w:val="00FE6B5B"/>
    <w:rsid w:val="00FE6B60"/>
    <w:rsid w:val="00FE6BE3"/>
    <w:rsid w:val="00FE6C9B"/>
    <w:rsid w:val="00FE6CEB"/>
    <w:rsid w:val="00FE6D30"/>
    <w:rsid w:val="00FE6E7B"/>
    <w:rsid w:val="00FE6F1E"/>
    <w:rsid w:val="00FE71B9"/>
    <w:rsid w:val="00FE71DC"/>
    <w:rsid w:val="00FE7204"/>
    <w:rsid w:val="00FE7274"/>
    <w:rsid w:val="00FE7283"/>
    <w:rsid w:val="00FE7292"/>
    <w:rsid w:val="00FE7296"/>
    <w:rsid w:val="00FE7341"/>
    <w:rsid w:val="00FE7342"/>
    <w:rsid w:val="00FE736B"/>
    <w:rsid w:val="00FE73A3"/>
    <w:rsid w:val="00FE73A9"/>
    <w:rsid w:val="00FE7456"/>
    <w:rsid w:val="00FE7492"/>
    <w:rsid w:val="00FE74D8"/>
    <w:rsid w:val="00FE7522"/>
    <w:rsid w:val="00FE753E"/>
    <w:rsid w:val="00FE755E"/>
    <w:rsid w:val="00FE75B8"/>
    <w:rsid w:val="00FE75BC"/>
    <w:rsid w:val="00FE7661"/>
    <w:rsid w:val="00FE76F7"/>
    <w:rsid w:val="00FE772D"/>
    <w:rsid w:val="00FE77D1"/>
    <w:rsid w:val="00FE7926"/>
    <w:rsid w:val="00FE7953"/>
    <w:rsid w:val="00FE7A8E"/>
    <w:rsid w:val="00FE7AB4"/>
    <w:rsid w:val="00FE7ACC"/>
    <w:rsid w:val="00FE7BDF"/>
    <w:rsid w:val="00FE7BE8"/>
    <w:rsid w:val="00FE7BF1"/>
    <w:rsid w:val="00FE7C2F"/>
    <w:rsid w:val="00FE7C32"/>
    <w:rsid w:val="00FE7C56"/>
    <w:rsid w:val="00FE7D8E"/>
    <w:rsid w:val="00FE7DED"/>
    <w:rsid w:val="00FE7E8C"/>
    <w:rsid w:val="00FE7EB5"/>
    <w:rsid w:val="00FE7EC6"/>
    <w:rsid w:val="00FE7EDC"/>
    <w:rsid w:val="00FE7EF3"/>
    <w:rsid w:val="00FE7F4F"/>
    <w:rsid w:val="00FE7FAE"/>
    <w:rsid w:val="00FF00D9"/>
    <w:rsid w:val="00FF00E8"/>
    <w:rsid w:val="00FF015C"/>
    <w:rsid w:val="00FF0184"/>
    <w:rsid w:val="00FF01CD"/>
    <w:rsid w:val="00FF0336"/>
    <w:rsid w:val="00FF041A"/>
    <w:rsid w:val="00FF061B"/>
    <w:rsid w:val="00FF0677"/>
    <w:rsid w:val="00FF0704"/>
    <w:rsid w:val="00FF0747"/>
    <w:rsid w:val="00FF0891"/>
    <w:rsid w:val="00FF093F"/>
    <w:rsid w:val="00FF09E4"/>
    <w:rsid w:val="00FF0A3D"/>
    <w:rsid w:val="00FF0A6D"/>
    <w:rsid w:val="00FF0A97"/>
    <w:rsid w:val="00FF0AA8"/>
    <w:rsid w:val="00FF0B62"/>
    <w:rsid w:val="00FF0B85"/>
    <w:rsid w:val="00FF0B9E"/>
    <w:rsid w:val="00FF0BA7"/>
    <w:rsid w:val="00FF0C83"/>
    <w:rsid w:val="00FF0C91"/>
    <w:rsid w:val="00FF0CDC"/>
    <w:rsid w:val="00FF0D92"/>
    <w:rsid w:val="00FF0DD2"/>
    <w:rsid w:val="00FF0F21"/>
    <w:rsid w:val="00FF0F2F"/>
    <w:rsid w:val="00FF0F30"/>
    <w:rsid w:val="00FF0F85"/>
    <w:rsid w:val="00FF0F94"/>
    <w:rsid w:val="00FF103B"/>
    <w:rsid w:val="00FF10C8"/>
    <w:rsid w:val="00FF1109"/>
    <w:rsid w:val="00FF113A"/>
    <w:rsid w:val="00FF113E"/>
    <w:rsid w:val="00FF1168"/>
    <w:rsid w:val="00FF11BD"/>
    <w:rsid w:val="00FF1222"/>
    <w:rsid w:val="00FF139C"/>
    <w:rsid w:val="00FF1472"/>
    <w:rsid w:val="00FF1481"/>
    <w:rsid w:val="00FF148A"/>
    <w:rsid w:val="00FF15E8"/>
    <w:rsid w:val="00FF166D"/>
    <w:rsid w:val="00FF1727"/>
    <w:rsid w:val="00FF175F"/>
    <w:rsid w:val="00FF178F"/>
    <w:rsid w:val="00FF1796"/>
    <w:rsid w:val="00FF18C0"/>
    <w:rsid w:val="00FF18EF"/>
    <w:rsid w:val="00FF1B2C"/>
    <w:rsid w:val="00FF1C1E"/>
    <w:rsid w:val="00FF1C2A"/>
    <w:rsid w:val="00FF1C62"/>
    <w:rsid w:val="00FF1C6F"/>
    <w:rsid w:val="00FF1C80"/>
    <w:rsid w:val="00FF1CC3"/>
    <w:rsid w:val="00FF1D29"/>
    <w:rsid w:val="00FF1DBE"/>
    <w:rsid w:val="00FF1DE1"/>
    <w:rsid w:val="00FF1F16"/>
    <w:rsid w:val="00FF2034"/>
    <w:rsid w:val="00FF212E"/>
    <w:rsid w:val="00FF213C"/>
    <w:rsid w:val="00FF2148"/>
    <w:rsid w:val="00FF21F5"/>
    <w:rsid w:val="00FF2209"/>
    <w:rsid w:val="00FF2274"/>
    <w:rsid w:val="00FF22A5"/>
    <w:rsid w:val="00FF22B3"/>
    <w:rsid w:val="00FF22BD"/>
    <w:rsid w:val="00FF2339"/>
    <w:rsid w:val="00FF2402"/>
    <w:rsid w:val="00FF243A"/>
    <w:rsid w:val="00FF2542"/>
    <w:rsid w:val="00FF262C"/>
    <w:rsid w:val="00FF2636"/>
    <w:rsid w:val="00FF2670"/>
    <w:rsid w:val="00FF2732"/>
    <w:rsid w:val="00FF278F"/>
    <w:rsid w:val="00FF2791"/>
    <w:rsid w:val="00FF27B2"/>
    <w:rsid w:val="00FF27BC"/>
    <w:rsid w:val="00FF29F7"/>
    <w:rsid w:val="00FF2A0E"/>
    <w:rsid w:val="00FF2A3D"/>
    <w:rsid w:val="00FF2A69"/>
    <w:rsid w:val="00FF2A71"/>
    <w:rsid w:val="00FF2A8D"/>
    <w:rsid w:val="00FF2AAC"/>
    <w:rsid w:val="00FF2AED"/>
    <w:rsid w:val="00FF2B1A"/>
    <w:rsid w:val="00FF2B6B"/>
    <w:rsid w:val="00FF2B80"/>
    <w:rsid w:val="00FF2B94"/>
    <w:rsid w:val="00FF2C37"/>
    <w:rsid w:val="00FF2C4E"/>
    <w:rsid w:val="00FF2CB8"/>
    <w:rsid w:val="00FF2D2D"/>
    <w:rsid w:val="00FF2D5B"/>
    <w:rsid w:val="00FF2DB3"/>
    <w:rsid w:val="00FF2DC6"/>
    <w:rsid w:val="00FF2E1A"/>
    <w:rsid w:val="00FF2F3D"/>
    <w:rsid w:val="00FF2F72"/>
    <w:rsid w:val="00FF2FF8"/>
    <w:rsid w:val="00FF3014"/>
    <w:rsid w:val="00FF3034"/>
    <w:rsid w:val="00FF30E1"/>
    <w:rsid w:val="00FF313B"/>
    <w:rsid w:val="00FF3179"/>
    <w:rsid w:val="00FF31A5"/>
    <w:rsid w:val="00FF344E"/>
    <w:rsid w:val="00FF3479"/>
    <w:rsid w:val="00FF3517"/>
    <w:rsid w:val="00FF355D"/>
    <w:rsid w:val="00FF3639"/>
    <w:rsid w:val="00FF36F5"/>
    <w:rsid w:val="00FF3735"/>
    <w:rsid w:val="00FF375B"/>
    <w:rsid w:val="00FF37CA"/>
    <w:rsid w:val="00FF381F"/>
    <w:rsid w:val="00FF38B1"/>
    <w:rsid w:val="00FF39CD"/>
    <w:rsid w:val="00FF39D1"/>
    <w:rsid w:val="00FF3A71"/>
    <w:rsid w:val="00FF3A8C"/>
    <w:rsid w:val="00FF3AF9"/>
    <w:rsid w:val="00FF3AFB"/>
    <w:rsid w:val="00FF3B6E"/>
    <w:rsid w:val="00FF3C39"/>
    <w:rsid w:val="00FF3D40"/>
    <w:rsid w:val="00FF3D84"/>
    <w:rsid w:val="00FF3E69"/>
    <w:rsid w:val="00FF3ED1"/>
    <w:rsid w:val="00FF3F4B"/>
    <w:rsid w:val="00FF3F92"/>
    <w:rsid w:val="00FF3F9C"/>
    <w:rsid w:val="00FF3FE3"/>
    <w:rsid w:val="00FF3FF1"/>
    <w:rsid w:val="00FF3FFC"/>
    <w:rsid w:val="00FF4052"/>
    <w:rsid w:val="00FF4114"/>
    <w:rsid w:val="00FF4145"/>
    <w:rsid w:val="00FF4184"/>
    <w:rsid w:val="00FF41A2"/>
    <w:rsid w:val="00FF41B2"/>
    <w:rsid w:val="00FF4240"/>
    <w:rsid w:val="00FF428E"/>
    <w:rsid w:val="00FF435E"/>
    <w:rsid w:val="00FF43FB"/>
    <w:rsid w:val="00FF4403"/>
    <w:rsid w:val="00FF4443"/>
    <w:rsid w:val="00FF4519"/>
    <w:rsid w:val="00FF4560"/>
    <w:rsid w:val="00FF4671"/>
    <w:rsid w:val="00FF46B1"/>
    <w:rsid w:val="00FF46C9"/>
    <w:rsid w:val="00FF47AE"/>
    <w:rsid w:val="00FF47DF"/>
    <w:rsid w:val="00FF48B8"/>
    <w:rsid w:val="00FF4905"/>
    <w:rsid w:val="00FF4923"/>
    <w:rsid w:val="00FF499F"/>
    <w:rsid w:val="00FF49C8"/>
    <w:rsid w:val="00FF4AC4"/>
    <w:rsid w:val="00FF4AEC"/>
    <w:rsid w:val="00FF4B7C"/>
    <w:rsid w:val="00FF4B88"/>
    <w:rsid w:val="00FF4BA4"/>
    <w:rsid w:val="00FF4C21"/>
    <w:rsid w:val="00FF4C34"/>
    <w:rsid w:val="00FF4CF9"/>
    <w:rsid w:val="00FF4DBF"/>
    <w:rsid w:val="00FF5051"/>
    <w:rsid w:val="00FF50C8"/>
    <w:rsid w:val="00FF50CF"/>
    <w:rsid w:val="00FF50D2"/>
    <w:rsid w:val="00FF5128"/>
    <w:rsid w:val="00FF5155"/>
    <w:rsid w:val="00FF519B"/>
    <w:rsid w:val="00FF5257"/>
    <w:rsid w:val="00FF5275"/>
    <w:rsid w:val="00FF53B0"/>
    <w:rsid w:val="00FF546C"/>
    <w:rsid w:val="00FF54B3"/>
    <w:rsid w:val="00FF5509"/>
    <w:rsid w:val="00FF550B"/>
    <w:rsid w:val="00FF553F"/>
    <w:rsid w:val="00FF558F"/>
    <w:rsid w:val="00FF559C"/>
    <w:rsid w:val="00FF564D"/>
    <w:rsid w:val="00FF5731"/>
    <w:rsid w:val="00FF577B"/>
    <w:rsid w:val="00FF57B8"/>
    <w:rsid w:val="00FF57C2"/>
    <w:rsid w:val="00FF58AD"/>
    <w:rsid w:val="00FF58B4"/>
    <w:rsid w:val="00FF58DF"/>
    <w:rsid w:val="00FF5962"/>
    <w:rsid w:val="00FF59B6"/>
    <w:rsid w:val="00FF5A64"/>
    <w:rsid w:val="00FF5A91"/>
    <w:rsid w:val="00FF5AE9"/>
    <w:rsid w:val="00FF5B7A"/>
    <w:rsid w:val="00FF5B9E"/>
    <w:rsid w:val="00FF5C2B"/>
    <w:rsid w:val="00FF5C38"/>
    <w:rsid w:val="00FF5D79"/>
    <w:rsid w:val="00FF5DE8"/>
    <w:rsid w:val="00FF5E0F"/>
    <w:rsid w:val="00FF5F37"/>
    <w:rsid w:val="00FF5F7F"/>
    <w:rsid w:val="00FF5F9D"/>
    <w:rsid w:val="00FF5FE5"/>
    <w:rsid w:val="00FF6028"/>
    <w:rsid w:val="00FF60F6"/>
    <w:rsid w:val="00FF61B8"/>
    <w:rsid w:val="00FF62CB"/>
    <w:rsid w:val="00FF62F7"/>
    <w:rsid w:val="00FF63FF"/>
    <w:rsid w:val="00FF640F"/>
    <w:rsid w:val="00FF6421"/>
    <w:rsid w:val="00FF64B3"/>
    <w:rsid w:val="00FF6508"/>
    <w:rsid w:val="00FF653A"/>
    <w:rsid w:val="00FF6566"/>
    <w:rsid w:val="00FF6594"/>
    <w:rsid w:val="00FF6609"/>
    <w:rsid w:val="00FF6661"/>
    <w:rsid w:val="00FF66AB"/>
    <w:rsid w:val="00FF66B4"/>
    <w:rsid w:val="00FF68EE"/>
    <w:rsid w:val="00FF6907"/>
    <w:rsid w:val="00FF6926"/>
    <w:rsid w:val="00FF695C"/>
    <w:rsid w:val="00FF699A"/>
    <w:rsid w:val="00FF69E8"/>
    <w:rsid w:val="00FF69F0"/>
    <w:rsid w:val="00FF6A0A"/>
    <w:rsid w:val="00FF6BC1"/>
    <w:rsid w:val="00FF6C7C"/>
    <w:rsid w:val="00FF6CAA"/>
    <w:rsid w:val="00FF6CAD"/>
    <w:rsid w:val="00FF6CB6"/>
    <w:rsid w:val="00FF6CD1"/>
    <w:rsid w:val="00FF6D81"/>
    <w:rsid w:val="00FF6EC0"/>
    <w:rsid w:val="00FF6F87"/>
    <w:rsid w:val="00FF6FB8"/>
    <w:rsid w:val="00FF707C"/>
    <w:rsid w:val="00FF7091"/>
    <w:rsid w:val="00FF70AB"/>
    <w:rsid w:val="00FF728E"/>
    <w:rsid w:val="00FF72C9"/>
    <w:rsid w:val="00FF72DD"/>
    <w:rsid w:val="00FF72E6"/>
    <w:rsid w:val="00FF73A1"/>
    <w:rsid w:val="00FF7409"/>
    <w:rsid w:val="00FF7441"/>
    <w:rsid w:val="00FF7449"/>
    <w:rsid w:val="00FF747F"/>
    <w:rsid w:val="00FF7514"/>
    <w:rsid w:val="00FF7553"/>
    <w:rsid w:val="00FF75A8"/>
    <w:rsid w:val="00FF76B3"/>
    <w:rsid w:val="00FF76D4"/>
    <w:rsid w:val="00FF77FD"/>
    <w:rsid w:val="00FF782B"/>
    <w:rsid w:val="00FF7851"/>
    <w:rsid w:val="00FF7895"/>
    <w:rsid w:val="00FF78F1"/>
    <w:rsid w:val="00FF795F"/>
    <w:rsid w:val="00FF7962"/>
    <w:rsid w:val="00FF79BD"/>
    <w:rsid w:val="00FF7A11"/>
    <w:rsid w:val="00FF7A8B"/>
    <w:rsid w:val="00FF7B51"/>
    <w:rsid w:val="00FF7B78"/>
    <w:rsid w:val="00FF7C76"/>
    <w:rsid w:val="00FF7D05"/>
    <w:rsid w:val="00FF7D17"/>
    <w:rsid w:val="00FF7F33"/>
    <w:rsid w:val="00FF7F3B"/>
    <w:rsid w:val="00FF7FC8"/>
    <w:rsid w:val="010135AA"/>
    <w:rsid w:val="01063453"/>
    <w:rsid w:val="0107E6AB"/>
    <w:rsid w:val="0120FC62"/>
    <w:rsid w:val="01212795"/>
    <w:rsid w:val="012E1067"/>
    <w:rsid w:val="01303F50"/>
    <w:rsid w:val="0146F5EA"/>
    <w:rsid w:val="016F9BB8"/>
    <w:rsid w:val="017A2A68"/>
    <w:rsid w:val="017A747D"/>
    <w:rsid w:val="017CC93E"/>
    <w:rsid w:val="018066E1"/>
    <w:rsid w:val="01869398"/>
    <w:rsid w:val="0190D86A"/>
    <w:rsid w:val="019AA03A"/>
    <w:rsid w:val="01A196FE"/>
    <w:rsid w:val="01AAA24B"/>
    <w:rsid w:val="01B4A102"/>
    <w:rsid w:val="01B852E4"/>
    <w:rsid w:val="01DED030"/>
    <w:rsid w:val="01E1D152"/>
    <w:rsid w:val="01E1E83E"/>
    <w:rsid w:val="01E72396"/>
    <w:rsid w:val="01E7796F"/>
    <w:rsid w:val="0209C31E"/>
    <w:rsid w:val="020DCEA8"/>
    <w:rsid w:val="020E250D"/>
    <w:rsid w:val="020FBC9B"/>
    <w:rsid w:val="0215459A"/>
    <w:rsid w:val="021E74D4"/>
    <w:rsid w:val="02257EA2"/>
    <w:rsid w:val="024500B7"/>
    <w:rsid w:val="025CAC71"/>
    <w:rsid w:val="027E9EFE"/>
    <w:rsid w:val="027FBB24"/>
    <w:rsid w:val="0287DBF1"/>
    <w:rsid w:val="0287F461"/>
    <w:rsid w:val="028C5180"/>
    <w:rsid w:val="028D0AC6"/>
    <w:rsid w:val="02928641"/>
    <w:rsid w:val="029A0419"/>
    <w:rsid w:val="02BD146B"/>
    <w:rsid w:val="02C4BA31"/>
    <w:rsid w:val="02D281F7"/>
    <w:rsid w:val="02E19AB1"/>
    <w:rsid w:val="02F2DB34"/>
    <w:rsid w:val="02F30BA7"/>
    <w:rsid w:val="02FDC0BB"/>
    <w:rsid w:val="02FED5AD"/>
    <w:rsid w:val="03004F5B"/>
    <w:rsid w:val="0303BFA0"/>
    <w:rsid w:val="032458A0"/>
    <w:rsid w:val="032EB66B"/>
    <w:rsid w:val="0331AFC7"/>
    <w:rsid w:val="0331CA95"/>
    <w:rsid w:val="034B965D"/>
    <w:rsid w:val="036794BA"/>
    <w:rsid w:val="0373B23F"/>
    <w:rsid w:val="03801364"/>
    <w:rsid w:val="0382A7A7"/>
    <w:rsid w:val="0384ACFE"/>
    <w:rsid w:val="03857678"/>
    <w:rsid w:val="03857C39"/>
    <w:rsid w:val="038A3D39"/>
    <w:rsid w:val="038AFADD"/>
    <w:rsid w:val="038B4687"/>
    <w:rsid w:val="038D3323"/>
    <w:rsid w:val="0391BC99"/>
    <w:rsid w:val="03956E4C"/>
    <w:rsid w:val="0399AC89"/>
    <w:rsid w:val="03A176B7"/>
    <w:rsid w:val="03A85889"/>
    <w:rsid w:val="03AE894E"/>
    <w:rsid w:val="03B4A877"/>
    <w:rsid w:val="03C107A0"/>
    <w:rsid w:val="03C5A623"/>
    <w:rsid w:val="03D75D32"/>
    <w:rsid w:val="03E3DB6F"/>
    <w:rsid w:val="03FC3AE0"/>
    <w:rsid w:val="040267D9"/>
    <w:rsid w:val="04056DC4"/>
    <w:rsid w:val="0417C9D4"/>
    <w:rsid w:val="042342E9"/>
    <w:rsid w:val="04377CEA"/>
    <w:rsid w:val="04437D44"/>
    <w:rsid w:val="0452075F"/>
    <w:rsid w:val="0453DA61"/>
    <w:rsid w:val="04598F83"/>
    <w:rsid w:val="045D5A83"/>
    <w:rsid w:val="04624791"/>
    <w:rsid w:val="04731FF0"/>
    <w:rsid w:val="0478E9A9"/>
    <w:rsid w:val="0488C877"/>
    <w:rsid w:val="0494BCFB"/>
    <w:rsid w:val="0497BE47"/>
    <w:rsid w:val="049E8D1A"/>
    <w:rsid w:val="04AC4ECD"/>
    <w:rsid w:val="04B16F0F"/>
    <w:rsid w:val="04BC9439"/>
    <w:rsid w:val="04C499C3"/>
    <w:rsid w:val="04CC4FFF"/>
    <w:rsid w:val="04D3BF9D"/>
    <w:rsid w:val="04D4072B"/>
    <w:rsid w:val="04DBB2BC"/>
    <w:rsid w:val="04DFF6CC"/>
    <w:rsid w:val="04E99B48"/>
    <w:rsid w:val="050827EA"/>
    <w:rsid w:val="051034A4"/>
    <w:rsid w:val="0513231A"/>
    <w:rsid w:val="0528CD24"/>
    <w:rsid w:val="052ED948"/>
    <w:rsid w:val="0532FAA3"/>
    <w:rsid w:val="055602E0"/>
    <w:rsid w:val="0565397D"/>
    <w:rsid w:val="056F053B"/>
    <w:rsid w:val="0571316C"/>
    <w:rsid w:val="057BE2C3"/>
    <w:rsid w:val="058AAAFD"/>
    <w:rsid w:val="058CBB81"/>
    <w:rsid w:val="05A1C9B1"/>
    <w:rsid w:val="05A548DD"/>
    <w:rsid w:val="05A5659F"/>
    <w:rsid w:val="05AE3510"/>
    <w:rsid w:val="05B0DAF1"/>
    <w:rsid w:val="05B6BCAA"/>
    <w:rsid w:val="05BBADA4"/>
    <w:rsid w:val="05D52876"/>
    <w:rsid w:val="05D9BF91"/>
    <w:rsid w:val="05DB0F2B"/>
    <w:rsid w:val="05DD9F83"/>
    <w:rsid w:val="05E2177A"/>
    <w:rsid w:val="05FA48EB"/>
    <w:rsid w:val="061A366F"/>
    <w:rsid w:val="0620E0D0"/>
    <w:rsid w:val="063DCBFA"/>
    <w:rsid w:val="063FEA51"/>
    <w:rsid w:val="0640A94F"/>
    <w:rsid w:val="0657E1B6"/>
    <w:rsid w:val="0665BD97"/>
    <w:rsid w:val="068F6D54"/>
    <w:rsid w:val="068FC246"/>
    <w:rsid w:val="0691B33D"/>
    <w:rsid w:val="06992876"/>
    <w:rsid w:val="06A10A10"/>
    <w:rsid w:val="06A89237"/>
    <w:rsid w:val="06AA7C06"/>
    <w:rsid w:val="06AB9D61"/>
    <w:rsid w:val="06BAFCA0"/>
    <w:rsid w:val="06C3D437"/>
    <w:rsid w:val="06D435B4"/>
    <w:rsid w:val="06DD3D62"/>
    <w:rsid w:val="06DD967B"/>
    <w:rsid w:val="06E7EEA8"/>
    <w:rsid w:val="06EC1CF6"/>
    <w:rsid w:val="06F69F0B"/>
    <w:rsid w:val="06F7AE58"/>
    <w:rsid w:val="0704D69E"/>
    <w:rsid w:val="0712A145"/>
    <w:rsid w:val="0713CB2B"/>
    <w:rsid w:val="07261BED"/>
    <w:rsid w:val="072B8F7C"/>
    <w:rsid w:val="072F34A1"/>
    <w:rsid w:val="073E168F"/>
    <w:rsid w:val="07482257"/>
    <w:rsid w:val="0748DFCD"/>
    <w:rsid w:val="075233F4"/>
    <w:rsid w:val="0755F54F"/>
    <w:rsid w:val="076F1DAC"/>
    <w:rsid w:val="0776D959"/>
    <w:rsid w:val="0777338B"/>
    <w:rsid w:val="07855097"/>
    <w:rsid w:val="0786D6B9"/>
    <w:rsid w:val="07ABA946"/>
    <w:rsid w:val="07BC671F"/>
    <w:rsid w:val="07D2C9E4"/>
    <w:rsid w:val="07DF3236"/>
    <w:rsid w:val="07EE41FE"/>
    <w:rsid w:val="07F12220"/>
    <w:rsid w:val="07FBC3D0"/>
    <w:rsid w:val="0808948A"/>
    <w:rsid w:val="08098845"/>
    <w:rsid w:val="0827CFCB"/>
    <w:rsid w:val="0828DD6C"/>
    <w:rsid w:val="0839F026"/>
    <w:rsid w:val="084CFEC9"/>
    <w:rsid w:val="084D7B5C"/>
    <w:rsid w:val="0852D711"/>
    <w:rsid w:val="085D1942"/>
    <w:rsid w:val="088697F3"/>
    <w:rsid w:val="08936510"/>
    <w:rsid w:val="089DE925"/>
    <w:rsid w:val="08BA05D2"/>
    <w:rsid w:val="08BF216D"/>
    <w:rsid w:val="08C479E4"/>
    <w:rsid w:val="08CCB60B"/>
    <w:rsid w:val="08CDD4F4"/>
    <w:rsid w:val="08DDACC7"/>
    <w:rsid w:val="08F2484D"/>
    <w:rsid w:val="08F5BDAB"/>
    <w:rsid w:val="08FF0D40"/>
    <w:rsid w:val="0900AF51"/>
    <w:rsid w:val="0913C1DE"/>
    <w:rsid w:val="0914A6DC"/>
    <w:rsid w:val="0930EDD1"/>
    <w:rsid w:val="09473424"/>
    <w:rsid w:val="09481A3F"/>
    <w:rsid w:val="094BA7A7"/>
    <w:rsid w:val="09504AAF"/>
    <w:rsid w:val="0962E0D1"/>
    <w:rsid w:val="09644354"/>
    <w:rsid w:val="09658F70"/>
    <w:rsid w:val="096C892B"/>
    <w:rsid w:val="097D7CA9"/>
    <w:rsid w:val="0981D84E"/>
    <w:rsid w:val="09A58868"/>
    <w:rsid w:val="09A5E862"/>
    <w:rsid w:val="09AF6161"/>
    <w:rsid w:val="09D39BAF"/>
    <w:rsid w:val="09D5E26F"/>
    <w:rsid w:val="09D8D0DA"/>
    <w:rsid w:val="09DAE79C"/>
    <w:rsid w:val="09FA4EF1"/>
    <w:rsid w:val="0A0D9CDF"/>
    <w:rsid w:val="0A216622"/>
    <w:rsid w:val="0A299BCA"/>
    <w:rsid w:val="0A2EE7B5"/>
    <w:rsid w:val="0A36F999"/>
    <w:rsid w:val="0A3B2C4D"/>
    <w:rsid w:val="0A449941"/>
    <w:rsid w:val="0A4CC476"/>
    <w:rsid w:val="0A52AE3E"/>
    <w:rsid w:val="0A52C973"/>
    <w:rsid w:val="0A5906D9"/>
    <w:rsid w:val="0A872025"/>
    <w:rsid w:val="0A97A052"/>
    <w:rsid w:val="0AA42DFA"/>
    <w:rsid w:val="0AA6BE6E"/>
    <w:rsid w:val="0AABA748"/>
    <w:rsid w:val="0AAE80F0"/>
    <w:rsid w:val="0AB918A7"/>
    <w:rsid w:val="0ABF1400"/>
    <w:rsid w:val="0ACFFA38"/>
    <w:rsid w:val="0AD8F793"/>
    <w:rsid w:val="0AD929EB"/>
    <w:rsid w:val="0AE36684"/>
    <w:rsid w:val="0AE62A44"/>
    <w:rsid w:val="0AE6E434"/>
    <w:rsid w:val="0AF2A91D"/>
    <w:rsid w:val="0AFE47B4"/>
    <w:rsid w:val="0B0478DE"/>
    <w:rsid w:val="0B155A8A"/>
    <w:rsid w:val="0B18D6C4"/>
    <w:rsid w:val="0B1B7D09"/>
    <w:rsid w:val="0B1C7881"/>
    <w:rsid w:val="0B1EDA54"/>
    <w:rsid w:val="0B285D73"/>
    <w:rsid w:val="0B2A7A54"/>
    <w:rsid w:val="0B2E2EEA"/>
    <w:rsid w:val="0B30C949"/>
    <w:rsid w:val="0B364858"/>
    <w:rsid w:val="0B493CFC"/>
    <w:rsid w:val="0B56AEA5"/>
    <w:rsid w:val="0B7E5CFC"/>
    <w:rsid w:val="0B7FBB9B"/>
    <w:rsid w:val="0B892E83"/>
    <w:rsid w:val="0B9EA101"/>
    <w:rsid w:val="0BA9AF21"/>
    <w:rsid w:val="0BB96EF5"/>
    <w:rsid w:val="0BBB9C25"/>
    <w:rsid w:val="0BCC2DCD"/>
    <w:rsid w:val="0BD068DF"/>
    <w:rsid w:val="0BD750B5"/>
    <w:rsid w:val="0BD87FA5"/>
    <w:rsid w:val="0BE5C46C"/>
    <w:rsid w:val="0BECD3D2"/>
    <w:rsid w:val="0BEEC8D5"/>
    <w:rsid w:val="0BF0B903"/>
    <w:rsid w:val="0BF320FE"/>
    <w:rsid w:val="0BFB2ED0"/>
    <w:rsid w:val="0C1C47A4"/>
    <w:rsid w:val="0C249C2F"/>
    <w:rsid w:val="0C2F44C6"/>
    <w:rsid w:val="0C38A842"/>
    <w:rsid w:val="0C396D73"/>
    <w:rsid w:val="0C3D6023"/>
    <w:rsid w:val="0C3E2115"/>
    <w:rsid w:val="0C696D00"/>
    <w:rsid w:val="0C70853E"/>
    <w:rsid w:val="0C76E47A"/>
    <w:rsid w:val="0C85AE2A"/>
    <w:rsid w:val="0C885DF3"/>
    <w:rsid w:val="0CA3236F"/>
    <w:rsid w:val="0CB4B030"/>
    <w:rsid w:val="0CD7FCED"/>
    <w:rsid w:val="0CE4D714"/>
    <w:rsid w:val="0CEC5988"/>
    <w:rsid w:val="0CEF419D"/>
    <w:rsid w:val="0CF8F4D9"/>
    <w:rsid w:val="0D012CA5"/>
    <w:rsid w:val="0D1020CD"/>
    <w:rsid w:val="0D27793C"/>
    <w:rsid w:val="0D376ADE"/>
    <w:rsid w:val="0D378784"/>
    <w:rsid w:val="0D3E8C83"/>
    <w:rsid w:val="0D3FF545"/>
    <w:rsid w:val="0D43011F"/>
    <w:rsid w:val="0D4DA483"/>
    <w:rsid w:val="0D4E36ED"/>
    <w:rsid w:val="0D5922D1"/>
    <w:rsid w:val="0D5BB9E6"/>
    <w:rsid w:val="0D5D6B84"/>
    <w:rsid w:val="0D5E5A6A"/>
    <w:rsid w:val="0D615542"/>
    <w:rsid w:val="0D71A356"/>
    <w:rsid w:val="0D7720A8"/>
    <w:rsid w:val="0D7CD86E"/>
    <w:rsid w:val="0D800A8A"/>
    <w:rsid w:val="0D815D65"/>
    <w:rsid w:val="0D836C68"/>
    <w:rsid w:val="0D8AF345"/>
    <w:rsid w:val="0D908031"/>
    <w:rsid w:val="0D987B73"/>
    <w:rsid w:val="0DA2ABA1"/>
    <w:rsid w:val="0DAE180B"/>
    <w:rsid w:val="0DB970B8"/>
    <w:rsid w:val="0DBF1107"/>
    <w:rsid w:val="0DC0BEB0"/>
    <w:rsid w:val="0DC4F2CC"/>
    <w:rsid w:val="0DD5F82A"/>
    <w:rsid w:val="0DDC47C1"/>
    <w:rsid w:val="0DE01AE1"/>
    <w:rsid w:val="0DEBEA48"/>
    <w:rsid w:val="0DEE26F1"/>
    <w:rsid w:val="0DEF2B1F"/>
    <w:rsid w:val="0DF205D3"/>
    <w:rsid w:val="0E047DC2"/>
    <w:rsid w:val="0E0A23F0"/>
    <w:rsid w:val="0E0D1CD8"/>
    <w:rsid w:val="0E0F43E8"/>
    <w:rsid w:val="0E129DE7"/>
    <w:rsid w:val="0E171CA5"/>
    <w:rsid w:val="0E197E42"/>
    <w:rsid w:val="0E24004E"/>
    <w:rsid w:val="0E345A78"/>
    <w:rsid w:val="0E5BBCAC"/>
    <w:rsid w:val="0E60AEF9"/>
    <w:rsid w:val="0E69A8EE"/>
    <w:rsid w:val="0E778CBE"/>
    <w:rsid w:val="0E8B3D3B"/>
    <w:rsid w:val="0E925177"/>
    <w:rsid w:val="0E9F069F"/>
    <w:rsid w:val="0EA4DDCA"/>
    <w:rsid w:val="0EC4A756"/>
    <w:rsid w:val="0EC4E472"/>
    <w:rsid w:val="0EC6E35E"/>
    <w:rsid w:val="0ECC6D7D"/>
    <w:rsid w:val="0EDA3CC3"/>
    <w:rsid w:val="0EF93BE5"/>
    <w:rsid w:val="0EFAE77F"/>
    <w:rsid w:val="0EFD99FA"/>
    <w:rsid w:val="0F0DC70B"/>
    <w:rsid w:val="0F180A64"/>
    <w:rsid w:val="0F2AB198"/>
    <w:rsid w:val="0F3B1384"/>
    <w:rsid w:val="0F3C88CF"/>
    <w:rsid w:val="0F46B585"/>
    <w:rsid w:val="0F4C3DBD"/>
    <w:rsid w:val="0F4C949B"/>
    <w:rsid w:val="0F4D34CB"/>
    <w:rsid w:val="0F56CDD2"/>
    <w:rsid w:val="0F5FCFA8"/>
    <w:rsid w:val="0F63160C"/>
    <w:rsid w:val="0F688507"/>
    <w:rsid w:val="0F694D76"/>
    <w:rsid w:val="0F70E499"/>
    <w:rsid w:val="0F7E7D70"/>
    <w:rsid w:val="0F850901"/>
    <w:rsid w:val="0F93450E"/>
    <w:rsid w:val="0FA05159"/>
    <w:rsid w:val="0FB7D3C6"/>
    <w:rsid w:val="0FBB3AF7"/>
    <w:rsid w:val="0FC292A2"/>
    <w:rsid w:val="0FCAF54A"/>
    <w:rsid w:val="0FCD7E16"/>
    <w:rsid w:val="0FCE60DA"/>
    <w:rsid w:val="0FD08151"/>
    <w:rsid w:val="0FDC6F07"/>
    <w:rsid w:val="0FE702AC"/>
    <w:rsid w:val="0FEC83C3"/>
    <w:rsid w:val="0FF7AB49"/>
    <w:rsid w:val="10020716"/>
    <w:rsid w:val="10044FDD"/>
    <w:rsid w:val="1008BAA4"/>
    <w:rsid w:val="100B2880"/>
    <w:rsid w:val="10165911"/>
    <w:rsid w:val="102A58AE"/>
    <w:rsid w:val="102A86A3"/>
    <w:rsid w:val="102A87E8"/>
    <w:rsid w:val="10481397"/>
    <w:rsid w:val="104AADD1"/>
    <w:rsid w:val="105779D7"/>
    <w:rsid w:val="1058733F"/>
    <w:rsid w:val="105DE59C"/>
    <w:rsid w:val="106232B6"/>
    <w:rsid w:val="10747E49"/>
    <w:rsid w:val="1077CF13"/>
    <w:rsid w:val="1083203F"/>
    <w:rsid w:val="108C765D"/>
    <w:rsid w:val="109163E4"/>
    <w:rsid w:val="109664B9"/>
    <w:rsid w:val="10A16817"/>
    <w:rsid w:val="10A2A403"/>
    <w:rsid w:val="10A95152"/>
    <w:rsid w:val="10AC8938"/>
    <w:rsid w:val="10C3E738"/>
    <w:rsid w:val="10CF9C58"/>
    <w:rsid w:val="10D75405"/>
    <w:rsid w:val="10D9C32B"/>
    <w:rsid w:val="10E26C6A"/>
    <w:rsid w:val="10E27675"/>
    <w:rsid w:val="10E3985E"/>
    <w:rsid w:val="1100D91F"/>
    <w:rsid w:val="110446BC"/>
    <w:rsid w:val="1105892D"/>
    <w:rsid w:val="1110ED9C"/>
    <w:rsid w:val="11372629"/>
    <w:rsid w:val="113AE16C"/>
    <w:rsid w:val="114225BE"/>
    <w:rsid w:val="11450879"/>
    <w:rsid w:val="1149A362"/>
    <w:rsid w:val="114CA626"/>
    <w:rsid w:val="1150C3B1"/>
    <w:rsid w:val="115BAB56"/>
    <w:rsid w:val="116A7A37"/>
    <w:rsid w:val="11731AE0"/>
    <w:rsid w:val="11885FC5"/>
    <w:rsid w:val="1189CF45"/>
    <w:rsid w:val="118A182E"/>
    <w:rsid w:val="11945399"/>
    <w:rsid w:val="119A5A7D"/>
    <w:rsid w:val="11A09187"/>
    <w:rsid w:val="11A5CB21"/>
    <w:rsid w:val="11AA2362"/>
    <w:rsid w:val="11B0B08A"/>
    <w:rsid w:val="11D6ACCD"/>
    <w:rsid w:val="11D703B2"/>
    <w:rsid w:val="11E0A6F8"/>
    <w:rsid w:val="11ED8254"/>
    <w:rsid w:val="1228805B"/>
    <w:rsid w:val="123731E2"/>
    <w:rsid w:val="12452CE1"/>
    <w:rsid w:val="1262EA09"/>
    <w:rsid w:val="1275EA75"/>
    <w:rsid w:val="128608AD"/>
    <w:rsid w:val="12926A55"/>
    <w:rsid w:val="1297525B"/>
    <w:rsid w:val="129F96FF"/>
    <w:rsid w:val="12AEAA31"/>
    <w:rsid w:val="12B24301"/>
    <w:rsid w:val="12B5C657"/>
    <w:rsid w:val="12BEBF07"/>
    <w:rsid w:val="12C1DD8C"/>
    <w:rsid w:val="12CBC441"/>
    <w:rsid w:val="12D09642"/>
    <w:rsid w:val="12DF9EF0"/>
    <w:rsid w:val="12F2106D"/>
    <w:rsid w:val="12F218DD"/>
    <w:rsid w:val="12FAE02F"/>
    <w:rsid w:val="131D553F"/>
    <w:rsid w:val="1320B5ED"/>
    <w:rsid w:val="133ED787"/>
    <w:rsid w:val="134E9E94"/>
    <w:rsid w:val="134FC67E"/>
    <w:rsid w:val="13564F8E"/>
    <w:rsid w:val="135F28BA"/>
    <w:rsid w:val="136FBC00"/>
    <w:rsid w:val="1376371B"/>
    <w:rsid w:val="13804BD1"/>
    <w:rsid w:val="1382B98B"/>
    <w:rsid w:val="13894D14"/>
    <w:rsid w:val="138C6AE9"/>
    <w:rsid w:val="13913F8D"/>
    <w:rsid w:val="13948073"/>
    <w:rsid w:val="1399CA8F"/>
    <w:rsid w:val="139FB77D"/>
    <w:rsid w:val="13A303E7"/>
    <w:rsid w:val="13B1ACED"/>
    <w:rsid w:val="13BAB3DA"/>
    <w:rsid w:val="13C56751"/>
    <w:rsid w:val="13D17BDA"/>
    <w:rsid w:val="13DD4E06"/>
    <w:rsid w:val="13E070D7"/>
    <w:rsid w:val="13E08AF2"/>
    <w:rsid w:val="13E7D7E8"/>
    <w:rsid w:val="13F9A7BC"/>
    <w:rsid w:val="1406A010"/>
    <w:rsid w:val="14089459"/>
    <w:rsid w:val="14114043"/>
    <w:rsid w:val="1418BDA1"/>
    <w:rsid w:val="1418D90D"/>
    <w:rsid w:val="141BEA98"/>
    <w:rsid w:val="1420F6A4"/>
    <w:rsid w:val="1425165A"/>
    <w:rsid w:val="1427C2D1"/>
    <w:rsid w:val="1433A7C5"/>
    <w:rsid w:val="1438EAC5"/>
    <w:rsid w:val="144B8E2E"/>
    <w:rsid w:val="1451C80B"/>
    <w:rsid w:val="14533579"/>
    <w:rsid w:val="14571278"/>
    <w:rsid w:val="145C9A6A"/>
    <w:rsid w:val="145F0666"/>
    <w:rsid w:val="14934BF0"/>
    <w:rsid w:val="1494998C"/>
    <w:rsid w:val="14957D8B"/>
    <w:rsid w:val="1496ECE4"/>
    <w:rsid w:val="14A1AD16"/>
    <w:rsid w:val="14A21F2F"/>
    <w:rsid w:val="14A590A3"/>
    <w:rsid w:val="14A60596"/>
    <w:rsid w:val="14B13BBD"/>
    <w:rsid w:val="14C25DCE"/>
    <w:rsid w:val="14C776B9"/>
    <w:rsid w:val="14CDB7B5"/>
    <w:rsid w:val="14E00B51"/>
    <w:rsid w:val="14EB729E"/>
    <w:rsid w:val="14EEBF08"/>
    <w:rsid w:val="14F5DE2E"/>
    <w:rsid w:val="14FF6F16"/>
    <w:rsid w:val="15002FFA"/>
    <w:rsid w:val="1502A329"/>
    <w:rsid w:val="150781C3"/>
    <w:rsid w:val="150F9DB0"/>
    <w:rsid w:val="151E81CD"/>
    <w:rsid w:val="1527129E"/>
    <w:rsid w:val="152B969B"/>
    <w:rsid w:val="153A3B9F"/>
    <w:rsid w:val="1541C368"/>
    <w:rsid w:val="15535C6B"/>
    <w:rsid w:val="1553ED68"/>
    <w:rsid w:val="156D6265"/>
    <w:rsid w:val="157F922E"/>
    <w:rsid w:val="158CD857"/>
    <w:rsid w:val="15BD9553"/>
    <w:rsid w:val="15CFDA3F"/>
    <w:rsid w:val="15D30DDB"/>
    <w:rsid w:val="15D7BE66"/>
    <w:rsid w:val="15E35624"/>
    <w:rsid w:val="15E91591"/>
    <w:rsid w:val="15E9A6B7"/>
    <w:rsid w:val="15F277B7"/>
    <w:rsid w:val="15F4831F"/>
    <w:rsid w:val="15FCCBAE"/>
    <w:rsid w:val="161571AF"/>
    <w:rsid w:val="162A0B5E"/>
    <w:rsid w:val="1631E998"/>
    <w:rsid w:val="1634A4F5"/>
    <w:rsid w:val="164330F1"/>
    <w:rsid w:val="164AFBE3"/>
    <w:rsid w:val="1650925D"/>
    <w:rsid w:val="165E94EE"/>
    <w:rsid w:val="1661D9DE"/>
    <w:rsid w:val="166DAFFF"/>
    <w:rsid w:val="16746A74"/>
    <w:rsid w:val="1678C9B4"/>
    <w:rsid w:val="1692E398"/>
    <w:rsid w:val="1695AE6F"/>
    <w:rsid w:val="16A6CA10"/>
    <w:rsid w:val="16C4F5EE"/>
    <w:rsid w:val="16DC44DF"/>
    <w:rsid w:val="16E07E97"/>
    <w:rsid w:val="16F838FD"/>
    <w:rsid w:val="16FA0F75"/>
    <w:rsid w:val="170269CF"/>
    <w:rsid w:val="170E0BD4"/>
    <w:rsid w:val="1713330A"/>
    <w:rsid w:val="17195AA4"/>
    <w:rsid w:val="171F976B"/>
    <w:rsid w:val="1721F932"/>
    <w:rsid w:val="1722885A"/>
    <w:rsid w:val="1723496E"/>
    <w:rsid w:val="1728A20C"/>
    <w:rsid w:val="172D05D4"/>
    <w:rsid w:val="17320405"/>
    <w:rsid w:val="174A05B4"/>
    <w:rsid w:val="176E788E"/>
    <w:rsid w:val="177DE764"/>
    <w:rsid w:val="1783928B"/>
    <w:rsid w:val="1790241F"/>
    <w:rsid w:val="17903145"/>
    <w:rsid w:val="1796F3C8"/>
    <w:rsid w:val="179C26EB"/>
    <w:rsid w:val="179E0583"/>
    <w:rsid w:val="17BA3A6A"/>
    <w:rsid w:val="17C02EB7"/>
    <w:rsid w:val="17C65011"/>
    <w:rsid w:val="17EE1305"/>
    <w:rsid w:val="17F02191"/>
    <w:rsid w:val="17F4049F"/>
    <w:rsid w:val="17FEFD92"/>
    <w:rsid w:val="181BA73B"/>
    <w:rsid w:val="182A3052"/>
    <w:rsid w:val="1835F0DF"/>
    <w:rsid w:val="184151A5"/>
    <w:rsid w:val="184BAB92"/>
    <w:rsid w:val="184D9F0B"/>
    <w:rsid w:val="1853257C"/>
    <w:rsid w:val="1853DE99"/>
    <w:rsid w:val="185E83DC"/>
    <w:rsid w:val="186BF033"/>
    <w:rsid w:val="18711336"/>
    <w:rsid w:val="187A52B2"/>
    <w:rsid w:val="187B2BA0"/>
    <w:rsid w:val="187FC92D"/>
    <w:rsid w:val="18862692"/>
    <w:rsid w:val="188ACB2E"/>
    <w:rsid w:val="189BFB82"/>
    <w:rsid w:val="189C8717"/>
    <w:rsid w:val="18B5F447"/>
    <w:rsid w:val="18B86E34"/>
    <w:rsid w:val="18C8B7A3"/>
    <w:rsid w:val="18D2AD6B"/>
    <w:rsid w:val="18DF5EA3"/>
    <w:rsid w:val="18DF8CED"/>
    <w:rsid w:val="18F67F7B"/>
    <w:rsid w:val="18FB94F5"/>
    <w:rsid w:val="1907BFBB"/>
    <w:rsid w:val="1914E3F1"/>
    <w:rsid w:val="191AE70C"/>
    <w:rsid w:val="191EE85D"/>
    <w:rsid w:val="19333A58"/>
    <w:rsid w:val="193E9509"/>
    <w:rsid w:val="19488BE0"/>
    <w:rsid w:val="19492076"/>
    <w:rsid w:val="19543096"/>
    <w:rsid w:val="195CDC47"/>
    <w:rsid w:val="195CE6EB"/>
    <w:rsid w:val="19603361"/>
    <w:rsid w:val="1964F7CE"/>
    <w:rsid w:val="1966CC38"/>
    <w:rsid w:val="196B7482"/>
    <w:rsid w:val="197A4982"/>
    <w:rsid w:val="1990FDBB"/>
    <w:rsid w:val="199EF82B"/>
    <w:rsid w:val="19A3C79F"/>
    <w:rsid w:val="19A57DFB"/>
    <w:rsid w:val="19AACD81"/>
    <w:rsid w:val="19C30FD9"/>
    <w:rsid w:val="19E9473D"/>
    <w:rsid w:val="1A07D832"/>
    <w:rsid w:val="1A09E510"/>
    <w:rsid w:val="1A0E4770"/>
    <w:rsid w:val="1A1039C8"/>
    <w:rsid w:val="1A1823A6"/>
    <w:rsid w:val="1A25B0D6"/>
    <w:rsid w:val="1A302FB0"/>
    <w:rsid w:val="1A333BEE"/>
    <w:rsid w:val="1A67603B"/>
    <w:rsid w:val="1A6A7EE7"/>
    <w:rsid w:val="1A71BCD1"/>
    <w:rsid w:val="1A813CE9"/>
    <w:rsid w:val="1A8A8434"/>
    <w:rsid w:val="1A913688"/>
    <w:rsid w:val="1A98A357"/>
    <w:rsid w:val="1A9C64C8"/>
    <w:rsid w:val="1A9D6EA6"/>
    <w:rsid w:val="1AA6058B"/>
    <w:rsid w:val="1AAD8E9E"/>
    <w:rsid w:val="1AAE70AA"/>
    <w:rsid w:val="1AC78709"/>
    <w:rsid w:val="1AD048E4"/>
    <w:rsid w:val="1AD1B523"/>
    <w:rsid w:val="1AD9A29E"/>
    <w:rsid w:val="1AEAFF3A"/>
    <w:rsid w:val="1AEFD43C"/>
    <w:rsid w:val="1AF1F7D2"/>
    <w:rsid w:val="1AFADBC3"/>
    <w:rsid w:val="1B05124A"/>
    <w:rsid w:val="1B0E020E"/>
    <w:rsid w:val="1B139B4B"/>
    <w:rsid w:val="1B183CBA"/>
    <w:rsid w:val="1B2B45CC"/>
    <w:rsid w:val="1B338597"/>
    <w:rsid w:val="1B3A0AB8"/>
    <w:rsid w:val="1B3AF320"/>
    <w:rsid w:val="1B41E44D"/>
    <w:rsid w:val="1B470E3B"/>
    <w:rsid w:val="1B66ED6C"/>
    <w:rsid w:val="1B6C2649"/>
    <w:rsid w:val="1B6DE7D3"/>
    <w:rsid w:val="1B70ECAC"/>
    <w:rsid w:val="1B71DAAC"/>
    <w:rsid w:val="1B77B0DB"/>
    <w:rsid w:val="1B787E35"/>
    <w:rsid w:val="1B78F8EE"/>
    <w:rsid w:val="1B7FD62C"/>
    <w:rsid w:val="1B83A5D1"/>
    <w:rsid w:val="1B850E1F"/>
    <w:rsid w:val="1B8CC62C"/>
    <w:rsid w:val="1B8D604E"/>
    <w:rsid w:val="1B9519DE"/>
    <w:rsid w:val="1B97CC9C"/>
    <w:rsid w:val="1BC14BDE"/>
    <w:rsid w:val="1BC6A079"/>
    <w:rsid w:val="1BD71107"/>
    <w:rsid w:val="1BE3A8EF"/>
    <w:rsid w:val="1BFA8EF2"/>
    <w:rsid w:val="1C018808"/>
    <w:rsid w:val="1C0E808E"/>
    <w:rsid w:val="1C1FC23C"/>
    <w:rsid w:val="1C2160DA"/>
    <w:rsid w:val="1C2ED204"/>
    <w:rsid w:val="1C2FC52E"/>
    <w:rsid w:val="1C35B8BA"/>
    <w:rsid w:val="1C3D3AE6"/>
    <w:rsid w:val="1C4843B1"/>
    <w:rsid w:val="1C557477"/>
    <w:rsid w:val="1C5E1277"/>
    <w:rsid w:val="1C67D30B"/>
    <w:rsid w:val="1C6DBCA6"/>
    <w:rsid w:val="1C6F356C"/>
    <w:rsid w:val="1C793DF5"/>
    <w:rsid w:val="1C91C2B5"/>
    <w:rsid w:val="1C94E518"/>
    <w:rsid w:val="1C95DBFC"/>
    <w:rsid w:val="1C981415"/>
    <w:rsid w:val="1C99EAD4"/>
    <w:rsid w:val="1C9E0A82"/>
    <w:rsid w:val="1CA05C5F"/>
    <w:rsid w:val="1CA398EF"/>
    <w:rsid w:val="1CAB6057"/>
    <w:rsid w:val="1CAF4401"/>
    <w:rsid w:val="1CB4501B"/>
    <w:rsid w:val="1CC180C2"/>
    <w:rsid w:val="1CC3CB61"/>
    <w:rsid w:val="1CCAC01C"/>
    <w:rsid w:val="1CCAF0AC"/>
    <w:rsid w:val="1CCBA5DA"/>
    <w:rsid w:val="1CCBCBB4"/>
    <w:rsid w:val="1CCD13FF"/>
    <w:rsid w:val="1CD81346"/>
    <w:rsid w:val="1CEC8AC8"/>
    <w:rsid w:val="1CEE54BA"/>
    <w:rsid w:val="1CF1C4F7"/>
    <w:rsid w:val="1CF4A6E3"/>
    <w:rsid w:val="1D15749A"/>
    <w:rsid w:val="1D1D94AB"/>
    <w:rsid w:val="1D2020AC"/>
    <w:rsid w:val="1D2FDF52"/>
    <w:rsid w:val="1D336B27"/>
    <w:rsid w:val="1D37929A"/>
    <w:rsid w:val="1D3CD51E"/>
    <w:rsid w:val="1D3F28A5"/>
    <w:rsid w:val="1D4444DD"/>
    <w:rsid w:val="1D462E71"/>
    <w:rsid w:val="1D53737E"/>
    <w:rsid w:val="1D5BBE68"/>
    <w:rsid w:val="1D624ABC"/>
    <w:rsid w:val="1D6BDE56"/>
    <w:rsid w:val="1D7645FF"/>
    <w:rsid w:val="1D77AFFA"/>
    <w:rsid w:val="1D7DF1BC"/>
    <w:rsid w:val="1D832254"/>
    <w:rsid w:val="1D832A8E"/>
    <w:rsid w:val="1D84820B"/>
    <w:rsid w:val="1D88DA9A"/>
    <w:rsid w:val="1D8E08AA"/>
    <w:rsid w:val="1D8FA93A"/>
    <w:rsid w:val="1D9E21B7"/>
    <w:rsid w:val="1DAD51F3"/>
    <w:rsid w:val="1DAD61D9"/>
    <w:rsid w:val="1DAFF608"/>
    <w:rsid w:val="1DBB062C"/>
    <w:rsid w:val="1DC45F56"/>
    <w:rsid w:val="1DD02773"/>
    <w:rsid w:val="1DD56E1D"/>
    <w:rsid w:val="1DDA17CF"/>
    <w:rsid w:val="1DE223EA"/>
    <w:rsid w:val="1DE96525"/>
    <w:rsid w:val="1DEBC3B0"/>
    <w:rsid w:val="1DEBDBBE"/>
    <w:rsid w:val="1DF21DD6"/>
    <w:rsid w:val="1DFA9CC6"/>
    <w:rsid w:val="1E0B86D3"/>
    <w:rsid w:val="1E1B61D3"/>
    <w:rsid w:val="1E22E294"/>
    <w:rsid w:val="1E2696A2"/>
    <w:rsid w:val="1E33BDAD"/>
    <w:rsid w:val="1E450219"/>
    <w:rsid w:val="1E532885"/>
    <w:rsid w:val="1E5354B7"/>
    <w:rsid w:val="1E56176A"/>
    <w:rsid w:val="1E5F85B1"/>
    <w:rsid w:val="1E61BE3B"/>
    <w:rsid w:val="1E7D59A7"/>
    <w:rsid w:val="1E97F8D3"/>
    <w:rsid w:val="1E990D57"/>
    <w:rsid w:val="1E9A5080"/>
    <w:rsid w:val="1E9DF280"/>
    <w:rsid w:val="1EA3DDDE"/>
    <w:rsid w:val="1EB6972C"/>
    <w:rsid w:val="1EBE0B03"/>
    <w:rsid w:val="1EBEA235"/>
    <w:rsid w:val="1EC10E53"/>
    <w:rsid w:val="1EDE271B"/>
    <w:rsid w:val="1EF3F1E4"/>
    <w:rsid w:val="1EFF1878"/>
    <w:rsid w:val="1F0069EC"/>
    <w:rsid w:val="1F01AE0C"/>
    <w:rsid w:val="1F20DAA9"/>
    <w:rsid w:val="1F2A2E05"/>
    <w:rsid w:val="1F3831AA"/>
    <w:rsid w:val="1F39D684"/>
    <w:rsid w:val="1F3B311A"/>
    <w:rsid w:val="1F3BFF34"/>
    <w:rsid w:val="1F3C5A63"/>
    <w:rsid w:val="1F45E942"/>
    <w:rsid w:val="1F4A8283"/>
    <w:rsid w:val="1F4D9A82"/>
    <w:rsid w:val="1F55E1E2"/>
    <w:rsid w:val="1F5E6E6B"/>
    <w:rsid w:val="1F6675C3"/>
    <w:rsid w:val="1F71F49E"/>
    <w:rsid w:val="1F74096E"/>
    <w:rsid w:val="1F810152"/>
    <w:rsid w:val="1F870F65"/>
    <w:rsid w:val="1F8A31C5"/>
    <w:rsid w:val="1FA0225B"/>
    <w:rsid w:val="1FA8E8CD"/>
    <w:rsid w:val="1FB8EAE1"/>
    <w:rsid w:val="1FBEACBD"/>
    <w:rsid w:val="1FC570E8"/>
    <w:rsid w:val="1FD0E087"/>
    <w:rsid w:val="1FE6E082"/>
    <w:rsid w:val="1FEA6322"/>
    <w:rsid w:val="1FF41343"/>
    <w:rsid w:val="1FFEB5EC"/>
    <w:rsid w:val="1FFF1D5F"/>
    <w:rsid w:val="2017F85A"/>
    <w:rsid w:val="201D26AF"/>
    <w:rsid w:val="202E89EC"/>
    <w:rsid w:val="20303A29"/>
    <w:rsid w:val="2035774D"/>
    <w:rsid w:val="2044F3AF"/>
    <w:rsid w:val="205AE20F"/>
    <w:rsid w:val="205D006B"/>
    <w:rsid w:val="20685DD0"/>
    <w:rsid w:val="206C6EE4"/>
    <w:rsid w:val="207E27DD"/>
    <w:rsid w:val="2080794A"/>
    <w:rsid w:val="208AF85C"/>
    <w:rsid w:val="209725FD"/>
    <w:rsid w:val="20987FCC"/>
    <w:rsid w:val="209D92D9"/>
    <w:rsid w:val="20A20785"/>
    <w:rsid w:val="20B7F1EF"/>
    <w:rsid w:val="20B8F396"/>
    <w:rsid w:val="20BC5E6F"/>
    <w:rsid w:val="20C23DCB"/>
    <w:rsid w:val="20C82840"/>
    <w:rsid w:val="20EB217A"/>
    <w:rsid w:val="20EC8FF2"/>
    <w:rsid w:val="20F932B3"/>
    <w:rsid w:val="2105B909"/>
    <w:rsid w:val="21418534"/>
    <w:rsid w:val="2147E9BB"/>
    <w:rsid w:val="214877FE"/>
    <w:rsid w:val="2162EA71"/>
    <w:rsid w:val="217DC7AD"/>
    <w:rsid w:val="21805763"/>
    <w:rsid w:val="2184D71A"/>
    <w:rsid w:val="218931F1"/>
    <w:rsid w:val="218BDAA0"/>
    <w:rsid w:val="218DB82C"/>
    <w:rsid w:val="21978D2E"/>
    <w:rsid w:val="21A849E4"/>
    <w:rsid w:val="21BAD211"/>
    <w:rsid w:val="21C224C6"/>
    <w:rsid w:val="21C29DC1"/>
    <w:rsid w:val="21D867F6"/>
    <w:rsid w:val="21DB8A8C"/>
    <w:rsid w:val="21DF7D74"/>
    <w:rsid w:val="21EA8AA4"/>
    <w:rsid w:val="21EF617B"/>
    <w:rsid w:val="220C6981"/>
    <w:rsid w:val="2215F537"/>
    <w:rsid w:val="221EA2E6"/>
    <w:rsid w:val="222C6A12"/>
    <w:rsid w:val="2239633A"/>
    <w:rsid w:val="224128AA"/>
    <w:rsid w:val="22416E2A"/>
    <w:rsid w:val="225101A9"/>
    <w:rsid w:val="2255AFC8"/>
    <w:rsid w:val="2256718C"/>
    <w:rsid w:val="225DDB44"/>
    <w:rsid w:val="2261F72D"/>
    <w:rsid w:val="22624B2E"/>
    <w:rsid w:val="22662037"/>
    <w:rsid w:val="227E5C6E"/>
    <w:rsid w:val="22A718A0"/>
    <w:rsid w:val="22A780D5"/>
    <w:rsid w:val="22ADABE9"/>
    <w:rsid w:val="22ADC04D"/>
    <w:rsid w:val="22CC0DEF"/>
    <w:rsid w:val="22D02257"/>
    <w:rsid w:val="22D99923"/>
    <w:rsid w:val="22E2F0A4"/>
    <w:rsid w:val="22E967A1"/>
    <w:rsid w:val="22F0510E"/>
    <w:rsid w:val="22FF5E62"/>
    <w:rsid w:val="23010D0A"/>
    <w:rsid w:val="23156FD5"/>
    <w:rsid w:val="231661E8"/>
    <w:rsid w:val="23235D6A"/>
    <w:rsid w:val="23350F04"/>
    <w:rsid w:val="23355021"/>
    <w:rsid w:val="2337C627"/>
    <w:rsid w:val="233FD259"/>
    <w:rsid w:val="2348D46C"/>
    <w:rsid w:val="23524F28"/>
    <w:rsid w:val="235363AE"/>
    <w:rsid w:val="23583502"/>
    <w:rsid w:val="235BFA5B"/>
    <w:rsid w:val="236A4538"/>
    <w:rsid w:val="236A4DB8"/>
    <w:rsid w:val="237C9471"/>
    <w:rsid w:val="23889336"/>
    <w:rsid w:val="23B23947"/>
    <w:rsid w:val="23B242FF"/>
    <w:rsid w:val="23BA1D98"/>
    <w:rsid w:val="23CAC1F2"/>
    <w:rsid w:val="23D42354"/>
    <w:rsid w:val="23E5788B"/>
    <w:rsid w:val="23ECF7D8"/>
    <w:rsid w:val="24102258"/>
    <w:rsid w:val="2414DA2B"/>
    <w:rsid w:val="24154B0F"/>
    <w:rsid w:val="243CC9A4"/>
    <w:rsid w:val="2454B4FD"/>
    <w:rsid w:val="24604BAD"/>
    <w:rsid w:val="246B5BFD"/>
    <w:rsid w:val="246C19FF"/>
    <w:rsid w:val="247B1C32"/>
    <w:rsid w:val="248018B5"/>
    <w:rsid w:val="2481B13A"/>
    <w:rsid w:val="24834D9C"/>
    <w:rsid w:val="24896276"/>
    <w:rsid w:val="24905754"/>
    <w:rsid w:val="2498D71B"/>
    <w:rsid w:val="249A551A"/>
    <w:rsid w:val="249ACB25"/>
    <w:rsid w:val="249CCA94"/>
    <w:rsid w:val="24A30103"/>
    <w:rsid w:val="24A726D9"/>
    <w:rsid w:val="24BEBC67"/>
    <w:rsid w:val="24C0ED87"/>
    <w:rsid w:val="24C1AD4C"/>
    <w:rsid w:val="24C9C1F7"/>
    <w:rsid w:val="24CD75A9"/>
    <w:rsid w:val="24CE274C"/>
    <w:rsid w:val="24FD6E5F"/>
    <w:rsid w:val="24FFBEE8"/>
    <w:rsid w:val="25001876"/>
    <w:rsid w:val="25020D61"/>
    <w:rsid w:val="250D022E"/>
    <w:rsid w:val="253A93ED"/>
    <w:rsid w:val="254E9C37"/>
    <w:rsid w:val="25595032"/>
    <w:rsid w:val="255DD633"/>
    <w:rsid w:val="256136B7"/>
    <w:rsid w:val="2572E3E7"/>
    <w:rsid w:val="258DA83B"/>
    <w:rsid w:val="25994FA9"/>
    <w:rsid w:val="259B2238"/>
    <w:rsid w:val="25A740A8"/>
    <w:rsid w:val="25B61950"/>
    <w:rsid w:val="25B92FD8"/>
    <w:rsid w:val="25C88DAF"/>
    <w:rsid w:val="25C93438"/>
    <w:rsid w:val="25DD7A06"/>
    <w:rsid w:val="25E5A688"/>
    <w:rsid w:val="25FA6F68"/>
    <w:rsid w:val="25FAE2B0"/>
    <w:rsid w:val="25FD3C6E"/>
    <w:rsid w:val="25FD641B"/>
    <w:rsid w:val="26022A1D"/>
    <w:rsid w:val="2614DE24"/>
    <w:rsid w:val="261873B4"/>
    <w:rsid w:val="26189857"/>
    <w:rsid w:val="261B6248"/>
    <w:rsid w:val="26291B23"/>
    <w:rsid w:val="262AB49B"/>
    <w:rsid w:val="262C68C9"/>
    <w:rsid w:val="2637D04D"/>
    <w:rsid w:val="263F5FA9"/>
    <w:rsid w:val="264A6B29"/>
    <w:rsid w:val="26577E26"/>
    <w:rsid w:val="265D94DC"/>
    <w:rsid w:val="2661294F"/>
    <w:rsid w:val="26696869"/>
    <w:rsid w:val="2673BC99"/>
    <w:rsid w:val="2679A1B7"/>
    <w:rsid w:val="26869CF7"/>
    <w:rsid w:val="268717C7"/>
    <w:rsid w:val="268EC56A"/>
    <w:rsid w:val="26940DE5"/>
    <w:rsid w:val="26953168"/>
    <w:rsid w:val="2698934B"/>
    <w:rsid w:val="269B4E5C"/>
    <w:rsid w:val="26A5E3C0"/>
    <w:rsid w:val="26AC85A2"/>
    <w:rsid w:val="26B71247"/>
    <w:rsid w:val="26BD8B33"/>
    <w:rsid w:val="26C58A17"/>
    <w:rsid w:val="26CD470F"/>
    <w:rsid w:val="26E97135"/>
    <w:rsid w:val="26EEAAF9"/>
    <w:rsid w:val="26F39C7C"/>
    <w:rsid w:val="26F98BFD"/>
    <w:rsid w:val="26FA11C0"/>
    <w:rsid w:val="26FA5DF6"/>
    <w:rsid w:val="26FCA972"/>
    <w:rsid w:val="2703F874"/>
    <w:rsid w:val="270B21C2"/>
    <w:rsid w:val="27248A70"/>
    <w:rsid w:val="2728053C"/>
    <w:rsid w:val="273ED247"/>
    <w:rsid w:val="273F60E6"/>
    <w:rsid w:val="2742D594"/>
    <w:rsid w:val="27433C48"/>
    <w:rsid w:val="274408C2"/>
    <w:rsid w:val="27452524"/>
    <w:rsid w:val="27462855"/>
    <w:rsid w:val="2749429E"/>
    <w:rsid w:val="2751E617"/>
    <w:rsid w:val="27621A48"/>
    <w:rsid w:val="277821FF"/>
    <w:rsid w:val="277ED269"/>
    <w:rsid w:val="278309E2"/>
    <w:rsid w:val="279105FC"/>
    <w:rsid w:val="279A4890"/>
    <w:rsid w:val="279ACF1A"/>
    <w:rsid w:val="279C5469"/>
    <w:rsid w:val="27A16683"/>
    <w:rsid w:val="27A22F57"/>
    <w:rsid w:val="27BD2796"/>
    <w:rsid w:val="27C046BA"/>
    <w:rsid w:val="27C46779"/>
    <w:rsid w:val="27C4A291"/>
    <w:rsid w:val="27D0666A"/>
    <w:rsid w:val="27D7A6F0"/>
    <w:rsid w:val="27DE45E3"/>
    <w:rsid w:val="27E4CAD1"/>
    <w:rsid w:val="27E64B96"/>
    <w:rsid w:val="28013405"/>
    <w:rsid w:val="281185B3"/>
    <w:rsid w:val="28167AB4"/>
    <w:rsid w:val="28293C3D"/>
    <w:rsid w:val="282F46CE"/>
    <w:rsid w:val="28364E69"/>
    <w:rsid w:val="28396A3C"/>
    <w:rsid w:val="283A8BEB"/>
    <w:rsid w:val="283BBD81"/>
    <w:rsid w:val="2848F52C"/>
    <w:rsid w:val="285464FE"/>
    <w:rsid w:val="28568D6C"/>
    <w:rsid w:val="28713F06"/>
    <w:rsid w:val="2883F593"/>
    <w:rsid w:val="289154CE"/>
    <w:rsid w:val="28937410"/>
    <w:rsid w:val="28AF60D8"/>
    <w:rsid w:val="28B5A878"/>
    <w:rsid w:val="28B696D5"/>
    <w:rsid w:val="28BE7954"/>
    <w:rsid w:val="28C016F7"/>
    <w:rsid w:val="28C2E743"/>
    <w:rsid w:val="28C3D59D"/>
    <w:rsid w:val="28CA144C"/>
    <w:rsid w:val="28CB7D12"/>
    <w:rsid w:val="28E0714A"/>
    <w:rsid w:val="28E42D73"/>
    <w:rsid w:val="28E7D8EC"/>
    <w:rsid w:val="28E931F0"/>
    <w:rsid w:val="28EF6752"/>
    <w:rsid w:val="28F10DC0"/>
    <w:rsid w:val="28F5B3C2"/>
    <w:rsid w:val="28FD0743"/>
    <w:rsid w:val="29074715"/>
    <w:rsid w:val="29126E5B"/>
    <w:rsid w:val="291DB8FD"/>
    <w:rsid w:val="2925FACA"/>
    <w:rsid w:val="292757E3"/>
    <w:rsid w:val="292842EE"/>
    <w:rsid w:val="292B8FAC"/>
    <w:rsid w:val="29374095"/>
    <w:rsid w:val="29388B06"/>
    <w:rsid w:val="293AF18D"/>
    <w:rsid w:val="293B9D98"/>
    <w:rsid w:val="29460049"/>
    <w:rsid w:val="295689A9"/>
    <w:rsid w:val="29642DFC"/>
    <w:rsid w:val="29668C2B"/>
    <w:rsid w:val="298A27CB"/>
    <w:rsid w:val="29A5A217"/>
    <w:rsid w:val="29A6CA9D"/>
    <w:rsid w:val="29C8968A"/>
    <w:rsid w:val="29CA7196"/>
    <w:rsid w:val="29CA9960"/>
    <w:rsid w:val="29DC565D"/>
    <w:rsid w:val="29DE296B"/>
    <w:rsid w:val="29DEDF2E"/>
    <w:rsid w:val="29E3D70E"/>
    <w:rsid w:val="2A1EDD14"/>
    <w:rsid w:val="2A266D1A"/>
    <w:rsid w:val="2A44BCF6"/>
    <w:rsid w:val="2A44E2B5"/>
    <w:rsid w:val="2A4B26CD"/>
    <w:rsid w:val="2A58248D"/>
    <w:rsid w:val="2A791A52"/>
    <w:rsid w:val="2A7AF01B"/>
    <w:rsid w:val="2A7D89A9"/>
    <w:rsid w:val="2A7E3F31"/>
    <w:rsid w:val="2A85D8FE"/>
    <w:rsid w:val="2A8F8C34"/>
    <w:rsid w:val="2A9C1F0F"/>
    <w:rsid w:val="2AA8A94E"/>
    <w:rsid w:val="2AB1E748"/>
    <w:rsid w:val="2AB4D180"/>
    <w:rsid w:val="2ABA47B6"/>
    <w:rsid w:val="2AC0998D"/>
    <w:rsid w:val="2AC5598A"/>
    <w:rsid w:val="2AC8FD29"/>
    <w:rsid w:val="2AD2751C"/>
    <w:rsid w:val="2AF8579A"/>
    <w:rsid w:val="2B01AE02"/>
    <w:rsid w:val="2B08A5CB"/>
    <w:rsid w:val="2B10403A"/>
    <w:rsid w:val="2B107035"/>
    <w:rsid w:val="2B165468"/>
    <w:rsid w:val="2B1A887B"/>
    <w:rsid w:val="2B1B7215"/>
    <w:rsid w:val="2B217747"/>
    <w:rsid w:val="2B2CACEC"/>
    <w:rsid w:val="2B37B6EF"/>
    <w:rsid w:val="2B3CE79A"/>
    <w:rsid w:val="2B3FDD47"/>
    <w:rsid w:val="2B4173F9"/>
    <w:rsid w:val="2B4770D7"/>
    <w:rsid w:val="2B54F0FC"/>
    <w:rsid w:val="2B5EA017"/>
    <w:rsid w:val="2B61FE5F"/>
    <w:rsid w:val="2B6470F7"/>
    <w:rsid w:val="2B772F47"/>
    <w:rsid w:val="2B84BAF0"/>
    <w:rsid w:val="2B86828A"/>
    <w:rsid w:val="2B9CF0D6"/>
    <w:rsid w:val="2B9ECA30"/>
    <w:rsid w:val="2BAF5227"/>
    <w:rsid w:val="2BB8D434"/>
    <w:rsid w:val="2BC4CC0F"/>
    <w:rsid w:val="2BC651A4"/>
    <w:rsid w:val="2BD1A097"/>
    <w:rsid w:val="2BD87BA1"/>
    <w:rsid w:val="2BECF726"/>
    <w:rsid w:val="2BFC8518"/>
    <w:rsid w:val="2C00E892"/>
    <w:rsid w:val="2C09C2FE"/>
    <w:rsid w:val="2C0A331F"/>
    <w:rsid w:val="2C16D0E3"/>
    <w:rsid w:val="2C1D9DD7"/>
    <w:rsid w:val="2C222112"/>
    <w:rsid w:val="2C39410A"/>
    <w:rsid w:val="2C394858"/>
    <w:rsid w:val="2C39983C"/>
    <w:rsid w:val="2C485A65"/>
    <w:rsid w:val="2C57131B"/>
    <w:rsid w:val="2C65199E"/>
    <w:rsid w:val="2C7DF959"/>
    <w:rsid w:val="2C880ADD"/>
    <w:rsid w:val="2C8E9815"/>
    <w:rsid w:val="2C9AC6EC"/>
    <w:rsid w:val="2CA5598F"/>
    <w:rsid w:val="2CAB018C"/>
    <w:rsid w:val="2CAC0EF0"/>
    <w:rsid w:val="2CB7893E"/>
    <w:rsid w:val="2CBB5D03"/>
    <w:rsid w:val="2CC5036D"/>
    <w:rsid w:val="2CCA82DD"/>
    <w:rsid w:val="2CDD4CEB"/>
    <w:rsid w:val="2CF16F85"/>
    <w:rsid w:val="2CF43C5E"/>
    <w:rsid w:val="2D08D64B"/>
    <w:rsid w:val="2D0D9D52"/>
    <w:rsid w:val="2D0EF6EC"/>
    <w:rsid w:val="2D144CD7"/>
    <w:rsid w:val="2D157CF7"/>
    <w:rsid w:val="2D163634"/>
    <w:rsid w:val="2D16FF73"/>
    <w:rsid w:val="2D173178"/>
    <w:rsid w:val="2D21899D"/>
    <w:rsid w:val="2D2434A2"/>
    <w:rsid w:val="2D2D2303"/>
    <w:rsid w:val="2D3441E0"/>
    <w:rsid w:val="2D39F44B"/>
    <w:rsid w:val="2D46F0B6"/>
    <w:rsid w:val="2D4B15B6"/>
    <w:rsid w:val="2D554FC1"/>
    <w:rsid w:val="2D59E3D4"/>
    <w:rsid w:val="2D610913"/>
    <w:rsid w:val="2D613051"/>
    <w:rsid w:val="2D61FA9A"/>
    <w:rsid w:val="2D75F055"/>
    <w:rsid w:val="2D7766ED"/>
    <w:rsid w:val="2D78A157"/>
    <w:rsid w:val="2D834962"/>
    <w:rsid w:val="2D8610D5"/>
    <w:rsid w:val="2D90E88D"/>
    <w:rsid w:val="2D983E3C"/>
    <w:rsid w:val="2D9D856F"/>
    <w:rsid w:val="2DEFA2AF"/>
    <w:rsid w:val="2DF25D73"/>
    <w:rsid w:val="2DF4B518"/>
    <w:rsid w:val="2DF89CBE"/>
    <w:rsid w:val="2E05C397"/>
    <w:rsid w:val="2E0A4702"/>
    <w:rsid w:val="2E18424A"/>
    <w:rsid w:val="2E29D1F6"/>
    <w:rsid w:val="2E2B3BF3"/>
    <w:rsid w:val="2E3D1D6D"/>
    <w:rsid w:val="2E4A737A"/>
    <w:rsid w:val="2E4B1BDC"/>
    <w:rsid w:val="2E511D42"/>
    <w:rsid w:val="2E526AAA"/>
    <w:rsid w:val="2E6005B6"/>
    <w:rsid w:val="2E68703B"/>
    <w:rsid w:val="2E6C66CE"/>
    <w:rsid w:val="2E6C9CDF"/>
    <w:rsid w:val="2E6CBE78"/>
    <w:rsid w:val="2E720D89"/>
    <w:rsid w:val="2E726094"/>
    <w:rsid w:val="2E909672"/>
    <w:rsid w:val="2E96A855"/>
    <w:rsid w:val="2EA1E5CF"/>
    <w:rsid w:val="2EAC83CE"/>
    <w:rsid w:val="2EBCFD54"/>
    <w:rsid w:val="2ECDFD5D"/>
    <w:rsid w:val="2ECE4AF0"/>
    <w:rsid w:val="2EE35BF1"/>
    <w:rsid w:val="2EE4D9DB"/>
    <w:rsid w:val="2EF0C8A1"/>
    <w:rsid w:val="2EF34A43"/>
    <w:rsid w:val="2F03FA85"/>
    <w:rsid w:val="2F1796A1"/>
    <w:rsid w:val="2F17977A"/>
    <w:rsid w:val="2F23F455"/>
    <w:rsid w:val="2F3F04A7"/>
    <w:rsid w:val="2F4457ED"/>
    <w:rsid w:val="2F45BE51"/>
    <w:rsid w:val="2F487DCA"/>
    <w:rsid w:val="2F488DFE"/>
    <w:rsid w:val="2F498E96"/>
    <w:rsid w:val="2F4DD0A1"/>
    <w:rsid w:val="2F4E70AA"/>
    <w:rsid w:val="2F51A777"/>
    <w:rsid w:val="2F6B6D52"/>
    <w:rsid w:val="2F7D1162"/>
    <w:rsid w:val="2F8885BE"/>
    <w:rsid w:val="2F88AF0B"/>
    <w:rsid w:val="2F8C182F"/>
    <w:rsid w:val="2F9628FD"/>
    <w:rsid w:val="2F97F494"/>
    <w:rsid w:val="2F9B4E93"/>
    <w:rsid w:val="2FA036B5"/>
    <w:rsid w:val="2FA716A8"/>
    <w:rsid w:val="2FA9C23D"/>
    <w:rsid w:val="2FAF6000"/>
    <w:rsid w:val="2FB45450"/>
    <w:rsid w:val="2FBFDBF0"/>
    <w:rsid w:val="2FF0564C"/>
    <w:rsid w:val="3004F3D6"/>
    <w:rsid w:val="300A3D05"/>
    <w:rsid w:val="300F7A12"/>
    <w:rsid w:val="300F82B7"/>
    <w:rsid w:val="3012236D"/>
    <w:rsid w:val="3012C868"/>
    <w:rsid w:val="303A49A0"/>
    <w:rsid w:val="3049AB74"/>
    <w:rsid w:val="3051F6CB"/>
    <w:rsid w:val="306DFA83"/>
    <w:rsid w:val="307467A3"/>
    <w:rsid w:val="307A0F02"/>
    <w:rsid w:val="307C2F5A"/>
    <w:rsid w:val="307EC9F8"/>
    <w:rsid w:val="3082409C"/>
    <w:rsid w:val="308CFB61"/>
    <w:rsid w:val="30957955"/>
    <w:rsid w:val="30A0BBB5"/>
    <w:rsid w:val="30B12693"/>
    <w:rsid w:val="30C2CCA3"/>
    <w:rsid w:val="30C6323F"/>
    <w:rsid w:val="30CCF96F"/>
    <w:rsid w:val="30F08B39"/>
    <w:rsid w:val="30F0A3F7"/>
    <w:rsid w:val="30FEF35E"/>
    <w:rsid w:val="31028363"/>
    <w:rsid w:val="310790C1"/>
    <w:rsid w:val="310B00A5"/>
    <w:rsid w:val="310BE15E"/>
    <w:rsid w:val="3128A744"/>
    <w:rsid w:val="312D5D5A"/>
    <w:rsid w:val="31329902"/>
    <w:rsid w:val="31384660"/>
    <w:rsid w:val="31432DE4"/>
    <w:rsid w:val="31439F9D"/>
    <w:rsid w:val="314A8E90"/>
    <w:rsid w:val="3163F4AC"/>
    <w:rsid w:val="3171F514"/>
    <w:rsid w:val="31892C72"/>
    <w:rsid w:val="3192234B"/>
    <w:rsid w:val="319AC7A8"/>
    <w:rsid w:val="319C2DB1"/>
    <w:rsid w:val="31A8AEFA"/>
    <w:rsid w:val="31D33A2C"/>
    <w:rsid w:val="31EB3D46"/>
    <w:rsid w:val="31EF3112"/>
    <w:rsid w:val="3200751B"/>
    <w:rsid w:val="320AA708"/>
    <w:rsid w:val="321F9D5F"/>
    <w:rsid w:val="3221B660"/>
    <w:rsid w:val="323409FC"/>
    <w:rsid w:val="32417297"/>
    <w:rsid w:val="3246C0CB"/>
    <w:rsid w:val="3254602E"/>
    <w:rsid w:val="3262D5F0"/>
    <w:rsid w:val="3271E941"/>
    <w:rsid w:val="3297CDCC"/>
    <w:rsid w:val="32A678EF"/>
    <w:rsid w:val="32A72EF8"/>
    <w:rsid w:val="32B7DDE2"/>
    <w:rsid w:val="32BFCDC0"/>
    <w:rsid w:val="32C706A2"/>
    <w:rsid w:val="32C7EDFB"/>
    <w:rsid w:val="32CC37F8"/>
    <w:rsid w:val="32D9DC08"/>
    <w:rsid w:val="32DA1C9E"/>
    <w:rsid w:val="32EA617B"/>
    <w:rsid w:val="32EAAACD"/>
    <w:rsid w:val="32ED8771"/>
    <w:rsid w:val="330EC9CE"/>
    <w:rsid w:val="331A49B0"/>
    <w:rsid w:val="3342205D"/>
    <w:rsid w:val="33498E7F"/>
    <w:rsid w:val="334A9EE7"/>
    <w:rsid w:val="334BFB00"/>
    <w:rsid w:val="334D5E71"/>
    <w:rsid w:val="3358F5C8"/>
    <w:rsid w:val="335EA809"/>
    <w:rsid w:val="335F8219"/>
    <w:rsid w:val="33696C13"/>
    <w:rsid w:val="3375A9A4"/>
    <w:rsid w:val="337CD35C"/>
    <w:rsid w:val="3385D807"/>
    <w:rsid w:val="338AF999"/>
    <w:rsid w:val="33ABD092"/>
    <w:rsid w:val="33BC7D32"/>
    <w:rsid w:val="33C4E16D"/>
    <w:rsid w:val="33C9B9C1"/>
    <w:rsid w:val="33DBC3EF"/>
    <w:rsid w:val="33E2CA1F"/>
    <w:rsid w:val="33EA2ABA"/>
    <w:rsid w:val="33EF35A9"/>
    <w:rsid w:val="33EFB3A2"/>
    <w:rsid w:val="33F216FC"/>
    <w:rsid w:val="33F63361"/>
    <w:rsid w:val="33F90C2C"/>
    <w:rsid w:val="3408BDEB"/>
    <w:rsid w:val="34151BAD"/>
    <w:rsid w:val="34172F2C"/>
    <w:rsid w:val="341D1B4D"/>
    <w:rsid w:val="3420C7A8"/>
    <w:rsid w:val="342F954A"/>
    <w:rsid w:val="343DC7DD"/>
    <w:rsid w:val="343E5CBD"/>
    <w:rsid w:val="3448C206"/>
    <w:rsid w:val="3469DFB5"/>
    <w:rsid w:val="346A1D2B"/>
    <w:rsid w:val="346E0074"/>
    <w:rsid w:val="347481F9"/>
    <w:rsid w:val="347A7C13"/>
    <w:rsid w:val="34912DF0"/>
    <w:rsid w:val="349836FC"/>
    <w:rsid w:val="34A3901A"/>
    <w:rsid w:val="34A62E55"/>
    <w:rsid w:val="34AF0179"/>
    <w:rsid w:val="34B72E36"/>
    <w:rsid w:val="34B86FFF"/>
    <w:rsid w:val="34BC4132"/>
    <w:rsid w:val="34C2545B"/>
    <w:rsid w:val="34C6A7D8"/>
    <w:rsid w:val="34D4E4F3"/>
    <w:rsid w:val="34D4FD4A"/>
    <w:rsid w:val="34E75176"/>
    <w:rsid w:val="34E94D8D"/>
    <w:rsid w:val="34EF0F8B"/>
    <w:rsid w:val="34F03FBA"/>
    <w:rsid w:val="34F101D3"/>
    <w:rsid w:val="34F1324A"/>
    <w:rsid w:val="35001F24"/>
    <w:rsid w:val="350EDCA3"/>
    <w:rsid w:val="3510C2AC"/>
    <w:rsid w:val="351B4670"/>
    <w:rsid w:val="3521D16E"/>
    <w:rsid w:val="3523FA93"/>
    <w:rsid w:val="3524A374"/>
    <w:rsid w:val="352F411D"/>
    <w:rsid w:val="353652D5"/>
    <w:rsid w:val="3542F80A"/>
    <w:rsid w:val="35434DCC"/>
    <w:rsid w:val="35449124"/>
    <w:rsid w:val="354837A4"/>
    <w:rsid w:val="35612E7D"/>
    <w:rsid w:val="356861A4"/>
    <w:rsid w:val="356A7BCE"/>
    <w:rsid w:val="3571121B"/>
    <w:rsid w:val="357702BF"/>
    <w:rsid w:val="35867A1F"/>
    <w:rsid w:val="359E54F3"/>
    <w:rsid w:val="35A0A175"/>
    <w:rsid w:val="35AA37B6"/>
    <w:rsid w:val="35AA6855"/>
    <w:rsid w:val="35B522F9"/>
    <w:rsid w:val="35BE7F72"/>
    <w:rsid w:val="35C139D5"/>
    <w:rsid w:val="35C7BECB"/>
    <w:rsid w:val="35E027B4"/>
    <w:rsid w:val="35EA2522"/>
    <w:rsid w:val="35F5BDF7"/>
    <w:rsid w:val="35F6D70A"/>
    <w:rsid w:val="35F75295"/>
    <w:rsid w:val="361CC70D"/>
    <w:rsid w:val="361CD0DB"/>
    <w:rsid w:val="36224B8F"/>
    <w:rsid w:val="36262EBF"/>
    <w:rsid w:val="362B7EFD"/>
    <w:rsid w:val="3632BA7F"/>
    <w:rsid w:val="3648E76E"/>
    <w:rsid w:val="364B5CE2"/>
    <w:rsid w:val="364F6A1A"/>
    <w:rsid w:val="3653B211"/>
    <w:rsid w:val="365A1D5C"/>
    <w:rsid w:val="365BB29D"/>
    <w:rsid w:val="365ED897"/>
    <w:rsid w:val="36630190"/>
    <w:rsid w:val="36797138"/>
    <w:rsid w:val="367DE54E"/>
    <w:rsid w:val="3682184E"/>
    <w:rsid w:val="368CBD77"/>
    <w:rsid w:val="369A3381"/>
    <w:rsid w:val="369E3CDA"/>
    <w:rsid w:val="36A5EC1E"/>
    <w:rsid w:val="36A82049"/>
    <w:rsid w:val="36A8A040"/>
    <w:rsid w:val="36ADC744"/>
    <w:rsid w:val="36B5D116"/>
    <w:rsid w:val="36B8D056"/>
    <w:rsid w:val="36B97EE0"/>
    <w:rsid w:val="36D4CF92"/>
    <w:rsid w:val="36F010BA"/>
    <w:rsid w:val="3702F09D"/>
    <w:rsid w:val="37105716"/>
    <w:rsid w:val="371A43F4"/>
    <w:rsid w:val="371F68EA"/>
    <w:rsid w:val="37296C2C"/>
    <w:rsid w:val="37342581"/>
    <w:rsid w:val="374C553B"/>
    <w:rsid w:val="3750EBA4"/>
    <w:rsid w:val="375942FA"/>
    <w:rsid w:val="375E1715"/>
    <w:rsid w:val="3766C355"/>
    <w:rsid w:val="3783172E"/>
    <w:rsid w:val="378319AA"/>
    <w:rsid w:val="378A2EEA"/>
    <w:rsid w:val="378B10D5"/>
    <w:rsid w:val="378DCD30"/>
    <w:rsid w:val="37986F94"/>
    <w:rsid w:val="3799C84A"/>
    <w:rsid w:val="37C72C64"/>
    <w:rsid w:val="37C88D97"/>
    <w:rsid w:val="37D42A45"/>
    <w:rsid w:val="37E78FA1"/>
    <w:rsid w:val="37F23C4C"/>
    <w:rsid w:val="37F38EF0"/>
    <w:rsid w:val="37F46E0C"/>
    <w:rsid w:val="380E0DC1"/>
    <w:rsid w:val="3828B666"/>
    <w:rsid w:val="3828CA9D"/>
    <w:rsid w:val="382C9B04"/>
    <w:rsid w:val="382CC19F"/>
    <w:rsid w:val="384F2823"/>
    <w:rsid w:val="3855DB26"/>
    <w:rsid w:val="3866593F"/>
    <w:rsid w:val="38670CCD"/>
    <w:rsid w:val="38772115"/>
    <w:rsid w:val="387A1C74"/>
    <w:rsid w:val="387D5158"/>
    <w:rsid w:val="387E10BD"/>
    <w:rsid w:val="3886D9F9"/>
    <w:rsid w:val="389528C3"/>
    <w:rsid w:val="38A6D31E"/>
    <w:rsid w:val="38B35BF9"/>
    <w:rsid w:val="38B871D6"/>
    <w:rsid w:val="38C695C5"/>
    <w:rsid w:val="38CA384C"/>
    <w:rsid w:val="38D1A297"/>
    <w:rsid w:val="38EAE462"/>
    <w:rsid w:val="38F1DBF9"/>
    <w:rsid w:val="38F2F4E8"/>
    <w:rsid w:val="38FECE1B"/>
    <w:rsid w:val="39047FB0"/>
    <w:rsid w:val="391EEA0B"/>
    <w:rsid w:val="3920C501"/>
    <w:rsid w:val="39246004"/>
    <w:rsid w:val="393CA133"/>
    <w:rsid w:val="395030E6"/>
    <w:rsid w:val="39676F00"/>
    <w:rsid w:val="3984CC89"/>
    <w:rsid w:val="39892A9E"/>
    <w:rsid w:val="3998E1FB"/>
    <w:rsid w:val="39994218"/>
    <w:rsid w:val="399F4D5B"/>
    <w:rsid w:val="39A12EA3"/>
    <w:rsid w:val="39A1C37E"/>
    <w:rsid w:val="39A97A98"/>
    <w:rsid w:val="39ADAEB5"/>
    <w:rsid w:val="39B493FD"/>
    <w:rsid w:val="39B63FA5"/>
    <w:rsid w:val="39BEB52C"/>
    <w:rsid w:val="39BF9F4C"/>
    <w:rsid w:val="39D2910C"/>
    <w:rsid w:val="39E71EE5"/>
    <w:rsid w:val="39EA93DD"/>
    <w:rsid w:val="39EBF141"/>
    <w:rsid w:val="39EF1FDA"/>
    <w:rsid w:val="39F852F0"/>
    <w:rsid w:val="39F9EF1B"/>
    <w:rsid w:val="39FB86B3"/>
    <w:rsid w:val="39FFF042"/>
    <w:rsid w:val="3A1E6C3F"/>
    <w:rsid w:val="3A3ADBEE"/>
    <w:rsid w:val="3A430D58"/>
    <w:rsid w:val="3A440F09"/>
    <w:rsid w:val="3A508D20"/>
    <w:rsid w:val="3A5FA84B"/>
    <w:rsid w:val="3A6036D6"/>
    <w:rsid w:val="3A610CEE"/>
    <w:rsid w:val="3A743DCE"/>
    <w:rsid w:val="3A7E832A"/>
    <w:rsid w:val="3A842ED7"/>
    <w:rsid w:val="3A96953F"/>
    <w:rsid w:val="3AA2C503"/>
    <w:rsid w:val="3AB2D881"/>
    <w:rsid w:val="3AB564A7"/>
    <w:rsid w:val="3ACFFD27"/>
    <w:rsid w:val="3AEE2687"/>
    <w:rsid w:val="3B0039D5"/>
    <w:rsid w:val="3B2C7D69"/>
    <w:rsid w:val="3B505675"/>
    <w:rsid w:val="3B50CF26"/>
    <w:rsid w:val="3B643620"/>
    <w:rsid w:val="3B78F705"/>
    <w:rsid w:val="3B7DEDAC"/>
    <w:rsid w:val="3B89A515"/>
    <w:rsid w:val="3B917B2E"/>
    <w:rsid w:val="3B97E0F7"/>
    <w:rsid w:val="3B995B6C"/>
    <w:rsid w:val="3B9C4CB4"/>
    <w:rsid w:val="3BC8012E"/>
    <w:rsid w:val="3BD0EAD3"/>
    <w:rsid w:val="3BEE2503"/>
    <w:rsid w:val="3BEE5A32"/>
    <w:rsid w:val="3BFAAAC8"/>
    <w:rsid w:val="3BFAD6CC"/>
    <w:rsid w:val="3C0FE31B"/>
    <w:rsid w:val="3C30FFA3"/>
    <w:rsid w:val="3C32D60F"/>
    <w:rsid w:val="3C383EB7"/>
    <w:rsid w:val="3C4C4824"/>
    <w:rsid w:val="3C61BD8A"/>
    <w:rsid w:val="3C640795"/>
    <w:rsid w:val="3C67A269"/>
    <w:rsid w:val="3C6F1590"/>
    <w:rsid w:val="3C7644CB"/>
    <w:rsid w:val="3C833E25"/>
    <w:rsid w:val="3C9661CA"/>
    <w:rsid w:val="3C9BF661"/>
    <w:rsid w:val="3CB5149C"/>
    <w:rsid w:val="3CB7457F"/>
    <w:rsid w:val="3CC69C9C"/>
    <w:rsid w:val="3CCC9390"/>
    <w:rsid w:val="3CCDFBE8"/>
    <w:rsid w:val="3CD03B87"/>
    <w:rsid w:val="3CE5E0B7"/>
    <w:rsid w:val="3CEA01A6"/>
    <w:rsid w:val="3CEB933B"/>
    <w:rsid w:val="3CF70C96"/>
    <w:rsid w:val="3D004AD6"/>
    <w:rsid w:val="3D0097BF"/>
    <w:rsid w:val="3D03715E"/>
    <w:rsid w:val="3D04638B"/>
    <w:rsid w:val="3D1B3A0E"/>
    <w:rsid w:val="3D1EBA1D"/>
    <w:rsid w:val="3D33ED44"/>
    <w:rsid w:val="3D4F0C41"/>
    <w:rsid w:val="3D5B268D"/>
    <w:rsid w:val="3D87B315"/>
    <w:rsid w:val="3D936ED3"/>
    <w:rsid w:val="3DA63D41"/>
    <w:rsid w:val="3DA7419E"/>
    <w:rsid w:val="3DC12933"/>
    <w:rsid w:val="3DC59454"/>
    <w:rsid w:val="3DC5A1A8"/>
    <w:rsid w:val="3DD6AC5C"/>
    <w:rsid w:val="3DD99635"/>
    <w:rsid w:val="3DDA6002"/>
    <w:rsid w:val="3DDDD2B5"/>
    <w:rsid w:val="3DEA369B"/>
    <w:rsid w:val="3DEADE81"/>
    <w:rsid w:val="3DF2C8AE"/>
    <w:rsid w:val="3DF34D65"/>
    <w:rsid w:val="3DFCAC70"/>
    <w:rsid w:val="3DFDB086"/>
    <w:rsid w:val="3DFFB6F8"/>
    <w:rsid w:val="3E03A9F5"/>
    <w:rsid w:val="3E03E973"/>
    <w:rsid w:val="3E0E4113"/>
    <w:rsid w:val="3E123BFA"/>
    <w:rsid w:val="3E193EFD"/>
    <w:rsid w:val="3E20E95A"/>
    <w:rsid w:val="3E31F1AE"/>
    <w:rsid w:val="3E37984D"/>
    <w:rsid w:val="3E3D8472"/>
    <w:rsid w:val="3E3F2ED6"/>
    <w:rsid w:val="3E48E233"/>
    <w:rsid w:val="3E4C80CC"/>
    <w:rsid w:val="3E519C1F"/>
    <w:rsid w:val="3E5B3AFB"/>
    <w:rsid w:val="3E6936A1"/>
    <w:rsid w:val="3E6F86D5"/>
    <w:rsid w:val="3E72BE39"/>
    <w:rsid w:val="3E7B859A"/>
    <w:rsid w:val="3E7BE247"/>
    <w:rsid w:val="3E7E930A"/>
    <w:rsid w:val="3EA9259B"/>
    <w:rsid w:val="3EAB7D6D"/>
    <w:rsid w:val="3EBDB972"/>
    <w:rsid w:val="3ECCD75F"/>
    <w:rsid w:val="3ECD14C8"/>
    <w:rsid w:val="3ED60360"/>
    <w:rsid w:val="3ED68351"/>
    <w:rsid w:val="3EE2463A"/>
    <w:rsid w:val="3EEA2A4D"/>
    <w:rsid w:val="3EEF4DC4"/>
    <w:rsid w:val="3F0159C1"/>
    <w:rsid w:val="3F1C3FF7"/>
    <w:rsid w:val="3F20C5E9"/>
    <w:rsid w:val="3F26621F"/>
    <w:rsid w:val="3F39749A"/>
    <w:rsid w:val="3F487622"/>
    <w:rsid w:val="3F4C5A2C"/>
    <w:rsid w:val="3F4DB01B"/>
    <w:rsid w:val="3F50DCB4"/>
    <w:rsid w:val="3F578C89"/>
    <w:rsid w:val="3F5D9397"/>
    <w:rsid w:val="3F6A5C52"/>
    <w:rsid w:val="3F6C6C5D"/>
    <w:rsid w:val="3F71AA87"/>
    <w:rsid w:val="3F75D9EB"/>
    <w:rsid w:val="3F981D93"/>
    <w:rsid w:val="3F987E5A"/>
    <w:rsid w:val="3F9A82A4"/>
    <w:rsid w:val="3F9BBA92"/>
    <w:rsid w:val="3F9D543C"/>
    <w:rsid w:val="3FA5C412"/>
    <w:rsid w:val="3FB943D8"/>
    <w:rsid w:val="3FC87EA3"/>
    <w:rsid w:val="3FC9D071"/>
    <w:rsid w:val="3FD4E2B2"/>
    <w:rsid w:val="3FEA5F0D"/>
    <w:rsid w:val="4003C4FA"/>
    <w:rsid w:val="400A1FB0"/>
    <w:rsid w:val="400F14CA"/>
    <w:rsid w:val="4022CAB0"/>
    <w:rsid w:val="402E2078"/>
    <w:rsid w:val="402F722D"/>
    <w:rsid w:val="40344D74"/>
    <w:rsid w:val="403CFF98"/>
    <w:rsid w:val="4040CC4C"/>
    <w:rsid w:val="4043FA6E"/>
    <w:rsid w:val="4045C1FA"/>
    <w:rsid w:val="4049352C"/>
    <w:rsid w:val="4051AF87"/>
    <w:rsid w:val="405C88CF"/>
    <w:rsid w:val="4061D1DF"/>
    <w:rsid w:val="406369AE"/>
    <w:rsid w:val="40646A25"/>
    <w:rsid w:val="4072B503"/>
    <w:rsid w:val="4079B7E6"/>
    <w:rsid w:val="40816879"/>
    <w:rsid w:val="408688E5"/>
    <w:rsid w:val="408E46FA"/>
    <w:rsid w:val="40A36EE8"/>
    <w:rsid w:val="40A77503"/>
    <w:rsid w:val="40AAD355"/>
    <w:rsid w:val="40AEA42A"/>
    <w:rsid w:val="40B6E548"/>
    <w:rsid w:val="40B78308"/>
    <w:rsid w:val="40B82163"/>
    <w:rsid w:val="40BFD862"/>
    <w:rsid w:val="40C7DD90"/>
    <w:rsid w:val="40C9C2AD"/>
    <w:rsid w:val="40CCECA9"/>
    <w:rsid w:val="40E3FE31"/>
    <w:rsid w:val="40ECF8D2"/>
    <w:rsid w:val="40F1AF22"/>
    <w:rsid w:val="40F5503B"/>
    <w:rsid w:val="40F8C9F5"/>
    <w:rsid w:val="40F98121"/>
    <w:rsid w:val="41027D55"/>
    <w:rsid w:val="4116BF71"/>
    <w:rsid w:val="411D3C14"/>
    <w:rsid w:val="41444D99"/>
    <w:rsid w:val="4151BBA1"/>
    <w:rsid w:val="4152681C"/>
    <w:rsid w:val="416DBDB9"/>
    <w:rsid w:val="417DA48C"/>
    <w:rsid w:val="41837CD2"/>
    <w:rsid w:val="41926345"/>
    <w:rsid w:val="419D3645"/>
    <w:rsid w:val="41A0212C"/>
    <w:rsid w:val="41A29B15"/>
    <w:rsid w:val="41A3C6F0"/>
    <w:rsid w:val="41A5C7D2"/>
    <w:rsid w:val="41B48FD2"/>
    <w:rsid w:val="41B5BFC9"/>
    <w:rsid w:val="41C67821"/>
    <w:rsid w:val="41CDF148"/>
    <w:rsid w:val="41E49F62"/>
    <w:rsid w:val="41F32080"/>
    <w:rsid w:val="41F43969"/>
    <w:rsid w:val="41F75996"/>
    <w:rsid w:val="41FA9DD2"/>
    <w:rsid w:val="4203E1DA"/>
    <w:rsid w:val="42096D3C"/>
    <w:rsid w:val="420CA3FB"/>
    <w:rsid w:val="420CF996"/>
    <w:rsid w:val="4213B1B6"/>
    <w:rsid w:val="421906E9"/>
    <w:rsid w:val="42199E61"/>
    <w:rsid w:val="4219AAEA"/>
    <w:rsid w:val="421A6F52"/>
    <w:rsid w:val="4229C681"/>
    <w:rsid w:val="42310EB4"/>
    <w:rsid w:val="4248315C"/>
    <w:rsid w:val="424E179A"/>
    <w:rsid w:val="4271C37A"/>
    <w:rsid w:val="42720C7B"/>
    <w:rsid w:val="428F2713"/>
    <w:rsid w:val="42973BA3"/>
    <w:rsid w:val="4297C49A"/>
    <w:rsid w:val="42A68F40"/>
    <w:rsid w:val="42B22B33"/>
    <w:rsid w:val="42B67AA2"/>
    <w:rsid w:val="42C92140"/>
    <w:rsid w:val="42E22FD9"/>
    <w:rsid w:val="42E89237"/>
    <w:rsid w:val="42FF62CA"/>
    <w:rsid w:val="4306BC22"/>
    <w:rsid w:val="43508A54"/>
    <w:rsid w:val="435752F6"/>
    <w:rsid w:val="435FCC9D"/>
    <w:rsid w:val="4371F232"/>
    <w:rsid w:val="438425A9"/>
    <w:rsid w:val="438B31A9"/>
    <w:rsid w:val="438BF7E8"/>
    <w:rsid w:val="438F2A51"/>
    <w:rsid w:val="438F5A25"/>
    <w:rsid w:val="439213DD"/>
    <w:rsid w:val="43A3095D"/>
    <w:rsid w:val="43A623A4"/>
    <w:rsid w:val="43B8323F"/>
    <w:rsid w:val="43C1F254"/>
    <w:rsid w:val="43D069ED"/>
    <w:rsid w:val="43DA905F"/>
    <w:rsid w:val="43DC4B47"/>
    <w:rsid w:val="43DE3463"/>
    <w:rsid w:val="43DF3757"/>
    <w:rsid w:val="43E09E52"/>
    <w:rsid w:val="43E393AD"/>
    <w:rsid w:val="43E6F629"/>
    <w:rsid w:val="43EB0586"/>
    <w:rsid w:val="43ECAF28"/>
    <w:rsid w:val="43F1072D"/>
    <w:rsid w:val="43FF69E3"/>
    <w:rsid w:val="440005FD"/>
    <w:rsid w:val="4405636E"/>
    <w:rsid w:val="440FB765"/>
    <w:rsid w:val="4412D46B"/>
    <w:rsid w:val="4416D223"/>
    <w:rsid w:val="4419BC9D"/>
    <w:rsid w:val="441AE46D"/>
    <w:rsid w:val="442035BE"/>
    <w:rsid w:val="4420B2FB"/>
    <w:rsid w:val="442473E9"/>
    <w:rsid w:val="4427BEA8"/>
    <w:rsid w:val="442A3660"/>
    <w:rsid w:val="4434517D"/>
    <w:rsid w:val="44451CF9"/>
    <w:rsid w:val="44459DA4"/>
    <w:rsid w:val="444A5696"/>
    <w:rsid w:val="444D33AC"/>
    <w:rsid w:val="4456B3B4"/>
    <w:rsid w:val="44680311"/>
    <w:rsid w:val="44903C17"/>
    <w:rsid w:val="44965B34"/>
    <w:rsid w:val="449888D1"/>
    <w:rsid w:val="449CC001"/>
    <w:rsid w:val="44A489B9"/>
    <w:rsid w:val="44BE4670"/>
    <w:rsid w:val="44C3AF56"/>
    <w:rsid w:val="44CDE9E3"/>
    <w:rsid w:val="44DFC85F"/>
    <w:rsid w:val="44E4E9E4"/>
    <w:rsid w:val="44E80C6E"/>
    <w:rsid w:val="44EA0868"/>
    <w:rsid w:val="44EACC06"/>
    <w:rsid w:val="4500A6CE"/>
    <w:rsid w:val="4505920A"/>
    <w:rsid w:val="450CB6E8"/>
    <w:rsid w:val="450F589D"/>
    <w:rsid w:val="4510E1C9"/>
    <w:rsid w:val="453C5D69"/>
    <w:rsid w:val="454460D8"/>
    <w:rsid w:val="454960F6"/>
    <w:rsid w:val="454D512C"/>
    <w:rsid w:val="454DD001"/>
    <w:rsid w:val="4553209C"/>
    <w:rsid w:val="455C07B4"/>
    <w:rsid w:val="45620BEE"/>
    <w:rsid w:val="45678977"/>
    <w:rsid w:val="456F5827"/>
    <w:rsid w:val="457005C4"/>
    <w:rsid w:val="4574ABB7"/>
    <w:rsid w:val="45764A95"/>
    <w:rsid w:val="4578DF03"/>
    <w:rsid w:val="4586783A"/>
    <w:rsid w:val="458763DD"/>
    <w:rsid w:val="45B22E13"/>
    <w:rsid w:val="45BB1FFD"/>
    <w:rsid w:val="45BB4184"/>
    <w:rsid w:val="45C41986"/>
    <w:rsid w:val="45C6769C"/>
    <w:rsid w:val="45C99A31"/>
    <w:rsid w:val="45CC6501"/>
    <w:rsid w:val="45CD580A"/>
    <w:rsid w:val="45CEAAD1"/>
    <w:rsid w:val="45DB2B18"/>
    <w:rsid w:val="45DFC30D"/>
    <w:rsid w:val="45E05F47"/>
    <w:rsid w:val="45FBD434"/>
    <w:rsid w:val="4608D09F"/>
    <w:rsid w:val="4611DB58"/>
    <w:rsid w:val="4614E965"/>
    <w:rsid w:val="462A7406"/>
    <w:rsid w:val="4631B021"/>
    <w:rsid w:val="463A4248"/>
    <w:rsid w:val="46522CBB"/>
    <w:rsid w:val="46630710"/>
    <w:rsid w:val="466710BF"/>
    <w:rsid w:val="467A9441"/>
    <w:rsid w:val="46828467"/>
    <w:rsid w:val="4688B28F"/>
    <w:rsid w:val="46971974"/>
    <w:rsid w:val="46A4EF89"/>
    <w:rsid w:val="46A88B9A"/>
    <w:rsid w:val="46BA8AC8"/>
    <w:rsid w:val="46D81918"/>
    <w:rsid w:val="46D9B288"/>
    <w:rsid w:val="46E1F444"/>
    <w:rsid w:val="46F2FC4A"/>
    <w:rsid w:val="46F32665"/>
    <w:rsid w:val="46FC509B"/>
    <w:rsid w:val="46FCF7F3"/>
    <w:rsid w:val="47045906"/>
    <w:rsid w:val="470D35E4"/>
    <w:rsid w:val="4715C63F"/>
    <w:rsid w:val="4719F560"/>
    <w:rsid w:val="471BFF4D"/>
    <w:rsid w:val="4721FCAC"/>
    <w:rsid w:val="4723DE28"/>
    <w:rsid w:val="472F1673"/>
    <w:rsid w:val="473ADCBD"/>
    <w:rsid w:val="475552B0"/>
    <w:rsid w:val="475F2333"/>
    <w:rsid w:val="476D7FC5"/>
    <w:rsid w:val="476FAACE"/>
    <w:rsid w:val="4772CD3F"/>
    <w:rsid w:val="47737570"/>
    <w:rsid w:val="47815A7C"/>
    <w:rsid w:val="4788D5BF"/>
    <w:rsid w:val="47A4CC15"/>
    <w:rsid w:val="47B491E5"/>
    <w:rsid w:val="47DB378C"/>
    <w:rsid w:val="47E835E8"/>
    <w:rsid w:val="47EA887B"/>
    <w:rsid w:val="47ED0196"/>
    <w:rsid w:val="47EF8AEA"/>
    <w:rsid w:val="47F76821"/>
    <w:rsid w:val="480AA5A4"/>
    <w:rsid w:val="482D3A80"/>
    <w:rsid w:val="48383423"/>
    <w:rsid w:val="483BB2DE"/>
    <w:rsid w:val="4848C4F0"/>
    <w:rsid w:val="485143F7"/>
    <w:rsid w:val="485494C1"/>
    <w:rsid w:val="4859D44F"/>
    <w:rsid w:val="485A0371"/>
    <w:rsid w:val="485A30AA"/>
    <w:rsid w:val="485CBD52"/>
    <w:rsid w:val="485D4B55"/>
    <w:rsid w:val="485EBA09"/>
    <w:rsid w:val="4861DA30"/>
    <w:rsid w:val="486B9A49"/>
    <w:rsid w:val="487F10F9"/>
    <w:rsid w:val="488093EC"/>
    <w:rsid w:val="4883BE8B"/>
    <w:rsid w:val="48866B6D"/>
    <w:rsid w:val="48941595"/>
    <w:rsid w:val="48A01ED5"/>
    <w:rsid w:val="48A2FCC1"/>
    <w:rsid w:val="48AD317F"/>
    <w:rsid w:val="48B7DBB3"/>
    <w:rsid w:val="48C738AD"/>
    <w:rsid w:val="48D0D05F"/>
    <w:rsid w:val="48E63B02"/>
    <w:rsid w:val="48EE92D2"/>
    <w:rsid w:val="48FB5345"/>
    <w:rsid w:val="49060A88"/>
    <w:rsid w:val="49077D87"/>
    <w:rsid w:val="490B29D2"/>
    <w:rsid w:val="4915FA19"/>
    <w:rsid w:val="4925FD3D"/>
    <w:rsid w:val="49269843"/>
    <w:rsid w:val="492C4AAE"/>
    <w:rsid w:val="49357154"/>
    <w:rsid w:val="493E6884"/>
    <w:rsid w:val="494C1047"/>
    <w:rsid w:val="49540548"/>
    <w:rsid w:val="495F294F"/>
    <w:rsid w:val="4976AE46"/>
    <w:rsid w:val="497D0251"/>
    <w:rsid w:val="4986A4DD"/>
    <w:rsid w:val="4988E892"/>
    <w:rsid w:val="4991DFA1"/>
    <w:rsid w:val="49994A83"/>
    <w:rsid w:val="49A4AD18"/>
    <w:rsid w:val="49A9942D"/>
    <w:rsid w:val="49B23AB5"/>
    <w:rsid w:val="49B8A516"/>
    <w:rsid w:val="49BAB5C8"/>
    <w:rsid w:val="49CDDF81"/>
    <w:rsid w:val="49F54552"/>
    <w:rsid w:val="49FA2067"/>
    <w:rsid w:val="49FBB158"/>
    <w:rsid w:val="4A20DB1A"/>
    <w:rsid w:val="4A266016"/>
    <w:rsid w:val="4A32E36F"/>
    <w:rsid w:val="4A33468E"/>
    <w:rsid w:val="4A36C84C"/>
    <w:rsid w:val="4A556F7F"/>
    <w:rsid w:val="4A5E1D44"/>
    <w:rsid w:val="4A65C0B2"/>
    <w:rsid w:val="4A6741CE"/>
    <w:rsid w:val="4A734268"/>
    <w:rsid w:val="4A74379F"/>
    <w:rsid w:val="4A79A071"/>
    <w:rsid w:val="4A7AC86B"/>
    <w:rsid w:val="4A875696"/>
    <w:rsid w:val="4A89FB79"/>
    <w:rsid w:val="4A92C6C4"/>
    <w:rsid w:val="4A970F41"/>
    <w:rsid w:val="4A9CC7B4"/>
    <w:rsid w:val="4A9E0236"/>
    <w:rsid w:val="4A9FAC3B"/>
    <w:rsid w:val="4ABB8222"/>
    <w:rsid w:val="4ABF2E0C"/>
    <w:rsid w:val="4AC8C396"/>
    <w:rsid w:val="4AE20123"/>
    <w:rsid w:val="4AE2EA14"/>
    <w:rsid w:val="4AE6FFA6"/>
    <w:rsid w:val="4AE8DE7A"/>
    <w:rsid w:val="4AF6C4BB"/>
    <w:rsid w:val="4B1226AA"/>
    <w:rsid w:val="4B16E6A4"/>
    <w:rsid w:val="4B1B56EF"/>
    <w:rsid w:val="4B1FEEF0"/>
    <w:rsid w:val="4B20A576"/>
    <w:rsid w:val="4B2A70B9"/>
    <w:rsid w:val="4B316456"/>
    <w:rsid w:val="4B33F183"/>
    <w:rsid w:val="4B3665F9"/>
    <w:rsid w:val="4B4468EC"/>
    <w:rsid w:val="4B4B0B55"/>
    <w:rsid w:val="4B5F280E"/>
    <w:rsid w:val="4B67EC77"/>
    <w:rsid w:val="4B6DC328"/>
    <w:rsid w:val="4B6E9B73"/>
    <w:rsid w:val="4B70E1ED"/>
    <w:rsid w:val="4B8A5112"/>
    <w:rsid w:val="4B8E2961"/>
    <w:rsid w:val="4B93CA79"/>
    <w:rsid w:val="4B9403F3"/>
    <w:rsid w:val="4BAB78CC"/>
    <w:rsid w:val="4BAFC1BD"/>
    <w:rsid w:val="4BB0D034"/>
    <w:rsid w:val="4BB4DDF3"/>
    <w:rsid w:val="4BBAF78B"/>
    <w:rsid w:val="4BBD0779"/>
    <w:rsid w:val="4BBF6E46"/>
    <w:rsid w:val="4BDA9D83"/>
    <w:rsid w:val="4BEDA4CD"/>
    <w:rsid w:val="4BFA3C00"/>
    <w:rsid w:val="4C094454"/>
    <w:rsid w:val="4C19D572"/>
    <w:rsid w:val="4C1DB7F8"/>
    <w:rsid w:val="4C3A679C"/>
    <w:rsid w:val="4C413141"/>
    <w:rsid w:val="4C47BCA4"/>
    <w:rsid w:val="4C4B548B"/>
    <w:rsid w:val="4C63D25D"/>
    <w:rsid w:val="4C68CBC7"/>
    <w:rsid w:val="4C6BD8A2"/>
    <w:rsid w:val="4C7231CD"/>
    <w:rsid w:val="4C72E225"/>
    <w:rsid w:val="4C737378"/>
    <w:rsid w:val="4C7C818C"/>
    <w:rsid w:val="4C82D751"/>
    <w:rsid w:val="4C841370"/>
    <w:rsid w:val="4C859C10"/>
    <w:rsid w:val="4C8B496E"/>
    <w:rsid w:val="4C906289"/>
    <w:rsid w:val="4C95417B"/>
    <w:rsid w:val="4C964D06"/>
    <w:rsid w:val="4C96B5B3"/>
    <w:rsid w:val="4C9F6BE8"/>
    <w:rsid w:val="4CA4E42F"/>
    <w:rsid w:val="4CAACC0E"/>
    <w:rsid w:val="4CB114E5"/>
    <w:rsid w:val="4CB62513"/>
    <w:rsid w:val="4CB83C82"/>
    <w:rsid w:val="4CC3677C"/>
    <w:rsid w:val="4CD4A72E"/>
    <w:rsid w:val="4CD7B3D2"/>
    <w:rsid w:val="4CDA3559"/>
    <w:rsid w:val="4CE2C0B4"/>
    <w:rsid w:val="4CE81058"/>
    <w:rsid w:val="4CEE83F0"/>
    <w:rsid w:val="4CFD84D2"/>
    <w:rsid w:val="4CFEEBF1"/>
    <w:rsid w:val="4D161732"/>
    <w:rsid w:val="4D179B48"/>
    <w:rsid w:val="4D291698"/>
    <w:rsid w:val="4D319074"/>
    <w:rsid w:val="4D3B5C61"/>
    <w:rsid w:val="4D3CBB72"/>
    <w:rsid w:val="4D3CED73"/>
    <w:rsid w:val="4D466CEE"/>
    <w:rsid w:val="4D4B66BC"/>
    <w:rsid w:val="4D4E2137"/>
    <w:rsid w:val="4D763008"/>
    <w:rsid w:val="4D82C996"/>
    <w:rsid w:val="4D83FE98"/>
    <w:rsid w:val="4D8DE591"/>
    <w:rsid w:val="4D944C47"/>
    <w:rsid w:val="4D94914C"/>
    <w:rsid w:val="4DAF8C68"/>
    <w:rsid w:val="4DBA1EBF"/>
    <w:rsid w:val="4DBD534E"/>
    <w:rsid w:val="4DC0D74F"/>
    <w:rsid w:val="4DC52CDC"/>
    <w:rsid w:val="4DCB21CB"/>
    <w:rsid w:val="4DCCEE21"/>
    <w:rsid w:val="4DD61BCF"/>
    <w:rsid w:val="4DE025E0"/>
    <w:rsid w:val="4DFCE24F"/>
    <w:rsid w:val="4DFF4518"/>
    <w:rsid w:val="4E01568F"/>
    <w:rsid w:val="4E062AEC"/>
    <w:rsid w:val="4E20E5E5"/>
    <w:rsid w:val="4E32EB80"/>
    <w:rsid w:val="4E3CDC32"/>
    <w:rsid w:val="4E426D65"/>
    <w:rsid w:val="4E66724A"/>
    <w:rsid w:val="4E74BADD"/>
    <w:rsid w:val="4E8747F1"/>
    <w:rsid w:val="4E891D9B"/>
    <w:rsid w:val="4E8E8D83"/>
    <w:rsid w:val="4E936FCC"/>
    <w:rsid w:val="4E94BB55"/>
    <w:rsid w:val="4E997C46"/>
    <w:rsid w:val="4EA8B580"/>
    <w:rsid w:val="4EB62977"/>
    <w:rsid w:val="4EB75C6B"/>
    <w:rsid w:val="4EBDF900"/>
    <w:rsid w:val="4EC1D12A"/>
    <w:rsid w:val="4EC6DE6F"/>
    <w:rsid w:val="4EDCCD0A"/>
    <w:rsid w:val="4EE3198E"/>
    <w:rsid w:val="4EE82169"/>
    <w:rsid w:val="4EF84CB3"/>
    <w:rsid w:val="4EFA8B06"/>
    <w:rsid w:val="4EFE7498"/>
    <w:rsid w:val="4EFF9BE9"/>
    <w:rsid w:val="4F0B631F"/>
    <w:rsid w:val="4F14BD88"/>
    <w:rsid w:val="4F2366E1"/>
    <w:rsid w:val="4F295661"/>
    <w:rsid w:val="4F422BC4"/>
    <w:rsid w:val="4F4CA61D"/>
    <w:rsid w:val="4F651BC1"/>
    <w:rsid w:val="4F68EA6A"/>
    <w:rsid w:val="4F6ABDF8"/>
    <w:rsid w:val="4F76BAFE"/>
    <w:rsid w:val="4F8096EE"/>
    <w:rsid w:val="4F83898C"/>
    <w:rsid w:val="4F9B7B59"/>
    <w:rsid w:val="4F9C14F7"/>
    <w:rsid w:val="4F9FB32A"/>
    <w:rsid w:val="4FA37DBC"/>
    <w:rsid w:val="4FB04E36"/>
    <w:rsid w:val="4FBBB55A"/>
    <w:rsid w:val="4FD57623"/>
    <w:rsid w:val="4FD715CD"/>
    <w:rsid w:val="4FE4A990"/>
    <w:rsid w:val="4FE52E32"/>
    <w:rsid w:val="4FE553B9"/>
    <w:rsid w:val="4FF05F33"/>
    <w:rsid w:val="5006830B"/>
    <w:rsid w:val="5012F5CC"/>
    <w:rsid w:val="50152A7F"/>
    <w:rsid w:val="501B7B39"/>
    <w:rsid w:val="501C168F"/>
    <w:rsid w:val="501D0E4D"/>
    <w:rsid w:val="501E777E"/>
    <w:rsid w:val="502A6625"/>
    <w:rsid w:val="50325481"/>
    <w:rsid w:val="50393622"/>
    <w:rsid w:val="503B3413"/>
    <w:rsid w:val="503C73AE"/>
    <w:rsid w:val="5044CC05"/>
    <w:rsid w:val="50503237"/>
    <w:rsid w:val="50655484"/>
    <w:rsid w:val="506EEE25"/>
    <w:rsid w:val="508EE89A"/>
    <w:rsid w:val="50B1A717"/>
    <w:rsid w:val="50B50C6C"/>
    <w:rsid w:val="50B731A9"/>
    <w:rsid w:val="50CCD0CE"/>
    <w:rsid w:val="50CFEBBC"/>
    <w:rsid w:val="50D0E49B"/>
    <w:rsid w:val="50D64CC6"/>
    <w:rsid w:val="50D7AADA"/>
    <w:rsid w:val="50DE2B21"/>
    <w:rsid w:val="50E64E0C"/>
    <w:rsid w:val="50EE56C8"/>
    <w:rsid w:val="50F0521F"/>
    <w:rsid w:val="50F5C562"/>
    <w:rsid w:val="50FDEC30"/>
    <w:rsid w:val="51025CEB"/>
    <w:rsid w:val="5107652F"/>
    <w:rsid w:val="510AB529"/>
    <w:rsid w:val="510F2E3A"/>
    <w:rsid w:val="511655C5"/>
    <w:rsid w:val="512E59DB"/>
    <w:rsid w:val="513CEF03"/>
    <w:rsid w:val="513EF930"/>
    <w:rsid w:val="514373C9"/>
    <w:rsid w:val="51480AE2"/>
    <w:rsid w:val="515AF9B0"/>
    <w:rsid w:val="51625DFF"/>
    <w:rsid w:val="51778AC2"/>
    <w:rsid w:val="517A5FF0"/>
    <w:rsid w:val="51904330"/>
    <w:rsid w:val="519B37CC"/>
    <w:rsid w:val="519FBB9C"/>
    <w:rsid w:val="51B2687C"/>
    <w:rsid w:val="51C0D9DA"/>
    <w:rsid w:val="51D3AD40"/>
    <w:rsid w:val="51DD7A55"/>
    <w:rsid w:val="51EDCA39"/>
    <w:rsid w:val="51F5F2B7"/>
    <w:rsid w:val="51F71898"/>
    <w:rsid w:val="520044E6"/>
    <w:rsid w:val="520626D0"/>
    <w:rsid w:val="520768D6"/>
    <w:rsid w:val="5214CEF6"/>
    <w:rsid w:val="5218150A"/>
    <w:rsid w:val="522EFDF0"/>
    <w:rsid w:val="52313492"/>
    <w:rsid w:val="52353482"/>
    <w:rsid w:val="523CF6DD"/>
    <w:rsid w:val="523D1D2C"/>
    <w:rsid w:val="524D3011"/>
    <w:rsid w:val="52654D55"/>
    <w:rsid w:val="526A14FC"/>
    <w:rsid w:val="52732585"/>
    <w:rsid w:val="5279365A"/>
    <w:rsid w:val="528115A2"/>
    <w:rsid w:val="52963DF9"/>
    <w:rsid w:val="52984CE6"/>
    <w:rsid w:val="529B97EA"/>
    <w:rsid w:val="52A41132"/>
    <w:rsid w:val="52B522B3"/>
    <w:rsid w:val="52CB1E88"/>
    <w:rsid w:val="52D41BBA"/>
    <w:rsid w:val="52E6E469"/>
    <w:rsid w:val="52F057EF"/>
    <w:rsid w:val="52F43BB9"/>
    <w:rsid w:val="52F99C1F"/>
    <w:rsid w:val="52FBD844"/>
    <w:rsid w:val="530694DF"/>
    <w:rsid w:val="532A790A"/>
    <w:rsid w:val="5331AB4F"/>
    <w:rsid w:val="53405246"/>
    <w:rsid w:val="535545D1"/>
    <w:rsid w:val="537FBEB8"/>
    <w:rsid w:val="53898D2F"/>
    <w:rsid w:val="538F587F"/>
    <w:rsid w:val="53911152"/>
    <w:rsid w:val="5396E3CB"/>
    <w:rsid w:val="539A7442"/>
    <w:rsid w:val="539C0CC5"/>
    <w:rsid w:val="53A91557"/>
    <w:rsid w:val="53B19B5C"/>
    <w:rsid w:val="53B25850"/>
    <w:rsid w:val="53C10BFE"/>
    <w:rsid w:val="53C452A1"/>
    <w:rsid w:val="53D406CE"/>
    <w:rsid w:val="53D5EFC3"/>
    <w:rsid w:val="53DD949F"/>
    <w:rsid w:val="53EC3860"/>
    <w:rsid w:val="53EDCFA3"/>
    <w:rsid w:val="53F5EA8B"/>
    <w:rsid w:val="53F8093C"/>
    <w:rsid w:val="54078F34"/>
    <w:rsid w:val="541B1042"/>
    <w:rsid w:val="541CB58C"/>
    <w:rsid w:val="54258072"/>
    <w:rsid w:val="54330DCD"/>
    <w:rsid w:val="543AD925"/>
    <w:rsid w:val="544C0DF1"/>
    <w:rsid w:val="54507916"/>
    <w:rsid w:val="54644AAC"/>
    <w:rsid w:val="54676845"/>
    <w:rsid w:val="54997B21"/>
    <w:rsid w:val="54AE9C75"/>
    <w:rsid w:val="54CA6EC0"/>
    <w:rsid w:val="54CD6998"/>
    <w:rsid w:val="54D10339"/>
    <w:rsid w:val="54DCD610"/>
    <w:rsid w:val="54E23B10"/>
    <w:rsid w:val="54E8BAB2"/>
    <w:rsid w:val="54E94711"/>
    <w:rsid w:val="54EE841E"/>
    <w:rsid w:val="54F0A28F"/>
    <w:rsid w:val="54FBB0D8"/>
    <w:rsid w:val="550230B9"/>
    <w:rsid w:val="551E2B6E"/>
    <w:rsid w:val="5521B09C"/>
    <w:rsid w:val="552549C3"/>
    <w:rsid w:val="55258FFE"/>
    <w:rsid w:val="552830FA"/>
    <w:rsid w:val="553796B7"/>
    <w:rsid w:val="55401039"/>
    <w:rsid w:val="55445947"/>
    <w:rsid w:val="5544BE7A"/>
    <w:rsid w:val="554A88A8"/>
    <w:rsid w:val="554C9F8B"/>
    <w:rsid w:val="554CDD13"/>
    <w:rsid w:val="55638466"/>
    <w:rsid w:val="556B96FB"/>
    <w:rsid w:val="556E63FF"/>
    <w:rsid w:val="5580F302"/>
    <w:rsid w:val="55828935"/>
    <w:rsid w:val="55864297"/>
    <w:rsid w:val="5587C066"/>
    <w:rsid w:val="558A2462"/>
    <w:rsid w:val="5596C3C3"/>
    <w:rsid w:val="559E2F9B"/>
    <w:rsid w:val="55AED5C0"/>
    <w:rsid w:val="55AF1050"/>
    <w:rsid w:val="55B51E88"/>
    <w:rsid w:val="55B8FB72"/>
    <w:rsid w:val="55D81426"/>
    <w:rsid w:val="55E1504A"/>
    <w:rsid w:val="55E60D5A"/>
    <w:rsid w:val="55F13AD8"/>
    <w:rsid w:val="560CE425"/>
    <w:rsid w:val="5611EA77"/>
    <w:rsid w:val="561FFC7B"/>
    <w:rsid w:val="562056B6"/>
    <w:rsid w:val="562CE2D6"/>
    <w:rsid w:val="563901D5"/>
    <w:rsid w:val="564228CD"/>
    <w:rsid w:val="565565CF"/>
    <w:rsid w:val="566D7262"/>
    <w:rsid w:val="567456E7"/>
    <w:rsid w:val="5677EF71"/>
    <w:rsid w:val="567AF888"/>
    <w:rsid w:val="5683B03E"/>
    <w:rsid w:val="56908651"/>
    <w:rsid w:val="569B92ED"/>
    <w:rsid w:val="56B20AF8"/>
    <w:rsid w:val="56B7935A"/>
    <w:rsid w:val="56B85B06"/>
    <w:rsid w:val="56CEF15F"/>
    <w:rsid w:val="56D433EC"/>
    <w:rsid w:val="56E96580"/>
    <w:rsid w:val="57006E59"/>
    <w:rsid w:val="57099AE6"/>
    <w:rsid w:val="57126E60"/>
    <w:rsid w:val="5716DA1D"/>
    <w:rsid w:val="571FB8BB"/>
    <w:rsid w:val="5723268B"/>
    <w:rsid w:val="572647F8"/>
    <w:rsid w:val="573B454D"/>
    <w:rsid w:val="5746EB8C"/>
    <w:rsid w:val="57471786"/>
    <w:rsid w:val="57530F25"/>
    <w:rsid w:val="576155AB"/>
    <w:rsid w:val="5770194E"/>
    <w:rsid w:val="5781F340"/>
    <w:rsid w:val="579ECE93"/>
    <w:rsid w:val="57B21764"/>
    <w:rsid w:val="57B303DD"/>
    <w:rsid w:val="57BB92F3"/>
    <w:rsid w:val="57BE16D2"/>
    <w:rsid w:val="57BEE0BA"/>
    <w:rsid w:val="57C60DC9"/>
    <w:rsid w:val="57D72506"/>
    <w:rsid w:val="57E19FA4"/>
    <w:rsid w:val="57E34A00"/>
    <w:rsid w:val="57E392E0"/>
    <w:rsid w:val="57F15729"/>
    <w:rsid w:val="58008726"/>
    <w:rsid w:val="580B0D1C"/>
    <w:rsid w:val="58214E7B"/>
    <w:rsid w:val="582570C2"/>
    <w:rsid w:val="5834502D"/>
    <w:rsid w:val="58352F46"/>
    <w:rsid w:val="58727F9E"/>
    <w:rsid w:val="587F5D2D"/>
    <w:rsid w:val="58800BE0"/>
    <w:rsid w:val="5895543C"/>
    <w:rsid w:val="58A16AA5"/>
    <w:rsid w:val="58A8C00D"/>
    <w:rsid w:val="58ADDDB2"/>
    <w:rsid w:val="58B4ECD6"/>
    <w:rsid w:val="58C60E4F"/>
    <w:rsid w:val="58D4E710"/>
    <w:rsid w:val="58DF0164"/>
    <w:rsid w:val="58E9D853"/>
    <w:rsid w:val="5901A325"/>
    <w:rsid w:val="59073DA6"/>
    <w:rsid w:val="590D8747"/>
    <w:rsid w:val="590DA22D"/>
    <w:rsid w:val="5912A7F0"/>
    <w:rsid w:val="591ADB00"/>
    <w:rsid w:val="591BEBE2"/>
    <w:rsid w:val="5924DEC1"/>
    <w:rsid w:val="592B4E40"/>
    <w:rsid w:val="592C6C0C"/>
    <w:rsid w:val="5932E46E"/>
    <w:rsid w:val="5933DD15"/>
    <w:rsid w:val="5935F88F"/>
    <w:rsid w:val="593C7488"/>
    <w:rsid w:val="594B1B8A"/>
    <w:rsid w:val="594C3495"/>
    <w:rsid w:val="594D03B8"/>
    <w:rsid w:val="595E3080"/>
    <w:rsid w:val="59661A60"/>
    <w:rsid w:val="597F1EBF"/>
    <w:rsid w:val="5980A3D0"/>
    <w:rsid w:val="598BFEC3"/>
    <w:rsid w:val="59956FD7"/>
    <w:rsid w:val="59A57668"/>
    <w:rsid w:val="59B498D8"/>
    <w:rsid w:val="59B577B7"/>
    <w:rsid w:val="59C980BC"/>
    <w:rsid w:val="59D7E10B"/>
    <w:rsid w:val="59D8BAA6"/>
    <w:rsid w:val="59EB2D1C"/>
    <w:rsid w:val="59EF7FCC"/>
    <w:rsid w:val="59F849B0"/>
    <w:rsid w:val="59F9DCB0"/>
    <w:rsid w:val="59FD93F9"/>
    <w:rsid w:val="59FEF2CE"/>
    <w:rsid w:val="5A0E77AB"/>
    <w:rsid w:val="5A115B7A"/>
    <w:rsid w:val="5A15199C"/>
    <w:rsid w:val="5A173090"/>
    <w:rsid w:val="5A1FB473"/>
    <w:rsid w:val="5A265FD3"/>
    <w:rsid w:val="5A3F878E"/>
    <w:rsid w:val="5A3FD4EC"/>
    <w:rsid w:val="5A4C6EDB"/>
    <w:rsid w:val="5A56C540"/>
    <w:rsid w:val="5A5C79D2"/>
    <w:rsid w:val="5A8A263C"/>
    <w:rsid w:val="5A8B4DFF"/>
    <w:rsid w:val="5A92EC52"/>
    <w:rsid w:val="5A95BDA7"/>
    <w:rsid w:val="5A986589"/>
    <w:rsid w:val="5A9CA7A8"/>
    <w:rsid w:val="5AB65A44"/>
    <w:rsid w:val="5AC679EF"/>
    <w:rsid w:val="5ACFB28E"/>
    <w:rsid w:val="5AD7D3D3"/>
    <w:rsid w:val="5AE04D81"/>
    <w:rsid w:val="5B19E937"/>
    <w:rsid w:val="5B1A98B2"/>
    <w:rsid w:val="5B1E0AD0"/>
    <w:rsid w:val="5B24F4B6"/>
    <w:rsid w:val="5B2F338E"/>
    <w:rsid w:val="5B375038"/>
    <w:rsid w:val="5B3E1C18"/>
    <w:rsid w:val="5B437706"/>
    <w:rsid w:val="5B604A21"/>
    <w:rsid w:val="5B6AD384"/>
    <w:rsid w:val="5B6C1063"/>
    <w:rsid w:val="5B726FA8"/>
    <w:rsid w:val="5B849978"/>
    <w:rsid w:val="5B86536E"/>
    <w:rsid w:val="5B889518"/>
    <w:rsid w:val="5B9801EC"/>
    <w:rsid w:val="5B9E666E"/>
    <w:rsid w:val="5BA6B7A5"/>
    <w:rsid w:val="5BAC9033"/>
    <w:rsid w:val="5BB0D913"/>
    <w:rsid w:val="5BB70FE4"/>
    <w:rsid w:val="5BC0A51F"/>
    <w:rsid w:val="5BC837DE"/>
    <w:rsid w:val="5BCC109D"/>
    <w:rsid w:val="5BD3AA8F"/>
    <w:rsid w:val="5BD8E6DF"/>
    <w:rsid w:val="5BDC87E0"/>
    <w:rsid w:val="5BDF0476"/>
    <w:rsid w:val="5BE093DA"/>
    <w:rsid w:val="5BE3767F"/>
    <w:rsid w:val="5BF3CCDF"/>
    <w:rsid w:val="5BF4E307"/>
    <w:rsid w:val="5BF794A0"/>
    <w:rsid w:val="5C0318D9"/>
    <w:rsid w:val="5C06C815"/>
    <w:rsid w:val="5C07F5B3"/>
    <w:rsid w:val="5C3329FE"/>
    <w:rsid w:val="5C387809"/>
    <w:rsid w:val="5C3D60B6"/>
    <w:rsid w:val="5C43AECC"/>
    <w:rsid w:val="5C4B8C1C"/>
    <w:rsid w:val="5C58E13F"/>
    <w:rsid w:val="5C713F53"/>
    <w:rsid w:val="5C7F654A"/>
    <w:rsid w:val="5C841FA1"/>
    <w:rsid w:val="5C85BE84"/>
    <w:rsid w:val="5CA62A5B"/>
    <w:rsid w:val="5CA9B99C"/>
    <w:rsid w:val="5CB1F705"/>
    <w:rsid w:val="5CB63642"/>
    <w:rsid w:val="5CBAD0CA"/>
    <w:rsid w:val="5CBF2B7D"/>
    <w:rsid w:val="5CC34A72"/>
    <w:rsid w:val="5CC3BDED"/>
    <w:rsid w:val="5CC98D5D"/>
    <w:rsid w:val="5CCFF185"/>
    <w:rsid w:val="5CD1CD1D"/>
    <w:rsid w:val="5CF477D0"/>
    <w:rsid w:val="5CFAB726"/>
    <w:rsid w:val="5CFE5BF5"/>
    <w:rsid w:val="5D02E152"/>
    <w:rsid w:val="5D0A462E"/>
    <w:rsid w:val="5D109F22"/>
    <w:rsid w:val="5D1585D7"/>
    <w:rsid w:val="5D1E2764"/>
    <w:rsid w:val="5D216BFD"/>
    <w:rsid w:val="5D2E8DE0"/>
    <w:rsid w:val="5D3E4A5B"/>
    <w:rsid w:val="5D3F9078"/>
    <w:rsid w:val="5D4A72FE"/>
    <w:rsid w:val="5D4BA3BC"/>
    <w:rsid w:val="5D9BE9FF"/>
    <w:rsid w:val="5DAC656B"/>
    <w:rsid w:val="5DAF939B"/>
    <w:rsid w:val="5DB7F058"/>
    <w:rsid w:val="5DB91BF7"/>
    <w:rsid w:val="5DC0B26D"/>
    <w:rsid w:val="5DCFF66A"/>
    <w:rsid w:val="5DD4486A"/>
    <w:rsid w:val="5DD77F5B"/>
    <w:rsid w:val="5DD9CAD7"/>
    <w:rsid w:val="5DE9AB6C"/>
    <w:rsid w:val="5DFAD41F"/>
    <w:rsid w:val="5E0B0A13"/>
    <w:rsid w:val="5E142CCC"/>
    <w:rsid w:val="5E16CE61"/>
    <w:rsid w:val="5E318152"/>
    <w:rsid w:val="5E338802"/>
    <w:rsid w:val="5E43E645"/>
    <w:rsid w:val="5E4E9C65"/>
    <w:rsid w:val="5E584224"/>
    <w:rsid w:val="5E66A82F"/>
    <w:rsid w:val="5E68D61F"/>
    <w:rsid w:val="5E73AFD9"/>
    <w:rsid w:val="5E7D4937"/>
    <w:rsid w:val="5E82A28E"/>
    <w:rsid w:val="5E8B2A87"/>
    <w:rsid w:val="5E8CEB74"/>
    <w:rsid w:val="5E90413D"/>
    <w:rsid w:val="5E919029"/>
    <w:rsid w:val="5E97693A"/>
    <w:rsid w:val="5E97746E"/>
    <w:rsid w:val="5EBB196B"/>
    <w:rsid w:val="5EC15581"/>
    <w:rsid w:val="5EDDD71A"/>
    <w:rsid w:val="5EEA2C28"/>
    <w:rsid w:val="5EEE589B"/>
    <w:rsid w:val="5EF64A48"/>
    <w:rsid w:val="5EFE966C"/>
    <w:rsid w:val="5F0BA7C9"/>
    <w:rsid w:val="5F10701D"/>
    <w:rsid w:val="5F14A435"/>
    <w:rsid w:val="5F16568C"/>
    <w:rsid w:val="5F1B603D"/>
    <w:rsid w:val="5F1D0002"/>
    <w:rsid w:val="5F20EFE3"/>
    <w:rsid w:val="5F23B8E1"/>
    <w:rsid w:val="5F2CB3CD"/>
    <w:rsid w:val="5F2E06FE"/>
    <w:rsid w:val="5F355245"/>
    <w:rsid w:val="5F36C0CF"/>
    <w:rsid w:val="5F3DD2C7"/>
    <w:rsid w:val="5F4BD392"/>
    <w:rsid w:val="5F5312F6"/>
    <w:rsid w:val="5F56B15F"/>
    <w:rsid w:val="5F611A22"/>
    <w:rsid w:val="5F767A84"/>
    <w:rsid w:val="5F7A9A1D"/>
    <w:rsid w:val="5F98ABC5"/>
    <w:rsid w:val="5F9A1B18"/>
    <w:rsid w:val="5F9C3D7E"/>
    <w:rsid w:val="5F9D5EBF"/>
    <w:rsid w:val="5FA01865"/>
    <w:rsid w:val="5FA240A1"/>
    <w:rsid w:val="5FAEA3CC"/>
    <w:rsid w:val="5FC51F4C"/>
    <w:rsid w:val="5FCA540B"/>
    <w:rsid w:val="5FD309E4"/>
    <w:rsid w:val="5FEF5E4F"/>
    <w:rsid w:val="5FF5F839"/>
    <w:rsid w:val="5FF8F9FD"/>
    <w:rsid w:val="5FF943BD"/>
    <w:rsid w:val="5FFE0463"/>
    <w:rsid w:val="60007FAF"/>
    <w:rsid w:val="60209DB8"/>
    <w:rsid w:val="6025B315"/>
    <w:rsid w:val="603D5313"/>
    <w:rsid w:val="605CB0E3"/>
    <w:rsid w:val="605EC8C2"/>
    <w:rsid w:val="606642C2"/>
    <w:rsid w:val="6068620C"/>
    <w:rsid w:val="6068F025"/>
    <w:rsid w:val="606C036E"/>
    <w:rsid w:val="6075A54D"/>
    <w:rsid w:val="6075E340"/>
    <w:rsid w:val="6080CAB8"/>
    <w:rsid w:val="60834443"/>
    <w:rsid w:val="60886811"/>
    <w:rsid w:val="6089F544"/>
    <w:rsid w:val="608B7F10"/>
    <w:rsid w:val="60B5807C"/>
    <w:rsid w:val="60B98734"/>
    <w:rsid w:val="60D05626"/>
    <w:rsid w:val="60D66A07"/>
    <w:rsid w:val="60D99E4E"/>
    <w:rsid w:val="60F17EC7"/>
    <w:rsid w:val="60F81B2B"/>
    <w:rsid w:val="60F95F05"/>
    <w:rsid w:val="60FBB70D"/>
    <w:rsid w:val="60FD6E3B"/>
    <w:rsid w:val="60FE0E23"/>
    <w:rsid w:val="61028081"/>
    <w:rsid w:val="6112B4BA"/>
    <w:rsid w:val="61212AB6"/>
    <w:rsid w:val="61308550"/>
    <w:rsid w:val="61336659"/>
    <w:rsid w:val="613B1FD8"/>
    <w:rsid w:val="61401227"/>
    <w:rsid w:val="6146B84B"/>
    <w:rsid w:val="614BCD8E"/>
    <w:rsid w:val="614D088C"/>
    <w:rsid w:val="61520C3D"/>
    <w:rsid w:val="61530D2B"/>
    <w:rsid w:val="61737DF1"/>
    <w:rsid w:val="61757111"/>
    <w:rsid w:val="618B29F2"/>
    <w:rsid w:val="618EDF88"/>
    <w:rsid w:val="619C9EF9"/>
    <w:rsid w:val="61A0D697"/>
    <w:rsid w:val="61B0F504"/>
    <w:rsid w:val="61C35104"/>
    <w:rsid w:val="61C96B90"/>
    <w:rsid w:val="61CBB7B6"/>
    <w:rsid w:val="61CDAA6F"/>
    <w:rsid w:val="61CE6AFD"/>
    <w:rsid w:val="61D49ADB"/>
    <w:rsid w:val="61DDAACE"/>
    <w:rsid w:val="61E10187"/>
    <w:rsid w:val="61E92E78"/>
    <w:rsid w:val="61EB2EC0"/>
    <w:rsid w:val="620BF6B3"/>
    <w:rsid w:val="621EB832"/>
    <w:rsid w:val="621F1866"/>
    <w:rsid w:val="622C4F7C"/>
    <w:rsid w:val="6232C0CC"/>
    <w:rsid w:val="6238CBA0"/>
    <w:rsid w:val="623F9586"/>
    <w:rsid w:val="6245CF30"/>
    <w:rsid w:val="62472813"/>
    <w:rsid w:val="624855B4"/>
    <w:rsid w:val="6251AA62"/>
    <w:rsid w:val="62576CD0"/>
    <w:rsid w:val="625C69D2"/>
    <w:rsid w:val="625DF008"/>
    <w:rsid w:val="625FF096"/>
    <w:rsid w:val="6278EEAD"/>
    <w:rsid w:val="6288993B"/>
    <w:rsid w:val="6298427D"/>
    <w:rsid w:val="629F74CB"/>
    <w:rsid w:val="62A23752"/>
    <w:rsid w:val="62A5E33C"/>
    <w:rsid w:val="62BC4606"/>
    <w:rsid w:val="62D01AFF"/>
    <w:rsid w:val="62D5CA36"/>
    <w:rsid w:val="630CC060"/>
    <w:rsid w:val="6324A091"/>
    <w:rsid w:val="63266A14"/>
    <w:rsid w:val="63270023"/>
    <w:rsid w:val="6334B9AB"/>
    <w:rsid w:val="6346E02F"/>
    <w:rsid w:val="634B6DA0"/>
    <w:rsid w:val="6352D23B"/>
    <w:rsid w:val="63567513"/>
    <w:rsid w:val="6359BD94"/>
    <w:rsid w:val="63636A60"/>
    <w:rsid w:val="636B019B"/>
    <w:rsid w:val="6374CAB9"/>
    <w:rsid w:val="6377D74A"/>
    <w:rsid w:val="6379A009"/>
    <w:rsid w:val="637F078F"/>
    <w:rsid w:val="638AB6A8"/>
    <w:rsid w:val="638D500B"/>
    <w:rsid w:val="6391D1CF"/>
    <w:rsid w:val="639ABAFC"/>
    <w:rsid w:val="63A91EB3"/>
    <w:rsid w:val="63C7FEED"/>
    <w:rsid w:val="63D3C3F8"/>
    <w:rsid w:val="63D4D554"/>
    <w:rsid w:val="63ED142D"/>
    <w:rsid w:val="63EF49F1"/>
    <w:rsid w:val="63F9C4CB"/>
    <w:rsid w:val="640B5D59"/>
    <w:rsid w:val="64102B0C"/>
    <w:rsid w:val="641EA8A0"/>
    <w:rsid w:val="641EC0F6"/>
    <w:rsid w:val="6422FBF1"/>
    <w:rsid w:val="64258463"/>
    <w:rsid w:val="64258EFB"/>
    <w:rsid w:val="64262912"/>
    <w:rsid w:val="6437C974"/>
    <w:rsid w:val="643D75A4"/>
    <w:rsid w:val="644349B9"/>
    <w:rsid w:val="64463A59"/>
    <w:rsid w:val="644B7774"/>
    <w:rsid w:val="6451E757"/>
    <w:rsid w:val="6460ED9B"/>
    <w:rsid w:val="6463937C"/>
    <w:rsid w:val="646ABB6F"/>
    <w:rsid w:val="6480C31B"/>
    <w:rsid w:val="64860FE5"/>
    <w:rsid w:val="648CDCA7"/>
    <w:rsid w:val="6495311F"/>
    <w:rsid w:val="64CDEBE0"/>
    <w:rsid w:val="64DA1506"/>
    <w:rsid w:val="64E30FC2"/>
    <w:rsid w:val="64EE6C75"/>
    <w:rsid w:val="64F5E37F"/>
    <w:rsid w:val="64FB6BF7"/>
    <w:rsid w:val="650F70A3"/>
    <w:rsid w:val="65128C57"/>
    <w:rsid w:val="651ACF5A"/>
    <w:rsid w:val="651DF00D"/>
    <w:rsid w:val="6521AB85"/>
    <w:rsid w:val="6525019C"/>
    <w:rsid w:val="652F39F5"/>
    <w:rsid w:val="65334197"/>
    <w:rsid w:val="65352254"/>
    <w:rsid w:val="654F2DBA"/>
    <w:rsid w:val="65563E04"/>
    <w:rsid w:val="6559AE55"/>
    <w:rsid w:val="6574F02F"/>
    <w:rsid w:val="657B5192"/>
    <w:rsid w:val="657D6FF2"/>
    <w:rsid w:val="657EC3BF"/>
    <w:rsid w:val="658D4776"/>
    <w:rsid w:val="658F5BDA"/>
    <w:rsid w:val="659F7704"/>
    <w:rsid w:val="65AA6C86"/>
    <w:rsid w:val="65B11DBA"/>
    <w:rsid w:val="65B92F96"/>
    <w:rsid w:val="65BE4EB5"/>
    <w:rsid w:val="65C9E15D"/>
    <w:rsid w:val="65CB21CF"/>
    <w:rsid w:val="65CDC29B"/>
    <w:rsid w:val="65E013E5"/>
    <w:rsid w:val="65E2FF39"/>
    <w:rsid w:val="65EA475F"/>
    <w:rsid w:val="65EEE96C"/>
    <w:rsid w:val="65F1771E"/>
    <w:rsid w:val="65F24BC7"/>
    <w:rsid w:val="660083AC"/>
    <w:rsid w:val="660A770A"/>
    <w:rsid w:val="660E8C45"/>
    <w:rsid w:val="6621F2FA"/>
    <w:rsid w:val="6624D224"/>
    <w:rsid w:val="66322828"/>
    <w:rsid w:val="663C0746"/>
    <w:rsid w:val="663C0795"/>
    <w:rsid w:val="663D48B8"/>
    <w:rsid w:val="66498513"/>
    <w:rsid w:val="666C72DA"/>
    <w:rsid w:val="669E8E21"/>
    <w:rsid w:val="66A7040E"/>
    <w:rsid w:val="66BBC8B8"/>
    <w:rsid w:val="66D30E07"/>
    <w:rsid w:val="66D3DDD0"/>
    <w:rsid w:val="66D89D67"/>
    <w:rsid w:val="66F529D1"/>
    <w:rsid w:val="66F709B4"/>
    <w:rsid w:val="66F78974"/>
    <w:rsid w:val="6739B358"/>
    <w:rsid w:val="673B0238"/>
    <w:rsid w:val="67457A38"/>
    <w:rsid w:val="674A0FA0"/>
    <w:rsid w:val="674F516D"/>
    <w:rsid w:val="674F7E2D"/>
    <w:rsid w:val="675AACD4"/>
    <w:rsid w:val="675AC91F"/>
    <w:rsid w:val="67730775"/>
    <w:rsid w:val="6773CBE2"/>
    <w:rsid w:val="67787C28"/>
    <w:rsid w:val="678C3196"/>
    <w:rsid w:val="6794751C"/>
    <w:rsid w:val="6799FF16"/>
    <w:rsid w:val="679A0DB9"/>
    <w:rsid w:val="67AA7096"/>
    <w:rsid w:val="67C42E2C"/>
    <w:rsid w:val="67CBAF0A"/>
    <w:rsid w:val="67E082E6"/>
    <w:rsid w:val="67EBF6B7"/>
    <w:rsid w:val="67FC2D43"/>
    <w:rsid w:val="6807D5DD"/>
    <w:rsid w:val="680BF979"/>
    <w:rsid w:val="680E52A0"/>
    <w:rsid w:val="680EB0B3"/>
    <w:rsid w:val="683DA4D2"/>
    <w:rsid w:val="686B9B60"/>
    <w:rsid w:val="6878C00B"/>
    <w:rsid w:val="6882D6C7"/>
    <w:rsid w:val="6885D5BC"/>
    <w:rsid w:val="688D4D6F"/>
    <w:rsid w:val="68963B04"/>
    <w:rsid w:val="6896F9F8"/>
    <w:rsid w:val="68C1B996"/>
    <w:rsid w:val="68CCFE93"/>
    <w:rsid w:val="68D68A70"/>
    <w:rsid w:val="68DBC467"/>
    <w:rsid w:val="68EBAD67"/>
    <w:rsid w:val="68F1C4B4"/>
    <w:rsid w:val="69076006"/>
    <w:rsid w:val="69136C9B"/>
    <w:rsid w:val="691A5154"/>
    <w:rsid w:val="693FECBD"/>
    <w:rsid w:val="694BEDD8"/>
    <w:rsid w:val="694CBCD2"/>
    <w:rsid w:val="694FF52C"/>
    <w:rsid w:val="6962C441"/>
    <w:rsid w:val="696735E9"/>
    <w:rsid w:val="696D189D"/>
    <w:rsid w:val="696DDB70"/>
    <w:rsid w:val="6971F36D"/>
    <w:rsid w:val="697531F1"/>
    <w:rsid w:val="697A3305"/>
    <w:rsid w:val="69814EC4"/>
    <w:rsid w:val="698B5198"/>
    <w:rsid w:val="698E17E0"/>
    <w:rsid w:val="69A8E4E7"/>
    <w:rsid w:val="69B2DDD9"/>
    <w:rsid w:val="69BD10F6"/>
    <w:rsid w:val="69C5E9B0"/>
    <w:rsid w:val="69DC227A"/>
    <w:rsid w:val="69EA1B2E"/>
    <w:rsid w:val="69EDA90A"/>
    <w:rsid w:val="69F96413"/>
    <w:rsid w:val="69FF4AB7"/>
    <w:rsid w:val="69FFFB9A"/>
    <w:rsid w:val="6A12AB8A"/>
    <w:rsid w:val="6A1526A8"/>
    <w:rsid w:val="6A22A73B"/>
    <w:rsid w:val="6A31CF61"/>
    <w:rsid w:val="6A4D470A"/>
    <w:rsid w:val="6A526C7A"/>
    <w:rsid w:val="6A55F332"/>
    <w:rsid w:val="6A567389"/>
    <w:rsid w:val="6A584863"/>
    <w:rsid w:val="6A80FC93"/>
    <w:rsid w:val="6A81C064"/>
    <w:rsid w:val="6A84545E"/>
    <w:rsid w:val="6A8F585D"/>
    <w:rsid w:val="6AA75F82"/>
    <w:rsid w:val="6AAD85BB"/>
    <w:rsid w:val="6AAE07F6"/>
    <w:rsid w:val="6AB09232"/>
    <w:rsid w:val="6AB0E7BF"/>
    <w:rsid w:val="6AB6C4E0"/>
    <w:rsid w:val="6ABE7E72"/>
    <w:rsid w:val="6AD98777"/>
    <w:rsid w:val="6AE72E6F"/>
    <w:rsid w:val="6AFF3D0C"/>
    <w:rsid w:val="6B0055AB"/>
    <w:rsid w:val="6B034FCC"/>
    <w:rsid w:val="6B0C988D"/>
    <w:rsid w:val="6B0E58E2"/>
    <w:rsid w:val="6B2FE1E9"/>
    <w:rsid w:val="6B394C9B"/>
    <w:rsid w:val="6B3BEF00"/>
    <w:rsid w:val="6B4138F6"/>
    <w:rsid w:val="6B55A75C"/>
    <w:rsid w:val="6B5DA8C0"/>
    <w:rsid w:val="6B6F40C2"/>
    <w:rsid w:val="6B80F54A"/>
    <w:rsid w:val="6B8657BD"/>
    <w:rsid w:val="6B8859A0"/>
    <w:rsid w:val="6B8C2C3F"/>
    <w:rsid w:val="6B98EE2D"/>
    <w:rsid w:val="6B9F1BE3"/>
    <w:rsid w:val="6BA18D77"/>
    <w:rsid w:val="6BB6A79E"/>
    <w:rsid w:val="6BC3F5EF"/>
    <w:rsid w:val="6BD47293"/>
    <w:rsid w:val="6BEE2B53"/>
    <w:rsid w:val="6C26360E"/>
    <w:rsid w:val="6C300267"/>
    <w:rsid w:val="6C48FBF0"/>
    <w:rsid w:val="6C4C6562"/>
    <w:rsid w:val="6C59A4E6"/>
    <w:rsid w:val="6C640EA0"/>
    <w:rsid w:val="6C642825"/>
    <w:rsid w:val="6C6484D5"/>
    <w:rsid w:val="6C65B098"/>
    <w:rsid w:val="6C665334"/>
    <w:rsid w:val="6C79C087"/>
    <w:rsid w:val="6C8F9E9C"/>
    <w:rsid w:val="6C950CB6"/>
    <w:rsid w:val="6C99C7C5"/>
    <w:rsid w:val="6CAAB87E"/>
    <w:rsid w:val="6CC1CC86"/>
    <w:rsid w:val="6CCC6DC4"/>
    <w:rsid w:val="6CD5FB63"/>
    <w:rsid w:val="6CDAD313"/>
    <w:rsid w:val="6CE69AFD"/>
    <w:rsid w:val="6D0341C5"/>
    <w:rsid w:val="6D0903CD"/>
    <w:rsid w:val="6D0DED2F"/>
    <w:rsid w:val="6D16B75F"/>
    <w:rsid w:val="6D17113E"/>
    <w:rsid w:val="6D1772A6"/>
    <w:rsid w:val="6D21D0C9"/>
    <w:rsid w:val="6D225550"/>
    <w:rsid w:val="6D3C7034"/>
    <w:rsid w:val="6D411CBE"/>
    <w:rsid w:val="6D4AA9D0"/>
    <w:rsid w:val="6D530701"/>
    <w:rsid w:val="6D612340"/>
    <w:rsid w:val="6D8FE723"/>
    <w:rsid w:val="6DA30575"/>
    <w:rsid w:val="6DABFC70"/>
    <w:rsid w:val="6DAEB658"/>
    <w:rsid w:val="6DC6E2DD"/>
    <w:rsid w:val="6DD67C41"/>
    <w:rsid w:val="6DFF09FC"/>
    <w:rsid w:val="6E108458"/>
    <w:rsid w:val="6E29D7B4"/>
    <w:rsid w:val="6E38FD1F"/>
    <w:rsid w:val="6E43F78E"/>
    <w:rsid w:val="6E477F2B"/>
    <w:rsid w:val="6E553BC2"/>
    <w:rsid w:val="6E55FBB1"/>
    <w:rsid w:val="6E601FB9"/>
    <w:rsid w:val="6E604F11"/>
    <w:rsid w:val="6E72794B"/>
    <w:rsid w:val="6E7F670D"/>
    <w:rsid w:val="6E8D17E4"/>
    <w:rsid w:val="6E91A49C"/>
    <w:rsid w:val="6EA500DA"/>
    <w:rsid w:val="6EE38AB4"/>
    <w:rsid w:val="6EF2A92F"/>
    <w:rsid w:val="6EF7A35F"/>
    <w:rsid w:val="6EF842E1"/>
    <w:rsid w:val="6EFBC450"/>
    <w:rsid w:val="6EFD95AA"/>
    <w:rsid w:val="6EFDA33F"/>
    <w:rsid w:val="6F03F138"/>
    <w:rsid w:val="6F05AA6E"/>
    <w:rsid w:val="6F1B705D"/>
    <w:rsid w:val="6F1D2341"/>
    <w:rsid w:val="6F266547"/>
    <w:rsid w:val="6F2E0685"/>
    <w:rsid w:val="6F4A1540"/>
    <w:rsid w:val="6F53E3D6"/>
    <w:rsid w:val="6F5A40D7"/>
    <w:rsid w:val="6F7F2C2C"/>
    <w:rsid w:val="6F7FA5F5"/>
    <w:rsid w:val="6F9638B5"/>
    <w:rsid w:val="6F9DFA71"/>
    <w:rsid w:val="6FB0F006"/>
    <w:rsid w:val="6FBEFB5E"/>
    <w:rsid w:val="6FC6F99F"/>
    <w:rsid w:val="6FCBE898"/>
    <w:rsid w:val="6FCDEDB8"/>
    <w:rsid w:val="6FCE9FE5"/>
    <w:rsid w:val="6FD317BB"/>
    <w:rsid w:val="6FD6E7A7"/>
    <w:rsid w:val="6FD85A7B"/>
    <w:rsid w:val="6FE11959"/>
    <w:rsid w:val="6FE3A99B"/>
    <w:rsid w:val="6FFD96A0"/>
    <w:rsid w:val="700AEA01"/>
    <w:rsid w:val="700D28DD"/>
    <w:rsid w:val="702B38E8"/>
    <w:rsid w:val="7038F181"/>
    <w:rsid w:val="703D0843"/>
    <w:rsid w:val="703E39FC"/>
    <w:rsid w:val="703FF7CE"/>
    <w:rsid w:val="7041BFA3"/>
    <w:rsid w:val="7046F97F"/>
    <w:rsid w:val="704D7EF4"/>
    <w:rsid w:val="70561AE0"/>
    <w:rsid w:val="705C7470"/>
    <w:rsid w:val="7065F8AA"/>
    <w:rsid w:val="706E4AD4"/>
    <w:rsid w:val="707B6DEC"/>
    <w:rsid w:val="707B8A5F"/>
    <w:rsid w:val="70804615"/>
    <w:rsid w:val="70889088"/>
    <w:rsid w:val="708FF395"/>
    <w:rsid w:val="70B29478"/>
    <w:rsid w:val="70B6AE73"/>
    <w:rsid w:val="70C6915E"/>
    <w:rsid w:val="70CDC594"/>
    <w:rsid w:val="70D409C0"/>
    <w:rsid w:val="70DEDA6A"/>
    <w:rsid w:val="70DF78F1"/>
    <w:rsid w:val="70FA2D3A"/>
    <w:rsid w:val="7103A8BA"/>
    <w:rsid w:val="71083550"/>
    <w:rsid w:val="711B7656"/>
    <w:rsid w:val="71297A23"/>
    <w:rsid w:val="71329E65"/>
    <w:rsid w:val="713B1C87"/>
    <w:rsid w:val="713CB2FD"/>
    <w:rsid w:val="7144AB5E"/>
    <w:rsid w:val="71487D0D"/>
    <w:rsid w:val="7161D150"/>
    <w:rsid w:val="716DE718"/>
    <w:rsid w:val="717119A5"/>
    <w:rsid w:val="71719709"/>
    <w:rsid w:val="7173858C"/>
    <w:rsid w:val="7176EEA3"/>
    <w:rsid w:val="7184779E"/>
    <w:rsid w:val="718770C5"/>
    <w:rsid w:val="718D53C0"/>
    <w:rsid w:val="71913A74"/>
    <w:rsid w:val="719709AA"/>
    <w:rsid w:val="719AC192"/>
    <w:rsid w:val="71A42BE5"/>
    <w:rsid w:val="71A5C713"/>
    <w:rsid w:val="71AB0B25"/>
    <w:rsid w:val="71C21C2E"/>
    <w:rsid w:val="71C80CDD"/>
    <w:rsid w:val="71D14AF3"/>
    <w:rsid w:val="71DC198F"/>
    <w:rsid w:val="71E89D49"/>
    <w:rsid w:val="71EAC406"/>
    <w:rsid w:val="7208E5F5"/>
    <w:rsid w:val="7242DBB0"/>
    <w:rsid w:val="72568A95"/>
    <w:rsid w:val="7256A0EA"/>
    <w:rsid w:val="726637E0"/>
    <w:rsid w:val="72686B1F"/>
    <w:rsid w:val="726E71F1"/>
    <w:rsid w:val="728BD214"/>
    <w:rsid w:val="72A5ABEA"/>
    <w:rsid w:val="72ACBEE3"/>
    <w:rsid w:val="72CA6B48"/>
    <w:rsid w:val="72D657CE"/>
    <w:rsid w:val="72DB810E"/>
    <w:rsid w:val="72E1642F"/>
    <w:rsid w:val="72FF6A3B"/>
    <w:rsid w:val="7303C0BF"/>
    <w:rsid w:val="7303F935"/>
    <w:rsid w:val="7318F6FF"/>
    <w:rsid w:val="731C83A7"/>
    <w:rsid w:val="731FC7BC"/>
    <w:rsid w:val="73239237"/>
    <w:rsid w:val="7335143E"/>
    <w:rsid w:val="73432E46"/>
    <w:rsid w:val="73517961"/>
    <w:rsid w:val="735430E8"/>
    <w:rsid w:val="7355CFE6"/>
    <w:rsid w:val="735EE31A"/>
    <w:rsid w:val="73683608"/>
    <w:rsid w:val="736A227E"/>
    <w:rsid w:val="7370927F"/>
    <w:rsid w:val="73773CC7"/>
    <w:rsid w:val="7381589F"/>
    <w:rsid w:val="7384E209"/>
    <w:rsid w:val="738AD7DD"/>
    <w:rsid w:val="73955E2A"/>
    <w:rsid w:val="73BF021C"/>
    <w:rsid w:val="73C90774"/>
    <w:rsid w:val="73C9D8F8"/>
    <w:rsid w:val="73CA860F"/>
    <w:rsid w:val="73CC1533"/>
    <w:rsid w:val="73E0D418"/>
    <w:rsid w:val="73ED0733"/>
    <w:rsid w:val="73F2E89A"/>
    <w:rsid w:val="73FB5E28"/>
    <w:rsid w:val="7405746B"/>
    <w:rsid w:val="740B277A"/>
    <w:rsid w:val="740CE6A1"/>
    <w:rsid w:val="74182E34"/>
    <w:rsid w:val="7424F351"/>
    <w:rsid w:val="742FE364"/>
    <w:rsid w:val="7433F10F"/>
    <w:rsid w:val="74349ED3"/>
    <w:rsid w:val="743CDFB3"/>
    <w:rsid w:val="744EC4AA"/>
    <w:rsid w:val="74586CA6"/>
    <w:rsid w:val="7458BE3C"/>
    <w:rsid w:val="7466D2AD"/>
    <w:rsid w:val="74862BDE"/>
    <w:rsid w:val="74939A8D"/>
    <w:rsid w:val="749641AB"/>
    <w:rsid w:val="74ACD1F6"/>
    <w:rsid w:val="74B0C298"/>
    <w:rsid w:val="74B747B4"/>
    <w:rsid w:val="74C84D3F"/>
    <w:rsid w:val="74C9668D"/>
    <w:rsid w:val="74CA4DD3"/>
    <w:rsid w:val="74CAD63A"/>
    <w:rsid w:val="74E3BB2C"/>
    <w:rsid w:val="74E82032"/>
    <w:rsid w:val="74F31CE8"/>
    <w:rsid w:val="7503D8FC"/>
    <w:rsid w:val="7506894A"/>
    <w:rsid w:val="7508B8FD"/>
    <w:rsid w:val="75093F74"/>
    <w:rsid w:val="7511DF5C"/>
    <w:rsid w:val="75145A35"/>
    <w:rsid w:val="751B66C1"/>
    <w:rsid w:val="7533CB7A"/>
    <w:rsid w:val="75489F4E"/>
    <w:rsid w:val="7556FE09"/>
    <w:rsid w:val="7558600A"/>
    <w:rsid w:val="75638951"/>
    <w:rsid w:val="756BE28E"/>
    <w:rsid w:val="75717B04"/>
    <w:rsid w:val="75787FD3"/>
    <w:rsid w:val="7594F15B"/>
    <w:rsid w:val="75950C84"/>
    <w:rsid w:val="759581E9"/>
    <w:rsid w:val="7598D837"/>
    <w:rsid w:val="7598F9C7"/>
    <w:rsid w:val="759ADC62"/>
    <w:rsid w:val="759CD8D6"/>
    <w:rsid w:val="75A33BC5"/>
    <w:rsid w:val="75A82B72"/>
    <w:rsid w:val="75AE7B0A"/>
    <w:rsid w:val="75B2CEC6"/>
    <w:rsid w:val="75B9BAA8"/>
    <w:rsid w:val="75BBA6C6"/>
    <w:rsid w:val="75BC1495"/>
    <w:rsid w:val="75BE1EE8"/>
    <w:rsid w:val="75BF872B"/>
    <w:rsid w:val="75C2D503"/>
    <w:rsid w:val="75C45F62"/>
    <w:rsid w:val="75CF7E55"/>
    <w:rsid w:val="75D6499E"/>
    <w:rsid w:val="75F547CE"/>
    <w:rsid w:val="75F6BA5B"/>
    <w:rsid w:val="75F7498E"/>
    <w:rsid w:val="75FEA6FF"/>
    <w:rsid w:val="761C8E64"/>
    <w:rsid w:val="76258A93"/>
    <w:rsid w:val="762F141B"/>
    <w:rsid w:val="76306EB2"/>
    <w:rsid w:val="763175F0"/>
    <w:rsid w:val="764879B9"/>
    <w:rsid w:val="766F0A97"/>
    <w:rsid w:val="767B7829"/>
    <w:rsid w:val="76813A93"/>
    <w:rsid w:val="7689075C"/>
    <w:rsid w:val="769A914F"/>
    <w:rsid w:val="76B47104"/>
    <w:rsid w:val="76D54668"/>
    <w:rsid w:val="76D584AD"/>
    <w:rsid w:val="76E4AEED"/>
    <w:rsid w:val="76E7C8CD"/>
    <w:rsid w:val="76ECBD1A"/>
    <w:rsid w:val="76F1AF76"/>
    <w:rsid w:val="76FB7800"/>
    <w:rsid w:val="77082EFF"/>
    <w:rsid w:val="7709D59D"/>
    <w:rsid w:val="77117171"/>
    <w:rsid w:val="771F15D1"/>
    <w:rsid w:val="7725D693"/>
    <w:rsid w:val="7726EDDC"/>
    <w:rsid w:val="7727A376"/>
    <w:rsid w:val="7730EDD2"/>
    <w:rsid w:val="774C4850"/>
    <w:rsid w:val="775454C7"/>
    <w:rsid w:val="7755A336"/>
    <w:rsid w:val="77590525"/>
    <w:rsid w:val="775F4B21"/>
    <w:rsid w:val="7769EDA8"/>
    <w:rsid w:val="776C7DBF"/>
    <w:rsid w:val="77723BA6"/>
    <w:rsid w:val="777517ED"/>
    <w:rsid w:val="7790104F"/>
    <w:rsid w:val="779C935E"/>
    <w:rsid w:val="77AADCA1"/>
    <w:rsid w:val="77ABB11D"/>
    <w:rsid w:val="77ACB887"/>
    <w:rsid w:val="77C301D8"/>
    <w:rsid w:val="77C419BA"/>
    <w:rsid w:val="77CB1EC5"/>
    <w:rsid w:val="77E34294"/>
    <w:rsid w:val="77ED8593"/>
    <w:rsid w:val="77EE2408"/>
    <w:rsid w:val="77FA0D11"/>
    <w:rsid w:val="780AF067"/>
    <w:rsid w:val="780CA40B"/>
    <w:rsid w:val="780E1C7B"/>
    <w:rsid w:val="780E46DD"/>
    <w:rsid w:val="7817EFC4"/>
    <w:rsid w:val="781AC3BB"/>
    <w:rsid w:val="781E9E4E"/>
    <w:rsid w:val="7832E89C"/>
    <w:rsid w:val="78345A13"/>
    <w:rsid w:val="783D3D98"/>
    <w:rsid w:val="78517C26"/>
    <w:rsid w:val="78651A1F"/>
    <w:rsid w:val="78690155"/>
    <w:rsid w:val="786A4EFE"/>
    <w:rsid w:val="786C68B7"/>
    <w:rsid w:val="78745E1B"/>
    <w:rsid w:val="78868C98"/>
    <w:rsid w:val="7887FAC5"/>
    <w:rsid w:val="78933F1B"/>
    <w:rsid w:val="789C39F9"/>
    <w:rsid w:val="78AD8D34"/>
    <w:rsid w:val="78C9356C"/>
    <w:rsid w:val="78DA2EFD"/>
    <w:rsid w:val="78DD3350"/>
    <w:rsid w:val="78E2EE21"/>
    <w:rsid w:val="78F1A4A2"/>
    <w:rsid w:val="78FE685C"/>
    <w:rsid w:val="79455EC2"/>
    <w:rsid w:val="794DE533"/>
    <w:rsid w:val="79577265"/>
    <w:rsid w:val="79631BDF"/>
    <w:rsid w:val="7964FB9F"/>
    <w:rsid w:val="79724CD1"/>
    <w:rsid w:val="797BA0E7"/>
    <w:rsid w:val="79867045"/>
    <w:rsid w:val="798E1DFF"/>
    <w:rsid w:val="79B6EC7F"/>
    <w:rsid w:val="79D6832F"/>
    <w:rsid w:val="79E185D5"/>
    <w:rsid w:val="7A098EC4"/>
    <w:rsid w:val="7A2BEEC9"/>
    <w:rsid w:val="7A39E4AC"/>
    <w:rsid w:val="7A3B29ED"/>
    <w:rsid w:val="7A40DA9A"/>
    <w:rsid w:val="7A5065A5"/>
    <w:rsid w:val="7A566680"/>
    <w:rsid w:val="7A5C63AA"/>
    <w:rsid w:val="7A6662FC"/>
    <w:rsid w:val="7A6A6593"/>
    <w:rsid w:val="7A72494E"/>
    <w:rsid w:val="7A729810"/>
    <w:rsid w:val="7A74A3DC"/>
    <w:rsid w:val="7A7E452C"/>
    <w:rsid w:val="7A85A6E4"/>
    <w:rsid w:val="7A86101A"/>
    <w:rsid w:val="7A97DADD"/>
    <w:rsid w:val="7A9E7380"/>
    <w:rsid w:val="7AAFCBF9"/>
    <w:rsid w:val="7AB1132D"/>
    <w:rsid w:val="7ABF16E3"/>
    <w:rsid w:val="7AC477EE"/>
    <w:rsid w:val="7AC4A88B"/>
    <w:rsid w:val="7AC9CD6F"/>
    <w:rsid w:val="7AD8C633"/>
    <w:rsid w:val="7ADA9D07"/>
    <w:rsid w:val="7AE695EB"/>
    <w:rsid w:val="7AED1539"/>
    <w:rsid w:val="7AF53930"/>
    <w:rsid w:val="7AFC06A3"/>
    <w:rsid w:val="7AFDF98B"/>
    <w:rsid w:val="7B03F16F"/>
    <w:rsid w:val="7B0A5745"/>
    <w:rsid w:val="7B12BE4D"/>
    <w:rsid w:val="7B1A31C6"/>
    <w:rsid w:val="7B1C2003"/>
    <w:rsid w:val="7B24A36F"/>
    <w:rsid w:val="7B25D398"/>
    <w:rsid w:val="7B2CFC07"/>
    <w:rsid w:val="7B325CDC"/>
    <w:rsid w:val="7B37EE6C"/>
    <w:rsid w:val="7B3E82DF"/>
    <w:rsid w:val="7B4A5247"/>
    <w:rsid w:val="7B4AD6CD"/>
    <w:rsid w:val="7B4BC748"/>
    <w:rsid w:val="7B633B15"/>
    <w:rsid w:val="7B674DED"/>
    <w:rsid w:val="7B67B6DE"/>
    <w:rsid w:val="7B6B076F"/>
    <w:rsid w:val="7B71A812"/>
    <w:rsid w:val="7B8AACB8"/>
    <w:rsid w:val="7B8BC2C2"/>
    <w:rsid w:val="7BA29B1E"/>
    <w:rsid w:val="7BC316E5"/>
    <w:rsid w:val="7BD99F45"/>
    <w:rsid w:val="7BDCBB3C"/>
    <w:rsid w:val="7BE877C9"/>
    <w:rsid w:val="7BE9CC14"/>
    <w:rsid w:val="7BEF03C6"/>
    <w:rsid w:val="7BFCF8AE"/>
    <w:rsid w:val="7C06CD78"/>
    <w:rsid w:val="7C09EA89"/>
    <w:rsid w:val="7C0A67C4"/>
    <w:rsid w:val="7C0DB496"/>
    <w:rsid w:val="7C0EA7DC"/>
    <w:rsid w:val="7C1B0B3E"/>
    <w:rsid w:val="7C2503A5"/>
    <w:rsid w:val="7C2CD0B7"/>
    <w:rsid w:val="7C39AF6A"/>
    <w:rsid w:val="7C4B345F"/>
    <w:rsid w:val="7C5740CB"/>
    <w:rsid w:val="7C5C424F"/>
    <w:rsid w:val="7C6E01E9"/>
    <w:rsid w:val="7C77A60E"/>
    <w:rsid w:val="7C81ED08"/>
    <w:rsid w:val="7C82D7AA"/>
    <w:rsid w:val="7C880FCD"/>
    <w:rsid w:val="7C90BF5A"/>
    <w:rsid w:val="7C91FF7C"/>
    <w:rsid w:val="7C98602E"/>
    <w:rsid w:val="7CB4ED4F"/>
    <w:rsid w:val="7CCF8298"/>
    <w:rsid w:val="7CD1C2C6"/>
    <w:rsid w:val="7CDF784D"/>
    <w:rsid w:val="7CEB0D01"/>
    <w:rsid w:val="7CEB1170"/>
    <w:rsid w:val="7D02D6EC"/>
    <w:rsid w:val="7D116658"/>
    <w:rsid w:val="7D1B8B00"/>
    <w:rsid w:val="7D228398"/>
    <w:rsid w:val="7D2D3508"/>
    <w:rsid w:val="7D302505"/>
    <w:rsid w:val="7D32C250"/>
    <w:rsid w:val="7D369424"/>
    <w:rsid w:val="7D47F167"/>
    <w:rsid w:val="7D52DEB0"/>
    <w:rsid w:val="7D55CA74"/>
    <w:rsid w:val="7D5E34D1"/>
    <w:rsid w:val="7D63AACD"/>
    <w:rsid w:val="7D6583AC"/>
    <w:rsid w:val="7D7233C1"/>
    <w:rsid w:val="7D736B09"/>
    <w:rsid w:val="7D91D8A3"/>
    <w:rsid w:val="7D97FF9B"/>
    <w:rsid w:val="7D9B0E66"/>
    <w:rsid w:val="7DA0305D"/>
    <w:rsid w:val="7DB2FA57"/>
    <w:rsid w:val="7DB4CE3B"/>
    <w:rsid w:val="7DBC44F3"/>
    <w:rsid w:val="7DBD4AF6"/>
    <w:rsid w:val="7DCE817D"/>
    <w:rsid w:val="7DD9DD7A"/>
    <w:rsid w:val="7DDA2C98"/>
    <w:rsid w:val="7DEDF1C0"/>
    <w:rsid w:val="7DF01237"/>
    <w:rsid w:val="7DFE58E0"/>
    <w:rsid w:val="7E01CD84"/>
    <w:rsid w:val="7E045796"/>
    <w:rsid w:val="7E08432B"/>
    <w:rsid w:val="7E0FB7C9"/>
    <w:rsid w:val="7E1851B1"/>
    <w:rsid w:val="7E1A8103"/>
    <w:rsid w:val="7E1DB439"/>
    <w:rsid w:val="7E288796"/>
    <w:rsid w:val="7E348BF6"/>
    <w:rsid w:val="7E371E4A"/>
    <w:rsid w:val="7E45717A"/>
    <w:rsid w:val="7E4A86E1"/>
    <w:rsid w:val="7E538523"/>
    <w:rsid w:val="7E54473D"/>
    <w:rsid w:val="7E54AEB8"/>
    <w:rsid w:val="7E553DBD"/>
    <w:rsid w:val="7E5B41AE"/>
    <w:rsid w:val="7E6548F2"/>
    <w:rsid w:val="7E68166A"/>
    <w:rsid w:val="7E747959"/>
    <w:rsid w:val="7E7A9735"/>
    <w:rsid w:val="7E80E4EE"/>
    <w:rsid w:val="7E877C46"/>
    <w:rsid w:val="7E8E1690"/>
    <w:rsid w:val="7EA6E46F"/>
    <w:rsid w:val="7EB3F49D"/>
    <w:rsid w:val="7EBFA3E3"/>
    <w:rsid w:val="7ECC6A00"/>
    <w:rsid w:val="7EEC94AC"/>
    <w:rsid w:val="7EED1667"/>
    <w:rsid w:val="7EF3A957"/>
    <w:rsid w:val="7EFD97BC"/>
    <w:rsid w:val="7F082B59"/>
    <w:rsid w:val="7F14E782"/>
    <w:rsid w:val="7F1B2BF6"/>
    <w:rsid w:val="7F2AEB31"/>
    <w:rsid w:val="7F30C72B"/>
    <w:rsid w:val="7F357AE8"/>
    <w:rsid w:val="7F58AB34"/>
    <w:rsid w:val="7F59209D"/>
    <w:rsid w:val="7F59CB74"/>
    <w:rsid w:val="7F684D6D"/>
    <w:rsid w:val="7F6F777B"/>
    <w:rsid w:val="7F71FF9E"/>
    <w:rsid w:val="7F76DB86"/>
    <w:rsid w:val="7F81406C"/>
    <w:rsid w:val="7F87831B"/>
    <w:rsid w:val="7F8BE5A0"/>
    <w:rsid w:val="7F92406C"/>
    <w:rsid w:val="7F9F1800"/>
    <w:rsid w:val="7FA188BD"/>
    <w:rsid w:val="7FA76580"/>
    <w:rsid w:val="7FC31348"/>
    <w:rsid w:val="7FC69162"/>
    <w:rsid w:val="7FCEED87"/>
    <w:rsid w:val="7FD5AE6A"/>
    <w:rsid w:val="7FE70903"/>
    <w:rsid w:val="7FEA78CB"/>
    <w:rsid w:val="7FEDC619"/>
    <w:rsid w:val="7FF064C2"/>
    <w:rsid w:val="7FFE7919"/>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2F786D"/>
  <w15:docId w15:val="{09E4DEBB-6E11-4A59-9151-09460D296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0908"/>
    <w:rPr>
      <w:rFonts w:ascii="Times New Roman" w:eastAsia="Times New Roman" w:hAnsi="Times New Roman" w:cs="Times New Roman"/>
      <w:lang w:val="hr-HR"/>
    </w:rPr>
  </w:style>
  <w:style w:type="paragraph" w:styleId="Heading1">
    <w:name w:val="heading 1"/>
    <w:basedOn w:val="Normal"/>
    <w:link w:val="Heading1Char"/>
    <w:uiPriority w:val="9"/>
    <w:qFormat/>
    <w:rsid w:val="00E53A6B"/>
    <w:pPr>
      <w:spacing w:before="77"/>
      <w:ind w:left="106"/>
      <w:outlineLvl w:val="0"/>
    </w:pPr>
    <w:rPr>
      <w:b/>
      <w:bCs/>
      <w:sz w:val="32"/>
      <w:szCs w:val="56"/>
      <w:u w:color="000000"/>
    </w:rPr>
  </w:style>
  <w:style w:type="paragraph" w:styleId="Heading2">
    <w:name w:val="heading 2"/>
    <w:basedOn w:val="Normal"/>
    <w:link w:val="Heading2Char"/>
    <w:uiPriority w:val="9"/>
    <w:unhideWhenUsed/>
    <w:qFormat/>
    <w:rsid w:val="00E53A6B"/>
    <w:pPr>
      <w:spacing w:before="76"/>
      <w:ind w:left="495" w:hanging="361"/>
      <w:outlineLvl w:val="1"/>
    </w:pPr>
    <w:rPr>
      <w:b/>
      <w:bCs/>
      <w:sz w:val="28"/>
      <w:szCs w:val="32"/>
    </w:rPr>
  </w:style>
  <w:style w:type="paragraph" w:styleId="Heading3">
    <w:name w:val="heading 3"/>
    <w:basedOn w:val="Normal"/>
    <w:link w:val="Heading3Char"/>
    <w:autoRedefine/>
    <w:uiPriority w:val="9"/>
    <w:unhideWhenUsed/>
    <w:qFormat/>
    <w:rsid w:val="004A6B57"/>
    <w:pPr>
      <w:spacing w:before="75" w:after="240"/>
      <w:ind w:left="709"/>
      <w:jc w:val="both"/>
      <w:outlineLvl w:val="2"/>
    </w:pPr>
    <w:rPr>
      <w:b/>
      <w:bCs/>
      <w:sz w:val="24"/>
      <w:szCs w:val="28"/>
      <w:lang w:eastAsia="en-GB"/>
    </w:rPr>
  </w:style>
  <w:style w:type="paragraph" w:styleId="Heading4">
    <w:name w:val="heading 4"/>
    <w:basedOn w:val="Normal"/>
    <w:link w:val="Heading4Char"/>
    <w:uiPriority w:val="9"/>
    <w:unhideWhenUsed/>
    <w:qFormat/>
    <w:pPr>
      <w:ind w:left="135"/>
      <w:outlineLvl w:val="3"/>
    </w:pPr>
    <w:rPr>
      <w:b/>
      <w:bCs/>
      <w:sz w:val="24"/>
      <w:szCs w:val="24"/>
    </w:rPr>
  </w:style>
  <w:style w:type="paragraph" w:styleId="Heading5">
    <w:name w:val="heading 5"/>
    <w:basedOn w:val="Normal"/>
    <w:next w:val="Normal"/>
    <w:link w:val="Heading5Char"/>
    <w:uiPriority w:val="9"/>
    <w:semiHidden/>
    <w:unhideWhenUsed/>
    <w:qFormat/>
    <w:rsid w:val="00301C72"/>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E3FDA"/>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42"/>
      <w:ind w:left="702" w:hanging="568"/>
    </w:pPr>
    <w:rPr>
      <w:b/>
      <w:bCs/>
      <w:sz w:val="24"/>
      <w:szCs w:val="24"/>
    </w:rPr>
  </w:style>
  <w:style w:type="paragraph" w:styleId="TOC2">
    <w:name w:val="toc 2"/>
    <w:basedOn w:val="Normal"/>
    <w:uiPriority w:val="39"/>
    <w:qFormat/>
    <w:pPr>
      <w:spacing w:before="238"/>
      <w:ind w:left="702"/>
    </w:pPr>
    <w:rPr>
      <w:sz w:val="24"/>
      <w:szCs w:val="24"/>
    </w:rPr>
  </w:style>
  <w:style w:type="paragraph" w:styleId="TOC3">
    <w:name w:val="toc 3"/>
    <w:basedOn w:val="Normal"/>
    <w:uiPriority w:val="39"/>
    <w:qFormat/>
    <w:pPr>
      <w:spacing w:before="179"/>
      <w:ind w:left="1269" w:hanging="568"/>
    </w:pPr>
  </w:style>
  <w:style w:type="paragraph" w:styleId="TOC4">
    <w:name w:val="toc 4"/>
    <w:basedOn w:val="Normal"/>
    <w:uiPriority w:val="1"/>
    <w:qFormat/>
    <w:pPr>
      <w:spacing w:before="1"/>
      <w:ind w:left="1269"/>
    </w:pPr>
  </w:style>
  <w:style w:type="paragraph" w:styleId="TOC5">
    <w:name w:val="toc 5"/>
    <w:basedOn w:val="Normal"/>
    <w:uiPriority w:val="1"/>
    <w:qFormat/>
    <w:pPr>
      <w:spacing w:before="2"/>
      <w:ind w:left="1978"/>
    </w:pPr>
    <w:rPr>
      <w:sz w:val="24"/>
      <w:szCs w:val="24"/>
    </w:rPr>
  </w:style>
  <w:style w:type="paragraph" w:styleId="BodyText">
    <w:name w:val="Body Text"/>
    <w:basedOn w:val="Normal"/>
    <w:link w:val="BodyTextChar"/>
    <w:uiPriority w:val="1"/>
    <w:qFormat/>
    <w:rPr>
      <w:sz w:val="24"/>
      <w:szCs w:val="24"/>
    </w:rPr>
  </w:style>
  <w:style w:type="paragraph" w:styleId="ListParagraph">
    <w:name w:val="List Paragraph"/>
    <w:aliases w:val="Bullet List,FooterText,Citation List,Recommendation,List Paragraph1,List Paragraph11,List Paragraph2,References,Bullets,List Paragraph (numbered (a)),Numbered List Paragraph,List Paragraph nowy,Liste 1,Numbered Paragraph,Normal 1,lp1"/>
    <w:basedOn w:val="Normal"/>
    <w:link w:val="ListParagraphChar"/>
    <w:uiPriority w:val="34"/>
    <w:qFormat/>
    <w:pPr>
      <w:ind w:left="855" w:hanging="361"/>
    </w:pPr>
  </w:style>
  <w:style w:type="paragraph" w:customStyle="1" w:styleId="TableParagraph">
    <w:name w:val="Table Paragraph"/>
    <w:basedOn w:val="Normal"/>
    <w:uiPriority w:val="1"/>
    <w:qFormat/>
    <w:pPr>
      <w:spacing w:before="159"/>
      <w:ind w:left="151"/>
    </w:pPr>
  </w:style>
  <w:style w:type="paragraph" w:styleId="Header">
    <w:name w:val="header"/>
    <w:basedOn w:val="Normal"/>
    <w:link w:val="HeaderChar"/>
    <w:uiPriority w:val="99"/>
    <w:unhideWhenUsed/>
    <w:rsid w:val="00C27E4D"/>
    <w:pPr>
      <w:tabs>
        <w:tab w:val="center" w:pos="4536"/>
        <w:tab w:val="right" w:pos="9072"/>
      </w:tabs>
    </w:pPr>
  </w:style>
  <w:style w:type="character" w:customStyle="1" w:styleId="HeaderChar">
    <w:name w:val="Header Char"/>
    <w:basedOn w:val="DefaultParagraphFont"/>
    <w:link w:val="Header"/>
    <w:uiPriority w:val="99"/>
    <w:rsid w:val="00C27E4D"/>
    <w:rPr>
      <w:rFonts w:ascii="Times New Roman" w:eastAsia="Times New Roman" w:hAnsi="Times New Roman" w:cs="Times New Roman"/>
    </w:rPr>
  </w:style>
  <w:style w:type="paragraph" w:styleId="Footer">
    <w:name w:val="footer"/>
    <w:basedOn w:val="Normal"/>
    <w:link w:val="FooterChar"/>
    <w:uiPriority w:val="99"/>
    <w:unhideWhenUsed/>
    <w:rsid w:val="00C27E4D"/>
    <w:pPr>
      <w:tabs>
        <w:tab w:val="center" w:pos="4536"/>
        <w:tab w:val="right" w:pos="9072"/>
      </w:tabs>
    </w:pPr>
  </w:style>
  <w:style w:type="character" w:customStyle="1" w:styleId="FooterChar">
    <w:name w:val="Footer Char"/>
    <w:basedOn w:val="DefaultParagraphFont"/>
    <w:link w:val="Footer"/>
    <w:uiPriority w:val="99"/>
    <w:rsid w:val="00C27E4D"/>
    <w:rPr>
      <w:rFonts w:ascii="Times New Roman" w:eastAsia="Times New Roman" w:hAnsi="Times New Roman" w:cs="Times New Roman"/>
    </w:rPr>
  </w:style>
  <w:style w:type="paragraph" w:styleId="TOCHeading">
    <w:name w:val="TOC Heading"/>
    <w:basedOn w:val="Heading1"/>
    <w:next w:val="Normal"/>
    <w:uiPriority w:val="39"/>
    <w:unhideWhenUsed/>
    <w:qFormat/>
    <w:rsid w:val="00851EDA"/>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Cs w:val="32"/>
    </w:rPr>
  </w:style>
  <w:style w:type="character" w:styleId="Hyperlink">
    <w:name w:val="Hyperlink"/>
    <w:basedOn w:val="DefaultParagraphFont"/>
    <w:uiPriority w:val="99"/>
    <w:unhideWhenUsed/>
    <w:rsid w:val="00851EDA"/>
    <w:rPr>
      <w:color w:val="0000FF" w:themeColor="hyperlink"/>
      <w:u w:val="single"/>
    </w:rPr>
  </w:style>
  <w:style w:type="character" w:customStyle="1" w:styleId="Heading3Char">
    <w:name w:val="Heading 3 Char"/>
    <w:basedOn w:val="DefaultParagraphFont"/>
    <w:link w:val="Heading3"/>
    <w:uiPriority w:val="9"/>
    <w:rsid w:val="004A6B57"/>
    <w:rPr>
      <w:rFonts w:ascii="Times New Roman" w:eastAsia="Times New Roman" w:hAnsi="Times New Roman" w:cs="Times New Roman"/>
      <w:b/>
      <w:bCs/>
      <w:sz w:val="24"/>
      <w:szCs w:val="28"/>
      <w:lang w:val="hr-HR" w:eastAsia="en-GB"/>
    </w:rPr>
  </w:style>
  <w:style w:type="character" w:customStyle="1" w:styleId="BodyTextChar">
    <w:name w:val="Body Text Char"/>
    <w:basedOn w:val="DefaultParagraphFont"/>
    <w:link w:val="BodyText"/>
    <w:uiPriority w:val="1"/>
    <w:rsid w:val="00BF18A7"/>
    <w:rPr>
      <w:rFonts w:ascii="Times New Roman" w:eastAsia="Times New Roman" w:hAnsi="Times New Roman" w:cs="Times New Roman"/>
      <w:sz w:val="24"/>
      <w:szCs w:val="24"/>
    </w:rPr>
  </w:style>
  <w:style w:type="paragraph" w:styleId="TOC6">
    <w:name w:val="toc 6"/>
    <w:basedOn w:val="Normal"/>
    <w:next w:val="Normal"/>
    <w:autoRedefine/>
    <w:uiPriority w:val="1"/>
    <w:unhideWhenUsed/>
    <w:qFormat/>
    <w:rsid w:val="00BD463A"/>
    <w:pPr>
      <w:widowControl/>
      <w:autoSpaceDE/>
      <w:autoSpaceDN/>
      <w:spacing w:after="100" w:line="259" w:lineRule="auto"/>
      <w:ind w:left="1100"/>
    </w:pPr>
    <w:rPr>
      <w:rFonts w:asciiTheme="minorHAnsi" w:eastAsiaTheme="minorEastAsia" w:hAnsiTheme="minorHAnsi" w:cstheme="minorBidi"/>
      <w:lang w:eastAsia="hr-HR"/>
    </w:rPr>
  </w:style>
  <w:style w:type="paragraph" w:styleId="TOC7">
    <w:name w:val="toc 7"/>
    <w:basedOn w:val="Normal"/>
    <w:next w:val="Normal"/>
    <w:autoRedefine/>
    <w:uiPriority w:val="39"/>
    <w:unhideWhenUsed/>
    <w:rsid w:val="00BD463A"/>
    <w:pPr>
      <w:widowControl/>
      <w:autoSpaceDE/>
      <w:autoSpaceDN/>
      <w:spacing w:after="100" w:line="259" w:lineRule="auto"/>
      <w:ind w:left="1320"/>
    </w:pPr>
    <w:rPr>
      <w:rFonts w:asciiTheme="minorHAnsi" w:eastAsiaTheme="minorEastAsia" w:hAnsiTheme="minorHAnsi" w:cstheme="minorBidi"/>
      <w:lang w:eastAsia="hr-HR"/>
    </w:rPr>
  </w:style>
  <w:style w:type="paragraph" w:styleId="TOC8">
    <w:name w:val="toc 8"/>
    <w:basedOn w:val="Normal"/>
    <w:next w:val="Normal"/>
    <w:autoRedefine/>
    <w:uiPriority w:val="39"/>
    <w:unhideWhenUsed/>
    <w:rsid w:val="00BD463A"/>
    <w:pPr>
      <w:widowControl/>
      <w:autoSpaceDE/>
      <w:autoSpaceDN/>
      <w:spacing w:after="100" w:line="259" w:lineRule="auto"/>
      <w:ind w:left="1540"/>
    </w:pPr>
    <w:rPr>
      <w:rFonts w:asciiTheme="minorHAnsi" w:eastAsiaTheme="minorEastAsia" w:hAnsiTheme="minorHAnsi" w:cstheme="minorBidi"/>
      <w:lang w:eastAsia="hr-HR"/>
    </w:rPr>
  </w:style>
  <w:style w:type="paragraph" w:styleId="TOC9">
    <w:name w:val="toc 9"/>
    <w:basedOn w:val="Normal"/>
    <w:next w:val="Normal"/>
    <w:autoRedefine/>
    <w:uiPriority w:val="39"/>
    <w:unhideWhenUsed/>
    <w:rsid w:val="00BD463A"/>
    <w:pPr>
      <w:widowControl/>
      <w:autoSpaceDE/>
      <w:autoSpaceDN/>
      <w:spacing w:after="100" w:line="259" w:lineRule="auto"/>
      <w:ind w:left="1760"/>
    </w:pPr>
    <w:rPr>
      <w:rFonts w:asciiTheme="minorHAnsi" w:eastAsiaTheme="minorEastAsia" w:hAnsiTheme="minorHAnsi" w:cstheme="minorBidi"/>
      <w:lang w:eastAsia="hr-HR"/>
    </w:rPr>
  </w:style>
  <w:style w:type="character" w:customStyle="1" w:styleId="Nerijeenospominjanje1">
    <w:name w:val="Neriješeno spominjanje1"/>
    <w:basedOn w:val="DefaultParagraphFont"/>
    <w:uiPriority w:val="99"/>
    <w:unhideWhenUsed/>
    <w:rsid w:val="00BD463A"/>
    <w:rPr>
      <w:color w:val="605E5C"/>
      <w:shd w:val="clear" w:color="auto" w:fill="E1DFDD"/>
    </w:rPr>
  </w:style>
  <w:style w:type="table" w:styleId="TableGrid">
    <w:name w:val="Table Grid"/>
    <w:basedOn w:val="TableNormal"/>
    <w:uiPriority w:val="39"/>
    <w:rsid w:val="00C641EE"/>
    <w:tblPr>
      <w:tblInd w:w="0" w:type="nil"/>
      <w:tblCellMar>
        <w:left w:w="0" w:type="dxa"/>
        <w:right w:w="0" w:type="dxa"/>
      </w:tblCellMar>
    </w:tblPr>
  </w:style>
  <w:style w:type="character" w:styleId="CommentReference">
    <w:name w:val="annotation reference"/>
    <w:basedOn w:val="DefaultParagraphFont"/>
    <w:uiPriority w:val="99"/>
    <w:semiHidden/>
    <w:unhideWhenUsed/>
    <w:rsid w:val="00700B51"/>
    <w:rPr>
      <w:sz w:val="16"/>
      <w:szCs w:val="16"/>
    </w:rPr>
  </w:style>
  <w:style w:type="paragraph" w:styleId="CommentText">
    <w:name w:val="annotation text"/>
    <w:basedOn w:val="Normal"/>
    <w:link w:val="CommentTextChar"/>
    <w:uiPriority w:val="99"/>
    <w:unhideWhenUsed/>
    <w:rsid w:val="00700B51"/>
    <w:rPr>
      <w:sz w:val="20"/>
      <w:szCs w:val="20"/>
    </w:rPr>
  </w:style>
  <w:style w:type="character" w:customStyle="1" w:styleId="CommentTextChar">
    <w:name w:val="Comment Text Char"/>
    <w:basedOn w:val="DefaultParagraphFont"/>
    <w:link w:val="CommentText"/>
    <w:uiPriority w:val="99"/>
    <w:rsid w:val="00700B51"/>
    <w:rPr>
      <w:rFonts w:ascii="Times New Roman" w:eastAsia="Times New Roman" w:hAnsi="Times New Roman" w:cs="Times New Roman"/>
      <w:sz w:val="20"/>
      <w:szCs w:val="20"/>
      <w:lang w:val="hr-HR"/>
    </w:rPr>
  </w:style>
  <w:style w:type="paragraph" w:styleId="CommentSubject">
    <w:name w:val="annotation subject"/>
    <w:basedOn w:val="CommentText"/>
    <w:next w:val="CommentText"/>
    <w:link w:val="CommentSubjectChar"/>
    <w:uiPriority w:val="99"/>
    <w:semiHidden/>
    <w:unhideWhenUsed/>
    <w:rsid w:val="00700B51"/>
    <w:rPr>
      <w:b/>
      <w:bCs/>
    </w:rPr>
  </w:style>
  <w:style w:type="character" w:customStyle="1" w:styleId="CommentSubjectChar">
    <w:name w:val="Comment Subject Char"/>
    <w:basedOn w:val="CommentTextChar"/>
    <w:link w:val="CommentSubject"/>
    <w:uiPriority w:val="99"/>
    <w:semiHidden/>
    <w:rsid w:val="00700B51"/>
    <w:rPr>
      <w:rFonts w:ascii="Times New Roman" w:eastAsia="Times New Roman" w:hAnsi="Times New Roman" w:cs="Times New Roman"/>
      <w:b/>
      <w:bCs/>
      <w:sz w:val="20"/>
      <w:szCs w:val="20"/>
      <w:lang w:val="hr-HR"/>
    </w:rPr>
  </w:style>
  <w:style w:type="character" w:styleId="FollowedHyperlink">
    <w:name w:val="FollowedHyperlink"/>
    <w:basedOn w:val="DefaultParagraphFont"/>
    <w:uiPriority w:val="99"/>
    <w:semiHidden/>
    <w:unhideWhenUsed/>
    <w:rsid w:val="0027023B"/>
    <w:rPr>
      <w:color w:val="800080" w:themeColor="followedHyperlink"/>
      <w:u w:val="single"/>
    </w:rPr>
  </w:style>
  <w:style w:type="paragraph" w:styleId="NormalWeb">
    <w:name w:val="Normal (Web)"/>
    <w:basedOn w:val="Normal"/>
    <w:uiPriority w:val="99"/>
    <w:unhideWhenUsed/>
    <w:rsid w:val="0032607E"/>
    <w:rPr>
      <w:sz w:val="24"/>
      <w:szCs w:val="24"/>
    </w:rPr>
  </w:style>
  <w:style w:type="table" w:customStyle="1" w:styleId="Reetkatablice1">
    <w:name w:val="Rešetka tablice1"/>
    <w:basedOn w:val="TableNormal"/>
    <w:next w:val="TableGrid"/>
    <w:uiPriority w:val="39"/>
    <w:rsid w:val="0032607E"/>
    <w:tblPr>
      <w:tblInd w:w="0" w:type="nil"/>
      <w:tblCellMar>
        <w:left w:w="0" w:type="dxa"/>
        <w:right w:w="0" w:type="dxa"/>
      </w:tblCellMar>
    </w:tblPr>
  </w:style>
  <w:style w:type="character" w:styleId="Strong">
    <w:name w:val="Strong"/>
    <w:basedOn w:val="DefaultParagraphFont"/>
    <w:uiPriority w:val="22"/>
    <w:qFormat/>
    <w:rsid w:val="0032607E"/>
    <w:rPr>
      <w:b/>
      <w:bCs/>
    </w:rPr>
  </w:style>
  <w:style w:type="paragraph" w:styleId="Revision">
    <w:name w:val="Revision"/>
    <w:hidden/>
    <w:uiPriority w:val="99"/>
    <w:semiHidden/>
    <w:rsid w:val="00CE7917"/>
    <w:pPr>
      <w:widowControl/>
      <w:autoSpaceDE/>
      <w:autoSpaceDN/>
    </w:pPr>
    <w:rPr>
      <w:rFonts w:ascii="Times New Roman" w:eastAsia="Times New Roman" w:hAnsi="Times New Roman" w:cs="Times New Roman"/>
      <w:lang w:val="hr-HR"/>
    </w:rPr>
  </w:style>
  <w:style w:type="character" w:customStyle="1" w:styleId="Heading4Char">
    <w:name w:val="Heading 4 Char"/>
    <w:basedOn w:val="DefaultParagraphFont"/>
    <w:link w:val="Heading4"/>
    <w:uiPriority w:val="9"/>
    <w:rsid w:val="00232875"/>
    <w:rPr>
      <w:rFonts w:ascii="Times New Roman" w:eastAsia="Times New Roman" w:hAnsi="Times New Roman" w:cs="Times New Roman"/>
      <w:b/>
      <w:bCs/>
      <w:sz w:val="24"/>
      <w:szCs w:val="24"/>
      <w:lang w:val="hr-HR"/>
    </w:rPr>
  </w:style>
  <w:style w:type="character" w:customStyle="1" w:styleId="normaltextrun">
    <w:name w:val="normaltextrun"/>
    <w:basedOn w:val="DefaultParagraphFont"/>
    <w:rsid w:val="00107402"/>
  </w:style>
  <w:style w:type="paragraph" w:customStyle="1" w:styleId="paragraph">
    <w:name w:val="paragraph"/>
    <w:basedOn w:val="Normal"/>
    <w:rsid w:val="00516C18"/>
    <w:pPr>
      <w:widowControl/>
      <w:autoSpaceDE/>
      <w:autoSpaceDN/>
      <w:spacing w:before="100" w:beforeAutospacing="1" w:after="100" w:afterAutospacing="1"/>
    </w:pPr>
    <w:rPr>
      <w:sz w:val="24"/>
      <w:szCs w:val="24"/>
      <w:lang w:eastAsia="hr-HR"/>
    </w:rPr>
  </w:style>
  <w:style w:type="character" w:customStyle="1" w:styleId="eop">
    <w:name w:val="eop"/>
    <w:basedOn w:val="DefaultParagraphFont"/>
    <w:rsid w:val="00516C18"/>
  </w:style>
  <w:style w:type="character" w:customStyle="1" w:styleId="Heading2Char">
    <w:name w:val="Heading 2 Char"/>
    <w:basedOn w:val="DefaultParagraphFont"/>
    <w:link w:val="Heading2"/>
    <w:uiPriority w:val="9"/>
    <w:rsid w:val="00E53A6B"/>
    <w:rPr>
      <w:rFonts w:ascii="Times New Roman" w:eastAsia="Times New Roman" w:hAnsi="Times New Roman" w:cs="Times New Roman"/>
      <w:b/>
      <w:bCs/>
      <w:sz w:val="28"/>
      <w:szCs w:val="32"/>
      <w:lang w:val="hr-HR"/>
    </w:rPr>
  </w:style>
  <w:style w:type="character" w:customStyle="1" w:styleId="ListParagraphChar">
    <w:name w:val="List Paragraph Char"/>
    <w:aliases w:val="Bullet List Char,FooterText Char,Citation List Char,Recommendation Char,List Paragraph1 Char,List Paragraph11 Char,List Paragraph2 Char,References Char,Bullets Char,List Paragraph (numbered (a)) Char,Numbered List Paragraph Char"/>
    <w:link w:val="ListParagraph"/>
    <w:uiPriority w:val="34"/>
    <w:qFormat/>
    <w:locked/>
    <w:rsid w:val="00A2415D"/>
    <w:rPr>
      <w:rFonts w:ascii="Times New Roman" w:eastAsia="Times New Roman" w:hAnsi="Times New Roman" w:cs="Times New Roman"/>
      <w:lang w:val="hr-HR"/>
    </w:rPr>
  </w:style>
  <w:style w:type="character" w:customStyle="1" w:styleId="Spominjanje1">
    <w:name w:val="Spominjanje1"/>
    <w:basedOn w:val="DefaultParagraphFont"/>
    <w:uiPriority w:val="99"/>
    <w:unhideWhenUsed/>
    <w:rsid w:val="00915D86"/>
    <w:rPr>
      <w:color w:val="2B579A"/>
      <w:shd w:val="clear" w:color="auto" w:fill="E6E6E6"/>
    </w:rPr>
  </w:style>
  <w:style w:type="paragraph" w:styleId="FootnoteText">
    <w:name w:val="footnote text"/>
    <w:basedOn w:val="Normal"/>
    <w:link w:val="FootnoteTextChar"/>
    <w:uiPriority w:val="99"/>
    <w:unhideWhenUsed/>
    <w:rsid w:val="006416E2"/>
    <w:pPr>
      <w:widowControl/>
      <w:autoSpaceDE/>
      <w:autoSpaceDN/>
    </w:pPr>
    <w:rPr>
      <w:rFonts w:ascii="Calibri" w:eastAsia="Calibri" w:hAnsi="Calibri"/>
      <w:sz w:val="20"/>
      <w:szCs w:val="20"/>
    </w:rPr>
  </w:style>
  <w:style w:type="character" w:customStyle="1" w:styleId="FootnoteTextChar">
    <w:name w:val="Footnote Text Char"/>
    <w:basedOn w:val="DefaultParagraphFont"/>
    <w:link w:val="FootnoteText"/>
    <w:uiPriority w:val="99"/>
    <w:rsid w:val="006416E2"/>
    <w:rPr>
      <w:rFonts w:ascii="Calibri" w:eastAsia="Calibri" w:hAnsi="Calibri" w:cs="Times New Roman"/>
      <w:sz w:val="20"/>
      <w:szCs w:val="20"/>
      <w:lang w:val="hr-HR"/>
    </w:rPr>
  </w:style>
  <w:style w:type="character" w:styleId="FootnoteReference">
    <w:name w:val="footnote reference"/>
    <w:aliases w:val="Przypis,BVI fnr,SUPERS,Footnote symbol,(Footnote Reference),Footnote,Voetnootverwijzing,Times 10 Point,Exposant 3 Point,Footnote reference number,note TESI,Odwołanie przypisu,Footnote Reference Number,Footnote Reference_LVL6,stylish"/>
    <w:basedOn w:val="DefaultParagraphFont"/>
    <w:link w:val="ftrefCharCharCharCharCharCharCharCharChar"/>
    <w:uiPriority w:val="99"/>
    <w:unhideWhenUsed/>
    <w:qFormat/>
    <w:rsid w:val="006416E2"/>
    <w:rPr>
      <w:vertAlign w:val="superscript"/>
    </w:rPr>
  </w:style>
  <w:style w:type="character" w:customStyle="1" w:styleId="spellingerror">
    <w:name w:val="spellingerror"/>
    <w:basedOn w:val="DefaultParagraphFont"/>
    <w:rsid w:val="003679F8"/>
  </w:style>
  <w:style w:type="character" w:customStyle="1" w:styleId="scxw208407267">
    <w:name w:val="scxw208407267"/>
    <w:basedOn w:val="DefaultParagraphFont"/>
    <w:rsid w:val="009D3999"/>
  </w:style>
  <w:style w:type="table" w:customStyle="1" w:styleId="Reetkatablice2">
    <w:name w:val="Rešetka tablice2"/>
    <w:basedOn w:val="TableNormal"/>
    <w:next w:val="TableGrid"/>
    <w:uiPriority w:val="39"/>
    <w:rsid w:val="00D7493C"/>
    <w:pPr>
      <w:widowControl/>
      <w:autoSpaceDE/>
      <w:autoSpaceDN/>
    </w:pPr>
    <w:rPr>
      <w:lang w:val="hr-HR"/>
    </w:rPr>
    <w:tblPr>
      <w:tblInd w:w="0" w:type="nil"/>
      <w:tblCellMar>
        <w:left w:w="0" w:type="dxa"/>
        <w:right w:w="0" w:type="dxa"/>
      </w:tblCellMar>
    </w:tblPr>
  </w:style>
  <w:style w:type="table" w:customStyle="1" w:styleId="Reetkatablice3">
    <w:name w:val="Rešetka tablice3"/>
    <w:basedOn w:val="TableNormal"/>
    <w:next w:val="TableGrid"/>
    <w:uiPriority w:val="39"/>
    <w:rsid w:val="0037359B"/>
    <w:pPr>
      <w:widowControl/>
      <w:autoSpaceDE/>
      <w:autoSpaceDN/>
    </w:pPr>
    <w:rPr>
      <w:lang w:val="hr-HR"/>
    </w:rPr>
    <w:tblPr>
      <w:tblInd w:w="0" w:type="nil"/>
      <w:tblCellMar>
        <w:left w:w="0" w:type="dxa"/>
        <w:right w:w="0" w:type="dxa"/>
      </w:tblCellMar>
    </w:tblPr>
  </w:style>
  <w:style w:type="paragraph" w:styleId="BalloonText">
    <w:name w:val="Balloon Text"/>
    <w:basedOn w:val="Normal"/>
    <w:link w:val="BalloonTextChar"/>
    <w:uiPriority w:val="99"/>
    <w:semiHidden/>
    <w:unhideWhenUsed/>
    <w:rsid w:val="00CA25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256D"/>
    <w:rPr>
      <w:rFonts w:ascii="Segoe UI" w:eastAsia="Times New Roman" w:hAnsi="Segoe UI" w:cs="Segoe UI"/>
      <w:sz w:val="18"/>
      <w:szCs w:val="18"/>
      <w:lang w:val="hr-HR"/>
    </w:rPr>
  </w:style>
  <w:style w:type="paragraph" w:customStyle="1" w:styleId="Default">
    <w:name w:val="Default"/>
    <w:rsid w:val="00343B4E"/>
    <w:pPr>
      <w:widowControl/>
      <w:adjustRightInd w:val="0"/>
    </w:pPr>
    <w:rPr>
      <w:rFonts w:ascii="Times New Roman" w:hAnsi="Times New Roman" w:cs="Times New Roman"/>
      <w:color w:val="000000"/>
      <w:sz w:val="24"/>
      <w:szCs w:val="24"/>
      <w:lang w:val="hr-HR"/>
    </w:rPr>
  </w:style>
  <w:style w:type="character" w:customStyle="1" w:styleId="Spominjanje2">
    <w:name w:val="Spominjanje2"/>
    <w:basedOn w:val="DefaultParagraphFont"/>
    <w:uiPriority w:val="99"/>
    <w:unhideWhenUsed/>
    <w:rsid w:val="00EB6EF1"/>
    <w:rPr>
      <w:color w:val="2B579A"/>
      <w:shd w:val="clear" w:color="auto" w:fill="E1DFDD"/>
    </w:rPr>
  </w:style>
  <w:style w:type="character" w:customStyle="1" w:styleId="UnresolvedMention1">
    <w:name w:val="Unresolved Mention1"/>
    <w:basedOn w:val="DefaultParagraphFont"/>
    <w:uiPriority w:val="99"/>
    <w:semiHidden/>
    <w:unhideWhenUsed/>
    <w:rsid w:val="006363AD"/>
    <w:rPr>
      <w:color w:val="605E5C"/>
      <w:shd w:val="clear" w:color="auto" w:fill="E1DFDD"/>
    </w:rPr>
  </w:style>
  <w:style w:type="table" w:customStyle="1" w:styleId="TableGrid0">
    <w:name w:val="Table Grid0"/>
    <w:rsid w:val="00CB4C56"/>
    <w:pPr>
      <w:widowControl/>
      <w:autoSpaceDE/>
      <w:autoSpaceDN/>
    </w:pPr>
    <w:rPr>
      <w:rFonts w:eastAsiaTheme="minorEastAsia"/>
      <w:lang w:val="hr-HR" w:eastAsia="hr-HR"/>
    </w:rPr>
    <w:tblPr>
      <w:tblCellMar>
        <w:top w:w="0" w:type="dxa"/>
        <w:left w:w="0" w:type="dxa"/>
        <w:bottom w:w="0" w:type="dxa"/>
        <w:right w:w="0" w:type="dxa"/>
      </w:tblCellMar>
    </w:tblPr>
  </w:style>
  <w:style w:type="character" w:customStyle="1" w:styleId="Mention1">
    <w:name w:val="Mention1"/>
    <w:basedOn w:val="DefaultParagraphFont"/>
    <w:uiPriority w:val="99"/>
    <w:unhideWhenUsed/>
    <w:rsid w:val="00CB4C56"/>
    <w:rPr>
      <w:color w:val="2B579A"/>
      <w:shd w:val="clear" w:color="auto" w:fill="E6E6E6"/>
    </w:rPr>
  </w:style>
  <w:style w:type="table" w:styleId="PlainTable1">
    <w:name w:val="Plain Table 1"/>
    <w:basedOn w:val="TableNormal"/>
    <w:uiPriority w:val="41"/>
    <w:rsid w:val="00CB4C56"/>
    <w:tblPr>
      <w:tblInd w:w="0" w:type="nil"/>
      <w:tblCellMar>
        <w:left w:w="0" w:type="dxa"/>
        <w:right w:w="0" w:type="dxa"/>
      </w:tblCellMar>
    </w:tblPr>
    <w:tblStylePr w:type="firstRow">
      <w:rPr>
        <w:b/>
        <w:bCs/>
      </w:rPr>
    </w:tblStylePr>
    <w:tblStylePr w:type="lastRow">
      <w:rPr>
        <w:b/>
        <w:bCs/>
      </w:r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9"/>
    <w:rsid w:val="00E53A6B"/>
    <w:rPr>
      <w:rFonts w:ascii="Times New Roman" w:eastAsia="Times New Roman" w:hAnsi="Times New Roman" w:cs="Times New Roman"/>
      <w:b/>
      <w:bCs/>
      <w:sz w:val="32"/>
      <w:szCs w:val="56"/>
      <w:u w:color="000000"/>
      <w:lang w:val="hr-HR"/>
    </w:rPr>
  </w:style>
  <w:style w:type="character" w:customStyle="1" w:styleId="scxw208046045">
    <w:name w:val="scxw208046045"/>
    <w:basedOn w:val="DefaultParagraphFont"/>
    <w:rsid w:val="00637A7E"/>
  </w:style>
  <w:style w:type="character" w:customStyle="1" w:styleId="wacimagecontainer">
    <w:name w:val="wacimagecontainer"/>
    <w:basedOn w:val="DefaultParagraphFont"/>
    <w:rsid w:val="00637A7E"/>
  </w:style>
  <w:style w:type="table" w:customStyle="1" w:styleId="TableNormal1">
    <w:name w:val="Table Normal1"/>
    <w:uiPriority w:val="2"/>
    <w:semiHidden/>
    <w:unhideWhenUsed/>
    <w:qFormat/>
    <w:rsid w:val="00B12941"/>
    <w:tblPr>
      <w:tblInd w:w="0" w:type="dxa"/>
      <w:tblCellMar>
        <w:top w:w="0" w:type="dxa"/>
        <w:left w:w="0" w:type="dxa"/>
        <w:bottom w:w="0" w:type="dxa"/>
        <w:right w:w="0" w:type="dxa"/>
      </w:tblCellMar>
    </w:tblPr>
  </w:style>
  <w:style w:type="character" w:customStyle="1" w:styleId="cf01">
    <w:name w:val="cf01"/>
    <w:basedOn w:val="DefaultParagraphFont"/>
    <w:rsid w:val="00F86526"/>
    <w:rPr>
      <w:rFonts w:ascii="Segoe UI" w:hAnsi="Segoe UI" w:cs="Segoe UI" w:hint="default"/>
      <w:b/>
      <w:bCs/>
      <w:sz w:val="18"/>
      <w:szCs w:val="18"/>
    </w:rPr>
  </w:style>
  <w:style w:type="character" w:customStyle="1" w:styleId="cf11">
    <w:name w:val="cf11"/>
    <w:basedOn w:val="DefaultParagraphFont"/>
    <w:rsid w:val="00F86526"/>
    <w:rPr>
      <w:rFonts w:ascii="Segoe UI" w:hAnsi="Segoe UI" w:cs="Segoe UI" w:hint="default"/>
      <w:sz w:val="18"/>
      <w:szCs w:val="18"/>
    </w:rPr>
  </w:style>
  <w:style w:type="paragraph" w:styleId="NoSpacing">
    <w:name w:val="No Spacing"/>
    <w:uiPriority w:val="1"/>
    <w:qFormat/>
    <w:rsid w:val="00875FBA"/>
  </w:style>
  <w:style w:type="paragraph" w:customStyle="1" w:styleId="gt-block">
    <w:name w:val="gt-block"/>
    <w:basedOn w:val="Normal"/>
    <w:rsid w:val="00353083"/>
    <w:pPr>
      <w:widowControl/>
      <w:autoSpaceDE/>
      <w:autoSpaceDN/>
      <w:spacing w:before="100" w:beforeAutospacing="1" w:after="100" w:afterAutospacing="1"/>
    </w:pPr>
    <w:rPr>
      <w:sz w:val="24"/>
      <w:szCs w:val="24"/>
      <w:lang w:eastAsia="hr-HR"/>
    </w:rPr>
  </w:style>
  <w:style w:type="character" w:customStyle="1" w:styleId="doceo-font-family-base">
    <w:name w:val="doceo-font-family-base"/>
    <w:basedOn w:val="DefaultParagraphFont"/>
    <w:rsid w:val="00682E4B"/>
  </w:style>
  <w:style w:type="table" w:customStyle="1" w:styleId="TableGrid1">
    <w:name w:val="Table Grid1"/>
    <w:basedOn w:val="TableNormal"/>
    <w:next w:val="TableGrid"/>
    <w:rsid w:val="00CE605B"/>
    <w:pPr>
      <w:widowControl/>
      <w:autoSpaceDE/>
      <w:autoSpaceDN/>
    </w:pPr>
    <w:rPr>
      <w:rFonts w:ascii="Times New Roman" w:eastAsia="Times New Roman" w:hAnsi="Times New Roman" w:cs="Times New Roman"/>
      <w:sz w:val="20"/>
      <w:szCs w:val="20"/>
      <w:lang w:val="hr-HR" w:eastAsia="hr-HR"/>
    </w:rPr>
    <w:tblPr>
      <w:tblInd w:w="0" w:type="nil"/>
      <w:tblCellMar>
        <w:left w:w="0" w:type="dxa"/>
        <w:right w:w="0" w:type="dxa"/>
      </w:tblCellMar>
    </w:tblPr>
  </w:style>
  <w:style w:type="character" w:customStyle="1" w:styleId="Heading5Char">
    <w:name w:val="Heading 5 Char"/>
    <w:basedOn w:val="DefaultParagraphFont"/>
    <w:link w:val="Heading5"/>
    <w:uiPriority w:val="9"/>
    <w:semiHidden/>
    <w:rsid w:val="00301C72"/>
    <w:rPr>
      <w:rFonts w:asciiTheme="majorHAnsi" w:eastAsiaTheme="majorEastAsia" w:hAnsiTheme="majorHAnsi" w:cstheme="majorBidi"/>
      <w:color w:val="365F91" w:themeColor="accent1" w:themeShade="BF"/>
      <w:lang w:val="hr-HR"/>
    </w:rPr>
  </w:style>
  <w:style w:type="paragraph" w:customStyle="1" w:styleId="footnotedescription">
    <w:name w:val="footnote description"/>
    <w:next w:val="Normal"/>
    <w:link w:val="footnotedescriptionChar"/>
    <w:hidden/>
    <w:rsid w:val="00301C72"/>
    <w:pPr>
      <w:widowControl/>
      <w:autoSpaceDE/>
      <w:autoSpaceDN/>
      <w:spacing w:line="264" w:lineRule="auto"/>
      <w:jc w:val="both"/>
    </w:pPr>
    <w:rPr>
      <w:rFonts w:ascii="Times New Roman" w:eastAsia="Times New Roman" w:hAnsi="Times New Roman" w:cs="Times New Roman"/>
      <w:color w:val="0563C1"/>
      <w:kern w:val="2"/>
      <w:sz w:val="20"/>
      <w:u w:val="single" w:color="0563C1"/>
      <w:lang w:val="hr-HR" w:eastAsia="hr-HR"/>
      <w14:ligatures w14:val="standardContextual"/>
    </w:rPr>
  </w:style>
  <w:style w:type="character" w:customStyle="1" w:styleId="footnotedescriptionChar">
    <w:name w:val="footnote description Char"/>
    <w:link w:val="footnotedescription"/>
    <w:rsid w:val="00301C72"/>
    <w:rPr>
      <w:rFonts w:ascii="Times New Roman" w:eastAsia="Times New Roman" w:hAnsi="Times New Roman" w:cs="Times New Roman"/>
      <w:color w:val="0563C1"/>
      <w:kern w:val="2"/>
      <w:sz w:val="20"/>
      <w:u w:val="single" w:color="0563C1"/>
      <w:lang w:val="hr-HR" w:eastAsia="hr-HR"/>
      <w14:ligatures w14:val="standardContextual"/>
    </w:rPr>
  </w:style>
  <w:style w:type="character" w:customStyle="1" w:styleId="footnotemark">
    <w:name w:val="footnote mark"/>
    <w:hidden/>
    <w:rsid w:val="00301C72"/>
    <w:rPr>
      <w:rFonts w:ascii="Times New Roman" w:eastAsia="Times New Roman" w:hAnsi="Times New Roman" w:cs="Times New Roman"/>
      <w:color w:val="000000"/>
      <w:sz w:val="20"/>
      <w:vertAlign w:val="superscript"/>
    </w:rPr>
  </w:style>
  <w:style w:type="table" w:customStyle="1" w:styleId="TableGrid2">
    <w:name w:val="TableGrid"/>
    <w:rsid w:val="00301C72"/>
    <w:pPr>
      <w:widowControl/>
      <w:autoSpaceDE/>
      <w:autoSpaceDN/>
    </w:pPr>
    <w:rPr>
      <w:rFonts w:eastAsia="Times New Roman"/>
      <w:kern w:val="2"/>
      <w:lang w:val="hr-HR" w:eastAsia="hr-HR"/>
      <w14:ligatures w14:val="standardContextual"/>
    </w:rPr>
    <w:tblPr>
      <w:tblCellMar>
        <w:top w:w="0" w:type="dxa"/>
        <w:left w:w="0" w:type="dxa"/>
        <w:bottom w:w="0" w:type="dxa"/>
        <w:right w:w="0" w:type="dxa"/>
      </w:tblCellMar>
    </w:tblPr>
  </w:style>
  <w:style w:type="table" w:customStyle="1" w:styleId="TableGrid10">
    <w:name w:val="TableGrid1"/>
    <w:rsid w:val="00B30C18"/>
    <w:pPr>
      <w:widowControl/>
      <w:autoSpaceDE/>
      <w:autoSpaceDN/>
    </w:pPr>
    <w:rPr>
      <w:rFonts w:eastAsia="Times New Roman"/>
      <w:kern w:val="2"/>
      <w:lang w:val="hr-HR" w:eastAsia="hr-HR"/>
      <w14:ligatures w14:val="standardContextual"/>
    </w:rPr>
    <w:tblPr>
      <w:tblCellMar>
        <w:top w:w="0" w:type="dxa"/>
        <w:left w:w="0" w:type="dxa"/>
        <w:bottom w:w="0" w:type="dxa"/>
        <w:right w:w="0" w:type="dxa"/>
      </w:tblCellMar>
    </w:tblPr>
  </w:style>
  <w:style w:type="table" w:customStyle="1" w:styleId="TableGrid20">
    <w:name w:val="TableGrid2"/>
    <w:rsid w:val="00C42724"/>
    <w:pPr>
      <w:widowControl/>
      <w:autoSpaceDE/>
      <w:autoSpaceDN/>
    </w:pPr>
    <w:rPr>
      <w:rFonts w:eastAsia="Times New Roman"/>
      <w:kern w:val="2"/>
      <w:lang w:val="hr-HR" w:eastAsia="hr-HR"/>
      <w14:ligatures w14:val="standardContextual"/>
    </w:rPr>
    <w:tblPr>
      <w:tblCellMar>
        <w:top w:w="0" w:type="dxa"/>
        <w:left w:w="0" w:type="dxa"/>
        <w:bottom w:w="0" w:type="dxa"/>
        <w:right w:w="0" w:type="dxa"/>
      </w:tblCellMar>
    </w:tblPr>
  </w:style>
  <w:style w:type="table" w:customStyle="1" w:styleId="TableGrid3">
    <w:name w:val="TableGrid3"/>
    <w:rsid w:val="0047509D"/>
    <w:pPr>
      <w:widowControl/>
      <w:autoSpaceDE/>
      <w:autoSpaceDN/>
    </w:pPr>
    <w:rPr>
      <w:rFonts w:eastAsia="Times New Roman"/>
      <w:kern w:val="2"/>
      <w:lang w:val="hr-HR" w:eastAsia="hr-HR"/>
      <w14:ligatures w14:val="standardContextual"/>
    </w:rPr>
    <w:tblPr>
      <w:tblCellMar>
        <w:top w:w="0" w:type="dxa"/>
        <w:left w:w="0" w:type="dxa"/>
        <w:bottom w:w="0" w:type="dxa"/>
        <w:right w:w="0" w:type="dxa"/>
      </w:tblCellMar>
    </w:tblPr>
  </w:style>
  <w:style w:type="table" w:customStyle="1" w:styleId="TableGrid4">
    <w:name w:val="TableGrid4"/>
    <w:rsid w:val="00FB20F7"/>
    <w:pPr>
      <w:widowControl/>
      <w:autoSpaceDE/>
      <w:autoSpaceDN/>
    </w:pPr>
    <w:rPr>
      <w:rFonts w:eastAsia="Times New Roman"/>
      <w:kern w:val="2"/>
      <w:lang w:val="hr-HR" w:eastAsia="hr-HR"/>
      <w14:ligatures w14:val="standardContextual"/>
    </w:rPr>
    <w:tblPr>
      <w:tblCellMar>
        <w:top w:w="0" w:type="dxa"/>
        <w:left w:w="0" w:type="dxa"/>
        <w:bottom w:w="0" w:type="dxa"/>
        <w:right w:w="0" w:type="dxa"/>
      </w:tblCellMar>
    </w:tblPr>
  </w:style>
  <w:style w:type="table" w:customStyle="1" w:styleId="TableGrid5">
    <w:name w:val="TableGrid5"/>
    <w:rsid w:val="002C7491"/>
    <w:pPr>
      <w:widowControl/>
      <w:autoSpaceDE/>
      <w:autoSpaceDN/>
    </w:pPr>
    <w:rPr>
      <w:rFonts w:eastAsia="Times New Roman"/>
      <w:kern w:val="2"/>
      <w:lang w:val="hr-HR" w:eastAsia="hr-HR"/>
      <w14:ligatures w14:val="standardContextual"/>
    </w:rPr>
    <w:tblPr>
      <w:tblCellMar>
        <w:top w:w="0" w:type="dxa"/>
        <w:left w:w="0" w:type="dxa"/>
        <w:bottom w:w="0" w:type="dxa"/>
        <w:right w:w="0" w:type="dxa"/>
      </w:tblCellMar>
    </w:tblPr>
  </w:style>
  <w:style w:type="character" w:customStyle="1" w:styleId="scxw218985200">
    <w:name w:val="scxw218985200"/>
    <w:basedOn w:val="DefaultParagraphFont"/>
    <w:rsid w:val="00B34564"/>
  </w:style>
  <w:style w:type="character" w:customStyle="1" w:styleId="superscript">
    <w:name w:val="superscript"/>
    <w:basedOn w:val="DefaultParagraphFont"/>
    <w:rsid w:val="009A3EF8"/>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rsid w:val="00B119F2"/>
    <w:pPr>
      <w:widowControl/>
      <w:autoSpaceDE/>
      <w:autoSpaceDN/>
      <w:spacing w:after="160" w:line="240" w:lineRule="exact"/>
      <w:jc w:val="both"/>
    </w:pPr>
    <w:rPr>
      <w:rFonts w:asciiTheme="minorHAnsi" w:eastAsiaTheme="minorHAnsi" w:hAnsiTheme="minorHAnsi" w:cstheme="minorBidi"/>
      <w:vertAlign w:val="superscript"/>
      <w:lang w:val="en-US"/>
    </w:rPr>
  </w:style>
  <w:style w:type="table" w:customStyle="1" w:styleId="TableGrid6">
    <w:name w:val="TableGrid6"/>
    <w:rsid w:val="00313E2F"/>
    <w:pPr>
      <w:widowControl/>
      <w:autoSpaceDE/>
      <w:autoSpaceDN/>
    </w:pPr>
    <w:rPr>
      <w:rFonts w:eastAsia="Times New Roman"/>
      <w:kern w:val="2"/>
      <w:sz w:val="24"/>
      <w:szCs w:val="24"/>
      <w:lang w:val="hr-HR" w:eastAsia="hr-HR"/>
      <w14:ligatures w14:val="standardContextual"/>
    </w:rPr>
    <w:tblPr>
      <w:tblCellMar>
        <w:top w:w="0" w:type="dxa"/>
        <w:left w:w="0" w:type="dxa"/>
        <w:bottom w:w="0" w:type="dxa"/>
        <w:right w:w="0" w:type="dxa"/>
      </w:tblCellMar>
    </w:tblPr>
  </w:style>
  <w:style w:type="table" w:customStyle="1" w:styleId="TableGrid7">
    <w:name w:val="TableGrid7"/>
    <w:rsid w:val="00F919A4"/>
    <w:pPr>
      <w:widowControl/>
      <w:autoSpaceDE/>
      <w:autoSpaceDN/>
    </w:pPr>
    <w:rPr>
      <w:rFonts w:eastAsia="Times New Roman"/>
      <w:kern w:val="2"/>
      <w:lang w:val="hr-HR" w:eastAsia="hr-HR"/>
      <w14:ligatures w14:val="standardContextual"/>
    </w:rPr>
    <w:tblPr>
      <w:tblCellMar>
        <w:top w:w="0" w:type="dxa"/>
        <w:left w:w="0" w:type="dxa"/>
        <w:bottom w:w="0" w:type="dxa"/>
        <w:right w:w="0" w:type="dxa"/>
      </w:tblCellMar>
    </w:tblPr>
  </w:style>
  <w:style w:type="character" w:customStyle="1" w:styleId="Heading6Char">
    <w:name w:val="Heading 6 Char"/>
    <w:basedOn w:val="DefaultParagraphFont"/>
    <w:link w:val="Heading6"/>
    <w:uiPriority w:val="9"/>
    <w:semiHidden/>
    <w:rsid w:val="008E3FDA"/>
    <w:rPr>
      <w:rFonts w:asciiTheme="majorHAnsi" w:eastAsiaTheme="majorEastAsia" w:hAnsiTheme="majorHAnsi" w:cstheme="majorBidi"/>
      <w:color w:val="243F60" w:themeColor="accent1" w:themeShade="7F"/>
      <w:lang w:val="hr-HR"/>
    </w:rPr>
  </w:style>
  <w:style w:type="paragraph" w:customStyle="1" w:styleId="pf0">
    <w:name w:val="pf0"/>
    <w:basedOn w:val="Normal"/>
    <w:rsid w:val="00456A6F"/>
    <w:pPr>
      <w:widowControl/>
      <w:autoSpaceDE/>
      <w:autoSpaceDN/>
      <w:spacing w:before="100" w:beforeAutospacing="1" w:after="100" w:afterAutospacing="1"/>
    </w:pPr>
    <w:rPr>
      <w:sz w:val="24"/>
      <w:szCs w:val="24"/>
      <w:lang w:eastAsia="hr-HR"/>
    </w:rPr>
  </w:style>
  <w:style w:type="character" w:styleId="Emphasis">
    <w:name w:val="Emphasis"/>
    <w:basedOn w:val="DefaultParagraphFont"/>
    <w:uiPriority w:val="20"/>
    <w:qFormat/>
    <w:rsid w:val="008F1A3E"/>
    <w:rPr>
      <w:i/>
      <w:iCs/>
    </w:rPr>
  </w:style>
  <w:style w:type="character" w:customStyle="1" w:styleId="ms-1">
    <w:name w:val="ms-1"/>
    <w:basedOn w:val="DefaultParagraphFont"/>
    <w:rsid w:val="008F1A3E"/>
  </w:style>
  <w:style w:type="character" w:customStyle="1" w:styleId="max-w-15ch">
    <w:name w:val="max-w-[15ch]"/>
    <w:basedOn w:val="DefaultParagraphFont"/>
    <w:rsid w:val="008F1A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4772">
      <w:bodyDiv w:val="1"/>
      <w:marLeft w:val="0"/>
      <w:marRight w:val="0"/>
      <w:marTop w:val="0"/>
      <w:marBottom w:val="0"/>
      <w:divBdr>
        <w:top w:val="none" w:sz="0" w:space="0" w:color="auto"/>
        <w:left w:val="none" w:sz="0" w:space="0" w:color="auto"/>
        <w:bottom w:val="none" w:sz="0" w:space="0" w:color="auto"/>
        <w:right w:val="none" w:sz="0" w:space="0" w:color="auto"/>
      </w:divBdr>
    </w:div>
    <w:div w:id="32272214">
      <w:bodyDiv w:val="1"/>
      <w:marLeft w:val="0"/>
      <w:marRight w:val="0"/>
      <w:marTop w:val="0"/>
      <w:marBottom w:val="0"/>
      <w:divBdr>
        <w:top w:val="none" w:sz="0" w:space="0" w:color="auto"/>
        <w:left w:val="none" w:sz="0" w:space="0" w:color="auto"/>
        <w:bottom w:val="none" w:sz="0" w:space="0" w:color="auto"/>
        <w:right w:val="none" w:sz="0" w:space="0" w:color="auto"/>
      </w:divBdr>
    </w:div>
    <w:div w:id="41636965">
      <w:bodyDiv w:val="1"/>
      <w:marLeft w:val="0"/>
      <w:marRight w:val="0"/>
      <w:marTop w:val="0"/>
      <w:marBottom w:val="0"/>
      <w:divBdr>
        <w:top w:val="none" w:sz="0" w:space="0" w:color="auto"/>
        <w:left w:val="none" w:sz="0" w:space="0" w:color="auto"/>
        <w:bottom w:val="none" w:sz="0" w:space="0" w:color="auto"/>
        <w:right w:val="none" w:sz="0" w:space="0" w:color="auto"/>
      </w:divBdr>
      <w:divsChild>
        <w:div w:id="141242695">
          <w:marLeft w:val="0"/>
          <w:marRight w:val="0"/>
          <w:marTop w:val="0"/>
          <w:marBottom w:val="0"/>
          <w:divBdr>
            <w:top w:val="none" w:sz="0" w:space="0" w:color="auto"/>
            <w:left w:val="none" w:sz="0" w:space="0" w:color="auto"/>
            <w:bottom w:val="none" w:sz="0" w:space="0" w:color="auto"/>
            <w:right w:val="none" w:sz="0" w:space="0" w:color="auto"/>
          </w:divBdr>
        </w:div>
        <w:div w:id="155342639">
          <w:marLeft w:val="0"/>
          <w:marRight w:val="0"/>
          <w:marTop w:val="0"/>
          <w:marBottom w:val="0"/>
          <w:divBdr>
            <w:top w:val="none" w:sz="0" w:space="0" w:color="auto"/>
            <w:left w:val="none" w:sz="0" w:space="0" w:color="auto"/>
            <w:bottom w:val="none" w:sz="0" w:space="0" w:color="auto"/>
            <w:right w:val="none" w:sz="0" w:space="0" w:color="auto"/>
          </w:divBdr>
        </w:div>
        <w:div w:id="438570986">
          <w:marLeft w:val="0"/>
          <w:marRight w:val="0"/>
          <w:marTop w:val="0"/>
          <w:marBottom w:val="0"/>
          <w:divBdr>
            <w:top w:val="none" w:sz="0" w:space="0" w:color="auto"/>
            <w:left w:val="none" w:sz="0" w:space="0" w:color="auto"/>
            <w:bottom w:val="none" w:sz="0" w:space="0" w:color="auto"/>
            <w:right w:val="none" w:sz="0" w:space="0" w:color="auto"/>
          </w:divBdr>
        </w:div>
        <w:div w:id="600458818">
          <w:marLeft w:val="0"/>
          <w:marRight w:val="0"/>
          <w:marTop w:val="0"/>
          <w:marBottom w:val="0"/>
          <w:divBdr>
            <w:top w:val="none" w:sz="0" w:space="0" w:color="auto"/>
            <w:left w:val="none" w:sz="0" w:space="0" w:color="auto"/>
            <w:bottom w:val="none" w:sz="0" w:space="0" w:color="auto"/>
            <w:right w:val="none" w:sz="0" w:space="0" w:color="auto"/>
          </w:divBdr>
        </w:div>
        <w:div w:id="769861211">
          <w:marLeft w:val="0"/>
          <w:marRight w:val="0"/>
          <w:marTop w:val="0"/>
          <w:marBottom w:val="0"/>
          <w:divBdr>
            <w:top w:val="none" w:sz="0" w:space="0" w:color="auto"/>
            <w:left w:val="none" w:sz="0" w:space="0" w:color="auto"/>
            <w:bottom w:val="none" w:sz="0" w:space="0" w:color="auto"/>
            <w:right w:val="none" w:sz="0" w:space="0" w:color="auto"/>
          </w:divBdr>
        </w:div>
        <w:div w:id="811218543">
          <w:marLeft w:val="0"/>
          <w:marRight w:val="0"/>
          <w:marTop w:val="0"/>
          <w:marBottom w:val="0"/>
          <w:divBdr>
            <w:top w:val="none" w:sz="0" w:space="0" w:color="auto"/>
            <w:left w:val="none" w:sz="0" w:space="0" w:color="auto"/>
            <w:bottom w:val="none" w:sz="0" w:space="0" w:color="auto"/>
            <w:right w:val="none" w:sz="0" w:space="0" w:color="auto"/>
          </w:divBdr>
        </w:div>
        <w:div w:id="832332761">
          <w:marLeft w:val="0"/>
          <w:marRight w:val="0"/>
          <w:marTop w:val="0"/>
          <w:marBottom w:val="0"/>
          <w:divBdr>
            <w:top w:val="none" w:sz="0" w:space="0" w:color="auto"/>
            <w:left w:val="none" w:sz="0" w:space="0" w:color="auto"/>
            <w:bottom w:val="none" w:sz="0" w:space="0" w:color="auto"/>
            <w:right w:val="none" w:sz="0" w:space="0" w:color="auto"/>
          </w:divBdr>
        </w:div>
        <w:div w:id="837578030">
          <w:marLeft w:val="0"/>
          <w:marRight w:val="0"/>
          <w:marTop w:val="0"/>
          <w:marBottom w:val="0"/>
          <w:divBdr>
            <w:top w:val="none" w:sz="0" w:space="0" w:color="auto"/>
            <w:left w:val="none" w:sz="0" w:space="0" w:color="auto"/>
            <w:bottom w:val="none" w:sz="0" w:space="0" w:color="auto"/>
            <w:right w:val="none" w:sz="0" w:space="0" w:color="auto"/>
          </w:divBdr>
        </w:div>
        <w:div w:id="873230933">
          <w:marLeft w:val="0"/>
          <w:marRight w:val="0"/>
          <w:marTop w:val="0"/>
          <w:marBottom w:val="0"/>
          <w:divBdr>
            <w:top w:val="none" w:sz="0" w:space="0" w:color="auto"/>
            <w:left w:val="none" w:sz="0" w:space="0" w:color="auto"/>
            <w:bottom w:val="none" w:sz="0" w:space="0" w:color="auto"/>
            <w:right w:val="none" w:sz="0" w:space="0" w:color="auto"/>
          </w:divBdr>
        </w:div>
        <w:div w:id="979379747">
          <w:marLeft w:val="0"/>
          <w:marRight w:val="0"/>
          <w:marTop w:val="0"/>
          <w:marBottom w:val="0"/>
          <w:divBdr>
            <w:top w:val="none" w:sz="0" w:space="0" w:color="auto"/>
            <w:left w:val="none" w:sz="0" w:space="0" w:color="auto"/>
            <w:bottom w:val="none" w:sz="0" w:space="0" w:color="auto"/>
            <w:right w:val="none" w:sz="0" w:space="0" w:color="auto"/>
          </w:divBdr>
        </w:div>
        <w:div w:id="1248809607">
          <w:marLeft w:val="0"/>
          <w:marRight w:val="0"/>
          <w:marTop w:val="0"/>
          <w:marBottom w:val="0"/>
          <w:divBdr>
            <w:top w:val="none" w:sz="0" w:space="0" w:color="auto"/>
            <w:left w:val="none" w:sz="0" w:space="0" w:color="auto"/>
            <w:bottom w:val="none" w:sz="0" w:space="0" w:color="auto"/>
            <w:right w:val="none" w:sz="0" w:space="0" w:color="auto"/>
          </w:divBdr>
        </w:div>
        <w:div w:id="1277130656">
          <w:marLeft w:val="0"/>
          <w:marRight w:val="0"/>
          <w:marTop w:val="0"/>
          <w:marBottom w:val="0"/>
          <w:divBdr>
            <w:top w:val="none" w:sz="0" w:space="0" w:color="auto"/>
            <w:left w:val="none" w:sz="0" w:space="0" w:color="auto"/>
            <w:bottom w:val="none" w:sz="0" w:space="0" w:color="auto"/>
            <w:right w:val="none" w:sz="0" w:space="0" w:color="auto"/>
          </w:divBdr>
        </w:div>
        <w:div w:id="1324898278">
          <w:marLeft w:val="0"/>
          <w:marRight w:val="0"/>
          <w:marTop w:val="0"/>
          <w:marBottom w:val="0"/>
          <w:divBdr>
            <w:top w:val="none" w:sz="0" w:space="0" w:color="auto"/>
            <w:left w:val="none" w:sz="0" w:space="0" w:color="auto"/>
            <w:bottom w:val="none" w:sz="0" w:space="0" w:color="auto"/>
            <w:right w:val="none" w:sz="0" w:space="0" w:color="auto"/>
          </w:divBdr>
        </w:div>
        <w:div w:id="1652364184">
          <w:marLeft w:val="0"/>
          <w:marRight w:val="0"/>
          <w:marTop w:val="0"/>
          <w:marBottom w:val="0"/>
          <w:divBdr>
            <w:top w:val="none" w:sz="0" w:space="0" w:color="auto"/>
            <w:left w:val="none" w:sz="0" w:space="0" w:color="auto"/>
            <w:bottom w:val="none" w:sz="0" w:space="0" w:color="auto"/>
            <w:right w:val="none" w:sz="0" w:space="0" w:color="auto"/>
          </w:divBdr>
        </w:div>
        <w:div w:id="1790127253">
          <w:marLeft w:val="0"/>
          <w:marRight w:val="0"/>
          <w:marTop w:val="0"/>
          <w:marBottom w:val="0"/>
          <w:divBdr>
            <w:top w:val="none" w:sz="0" w:space="0" w:color="auto"/>
            <w:left w:val="none" w:sz="0" w:space="0" w:color="auto"/>
            <w:bottom w:val="none" w:sz="0" w:space="0" w:color="auto"/>
            <w:right w:val="none" w:sz="0" w:space="0" w:color="auto"/>
          </w:divBdr>
        </w:div>
        <w:div w:id="1792242574">
          <w:marLeft w:val="0"/>
          <w:marRight w:val="0"/>
          <w:marTop w:val="0"/>
          <w:marBottom w:val="0"/>
          <w:divBdr>
            <w:top w:val="none" w:sz="0" w:space="0" w:color="auto"/>
            <w:left w:val="none" w:sz="0" w:space="0" w:color="auto"/>
            <w:bottom w:val="none" w:sz="0" w:space="0" w:color="auto"/>
            <w:right w:val="none" w:sz="0" w:space="0" w:color="auto"/>
          </w:divBdr>
        </w:div>
        <w:div w:id="1800217842">
          <w:marLeft w:val="0"/>
          <w:marRight w:val="0"/>
          <w:marTop w:val="0"/>
          <w:marBottom w:val="0"/>
          <w:divBdr>
            <w:top w:val="none" w:sz="0" w:space="0" w:color="auto"/>
            <w:left w:val="none" w:sz="0" w:space="0" w:color="auto"/>
            <w:bottom w:val="none" w:sz="0" w:space="0" w:color="auto"/>
            <w:right w:val="none" w:sz="0" w:space="0" w:color="auto"/>
          </w:divBdr>
        </w:div>
        <w:div w:id="1917864216">
          <w:marLeft w:val="0"/>
          <w:marRight w:val="0"/>
          <w:marTop w:val="0"/>
          <w:marBottom w:val="0"/>
          <w:divBdr>
            <w:top w:val="none" w:sz="0" w:space="0" w:color="auto"/>
            <w:left w:val="none" w:sz="0" w:space="0" w:color="auto"/>
            <w:bottom w:val="none" w:sz="0" w:space="0" w:color="auto"/>
            <w:right w:val="none" w:sz="0" w:space="0" w:color="auto"/>
          </w:divBdr>
        </w:div>
      </w:divsChild>
    </w:div>
    <w:div w:id="50081833">
      <w:bodyDiv w:val="1"/>
      <w:marLeft w:val="0"/>
      <w:marRight w:val="0"/>
      <w:marTop w:val="0"/>
      <w:marBottom w:val="0"/>
      <w:divBdr>
        <w:top w:val="none" w:sz="0" w:space="0" w:color="auto"/>
        <w:left w:val="none" w:sz="0" w:space="0" w:color="auto"/>
        <w:bottom w:val="none" w:sz="0" w:space="0" w:color="auto"/>
        <w:right w:val="none" w:sz="0" w:space="0" w:color="auto"/>
      </w:divBdr>
    </w:div>
    <w:div w:id="51393734">
      <w:bodyDiv w:val="1"/>
      <w:marLeft w:val="0"/>
      <w:marRight w:val="0"/>
      <w:marTop w:val="0"/>
      <w:marBottom w:val="0"/>
      <w:divBdr>
        <w:top w:val="none" w:sz="0" w:space="0" w:color="auto"/>
        <w:left w:val="none" w:sz="0" w:space="0" w:color="auto"/>
        <w:bottom w:val="none" w:sz="0" w:space="0" w:color="auto"/>
        <w:right w:val="none" w:sz="0" w:space="0" w:color="auto"/>
      </w:divBdr>
    </w:div>
    <w:div w:id="73430159">
      <w:bodyDiv w:val="1"/>
      <w:marLeft w:val="0"/>
      <w:marRight w:val="0"/>
      <w:marTop w:val="0"/>
      <w:marBottom w:val="0"/>
      <w:divBdr>
        <w:top w:val="none" w:sz="0" w:space="0" w:color="auto"/>
        <w:left w:val="none" w:sz="0" w:space="0" w:color="auto"/>
        <w:bottom w:val="none" w:sz="0" w:space="0" w:color="auto"/>
        <w:right w:val="none" w:sz="0" w:space="0" w:color="auto"/>
      </w:divBdr>
    </w:div>
    <w:div w:id="96214925">
      <w:bodyDiv w:val="1"/>
      <w:marLeft w:val="0"/>
      <w:marRight w:val="0"/>
      <w:marTop w:val="0"/>
      <w:marBottom w:val="0"/>
      <w:divBdr>
        <w:top w:val="none" w:sz="0" w:space="0" w:color="auto"/>
        <w:left w:val="none" w:sz="0" w:space="0" w:color="auto"/>
        <w:bottom w:val="none" w:sz="0" w:space="0" w:color="auto"/>
        <w:right w:val="none" w:sz="0" w:space="0" w:color="auto"/>
      </w:divBdr>
      <w:divsChild>
        <w:div w:id="203367796">
          <w:marLeft w:val="0"/>
          <w:marRight w:val="0"/>
          <w:marTop w:val="0"/>
          <w:marBottom w:val="0"/>
          <w:divBdr>
            <w:top w:val="none" w:sz="0" w:space="0" w:color="auto"/>
            <w:left w:val="none" w:sz="0" w:space="0" w:color="auto"/>
            <w:bottom w:val="none" w:sz="0" w:space="0" w:color="auto"/>
            <w:right w:val="none" w:sz="0" w:space="0" w:color="auto"/>
          </w:divBdr>
        </w:div>
        <w:div w:id="1868979373">
          <w:marLeft w:val="0"/>
          <w:marRight w:val="0"/>
          <w:marTop w:val="0"/>
          <w:marBottom w:val="0"/>
          <w:divBdr>
            <w:top w:val="none" w:sz="0" w:space="0" w:color="auto"/>
            <w:left w:val="none" w:sz="0" w:space="0" w:color="auto"/>
            <w:bottom w:val="none" w:sz="0" w:space="0" w:color="auto"/>
            <w:right w:val="none" w:sz="0" w:space="0" w:color="auto"/>
          </w:divBdr>
        </w:div>
      </w:divsChild>
    </w:div>
    <w:div w:id="103622192">
      <w:bodyDiv w:val="1"/>
      <w:marLeft w:val="0"/>
      <w:marRight w:val="0"/>
      <w:marTop w:val="0"/>
      <w:marBottom w:val="0"/>
      <w:divBdr>
        <w:top w:val="none" w:sz="0" w:space="0" w:color="auto"/>
        <w:left w:val="none" w:sz="0" w:space="0" w:color="auto"/>
        <w:bottom w:val="none" w:sz="0" w:space="0" w:color="auto"/>
        <w:right w:val="none" w:sz="0" w:space="0" w:color="auto"/>
      </w:divBdr>
    </w:div>
    <w:div w:id="105270413">
      <w:bodyDiv w:val="1"/>
      <w:marLeft w:val="0"/>
      <w:marRight w:val="0"/>
      <w:marTop w:val="0"/>
      <w:marBottom w:val="0"/>
      <w:divBdr>
        <w:top w:val="none" w:sz="0" w:space="0" w:color="auto"/>
        <w:left w:val="none" w:sz="0" w:space="0" w:color="auto"/>
        <w:bottom w:val="none" w:sz="0" w:space="0" w:color="auto"/>
        <w:right w:val="none" w:sz="0" w:space="0" w:color="auto"/>
      </w:divBdr>
      <w:divsChild>
        <w:div w:id="310332833">
          <w:marLeft w:val="0"/>
          <w:marRight w:val="0"/>
          <w:marTop w:val="0"/>
          <w:marBottom w:val="0"/>
          <w:divBdr>
            <w:top w:val="none" w:sz="0" w:space="0" w:color="auto"/>
            <w:left w:val="none" w:sz="0" w:space="0" w:color="auto"/>
            <w:bottom w:val="none" w:sz="0" w:space="0" w:color="auto"/>
            <w:right w:val="none" w:sz="0" w:space="0" w:color="auto"/>
          </w:divBdr>
        </w:div>
        <w:div w:id="701637051">
          <w:marLeft w:val="0"/>
          <w:marRight w:val="0"/>
          <w:marTop w:val="0"/>
          <w:marBottom w:val="0"/>
          <w:divBdr>
            <w:top w:val="none" w:sz="0" w:space="0" w:color="auto"/>
            <w:left w:val="none" w:sz="0" w:space="0" w:color="auto"/>
            <w:bottom w:val="none" w:sz="0" w:space="0" w:color="auto"/>
            <w:right w:val="none" w:sz="0" w:space="0" w:color="auto"/>
          </w:divBdr>
        </w:div>
      </w:divsChild>
    </w:div>
    <w:div w:id="138812198">
      <w:bodyDiv w:val="1"/>
      <w:marLeft w:val="0"/>
      <w:marRight w:val="0"/>
      <w:marTop w:val="0"/>
      <w:marBottom w:val="0"/>
      <w:divBdr>
        <w:top w:val="none" w:sz="0" w:space="0" w:color="auto"/>
        <w:left w:val="none" w:sz="0" w:space="0" w:color="auto"/>
        <w:bottom w:val="none" w:sz="0" w:space="0" w:color="auto"/>
        <w:right w:val="none" w:sz="0" w:space="0" w:color="auto"/>
      </w:divBdr>
    </w:div>
    <w:div w:id="174005866">
      <w:bodyDiv w:val="1"/>
      <w:marLeft w:val="0"/>
      <w:marRight w:val="0"/>
      <w:marTop w:val="0"/>
      <w:marBottom w:val="0"/>
      <w:divBdr>
        <w:top w:val="none" w:sz="0" w:space="0" w:color="auto"/>
        <w:left w:val="none" w:sz="0" w:space="0" w:color="auto"/>
        <w:bottom w:val="none" w:sz="0" w:space="0" w:color="auto"/>
        <w:right w:val="none" w:sz="0" w:space="0" w:color="auto"/>
      </w:divBdr>
      <w:divsChild>
        <w:div w:id="145168723">
          <w:marLeft w:val="0"/>
          <w:marRight w:val="0"/>
          <w:marTop w:val="0"/>
          <w:marBottom w:val="0"/>
          <w:divBdr>
            <w:top w:val="none" w:sz="0" w:space="0" w:color="auto"/>
            <w:left w:val="none" w:sz="0" w:space="0" w:color="auto"/>
            <w:bottom w:val="none" w:sz="0" w:space="0" w:color="auto"/>
            <w:right w:val="none" w:sz="0" w:space="0" w:color="auto"/>
          </w:divBdr>
        </w:div>
        <w:div w:id="283317244">
          <w:marLeft w:val="0"/>
          <w:marRight w:val="0"/>
          <w:marTop w:val="0"/>
          <w:marBottom w:val="0"/>
          <w:divBdr>
            <w:top w:val="none" w:sz="0" w:space="0" w:color="auto"/>
            <w:left w:val="none" w:sz="0" w:space="0" w:color="auto"/>
            <w:bottom w:val="none" w:sz="0" w:space="0" w:color="auto"/>
            <w:right w:val="none" w:sz="0" w:space="0" w:color="auto"/>
          </w:divBdr>
        </w:div>
        <w:div w:id="382096577">
          <w:marLeft w:val="0"/>
          <w:marRight w:val="0"/>
          <w:marTop w:val="0"/>
          <w:marBottom w:val="0"/>
          <w:divBdr>
            <w:top w:val="none" w:sz="0" w:space="0" w:color="auto"/>
            <w:left w:val="none" w:sz="0" w:space="0" w:color="auto"/>
            <w:bottom w:val="none" w:sz="0" w:space="0" w:color="auto"/>
            <w:right w:val="none" w:sz="0" w:space="0" w:color="auto"/>
          </w:divBdr>
        </w:div>
        <w:div w:id="668753148">
          <w:marLeft w:val="0"/>
          <w:marRight w:val="0"/>
          <w:marTop w:val="0"/>
          <w:marBottom w:val="0"/>
          <w:divBdr>
            <w:top w:val="none" w:sz="0" w:space="0" w:color="auto"/>
            <w:left w:val="none" w:sz="0" w:space="0" w:color="auto"/>
            <w:bottom w:val="none" w:sz="0" w:space="0" w:color="auto"/>
            <w:right w:val="none" w:sz="0" w:space="0" w:color="auto"/>
          </w:divBdr>
        </w:div>
        <w:div w:id="889271232">
          <w:marLeft w:val="0"/>
          <w:marRight w:val="0"/>
          <w:marTop w:val="0"/>
          <w:marBottom w:val="0"/>
          <w:divBdr>
            <w:top w:val="none" w:sz="0" w:space="0" w:color="auto"/>
            <w:left w:val="none" w:sz="0" w:space="0" w:color="auto"/>
            <w:bottom w:val="none" w:sz="0" w:space="0" w:color="auto"/>
            <w:right w:val="none" w:sz="0" w:space="0" w:color="auto"/>
          </w:divBdr>
        </w:div>
        <w:div w:id="903838292">
          <w:marLeft w:val="0"/>
          <w:marRight w:val="0"/>
          <w:marTop w:val="0"/>
          <w:marBottom w:val="0"/>
          <w:divBdr>
            <w:top w:val="none" w:sz="0" w:space="0" w:color="auto"/>
            <w:left w:val="none" w:sz="0" w:space="0" w:color="auto"/>
            <w:bottom w:val="none" w:sz="0" w:space="0" w:color="auto"/>
            <w:right w:val="none" w:sz="0" w:space="0" w:color="auto"/>
          </w:divBdr>
        </w:div>
        <w:div w:id="1010447729">
          <w:marLeft w:val="0"/>
          <w:marRight w:val="0"/>
          <w:marTop w:val="0"/>
          <w:marBottom w:val="0"/>
          <w:divBdr>
            <w:top w:val="none" w:sz="0" w:space="0" w:color="auto"/>
            <w:left w:val="none" w:sz="0" w:space="0" w:color="auto"/>
            <w:bottom w:val="none" w:sz="0" w:space="0" w:color="auto"/>
            <w:right w:val="none" w:sz="0" w:space="0" w:color="auto"/>
          </w:divBdr>
        </w:div>
        <w:div w:id="1634365599">
          <w:marLeft w:val="0"/>
          <w:marRight w:val="0"/>
          <w:marTop w:val="0"/>
          <w:marBottom w:val="0"/>
          <w:divBdr>
            <w:top w:val="none" w:sz="0" w:space="0" w:color="auto"/>
            <w:left w:val="none" w:sz="0" w:space="0" w:color="auto"/>
            <w:bottom w:val="none" w:sz="0" w:space="0" w:color="auto"/>
            <w:right w:val="none" w:sz="0" w:space="0" w:color="auto"/>
          </w:divBdr>
        </w:div>
        <w:div w:id="1724520486">
          <w:marLeft w:val="0"/>
          <w:marRight w:val="0"/>
          <w:marTop w:val="0"/>
          <w:marBottom w:val="0"/>
          <w:divBdr>
            <w:top w:val="none" w:sz="0" w:space="0" w:color="auto"/>
            <w:left w:val="none" w:sz="0" w:space="0" w:color="auto"/>
            <w:bottom w:val="none" w:sz="0" w:space="0" w:color="auto"/>
            <w:right w:val="none" w:sz="0" w:space="0" w:color="auto"/>
          </w:divBdr>
        </w:div>
        <w:div w:id="2090540706">
          <w:marLeft w:val="0"/>
          <w:marRight w:val="0"/>
          <w:marTop w:val="0"/>
          <w:marBottom w:val="0"/>
          <w:divBdr>
            <w:top w:val="none" w:sz="0" w:space="0" w:color="auto"/>
            <w:left w:val="none" w:sz="0" w:space="0" w:color="auto"/>
            <w:bottom w:val="none" w:sz="0" w:space="0" w:color="auto"/>
            <w:right w:val="none" w:sz="0" w:space="0" w:color="auto"/>
          </w:divBdr>
        </w:div>
      </w:divsChild>
    </w:div>
    <w:div w:id="185872286">
      <w:bodyDiv w:val="1"/>
      <w:marLeft w:val="0"/>
      <w:marRight w:val="0"/>
      <w:marTop w:val="0"/>
      <w:marBottom w:val="0"/>
      <w:divBdr>
        <w:top w:val="none" w:sz="0" w:space="0" w:color="auto"/>
        <w:left w:val="none" w:sz="0" w:space="0" w:color="auto"/>
        <w:bottom w:val="none" w:sz="0" w:space="0" w:color="auto"/>
        <w:right w:val="none" w:sz="0" w:space="0" w:color="auto"/>
      </w:divBdr>
    </w:div>
    <w:div w:id="195385400">
      <w:bodyDiv w:val="1"/>
      <w:marLeft w:val="0"/>
      <w:marRight w:val="0"/>
      <w:marTop w:val="0"/>
      <w:marBottom w:val="0"/>
      <w:divBdr>
        <w:top w:val="none" w:sz="0" w:space="0" w:color="auto"/>
        <w:left w:val="none" w:sz="0" w:space="0" w:color="auto"/>
        <w:bottom w:val="none" w:sz="0" w:space="0" w:color="auto"/>
        <w:right w:val="none" w:sz="0" w:space="0" w:color="auto"/>
      </w:divBdr>
    </w:div>
    <w:div w:id="197206020">
      <w:bodyDiv w:val="1"/>
      <w:marLeft w:val="0"/>
      <w:marRight w:val="0"/>
      <w:marTop w:val="0"/>
      <w:marBottom w:val="0"/>
      <w:divBdr>
        <w:top w:val="none" w:sz="0" w:space="0" w:color="auto"/>
        <w:left w:val="none" w:sz="0" w:space="0" w:color="auto"/>
        <w:bottom w:val="none" w:sz="0" w:space="0" w:color="auto"/>
        <w:right w:val="none" w:sz="0" w:space="0" w:color="auto"/>
      </w:divBdr>
    </w:div>
    <w:div w:id="201940219">
      <w:bodyDiv w:val="1"/>
      <w:marLeft w:val="0"/>
      <w:marRight w:val="0"/>
      <w:marTop w:val="0"/>
      <w:marBottom w:val="0"/>
      <w:divBdr>
        <w:top w:val="none" w:sz="0" w:space="0" w:color="auto"/>
        <w:left w:val="none" w:sz="0" w:space="0" w:color="auto"/>
        <w:bottom w:val="none" w:sz="0" w:space="0" w:color="auto"/>
        <w:right w:val="none" w:sz="0" w:space="0" w:color="auto"/>
      </w:divBdr>
    </w:div>
    <w:div w:id="214202155">
      <w:bodyDiv w:val="1"/>
      <w:marLeft w:val="0"/>
      <w:marRight w:val="0"/>
      <w:marTop w:val="0"/>
      <w:marBottom w:val="0"/>
      <w:divBdr>
        <w:top w:val="none" w:sz="0" w:space="0" w:color="auto"/>
        <w:left w:val="none" w:sz="0" w:space="0" w:color="auto"/>
        <w:bottom w:val="none" w:sz="0" w:space="0" w:color="auto"/>
        <w:right w:val="none" w:sz="0" w:space="0" w:color="auto"/>
      </w:divBdr>
      <w:divsChild>
        <w:div w:id="495264684">
          <w:marLeft w:val="0"/>
          <w:marRight w:val="0"/>
          <w:marTop w:val="0"/>
          <w:marBottom w:val="0"/>
          <w:divBdr>
            <w:top w:val="none" w:sz="0" w:space="0" w:color="auto"/>
            <w:left w:val="none" w:sz="0" w:space="0" w:color="auto"/>
            <w:bottom w:val="none" w:sz="0" w:space="0" w:color="auto"/>
            <w:right w:val="none" w:sz="0" w:space="0" w:color="auto"/>
          </w:divBdr>
          <w:divsChild>
            <w:div w:id="1896039793">
              <w:marLeft w:val="0"/>
              <w:marRight w:val="0"/>
              <w:marTop w:val="0"/>
              <w:marBottom w:val="0"/>
              <w:divBdr>
                <w:top w:val="none" w:sz="0" w:space="0" w:color="auto"/>
                <w:left w:val="none" w:sz="0" w:space="0" w:color="auto"/>
                <w:bottom w:val="none" w:sz="0" w:space="0" w:color="auto"/>
                <w:right w:val="none" w:sz="0" w:space="0" w:color="auto"/>
              </w:divBdr>
              <w:divsChild>
                <w:div w:id="211119575">
                  <w:marLeft w:val="0"/>
                  <w:marRight w:val="0"/>
                  <w:marTop w:val="0"/>
                  <w:marBottom w:val="0"/>
                  <w:divBdr>
                    <w:top w:val="none" w:sz="0" w:space="0" w:color="auto"/>
                    <w:left w:val="none" w:sz="0" w:space="0" w:color="auto"/>
                    <w:bottom w:val="none" w:sz="0" w:space="0" w:color="auto"/>
                    <w:right w:val="none" w:sz="0" w:space="0" w:color="auto"/>
                  </w:divBdr>
                  <w:divsChild>
                    <w:div w:id="144919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535559">
      <w:bodyDiv w:val="1"/>
      <w:marLeft w:val="0"/>
      <w:marRight w:val="0"/>
      <w:marTop w:val="0"/>
      <w:marBottom w:val="0"/>
      <w:divBdr>
        <w:top w:val="none" w:sz="0" w:space="0" w:color="auto"/>
        <w:left w:val="none" w:sz="0" w:space="0" w:color="auto"/>
        <w:bottom w:val="none" w:sz="0" w:space="0" w:color="auto"/>
        <w:right w:val="none" w:sz="0" w:space="0" w:color="auto"/>
      </w:divBdr>
    </w:div>
    <w:div w:id="264579663">
      <w:bodyDiv w:val="1"/>
      <w:marLeft w:val="0"/>
      <w:marRight w:val="0"/>
      <w:marTop w:val="0"/>
      <w:marBottom w:val="0"/>
      <w:divBdr>
        <w:top w:val="none" w:sz="0" w:space="0" w:color="auto"/>
        <w:left w:val="none" w:sz="0" w:space="0" w:color="auto"/>
        <w:bottom w:val="none" w:sz="0" w:space="0" w:color="auto"/>
        <w:right w:val="none" w:sz="0" w:space="0" w:color="auto"/>
      </w:divBdr>
    </w:div>
    <w:div w:id="268858318">
      <w:bodyDiv w:val="1"/>
      <w:marLeft w:val="0"/>
      <w:marRight w:val="0"/>
      <w:marTop w:val="0"/>
      <w:marBottom w:val="0"/>
      <w:divBdr>
        <w:top w:val="none" w:sz="0" w:space="0" w:color="auto"/>
        <w:left w:val="none" w:sz="0" w:space="0" w:color="auto"/>
        <w:bottom w:val="none" w:sz="0" w:space="0" w:color="auto"/>
        <w:right w:val="none" w:sz="0" w:space="0" w:color="auto"/>
      </w:divBdr>
    </w:div>
    <w:div w:id="290289102">
      <w:bodyDiv w:val="1"/>
      <w:marLeft w:val="0"/>
      <w:marRight w:val="0"/>
      <w:marTop w:val="0"/>
      <w:marBottom w:val="0"/>
      <w:divBdr>
        <w:top w:val="none" w:sz="0" w:space="0" w:color="auto"/>
        <w:left w:val="none" w:sz="0" w:space="0" w:color="auto"/>
        <w:bottom w:val="none" w:sz="0" w:space="0" w:color="auto"/>
        <w:right w:val="none" w:sz="0" w:space="0" w:color="auto"/>
      </w:divBdr>
    </w:div>
    <w:div w:id="299962275">
      <w:bodyDiv w:val="1"/>
      <w:marLeft w:val="0"/>
      <w:marRight w:val="0"/>
      <w:marTop w:val="0"/>
      <w:marBottom w:val="0"/>
      <w:divBdr>
        <w:top w:val="none" w:sz="0" w:space="0" w:color="auto"/>
        <w:left w:val="none" w:sz="0" w:space="0" w:color="auto"/>
        <w:bottom w:val="none" w:sz="0" w:space="0" w:color="auto"/>
        <w:right w:val="none" w:sz="0" w:space="0" w:color="auto"/>
      </w:divBdr>
    </w:div>
    <w:div w:id="303001379">
      <w:bodyDiv w:val="1"/>
      <w:marLeft w:val="0"/>
      <w:marRight w:val="0"/>
      <w:marTop w:val="0"/>
      <w:marBottom w:val="0"/>
      <w:divBdr>
        <w:top w:val="none" w:sz="0" w:space="0" w:color="auto"/>
        <w:left w:val="none" w:sz="0" w:space="0" w:color="auto"/>
        <w:bottom w:val="none" w:sz="0" w:space="0" w:color="auto"/>
        <w:right w:val="none" w:sz="0" w:space="0" w:color="auto"/>
      </w:divBdr>
      <w:divsChild>
        <w:div w:id="256182707">
          <w:marLeft w:val="0"/>
          <w:marRight w:val="0"/>
          <w:marTop w:val="0"/>
          <w:marBottom w:val="0"/>
          <w:divBdr>
            <w:top w:val="none" w:sz="0" w:space="0" w:color="auto"/>
            <w:left w:val="none" w:sz="0" w:space="0" w:color="auto"/>
            <w:bottom w:val="none" w:sz="0" w:space="0" w:color="auto"/>
            <w:right w:val="none" w:sz="0" w:space="0" w:color="auto"/>
          </w:divBdr>
        </w:div>
        <w:div w:id="633679609">
          <w:marLeft w:val="0"/>
          <w:marRight w:val="0"/>
          <w:marTop w:val="0"/>
          <w:marBottom w:val="0"/>
          <w:divBdr>
            <w:top w:val="none" w:sz="0" w:space="0" w:color="auto"/>
            <w:left w:val="none" w:sz="0" w:space="0" w:color="auto"/>
            <w:bottom w:val="none" w:sz="0" w:space="0" w:color="auto"/>
            <w:right w:val="none" w:sz="0" w:space="0" w:color="auto"/>
          </w:divBdr>
        </w:div>
        <w:div w:id="747458632">
          <w:marLeft w:val="0"/>
          <w:marRight w:val="0"/>
          <w:marTop w:val="0"/>
          <w:marBottom w:val="0"/>
          <w:divBdr>
            <w:top w:val="none" w:sz="0" w:space="0" w:color="auto"/>
            <w:left w:val="none" w:sz="0" w:space="0" w:color="auto"/>
            <w:bottom w:val="none" w:sz="0" w:space="0" w:color="auto"/>
            <w:right w:val="none" w:sz="0" w:space="0" w:color="auto"/>
          </w:divBdr>
        </w:div>
        <w:div w:id="1225290468">
          <w:marLeft w:val="0"/>
          <w:marRight w:val="0"/>
          <w:marTop w:val="0"/>
          <w:marBottom w:val="0"/>
          <w:divBdr>
            <w:top w:val="none" w:sz="0" w:space="0" w:color="auto"/>
            <w:left w:val="none" w:sz="0" w:space="0" w:color="auto"/>
            <w:bottom w:val="none" w:sz="0" w:space="0" w:color="auto"/>
            <w:right w:val="none" w:sz="0" w:space="0" w:color="auto"/>
          </w:divBdr>
        </w:div>
        <w:div w:id="1888761268">
          <w:marLeft w:val="0"/>
          <w:marRight w:val="0"/>
          <w:marTop w:val="0"/>
          <w:marBottom w:val="0"/>
          <w:divBdr>
            <w:top w:val="none" w:sz="0" w:space="0" w:color="auto"/>
            <w:left w:val="none" w:sz="0" w:space="0" w:color="auto"/>
            <w:bottom w:val="none" w:sz="0" w:space="0" w:color="auto"/>
            <w:right w:val="none" w:sz="0" w:space="0" w:color="auto"/>
          </w:divBdr>
        </w:div>
        <w:div w:id="2018530995">
          <w:marLeft w:val="0"/>
          <w:marRight w:val="0"/>
          <w:marTop w:val="0"/>
          <w:marBottom w:val="0"/>
          <w:divBdr>
            <w:top w:val="none" w:sz="0" w:space="0" w:color="auto"/>
            <w:left w:val="none" w:sz="0" w:space="0" w:color="auto"/>
            <w:bottom w:val="none" w:sz="0" w:space="0" w:color="auto"/>
            <w:right w:val="none" w:sz="0" w:space="0" w:color="auto"/>
          </w:divBdr>
        </w:div>
      </w:divsChild>
    </w:div>
    <w:div w:id="314533454">
      <w:bodyDiv w:val="1"/>
      <w:marLeft w:val="0"/>
      <w:marRight w:val="0"/>
      <w:marTop w:val="0"/>
      <w:marBottom w:val="0"/>
      <w:divBdr>
        <w:top w:val="none" w:sz="0" w:space="0" w:color="auto"/>
        <w:left w:val="none" w:sz="0" w:space="0" w:color="auto"/>
        <w:bottom w:val="none" w:sz="0" w:space="0" w:color="auto"/>
        <w:right w:val="none" w:sz="0" w:space="0" w:color="auto"/>
      </w:divBdr>
    </w:div>
    <w:div w:id="362243901">
      <w:bodyDiv w:val="1"/>
      <w:marLeft w:val="0"/>
      <w:marRight w:val="0"/>
      <w:marTop w:val="0"/>
      <w:marBottom w:val="0"/>
      <w:divBdr>
        <w:top w:val="none" w:sz="0" w:space="0" w:color="auto"/>
        <w:left w:val="none" w:sz="0" w:space="0" w:color="auto"/>
        <w:bottom w:val="none" w:sz="0" w:space="0" w:color="auto"/>
        <w:right w:val="none" w:sz="0" w:space="0" w:color="auto"/>
      </w:divBdr>
    </w:div>
    <w:div w:id="375736923">
      <w:bodyDiv w:val="1"/>
      <w:marLeft w:val="0"/>
      <w:marRight w:val="0"/>
      <w:marTop w:val="0"/>
      <w:marBottom w:val="0"/>
      <w:divBdr>
        <w:top w:val="none" w:sz="0" w:space="0" w:color="auto"/>
        <w:left w:val="none" w:sz="0" w:space="0" w:color="auto"/>
        <w:bottom w:val="none" w:sz="0" w:space="0" w:color="auto"/>
        <w:right w:val="none" w:sz="0" w:space="0" w:color="auto"/>
      </w:divBdr>
      <w:divsChild>
        <w:div w:id="23865701">
          <w:marLeft w:val="0"/>
          <w:marRight w:val="0"/>
          <w:marTop w:val="0"/>
          <w:marBottom w:val="0"/>
          <w:divBdr>
            <w:top w:val="none" w:sz="0" w:space="0" w:color="auto"/>
            <w:left w:val="none" w:sz="0" w:space="0" w:color="auto"/>
            <w:bottom w:val="none" w:sz="0" w:space="0" w:color="auto"/>
            <w:right w:val="none" w:sz="0" w:space="0" w:color="auto"/>
          </w:divBdr>
        </w:div>
        <w:div w:id="126437719">
          <w:marLeft w:val="0"/>
          <w:marRight w:val="0"/>
          <w:marTop w:val="0"/>
          <w:marBottom w:val="0"/>
          <w:divBdr>
            <w:top w:val="none" w:sz="0" w:space="0" w:color="auto"/>
            <w:left w:val="none" w:sz="0" w:space="0" w:color="auto"/>
            <w:bottom w:val="none" w:sz="0" w:space="0" w:color="auto"/>
            <w:right w:val="none" w:sz="0" w:space="0" w:color="auto"/>
          </w:divBdr>
        </w:div>
        <w:div w:id="435907624">
          <w:marLeft w:val="0"/>
          <w:marRight w:val="0"/>
          <w:marTop w:val="0"/>
          <w:marBottom w:val="0"/>
          <w:divBdr>
            <w:top w:val="none" w:sz="0" w:space="0" w:color="auto"/>
            <w:left w:val="none" w:sz="0" w:space="0" w:color="auto"/>
            <w:bottom w:val="none" w:sz="0" w:space="0" w:color="auto"/>
            <w:right w:val="none" w:sz="0" w:space="0" w:color="auto"/>
          </w:divBdr>
        </w:div>
        <w:div w:id="1365591422">
          <w:marLeft w:val="0"/>
          <w:marRight w:val="0"/>
          <w:marTop w:val="0"/>
          <w:marBottom w:val="0"/>
          <w:divBdr>
            <w:top w:val="none" w:sz="0" w:space="0" w:color="auto"/>
            <w:left w:val="none" w:sz="0" w:space="0" w:color="auto"/>
            <w:bottom w:val="none" w:sz="0" w:space="0" w:color="auto"/>
            <w:right w:val="none" w:sz="0" w:space="0" w:color="auto"/>
          </w:divBdr>
        </w:div>
        <w:div w:id="2111505385">
          <w:marLeft w:val="0"/>
          <w:marRight w:val="0"/>
          <w:marTop w:val="0"/>
          <w:marBottom w:val="0"/>
          <w:divBdr>
            <w:top w:val="none" w:sz="0" w:space="0" w:color="auto"/>
            <w:left w:val="none" w:sz="0" w:space="0" w:color="auto"/>
            <w:bottom w:val="none" w:sz="0" w:space="0" w:color="auto"/>
            <w:right w:val="none" w:sz="0" w:space="0" w:color="auto"/>
          </w:divBdr>
        </w:div>
      </w:divsChild>
    </w:div>
    <w:div w:id="411007550">
      <w:bodyDiv w:val="1"/>
      <w:marLeft w:val="0"/>
      <w:marRight w:val="0"/>
      <w:marTop w:val="0"/>
      <w:marBottom w:val="0"/>
      <w:divBdr>
        <w:top w:val="none" w:sz="0" w:space="0" w:color="auto"/>
        <w:left w:val="none" w:sz="0" w:space="0" w:color="auto"/>
        <w:bottom w:val="none" w:sz="0" w:space="0" w:color="auto"/>
        <w:right w:val="none" w:sz="0" w:space="0" w:color="auto"/>
      </w:divBdr>
    </w:div>
    <w:div w:id="418916314">
      <w:bodyDiv w:val="1"/>
      <w:marLeft w:val="0"/>
      <w:marRight w:val="0"/>
      <w:marTop w:val="0"/>
      <w:marBottom w:val="0"/>
      <w:divBdr>
        <w:top w:val="none" w:sz="0" w:space="0" w:color="auto"/>
        <w:left w:val="none" w:sz="0" w:space="0" w:color="auto"/>
        <w:bottom w:val="none" w:sz="0" w:space="0" w:color="auto"/>
        <w:right w:val="none" w:sz="0" w:space="0" w:color="auto"/>
      </w:divBdr>
    </w:div>
    <w:div w:id="430472311">
      <w:bodyDiv w:val="1"/>
      <w:marLeft w:val="0"/>
      <w:marRight w:val="0"/>
      <w:marTop w:val="0"/>
      <w:marBottom w:val="0"/>
      <w:divBdr>
        <w:top w:val="none" w:sz="0" w:space="0" w:color="auto"/>
        <w:left w:val="none" w:sz="0" w:space="0" w:color="auto"/>
        <w:bottom w:val="none" w:sz="0" w:space="0" w:color="auto"/>
        <w:right w:val="none" w:sz="0" w:space="0" w:color="auto"/>
      </w:divBdr>
    </w:div>
    <w:div w:id="440104046">
      <w:bodyDiv w:val="1"/>
      <w:marLeft w:val="0"/>
      <w:marRight w:val="0"/>
      <w:marTop w:val="0"/>
      <w:marBottom w:val="0"/>
      <w:divBdr>
        <w:top w:val="none" w:sz="0" w:space="0" w:color="auto"/>
        <w:left w:val="none" w:sz="0" w:space="0" w:color="auto"/>
        <w:bottom w:val="none" w:sz="0" w:space="0" w:color="auto"/>
        <w:right w:val="none" w:sz="0" w:space="0" w:color="auto"/>
      </w:divBdr>
    </w:div>
    <w:div w:id="457724230">
      <w:bodyDiv w:val="1"/>
      <w:marLeft w:val="0"/>
      <w:marRight w:val="0"/>
      <w:marTop w:val="0"/>
      <w:marBottom w:val="0"/>
      <w:divBdr>
        <w:top w:val="none" w:sz="0" w:space="0" w:color="auto"/>
        <w:left w:val="none" w:sz="0" w:space="0" w:color="auto"/>
        <w:bottom w:val="none" w:sz="0" w:space="0" w:color="auto"/>
        <w:right w:val="none" w:sz="0" w:space="0" w:color="auto"/>
      </w:divBdr>
    </w:div>
    <w:div w:id="503514204">
      <w:bodyDiv w:val="1"/>
      <w:marLeft w:val="0"/>
      <w:marRight w:val="0"/>
      <w:marTop w:val="0"/>
      <w:marBottom w:val="0"/>
      <w:divBdr>
        <w:top w:val="none" w:sz="0" w:space="0" w:color="auto"/>
        <w:left w:val="none" w:sz="0" w:space="0" w:color="auto"/>
        <w:bottom w:val="none" w:sz="0" w:space="0" w:color="auto"/>
        <w:right w:val="none" w:sz="0" w:space="0" w:color="auto"/>
      </w:divBdr>
      <w:divsChild>
        <w:div w:id="2981445">
          <w:marLeft w:val="0"/>
          <w:marRight w:val="0"/>
          <w:marTop w:val="0"/>
          <w:marBottom w:val="0"/>
          <w:divBdr>
            <w:top w:val="none" w:sz="0" w:space="0" w:color="auto"/>
            <w:left w:val="none" w:sz="0" w:space="0" w:color="auto"/>
            <w:bottom w:val="none" w:sz="0" w:space="0" w:color="auto"/>
            <w:right w:val="none" w:sz="0" w:space="0" w:color="auto"/>
          </w:divBdr>
        </w:div>
        <w:div w:id="7752725">
          <w:marLeft w:val="0"/>
          <w:marRight w:val="0"/>
          <w:marTop w:val="0"/>
          <w:marBottom w:val="0"/>
          <w:divBdr>
            <w:top w:val="none" w:sz="0" w:space="0" w:color="auto"/>
            <w:left w:val="none" w:sz="0" w:space="0" w:color="auto"/>
            <w:bottom w:val="none" w:sz="0" w:space="0" w:color="auto"/>
            <w:right w:val="none" w:sz="0" w:space="0" w:color="auto"/>
          </w:divBdr>
        </w:div>
        <w:div w:id="49575970">
          <w:marLeft w:val="0"/>
          <w:marRight w:val="0"/>
          <w:marTop w:val="0"/>
          <w:marBottom w:val="0"/>
          <w:divBdr>
            <w:top w:val="none" w:sz="0" w:space="0" w:color="auto"/>
            <w:left w:val="none" w:sz="0" w:space="0" w:color="auto"/>
            <w:bottom w:val="none" w:sz="0" w:space="0" w:color="auto"/>
            <w:right w:val="none" w:sz="0" w:space="0" w:color="auto"/>
          </w:divBdr>
        </w:div>
        <w:div w:id="131796186">
          <w:marLeft w:val="0"/>
          <w:marRight w:val="0"/>
          <w:marTop w:val="0"/>
          <w:marBottom w:val="0"/>
          <w:divBdr>
            <w:top w:val="none" w:sz="0" w:space="0" w:color="auto"/>
            <w:left w:val="none" w:sz="0" w:space="0" w:color="auto"/>
            <w:bottom w:val="none" w:sz="0" w:space="0" w:color="auto"/>
            <w:right w:val="none" w:sz="0" w:space="0" w:color="auto"/>
          </w:divBdr>
        </w:div>
        <w:div w:id="183327693">
          <w:marLeft w:val="0"/>
          <w:marRight w:val="0"/>
          <w:marTop w:val="0"/>
          <w:marBottom w:val="0"/>
          <w:divBdr>
            <w:top w:val="none" w:sz="0" w:space="0" w:color="auto"/>
            <w:left w:val="none" w:sz="0" w:space="0" w:color="auto"/>
            <w:bottom w:val="none" w:sz="0" w:space="0" w:color="auto"/>
            <w:right w:val="none" w:sz="0" w:space="0" w:color="auto"/>
          </w:divBdr>
        </w:div>
        <w:div w:id="187186331">
          <w:marLeft w:val="0"/>
          <w:marRight w:val="0"/>
          <w:marTop w:val="0"/>
          <w:marBottom w:val="0"/>
          <w:divBdr>
            <w:top w:val="none" w:sz="0" w:space="0" w:color="auto"/>
            <w:left w:val="none" w:sz="0" w:space="0" w:color="auto"/>
            <w:bottom w:val="none" w:sz="0" w:space="0" w:color="auto"/>
            <w:right w:val="none" w:sz="0" w:space="0" w:color="auto"/>
          </w:divBdr>
        </w:div>
        <w:div w:id="220605996">
          <w:marLeft w:val="0"/>
          <w:marRight w:val="0"/>
          <w:marTop w:val="0"/>
          <w:marBottom w:val="0"/>
          <w:divBdr>
            <w:top w:val="none" w:sz="0" w:space="0" w:color="auto"/>
            <w:left w:val="none" w:sz="0" w:space="0" w:color="auto"/>
            <w:bottom w:val="none" w:sz="0" w:space="0" w:color="auto"/>
            <w:right w:val="none" w:sz="0" w:space="0" w:color="auto"/>
          </w:divBdr>
        </w:div>
        <w:div w:id="357128015">
          <w:marLeft w:val="0"/>
          <w:marRight w:val="0"/>
          <w:marTop w:val="0"/>
          <w:marBottom w:val="0"/>
          <w:divBdr>
            <w:top w:val="none" w:sz="0" w:space="0" w:color="auto"/>
            <w:left w:val="none" w:sz="0" w:space="0" w:color="auto"/>
            <w:bottom w:val="none" w:sz="0" w:space="0" w:color="auto"/>
            <w:right w:val="none" w:sz="0" w:space="0" w:color="auto"/>
          </w:divBdr>
        </w:div>
        <w:div w:id="411970947">
          <w:marLeft w:val="0"/>
          <w:marRight w:val="0"/>
          <w:marTop w:val="0"/>
          <w:marBottom w:val="0"/>
          <w:divBdr>
            <w:top w:val="none" w:sz="0" w:space="0" w:color="auto"/>
            <w:left w:val="none" w:sz="0" w:space="0" w:color="auto"/>
            <w:bottom w:val="none" w:sz="0" w:space="0" w:color="auto"/>
            <w:right w:val="none" w:sz="0" w:space="0" w:color="auto"/>
          </w:divBdr>
        </w:div>
        <w:div w:id="433942720">
          <w:marLeft w:val="0"/>
          <w:marRight w:val="0"/>
          <w:marTop w:val="0"/>
          <w:marBottom w:val="0"/>
          <w:divBdr>
            <w:top w:val="none" w:sz="0" w:space="0" w:color="auto"/>
            <w:left w:val="none" w:sz="0" w:space="0" w:color="auto"/>
            <w:bottom w:val="none" w:sz="0" w:space="0" w:color="auto"/>
            <w:right w:val="none" w:sz="0" w:space="0" w:color="auto"/>
          </w:divBdr>
          <w:divsChild>
            <w:div w:id="12537783">
              <w:marLeft w:val="0"/>
              <w:marRight w:val="0"/>
              <w:marTop w:val="0"/>
              <w:marBottom w:val="0"/>
              <w:divBdr>
                <w:top w:val="none" w:sz="0" w:space="0" w:color="auto"/>
                <w:left w:val="none" w:sz="0" w:space="0" w:color="auto"/>
                <w:bottom w:val="none" w:sz="0" w:space="0" w:color="auto"/>
                <w:right w:val="none" w:sz="0" w:space="0" w:color="auto"/>
              </w:divBdr>
            </w:div>
            <w:div w:id="136994902">
              <w:marLeft w:val="0"/>
              <w:marRight w:val="0"/>
              <w:marTop w:val="0"/>
              <w:marBottom w:val="0"/>
              <w:divBdr>
                <w:top w:val="none" w:sz="0" w:space="0" w:color="auto"/>
                <w:left w:val="none" w:sz="0" w:space="0" w:color="auto"/>
                <w:bottom w:val="none" w:sz="0" w:space="0" w:color="auto"/>
                <w:right w:val="none" w:sz="0" w:space="0" w:color="auto"/>
              </w:divBdr>
            </w:div>
            <w:div w:id="144468809">
              <w:marLeft w:val="0"/>
              <w:marRight w:val="0"/>
              <w:marTop w:val="0"/>
              <w:marBottom w:val="0"/>
              <w:divBdr>
                <w:top w:val="none" w:sz="0" w:space="0" w:color="auto"/>
                <w:left w:val="none" w:sz="0" w:space="0" w:color="auto"/>
                <w:bottom w:val="none" w:sz="0" w:space="0" w:color="auto"/>
                <w:right w:val="none" w:sz="0" w:space="0" w:color="auto"/>
              </w:divBdr>
            </w:div>
            <w:div w:id="325479739">
              <w:marLeft w:val="0"/>
              <w:marRight w:val="0"/>
              <w:marTop w:val="0"/>
              <w:marBottom w:val="0"/>
              <w:divBdr>
                <w:top w:val="none" w:sz="0" w:space="0" w:color="auto"/>
                <w:left w:val="none" w:sz="0" w:space="0" w:color="auto"/>
                <w:bottom w:val="none" w:sz="0" w:space="0" w:color="auto"/>
                <w:right w:val="none" w:sz="0" w:space="0" w:color="auto"/>
              </w:divBdr>
            </w:div>
            <w:div w:id="356545791">
              <w:marLeft w:val="0"/>
              <w:marRight w:val="0"/>
              <w:marTop w:val="0"/>
              <w:marBottom w:val="0"/>
              <w:divBdr>
                <w:top w:val="none" w:sz="0" w:space="0" w:color="auto"/>
                <w:left w:val="none" w:sz="0" w:space="0" w:color="auto"/>
                <w:bottom w:val="none" w:sz="0" w:space="0" w:color="auto"/>
                <w:right w:val="none" w:sz="0" w:space="0" w:color="auto"/>
              </w:divBdr>
            </w:div>
            <w:div w:id="795224649">
              <w:marLeft w:val="0"/>
              <w:marRight w:val="0"/>
              <w:marTop w:val="0"/>
              <w:marBottom w:val="0"/>
              <w:divBdr>
                <w:top w:val="none" w:sz="0" w:space="0" w:color="auto"/>
                <w:left w:val="none" w:sz="0" w:space="0" w:color="auto"/>
                <w:bottom w:val="none" w:sz="0" w:space="0" w:color="auto"/>
                <w:right w:val="none" w:sz="0" w:space="0" w:color="auto"/>
              </w:divBdr>
            </w:div>
            <w:div w:id="817041083">
              <w:marLeft w:val="0"/>
              <w:marRight w:val="0"/>
              <w:marTop w:val="0"/>
              <w:marBottom w:val="0"/>
              <w:divBdr>
                <w:top w:val="none" w:sz="0" w:space="0" w:color="auto"/>
                <w:left w:val="none" w:sz="0" w:space="0" w:color="auto"/>
                <w:bottom w:val="none" w:sz="0" w:space="0" w:color="auto"/>
                <w:right w:val="none" w:sz="0" w:space="0" w:color="auto"/>
              </w:divBdr>
            </w:div>
            <w:div w:id="900676836">
              <w:marLeft w:val="0"/>
              <w:marRight w:val="0"/>
              <w:marTop w:val="0"/>
              <w:marBottom w:val="0"/>
              <w:divBdr>
                <w:top w:val="none" w:sz="0" w:space="0" w:color="auto"/>
                <w:left w:val="none" w:sz="0" w:space="0" w:color="auto"/>
                <w:bottom w:val="none" w:sz="0" w:space="0" w:color="auto"/>
                <w:right w:val="none" w:sz="0" w:space="0" w:color="auto"/>
              </w:divBdr>
            </w:div>
            <w:div w:id="955216695">
              <w:marLeft w:val="0"/>
              <w:marRight w:val="0"/>
              <w:marTop w:val="0"/>
              <w:marBottom w:val="0"/>
              <w:divBdr>
                <w:top w:val="none" w:sz="0" w:space="0" w:color="auto"/>
                <w:left w:val="none" w:sz="0" w:space="0" w:color="auto"/>
                <w:bottom w:val="none" w:sz="0" w:space="0" w:color="auto"/>
                <w:right w:val="none" w:sz="0" w:space="0" w:color="auto"/>
              </w:divBdr>
            </w:div>
            <w:div w:id="1056660506">
              <w:marLeft w:val="0"/>
              <w:marRight w:val="0"/>
              <w:marTop w:val="0"/>
              <w:marBottom w:val="0"/>
              <w:divBdr>
                <w:top w:val="none" w:sz="0" w:space="0" w:color="auto"/>
                <w:left w:val="none" w:sz="0" w:space="0" w:color="auto"/>
                <w:bottom w:val="none" w:sz="0" w:space="0" w:color="auto"/>
                <w:right w:val="none" w:sz="0" w:space="0" w:color="auto"/>
              </w:divBdr>
            </w:div>
            <w:div w:id="1215656326">
              <w:marLeft w:val="0"/>
              <w:marRight w:val="0"/>
              <w:marTop w:val="0"/>
              <w:marBottom w:val="0"/>
              <w:divBdr>
                <w:top w:val="none" w:sz="0" w:space="0" w:color="auto"/>
                <w:left w:val="none" w:sz="0" w:space="0" w:color="auto"/>
                <w:bottom w:val="none" w:sz="0" w:space="0" w:color="auto"/>
                <w:right w:val="none" w:sz="0" w:space="0" w:color="auto"/>
              </w:divBdr>
            </w:div>
            <w:div w:id="1307734625">
              <w:marLeft w:val="0"/>
              <w:marRight w:val="0"/>
              <w:marTop w:val="0"/>
              <w:marBottom w:val="0"/>
              <w:divBdr>
                <w:top w:val="none" w:sz="0" w:space="0" w:color="auto"/>
                <w:left w:val="none" w:sz="0" w:space="0" w:color="auto"/>
                <w:bottom w:val="none" w:sz="0" w:space="0" w:color="auto"/>
                <w:right w:val="none" w:sz="0" w:space="0" w:color="auto"/>
              </w:divBdr>
            </w:div>
            <w:div w:id="1363625500">
              <w:marLeft w:val="0"/>
              <w:marRight w:val="0"/>
              <w:marTop w:val="0"/>
              <w:marBottom w:val="0"/>
              <w:divBdr>
                <w:top w:val="none" w:sz="0" w:space="0" w:color="auto"/>
                <w:left w:val="none" w:sz="0" w:space="0" w:color="auto"/>
                <w:bottom w:val="none" w:sz="0" w:space="0" w:color="auto"/>
                <w:right w:val="none" w:sz="0" w:space="0" w:color="auto"/>
              </w:divBdr>
            </w:div>
            <w:div w:id="1635522869">
              <w:marLeft w:val="0"/>
              <w:marRight w:val="0"/>
              <w:marTop w:val="0"/>
              <w:marBottom w:val="0"/>
              <w:divBdr>
                <w:top w:val="none" w:sz="0" w:space="0" w:color="auto"/>
                <w:left w:val="none" w:sz="0" w:space="0" w:color="auto"/>
                <w:bottom w:val="none" w:sz="0" w:space="0" w:color="auto"/>
                <w:right w:val="none" w:sz="0" w:space="0" w:color="auto"/>
              </w:divBdr>
            </w:div>
            <w:div w:id="1775131914">
              <w:marLeft w:val="0"/>
              <w:marRight w:val="0"/>
              <w:marTop w:val="0"/>
              <w:marBottom w:val="0"/>
              <w:divBdr>
                <w:top w:val="none" w:sz="0" w:space="0" w:color="auto"/>
                <w:left w:val="none" w:sz="0" w:space="0" w:color="auto"/>
                <w:bottom w:val="none" w:sz="0" w:space="0" w:color="auto"/>
                <w:right w:val="none" w:sz="0" w:space="0" w:color="auto"/>
              </w:divBdr>
            </w:div>
            <w:div w:id="1776711279">
              <w:marLeft w:val="0"/>
              <w:marRight w:val="0"/>
              <w:marTop w:val="0"/>
              <w:marBottom w:val="0"/>
              <w:divBdr>
                <w:top w:val="none" w:sz="0" w:space="0" w:color="auto"/>
                <w:left w:val="none" w:sz="0" w:space="0" w:color="auto"/>
                <w:bottom w:val="none" w:sz="0" w:space="0" w:color="auto"/>
                <w:right w:val="none" w:sz="0" w:space="0" w:color="auto"/>
              </w:divBdr>
            </w:div>
            <w:div w:id="1825075692">
              <w:marLeft w:val="0"/>
              <w:marRight w:val="0"/>
              <w:marTop w:val="0"/>
              <w:marBottom w:val="0"/>
              <w:divBdr>
                <w:top w:val="none" w:sz="0" w:space="0" w:color="auto"/>
                <w:left w:val="none" w:sz="0" w:space="0" w:color="auto"/>
                <w:bottom w:val="none" w:sz="0" w:space="0" w:color="auto"/>
                <w:right w:val="none" w:sz="0" w:space="0" w:color="auto"/>
              </w:divBdr>
            </w:div>
            <w:div w:id="1831603476">
              <w:marLeft w:val="0"/>
              <w:marRight w:val="0"/>
              <w:marTop w:val="0"/>
              <w:marBottom w:val="0"/>
              <w:divBdr>
                <w:top w:val="none" w:sz="0" w:space="0" w:color="auto"/>
                <w:left w:val="none" w:sz="0" w:space="0" w:color="auto"/>
                <w:bottom w:val="none" w:sz="0" w:space="0" w:color="auto"/>
                <w:right w:val="none" w:sz="0" w:space="0" w:color="auto"/>
              </w:divBdr>
            </w:div>
            <w:div w:id="1969428384">
              <w:marLeft w:val="0"/>
              <w:marRight w:val="0"/>
              <w:marTop w:val="0"/>
              <w:marBottom w:val="0"/>
              <w:divBdr>
                <w:top w:val="none" w:sz="0" w:space="0" w:color="auto"/>
                <w:left w:val="none" w:sz="0" w:space="0" w:color="auto"/>
                <w:bottom w:val="none" w:sz="0" w:space="0" w:color="auto"/>
                <w:right w:val="none" w:sz="0" w:space="0" w:color="auto"/>
              </w:divBdr>
            </w:div>
            <w:div w:id="2021466631">
              <w:marLeft w:val="0"/>
              <w:marRight w:val="0"/>
              <w:marTop w:val="0"/>
              <w:marBottom w:val="0"/>
              <w:divBdr>
                <w:top w:val="none" w:sz="0" w:space="0" w:color="auto"/>
                <w:left w:val="none" w:sz="0" w:space="0" w:color="auto"/>
                <w:bottom w:val="none" w:sz="0" w:space="0" w:color="auto"/>
                <w:right w:val="none" w:sz="0" w:space="0" w:color="auto"/>
              </w:divBdr>
            </w:div>
          </w:divsChild>
        </w:div>
        <w:div w:id="450903940">
          <w:marLeft w:val="0"/>
          <w:marRight w:val="0"/>
          <w:marTop w:val="0"/>
          <w:marBottom w:val="0"/>
          <w:divBdr>
            <w:top w:val="none" w:sz="0" w:space="0" w:color="auto"/>
            <w:left w:val="none" w:sz="0" w:space="0" w:color="auto"/>
            <w:bottom w:val="none" w:sz="0" w:space="0" w:color="auto"/>
            <w:right w:val="none" w:sz="0" w:space="0" w:color="auto"/>
          </w:divBdr>
        </w:div>
        <w:div w:id="458842557">
          <w:marLeft w:val="0"/>
          <w:marRight w:val="0"/>
          <w:marTop w:val="0"/>
          <w:marBottom w:val="0"/>
          <w:divBdr>
            <w:top w:val="none" w:sz="0" w:space="0" w:color="auto"/>
            <w:left w:val="none" w:sz="0" w:space="0" w:color="auto"/>
            <w:bottom w:val="none" w:sz="0" w:space="0" w:color="auto"/>
            <w:right w:val="none" w:sz="0" w:space="0" w:color="auto"/>
          </w:divBdr>
        </w:div>
        <w:div w:id="534857036">
          <w:marLeft w:val="0"/>
          <w:marRight w:val="0"/>
          <w:marTop w:val="0"/>
          <w:marBottom w:val="0"/>
          <w:divBdr>
            <w:top w:val="none" w:sz="0" w:space="0" w:color="auto"/>
            <w:left w:val="none" w:sz="0" w:space="0" w:color="auto"/>
            <w:bottom w:val="none" w:sz="0" w:space="0" w:color="auto"/>
            <w:right w:val="none" w:sz="0" w:space="0" w:color="auto"/>
          </w:divBdr>
          <w:divsChild>
            <w:div w:id="195390069">
              <w:marLeft w:val="0"/>
              <w:marRight w:val="0"/>
              <w:marTop w:val="0"/>
              <w:marBottom w:val="0"/>
              <w:divBdr>
                <w:top w:val="none" w:sz="0" w:space="0" w:color="auto"/>
                <w:left w:val="none" w:sz="0" w:space="0" w:color="auto"/>
                <w:bottom w:val="none" w:sz="0" w:space="0" w:color="auto"/>
                <w:right w:val="none" w:sz="0" w:space="0" w:color="auto"/>
              </w:divBdr>
            </w:div>
            <w:div w:id="299267830">
              <w:marLeft w:val="0"/>
              <w:marRight w:val="0"/>
              <w:marTop w:val="0"/>
              <w:marBottom w:val="0"/>
              <w:divBdr>
                <w:top w:val="none" w:sz="0" w:space="0" w:color="auto"/>
                <w:left w:val="none" w:sz="0" w:space="0" w:color="auto"/>
                <w:bottom w:val="none" w:sz="0" w:space="0" w:color="auto"/>
                <w:right w:val="none" w:sz="0" w:space="0" w:color="auto"/>
              </w:divBdr>
            </w:div>
            <w:div w:id="406879211">
              <w:marLeft w:val="0"/>
              <w:marRight w:val="0"/>
              <w:marTop w:val="0"/>
              <w:marBottom w:val="0"/>
              <w:divBdr>
                <w:top w:val="none" w:sz="0" w:space="0" w:color="auto"/>
                <w:left w:val="none" w:sz="0" w:space="0" w:color="auto"/>
                <w:bottom w:val="none" w:sz="0" w:space="0" w:color="auto"/>
                <w:right w:val="none" w:sz="0" w:space="0" w:color="auto"/>
              </w:divBdr>
            </w:div>
            <w:div w:id="494296916">
              <w:marLeft w:val="0"/>
              <w:marRight w:val="0"/>
              <w:marTop w:val="0"/>
              <w:marBottom w:val="0"/>
              <w:divBdr>
                <w:top w:val="none" w:sz="0" w:space="0" w:color="auto"/>
                <w:left w:val="none" w:sz="0" w:space="0" w:color="auto"/>
                <w:bottom w:val="none" w:sz="0" w:space="0" w:color="auto"/>
                <w:right w:val="none" w:sz="0" w:space="0" w:color="auto"/>
              </w:divBdr>
            </w:div>
            <w:div w:id="603733412">
              <w:marLeft w:val="0"/>
              <w:marRight w:val="0"/>
              <w:marTop w:val="0"/>
              <w:marBottom w:val="0"/>
              <w:divBdr>
                <w:top w:val="none" w:sz="0" w:space="0" w:color="auto"/>
                <w:left w:val="none" w:sz="0" w:space="0" w:color="auto"/>
                <w:bottom w:val="none" w:sz="0" w:space="0" w:color="auto"/>
                <w:right w:val="none" w:sz="0" w:space="0" w:color="auto"/>
              </w:divBdr>
            </w:div>
            <w:div w:id="774641593">
              <w:marLeft w:val="0"/>
              <w:marRight w:val="0"/>
              <w:marTop w:val="0"/>
              <w:marBottom w:val="0"/>
              <w:divBdr>
                <w:top w:val="none" w:sz="0" w:space="0" w:color="auto"/>
                <w:left w:val="none" w:sz="0" w:space="0" w:color="auto"/>
                <w:bottom w:val="none" w:sz="0" w:space="0" w:color="auto"/>
                <w:right w:val="none" w:sz="0" w:space="0" w:color="auto"/>
              </w:divBdr>
            </w:div>
            <w:div w:id="830176946">
              <w:marLeft w:val="0"/>
              <w:marRight w:val="0"/>
              <w:marTop w:val="0"/>
              <w:marBottom w:val="0"/>
              <w:divBdr>
                <w:top w:val="none" w:sz="0" w:space="0" w:color="auto"/>
                <w:left w:val="none" w:sz="0" w:space="0" w:color="auto"/>
                <w:bottom w:val="none" w:sz="0" w:space="0" w:color="auto"/>
                <w:right w:val="none" w:sz="0" w:space="0" w:color="auto"/>
              </w:divBdr>
            </w:div>
            <w:div w:id="981815822">
              <w:marLeft w:val="0"/>
              <w:marRight w:val="0"/>
              <w:marTop w:val="0"/>
              <w:marBottom w:val="0"/>
              <w:divBdr>
                <w:top w:val="none" w:sz="0" w:space="0" w:color="auto"/>
                <w:left w:val="none" w:sz="0" w:space="0" w:color="auto"/>
                <w:bottom w:val="none" w:sz="0" w:space="0" w:color="auto"/>
                <w:right w:val="none" w:sz="0" w:space="0" w:color="auto"/>
              </w:divBdr>
            </w:div>
            <w:div w:id="1019700445">
              <w:marLeft w:val="0"/>
              <w:marRight w:val="0"/>
              <w:marTop w:val="0"/>
              <w:marBottom w:val="0"/>
              <w:divBdr>
                <w:top w:val="none" w:sz="0" w:space="0" w:color="auto"/>
                <w:left w:val="none" w:sz="0" w:space="0" w:color="auto"/>
                <w:bottom w:val="none" w:sz="0" w:space="0" w:color="auto"/>
                <w:right w:val="none" w:sz="0" w:space="0" w:color="auto"/>
              </w:divBdr>
            </w:div>
            <w:div w:id="1217082223">
              <w:marLeft w:val="0"/>
              <w:marRight w:val="0"/>
              <w:marTop w:val="0"/>
              <w:marBottom w:val="0"/>
              <w:divBdr>
                <w:top w:val="none" w:sz="0" w:space="0" w:color="auto"/>
                <w:left w:val="none" w:sz="0" w:space="0" w:color="auto"/>
                <w:bottom w:val="none" w:sz="0" w:space="0" w:color="auto"/>
                <w:right w:val="none" w:sz="0" w:space="0" w:color="auto"/>
              </w:divBdr>
            </w:div>
            <w:div w:id="1275282025">
              <w:marLeft w:val="0"/>
              <w:marRight w:val="0"/>
              <w:marTop w:val="0"/>
              <w:marBottom w:val="0"/>
              <w:divBdr>
                <w:top w:val="none" w:sz="0" w:space="0" w:color="auto"/>
                <w:left w:val="none" w:sz="0" w:space="0" w:color="auto"/>
                <w:bottom w:val="none" w:sz="0" w:space="0" w:color="auto"/>
                <w:right w:val="none" w:sz="0" w:space="0" w:color="auto"/>
              </w:divBdr>
            </w:div>
            <w:div w:id="1303538346">
              <w:marLeft w:val="0"/>
              <w:marRight w:val="0"/>
              <w:marTop w:val="0"/>
              <w:marBottom w:val="0"/>
              <w:divBdr>
                <w:top w:val="none" w:sz="0" w:space="0" w:color="auto"/>
                <w:left w:val="none" w:sz="0" w:space="0" w:color="auto"/>
                <w:bottom w:val="none" w:sz="0" w:space="0" w:color="auto"/>
                <w:right w:val="none" w:sz="0" w:space="0" w:color="auto"/>
              </w:divBdr>
            </w:div>
            <w:div w:id="1540436323">
              <w:marLeft w:val="0"/>
              <w:marRight w:val="0"/>
              <w:marTop w:val="0"/>
              <w:marBottom w:val="0"/>
              <w:divBdr>
                <w:top w:val="none" w:sz="0" w:space="0" w:color="auto"/>
                <w:left w:val="none" w:sz="0" w:space="0" w:color="auto"/>
                <w:bottom w:val="none" w:sz="0" w:space="0" w:color="auto"/>
                <w:right w:val="none" w:sz="0" w:space="0" w:color="auto"/>
              </w:divBdr>
            </w:div>
            <w:div w:id="1622764891">
              <w:marLeft w:val="0"/>
              <w:marRight w:val="0"/>
              <w:marTop w:val="0"/>
              <w:marBottom w:val="0"/>
              <w:divBdr>
                <w:top w:val="none" w:sz="0" w:space="0" w:color="auto"/>
                <w:left w:val="none" w:sz="0" w:space="0" w:color="auto"/>
                <w:bottom w:val="none" w:sz="0" w:space="0" w:color="auto"/>
                <w:right w:val="none" w:sz="0" w:space="0" w:color="auto"/>
              </w:divBdr>
            </w:div>
            <w:div w:id="1774786647">
              <w:marLeft w:val="0"/>
              <w:marRight w:val="0"/>
              <w:marTop w:val="0"/>
              <w:marBottom w:val="0"/>
              <w:divBdr>
                <w:top w:val="none" w:sz="0" w:space="0" w:color="auto"/>
                <w:left w:val="none" w:sz="0" w:space="0" w:color="auto"/>
                <w:bottom w:val="none" w:sz="0" w:space="0" w:color="auto"/>
                <w:right w:val="none" w:sz="0" w:space="0" w:color="auto"/>
              </w:divBdr>
            </w:div>
            <w:div w:id="1931886807">
              <w:marLeft w:val="0"/>
              <w:marRight w:val="0"/>
              <w:marTop w:val="0"/>
              <w:marBottom w:val="0"/>
              <w:divBdr>
                <w:top w:val="none" w:sz="0" w:space="0" w:color="auto"/>
                <w:left w:val="none" w:sz="0" w:space="0" w:color="auto"/>
                <w:bottom w:val="none" w:sz="0" w:space="0" w:color="auto"/>
                <w:right w:val="none" w:sz="0" w:space="0" w:color="auto"/>
              </w:divBdr>
            </w:div>
            <w:div w:id="2024933217">
              <w:marLeft w:val="0"/>
              <w:marRight w:val="0"/>
              <w:marTop w:val="0"/>
              <w:marBottom w:val="0"/>
              <w:divBdr>
                <w:top w:val="none" w:sz="0" w:space="0" w:color="auto"/>
                <w:left w:val="none" w:sz="0" w:space="0" w:color="auto"/>
                <w:bottom w:val="none" w:sz="0" w:space="0" w:color="auto"/>
                <w:right w:val="none" w:sz="0" w:space="0" w:color="auto"/>
              </w:divBdr>
            </w:div>
            <w:div w:id="2040860140">
              <w:marLeft w:val="0"/>
              <w:marRight w:val="0"/>
              <w:marTop w:val="0"/>
              <w:marBottom w:val="0"/>
              <w:divBdr>
                <w:top w:val="none" w:sz="0" w:space="0" w:color="auto"/>
                <w:left w:val="none" w:sz="0" w:space="0" w:color="auto"/>
                <w:bottom w:val="none" w:sz="0" w:space="0" w:color="auto"/>
                <w:right w:val="none" w:sz="0" w:space="0" w:color="auto"/>
              </w:divBdr>
            </w:div>
            <w:div w:id="2042435411">
              <w:marLeft w:val="0"/>
              <w:marRight w:val="0"/>
              <w:marTop w:val="0"/>
              <w:marBottom w:val="0"/>
              <w:divBdr>
                <w:top w:val="none" w:sz="0" w:space="0" w:color="auto"/>
                <w:left w:val="none" w:sz="0" w:space="0" w:color="auto"/>
                <w:bottom w:val="none" w:sz="0" w:space="0" w:color="auto"/>
                <w:right w:val="none" w:sz="0" w:space="0" w:color="auto"/>
              </w:divBdr>
            </w:div>
            <w:div w:id="2091854380">
              <w:marLeft w:val="0"/>
              <w:marRight w:val="0"/>
              <w:marTop w:val="0"/>
              <w:marBottom w:val="0"/>
              <w:divBdr>
                <w:top w:val="none" w:sz="0" w:space="0" w:color="auto"/>
                <w:left w:val="none" w:sz="0" w:space="0" w:color="auto"/>
                <w:bottom w:val="none" w:sz="0" w:space="0" w:color="auto"/>
                <w:right w:val="none" w:sz="0" w:space="0" w:color="auto"/>
              </w:divBdr>
            </w:div>
          </w:divsChild>
        </w:div>
        <w:div w:id="687802289">
          <w:marLeft w:val="0"/>
          <w:marRight w:val="0"/>
          <w:marTop w:val="0"/>
          <w:marBottom w:val="0"/>
          <w:divBdr>
            <w:top w:val="none" w:sz="0" w:space="0" w:color="auto"/>
            <w:left w:val="none" w:sz="0" w:space="0" w:color="auto"/>
            <w:bottom w:val="none" w:sz="0" w:space="0" w:color="auto"/>
            <w:right w:val="none" w:sz="0" w:space="0" w:color="auto"/>
          </w:divBdr>
        </w:div>
        <w:div w:id="704720236">
          <w:marLeft w:val="0"/>
          <w:marRight w:val="0"/>
          <w:marTop w:val="0"/>
          <w:marBottom w:val="0"/>
          <w:divBdr>
            <w:top w:val="none" w:sz="0" w:space="0" w:color="auto"/>
            <w:left w:val="none" w:sz="0" w:space="0" w:color="auto"/>
            <w:bottom w:val="none" w:sz="0" w:space="0" w:color="auto"/>
            <w:right w:val="none" w:sz="0" w:space="0" w:color="auto"/>
          </w:divBdr>
        </w:div>
        <w:div w:id="707877476">
          <w:marLeft w:val="0"/>
          <w:marRight w:val="0"/>
          <w:marTop w:val="0"/>
          <w:marBottom w:val="0"/>
          <w:divBdr>
            <w:top w:val="none" w:sz="0" w:space="0" w:color="auto"/>
            <w:left w:val="none" w:sz="0" w:space="0" w:color="auto"/>
            <w:bottom w:val="none" w:sz="0" w:space="0" w:color="auto"/>
            <w:right w:val="none" w:sz="0" w:space="0" w:color="auto"/>
          </w:divBdr>
        </w:div>
        <w:div w:id="884877152">
          <w:marLeft w:val="0"/>
          <w:marRight w:val="0"/>
          <w:marTop w:val="0"/>
          <w:marBottom w:val="0"/>
          <w:divBdr>
            <w:top w:val="none" w:sz="0" w:space="0" w:color="auto"/>
            <w:left w:val="none" w:sz="0" w:space="0" w:color="auto"/>
            <w:bottom w:val="none" w:sz="0" w:space="0" w:color="auto"/>
            <w:right w:val="none" w:sz="0" w:space="0" w:color="auto"/>
          </w:divBdr>
        </w:div>
        <w:div w:id="909466880">
          <w:marLeft w:val="0"/>
          <w:marRight w:val="0"/>
          <w:marTop w:val="0"/>
          <w:marBottom w:val="0"/>
          <w:divBdr>
            <w:top w:val="none" w:sz="0" w:space="0" w:color="auto"/>
            <w:left w:val="none" w:sz="0" w:space="0" w:color="auto"/>
            <w:bottom w:val="none" w:sz="0" w:space="0" w:color="auto"/>
            <w:right w:val="none" w:sz="0" w:space="0" w:color="auto"/>
          </w:divBdr>
        </w:div>
        <w:div w:id="969239283">
          <w:marLeft w:val="0"/>
          <w:marRight w:val="0"/>
          <w:marTop w:val="0"/>
          <w:marBottom w:val="0"/>
          <w:divBdr>
            <w:top w:val="none" w:sz="0" w:space="0" w:color="auto"/>
            <w:left w:val="none" w:sz="0" w:space="0" w:color="auto"/>
            <w:bottom w:val="none" w:sz="0" w:space="0" w:color="auto"/>
            <w:right w:val="none" w:sz="0" w:space="0" w:color="auto"/>
          </w:divBdr>
        </w:div>
        <w:div w:id="990400968">
          <w:marLeft w:val="0"/>
          <w:marRight w:val="0"/>
          <w:marTop w:val="0"/>
          <w:marBottom w:val="0"/>
          <w:divBdr>
            <w:top w:val="none" w:sz="0" w:space="0" w:color="auto"/>
            <w:left w:val="none" w:sz="0" w:space="0" w:color="auto"/>
            <w:bottom w:val="none" w:sz="0" w:space="0" w:color="auto"/>
            <w:right w:val="none" w:sz="0" w:space="0" w:color="auto"/>
          </w:divBdr>
        </w:div>
        <w:div w:id="1119378325">
          <w:marLeft w:val="0"/>
          <w:marRight w:val="0"/>
          <w:marTop w:val="0"/>
          <w:marBottom w:val="0"/>
          <w:divBdr>
            <w:top w:val="none" w:sz="0" w:space="0" w:color="auto"/>
            <w:left w:val="none" w:sz="0" w:space="0" w:color="auto"/>
            <w:bottom w:val="none" w:sz="0" w:space="0" w:color="auto"/>
            <w:right w:val="none" w:sz="0" w:space="0" w:color="auto"/>
          </w:divBdr>
        </w:div>
        <w:div w:id="1352874108">
          <w:marLeft w:val="0"/>
          <w:marRight w:val="0"/>
          <w:marTop w:val="0"/>
          <w:marBottom w:val="0"/>
          <w:divBdr>
            <w:top w:val="none" w:sz="0" w:space="0" w:color="auto"/>
            <w:left w:val="none" w:sz="0" w:space="0" w:color="auto"/>
            <w:bottom w:val="none" w:sz="0" w:space="0" w:color="auto"/>
            <w:right w:val="none" w:sz="0" w:space="0" w:color="auto"/>
          </w:divBdr>
        </w:div>
        <w:div w:id="1384137639">
          <w:marLeft w:val="0"/>
          <w:marRight w:val="0"/>
          <w:marTop w:val="0"/>
          <w:marBottom w:val="0"/>
          <w:divBdr>
            <w:top w:val="none" w:sz="0" w:space="0" w:color="auto"/>
            <w:left w:val="none" w:sz="0" w:space="0" w:color="auto"/>
            <w:bottom w:val="none" w:sz="0" w:space="0" w:color="auto"/>
            <w:right w:val="none" w:sz="0" w:space="0" w:color="auto"/>
          </w:divBdr>
        </w:div>
        <w:div w:id="1400708381">
          <w:marLeft w:val="0"/>
          <w:marRight w:val="0"/>
          <w:marTop w:val="0"/>
          <w:marBottom w:val="0"/>
          <w:divBdr>
            <w:top w:val="none" w:sz="0" w:space="0" w:color="auto"/>
            <w:left w:val="none" w:sz="0" w:space="0" w:color="auto"/>
            <w:bottom w:val="none" w:sz="0" w:space="0" w:color="auto"/>
            <w:right w:val="none" w:sz="0" w:space="0" w:color="auto"/>
          </w:divBdr>
        </w:div>
        <w:div w:id="1468544389">
          <w:marLeft w:val="0"/>
          <w:marRight w:val="0"/>
          <w:marTop w:val="0"/>
          <w:marBottom w:val="0"/>
          <w:divBdr>
            <w:top w:val="none" w:sz="0" w:space="0" w:color="auto"/>
            <w:left w:val="none" w:sz="0" w:space="0" w:color="auto"/>
            <w:bottom w:val="none" w:sz="0" w:space="0" w:color="auto"/>
            <w:right w:val="none" w:sz="0" w:space="0" w:color="auto"/>
          </w:divBdr>
        </w:div>
        <w:div w:id="1546529883">
          <w:marLeft w:val="0"/>
          <w:marRight w:val="0"/>
          <w:marTop w:val="0"/>
          <w:marBottom w:val="0"/>
          <w:divBdr>
            <w:top w:val="none" w:sz="0" w:space="0" w:color="auto"/>
            <w:left w:val="none" w:sz="0" w:space="0" w:color="auto"/>
            <w:bottom w:val="none" w:sz="0" w:space="0" w:color="auto"/>
            <w:right w:val="none" w:sz="0" w:space="0" w:color="auto"/>
          </w:divBdr>
        </w:div>
        <w:div w:id="1583832210">
          <w:marLeft w:val="0"/>
          <w:marRight w:val="0"/>
          <w:marTop w:val="0"/>
          <w:marBottom w:val="0"/>
          <w:divBdr>
            <w:top w:val="none" w:sz="0" w:space="0" w:color="auto"/>
            <w:left w:val="none" w:sz="0" w:space="0" w:color="auto"/>
            <w:bottom w:val="none" w:sz="0" w:space="0" w:color="auto"/>
            <w:right w:val="none" w:sz="0" w:space="0" w:color="auto"/>
          </w:divBdr>
        </w:div>
        <w:div w:id="1653606220">
          <w:marLeft w:val="0"/>
          <w:marRight w:val="0"/>
          <w:marTop w:val="0"/>
          <w:marBottom w:val="0"/>
          <w:divBdr>
            <w:top w:val="none" w:sz="0" w:space="0" w:color="auto"/>
            <w:left w:val="none" w:sz="0" w:space="0" w:color="auto"/>
            <w:bottom w:val="none" w:sz="0" w:space="0" w:color="auto"/>
            <w:right w:val="none" w:sz="0" w:space="0" w:color="auto"/>
          </w:divBdr>
          <w:divsChild>
            <w:div w:id="2055931396">
              <w:marLeft w:val="-75"/>
              <w:marRight w:val="0"/>
              <w:marTop w:val="30"/>
              <w:marBottom w:val="30"/>
              <w:divBdr>
                <w:top w:val="none" w:sz="0" w:space="0" w:color="auto"/>
                <w:left w:val="none" w:sz="0" w:space="0" w:color="auto"/>
                <w:bottom w:val="none" w:sz="0" w:space="0" w:color="auto"/>
                <w:right w:val="none" w:sz="0" w:space="0" w:color="auto"/>
              </w:divBdr>
              <w:divsChild>
                <w:div w:id="78908235">
                  <w:marLeft w:val="0"/>
                  <w:marRight w:val="0"/>
                  <w:marTop w:val="0"/>
                  <w:marBottom w:val="0"/>
                  <w:divBdr>
                    <w:top w:val="none" w:sz="0" w:space="0" w:color="auto"/>
                    <w:left w:val="none" w:sz="0" w:space="0" w:color="auto"/>
                    <w:bottom w:val="none" w:sz="0" w:space="0" w:color="auto"/>
                    <w:right w:val="none" w:sz="0" w:space="0" w:color="auto"/>
                  </w:divBdr>
                  <w:divsChild>
                    <w:div w:id="1523126814">
                      <w:marLeft w:val="0"/>
                      <w:marRight w:val="0"/>
                      <w:marTop w:val="0"/>
                      <w:marBottom w:val="0"/>
                      <w:divBdr>
                        <w:top w:val="none" w:sz="0" w:space="0" w:color="auto"/>
                        <w:left w:val="none" w:sz="0" w:space="0" w:color="auto"/>
                        <w:bottom w:val="none" w:sz="0" w:space="0" w:color="auto"/>
                        <w:right w:val="none" w:sz="0" w:space="0" w:color="auto"/>
                      </w:divBdr>
                    </w:div>
                  </w:divsChild>
                </w:div>
                <w:div w:id="352078945">
                  <w:marLeft w:val="0"/>
                  <w:marRight w:val="0"/>
                  <w:marTop w:val="0"/>
                  <w:marBottom w:val="0"/>
                  <w:divBdr>
                    <w:top w:val="none" w:sz="0" w:space="0" w:color="auto"/>
                    <w:left w:val="none" w:sz="0" w:space="0" w:color="auto"/>
                    <w:bottom w:val="none" w:sz="0" w:space="0" w:color="auto"/>
                    <w:right w:val="none" w:sz="0" w:space="0" w:color="auto"/>
                  </w:divBdr>
                  <w:divsChild>
                    <w:div w:id="177544151">
                      <w:marLeft w:val="0"/>
                      <w:marRight w:val="0"/>
                      <w:marTop w:val="0"/>
                      <w:marBottom w:val="0"/>
                      <w:divBdr>
                        <w:top w:val="none" w:sz="0" w:space="0" w:color="auto"/>
                        <w:left w:val="none" w:sz="0" w:space="0" w:color="auto"/>
                        <w:bottom w:val="none" w:sz="0" w:space="0" w:color="auto"/>
                        <w:right w:val="none" w:sz="0" w:space="0" w:color="auto"/>
                      </w:divBdr>
                    </w:div>
                  </w:divsChild>
                </w:div>
                <w:div w:id="736561565">
                  <w:marLeft w:val="0"/>
                  <w:marRight w:val="0"/>
                  <w:marTop w:val="0"/>
                  <w:marBottom w:val="0"/>
                  <w:divBdr>
                    <w:top w:val="none" w:sz="0" w:space="0" w:color="auto"/>
                    <w:left w:val="none" w:sz="0" w:space="0" w:color="auto"/>
                    <w:bottom w:val="none" w:sz="0" w:space="0" w:color="auto"/>
                    <w:right w:val="none" w:sz="0" w:space="0" w:color="auto"/>
                  </w:divBdr>
                  <w:divsChild>
                    <w:div w:id="1650402081">
                      <w:marLeft w:val="0"/>
                      <w:marRight w:val="0"/>
                      <w:marTop w:val="0"/>
                      <w:marBottom w:val="0"/>
                      <w:divBdr>
                        <w:top w:val="none" w:sz="0" w:space="0" w:color="auto"/>
                        <w:left w:val="none" w:sz="0" w:space="0" w:color="auto"/>
                        <w:bottom w:val="none" w:sz="0" w:space="0" w:color="auto"/>
                        <w:right w:val="none" w:sz="0" w:space="0" w:color="auto"/>
                      </w:divBdr>
                    </w:div>
                  </w:divsChild>
                </w:div>
                <w:div w:id="1291863032">
                  <w:marLeft w:val="0"/>
                  <w:marRight w:val="0"/>
                  <w:marTop w:val="0"/>
                  <w:marBottom w:val="0"/>
                  <w:divBdr>
                    <w:top w:val="none" w:sz="0" w:space="0" w:color="auto"/>
                    <w:left w:val="none" w:sz="0" w:space="0" w:color="auto"/>
                    <w:bottom w:val="none" w:sz="0" w:space="0" w:color="auto"/>
                    <w:right w:val="none" w:sz="0" w:space="0" w:color="auto"/>
                  </w:divBdr>
                  <w:divsChild>
                    <w:div w:id="1204638124">
                      <w:marLeft w:val="0"/>
                      <w:marRight w:val="0"/>
                      <w:marTop w:val="0"/>
                      <w:marBottom w:val="0"/>
                      <w:divBdr>
                        <w:top w:val="none" w:sz="0" w:space="0" w:color="auto"/>
                        <w:left w:val="none" w:sz="0" w:space="0" w:color="auto"/>
                        <w:bottom w:val="none" w:sz="0" w:space="0" w:color="auto"/>
                        <w:right w:val="none" w:sz="0" w:space="0" w:color="auto"/>
                      </w:divBdr>
                    </w:div>
                  </w:divsChild>
                </w:div>
                <w:div w:id="1491366413">
                  <w:marLeft w:val="0"/>
                  <w:marRight w:val="0"/>
                  <w:marTop w:val="0"/>
                  <w:marBottom w:val="0"/>
                  <w:divBdr>
                    <w:top w:val="none" w:sz="0" w:space="0" w:color="auto"/>
                    <w:left w:val="none" w:sz="0" w:space="0" w:color="auto"/>
                    <w:bottom w:val="none" w:sz="0" w:space="0" w:color="auto"/>
                    <w:right w:val="none" w:sz="0" w:space="0" w:color="auto"/>
                  </w:divBdr>
                  <w:divsChild>
                    <w:div w:id="1949963978">
                      <w:marLeft w:val="0"/>
                      <w:marRight w:val="0"/>
                      <w:marTop w:val="0"/>
                      <w:marBottom w:val="0"/>
                      <w:divBdr>
                        <w:top w:val="none" w:sz="0" w:space="0" w:color="auto"/>
                        <w:left w:val="none" w:sz="0" w:space="0" w:color="auto"/>
                        <w:bottom w:val="none" w:sz="0" w:space="0" w:color="auto"/>
                        <w:right w:val="none" w:sz="0" w:space="0" w:color="auto"/>
                      </w:divBdr>
                    </w:div>
                  </w:divsChild>
                </w:div>
                <w:div w:id="1713773106">
                  <w:marLeft w:val="0"/>
                  <w:marRight w:val="0"/>
                  <w:marTop w:val="0"/>
                  <w:marBottom w:val="0"/>
                  <w:divBdr>
                    <w:top w:val="none" w:sz="0" w:space="0" w:color="auto"/>
                    <w:left w:val="none" w:sz="0" w:space="0" w:color="auto"/>
                    <w:bottom w:val="none" w:sz="0" w:space="0" w:color="auto"/>
                    <w:right w:val="none" w:sz="0" w:space="0" w:color="auto"/>
                  </w:divBdr>
                  <w:divsChild>
                    <w:div w:id="1103843543">
                      <w:marLeft w:val="0"/>
                      <w:marRight w:val="0"/>
                      <w:marTop w:val="0"/>
                      <w:marBottom w:val="0"/>
                      <w:divBdr>
                        <w:top w:val="none" w:sz="0" w:space="0" w:color="auto"/>
                        <w:left w:val="none" w:sz="0" w:space="0" w:color="auto"/>
                        <w:bottom w:val="none" w:sz="0" w:space="0" w:color="auto"/>
                        <w:right w:val="none" w:sz="0" w:space="0" w:color="auto"/>
                      </w:divBdr>
                    </w:div>
                  </w:divsChild>
                </w:div>
                <w:div w:id="1785927240">
                  <w:marLeft w:val="0"/>
                  <w:marRight w:val="0"/>
                  <w:marTop w:val="0"/>
                  <w:marBottom w:val="0"/>
                  <w:divBdr>
                    <w:top w:val="none" w:sz="0" w:space="0" w:color="auto"/>
                    <w:left w:val="none" w:sz="0" w:space="0" w:color="auto"/>
                    <w:bottom w:val="none" w:sz="0" w:space="0" w:color="auto"/>
                    <w:right w:val="none" w:sz="0" w:space="0" w:color="auto"/>
                  </w:divBdr>
                  <w:divsChild>
                    <w:div w:id="15342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766757">
          <w:marLeft w:val="0"/>
          <w:marRight w:val="0"/>
          <w:marTop w:val="0"/>
          <w:marBottom w:val="0"/>
          <w:divBdr>
            <w:top w:val="none" w:sz="0" w:space="0" w:color="auto"/>
            <w:left w:val="none" w:sz="0" w:space="0" w:color="auto"/>
            <w:bottom w:val="none" w:sz="0" w:space="0" w:color="auto"/>
            <w:right w:val="none" w:sz="0" w:space="0" w:color="auto"/>
          </w:divBdr>
        </w:div>
        <w:div w:id="1880893930">
          <w:marLeft w:val="0"/>
          <w:marRight w:val="0"/>
          <w:marTop w:val="0"/>
          <w:marBottom w:val="0"/>
          <w:divBdr>
            <w:top w:val="none" w:sz="0" w:space="0" w:color="auto"/>
            <w:left w:val="none" w:sz="0" w:space="0" w:color="auto"/>
            <w:bottom w:val="none" w:sz="0" w:space="0" w:color="auto"/>
            <w:right w:val="none" w:sz="0" w:space="0" w:color="auto"/>
          </w:divBdr>
          <w:divsChild>
            <w:div w:id="9838868">
              <w:marLeft w:val="0"/>
              <w:marRight w:val="0"/>
              <w:marTop w:val="0"/>
              <w:marBottom w:val="0"/>
              <w:divBdr>
                <w:top w:val="none" w:sz="0" w:space="0" w:color="auto"/>
                <w:left w:val="none" w:sz="0" w:space="0" w:color="auto"/>
                <w:bottom w:val="none" w:sz="0" w:space="0" w:color="auto"/>
                <w:right w:val="none" w:sz="0" w:space="0" w:color="auto"/>
              </w:divBdr>
            </w:div>
            <w:div w:id="111049534">
              <w:marLeft w:val="0"/>
              <w:marRight w:val="0"/>
              <w:marTop w:val="0"/>
              <w:marBottom w:val="0"/>
              <w:divBdr>
                <w:top w:val="none" w:sz="0" w:space="0" w:color="auto"/>
                <w:left w:val="none" w:sz="0" w:space="0" w:color="auto"/>
                <w:bottom w:val="none" w:sz="0" w:space="0" w:color="auto"/>
                <w:right w:val="none" w:sz="0" w:space="0" w:color="auto"/>
              </w:divBdr>
            </w:div>
            <w:div w:id="164590359">
              <w:marLeft w:val="0"/>
              <w:marRight w:val="0"/>
              <w:marTop w:val="0"/>
              <w:marBottom w:val="0"/>
              <w:divBdr>
                <w:top w:val="none" w:sz="0" w:space="0" w:color="auto"/>
                <w:left w:val="none" w:sz="0" w:space="0" w:color="auto"/>
                <w:bottom w:val="none" w:sz="0" w:space="0" w:color="auto"/>
                <w:right w:val="none" w:sz="0" w:space="0" w:color="auto"/>
              </w:divBdr>
            </w:div>
            <w:div w:id="189299610">
              <w:marLeft w:val="0"/>
              <w:marRight w:val="0"/>
              <w:marTop w:val="0"/>
              <w:marBottom w:val="0"/>
              <w:divBdr>
                <w:top w:val="none" w:sz="0" w:space="0" w:color="auto"/>
                <w:left w:val="none" w:sz="0" w:space="0" w:color="auto"/>
                <w:bottom w:val="none" w:sz="0" w:space="0" w:color="auto"/>
                <w:right w:val="none" w:sz="0" w:space="0" w:color="auto"/>
              </w:divBdr>
            </w:div>
            <w:div w:id="213349847">
              <w:marLeft w:val="0"/>
              <w:marRight w:val="0"/>
              <w:marTop w:val="0"/>
              <w:marBottom w:val="0"/>
              <w:divBdr>
                <w:top w:val="none" w:sz="0" w:space="0" w:color="auto"/>
                <w:left w:val="none" w:sz="0" w:space="0" w:color="auto"/>
                <w:bottom w:val="none" w:sz="0" w:space="0" w:color="auto"/>
                <w:right w:val="none" w:sz="0" w:space="0" w:color="auto"/>
              </w:divBdr>
            </w:div>
            <w:div w:id="255794731">
              <w:marLeft w:val="0"/>
              <w:marRight w:val="0"/>
              <w:marTop w:val="0"/>
              <w:marBottom w:val="0"/>
              <w:divBdr>
                <w:top w:val="none" w:sz="0" w:space="0" w:color="auto"/>
                <w:left w:val="none" w:sz="0" w:space="0" w:color="auto"/>
                <w:bottom w:val="none" w:sz="0" w:space="0" w:color="auto"/>
                <w:right w:val="none" w:sz="0" w:space="0" w:color="auto"/>
              </w:divBdr>
            </w:div>
            <w:div w:id="527333902">
              <w:marLeft w:val="0"/>
              <w:marRight w:val="0"/>
              <w:marTop w:val="0"/>
              <w:marBottom w:val="0"/>
              <w:divBdr>
                <w:top w:val="none" w:sz="0" w:space="0" w:color="auto"/>
                <w:left w:val="none" w:sz="0" w:space="0" w:color="auto"/>
                <w:bottom w:val="none" w:sz="0" w:space="0" w:color="auto"/>
                <w:right w:val="none" w:sz="0" w:space="0" w:color="auto"/>
              </w:divBdr>
            </w:div>
            <w:div w:id="534079124">
              <w:marLeft w:val="0"/>
              <w:marRight w:val="0"/>
              <w:marTop w:val="0"/>
              <w:marBottom w:val="0"/>
              <w:divBdr>
                <w:top w:val="none" w:sz="0" w:space="0" w:color="auto"/>
                <w:left w:val="none" w:sz="0" w:space="0" w:color="auto"/>
                <w:bottom w:val="none" w:sz="0" w:space="0" w:color="auto"/>
                <w:right w:val="none" w:sz="0" w:space="0" w:color="auto"/>
              </w:divBdr>
            </w:div>
            <w:div w:id="874198143">
              <w:marLeft w:val="0"/>
              <w:marRight w:val="0"/>
              <w:marTop w:val="0"/>
              <w:marBottom w:val="0"/>
              <w:divBdr>
                <w:top w:val="none" w:sz="0" w:space="0" w:color="auto"/>
                <w:left w:val="none" w:sz="0" w:space="0" w:color="auto"/>
                <w:bottom w:val="none" w:sz="0" w:space="0" w:color="auto"/>
                <w:right w:val="none" w:sz="0" w:space="0" w:color="auto"/>
              </w:divBdr>
            </w:div>
            <w:div w:id="1049257678">
              <w:marLeft w:val="0"/>
              <w:marRight w:val="0"/>
              <w:marTop w:val="0"/>
              <w:marBottom w:val="0"/>
              <w:divBdr>
                <w:top w:val="none" w:sz="0" w:space="0" w:color="auto"/>
                <w:left w:val="none" w:sz="0" w:space="0" w:color="auto"/>
                <w:bottom w:val="none" w:sz="0" w:space="0" w:color="auto"/>
                <w:right w:val="none" w:sz="0" w:space="0" w:color="auto"/>
              </w:divBdr>
            </w:div>
            <w:div w:id="1629777550">
              <w:marLeft w:val="0"/>
              <w:marRight w:val="0"/>
              <w:marTop w:val="0"/>
              <w:marBottom w:val="0"/>
              <w:divBdr>
                <w:top w:val="none" w:sz="0" w:space="0" w:color="auto"/>
                <w:left w:val="none" w:sz="0" w:space="0" w:color="auto"/>
                <w:bottom w:val="none" w:sz="0" w:space="0" w:color="auto"/>
                <w:right w:val="none" w:sz="0" w:space="0" w:color="auto"/>
              </w:divBdr>
            </w:div>
            <w:div w:id="1659110878">
              <w:marLeft w:val="0"/>
              <w:marRight w:val="0"/>
              <w:marTop w:val="0"/>
              <w:marBottom w:val="0"/>
              <w:divBdr>
                <w:top w:val="none" w:sz="0" w:space="0" w:color="auto"/>
                <w:left w:val="none" w:sz="0" w:space="0" w:color="auto"/>
                <w:bottom w:val="none" w:sz="0" w:space="0" w:color="auto"/>
                <w:right w:val="none" w:sz="0" w:space="0" w:color="auto"/>
              </w:divBdr>
            </w:div>
            <w:div w:id="1698198630">
              <w:marLeft w:val="0"/>
              <w:marRight w:val="0"/>
              <w:marTop w:val="0"/>
              <w:marBottom w:val="0"/>
              <w:divBdr>
                <w:top w:val="none" w:sz="0" w:space="0" w:color="auto"/>
                <w:left w:val="none" w:sz="0" w:space="0" w:color="auto"/>
                <w:bottom w:val="none" w:sz="0" w:space="0" w:color="auto"/>
                <w:right w:val="none" w:sz="0" w:space="0" w:color="auto"/>
              </w:divBdr>
            </w:div>
            <w:div w:id="1777140890">
              <w:marLeft w:val="0"/>
              <w:marRight w:val="0"/>
              <w:marTop w:val="0"/>
              <w:marBottom w:val="0"/>
              <w:divBdr>
                <w:top w:val="none" w:sz="0" w:space="0" w:color="auto"/>
                <w:left w:val="none" w:sz="0" w:space="0" w:color="auto"/>
                <w:bottom w:val="none" w:sz="0" w:space="0" w:color="auto"/>
                <w:right w:val="none" w:sz="0" w:space="0" w:color="auto"/>
              </w:divBdr>
            </w:div>
            <w:div w:id="1831940394">
              <w:marLeft w:val="0"/>
              <w:marRight w:val="0"/>
              <w:marTop w:val="0"/>
              <w:marBottom w:val="0"/>
              <w:divBdr>
                <w:top w:val="none" w:sz="0" w:space="0" w:color="auto"/>
                <w:left w:val="none" w:sz="0" w:space="0" w:color="auto"/>
                <w:bottom w:val="none" w:sz="0" w:space="0" w:color="auto"/>
                <w:right w:val="none" w:sz="0" w:space="0" w:color="auto"/>
              </w:divBdr>
            </w:div>
            <w:div w:id="1934821430">
              <w:marLeft w:val="0"/>
              <w:marRight w:val="0"/>
              <w:marTop w:val="0"/>
              <w:marBottom w:val="0"/>
              <w:divBdr>
                <w:top w:val="none" w:sz="0" w:space="0" w:color="auto"/>
                <w:left w:val="none" w:sz="0" w:space="0" w:color="auto"/>
                <w:bottom w:val="none" w:sz="0" w:space="0" w:color="auto"/>
                <w:right w:val="none" w:sz="0" w:space="0" w:color="auto"/>
              </w:divBdr>
            </w:div>
            <w:div w:id="1940524235">
              <w:marLeft w:val="0"/>
              <w:marRight w:val="0"/>
              <w:marTop w:val="0"/>
              <w:marBottom w:val="0"/>
              <w:divBdr>
                <w:top w:val="none" w:sz="0" w:space="0" w:color="auto"/>
                <w:left w:val="none" w:sz="0" w:space="0" w:color="auto"/>
                <w:bottom w:val="none" w:sz="0" w:space="0" w:color="auto"/>
                <w:right w:val="none" w:sz="0" w:space="0" w:color="auto"/>
              </w:divBdr>
            </w:div>
            <w:div w:id="1993439988">
              <w:marLeft w:val="0"/>
              <w:marRight w:val="0"/>
              <w:marTop w:val="0"/>
              <w:marBottom w:val="0"/>
              <w:divBdr>
                <w:top w:val="none" w:sz="0" w:space="0" w:color="auto"/>
                <w:left w:val="none" w:sz="0" w:space="0" w:color="auto"/>
                <w:bottom w:val="none" w:sz="0" w:space="0" w:color="auto"/>
                <w:right w:val="none" w:sz="0" w:space="0" w:color="auto"/>
              </w:divBdr>
            </w:div>
            <w:div w:id="2005861714">
              <w:marLeft w:val="0"/>
              <w:marRight w:val="0"/>
              <w:marTop w:val="0"/>
              <w:marBottom w:val="0"/>
              <w:divBdr>
                <w:top w:val="none" w:sz="0" w:space="0" w:color="auto"/>
                <w:left w:val="none" w:sz="0" w:space="0" w:color="auto"/>
                <w:bottom w:val="none" w:sz="0" w:space="0" w:color="auto"/>
                <w:right w:val="none" w:sz="0" w:space="0" w:color="auto"/>
              </w:divBdr>
            </w:div>
            <w:div w:id="2108036750">
              <w:marLeft w:val="0"/>
              <w:marRight w:val="0"/>
              <w:marTop w:val="0"/>
              <w:marBottom w:val="0"/>
              <w:divBdr>
                <w:top w:val="none" w:sz="0" w:space="0" w:color="auto"/>
                <w:left w:val="none" w:sz="0" w:space="0" w:color="auto"/>
                <w:bottom w:val="none" w:sz="0" w:space="0" w:color="auto"/>
                <w:right w:val="none" w:sz="0" w:space="0" w:color="auto"/>
              </w:divBdr>
            </w:div>
          </w:divsChild>
        </w:div>
        <w:div w:id="1934780927">
          <w:marLeft w:val="0"/>
          <w:marRight w:val="0"/>
          <w:marTop w:val="0"/>
          <w:marBottom w:val="0"/>
          <w:divBdr>
            <w:top w:val="none" w:sz="0" w:space="0" w:color="auto"/>
            <w:left w:val="none" w:sz="0" w:space="0" w:color="auto"/>
            <w:bottom w:val="none" w:sz="0" w:space="0" w:color="auto"/>
            <w:right w:val="none" w:sz="0" w:space="0" w:color="auto"/>
          </w:divBdr>
        </w:div>
        <w:div w:id="1978297427">
          <w:marLeft w:val="0"/>
          <w:marRight w:val="0"/>
          <w:marTop w:val="0"/>
          <w:marBottom w:val="0"/>
          <w:divBdr>
            <w:top w:val="none" w:sz="0" w:space="0" w:color="auto"/>
            <w:left w:val="none" w:sz="0" w:space="0" w:color="auto"/>
            <w:bottom w:val="none" w:sz="0" w:space="0" w:color="auto"/>
            <w:right w:val="none" w:sz="0" w:space="0" w:color="auto"/>
          </w:divBdr>
        </w:div>
        <w:div w:id="2106876551">
          <w:marLeft w:val="0"/>
          <w:marRight w:val="0"/>
          <w:marTop w:val="0"/>
          <w:marBottom w:val="0"/>
          <w:divBdr>
            <w:top w:val="none" w:sz="0" w:space="0" w:color="auto"/>
            <w:left w:val="none" w:sz="0" w:space="0" w:color="auto"/>
            <w:bottom w:val="none" w:sz="0" w:space="0" w:color="auto"/>
            <w:right w:val="none" w:sz="0" w:space="0" w:color="auto"/>
          </w:divBdr>
        </w:div>
        <w:div w:id="2107731046">
          <w:marLeft w:val="0"/>
          <w:marRight w:val="0"/>
          <w:marTop w:val="0"/>
          <w:marBottom w:val="0"/>
          <w:divBdr>
            <w:top w:val="none" w:sz="0" w:space="0" w:color="auto"/>
            <w:left w:val="none" w:sz="0" w:space="0" w:color="auto"/>
            <w:bottom w:val="none" w:sz="0" w:space="0" w:color="auto"/>
            <w:right w:val="none" w:sz="0" w:space="0" w:color="auto"/>
          </w:divBdr>
        </w:div>
        <w:div w:id="2122996439">
          <w:marLeft w:val="0"/>
          <w:marRight w:val="0"/>
          <w:marTop w:val="0"/>
          <w:marBottom w:val="0"/>
          <w:divBdr>
            <w:top w:val="none" w:sz="0" w:space="0" w:color="auto"/>
            <w:left w:val="none" w:sz="0" w:space="0" w:color="auto"/>
            <w:bottom w:val="none" w:sz="0" w:space="0" w:color="auto"/>
            <w:right w:val="none" w:sz="0" w:space="0" w:color="auto"/>
          </w:divBdr>
        </w:div>
        <w:div w:id="2136486155">
          <w:marLeft w:val="0"/>
          <w:marRight w:val="0"/>
          <w:marTop w:val="0"/>
          <w:marBottom w:val="0"/>
          <w:divBdr>
            <w:top w:val="none" w:sz="0" w:space="0" w:color="auto"/>
            <w:left w:val="none" w:sz="0" w:space="0" w:color="auto"/>
            <w:bottom w:val="none" w:sz="0" w:space="0" w:color="auto"/>
            <w:right w:val="none" w:sz="0" w:space="0" w:color="auto"/>
          </w:divBdr>
        </w:div>
      </w:divsChild>
    </w:div>
    <w:div w:id="529418834">
      <w:bodyDiv w:val="1"/>
      <w:marLeft w:val="0"/>
      <w:marRight w:val="0"/>
      <w:marTop w:val="0"/>
      <w:marBottom w:val="0"/>
      <w:divBdr>
        <w:top w:val="none" w:sz="0" w:space="0" w:color="auto"/>
        <w:left w:val="none" w:sz="0" w:space="0" w:color="auto"/>
        <w:bottom w:val="none" w:sz="0" w:space="0" w:color="auto"/>
        <w:right w:val="none" w:sz="0" w:space="0" w:color="auto"/>
      </w:divBdr>
    </w:div>
    <w:div w:id="576018033">
      <w:bodyDiv w:val="1"/>
      <w:marLeft w:val="0"/>
      <w:marRight w:val="0"/>
      <w:marTop w:val="0"/>
      <w:marBottom w:val="0"/>
      <w:divBdr>
        <w:top w:val="none" w:sz="0" w:space="0" w:color="auto"/>
        <w:left w:val="none" w:sz="0" w:space="0" w:color="auto"/>
        <w:bottom w:val="none" w:sz="0" w:space="0" w:color="auto"/>
        <w:right w:val="none" w:sz="0" w:space="0" w:color="auto"/>
      </w:divBdr>
    </w:div>
    <w:div w:id="580605461">
      <w:bodyDiv w:val="1"/>
      <w:marLeft w:val="0"/>
      <w:marRight w:val="0"/>
      <w:marTop w:val="0"/>
      <w:marBottom w:val="0"/>
      <w:divBdr>
        <w:top w:val="none" w:sz="0" w:space="0" w:color="auto"/>
        <w:left w:val="none" w:sz="0" w:space="0" w:color="auto"/>
        <w:bottom w:val="none" w:sz="0" w:space="0" w:color="auto"/>
        <w:right w:val="none" w:sz="0" w:space="0" w:color="auto"/>
      </w:divBdr>
    </w:div>
    <w:div w:id="597906641">
      <w:bodyDiv w:val="1"/>
      <w:marLeft w:val="0"/>
      <w:marRight w:val="0"/>
      <w:marTop w:val="0"/>
      <w:marBottom w:val="0"/>
      <w:divBdr>
        <w:top w:val="none" w:sz="0" w:space="0" w:color="auto"/>
        <w:left w:val="none" w:sz="0" w:space="0" w:color="auto"/>
        <w:bottom w:val="none" w:sz="0" w:space="0" w:color="auto"/>
        <w:right w:val="none" w:sz="0" w:space="0" w:color="auto"/>
      </w:divBdr>
    </w:div>
    <w:div w:id="617563469">
      <w:bodyDiv w:val="1"/>
      <w:marLeft w:val="0"/>
      <w:marRight w:val="0"/>
      <w:marTop w:val="0"/>
      <w:marBottom w:val="0"/>
      <w:divBdr>
        <w:top w:val="none" w:sz="0" w:space="0" w:color="auto"/>
        <w:left w:val="none" w:sz="0" w:space="0" w:color="auto"/>
        <w:bottom w:val="none" w:sz="0" w:space="0" w:color="auto"/>
        <w:right w:val="none" w:sz="0" w:space="0" w:color="auto"/>
      </w:divBdr>
    </w:div>
    <w:div w:id="635721781">
      <w:bodyDiv w:val="1"/>
      <w:marLeft w:val="0"/>
      <w:marRight w:val="0"/>
      <w:marTop w:val="0"/>
      <w:marBottom w:val="0"/>
      <w:divBdr>
        <w:top w:val="none" w:sz="0" w:space="0" w:color="auto"/>
        <w:left w:val="none" w:sz="0" w:space="0" w:color="auto"/>
        <w:bottom w:val="none" w:sz="0" w:space="0" w:color="auto"/>
        <w:right w:val="none" w:sz="0" w:space="0" w:color="auto"/>
      </w:divBdr>
      <w:divsChild>
        <w:div w:id="109396717">
          <w:marLeft w:val="0"/>
          <w:marRight w:val="0"/>
          <w:marTop w:val="0"/>
          <w:marBottom w:val="0"/>
          <w:divBdr>
            <w:top w:val="none" w:sz="0" w:space="0" w:color="auto"/>
            <w:left w:val="none" w:sz="0" w:space="0" w:color="auto"/>
            <w:bottom w:val="none" w:sz="0" w:space="0" w:color="auto"/>
            <w:right w:val="none" w:sz="0" w:space="0" w:color="auto"/>
          </w:divBdr>
        </w:div>
        <w:div w:id="541524780">
          <w:marLeft w:val="0"/>
          <w:marRight w:val="0"/>
          <w:marTop w:val="0"/>
          <w:marBottom w:val="0"/>
          <w:divBdr>
            <w:top w:val="none" w:sz="0" w:space="0" w:color="auto"/>
            <w:left w:val="none" w:sz="0" w:space="0" w:color="auto"/>
            <w:bottom w:val="none" w:sz="0" w:space="0" w:color="auto"/>
            <w:right w:val="none" w:sz="0" w:space="0" w:color="auto"/>
          </w:divBdr>
        </w:div>
        <w:div w:id="1175683049">
          <w:marLeft w:val="0"/>
          <w:marRight w:val="0"/>
          <w:marTop w:val="0"/>
          <w:marBottom w:val="0"/>
          <w:divBdr>
            <w:top w:val="none" w:sz="0" w:space="0" w:color="auto"/>
            <w:left w:val="none" w:sz="0" w:space="0" w:color="auto"/>
            <w:bottom w:val="none" w:sz="0" w:space="0" w:color="auto"/>
            <w:right w:val="none" w:sz="0" w:space="0" w:color="auto"/>
          </w:divBdr>
        </w:div>
        <w:div w:id="1645543461">
          <w:marLeft w:val="0"/>
          <w:marRight w:val="0"/>
          <w:marTop w:val="0"/>
          <w:marBottom w:val="0"/>
          <w:divBdr>
            <w:top w:val="none" w:sz="0" w:space="0" w:color="auto"/>
            <w:left w:val="none" w:sz="0" w:space="0" w:color="auto"/>
            <w:bottom w:val="none" w:sz="0" w:space="0" w:color="auto"/>
            <w:right w:val="none" w:sz="0" w:space="0" w:color="auto"/>
          </w:divBdr>
        </w:div>
      </w:divsChild>
    </w:div>
    <w:div w:id="637495305">
      <w:bodyDiv w:val="1"/>
      <w:marLeft w:val="0"/>
      <w:marRight w:val="0"/>
      <w:marTop w:val="0"/>
      <w:marBottom w:val="0"/>
      <w:divBdr>
        <w:top w:val="none" w:sz="0" w:space="0" w:color="auto"/>
        <w:left w:val="none" w:sz="0" w:space="0" w:color="auto"/>
        <w:bottom w:val="none" w:sz="0" w:space="0" w:color="auto"/>
        <w:right w:val="none" w:sz="0" w:space="0" w:color="auto"/>
      </w:divBdr>
    </w:div>
    <w:div w:id="639262209">
      <w:bodyDiv w:val="1"/>
      <w:marLeft w:val="0"/>
      <w:marRight w:val="0"/>
      <w:marTop w:val="0"/>
      <w:marBottom w:val="0"/>
      <w:divBdr>
        <w:top w:val="none" w:sz="0" w:space="0" w:color="auto"/>
        <w:left w:val="none" w:sz="0" w:space="0" w:color="auto"/>
        <w:bottom w:val="none" w:sz="0" w:space="0" w:color="auto"/>
        <w:right w:val="none" w:sz="0" w:space="0" w:color="auto"/>
      </w:divBdr>
      <w:divsChild>
        <w:div w:id="112868593">
          <w:marLeft w:val="0"/>
          <w:marRight w:val="0"/>
          <w:marTop w:val="0"/>
          <w:marBottom w:val="0"/>
          <w:divBdr>
            <w:top w:val="none" w:sz="0" w:space="0" w:color="auto"/>
            <w:left w:val="none" w:sz="0" w:space="0" w:color="auto"/>
            <w:bottom w:val="none" w:sz="0" w:space="0" w:color="auto"/>
            <w:right w:val="none" w:sz="0" w:space="0" w:color="auto"/>
          </w:divBdr>
        </w:div>
        <w:div w:id="553010357">
          <w:marLeft w:val="0"/>
          <w:marRight w:val="0"/>
          <w:marTop w:val="0"/>
          <w:marBottom w:val="0"/>
          <w:divBdr>
            <w:top w:val="none" w:sz="0" w:space="0" w:color="auto"/>
            <w:left w:val="none" w:sz="0" w:space="0" w:color="auto"/>
            <w:bottom w:val="none" w:sz="0" w:space="0" w:color="auto"/>
            <w:right w:val="none" w:sz="0" w:space="0" w:color="auto"/>
          </w:divBdr>
        </w:div>
        <w:div w:id="608010139">
          <w:marLeft w:val="0"/>
          <w:marRight w:val="0"/>
          <w:marTop w:val="0"/>
          <w:marBottom w:val="0"/>
          <w:divBdr>
            <w:top w:val="none" w:sz="0" w:space="0" w:color="auto"/>
            <w:left w:val="none" w:sz="0" w:space="0" w:color="auto"/>
            <w:bottom w:val="none" w:sz="0" w:space="0" w:color="auto"/>
            <w:right w:val="none" w:sz="0" w:space="0" w:color="auto"/>
          </w:divBdr>
        </w:div>
        <w:div w:id="678393553">
          <w:marLeft w:val="0"/>
          <w:marRight w:val="0"/>
          <w:marTop w:val="0"/>
          <w:marBottom w:val="0"/>
          <w:divBdr>
            <w:top w:val="none" w:sz="0" w:space="0" w:color="auto"/>
            <w:left w:val="none" w:sz="0" w:space="0" w:color="auto"/>
            <w:bottom w:val="none" w:sz="0" w:space="0" w:color="auto"/>
            <w:right w:val="none" w:sz="0" w:space="0" w:color="auto"/>
          </w:divBdr>
        </w:div>
        <w:div w:id="1287077837">
          <w:marLeft w:val="0"/>
          <w:marRight w:val="0"/>
          <w:marTop w:val="0"/>
          <w:marBottom w:val="0"/>
          <w:divBdr>
            <w:top w:val="none" w:sz="0" w:space="0" w:color="auto"/>
            <w:left w:val="none" w:sz="0" w:space="0" w:color="auto"/>
            <w:bottom w:val="none" w:sz="0" w:space="0" w:color="auto"/>
            <w:right w:val="none" w:sz="0" w:space="0" w:color="auto"/>
          </w:divBdr>
        </w:div>
        <w:div w:id="1805999125">
          <w:marLeft w:val="0"/>
          <w:marRight w:val="0"/>
          <w:marTop w:val="0"/>
          <w:marBottom w:val="0"/>
          <w:divBdr>
            <w:top w:val="none" w:sz="0" w:space="0" w:color="auto"/>
            <w:left w:val="none" w:sz="0" w:space="0" w:color="auto"/>
            <w:bottom w:val="none" w:sz="0" w:space="0" w:color="auto"/>
            <w:right w:val="none" w:sz="0" w:space="0" w:color="auto"/>
          </w:divBdr>
        </w:div>
        <w:div w:id="1813865528">
          <w:marLeft w:val="0"/>
          <w:marRight w:val="0"/>
          <w:marTop w:val="0"/>
          <w:marBottom w:val="0"/>
          <w:divBdr>
            <w:top w:val="none" w:sz="0" w:space="0" w:color="auto"/>
            <w:left w:val="none" w:sz="0" w:space="0" w:color="auto"/>
            <w:bottom w:val="none" w:sz="0" w:space="0" w:color="auto"/>
            <w:right w:val="none" w:sz="0" w:space="0" w:color="auto"/>
          </w:divBdr>
        </w:div>
        <w:div w:id="1839420896">
          <w:marLeft w:val="0"/>
          <w:marRight w:val="0"/>
          <w:marTop w:val="0"/>
          <w:marBottom w:val="0"/>
          <w:divBdr>
            <w:top w:val="none" w:sz="0" w:space="0" w:color="auto"/>
            <w:left w:val="none" w:sz="0" w:space="0" w:color="auto"/>
            <w:bottom w:val="none" w:sz="0" w:space="0" w:color="auto"/>
            <w:right w:val="none" w:sz="0" w:space="0" w:color="auto"/>
          </w:divBdr>
        </w:div>
        <w:div w:id="1975869697">
          <w:marLeft w:val="0"/>
          <w:marRight w:val="0"/>
          <w:marTop w:val="0"/>
          <w:marBottom w:val="0"/>
          <w:divBdr>
            <w:top w:val="none" w:sz="0" w:space="0" w:color="auto"/>
            <w:left w:val="none" w:sz="0" w:space="0" w:color="auto"/>
            <w:bottom w:val="none" w:sz="0" w:space="0" w:color="auto"/>
            <w:right w:val="none" w:sz="0" w:space="0" w:color="auto"/>
          </w:divBdr>
        </w:div>
        <w:div w:id="2005432625">
          <w:marLeft w:val="0"/>
          <w:marRight w:val="0"/>
          <w:marTop w:val="0"/>
          <w:marBottom w:val="0"/>
          <w:divBdr>
            <w:top w:val="none" w:sz="0" w:space="0" w:color="auto"/>
            <w:left w:val="none" w:sz="0" w:space="0" w:color="auto"/>
            <w:bottom w:val="none" w:sz="0" w:space="0" w:color="auto"/>
            <w:right w:val="none" w:sz="0" w:space="0" w:color="auto"/>
          </w:divBdr>
        </w:div>
        <w:div w:id="2114550213">
          <w:marLeft w:val="0"/>
          <w:marRight w:val="0"/>
          <w:marTop w:val="0"/>
          <w:marBottom w:val="0"/>
          <w:divBdr>
            <w:top w:val="none" w:sz="0" w:space="0" w:color="auto"/>
            <w:left w:val="none" w:sz="0" w:space="0" w:color="auto"/>
            <w:bottom w:val="none" w:sz="0" w:space="0" w:color="auto"/>
            <w:right w:val="none" w:sz="0" w:space="0" w:color="auto"/>
          </w:divBdr>
        </w:div>
      </w:divsChild>
    </w:div>
    <w:div w:id="639771424">
      <w:bodyDiv w:val="1"/>
      <w:marLeft w:val="0"/>
      <w:marRight w:val="0"/>
      <w:marTop w:val="0"/>
      <w:marBottom w:val="0"/>
      <w:divBdr>
        <w:top w:val="none" w:sz="0" w:space="0" w:color="auto"/>
        <w:left w:val="none" w:sz="0" w:space="0" w:color="auto"/>
        <w:bottom w:val="none" w:sz="0" w:space="0" w:color="auto"/>
        <w:right w:val="none" w:sz="0" w:space="0" w:color="auto"/>
      </w:divBdr>
      <w:divsChild>
        <w:div w:id="117800624">
          <w:marLeft w:val="0"/>
          <w:marRight w:val="0"/>
          <w:marTop w:val="0"/>
          <w:marBottom w:val="0"/>
          <w:divBdr>
            <w:top w:val="none" w:sz="0" w:space="0" w:color="auto"/>
            <w:left w:val="none" w:sz="0" w:space="0" w:color="auto"/>
            <w:bottom w:val="none" w:sz="0" w:space="0" w:color="auto"/>
            <w:right w:val="none" w:sz="0" w:space="0" w:color="auto"/>
          </w:divBdr>
        </w:div>
        <w:div w:id="285310636">
          <w:marLeft w:val="0"/>
          <w:marRight w:val="0"/>
          <w:marTop w:val="0"/>
          <w:marBottom w:val="0"/>
          <w:divBdr>
            <w:top w:val="none" w:sz="0" w:space="0" w:color="auto"/>
            <w:left w:val="none" w:sz="0" w:space="0" w:color="auto"/>
            <w:bottom w:val="none" w:sz="0" w:space="0" w:color="auto"/>
            <w:right w:val="none" w:sz="0" w:space="0" w:color="auto"/>
          </w:divBdr>
        </w:div>
        <w:div w:id="483349994">
          <w:marLeft w:val="0"/>
          <w:marRight w:val="0"/>
          <w:marTop w:val="0"/>
          <w:marBottom w:val="0"/>
          <w:divBdr>
            <w:top w:val="none" w:sz="0" w:space="0" w:color="auto"/>
            <w:left w:val="none" w:sz="0" w:space="0" w:color="auto"/>
            <w:bottom w:val="none" w:sz="0" w:space="0" w:color="auto"/>
            <w:right w:val="none" w:sz="0" w:space="0" w:color="auto"/>
          </w:divBdr>
        </w:div>
        <w:div w:id="829293801">
          <w:marLeft w:val="0"/>
          <w:marRight w:val="0"/>
          <w:marTop w:val="0"/>
          <w:marBottom w:val="0"/>
          <w:divBdr>
            <w:top w:val="none" w:sz="0" w:space="0" w:color="auto"/>
            <w:left w:val="none" w:sz="0" w:space="0" w:color="auto"/>
            <w:bottom w:val="none" w:sz="0" w:space="0" w:color="auto"/>
            <w:right w:val="none" w:sz="0" w:space="0" w:color="auto"/>
          </w:divBdr>
        </w:div>
        <w:div w:id="940911309">
          <w:marLeft w:val="0"/>
          <w:marRight w:val="0"/>
          <w:marTop w:val="0"/>
          <w:marBottom w:val="0"/>
          <w:divBdr>
            <w:top w:val="none" w:sz="0" w:space="0" w:color="auto"/>
            <w:left w:val="none" w:sz="0" w:space="0" w:color="auto"/>
            <w:bottom w:val="none" w:sz="0" w:space="0" w:color="auto"/>
            <w:right w:val="none" w:sz="0" w:space="0" w:color="auto"/>
          </w:divBdr>
        </w:div>
        <w:div w:id="1054155697">
          <w:marLeft w:val="0"/>
          <w:marRight w:val="0"/>
          <w:marTop w:val="0"/>
          <w:marBottom w:val="0"/>
          <w:divBdr>
            <w:top w:val="none" w:sz="0" w:space="0" w:color="auto"/>
            <w:left w:val="none" w:sz="0" w:space="0" w:color="auto"/>
            <w:bottom w:val="none" w:sz="0" w:space="0" w:color="auto"/>
            <w:right w:val="none" w:sz="0" w:space="0" w:color="auto"/>
          </w:divBdr>
        </w:div>
        <w:div w:id="1253976419">
          <w:marLeft w:val="0"/>
          <w:marRight w:val="0"/>
          <w:marTop w:val="0"/>
          <w:marBottom w:val="0"/>
          <w:divBdr>
            <w:top w:val="none" w:sz="0" w:space="0" w:color="auto"/>
            <w:left w:val="none" w:sz="0" w:space="0" w:color="auto"/>
            <w:bottom w:val="none" w:sz="0" w:space="0" w:color="auto"/>
            <w:right w:val="none" w:sz="0" w:space="0" w:color="auto"/>
          </w:divBdr>
        </w:div>
        <w:div w:id="1545604308">
          <w:marLeft w:val="0"/>
          <w:marRight w:val="0"/>
          <w:marTop w:val="0"/>
          <w:marBottom w:val="0"/>
          <w:divBdr>
            <w:top w:val="none" w:sz="0" w:space="0" w:color="auto"/>
            <w:left w:val="none" w:sz="0" w:space="0" w:color="auto"/>
            <w:bottom w:val="none" w:sz="0" w:space="0" w:color="auto"/>
            <w:right w:val="none" w:sz="0" w:space="0" w:color="auto"/>
          </w:divBdr>
        </w:div>
        <w:div w:id="1659730883">
          <w:marLeft w:val="0"/>
          <w:marRight w:val="0"/>
          <w:marTop w:val="0"/>
          <w:marBottom w:val="0"/>
          <w:divBdr>
            <w:top w:val="none" w:sz="0" w:space="0" w:color="auto"/>
            <w:left w:val="none" w:sz="0" w:space="0" w:color="auto"/>
            <w:bottom w:val="none" w:sz="0" w:space="0" w:color="auto"/>
            <w:right w:val="none" w:sz="0" w:space="0" w:color="auto"/>
          </w:divBdr>
        </w:div>
        <w:div w:id="1721898990">
          <w:marLeft w:val="0"/>
          <w:marRight w:val="0"/>
          <w:marTop w:val="0"/>
          <w:marBottom w:val="0"/>
          <w:divBdr>
            <w:top w:val="none" w:sz="0" w:space="0" w:color="auto"/>
            <w:left w:val="none" w:sz="0" w:space="0" w:color="auto"/>
            <w:bottom w:val="none" w:sz="0" w:space="0" w:color="auto"/>
            <w:right w:val="none" w:sz="0" w:space="0" w:color="auto"/>
          </w:divBdr>
        </w:div>
        <w:div w:id="1850680138">
          <w:marLeft w:val="0"/>
          <w:marRight w:val="0"/>
          <w:marTop w:val="0"/>
          <w:marBottom w:val="0"/>
          <w:divBdr>
            <w:top w:val="none" w:sz="0" w:space="0" w:color="auto"/>
            <w:left w:val="none" w:sz="0" w:space="0" w:color="auto"/>
            <w:bottom w:val="none" w:sz="0" w:space="0" w:color="auto"/>
            <w:right w:val="none" w:sz="0" w:space="0" w:color="auto"/>
          </w:divBdr>
        </w:div>
        <w:div w:id="1933583758">
          <w:marLeft w:val="0"/>
          <w:marRight w:val="0"/>
          <w:marTop w:val="0"/>
          <w:marBottom w:val="0"/>
          <w:divBdr>
            <w:top w:val="none" w:sz="0" w:space="0" w:color="auto"/>
            <w:left w:val="none" w:sz="0" w:space="0" w:color="auto"/>
            <w:bottom w:val="none" w:sz="0" w:space="0" w:color="auto"/>
            <w:right w:val="none" w:sz="0" w:space="0" w:color="auto"/>
          </w:divBdr>
        </w:div>
      </w:divsChild>
    </w:div>
    <w:div w:id="641809509">
      <w:bodyDiv w:val="1"/>
      <w:marLeft w:val="0"/>
      <w:marRight w:val="0"/>
      <w:marTop w:val="0"/>
      <w:marBottom w:val="0"/>
      <w:divBdr>
        <w:top w:val="none" w:sz="0" w:space="0" w:color="auto"/>
        <w:left w:val="none" w:sz="0" w:space="0" w:color="auto"/>
        <w:bottom w:val="none" w:sz="0" w:space="0" w:color="auto"/>
        <w:right w:val="none" w:sz="0" w:space="0" w:color="auto"/>
      </w:divBdr>
      <w:divsChild>
        <w:div w:id="113527747">
          <w:marLeft w:val="0"/>
          <w:marRight w:val="0"/>
          <w:marTop w:val="0"/>
          <w:marBottom w:val="0"/>
          <w:divBdr>
            <w:top w:val="none" w:sz="0" w:space="0" w:color="auto"/>
            <w:left w:val="none" w:sz="0" w:space="0" w:color="auto"/>
            <w:bottom w:val="none" w:sz="0" w:space="0" w:color="auto"/>
            <w:right w:val="none" w:sz="0" w:space="0" w:color="auto"/>
          </w:divBdr>
        </w:div>
        <w:div w:id="959998624">
          <w:marLeft w:val="0"/>
          <w:marRight w:val="0"/>
          <w:marTop w:val="0"/>
          <w:marBottom w:val="0"/>
          <w:divBdr>
            <w:top w:val="none" w:sz="0" w:space="0" w:color="auto"/>
            <w:left w:val="none" w:sz="0" w:space="0" w:color="auto"/>
            <w:bottom w:val="none" w:sz="0" w:space="0" w:color="auto"/>
            <w:right w:val="none" w:sz="0" w:space="0" w:color="auto"/>
          </w:divBdr>
        </w:div>
      </w:divsChild>
    </w:div>
    <w:div w:id="656570711">
      <w:bodyDiv w:val="1"/>
      <w:marLeft w:val="0"/>
      <w:marRight w:val="0"/>
      <w:marTop w:val="0"/>
      <w:marBottom w:val="0"/>
      <w:divBdr>
        <w:top w:val="none" w:sz="0" w:space="0" w:color="auto"/>
        <w:left w:val="none" w:sz="0" w:space="0" w:color="auto"/>
        <w:bottom w:val="none" w:sz="0" w:space="0" w:color="auto"/>
        <w:right w:val="none" w:sz="0" w:space="0" w:color="auto"/>
      </w:divBdr>
    </w:div>
    <w:div w:id="703599475">
      <w:bodyDiv w:val="1"/>
      <w:marLeft w:val="0"/>
      <w:marRight w:val="0"/>
      <w:marTop w:val="0"/>
      <w:marBottom w:val="0"/>
      <w:divBdr>
        <w:top w:val="none" w:sz="0" w:space="0" w:color="auto"/>
        <w:left w:val="none" w:sz="0" w:space="0" w:color="auto"/>
        <w:bottom w:val="none" w:sz="0" w:space="0" w:color="auto"/>
        <w:right w:val="none" w:sz="0" w:space="0" w:color="auto"/>
      </w:divBdr>
    </w:div>
    <w:div w:id="762728134">
      <w:bodyDiv w:val="1"/>
      <w:marLeft w:val="0"/>
      <w:marRight w:val="0"/>
      <w:marTop w:val="0"/>
      <w:marBottom w:val="0"/>
      <w:divBdr>
        <w:top w:val="none" w:sz="0" w:space="0" w:color="auto"/>
        <w:left w:val="none" w:sz="0" w:space="0" w:color="auto"/>
        <w:bottom w:val="none" w:sz="0" w:space="0" w:color="auto"/>
        <w:right w:val="none" w:sz="0" w:space="0" w:color="auto"/>
      </w:divBdr>
      <w:divsChild>
        <w:div w:id="108554919">
          <w:marLeft w:val="0"/>
          <w:marRight w:val="0"/>
          <w:marTop w:val="0"/>
          <w:marBottom w:val="0"/>
          <w:divBdr>
            <w:top w:val="none" w:sz="0" w:space="0" w:color="auto"/>
            <w:left w:val="none" w:sz="0" w:space="0" w:color="auto"/>
            <w:bottom w:val="none" w:sz="0" w:space="0" w:color="auto"/>
            <w:right w:val="none" w:sz="0" w:space="0" w:color="auto"/>
          </w:divBdr>
        </w:div>
        <w:div w:id="192694922">
          <w:marLeft w:val="0"/>
          <w:marRight w:val="0"/>
          <w:marTop w:val="0"/>
          <w:marBottom w:val="0"/>
          <w:divBdr>
            <w:top w:val="none" w:sz="0" w:space="0" w:color="auto"/>
            <w:left w:val="none" w:sz="0" w:space="0" w:color="auto"/>
            <w:bottom w:val="none" w:sz="0" w:space="0" w:color="auto"/>
            <w:right w:val="none" w:sz="0" w:space="0" w:color="auto"/>
          </w:divBdr>
          <w:divsChild>
            <w:div w:id="1220753005">
              <w:marLeft w:val="0"/>
              <w:marRight w:val="0"/>
              <w:marTop w:val="30"/>
              <w:marBottom w:val="30"/>
              <w:divBdr>
                <w:top w:val="none" w:sz="0" w:space="0" w:color="auto"/>
                <w:left w:val="none" w:sz="0" w:space="0" w:color="auto"/>
                <w:bottom w:val="none" w:sz="0" w:space="0" w:color="auto"/>
                <w:right w:val="none" w:sz="0" w:space="0" w:color="auto"/>
              </w:divBdr>
              <w:divsChild>
                <w:div w:id="172309494">
                  <w:marLeft w:val="0"/>
                  <w:marRight w:val="0"/>
                  <w:marTop w:val="0"/>
                  <w:marBottom w:val="0"/>
                  <w:divBdr>
                    <w:top w:val="none" w:sz="0" w:space="0" w:color="auto"/>
                    <w:left w:val="none" w:sz="0" w:space="0" w:color="auto"/>
                    <w:bottom w:val="none" w:sz="0" w:space="0" w:color="auto"/>
                    <w:right w:val="none" w:sz="0" w:space="0" w:color="auto"/>
                  </w:divBdr>
                  <w:divsChild>
                    <w:div w:id="2002343465">
                      <w:marLeft w:val="0"/>
                      <w:marRight w:val="0"/>
                      <w:marTop w:val="0"/>
                      <w:marBottom w:val="0"/>
                      <w:divBdr>
                        <w:top w:val="none" w:sz="0" w:space="0" w:color="auto"/>
                        <w:left w:val="none" w:sz="0" w:space="0" w:color="auto"/>
                        <w:bottom w:val="none" w:sz="0" w:space="0" w:color="auto"/>
                        <w:right w:val="none" w:sz="0" w:space="0" w:color="auto"/>
                      </w:divBdr>
                    </w:div>
                  </w:divsChild>
                </w:div>
                <w:div w:id="312415990">
                  <w:marLeft w:val="0"/>
                  <w:marRight w:val="0"/>
                  <w:marTop w:val="0"/>
                  <w:marBottom w:val="0"/>
                  <w:divBdr>
                    <w:top w:val="none" w:sz="0" w:space="0" w:color="auto"/>
                    <w:left w:val="none" w:sz="0" w:space="0" w:color="auto"/>
                    <w:bottom w:val="none" w:sz="0" w:space="0" w:color="auto"/>
                    <w:right w:val="none" w:sz="0" w:space="0" w:color="auto"/>
                  </w:divBdr>
                  <w:divsChild>
                    <w:div w:id="1334799925">
                      <w:marLeft w:val="0"/>
                      <w:marRight w:val="0"/>
                      <w:marTop w:val="0"/>
                      <w:marBottom w:val="0"/>
                      <w:divBdr>
                        <w:top w:val="none" w:sz="0" w:space="0" w:color="auto"/>
                        <w:left w:val="none" w:sz="0" w:space="0" w:color="auto"/>
                        <w:bottom w:val="none" w:sz="0" w:space="0" w:color="auto"/>
                        <w:right w:val="none" w:sz="0" w:space="0" w:color="auto"/>
                      </w:divBdr>
                    </w:div>
                  </w:divsChild>
                </w:div>
                <w:div w:id="602109216">
                  <w:marLeft w:val="0"/>
                  <w:marRight w:val="0"/>
                  <w:marTop w:val="0"/>
                  <w:marBottom w:val="0"/>
                  <w:divBdr>
                    <w:top w:val="none" w:sz="0" w:space="0" w:color="auto"/>
                    <w:left w:val="none" w:sz="0" w:space="0" w:color="auto"/>
                    <w:bottom w:val="none" w:sz="0" w:space="0" w:color="auto"/>
                    <w:right w:val="none" w:sz="0" w:space="0" w:color="auto"/>
                  </w:divBdr>
                  <w:divsChild>
                    <w:div w:id="688794778">
                      <w:marLeft w:val="0"/>
                      <w:marRight w:val="0"/>
                      <w:marTop w:val="0"/>
                      <w:marBottom w:val="0"/>
                      <w:divBdr>
                        <w:top w:val="none" w:sz="0" w:space="0" w:color="auto"/>
                        <w:left w:val="none" w:sz="0" w:space="0" w:color="auto"/>
                        <w:bottom w:val="none" w:sz="0" w:space="0" w:color="auto"/>
                        <w:right w:val="none" w:sz="0" w:space="0" w:color="auto"/>
                      </w:divBdr>
                    </w:div>
                  </w:divsChild>
                </w:div>
                <w:div w:id="660043254">
                  <w:marLeft w:val="0"/>
                  <w:marRight w:val="0"/>
                  <w:marTop w:val="0"/>
                  <w:marBottom w:val="0"/>
                  <w:divBdr>
                    <w:top w:val="none" w:sz="0" w:space="0" w:color="auto"/>
                    <w:left w:val="none" w:sz="0" w:space="0" w:color="auto"/>
                    <w:bottom w:val="none" w:sz="0" w:space="0" w:color="auto"/>
                    <w:right w:val="none" w:sz="0" w:space="0" w:color="auto"/>
                  </w:divBdr>
                  <w:divsChild>
                    <w:div w:id="2049185584">
                      <w:marLeft w:val="0"/>
                      <w:marRight w:val="0"/>
                      <w:marTop w:val="0"/>
                      <w:marBottom w:val="0"/>
                      <w:divBdr>
                        <w:top w:val="none" w:sz="0" w:space="0" w:color="auto"/>
                        <w:left w:val="none" w:sz="0" w:space="0" w:color="auto"/>
                        <w:bottom w:val="none" w:sz="0" w:space="0" w:color="auto"/>
                        <w:right w:val="none" w:sz="0" w:space="0" w:color="auto"/>
                      </w:divBdr>
                    </w:div>
                  </w:divsChild>
                </w:div>
                <w:div w:id="1313367959">
                  <w:marLeft w:val="0"/>
                  <w:marRight w:val="0"/>
                  <w:marTop w:val="0"/>
                  <w:marBottom w:val="0"/>
                  <w:divBdr>
                    <w:top w:val="none" w:sz="0" w:space="0" w:color="auto"/>
                    <w:left w:val="none" w:sz="0" w:space="0" w:color="auto"/>
                    <w:bottom w:val="none" w:sz="0" w:space="0" w:color="auto"/>
                    <w:right w:val="none" w:sz="0" w:space="0" w:color="auto"/>
                  </w:divBdr>
                  <w:divsChild>
                    <w:div w:id="1799714976">
                      <w:marLeft w:val="0"/>
                      <w:marRight w:val="0"/>
                      <w:marTop w:val="0"/>
                      <w:marBottom w:val="0"/>
                      <w:divBdr>
                        <w:top w:val="none" w:sz="0" w:space="0" w:color="auto"/>
                        <w:left w:val="none" w:sz="0" w:space="0" w:color="auto"/>
                        <w:bottom w:val="none" w:sz="0" w:space="0" w:color="auto"/>
                        <w:right w:val="none" w:sz="0" w:space="0" w:color="auto"/>
                      </w:divBdr>
                    </w:div>
                  </w:divsChild>
                </w:div>
                <w:div w:id="1606617477">
                  <w:marLeft w:val="0"/>
                  <w:marRight w:val="0"/>
                  <w:marTop w:val="0"/>
                  <w:marBottom w:val="0"/>
                  <w:divBdr>
                    <w:top w:val="none" w:sz="0" w:space="0" w:color="auto"/>
                    <w:left w:val="none" w:sz="0" w:space="0" w:color="auto"/>
                    <w:bottom w:val="none" w:sz="0" w:space="0" w:color="auto"/>
                    <w:right w:val="none" w:sz="0" w:space="0" w:color="auto"/>
                  </w:divBdr>
                  <w:divsChild>
                    <w:div w:id="35858020">
                      <w:marLeft w:val="0"/>
                      <w:marRight w:val="0"/>
                      <w:marTop w:val="0"/>
                      <w:marBottom w:val="0"/>
                      <w:divBdr>
                        <w:top w:val="none" w:sz="0" w:space="0" w:color="auto"/>
                        <w:left w:val="none" w:sz="0" w:space="0" w:color="auto"/>
                        <w:bottom w:val="none" w:sz="0" w:space="0" w:color="auto"/>
                        <w:right w:val="none" w:sz="0" w:space="0" w:color="auto"/>
                      </w:divBdr>
                    </w:div>
                  </w:divsChild>
                </w:div>
                <w:div w:id="1779451388">
                  <w:marLeft w:val="0"/>
                  <w:marRight w:val="0"/>
                  <w:marTop w:val="0"/>
                  <w:marBottom w:val="0"/>
                  <w:divBdr>
                    <w:top w:val="none" w:sz="0" w:space="0" w:color="auto"/>
                    <w:left w:val="none" w:sz="0" w:space="0" w:color="auto"/>
                    <w:bottom w:val="none" w:sz="0" w:space="0" w:color="auto"/>
                    <w:right w:val="none" w:sz="0" w:space="0" w:color="auto"/>
                  </w:divBdr>
                  <w:divsChild>
                    <w:div w:id="193131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491251">
          <w:marLeft w:val="0"/>
          <w:marRight w:val="0"/>
          <w:marTop w:val="0"/>
          <w:marBottom w:val="0"/>
          <w:divBdr>
            <w:top w:val="none" w:sz="0" w:space="0" w:color="auto"/>
            <w:left w:val="none" w:sz="0" w:space="0" w:color="auto"/>
            <w:bottom w:val="none" w:sz="0" w:space="0" w:color="auto"/>
            <w:right w:val="none" w:sz="0" w:space="0" w:color="auto"/>
          </w:divBdr>
        </w:div>
        <w:div w:id="528227845">
          <w:marLeft w:val="0"/>
          <w:marRight w:val="0"/>
          <w:marTop w:val="0"/>
          <w:marBottom w:val="0"/>
          <w:divBdr>
            <w:top w:val="none" w:sz="0" w:space="0" w:color="auto"/>
            <w:left w:val="none" w:sz="0" w:space="0" w:color="auto"/>
            <w:bottom w:val="none" w:sz="0" w:space="0" w:color="auto"/>
            <w:right w:val="none" w:sz="0" w:space="0" w:color="auto"/>
          </w:divBdr>
        </w:div>
        <w:div w:id="789476431">
          <w:marLeft w:val="0"/>
          <w:marRight w:val="0"/>
          <w:marTop w:val="0"/>
          <w:marBottom w:val="0"/>
          <w:divBdr>
            <w:top w:val="none" w:sz="0" w:space="0" w:color="auto"/>
            <w:left w:val="none" w:sz="0" w:space="0" w:color="auto"/>
            <w:bottom w:val="none" w:sz="0" w:space="0" w:color="auto"/>
            <w:right w:val="none" w:sz="0" w:space="0" w:color="auto"/>
          </w:divBdr>
        </w:div>
        <w:div w:id="843783156">
          <w:marLeft w:val="0"/>
          <w:marRight w:val="0"/>
          <w:marTop w:val="0"/>
          <w:marBottom w:val="0"/>
          <w:divBdr>
            <w:top w:val="none" w:sz="0" w:space="0" w:color="auto"/>
            <w:left w:val="none" w:sz="0" w:space="0" w:color="auto"/>
            <w:bottom w:val="none" w:sz="0" w:space="0" w:color="auto"/>
            <w:right w:val="none" w:sz="0" w:space="0" w:color="auto"/>
          </w:divBdr>
        </w:div>
        <w:div w:id="1373339379">
          <w:marLeft w:val="0"/>
          <w:marRight w:val="0"/>
          <w:marTop w:val="0"/>
          <w:marBottom w:val="0"/>
          <w:divBdr>
            <w:top w:val="none" w:sz="0" w:space="0" w:color="auto"/>
            <w:left w:val="none" w:sz="0" w:space="0" w:color="auto"/>
            <w:bottom w:val="none" w:sz="0" w:space="0" w:color="auto"/>
            <w:right w:val="none" w:sz="0" w:space="0" w:color="auto"/>
          </w:divBdr>
        </w:div>
        <w:div w:id="1538658418">
          <w:marLeft w:val="0"/>
          <w:marRight w:val="0"/>
          <w:marTop w:val="0"/>
          <w:marBottom w:val="0"/>
          <w:divBdr>
            <w:top w:val="none" w:sz="0" w:space="0" w:color="auto"/>
            <w:left w:val="none" w:sz="0" w:space="0" w:color="auto"/>
            <w:bottom w:val="none" w:sz="0" w:space="0" w:color="auto"/>
            <w:right w:val="none" w:sz="0" w:space="0" w:color="auto"/>
          </w:divBdr>
        </w:div>
        <w:div w:id="1680159898">
          <w:marLeft w:val="0"/>
          <w:marRight w:val="0"/>
          <w:marTop w:val="0"/>
          <w:marBottom w:val="0"/>
          <w:divBdr>
            <w:top w:val="none" w:sz="0" w:space="0" w:color="auto"/>
            <w:left w:val="none" w:sz="0" w:space="0" w:color="auto"/>
            <w:bottom w:val="none" w:sz="0" w:space="0" w:color="auto"/>
            <w:right w:val="none" w:sz="0" w:space="0" w:color="auto"/>
          </w:divBdr>
        </w:div>
        <w:div w:id="1725982661">
          <w:marLeft w:val="0"/>
          <w:marRight w:val="0"/>
          <w:marTop w:val="0"/>
          <w:marBottom w:val="0"/>
          <w:divBdr>
            <w:top w:val="none" w:sz="0" w:space="0" w:color="auto"/>
            <w:left w:val="none" w:sz="0" w:space="0" w:color="auto"/>
            <w:bottom w:val="none" w:sz="0" w:space="0" w:color="auto"/>
            <w:right w:val="none" w:sz="0" w:space="0" w:color="auto"/>
          </w:divBdr>
        </w:div>
        <w:div w:id="1793740802">
          <w:marLeft w:val="0"/>
          <w:marRight w:val="0"/>
          <w:marTop w:val="0"/>
          <w:marBottom w:val="0"/>
          <w:divBdr>
            <w:top w:val="none" w:sz="0" w:space="0" w:color="auto"/>
            <w:left w:val="none" w:sz="0" w:space="0" w:color="auto"/>
            <w:bottom w:val="none" w:sz="0" w:space="0" w:color="auto"/>
            <w:right w:val="none" w:sz="0" w:space="0" w:color="auto"/>
          </w:divBdr>
        </w:div>
        <w:div w:id="1800344260">
          <w:marLeft w:val="0"/>
          <w:marRight w:val="0"/>
          <w:marTop w:val="0"/>
          <w:marBottom w:val="0"/>
          <w:divBdr>
            <w:top w:val="none" w:sz="0" w:space="0" w:color="auto"/>
            <w:left w:val="none" w:sz="0" w:space="0" w:color="auto"/>
            <w:bottom w:val="none" w:sz="0" w:space="0" w:color="auto"/>
            <w:right w:val="none" w:sz="0" w:space="0" w:color="auto"/>
          </w:divBdr>
        </w:div>
        <w:div w:id="1870097114">
          <w:marLeft w:val="0"/>
          <w:marRight w:val="0"/>
          <w:marTop w:val="0"/>
          <w:marBottom w:val="0"/>
          <w:divBdr>
            <w:top w:val="none" w:sz="0" w:space="0" w:color="auto"/>
            <w:left w:val="none" w:sz="0" w:space="0" w:color="auto"/>
            <w:bottom w:val="none" w:sz="0" w:space="0" w:color="auto"/>
            <w:right w:val="none" w:sz="0" w:space="0" w:color="auto"/>
          </w:divBdr>
        </w:div>
        <w:div w:id="1897430805">
          <w:marLeft w:val="0"/>
          <w:marRight w:val="0"/>
          <w:marTop w:val="0"/>
          <w:marBottom w:val="0"/>
          <w:divBdr>
            <w:top w:val="none" w:sz="0" w:space="0" w:color="auto"/>
            <w:left w:val="none" w:sz="0" w:space="0" w:color="auto"/>
            <w:bottom w:val="none" w:sz="0" w:space="0" w:color="auto"/>
            <w:right w:val="none" w:sz="0" w:space="0" w:color="auto"/>
          </w:divBdr>
        </w:div>
        <w:div w:id="1979842960">
          <w:marLeft w:val="0"/>
          <w:marRight w:val="0"/>
          <w:marTop w:val="0"/>
          <w:marBottom w:val="0"/>
          <w:divBdr>
            <w:top w:val="none" w:sz="0" w:space="0" w:color="auto"/>
            <w:left w:val="none" w:sz="0" w:space="0" w:color="auto"/>
            <w:bottom w:val="none" w:sz="0" w:space="0" w:color="auto"/>
            <w:right w:val="none" w:sz="0" w:space="0" w:color="auto"/>
          </w:divBdr>
        </w:div>
        <w:div w:id="2131821768">
          <w:marLeft w:val="0"/>
          <w:marRight w:val="0"/>
          <w:marTop w:val="0"/>
          <w:marBottom w:val="0"/>
          <w:divBdr>
            <w:top w:val="none" w:sz="0" w:space="0" w:color="auto"/>
            <w:left w:val="none" w:sz="0" w:space="0" w:color="auto"/>
            <w:bottom w:val="none" w:sz="0" w:space="0" w:color="auto"/>
            <w:right w:val="none" w:sz="0" w:space="0" w:color="auto"/>
          </w:divBdr>
        </w:div>
      </w:divsChild>
    </w:div>
    <w:div w:id="766656595">
      <w:bodyDiv w:val="1"/>
      <w:marLeft w:val="0"/>
      <w:marRight w:val="0"/>
      <w:marTop w:val="0"/>
      <w:marBottom w:val="0"/>
      <w:divBdr>
        <w:top w:val="none" w:sz="0" w:space="0" w:color="auto"/>
        <w:left w:val="none" w:sz="0" w:space="0" w:color="auto"/>
        <w:bottom w:val="none" w:sz="0" w:space="0" w:color="auto"/>
        <w:right w:val="none" w:sz="0" w:space="0" w:color="auto"/>
      </w:divBdr>
    </w:div>
    <w:div w:id="792017069">
      <w:bodyDiv w:val="1"/>
      <w:marLeft w:val="0"/>
      <w:marRight w:val="0"/>
      <w:marTop w:val="0"/>
      <w:marBottom w:val="0"/>
      <w:divBdr>
        <w:top w:val="none" w:sz="0" w:space="0" w:color="auto"/>
        <w:left w:val="none" w:sz="0" w:space="0" w:color="auto"/>
        <w:bottom w:val="none" w:sz="0" w:space="0" w:color="auto"/>
        <w:right w:val="none" w:sz="0" w:space="0" w:color="auto"/>
      </w:divBdr>
      <w:divsChild>
        <w:div w:id="291788474">
          <w:marLeft w:val="0"/>
          <w:marRight w:val="0"/>
          <w:marTop w:val="0"/>
          <w:marBottom w:val="0"/>
          <w:divBdr>
            <w:top w:val="none" w:sz="0" w:space="0" w:color="auto"/>
            <w:left w:val="none" w:sz="0" w:space="0" w:color="auto"/>
            <w:bottom w:val="none" w:sz="0" w:space="0" w:color="auto"/>
            <w:right w:val="none" w:sz="0" w:space="0" w:color="auto"/>
          </w:divBdr>
          <w:divsChild>
            <w:div w:id="1754008220">
              <w:marLeft w:val="0"/>
              <w:marRight w:val="0"/>
              <w:marTop w:val="0"/>
              <w:marBottom w:val="0"/>
              <w:divBdr>
                <w:top w:val="none" w:sz="0" w:space="0" w:color="auto"/>
                <w:left w:val="none" w:sz="0" w:space="0" w:color="auto"/>
                <w:bottom w:val="none" w:sz="0" w:space="0" w:color="auto"/>
                <w:right w:val="none" w:sz="0" w:space="0" w:color="auto"/>
              </w:divBdr>
              <w:divsChild>
                <w:div w:id="1946032226">
                  <w:marLeft w:val="0"/>
                  <w:marRight w:val="0"/>
                  <w:marTop w:val="0"/>
                  <w:marBottom w:val="0"/>
                  <w:divBdr>
                    <w:top w:val="none" w:sz="0" w:space="0" w:color="auto"/>
                    <w:left w:val="none" w:sz="0" w:space="0" w:color="auto"/>
                    <w:bottom w:val="none" w:sz="0" w:space="0" w:color="auto"/>
                    <w:right w:val="none" w:sz="0" w:space="0" w:color="auto"/>
                  </w:divBdr>
                  <w:divsChild>
                    <w:div w:id="37003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842275">
      <w:bodyDiv w:val="1"/>
      <w:marLeft w:val="0"/>
      <w:marRight w:val="0"/>
      <w:marTop w:val="0"/>
      <w:marBottom w:val="0"/>
      <w:divBdr>
        <w:top w:val="none" w:sz="0" w:space="0" w:color="auto"/>
        <w:left w:val="none" w:sz="0" w:space="0" w:color="auto"/>
        <w:bottom w:val="none" w:sz="0" w:space="0" w:color="auto"/>
        <w:right w:val="none" w:sz="0" w:space="0" w:color="auto"/>
      </w:divBdr>
    </w:div>
    <w:div w:id="800000443">
      <w:bodyDiv w:val="1"/>
      <w:marLeft w:val="0"/>
      <w:marRight w:val="0"/>
      <w:marTop w:val="0"/>
      <w:marBottom w:val="0"/>
      <w:divBdr>
        <w:top w:val="none" w:sz="0" w:space="0" w:color="auto"/>
        <w:left w:val="none" w:sz="0" w:space="0" w:color="auto"/>
        <w:bottom w:val="none" w:sz="0" w:space="0" w:color="auto"/>
        <w:right w:val="none" w:sz="0" w:space="0" w:color="auto"/>
      </w:divBdr>
    </w:div>
    <w:div w:id="816341470">
      <w:bodyDiv w:val="1"/>
      <w:marLeft w:val="0"/>
      <w:marRight w:val="0"/>
      <w:marTop w:val="0"/>
      <w:marBottom w:val="0"/>
      <w:divBdr>
        <w:top w:val="none" w:sz="0" w:space="0" w:color="auto"/>
        <w:left w:val="none" w:sz="0" w:space="0" w:color="auto"/>
        <w:bottom w:val="none" w:sz="0" w:space="0" w:color="auto"/>
        <w:right w:val="none" w:sz="0" w:space="0" w:color="auto"/>
      </w:divBdr>
    </w:div>
    <w:div w:id="831869845">
      <w:bodyDiv w:val="1"/>
      <w:marLeft w:val="0"/>
      <w:marRight w:val="0"/>
      <w:marTop w:val="0"/>
      <w:marBottom w:val="0"/>
      <w:divBdr>
        <w:top w:val="none" w:sz="0" w:space="0" w:color="auto"/>
        <w:left w:val="none" w:sz="0" w:space="0" w:color="auto"/>
        <w:bottom w:val="none" w:sz="0" w:space="0" w:color="auto"/>
        <w:right w:val="none" w:sz="0" w:space="0" w:color="auto"/>
      </w:divBdr>
    </w:div>
    <w:div w:id="848176609">
      <w:bodyDiv w:val="1"/>
      <w:marLeft w:val="0"/>
      <w:marRight w:val="0"/>
      <w:marTop w:val="0"/>
      <w:marBottom w:val="0"/>
      <w:divBdr>
        <w:top w:val="none" w:sz="0" w:space="0" w:color="auto"/>
        <w:left w:val="none" w:sz="0" w:space="0" w:color="auto"/>
        <w:bottom w:val="none" w:sz="0" w:space="0" w:color="auto"/>
        <w:right w:val="none" w:sz="0" w:space="0" w:color="auto"/>
      </w:divBdr>
    </w:div>
    <w:div w:id="957837112">
      <w:bodyDiv w:val="1"/>
      <w:marLeft w:val="0"/>
      <w:marRight w:val="0"/>
      <w:marTop w:val="0"/>
      <w:marBottom w:val="0"/>
      <w:divBdr>
        <w:top w:val="none" w:sz="0" w:space="0" w:color="auto"/>
        <w:left w:val="none" w:sz="0" w:space="0" w:color="auto"/>
        <w:bottom w:val="none" w:sz="0" w:space="0" w:color="auto"/>
        <w:right w:val="none" w:sz="0" w:space="0" w:color="auto"/>
      </w:divBdr>
      <w:divsChild>
        <w:div w:id="873882712">
          <w:marLeft w:val="0"/>
          <w:marRight w:val="0"/>
          <w:marTop w:val="0"/>
          <w:marBottom w:val="0"/>
          <w:divBdr>
            <w:top w:val="none" w:sz="0" w:space="0" w:color="auto"/>
            <w:left w:val="none" w:sz="0" w:space="0" w:color="auto"/>
            <w:bottom w:val="none" w:sz="0" w:space="0" w:color="auto"/>
            <w:right w:val="none" w:sz="0" w:space="0" w:color="auto"/>
          </w:divBdr>
        </w:div>
        <w:div w:id="875124127">
          <w:marLeft w:val="0"/>
          <w:marRight w:val="0"/>
          <w:marTop w:val="0"/>
          <w:marBottom w:val="0"/>
          <w:divBdr>
            <w:top w:val="none" w:sz="0" w:space="0" w:color="auto"/>
            <w:left w:val="none" w:sz="0" w:space="0" w:color="auto"/>
            <w:bottom w:val="none" w:sz="0" w:space="0" w:color="auto"/>
            <w:right w:val="none" w:sz="0" w:space="0" w:color="auto"/>
          </w:divBdr>
        </w:div>
        <w:div w:id="1472020909">
          <w:marLeft w:val="0"/>
          <w:marRight w:val="0"/>
          <w:marTop w:val="0"/>
          <w:marBottom w:val="0"/>
          <w:divBdr>
            <w:top w:val="none" w:sz="0" w:space="0" w:color="auto"/>
            <w:left w:val="none" w:sz="0" w:space="0" w:color="auto"/>
            <w:bottom w:val="none" w:sz="0" w:space="0" w:color="auto"/>
            <w:right w:val="none" w:sz="0" w:space="0" w:color="auto"/>
          </w:divBdr>
        </w:div>
        <w:div w:id="1535653318">
          <w:marLeft w:val="0"/>
          <w:marRight w:val="0"/>
          <w:marTop w:val="0"/>
          <w:marBottom w:val="0"/>
          <w:divBdr>
            <w:top w:val="none" w:sz="0" w:space="0" w:color="auto"/>
            <w:left w:val="none" w:sz="0" w:space="0" w:color="auto"/>
            <w:bottom w:val="none" w:sz="0" w:space="0" w:color="auto"/>
            <w:right w:val="none" w:sz="0" w:space="0" w:color="auto"/>
          </w:divBdr>
        </w:div>
      </w:divsChild>
    </w:div>
    <w:div w:id="983511434">
      <w:bodyDiv w:val="1"/>
      <w:marLeft w:val="0"/>
      <w:marRight w:val="0"/>
      <w:marTop w:val="0"/>
      <w:marBottom w:val="0"/>
      <w:divBdr>
        <w:top w:val="none" w:sz="0" w:space="0" w:color="auto"/>
        <w:left w:val="none" w:sz="0" w:space="0" w:color="auto"/>
        <w:bottom w:val="none" w:sz="0" w:space="0" w:color="auto"/>
        <w:right w:val="none" w:sz="0" w:space="0" w:color="auto"/>
      </w:divBdr>
    </w:div>
    <w:div w:id="1012103382">
      <w:bodyDiv w:val="1"/>
      <w:marLeft w:val="0"/>
      <w:marRight w:val="0"/>
      <w:marTop w:val="0"/>
      <w:marBottom w:val="0"/>
      <w:divBdr>
        <w:top w:val="none" w:sz="0" w:space="0" w:color="auto"/>
        <w:left w:val="none" w:sz="0" w:space="0" w:color="auto"/>
        <w:bottom w:val="none" w:sz="0" w:space="0" w:color="auto"/>
        <w:right w:val="none" w:sz="0" w:space="0" w:color="auto"/>
      </w:divBdr>
      <w:divsChild>
        <w:div w:id="684208119">
          <w:marLeft w:val="0"/>
          <w:marRight w:val="0"/>
          <w:marTop w:val="0"/>
          <w:marBottom w:val="0"/>
          <w:divBdr>
            <w:top w:val="none" w:sz="0" w:space="0" w:color="auto"/>
            <w:left w:val="none" w:sz="0" w:space="0" w:color="auto"/>
            <w:bottom w:val="none" w:sz="0" w:space="0" w:color="auto"/>
            <w:right w:val="none" w:sz="0" w:space="0" w:color="auto"/>
          </w:divBdr>
        </w:div>
        <w:div w:id="706873222">
          <w:marLeft w:val="0"/>
          <w:marRight w:val="0"/>
          <w:marTop w:val="0"/>
          <w:marBottom w:val="0"/>
          <w:divBdr>
            <w:top w:val="none" w:sz="0" w:space="0" w:color="auto"/>
            <w:left w:val="none" w:sz="0" w:space="0" w:color="auto"/>
            <w:bottom w:val="none" w:sz="0" w:space="0" w:color="auto"/>
            <w:right w:val="none" w:sz="0" w:space="0" w:color="auto"/>
          </w:divBdr>
        </w:div>
      </w:divsChild>
    </w:div>
    <w:div w:id="1036348327">
      <w:bodyDiv w:val="1"/>
      <w:marLeft w:val="0"/>
      <w:marRight w:val="0"/>
      <w:marTop w:val="0"/>
      <w:marBottom w:val="0"/>
      <w:divBdr>
        <w:top w:val="none" w:sz="0" w:space="0" w:color="auto"/>
        <w:left w:val="none" w:sz="0" w:space="0" w:color="auto"/>
        <w:bottom w:val="none" w:sz="0" w:space="0" w:color="auto"/>
        <w:right w:val="none" w:sz="0" w:space="0" w:color="auto"/>
      </w:divBdr>
      <w:divsChild>
        <w:div w:id="23136671">
          <w:marLeft w:val="0"/>
          <w:marRight w:val="0"/>
          <w:marTop w:val="0"/>
          <w:marBottom w:val="0"/>
          <w:divBdr>
            <w:top w:val="none" w:sz="0" w:space="0" w:color="auto"/>
            <w:left w:val="none" w:sz="0" w:space="0" w:color="auto"/>
            <w:bottom w:val="none" w:sz="0" w:space="0" w:color="auto"/>
            <w:right w:val="none" w:sz="0" w:space="0" w:color="auto"/>
          </w:divBdr>
          <w:divsChild>
            <w:div w:id="463473725">
              <w:marLeft w:val="0"/>
              <w:marRight w:val="0"/>
              <w:marTop w:val="0"/>
              <w:marBottom w:val="0"/>
              <w:divBdr>
                <w:top w:val="none" w:sz="0" w:space="0" w:color="auto"/>
                <w:left w:val="none" w:sz="0" w:space="0" w:color="auto"/>
                <w:bottom w:val="none" w:sz="0" w:space="0" w:color="auto"/>
                <w:right w:val="none" w:sz="0" w:space="0" w:color="auto"/>
              </w:divBdr>
            </w:div>
          </w:divsChild>
        </w:div>
        <w:div w:id="45304154">
          <w:marLeft w:val="0"/>
          <w:marRight w:val="0"/>
          <w:marTop w:val="0"/>
          <w:marBottom w:val="0"/>
          <w:divBdr>
            <w:top w:val="none" w:sz="0" w:space="0" w:color="auto"/>
            <w:left w:val="none" w:sz="0" w:space="0" w:color="auto"/>
            <w:bottom w:val="none" w:sz="0" w:space="0" w:color="auto"/>
            <w:right w:val="none" w:sz="0" w:space="0" w:color="auto"/>
          </w:divBdr>
          <w:divsChild>
            <w:div w:id="1621451723">
              <w:marLeft w:val="0"/>
              <w:marRight w:val="0"/>
              <w:marTop w:val="0"/>
              <w:marBottom w:val="0"/>
              <w:divBdr>
                <w:top w:val="none" w:sz="0" w:space="0" w:color="auto"/>
                <w:left w:val="none" w:sz="0" w:space="0" w:color="auto"/>
                <w:bottom w:val="none" w:sz="0" w:space="0" w:color="auto"/>
                <w:right w:val="none" w:sz="0" w:space="0" w:color="auto"/>
              </w:divBdr>
            </w:div>
          </w:divsChild>
        </w:div>
        <w:div w:id="90050239">
          <w:marLeft w:val="0"/>
          <w:marRight w:val="0"/>
          <w:marTop w:val="0"/>
          <w:marBottom w:val="0"/>
          <w:divBdr>
            <w:top w:val="none" w:sz="0" w:space="0" w:color="auto"/>
            <w:left w:val="none" w:sz="0" w:space="0" w:color="auto"/>
            <w:bottom w:val="none" w:sz="0" w:space="0" w:color="auto"/>
            <w:right w:val="none" w:sz="0" w:space="0" w:color="auto"/>
          </w:divBdr>
          <w:divsChild>
            <w:div w:id="1756707661">
              <w:marLeft w:val="0"/>
              <w:marRight w:val="0"/>
              <w:marTop w:val="0"/>
              <w:marBottom w:val="0"/>
              <w:divBdr>
                <w:top w:val="none" w:sz="0" w:space="0" w:color="auto"/>
                <w:left w:val="none" w:sz="0" w:space="0" w:color="auto"/>
                <w:bottom w:val="none" w:sz="0" w:space="0" w:color="auto"/>
                <w:right w:val="none" w:sz="0" w:space="0" w:color="auto"/>
              </w:divBdr>
            </w:div>
          </w:divsChild>
        </w:div>
        <w:div w:id="92896197">
          <w:marLeft w:val="0"/>
          <w:marRight w:val="0"/>
          <w:marTop w:val="0"/>
          <w:marBottom w:val="0"/>
          <w:divBdr>
            <w:top w:val="none" w:sz="0" w:space="0" w:color="auto"/>
            <w:left w:val="none" w:sz="0" w:space="0" w:color="auto"/>
            <w:bottom w:val="none" w:sz="0" w:space="0" w:color="auto"/>
            <w:right w:val="none" w:sz="0" w:space="0" w:color="auto"/>
          </w:divBdr>
          <w:divsChild>
            <w:div w:id="1159417124">
              <w:marLeft w:val="0"/>
              <w:marRight w:val="0"/>
              <w:marTop w:val="0"/>
              <w:marBottom w:val="0"/>
              <w:divBdr>
                <w:top w:val="none" w:sz="0" w:space="0" w:color="auto"/>
                <w:left w:val="none" w:sz="0" w:space="0" w:color="auto"/>
                <w:bottom w:val="none" w:sz="0" w:space="0" w:color="auto"/>
                <w:right w:val="none" w:sz="0" w:space="0" w:color="auto"/>
              </w:divBdr>
            </w:div>
          </w:divsChild>
        </w:div>
        <w:div w:id="95832992">
          <w:marLeft w:val="0"/>
          <w:marRight w:val="0"/>
          <w:marTop w:val="0"/>
          <w:marBottom w:val="0"/>
          <w:divBdr>
            <w:top w:val="none" w:sz="0" w:space="0" w:color="auto"/>
            <w:left w:val="none" w:sz="0" w:space="0" w:color="auto"/>
            <w:bottom w:val="none" w:sz="0" w:space="0" w:color="auto"/>
            <w:right w:val="none" w:sz="0" w:space="0" w:color="auto"/>
          </w:divBdr>
          <w:divsChild>
            <w:div w:id="965041666">
              <w:marLeft w:val="0"/>
              <w:marRight w:val="0"/>
              <w:marTop w:val="0"/>
              <w:marBottom w:val="0"/>
              <w:divBdr>
                <w:top w:val="none" w:sz="0" w:space="0" w:color="auto"/>
                <w:left w:val="none" w:sz="0" w:space="0" w:color="auto"/>
                <w:bottom w:val="none" w:sz="0" w:space="0" w:color="auto"/>
                <w:right w:val="none" w:sz="0" w:space="0" w:color="auto"/>
              </w:divBdr>
            </w:div>
          </w:divsChild>
        </w:div>
        <w:div w:id="98455151">
          <w:marLeft w:val="0"/>
          <w:marRight w:val="0"/>
          <w:marTop w:val="0"/>
          <w:marBottom w:val="0"/>
          <w:divBdr>
            <w:top w:val="none" w:sz="0" w:space="0" w:color="auto"/>
            <w:left w:val="none" w:sz="0" w:space="0" w:color="auto"/>
            <w:bottom w:val="none" w:sz="0" w:space="0" w:color="auto"/>
            <w:right w:val="none" w:sz="0" w:space="0" w:color="auto"/>
          </w:divBdr>
          <w:divsChild>
            <w:div w:id="860971752">
              <w:marLeft w:val="0"/>
              <w:marRight w:val="0"/>
              <w:marTop w:val="0"/>
              <w:marBottom w:val="0"/>
              <w:divBdr>
                <w:top w:val="none" w:sz="0" w:space="0" w:color="auto"/>
                <w:left w:val="none" w:sz="0" w:space="0" w:color="auto"/>
                <w:bottom w:val="none" w:sz="0" w:space="0" w:color="auto"/>
                <w:right w:val="none" w:sz="0" w:space="0" w:color="auto"/>
              </w:divBdr>
            </w:div>
          </w:divsChild>
        </w:div>
        <w:div w:id="104468730">
          <w:marLeft w:val="0"/>
          <w:marRight w:val="0"/>
          <w:marTop w:val="0"/>
          <w:marBottom w:val="0"/>
          <w:divBdr>
            <w:top w:val="none" w:sz="0" w:space="0" w:color="auto"/>
            <w:left w:val="none" w:sz="0" w:space="0" w:color="auto"/>
            <w:bottom w:val="none" w:sz="0" w:space="0" w:color="auto"/>
            <w:right w:val="none" w:sz="0" w:space="0" w:color="auto"/>
          </w:divBdr>
          <w:divsChild>
            <w:div w:id="1105417385">
              <w:marLeft w:val="0"/>
              <w:marRight w:val="0"/>
              <w:marTop w:val="0"/>
              <w:marBottom w:val="0"/>
              <w:divBdr>
                <w:top w:val="none" w:sz="0" w:space="0" w:color="auto"/>
                <w:left w:val="none" w:sz="0" w:space="0" w:color="auto"/>
                <w:bottom w:val="none" w:sz="0" w:space="0" w:color="auto"/>
                <w:right w:val="none" w:sz="0" w:space="0" w:color="auto"/>
              </w:divBdr>
            </w:div>
          </w:divsChild>
        </w:div>
        <w:div w:id="149644031">
          <w:marLeft w:val="0"/>
          <w:marRight w:val="0"/>
          <w:marTop w:val="0"/>
          <w:marBottom w:val="0"/>
          <w:divBdr>
            <w:top w:val="none" w:sz="0" w:space="0" w:color="auto"/>
            <w:left w:val="none" w:sz="0" w:space="0" w:color="auto"/>
            <w:bottom w:val="none" w:sz="0" w:space="0" w:color="auto"/>
            <w:right w:val="none" w:sz="0" w:space="0" w:color="auto"/>
          </w:divBdr>
          <w:divsChild>
            <w:div w:id="689180857">
              <w:marLeft w:val="0"/>
              <w:marRight w:val="0"/>
              <w:marTop w:val="0"/>
              <w:marBottom w:val="0"/>
              <w:divBdr>
                <w:top w:val="none" w:sz="0" w:space="0" w:color="auto"/>
                <w:left w:val="none" w:sz="0" w:space="0" w:color="auto"/>
                <w:bottom w:val="none" w:sz="0" w:space="0" w:color="auto"/>
                <w:right w:val="none" w:sz="0" w:space="0" w:color="auto"/>
              </w:divBdr>
            </w:div>
          </w:divsChild>
        </w:div>
        <w:div w:id="174467239">
          <w:marLeft w:val="0"/>
          <w:marRight w:val="0"/>
          <w:marTop w:val="0"/>
          <w:marBottom w:val="0"/>
          <w:divBdr>
            <w:top w:val="none" w:sz="0" w:space="0" w:color="auto"/>
            <w:left w:val="none" w:sz="0" w:space="0" w:color="auto"/>
            <w:bottom w:val="none" w:sz="0" w:space="0" w:color="auto"/>
            <w:right w:val="none" w:sz="0" w:space="0" w:color="auto"/>
          </w:divBdr>
          <w:divsChild>
            <w:div w:id="1331910582">
              <w:marLeft w:val="0"/>
              <w:marRight w:val="0"/>
              <w:marTop w:val="0"/>
              <w:marBottom w:val="0"/>
              <w:divBdr>
                <w:top w:val="none" w:sz="0" w:space="0" w:color="auto"/>
                <w:left w:val="none" w:sz="0" w:space="0" w:color="auto"/>
                <w:bottom w:val="none" w:sz="0" w:space="0" w:color="auto"/>
                <w:right w:val="none" w:sz="0" w:space="0" w:color="auto"/>
              </w:divBdr>
            </w:div>
          </w:divsChild>
        </w:div>
        <w:div w:id="219444172">
          <w:marLeft w:val="0"/>
          <w:marRight w:val="0"/>
          <w:marTop w:val="0"/>
          <w:marBottom w:val="0"/>
          <w:divBdr>
            <w:top w:val="none" w:sz="0" w:space="0" w:color="auto"/>
            <w:left w:val="none" w:sz="0" w:space="0" w:color="auto"/>
            <w:bottom w:val="none" w:sz="0" w:space="0" w:color="auto"/>
            <w:right w:val="none" w:sz="0" w:space="0" w:color="auto"/>
          </w:divBdr>
          <w:divsChild>
            <w:div w:id="1177619100">
              <w:marLeft w:val="0"/>
              <w:marRight w:val="0"/>
              <w:marTop w:val="0"/>
              <w:marBottom w:val="0"/>
              <w:divBdr>
                <w:top w:val="none" w:sz="0" w:space="0" w:color="auto"/>
                <w:left w:val="none" w:sz="0" w:space="0" w:color="auto"/>
                <w:bottom w:val="none" w:sz="0" w:space="0" w:color="auto"/>
                <w:right w:val="none" w:sz="0" w:space="0" w:color="auto"/>
              </w:divBdr>
            </w:div>
          </w:divsChild>
        </w:div>
        <w:div w:id="247739492">
          <w:marLeft w:val="0"/>
          <w:marRight w:val="0"/>
          <w:marTop w:val="0"/>
          <w:marBottom w:val="0"/>
          <w:divBdr>
            <w:top w:val="none" w:sz="0" w:space="0" w:color="auto"/>
            <w:left w:val="none" w:sz="0" w:space="0" w:color="auto"/>
            <w:bottom w:val="none" w:sz="0" w:space="0" w:color="auto"/>
            <w:right w:val="none" w:sz="0" w:space="0" w:color="auto"/>
          </w:divBdr>
          <w:divsChild>
            <w:div w:id="277224560">
              <w:marLeft w:val="0"/>
              <w:marRight w:val="0"/>
              <w:marTop w:val="0"/>
              <w:marBottom w:val="0"/>
              <w:divBdr>
                <w:top w:val="none" w:sz="0" w:space="0" w:color="auto"/>
                <w:left w:val="none" w:sz="0" w:space="0" w:color="auto"/>
                <w:bottom w:val="none" w:sz="0" w:space="0" w:color="auto"/>
                <w:right w:val="none" w:sz="0" w:space="0" w:color="auto"/>
              </w:divBdr>
            </w:div>
          </w:divsChild>
        </w:div>
        <w:div w:id="249320168">
          <w:marLeft w:val="0"/>
          <w:marRight w:val="0"/>
          <w:marTop w:val="0"/>
          <w:marBottom w:val="0"/>
          <w:divBdr>
            <w:top w:val="none" w:sz="0" w:space="0" w:color="auto"/>
            <w:left w:val="none" w:sz="0" w:space="0" w:color="auto"/>
            <w:bottom w:val="none" w:sz="0" w:space="0" w:color="auto"/>
            <w:right w:val="none" w:sz="0" w:space="0" w:color="auto"/>
          </w:divBdr>
          <w:divsChild>
            <w:div w:id="316107957">
              <w:marLeft w:val="0"/>
              <w:marRight w:val="0"/>
              <w:marTop w:val="0"/>
              <w:marBottom w:val="0"/>
              <w:divBdr>
                <w:top w:val="none" w:sz="0" w:space="0" w:color="auto"/>
                <w:left w:val="none" w:sz="0" w:space="0" w:color="auto"/>
                <w:bottom w:val="none" w:sz="0" w:space="0" w:color="auto"/>
                <w:right w:val="none" w:sz="0" w:space="0" w:color="auto"/>
              </w:divBdr>
            </w:div>
          </w:divsChild>
        </w:div>
        <w:div w:id="274411492">
          <w:marLeft w:val="0"/>
          <w:marRight w:val="0"/>
          <w:marTop w:val="0"/>
          <w:marBottom w:val="0"/>
          <w:divBdr>
            <w:top w:val="none" w:sz="0" w:space="0" w:color="auto"/>
            <w:left w:val="none" w:sz="0" w:space="0" w:color="auto"/>
            <w:bottom w:val="none" w:sz="0" w:space="0" w:color="auto"/>
            <w:right w:val="none" w:sz="0" w:space="0" w:color="auto"/>
          </w:divBdr>
          <w:divsChild>
            <w:div w:id="491483598">
              <w:marLeft w:val="0"/>
              <w:marRight w:val="0"/>
              <w:marTop w:val="0"/>
              <w:marBottom w:val="0"/>
              <w:divBdr>
                <w:top w:val="none" w:sz="0" w:space="0" w:color="auto"/>
                <w:left w:val="none" w:sz="0" w:space="0" w:color="auto"/>
                <w:bottom w:val="none" w:sz="0" w:space="0" w:color="auto"/>
                <w:right w:val="none" w:sz="0" w:space="0" w:color="auto"/>
              </w:divBdr>
            </w:div>
          </w:divsChild>
        </w:div>
        <w:div w:id="275334373">
          <w:marLeft w:val="0"/>
          <w:marRight w:val="0"/>
          <w:marTop w:val="0"/>
          <w:marBottom w:val="0"/>
          <w:divBdr>
            <w:top w:val="none" w:sz="0" w:space="0" w:color="auto"/>
            <w:left w:val="none" w:sz="0" w:space="0" w:color="auto"/>
            <w:bottom w:val="none" w:sz="0" w:space="0" w:color="auto"/>
            <w:right w:val="none" w:sz="0" w:space="0" w:color="auto"/>
          </w:divBdr>
          <w:divsChild>
            <w:div w:id="1744638254">
              <w:marLeft w:val="0"/>
              <w:marRight w:val="0"/>
              <w:marTop w:val="0"/>
              <w:marBottom w:val="0"/>
              <w:divBdr>
                <w:top w:val="none" w:sz="0" w:space="0" w:color="auto"/>
                <w:left w:val="none" w:sz="0" w:space="0" w:color="auto"/>
                <w:bottom w:val="none" w:sz="0" w:space="0" w:color="auto"/>
                <w:right w:val="none" w:sz="0" w:space="0" w:color="auto"/>
              </w:divBdr>
            </w:div>
          </w:divsChild>
        </w:div>
        <w:div w:id="285695594">
          <w:marLeft w:val="0"/>
          <w:marRight w:val="0"/>
          <w:marTop w:val="0"/>
          <w:marBottom w:val="0"/>
          <w:divBdr>
            <w:top w:val="none" w:sz="0" w:space="0" w:color="auto"/>
            <w:left w:val="none" w:sz="0" w:space="0" w:color="auto"/>
            <w:bottom w:val="none" w:sz="0" w:space="0" w:color="auto"/>
            <w:right w:val="none" w:sz="0" w:space="0" w:color="auto"/>
          </w:divBdr>
          <w:divsChild>
            <w:div w:id="1807820750">
              <w:marLeft w:val="0"/>
              <w:marRight w:val="0"/>
              <w:marTop w:val="0"/>
              <w:marBottom w:val="0"/>
              <w:divBdr>
                <w:top w:val="none" w:sz="0" w:space="0" w:color="auto"/>
                <w:left w:val="none" w:sz="0" w:space="0" w:color="auto"/>
                <w:bottom w:val="none" w:sz="0" w:space="0" w:color="auto"/>
                <w:right w:val="none" w:sz="0" w:space="0" w:color="auto"/>
              </w:divBdr>
            </w:div>
          </w:divsChild>
        </w:div>
        <w:div w:id="331446905">
          <w:marLeft w:val="0"/>
          <w:marRight w:val="0"/>
          <w:marTop w:val="0"/>
          <w:marBottom w:val="0"/>
          <w:divBdr>
            <w:top w:val="none" w:sz="0" w:space="0" w:color="auto"/>
            <w:left w:val="none" w:sz="0" w:space="0" w:color="auto"/>
            <w:bottom w:val="none" w:sz="0" w:space="0" w:color="auto"/>
            <w:right w:val="none" w:sz="0" w:space="0" w:color="auto"/>
          </w:divBdr>
          <w:divsChild>
            <w:div w:id="170995461">
              <w:marLeft w:val="0"/>
              <w:marRight w:val="0"/>
              <w:marTop w:val="0"/>
              <w:marBottom w:val="0"/>
              <w:divBdr>
                <w:top w:val="none" w:sz="0" w:space="0" w:color="auto"/>
                <w:left w:val="none" w:sz="0" w:space="0" w:color="auto"/>
                <w:bottom w:val="none" w:sz="0" w:space="0" w:color="auto"/>
                <w:right w:val="none" w:sz="0" w:space="0" w:color="auto"/>
              </w:divBdr>
            </w:div>
            <w:div w:id="231814541">
              <w:marLeft w:val="0"/>
              <w:marRight w:val="0"/>
              <w:marTop w:val="0"/>
              <w:marBottom w:val="0"/>
              <w:divBdr>
                <w:top w:val="none" w:sz="0" w:space="0" w:color="auto"/>
                <w:left w:val="none" w:sz="0" w:space="0" w:color="auto"/>
                <w:bottom w:val="none" w:sz="0" w:space="0" w:color="auto"/>
                <w:right w:val="none" w:sz="0" w:space="0" w:color="auto"/>
              </w:divBdr>
            </w:div>
            <w:div w:id="300229351">
              <w:marLeft w:val="0"/>
              <w:marRight w:val="0"/>
              <w:marTop w:val="0"/>
              <w:marBottom w:val="0"/>
              <w:divBdr>
                <w:top w:val="none" w:sz="0" w:space="0" w:color="auto"/>
                <w:left w:val="none" w:sz="0" w:space="0" w:color="auto"/>
                <w:bottom w:val="none" w:sz="0" w:space="0" w:color="auto"/>
                <w:right w:val="none" w:sz="0" w:space="0" w:color="auto"/>
              </w:divBdr>
            </w:div>
            <w:div w:id="308174522">
              <w:marLeft w:val="0"/>
              <w:marRight w:val="0"/>
              <w:marTop w:val="0"/>
              <w:marBottom w:val="0"/>
              <w:divBdr>
                <w:top w:val="none" w:sz="0" w:space="0" w:color="auto"/>
                <w:left w:val="none" w:sz="0" w:space="0" w:color="auto"/>
                <w:bottom w:val="none" w:sz="0" w:space="0" w:color="auto"/>
                <w:right w:val="none" w:sz="0" w:space="0" w:color="auto"/>
              </w:divBdr>
            </w:div>
            <w:div w:id="430928233">
              <w:marLeft w:val="0"/>
              <w:marRight w:val="0"/>
              <w:marTop w:val="0"/>
              <w:marBottom w:val="0"/>
              <w:divBdr>
                <w:top w:val="none" w:sz="0" w:space="0" w:color="auto"/>
                <w:left w:val="none" w:sz="0" w:space="0" w:color="auto"/>
                <w:bottom w:val="none" w:sz="0" w:space="0" w:color="auto"/>
                <w:right w:val="none" w:sz="0" w:space="0" w:color="auto"/>
              </w:divBdr>
            </w:div>
            <w:div w:id="451435188">
              <w:marLeft w:val="0"/>
              <w:marRight w:val="0"/>
              <w:marTop w:val="0"/>
              <w:marBottom w:val="0"/>
              <w:divBdr>
                <w:top w:val="none" w:sz="0" w:space="0" w:color="auto"/>
                <w:left w:val="none" w:sz="0" w:space="0" w:color="auto"/>
                <w:bottom w:val="none" w:sz="0" w:space="0" w:color="auto"/>
                <w:right w:val="none" w:sz="0" w:space="0" w:color="auto"/>
              </w:divBdr>
            </w:div>
            <w:div w:id="472453405">
              <w:marLeft w:val="0"/>
              <w:marRight w:val="0"/>
              <w:marTop w:val="0"/>
              <w:marBottom w:val="0"/>
              <w:divBdr>
                <w:top w:val="none" w:sz="0" w:space="0" w:color="auto"/>
                <w:left w:val="none" w:sz="0" w:space="0" w:color="auto"/>
                <w:bottom w:val="none" w:sz="0" w:space="0" w:color="auto"/>
                <w:right w:val="none" w:sz="0" w:space="0" w:color="auto"/>
              </w:divBdr>
            </w:div>
            <w:div w:id="474447611">
              <w:marLeft w:val="0"/>
              <w:marRight w:val="0"/>
              <w:marTop w:val="0"/>
              <w:marBottom w:val="0"/>
              <w:divBdr>
                <w:top w:val="none" w:sz="0" w:space="0" w:color="auto"/>
                <w:left w:val="none" w:sz="0" w:space="0" w:color="auto"/>
                <w:bottom w:val="none" w:sz="0" w:space="0" w:color="auto"/>
                <w:right w:val="none" w:sz="0" w:space="0" w:color="auto"/>
              </w:divBdr>
            </w:div>
            <w:div w:id="548497560">
              <w:marLeft w:val="0"/>
              <w:marRight w:val="0"/>
              <w:marTop w:val="0"/>
              <w:marBottom w:val="0"/>
              <w:divBdr>
                <w:top w:val="none" w:sz="0" w:space="0" w:color="auto"/>
                <w:left w:val="none" w:sz="0" w:space="0" w:color="auto"/>
                <w:bottom w:val="none" w:sz="0" w:space="0" w:color="auto"/>
                <w:right w:val="none" w:sz="0" w:space="0" w:color="auto"/>
              </w:divBdr>
            </w:div>
            <w:div w:id="802424396">
              <w:marLeft w:val="0"/>
              <w:marRight w:val="0"/>
              <w:marTop w:val="0"/>
              <w:marBottom w:val="0"/>
              <w:divBdr>
                <w:top w:val="none" w:sz="0" w:space="0" w:color="auto"/>
                <w:left w:val="none" w:sz="0" w:space="0" w:color="auto"/>
                <w:bottom w:val="none" w:sz="0" w:space="0" w:color="auto"/>
                <w:right w:val="none" w:sz="0" w:space="0" w:color="auto"/>
              </w:divBdr>
            </w:div>
            <w:div w:id="832918937">
              <w:marLeft w:val="0"/>
              <w:marRight w:val="0"/>
              <w:marTop w:val="0"/>
              <w:marBottom w:val="0"/>
              <w:divBdr>
                <w:top w:val="none" w:sz="0" w:space="0" w:color="auto"/>
                <w:left w:val="none" w:sz="0" w:space="0" w:color="auto"/>
                <w:bottom w:val="none" w:sz="0" w:space="0" w:color="auto"/>
                <w:right w:val="none" w:sz="0" w:space="0" w:color="auto"/>
              </w:divBdr>
            </w:div>
            <w:div w:id="992371299">
              <w:marLeft w:val="0"/>
              <w:marRight w:val="0"/>
              <w:marTop w:val="0"/>
              <w:marBottom w:val="0"/>
              <w:divBdr>
                <w:top w:val="none" w:sz="0" w:space="0" w:color="auto"/>
                <w:left w:val="none" w:sz="0" w:space="0" w:color="auto"/>
                <w:bottom w:val="none" w:sz="0" w:space="0" w:color="auto"/>
                <w:right w:val="none" w:sz="0" w:space="0" w:color="auto"/>
              </w:divBdr>
            </w:div>
            <w:div w:id="1483426943">
              <w:marLeft w:val="0"/>
              <w:marRight w:val="0"/>
              <w:marTop w:val="0"/>
              <w:marBottom w:val="0"/>
              <w:divBdr>
                <w:top w:val="none" w:sz="0" w:space="0" w:color="auto"/>
                <w:left w:val="none" w:sz="0" w:space="0" w:color="auto"/>
                <w:bottom w:val="none" w:sz="0" w:space="0" w:color="auto"/>
                <w:right w:val="none" w:sz="0" w:space="0" w:color="auto"/>
              </w:divBdr>
            </w:div>
            <w:div w:id="1518615790">
              <w:marLeft w:val="0"/>
              <w:marRight w:val="0"/>
              <w:marTop w:val="0"/>
              <w:marBottom w:val="0"/>
              <w:divBdr>
                <w:top w:val="none" w:sz="0" w:space="0" w:color="auto"/>
                <w:left w:val="none" w:sz="0" w:space="0" w:color="auto"/>
                <w:bottom w:val="none" w:sz="0" w:space="0" w:color="auto"/>
                <w:right w:val="none" w:sz="0" w:space="0" w:color="auto"/>
              </w:divBdr>
            </w:div>
            <w:div w:id="1807237385">
              <w:marLeft w:val="0"/>
              <w:marRight w:val="0"/>
              <w:marTop w:val="0"/>
              <w:marBottom w:val="0"/>
              <w:divBdr>
                <w:top w:val="none" w:sz="0" w:space="0" w:color="auto"/>
                <w:left w:val="none" w:sz="0" w:space="0" w:color="auto"/>
                <w:bottom w:val="none" w:sz="0" w:space="0" w:color="auto"/>
                <w:right w:val="none" w:sz="0" w:space="0" w:color="auto"/>
              </w:divBdr>
            </w:div>
            <w:div w:id="1903826439">
              <w:marLeft w:val="0"/>
              <w:marRight w:val="0"/>
              <w:marTop w:val="0"/>
              <w:marBottom w:val="0"/>
              <w:divBdr>
                <w:top w:val="none" w:sz="0" w:space="0" w:color="auto"/>
                <w:left w:val="none" w:sz="0" w:space="0" w:color="auto"/>
                <w:bottom w:val="none" w:sz="0" w:space="0" w:color="auto"/>
                <w:right w:val="none" w:sz="0" w:space="0" w:color="auto"/>
              </w:divBdr>
            </w:div>
            <w:div w:id="1976062162">
              <w:marLeft w:val="0"/>
              <w:marRight w:val="0"/>
              <w:marTop w:val="0"/>
              <w:marBottom w:val="0"/>
              <w:divBdr>
                <w:top w:val="none" w:sz="0" w:space="0" w:color="auto"/>
                <w:left w:val="none" w:sz="0" w:space="0" w:color="auto"/>
                <w:bottom w:val="none" w:sz="0" w:space="0" w:color="auto"/>
                <w:right w:val="none" w:sz="0" w:space="0" w:color="auto"/>
              </w:divBdr>
            </w:div>
          </w:divsChild>
        </w:div>
        <w:div w:id="370809740">
          <w:marLeft w:val="0"/>
          <w:marRight w:val="0"/>
          <w:marTop w:val="0"/>
          <w:marBottom w:val="0"/>
          <w:divBdr>
            <w:top w:val="none" w:sz="0" w:space="0" w:color="auto"/>
            <w:left w:val="none" w:sz="0" w:space="0" w:color="auto"/>
            <w:bottom w:val="none" w:sz="0" w:space="0" w:color="auto"/>
            <w:right w:val="none" w:sz="0" w:space="0" w:color="auto"/>
          </w:divBdr>
          <w:divsChild>
            <w:div w:id="1613049169">
              <w:marLeft w:val="0"/>
              <w:marRight w:val="0"/>
              <w:marTop w:val="0"/>
              <w:marBottom w:val="0"/>
              <w:divBdr>
                <w:top w:val="none" w:sz="0" w:space="0" w:color="auto"/>
                <w:left w:val="none" w:sz="0" w:space="0" w:color="auto"/>
                <w:bottom w:val="none" w:sz="0" w:space="0" w:color="auto"/>
                <w:right w:val="none" w:sz="0" w:space="0" w:color="auto"/>
              </w:divBdr>
            </w:div>
          </w:divsChild>
        </w:div>
        <w:div w:id="375937998">
          <w:marLeft w:val="0"/>
          <w:marRight w:val="0"/>
          <w:marTop w:val="0"/>
          <w:marBottom w:val="0"/>
          <w:divBdr>
            <w:top w:val="none" w:sz="0" w:space="0" w:color="auto"/>
            <w:left w:val="none" w:sz="0" w:space="0" w:color="auto"/>
            <w:bottom w:val="none" w:sz="0" w:space="0" w:color="auto"/>
            <w:right w:val="none" w:sz="0" w:space="0" w:color="auto"/>
          </w:divBdr>
          <w:divsChild>
            <w:div w:id="2137478280">
              <w:marLeft w:val="0"/>
              <w:marRight w:val="0"/>
              <w:marTop w:val="0"/>
              <w:marBottom w:val="0"/>
              <w:divBdr>
                <w:top w:val="none" w:sz="0" w:space="0" w:color="auto"/>
                <w:left w:val="none" w:sz="0" w:space="0" w:color="auto"/>
                <w:bottom w:val="none" w:sz="0" w:space="0" w:color="auto"/>
                <w:right w:val="none" w:sz="0" w:space="0" w:color="auto"/>
              </w:divBdr>
            </w:div>
          </w:divsChild>
        </w:div>
        <w:div w:id="381295597">
          <w:marLeft w:val="0"/>
          <w:marRight w:val="0"/>
          <w:marTop w:val="0"/>
          <w:marBottom w:val="0"/>
          <w:divBdr>
            <w:top w:val="none" w:sz="0" w:space="0" w:color="auto"/>
            <w:left w:val="none" w:sz="0" w:space="0" w:color="auto"/>
            <w:bottom w:val="none" w:sz="0" w:space="0" w:color="auto"/>
            <w:right w:val="none" w:sz="0" w:space="0" w:color="auto"/>
          </w:divBdr>
          <w:divsChild>
            <w:div w:id="1649750480">
              <w:marLeft w:val="0"/>
              <w:marRight w:val="0"/>
              <w:marTop w:val="0"/>
              <w:marBottom w:val="0"/>
              <w:divBdr>
                <w:top w:val="none" w:sz="0" w:space="0" w:color="auto"/>
                <w:left w:val="none" w:sz="0" w:space="0" w:color="auto"/>
                <w:bottom w:val="none" w:sz="0" w:space="0" w:color="auto"/>
                <w:right w:val="none" w:sz="0" w:space="0" w:color="auto"/>
              </w:divBdr>
            </w:div>
          </w:divsChild>
        </w:div>
        <w:div w:id="383989739">
          <w:marLeft w:val="0"/>
          <w:marRight w:val="0"/>
          <w:marTop w:val="0"/>
          <w:marBottom w:val="0"/>
          <w:divBdr>
            <w:top w:val="none" w:sz="0" w:space="0" w:color="auto"/>
            <w:left w:val="none" w:sz="0" w:space="0" w:color="auto"/>
            <w:bottom w:val="none" w:sz="0" w:space="0" w:color="auto"/>
            <w:right w:val="none" w:sz="0" w:space="0" w:color="auto"/>
          </w:divBdr>
          <w:divsChild>
            <w:div w:id="1748650443">
              <w:marLeft w:val="0"/>
              <w:marRight w:val="0"/>
              <w:marTop w:val="0"/>
              <w:marBottom w:val="0"/>
              <w:divBdr>
                <w:top w:val="none" w:sz="0" w:space="0" w:color="auto"/>
                <w:left w:val="none" w:sz="0" w:space="0" w:color="auto"/>
                <w:bottom w:val="none" w:sz="0" w:space="0" w:color="auto"/>
                <w:right w:val="none" w:sz="0" w:space="0" w:color="auto"/>
              </w:divBdr>
            </w:div>
          </w:divsChild>
        </w:div>
        <w:div w:id="389890015">
          <w:marLeft w:val="0"/>
          <w:marRight w:val="0"/>
          <w:marTop w:val="0"/>
          <w:marBottom w:val="0"/>
          <w:divBdr>
            <w:top w:val="none" w:sz="0" w:space="0" w:color="auto"/>
            <w:left w:val="none" w:sz="0" w:space="0" w:color="auto"/>
            <w:bottom w:val="none" w:sz="0" w:space="0" w:color="auto"/>
            <w:right w:val="none" w:sz="0" w:space="0" w:color="auto"/>
          </w:divBdr>
          <w:divsChild>
            <w:div w:id="1422335179">
              <w:marLeft w:val="0"/>
              <w:marRight w:val="0"/>
              <w:marTop w:val="0"/>
              <w:marBottom w:val="0"/>
              <w:divBdr>
                <w:top w:val="none" w:sz="0" w:space="0" w:color="auto"/>
                <w:left w:val="none" w:sz="0" w:space="0" w:color="auto"/>
                <w:bottom w:val="none" w:sz="0" w:space="0" w:color="auto"/>
                <w:right w:val="none" w:sz="0" w:space="0" w:color="auto"/>
              </w:divBdr>
            </w:div>
          </w:divsChild>
        </w:div>
        <w:div w:id="431820699">
          <w:marLeft w:val="0"/>
          <w:marRight w:val="0"/>
          <w:marTop w:val="0"/>
          <w:marBottom w:val="0"/>
          <w:divBdr>
            <w:top w:val="none" w:sz="0" w:space="0" w:color="auto"/>
            <w:left w:val="none" w:sz="0" w:space="0" w:color="auto"/>
            <w:bottom w:val="none" w:sz="0" w:space="0" w:color="auto"/>
            <w:right w:val="none" w:sz="0" w:space="0" w:color="auto"/>
          </w:divBdr>
          <w:divsChild>
            <w:div w:id="361170198">
              <w:marLeft w:val="0"/>
              <w:marRight w:val="0"/>
              <w:marTop w:val="0"/>
              <w:marBottom w:val="0"/>
              <w:divBdr>
                <w:top w:val="none" w:sz="0" w:space="0" w:color="auto"/>
                <w:left w:val="none" w:sz="0" w:space="0" w:color="auto"/>
                <w:bottom w:val="none" w:sz="0" w:space="0" w:color="auto"/>
                <w:right w:val="none" w:sz="0" w:space="0" w:color="auto"/>
              </w:divBdr>
            </w:div>
          </w:divsChild>
        </w:div>
        <w:div w:id="468743734">
          <w:marLeft w:val="0"/>
          <w:marRight w:val="0"/>
          <w:marTop w:val="0"/>
          <w:marBottom w:val="0"/>
          <w:divBdr>
            <w:top w:val="none" w:sz="0" w:space="0" w:color="auto"/>
            <w:left w:val="none" w:sz="0" w:space="0" w:color="auto"/>
            <w:bottom w:val="none" w:sz="0" w:space="0" w:color="auto"/>
            <w:right w:val="none" w:sz="0" w:space="0" w:color="auto"/>
          </w:divBdr>
          <w:divsChild>
            <w:div w:id="1252667679">
              <w:marLeft w:val="0"/>
              <w:marRight w:val="0"/>
              <w:marTop w:val="0"/>
              <w:marBottom w:val="0"/>
              <w:divBdr>
                <w:top w:val="none" w:sz="0" w:space="0" w:color="auto"/>
                <w:left w:val="none" w:sz="0" w:space="0" w:color="auto"/>
                <w:bottom w:val="none" w:sz="0" w:space="0" w:color="auto"/>
                <w:right w:val="none" w:sz="0" w:space="0" w:color="auto"/>
              </w:divBdr>
            </w:div>
          </w:divsChild>
        </w:div>
        <w:div w:id="541284314">
          <w:marLeft w:val="0"/>
          <w:marRight w:val="0"/>
          <w:marTop w:val="0"/>
          <w:marBottom w:val="0"/>
          <w:divBdr>
            <w:top w:val="none" w:sz="0" w:space="0" w:color="auto"/>
            <w:left w:val="none" w:sz="0" w:space="0" w:color="auto"/>
            <w:bottom w:val="none" w:sz="0" w:space="0" w:color="auto"/>
            <w:right w:val="none" w:sz="0" w:space="0" w:color="auto"/>
          </w:divBdr>
          <w:divsChild>
            <w:div w:id="2022587527">
              <w:marLeft w:val="0"/>
              <w:marRight w:val="0"/>
              <w:marTop w:val="0"/>
              <w:marBottom w:val="0"/>
              <w:divBdr>
                <w:top w:val="none" w:sz="0" w:space="0" w:color="auto"/>
                <w:left w:val="none" w:sz="0" w:space="0" w:color="auto"/>
                <w:bottom w:val="none" w:sz="0" w:space="0" w:color="auto"/>
                <w:right w:val="none" w:sz="0" w:space="0" w:color="auto"/>
              </w:divBdr>
            </w:div>
          </w:divsChild>
        </w:div>
        <w:div w:id="592201876">
          <w:marLeft w:val="0"/>
          <w:marRight w:val="0"/>
          <w:marTop w:val="0"/>
          <w:marBottom w:val="0"/>
          <w:divBdr>
            <w:top w:val="none" w:sz="0" w:space="0" w:color="auto"/>
            <w:left w:val="none" w:sz="0" w:space="0" w:color="auto"/>
            <w:bottom w:val="none" w:sz="0" w:space="0" w:color="auto"/>
            <w:right w:val="none" w:sz="0" w:space="0" w:color="auto"/>
          </w:divBdr>
          <w:divsChild>
            <w:div w:id="1651251366">
              <w:marLeft w:val="0"/>
              <w:marRight w:val="0"/>
              <w:marTop w:val="0"/>
              <w:marBottom w:val="0"/>
              <w:divBdr>
                <w:top w:val="none" w:sz="0" w:space="0" w:color="auto"/>
                <w:left w:val="none" w:sz="0" w:space="0" w:color="auto"/>
                <w:bottom w:val="none" w:sz="0" w:space="0" w:color="auto"/>
                <w:right w:val="none" w:sz="0" w:space="0" w:color="auto"/>
              </w:divBdr>
            </w:div>
          </w:divsChild>
        </w:div>
        <w:div w:id="605815674">
          <w:marLeft w:val="0"/>
          <w:marRight w:val="0"/>
          <w:marTop w:val="0"/>
          <w:marBottom w:val="0"/>
          <w:divBdr>
            <w:top w:val="none" w:sz="0" w:space="0" w:color="auto"/>
            <w:left w:val="none" w:sz="0" w:space="0" w:color="auto"/>
            <w:bottom w:val="none" w:sz="0" w:space="0" w:color="auto"/>
            <w:right w:val="none" w:sz="0" w:space="0" w:color="auto"/>
          </w:divBdr>
          <w:divsChild>
            <w:div w:id="1587031968">
              <w:marLeft w:val="0"/>
              <w:marRight w:val="0"/>
              <w:marTop w:val="0"/>
              <w:marBottom w:val="0"/>
              <w:divBdr>
                <w:top w:val="none" w:sz="0" w:space="0" w:color="auto"/>
                <w:left w:val="none" w:sz="0" w:space="0" w:color="auto"/>
                <w:bottom w:val="none" w:sz="0" w:space="0" w:color="auto"/>
                <w:right w:val="none" w:sz="0" w:space="0" w:color="auto"/>
              </w:divBdr>
            </w:div>
          </w:divsChild>
        </w:div>
        <w:div w:id="610863240">
          <w:marLeft w:val="0"/>
          <w:marRight w:val="0"/>
          <w:marTop w:val="0"/>
          <w:marBottom w:val="0"/>
          <w:divBdr>
            <w:top w:val="none" w:sz="0" w:space="0" w:color="auto"/>
            <w:left w:val="none" w:sz="0" w:space="0" w:color="auto"/>
            <w:bottom w:val="none" w:sz="0" w:space="0" w:color="auto"/>
            <w:right w:val="none" w:sz="0" w:space="0" w:color="auto"/>
          </w:divBdr>
          <w:divsChild>
            <w:div w:id="162278998">
              <w:marLeft w:val="0"/>
              <w:marRight w:val="0"/>
              <w:marTop w:val="0"/>
              <w:marBottom w:val="0"/>
              <w:divBdr>
                <w:top w:val="none" w:sz="0" w:space="0" w:color="auto"/>
                <w:left w:val="none" w:sz="0" w:space="0" w:color="auto"/>
                <w:bottom w:val="none" w:sz="0" w:space="0" w:color="auto"/>
                <w:right w:val="none" w:sz="0" w:space="0" w:color="auto"/>
              </w:divBdr>
            </w:div>
          </w:divsChild>
        </w:div>
        <w:div w:id="617683397">
          <w:marLeft w:val="0"/>
          <w:marRight w:val="0"/>
          <w:marTop w:val="0"/>
          <w:marBottom w:val="0"/>
          <w:divBdr>
            <w:top w:val="none" w:sz="0" w:space="0" w:color="auto"/>
            <w:left w:val="none" w:sz="0" w:space="0" w:color="auto"/>
            <w:bottom w:val="none" w:sz="0" w:space="0" w:color="auto"/>
            <w:right w:val="none" w:sz="0" w:space="0" w:color="auto"/>
          </w:divBdr>
          <w:divsChild>
            <w:div w:id="1727143402">
              <w:marLeft w:val="0"/>
              <w:marRight w:val="0"/>
              <w:marTop w:val="0"/>
              <w:marBottom w:val="0"/>
              <w:divBdr>
                <w:top w:val="none" w:sz="0" w:space="0" w:color="auto"/>
                <w:left w:val="none" w:sz="0" w:space="0" w:color="auto"/>
                <w:bottom w:val="none" w:sz="0" w:space="0" w:color="auto"/>
                <w:right w:val="none" w:sz="0" w:space="0" w:color="auto"/>
              </w:divBdr>
            </w:div>
          </w:divsChild>
        </w:div>
        <w:div w:id="663120265">
          <w:marLeft w:val="0"/>
          <w:marRight w:val="0"/>
          <w:marTop w:val="0"/>
          <w:marBottom w:val="0"/>
          <w:divBdr>
            <w:top w:val="none" w:sz="0" w:space="0" w:color="auto"/>
            <w:left w:val="none" w:sz="0" w:space="0" w:color="auto"/>
            <w:bottom w:val="none" w:sz="0" w:space="0" w:color="auto"/>
            <w:right w:val="none" w:sz="0" w:space="0" w:color="auto"/>
          </w:divBdr>
          <w:divsChild>
            <w:div w:id="1787579355">
              <w:marLeft w:val="0"/>
              <w:marRight w:val="0"/>
              <w:marTop w:val="0"/>
              <w:marBottom w:val="0"/>
              <w:divBdr>
                <w:top w:val="none" w:sz="0" w:space="0" w:color="auto"/>
                <w:left w:val="none" w:sz="0" w:space="0" w:color="auto"/>
                <w:bottom w:val="none" w:sz="0" w:space="0" w:color="auto"/>
                <w:right w:val="none" w:sz="0" w:space="0" w:color="auto"/>
              </w:divBdr>
            </w:div>
          </w:divsChild>
        </w:div>
        <w:div w:id="667372049">
          <w:marLeft w:val="0"/>
          <w:marRight w:val="0"/>
          <w:marTop w:val="0"/>
          <w:marBottom w:val="0"/>
          <w:divBdr>
            <w:top w:val="none" w:sz="0" w:space="0" w:color="auto"/>
            <w:left w:val="none" w:sz="0" w:space="0" w:color="auto"/>
            <w:bottom w:val="none" w:sz="0" w:space="0" w:color="auto"/>
            <w:right w:val="none" w:sz="0" w:space="0" w:color="auto"/>
          </w:divBdr>
          <w:divsChild>
            <w:div w:id="1647590298">
              <w:marLeft w:val="0"/>
              <w:marRight w:val="0"/>
              <w:marTop w:val="0"/>
              <w:marBottom w:val="0"/>
              <w:divBdr>
                <w:top w:val="none" w:sz="0" w:space="0" w:color="auto"/>
                <w:left w:val="none" w:sz="0" w:space="0" w:color="auto"/>
                <w:bottom w:val="none" w:sz="0" w:space="0" w:color="auto"/>
                <w:right w:val="none" w:sz="0" w:space="0" w:color="auto"/>
              </w:divBdr>
            </w:div>
          </w:divsChild>
        </w:div>
        <w:div w:id="697924614">
          <w:marLeft w:val="0"/>
          <w:marRight w:val="0"/>
          <w:marTop w:val="0"/>
          <w:marBottom w:val="0"/>
          <w:divBdr>
            <w:top w:val="none" w:sz="0" w:space="0" w:color="auto"/>
            <w:left w:val="none" w:sz="0" w:space="0" w:color="auto"/>
            <w:bottom w:val="none" w:sz="0" w:space="0" w:color="auto"/>
            <w:right w:val="none" w:sz="0" w:space="0" w:color="auto"/>
          </w:divBdr>
          <w:divsChild>
            <w:div w:id="1269315829">
              <w:marLeft w:val="0"/>
              <w:marRight w:val="0"/>
              <w:marTop w:val="0"/>
              <w:marBottom w:val="0"/>
              <w:divBdr>
                <w:top w:val="none" w:sz="0" w:space="0" w:color="auto"/>
                <w:left w:val="none" w:sz="0" w:space="0" w:color="auto"/>
                <w:bottom w:val="none" w:sz="0" w:space="0" w:color="auto"/>
                <w:right w:val="none" w:sz="0" w:space="0" w:color="auto"/>
              </w:divBdr>
            </w:div>
          </w:divsChild>
        </w:div>
        <w:div w:id="704719880">
          <w:marLeft w:val="0"/>
          <w:marRight w:val="0"/>
          <w:marTop w:val="0"/>
          <w:marBottom w:val="0"/>
          <w:divBdr>
            <w:top w:val="none" w:sz="0" w:space="0" w:color="auto"/>
            <w:left w:val="none" w:sz="0" w:space="0" w:color="auto"/>
            <w:bottom w:val="none" w:sz="0" w:space="0" w:color="auto"/>
            <w:right w:val="none" w:sz="0" w:space="0" w:color="auto"/>
          </w:divBdr>
          <w:divsChild>
            <w:div w:id="1115172334">
              <w:marLeft w:val="0"/>
              <w:marRight w:val="0"/>
              <w:marTop w:val="0"/>
              <w:marBottom w:val="0"/>
              <w:divBdr>
                <w:top w:val="none" w:sz="0" w:space="0" w:color="auto"/>
                <w:left w:val="none" w:sz="0" w:space="0" w:color="auto"/>
                <w:bottom w:val="none" w:sz="0" w:space="0" w:color="auto"/>
                <w:right w:val="none" w:sz="0" w:space="0" w:color="auto"/>
              </w:divBdr>
            </w:div>
          </w:divsChild>
        </w:div>
        <w:div w:id="710888200">
          <w:marLeft w:val="0"/>
          <w:marRight w:val="0"/>
          <w:marTop w:val="0"/>
          <w:marBottom w:val="0"/>
          <w:divBdr>
            <w:top w:val="none" w:sz="0" w:space="0" w:color="auto"/>
            <w:left w:val="none" w:sz="0" w:space="0" w:color="auto"/>
            <w:bottom w:val="none" w:sz="0" w:space="0" w:color="auto"/>
            <w:right w:val="none" w:sz="0" w:space="0" w:color="auto"/>
          </w:divBdr>
          <w:divsChild>
            <w:div w:id="1504198878">
              <w:marLeft w:val="0"/>
              <w:marRight w:val="0"/>
              <w:marTop w:val="0"/>
              <w:marBottom w:val="0"/>
              <w:divBdr>
                <w:top w:val="none" w:sz="0" w:space="0" w:color="auto"/>
                <w:left w:val="none" w:sz="0" w:space="0" w:color="auto"/>
                <w:bottom w:val="none" w:sz="0" w:space="0" w:color="auto"/>
                <w:right w:val="none" w:sz="0" w:space="0" w:color="auto"/>
              </w:divBdr>
            </w:div>
          </w:divsChild>
        </w:div>
        <w:div w:id="722027744">
          <w:marLeft w:val="0"/>
          <w:marRight w:val="0"/>
          <w:marTop w:val="0"/>
          <w:marBottom w:val="0"/>
          <w:divBdr>
            <w:top w:val="none" w:sz="0" w:space="0" w:color="auto"/>
            <w:left w:val="none" w:sz="0" w:space="0" w:color="auto"/>
            <w:bottom w:val="none" w:sz="0" w:space="0" w:color="auto"/>
            <w:right w:val="none" w:sz="0" w:space="0" w:color="auto"/>
          </w:divBdr>
          <w:divsChild>
            <w:div w:id="616956035">
              <w:marLeft w:val="0"/>
              <w:marRight w:val="0"/>
              <w:marTop w:val="0"/>
              <w:marBottom w:val="0"/>
              <w:divBdr>
                <w:top w:val="none" w:sz="0" w:space="0" w:color="auto"/>
                <w:left w:val="none" w:sz="0" w:space="0" w:color="auto"/>
                <w:bottom w:val="none" w:sz="0" w:space="0" w:color="auto"/>
                <w:right w:val="none" w:sz="0" w:space="0" w:color="auto"/>
              </w:divBdr>
            </w:div>
          </w:divsChild>
        </w:div>
        <w:div w:id="734355805">
          <w:marLeft w:val="0"/>
          <w:marRight w:val="0"/>
          <w:marTop w:val="0"/>
          <w:marBottom w:val="0"/>
          <w:divBdr>
            <w:top w:val="none" w:sz="0" w:space="0" w:color="auto"/>
            <w:left w:val="none" w:sz="0" w:space="0" w:color="auto"/>
            <w:bottom w:val="none" w:sz="0" w:space="0" w:color="auto"/>
            <w:right w:val="none" w:sz="0" w:space="0" w:color="auto"/>
          </w:divBdr>
          <w:divsChild>
            <w:div w:id="1471091124">
              <w:marLeft w:val="0"/>
              <w:marRight w:val="0"/>
              <w:marTop w:val="0"/>
              <w:marBottom w:val="0"/>
              <w:divBdr>
                <w:top w:val="none" w:sz="0" w:space="0" w:color="auto"/>
                <w:left w:val="none" w:sz="0" w:space="0" w:color="auto"/>
                <w:bottom w:val="none" w:sz="0" w:space="0" w:color="auto"/>
                <w:right w:val="none" w:sz="0" w:space="0" w:color="auto"/>
              </w:divBdr>
            </w:div>
          </w:divsChild>
        </w:div>
        <w:div w:id="747504802">
          <w:marLeft w:val="0"/>
          <w:marRight w:val="0"/>
          <w:marTop w:val="0"/>
          <w:marBottom w:val="0"/>
          <w:divBdr>
            <w:top w:val="none" w:sz="0" w:space="0" w:color="auto"/>
            <w:left w:val="none" w:sz="0" w:space="0" w:color="auto"/>
            <w:bottom w:val="none" w:sz="0" w:space="0" w:color="auto"/>
            <w:right w:val="none" w:sz="0" w:space="0" w:color="auto"/>
          </w:divBdr>
          <w:divsChild>
            <w:div w:id="1239635695">
              <w:marLeft w:val="0"/>
              <w:marRight w:val="0"/>
              <w:marTop w:val="0"/>
              <w:marBottom w:val="0"/>
              <w:divBdr>
                <w:top w:val="none" w:sz="0" w:space="0" w:color="auto"/>
                <w:left w:val="none" w:sz="0" w:space="0" w:color="auto"/>
                <w:bottom w:val="none" w:sz="0" w:space="0" w:color="auto"/>
                <w:right w:val="none" w:sz="0" w:space="0" w:color="auto"/>
              </w:divBdr>
            </w:div>
          </w:divsChild>
        </w:div>
        <w:div w:id="756706387">
          <w:marLeft w:val="0"/>
          <w:marRight w:val="0"/>
          <w:marTop w:val="0"/>
          <w:marBottom w:val="0"/>
          <w:divBdr>
            <w:top w:val="none" w:sz="0" w:space="0" w:color="auto"/>
            <w:left w:val="none" w:sz="0" w:space="0" w:color="auto"/>
            <w:bottom w:val="none" w:sz="0" w:space="0" w:color="auto"/>
            <w:right w:val="none" w:sz="0" w:space="0" w:color="auto"/>
          </w:divBdr>
          <w:divsChild>
            <w:div w:id="1002775209">
              <w:marLeft w:val="0"/>
              <w:marRight w:val="0"/>
              <w:marTop w:val="0"/>
              <w:marBottom w:val="0"/>
              <w:divBdr>
                <w:top w:val="none" w:sz="0" w:space="0" w:color="auto"/>
                <w:left w:val="none" w:sz="0" w:space="0" w:color="auto"/>
                <w:bottom w:val="none" w:sz="0" w:space="0" w:color="auto"/>
                <w:right w:val="none" w:sz="0" w:space="0" w:color="auto"/>
              </w:divBdr>
            </w:div>
          </w:divsChild>
        </w:div>
        <w:div w:id="805199044">
          <w:marLeft w:val="0"/>
          <w:marRight w:val="0"/>
          <w:marTop w:val="0"/>
          <w:marBottom w:val="0"/>
          <w:divBdr>
            <w:top w:val="none" w:sz="0" w:space="0" w:color="auto"/>
            <w:left w:val="none" w:sz="0" w:space="0" w:color="auto"/>
            <w:bottom w:val="none" w:sz="0" w:space="0" w:color="auto"/>
            <w:right w:val="none" w:sz="0" w:space="0" w:color="auto"/>
          </w:divBdr>
          <w:divsChild>
            <w:div w:id="2024437012">
              <w:marLeft w:val="0"/>
              <w:marRight w:val="0"/>
              <w:marTop w:val="0"/>
              <w:marBottom w:val="0"/>
              <w:divBdr>
                <w:top w:val="none" w:sz="0" w:space="0" w:color="auto"/>
                <w:left w:val="none" w:sz="0" w:space="0" w:color="auto"/>
                <w:bottom w:val="none" w:sz="0" w:space="0" w:color="auto"/>
                <w:right w:val="none" w:sz="0" w:space="0" w:color="auto"/>
              </w:divBdr>
            </w:div>
          </w:divsChild>
        </w:div>
        <w:div w:id="808984894">
          <w:marLeft w:val="0"/>
          <w:marRight w:val="0"/>
          <w:marTop w:val="0"/>
          <w:marBottom w:val="0"/>
          <w:divBdr>
            <w:top w:val="none" w:sz="0" w:space="0" w:color="auto"/>
            <w:left w:val="none" w:sz="0" w:space="0" w:color="auto"/>
            <w:bottom w:val="none" w:sz="0" w:space="0" w:color="auto"/>
            <w:right w:val="none" w:sz="0" w:space="0" w:color="auto"/>
          </w:divBdr>
          <w:divsChild>
            <w:div w:id="1961103112">
              <w:marLeft w:val="0"/>
              <w:marRight w:val="0"/>
              <w:marTop w:val="0"/>
              <w:marBottom w:val="0"/>
              <w:divBdr>
                <w:top w:val="none" w:sz="0" w:space="0" w:color="auto"/>
                <w:left w:val="none" w:sz="0" w:space="0" w:color="auto"/>
                <w:bottom w:val="none" w:sz="0" w:space="0" w:color="auto"/>
                <w:right w:val="none" w:sz="0" w:space="0" w:color="auto"/>
              </w:divBdr>
            </w:div>
          </w:divsChild>
        </w:div>
        <w:div w:id="830951159">
          <w:marLeft w:val="0"/>
          <w:marRight w:val="0"/>
          <w:marTop w:val="0"/>
          <w:marBottom w:val="0"/>
          <w:divBdr>
            <w:top w:val="none" w:sz="0" w:space="0" w:color="auto"/>
            <w:left w:val="none" w:sz="0" w:space="0" w:color="auto"/>
            <w:bottom w:val="none" w:sz="0" w:space="0" w:color="auto"/>
            <w:right w:val="none" w:sz="0" w:space="0" w:color="auto"/>
          </w:divBdr>
          <w:divsChild>
            <w:div w:id="725104929">
              <w:marLeft w:val="0"/>
              <w:marRight w:val="0"/>
              <w:marTop w:val="0"/>
              <w:marBottom w:val="0"/>
              <w:divBdr>
                <w:top w:val="none" w:sz="0" w:space="0" w:color="auto"/>
                <w:left w:val="none" w:sz="0" w:space="0" w:color="auto"/>
                <w:bottom w:val="none" w:sz="0" w:space="0" w:color="auto"/>
                <w:right w:val="none" w:sz="0" w:space="0" w:color="auto"/>
              </w:divBdr>
            </w:div>
          </w:divsChild>
        </w:div>
        <w:div w:id="900217011">
          <w:marLeft w:val="0"/>
          <w:marRight w:val="0"/>
          <w:marTop w:val="0"/>
          <w:marBottom w:val="0"/>
          <w:divBdr>
            <w:top w:val="none" w:sz="0" w:space="0" w:color="auto"/>
            <w:left w:val="none" w:sz="0" w:space="0" w:color="auto"/>
            <w:bottom w:val="none" w:sz="0" w:space="0" w:color="auto"/>
            <w:right w:val="none" w:sz="0" w:space="0" w:color="auto"/>
          </w:divBdr>
          <w:divsChild>
            <w:div w:id="2022656477">
              <w:marLeft w:val="0"/>
              <w:marRight w:val="0"/>
              <w:marTop w:val="0"/>
              <w:marBottom w:val="0"/>
              <w:divBdr>
                <w:top w:val="none" w:sz="0" w:space="0" w:color="auto"/>
                <w:left w:val="none" w:sz="0" w:space="0" w:color="auto"/>
                <w:bottom w:val="none" w:sz="0" w:space="0" w:color="auto"/>
                <w:right w:val="none" w:sz="0" w:space="0" w:color="auto"/>
              </w:divBdr>
            </w:div>
          </w:divsChild>
        </w:div>
        <w:div w:id="935593678">
          <w:marLeft w:val="0"/>
          <w:marRight w:val="0"/>
          <w:marTop w:val="0"/>
          <w:marBottom w:val="0"/>
          <w:divBdr>
            <w:top w:val="none" w:sz="0" w:space="0" w:color="auto"/>
            <w:left w:val="none" w:sz="0" w:space="0" w:color="auto"/>
            <w:bottom w:val="none" w:sz="0" w:space="0" w:color="auto"/>
            <w:right w:val="none" w:sz="0" w:space="0" w:color="auto"/>
          </w:divBdr>
          <w:divsChild>
            <w:div w:id="1558541665">
              <w:marLeft w:val="0"/>
              <w:marRight w:val="0"/>
              <w:marTop w:val="0"/>
              <w:marBottom w:val="0"/>
              <w:divBdr>
                <w:top w:val="none" w:sz="0" w:space="0" w:color="auto"/>
                <w:left w:val="none" w:sz="0" w:space="0" w:color="auto"/>
                <w:bottom w:val="none" w:sz="0" w:space="0" w:color="auto"/>
                <w:right w:val="none" w:sz="0" w:space="0" w:color="auto"/>
              </w:divBdr>
            </w:div>
          </w:divsChild>
        </w:div>
        <w:div w:id="951203579">
          <w:marLeft w:val="0"/>
          <w:marRight w:val="0"/>
          <w:marTop w:val="0"/>
          <w:marBottom w:val="0"/>
          <w:divBdr>
            <w:top w:val="none" w:sz="0" w:space="0" w:color="auto"/>
            <w:left w:val="none" w:sz="0" w:space="0" w:color="auto"/>
            <w:bottom w:val="none" w:sz="0" w:space="0" w:color="auto"/>
            <w:right w:val="none" w:sz="0" w:space="0" w:color="auto"/>
          </w:divBdr>
          <w:divsChild>
            <w:div w:id="2060662299">
              <w:marLeft w:val="0"/>
              <w:marRight w:val="0"/>
              <w:marTop w:val="0"/>
              <w:marBottom w:val="0"/>
              <w:divBdr>
                <w:top w:val="none" w:sz="0" w:space="0" w:color="auto"/>
                <w:left w:val="none" w:sz="0" w:space="0" w:color="auto"/>
                <w:bottom w:val="none" w:sz="0" w:space="0" w:color="auto"/>
                <w:right w:val="none" w:sz="0" w:space="0" w:color="auto"/>
              </w:divBdr>
            </w:div>
          </w:divsChild>
        </w:div>
        <w:div w:id="956177830">
          <w:marLeft w:val="0"/>
          <w:marRight w:val="0"/>
          <w:marTop w:val="0"/>
          <w:marBottom w:val="0"/>
          <w:divBdr>
            <w:top w:val="none" w:sz="0" w:space="0" w:color="auto"/>
            <w:left w:val="none" w:sz="0" w:space="0" w:color="auto"/>
            <w:bottom w:val="none" w:sz="0" w:space="0" w:color="auto"/>
            <w:right w:val="none" w:sz="0" w:space="0" w:color="auto"/>
          </w:divBdr>
          <w:divsChild>
            <w:div w:id="291863759">
              <w:marLeft w:val="0"/>
              <w:marRight w:val="0"/>
              <w:marTop w:val="0"/>
              <w:marBottom w:val="0"/>
              <w:divBdr>
                <w:top w:val="none" w:sz="0" w:space="0" w:color="auto"/>
                <w:left w:val="none" w:sz="0" w:space="0" w:color="auto"/>
                <w:bottom w:val="none" w:sz="0" w:space="0" w:color="auto"/>
                <w:right w:val="none" w:sz="0" w:space="0" w:color="auto"/>
              </w:divBdr>
            </w:div>
          </w:divsChild>
        </w:div>
        <w:div w:id="956837200">
          <w:marLeft w:val="0"/>
          <w:marRight w:val="0"/>
          <w:marTop w:val="0"/>
          <w:marBottom w:val="0"/>
          <w:divBdr>
            <w:top w:val="none" w:sz="0" w:space="0" w:color="auto"/>
            <w:left w:val="none" w:sz="0" w:space="0" w:color="auto"/>
            <w:bottom w:val="none" w:sz="0" w:space="0" w:color="auto"/>
            <w:right w:val="none" w:sz="0" w:space="0" w:color="auto"/>
          </w:divBdr>
          <w:divsChild>
            <w:div w:id="664474780">
              <w:marLeft w:val="0"/>
              <w:marRight w:val="0"/>
              <w:marTop w:val="0"/>
              <w:marBottom w:val="0"/>
              <w:divBdr>
                <w:top w:val="none" w:sz="0" w:space="0" w:color="auto"/>
                <w:left w:val="none" w:sz="0" w:space="0" w:color="auto"/>
                <w:bottom w:val="none" w:sz="0" w:space="0" w:color="auto"/>
                <w:right w:val="none" w:sz="0" w:space="0" w:color="auto"/>
              </w:divBdr>
            </w:div>
          </w:divsChild>
        </w:div>
        <w:div w:id="958217217">
          <w:marLeft w:val="0"/>
          <w:marRight w:val="0"/>
          <w:marTop w:val="0"/>
          <w:marBottom w:val="0"/>
          <w:divBdr>
            <w:top w:val="none" w:sz="0" w:space="0" w:color="auto"/>
            <w:left w:val="none" w:sz="0" w:space="0" w:color="auto"/>
            <w:bottom w:val="none" w:sz="0" w:space="0" w:color="auto"/>
            <w:right w:val="none" w:sz="0" w:space="0" w:color="auto"/>
          </w:divBdr>
          <w:divsChild>
            <w:div w:id="1712462488">
              <w:marLeft w:val="0"/>
              <w:marRight w:val="0"/>
              <w:marTop w:val="0"/>
              <w:marBottom w:val="0"/>
              <w:divBdr>
                <w:top w:val="none" w:sz="0" w:space="0" w:color="auto"/>
                <w:left w:val="none" w:sz="0" w:space="0" w:color="auto"/>
                <w:bottom w:val="none" w:sz="0" w:space="0" w:color="auto"/>
                <w:right w:val="none" w:sz="0" w:space="0" w:color="auto"/>
              </w:divBdr>
            </w:div>
          </w:divsChild>
        </w:div>
        <w:div w:id="1001128315">
          <w:marLeft w:val="0"/>
          <w:marRight w:val="0"/>
          <w:marTop w:val="0"/>
          <w:marBottom w:val="0"/>
          <w:divBdr>
            <w:top w:val="none" w:sz="0" w:space="0" w:color="auto"/>
            <w:left w:val="none" w:sz="0" w:space="0" w:color="auto"/>
            <w:bottom w:val="none" w:sz="0" w:space="0" w:color="auto"/>
            <w:right w:val="none" w:sz="0" w:space="0" w:color="auto"/>
          </w:divBdr>
          <w:divsChild>
            <w:div w:id="993408999">
              <w:marLeft w:val="0"/>
              <w:marRight w:val="0"/>
              <w:marTop w:val="0"/>
              <w:marBottom w:val="0"/>
              <w:divBdr>
                <w:top w:val="none" w:sz="0" w:space="0" w:color="auto"/>
                <w:left w:val="none" w:sz="0" w:space="0" w:color="auto"/>
                <w:bottom w:val="none" w:sz="0" w:space="0" w:color="auto"/>
                <w:right w:val="none" w:sz="0" w:space="0" w:color="auto"/>
              </w:divBdr>
            </w:div>
          </w:divsChild>
        </w:div>
        <w:div w:id="1020738977">
          <w:marLeft w:val="0"/>
          <w:marRight w:val="0"/>
          <w:marTop w:val="0"/>
          <w:marBottom w:val="0"/>
          <w:divBdr>
            <w:top w:val="none" w:sz="0" w:space="0" w:color="auto"/>
            <w:left w:val="none" w:sz="0" w:space="0" w:color="auto"/>
            <w:bottom w:val="none" w:sz="0" w:space="0" w:color="auto"/>
            <w:right w:val="none" w:sz="0" w:space="0" w:color="auto"/>
          </w:divBdr>
          <w:divsChild>
            <w:div w:id="1277447635">
              <w:marLeft w:val="0"/>
              <w:marRight w:val="0"/>
              <w:marTop w:val="0"/>
              <w:marBottom w:val="0"/>
              <w:divBdr>
                <w:top w:val="none" w:sz="0" w:space="0" w:color="auto"/>
                <w:left w:val="none" w:sz="0" w:space="0" w:color="auto"/>
                <w:bottom w:val="none" w:sz="0" w:space="0" w:color="auto"/>
                <w:right w:val="none" w:sz="0" w:space="0" w:color="auto"/>
              </w:divBdr>
            </w:div>
          </w:divsChild>
        </w:div>
        <w:div w:id="1040594150">
          <w:marLeft w:val="0"/>
          <w:marRight w:val="0"/>
          <w:marTop w:val="0"/>
          <w:marBottom w:val="0"/>
          <w:divBdr>
            <w:top w:val="none" w:sz="0" w:space="0" w:color="auto"/>
            <w:left w:val="none" w:sz="0" w:space="0" w:color="auto"/>
            <w:bottom w:val="none" w:sz="0" w:space="0" w:color="auto"/>
            <w:right w:val="none" w:sz="0" w:space="0" w:color="auto"/>
          </w:divBdr>
          <w:divsChild>
            <w:div w:id="493106051">
              <w:marLeft w:val="0"/>
              <w:marRight w:val="0"/>
              <w:marTop w:val="0"/>
              <w:marBottom w:val="0"/>
              <w:divBdr>
                <w:top w:val="none" w:sz="0" w:space="0" w:color="auto"/>
                <w:left w:val="none" w:sz="0" w:space="0" w:color="auto"/>
                <w:bottom w:val="none" w:sz="0" w:space="0" w:color="auto"/>
                <w:right w:val="none" w:sz="0" w:space="0" w:color="auto"/>
              </w:divBdr>
            </w:div>
          </w:divsChild>
        </w:div>
        <w:div w:id="1122722595">
          <w:marLeft w:val="0"/>
          <w:marRight w:val="0"/>
          <w:marTop w:val="0"/>
          <w:marBottom w:val="0"/>
          <w:divBdr>
            <w:top w:val="none" w:sz="0" w:space="0" w:color="auto"/>
            <w:left w:val="none" w:sz="0" w:space="0" w:color="auto"/>
            <w:bottom w:val="none" w:sz="0" w:space="0" w:color="auto"/>
            <w:right w:val="none" w:sz="0" w:space="0" w:color="auto"/>
          </w:divBdr>
          <w:divsChild>
            <w:div w:id="1198202223">
              <w:marLeft w:val="0"/>
              <w:marRight w:val="0"/>
              <w:marTop w:val="0"/>
              <w:marBottom w:val="0"/>
              <w:divBdr>
                <w:top w:val="none" w:sz="0" w:space="0" w:color="auto"/>
                <w:left w:val="none" w:sz="0" w:space="0" w:color="auto"/>
                <w:bottom w:val="none" w:sz="0" w:space="0" w:color="auto"/>
                <w:right w:val="none" w:sz="0" w:space="0" w:color="auto"/>
              </w:divBdr>
            </w:div>
          </w:divsChild>
        </w:div>
        <w:div w:id="1178738565">
          <w:marLeft w:val="0"/>
          <w:marRight w:val="0"/>
          <w:marTop w:val="0"/>
          <w:marBottom w:val="0"/>
          <w:divBdr>
            <w:top w:val="none" w:sz="0" w:space="0" w:color="auto"/>
            <w:left w:val="none" w:sz="0" w:space="0" w:color="auto"/>
            <w:bottom w:val="none" w:sz="0" w:space="0" w:color="auto"/>
            <w:right w:val="none" w:sz="0" w:space="0" w:color="auto"/>
          </w:divBdr>
          <w:divsChild>
            <w:div w:id="1422406548">
              <w:marLeft w:val="0"/>
              <w:marRight w:val="0"/>
              <w:marTop w:val="0"/>
              <w:marBottom w:val="0"/>
              <w:divBdr>
                <w:top w:val="none" w:sz="0" w:space="0" w:color="auto"/>
                <w:left w:val="none" w:sz="0" w:space="0" w:color="auto"/>
                <w:bottom w:val="none" w:sz="0" w:space="0" w:color="auto"/>
                <w:right w:val="none" w:sz="0" w:space="0" w:color="auto"/>
              </w:divBdr>
            </w:div>
          </w:divsChild>
        </w:div>
        <w:div w:id="1186553628">
          <w:marLeft w:val="0"/>
          <w:marRight w:val="0"/>
          <w:marTop w:val="0"/>
          <w:marBottom w:val="0"/>
          <w:divBdr>
            <w:top w:val="none" w:sz="0" w:space="0" w:color="auto"/>
            <w:left w:val="none" w:sz="0" w:space="0" w:color="auto"/>
            <w:bottom w:val="none" w:sz="0" w:space="0" w:color="auto"/>
            <w:right w:val="none" w:sz="0" w:space="0" w:color="auto"/>
          </w:divBdr>
          <w:divsChild>
            <w:div w:id="2017071204">
              <w:marLeft w:val="0"/>
              <w:marRight w:val="0"/>
              <w:marTop w:val="0"/>
              <w:marBottom w:val="0"/>
              <w:divBdr>
                <w:top w:val="none" w:sz="0" w:space="0" w:color="auto"/>
                <w:left w:val="none" w:sz="0" w:space="0" w:color="auto"/>
                <w:bottom w:val="none" w:sz="0" w:space="0" w:color="auto"/>
                <w:right w:val="none" w:sz="0" w:space="0" w:color="auto"/>
              </w:divBdr>
            </w:div>
          </w:divsChild>
        </w:div>
        <w:div w:id="1205019119">
          <w:marLeft w:val="0"/>
          <w:marRight w:val="0"/>
          <w:marTop w:val="0"/>
          <w:marBottom w:val="0"/>
          <w:divBdr>
            <w:top w:val="none" w:sz="0" w:space="0" w:color="auto"/>
            <w:left w:val="none" w:sz="0" w:space="0" w:color="auto"/>
            <w:bottom w:val="none" w:sz="0" w:space="0" w:color="auto"/>
            <w:right w:val="none" w:sz="0" w:space="0" w:color="auto"/>
          </w:divBdr>
          <w:divsChild>
            <w:div w:id="2025863514">
              <w:marLeft w:val="0"/>
              <w:marRight w:val="0"/>
              <w:marTop w:val="0"/>
              <w:marBottom w:val="0"/>
              <w:divBdr>
                <w:top w:val="none" w:sz="0" w:space="0" w:color="auto"/>
                <w:left w:val="none" w:sz="0" w:space="0" w:color="auto"/>
                <w:bottom w:val="none" w:sz="0" w:space="0" w:color="auto"/>
                <w:right w:val="none" w:sz="0" w:space="0" w:color="auto"/>
              </w:divBdr>
            </w:div>
          </w:divsChild>
        </w:div>
        <w:div w:id="1217669066">
          <w:marLeft w:val="0"/>
          <w:marRight w:val="0"/>
          <w:marTop w:val="0"/>
          <w:marBottom w:val="0"/>
          <w:divBdr>
            <w:top w:val="none" w:sz="0" w:space="0" w:color="auto"/>
            <w:left w:val="none" w:sz="0" w:space="0" w:color="auto"/>
            <w:bottom w:val="none" w:sz="0" w:space="0" w:color="auto"/>
            <w:right w:val="none" w:sz="0" w:space="0" w:color="auto"/>
          </w:divBdr>
          <w:divsChild>
            <w:div w:id="582759046">
              <w:marLeft w:val="0"/>
              <w:marRight w:val="0"/>
              <w:marTop w:val="0"/>
              <w:marBottom w:val="0"/>
              <w:divBdr>
                <w:top w:val="none" w:sz="0" w:space="0" w:color="auto"/>
                <w:left w:val="none" w:sz="0" w:space="0" w:color="auto"/>
                <w:bottom w:val="none" w:sz="0" w:space="0" w:color="auto"/>
                <w:right w:val="none" w:sz="0" w:space="0" w:color="auto"/>
              </w:divBdr>
            </w:div>
          </w:divsChild>
        </w:div>
        <w:div w:id="1272131010">
          <w:marLeft w:val="0"/>
          <w:marRight w:val="0"/>
          <w:marTop w:val="0"/>
          <w:marBottom w:val="0"/>
          <w:divBdr>
            <w:top w:val="none" w:sz="0" w:space="0" w:color="auto"/>
            <w:left w:val="none" w:sz="0" w:space="0" w:color="auto"/>
            <w:bottom w:val="none" w:sz="0" w:space="0" w:color="auto"/>
            <w:right w:val="none" w:sz="0" w:space="0" w:color="auto"/>
          </w:divBdr>
          <w:divsChild>
            <w:div w:id="766313598">
              <w:marLeft w:val="0"/>
              <w:marRight w:val="0"/>
              <w:marTop w:val="0"/>
              <w:marBottom w:val="0"/>
              <w:divBdr>
                <w:top w:val="none" w:sz="0" w:space="0" w:color="auto"/>
                <w:left w:val="none" w:sz="0" w:space="0" w:color="auto"/>
                <w:bottom w:val="none" w:sz="0" w:space="0" w:color="auto"/>
                <w:right w:val="none" w:sz="0" w:space="0" w:color="auto"/>
              </w:divBdr>
            </w:div>
          </w:divsChild>
        </w:div>
        <w:div w:id="1295982714">
          <w:marLeft w:val="0"/>
          <w:marRight w:val="0"/>
          <w:marTop w:val="0"/>
          <w:marBottom w:val="0"/>
          <w:divBdr>
            <w:top w:val="none" w:sz="0" w:space="0" w:color="auto"/>
            <w:left w:val="none" w:sz="0" w:space="0" w:color="auto"/>
            <w:bottom w:val="none" w:sz="0" w:space="0" w:color="auto"/>
            <w:right w:val="none" w:sz="0" w:space="0" w:color="auto"/>
          </w:divBdr>
          <w:divsChild>
            <w:div w:id="855773664">
              <w:marLeft w:val="0"/>
              <w:marRight w:val="0"/>
              <w:marTop w:val="0"/>
              <w:marBottom w:val="0"/>
              <w:divBdr>
                <w:top w:val="none" w:sz="0" w:space="0" w:color="auto"/>
                <w:left w:val="none" w:sz="0" w:space="0" w:color="auto"/>
                <w:bottom w:val="none" w:sz="0" w:space="0" w:color="auto"/>
                <w:right w:val="none" w:sz="0" w:space="0" w:color="auto"/>
              </w:divBdr>
            </w:div>
          </w:divsChild>
        </w:div>
        <w:div w:id="1296641698">
          <w:marLeft w:val="0"/>
          <w:marRight w:val="0"/>
          <w:marTop w:val="0"/>
          <w:marBottom w:val="0"/>
          <w:divBdr>
            <w:top w:val="none" w:sz="0" w:space="0" w:color="auto"/>
            <w:left w:val="none" w:sz="0" w:space="0" w:color="auto"/>
            <w:bottom w:val="none" w:sz="0" w:space="0" w:color="auto"/>
            <w:right w:val="none" w:sz="0" w:space="0" w:color="auto"/>
          </w:divBdr>
          <w:divsChild>
            <w:div w:id="1754474954">
              <w:marLeft w:val="0"/>
              <w:marRight w:val="0"/>
              <w:marTop w:val="0"/>
              <w:marBottom w:val="0"/>
              <w:divBdr>
                <w:top w:val="none" w:sz="0" w:space="0" w:color="auto"/>
                <w:left w:val="none" w:sz="0" w:space="0" w:color="auto"/>
                <w:bottom w:val="none" w:sz="0" w:space="0" w:color="auto"/>
                <w:right w:val="none" w:sz="0" w:space="0" w:color="auto"/>
              </w:divBdr>
            </w:div>
          </w:divsChild>
        </w:div>
        <w:div w:id="1311639571">
          <w:marLeft w:val="0"/>
          <w:marRight w:val="0"/>
          <w:marTop w:val="0"/>
          <w:marBottom w:val="0"/>
          <w:divBdr>
            <w:top w:val="none" w:sz="0" w:space="0" w:color="auto"/>
            <w:left w:val="none" w:sz="0" w:space="0" w:color="auto"/>
            <w:bottom w:val="none" w:sz="0" w:space="0" w:color="auto"/>
            <w:right w:val="none" w:sz="0" w:space="0" w:color="auto"/>
          </w:divBdr>
          <w:divsChild>
            <w:div w:id="733625981">
              <w:marLeft w:val="0"/>
              <w:marRight w:val="0"/>
              <w:marTop w:val="0"/>
              <w:marBottom w:val="0"/>
              <w:divBdr>
                <w:top w:val="none" w:sz="0" w:space="0" w:color="auto"/>
                <w:left w:val="none" w:sz="0" w:space="0" w:color="auto"/>
                <w:bottom w:val="none" w:sz="0" w:space="0" w:color="auto"/>
                <w:right w:val="none" w:sz="0" w:space="0" w:color="auto"/>
              </w:divBdr>
            </w:div>
          </w:divsChild>
        </w:div>
        <w:div w:id="1329140661">
          <w:marLeft w:val="0"/>
          <w:marRight w:val="0"/>
          <w:marTop w:val="0"/>
          <w:marBottom w:val="0"/>
          <w:divBdr>
            <w:top w:val="none" w:sz="0" w:space="0" w:color="auto"/>
            <w:left w:val="none" w:sz="0" w:space="0" w:color="auto"/>
            <w:bottom w:val="none" w:sz="0" w:space="0" w:color="auto"/>
            <w:right w:val="none" w:sz="0" w:space="0" w:color="auto"/>
          </w:divBdr>
          <w:divsChild>
            <w:div w:id="1654404015">
              <w:marLeft w:val="0"/>
              <w:marRight w:val="0"/>
              <w:marTop w:val="0"/>
              <w:marBottom w:val="0"/>
              <w:divBdr>
                <w:top w:val="none" w:sz="0" w:space="0" w:color="auto"/>
                <w:left w:val="none" w:sz="0" w:space="0" w:color="auto"/>
                <w:bottom w:val="none" w:sz="0" w:space="0" w:color="auto"/>
                <w:right w:val="none" w:sz="0" w:space="0" w:color="auto"/>
              </w:divBdr>
            </w:div>
          </w:divsChild>
        </w:div>
        <w:div w:id="1355424295">
          <w:marLeft w:val="0"/>
          <w:marRight w:val="0"/>
          <w:marTop w:val="0"/>
          <w:marBottom w:val="0"/>
          <w:divBdr>
            <w:top w:val="none" w:sz="0" w:space="0" w:color="auto"/>
            <w:left w:val="none" w:sz="0" w:space="0" w:color="auto"/>
            <w:bottom w:val="none" w:sz="0" w:space="0" w:color="auto"/>
            <w:right w:val="none" w:sz="0" w:space="0" w:color="auto"/>
          </w:divBdr>
          <w:divsChild>
            <w:div w:id="337003607">
              <w:marLeft w:val="0"/>
              <w:marRight w:val="0"/>
              <w:marTop w:val="0"/>
              <w:marBottom w:val="0"/>
              <w:divBdr>
                <w:top w:val="none" w:sz="0" w:space="0" w:color="auto"/>
                <w:left w:val="none" w:sz="0" w:space="0" w:color="auto"/>
                <w:bottom w:val="none" w:sz="0" w:space="0" w:color="auto"/>
                <w:right w:val="none" w:sz="0" w:space="0" w:color="auto"/>
              </w:divBdr>
            </w:div>
          </w:divsChild>
        </w:div>
        <w:div w:id="1370648011">
          <w:marLeft w:val="0"/>
          <w:marRight w:val="0"/>
          <w:marTop w:val="0"/>
          <w:marBottom w:val="0"/>
          <w:divBdr>
            <w:top w:val="none" w:sz="0" w:space="0" w:color="auto"/>
            <w:left w:val="none" w:sz="0" w:space="0" w:color="auto"/>
            <w:bottom w:val="none" w:sz="0" w:space="0" w:color="auto"/>
            <w:right w:val="none" w:sz="0" w:space="0" w:color="auto"/>
          </w:divBdr>
          <w:divsChild>
            <w:div w:id="101732927">
              <w:marLeft w:val="0"/>
              <w:marRight w:val="0"/>
              <w:marTop w:val="0"/>
              <w:marBottom w:val="0"/>
              <w:divBdr>
                <w:top w:val="none" w:sz="0" w:space="0" w:color="auto"/>
                <w:left w:val="none" w:sz="0" w:space="0" w:color="auto"/>
                <w:bottom w:val="none" w:sz="0" w:space="0" w:color="auto"/>
                <w:right w:val="none" w:sz="0" w:space="0" w:color="auto"/>
              </w:divBdr>
            </w:div>
          </w:divsChild>
        </w:div>
        <w:div w:id="1382289743">
          <w:marLeft w:val="0"/>
          <w:marRight w:val="0"/>
          <w:marTop w:val="0"/>
          <w:marBottom w:val="0"/>
          <w:divBdr>
            <w:top w:val="none" w:sz="0" w:space="0" w:color="auto"/>
            <w:left w:val="none" w:sz="0" w:space="0" w:color="auto"/>
            <w:bottom w:val="none" w:sz="0" w:space="0" w:color="auto"/>
            <w:right w:val="none" w:sz="0" w:space="0" w:color="auto"/>
          </w:divBdr>
          <w:divsChild>
            <w:div w:id="1666207588">
              <w:marLeft w:val="0"/>
              <w:marRight w:val="0"/>
              <w:marTop w:val="0"/>
              <w:marBottom w:val="0"/>
              <w:divBdr>
                <w:top w:val="none" w:sz="0" w:space="0" w:color="auto"/>
                <w:left w:val="none" w:sz="0" w:space="0" w:color="auto"/>
                <w:bottom w:val="none" w:sz="0" w:space="0" w:color="auto"/>
                <w:right w:val="none" w:sz="0" w:space="0" w:color="auto"/>
              </w:divBdr>
            </w:div>
          </w:divsChild>
        </w:div>
        <w:div w:id="1459102284">
          <w:marLeft w:val="0"/>
          <w:marRight w:val="0"/>
          <w:marTop w:val="0"/>
          <w:marBottom w:val="0"/>
          <w:divBdr>
            <w:top w:val="none" w:sz="0" w:space="0" w:color="auto"/>
            <w:left w:val="none" w:sz="0" w:space="0" w:color="auto"/>
            <w:bottom w:val="none" w:sz="0" w:space="0" w:color="auto"/>
            <w:right w:val="none" w:sz="0" w:space="0" w:color="auto"/>
          </w:divBdr>
          <w:divsChild>
            <w:div w:id="2048066319">
              <w:marLeft w:val="0"/>
              <w:marRight w:val="0"/>
              <w:marTop w:val="0"/>
              <w:marBottom w:val="0"/>
              <w:divBdr>
                <w:top w:val="none" w:sz="0" w:space="0" w:color="auto"/>
                <w:left w:val="none" w:sz="0" w:space="0" w:color="auto"/>
                <w:bottom w:val="none" w:sz="0" w:space="0" w:color="auto"/>
                <w:right w:val="none" w:sz="0" w:space="0" w:color="auto"/>
              </w:divBdr>
            </w:div>
          </w:divsChild>
        </w:div>
        <w:div w:id="1511722084">
          <w:marLeft w:val="0"/>
          <w:marRight w:val="0"/>
          <w:marTop w:val="0"/>
          <w:marBottom w:val="0"/>
          <w:divBdr>
            <w:top w:val="none" w:sz="0" w:space="0" w:color="auto"/>
            <w:left w:val="none" w:sz="0" w:space="0" w:color="auto"/>
            <w:bottom w:val="none" w:sz="0" w:space="0" w:color="auto"/>
            <w:right w:val="none" w:sz="0" w:space="0" w:color="auto"/>
          </w:divBdr>
          <w:divsChild>
            <w:div w:id="75134796">
              <w:marLeft w:val="0"/>
              <w:marRight w:val="0"/>
              <w:marTop w:val="0"/>
              <w:marBottom w:val="0"/>
              <w:divBdr>
                <w:top w:val="none" w:sz="0" w:space="0" w:color="auto"/>
                <w:left w:val="none" w:sz="0" w:space="0" w:color="auto"/>
                <w:bottom w:val="none" w:sz="0" w:space="0" w:color="auto"/>
                <w:right w:val="none" w:sz="0" w:space="0" w:color="auto"/>
              </w:divBdr>
            </w:div>
          </w:divsChild>
        </w:div>
        <w:div w:id="1513715163">
          <w:marLeft w:val="0"/>
          <w:marRight w:val="0"/>
          <w:marTop w:val="0"/>
          <w:marBottom w:val="0"/>
          <w:divBdr>
            <w:top w:val="none" w:sz="0" w:space="0" w:color="auto"/>
            <w:left w:val="none" w:sz="0" w:space="0" w:color="auto"/>
            <w:bottom w:val="none" w:sz="0" w:space="0" w:color="auto"/>
            <w:right w:val="none" w:sz="0" w:space="0" w:color="auto"/>
          </w:divBdr>
          <w:divsChild>
            <w:div w:id="1467313419">
              <w:marLeft w:val="0"/>
              <w:marRight w:val="0"/>
              <w:marTop w:val="0"/>
              <w:marBottom w:val="0"/>
              <w:divBdr>
                <w:top w:val="none" w:sz="0" w:space="0" w:color="auto"/>
                <w:left w:val="none" w:sz="0" w:space="0" w:color="auto"/>
                <w:bottom w:val="none" w:sz="0" w:space="0" w:color="auto"/>
                <w:right w:val="none" w:sz="0" w:space="0" w:color="auto"/>
              </w:divBdr>
            </w:div>
          </w:divsChild>
        </w:div>
        <w:div w:id="1565796357">
          <w:marLeft w:val="0"/>
          <w:marRight w:val="0"/>
          <w:marTop w:val="0"/>
          <w:marBottom w:val="0"/>
          <w:divBdr>
            <w:top w:val="none" w:sz="0" w:space="0" w:color="auto"/>
            <w:left w:val="none" w:sz="0" w:space="0" w:color="auto"/>
            <w:bottom w:val="none" w:sz="0" w:space="0" w:color="auto"/>
            <w:right w:val="none" w:sz="0" w:space="0" w:color="auto"/>
          </w:divBdr>
          <w:divsChild>
            <w:div w:id="1105344381">
              <w:marLeft w:val="0"/>
              <w:marRight w:val="0"/>
              <w:marTop w:val="0"/>
              <w:marBottom w:val="0"/>
              <w:divBdr>
                <w:top w:val="none" w:sz="0" w:space="0" w:color="auto"/>
                <w:left w:val="none" w:sz="0" w:space="0" w:color="auto"/>
                <w:bottom w:val="none" w:sz="0" w:space="0" w:color="auto"/>
                <w:right w:val="none" w:sz="0" w:space="0" w:color="auto"/>
              </w:divBdr>
            </w:div>
          </w:divsChild>
        </w:div>
        <w:div w:id="1565985271">
          <w:marLeft w:val="0"/>
          <w:marRight w:val="0"/>
          <w:marTop w:val="0"/>
          <w:marBottom w:val="0"/>
          <w:divBdr>
            <w:top w:val="none" w:sz="0" w:space="0" w:color="auto"/>
            <w:left w:val="none" w:sz="0" w:space="0" w:color="auto"/>
            <w:bottom w:val="none" w:sz="0" w:space="0" w:color="auto"/>
            <w:right w:val="none" w:sz="0" w:space="0" w:color="auto"/>
          </w:divBdr>
          <w:divsChild>
            <w:div w:id="2134248935">
              <w:marLeft w:val="0"/>
              <w:marRight w:val="0"/>
              <w:marTop w:val="0"/>
              <w:marBottom w:val="0"/>
              <w:divBdr>
                <w:top w:val="none" w:sz="0" w:space="0" w:color="auto"/>
                <w:left w:val="none" w:sz="0" w:space="0" w:color="auto"/>
                <w:bottom w:val="none" w:sz="0" w:space="0" w:color="auto"/>
                <w:right w:val="none" w:sz="0" w:space="0" w:color="auto"/>
              </w:divBdr>
            </w:div>
          </w:divsChild>
        </w:div>
        <w:div w:id="1572306059">
          <w:marLeft w:val="0"/>
          <w:marRight w:val="0"/>
          <w:marTop w:val="0"/>
          <w:marBottom w:val="0"/>
          <w:divBdr>
            <w:top w:val="none" w:sz="0" w:space="0" w:color="auto"/>
            <w:left w:val="none" w:sz="0" w:space="0" w:color="auto"/>
            <w:bottom w:val="none" w:sz="0" w:space="0" w:color="auto"/>
            <w:right w:val="none" w:sz="0" w:space="0" w:color="auto"/>
          </w:divBdr>
          <w:divsChild>
            <w:div w:id="938950593">
              <w:marLeft w:val="0"/>
              <w:marRight w:val="0"/>
              <w:marTop w:val="0"/>
              <w:marBottom w:val="0"/>
              <w:divBdr>
                <w:top w:val="none" w:sz="0" w:space="0" w:color="auto"/>
                <w:left w:val="none" w:sz="0" w:space="0" w:color="auto"/>
                <w:bottom w:val="none" w:sz="0" w:space="0" w:color="auto"/>
                <w:right w:val="none" w:sz="0" w:space="0" w:color="auto"/>
              </w:divBdr>
            </w:div>
          </w:divsChild>
        </w:div>
        <w:div w:id="1598517905">
          <w:marLeft w:val="0"/>
          <w:marRight w:val="0"/>
          <w:marTop w:val="0"/>
          <w:marBottom w:val="0"/>
          <w:divBdr>
            <w:top w:val="none" w:sz="0" w:space="0" w:color="auto"/>
            <w:left w:val="none" w:sz="0" w:space="0" w:color="auto"/>
            <w:bottom w:val="none" w:sz="0" w:space="0" w:color="auto"/>
            <w:right w:val="none" w:sz="0" w:space="0" w:color="auto"/>
          </w:divBdr>
          <w:divsChild>
            <w:div w:id="583999103">
              <w:marLeft w:val="0"/>
              <w:marRight w:val="0"/>
              <w:marTop w:val="0"/>
              <w:marBottom w:val="0"/>
              <w:divBdr>
                <w:top w:val="none" w:sz="0" w:space="0" w:color="auto"/>
                <w:left w:val="none" w:sz="0" w:space="0" w:color="auto"/>
                <w:bottom w:val="none" w:sz="0" w:space="0" w:color="auto"/>
                <w:right w:val="none" w:sz="0" w:space="0" w:color="auto"/>
              </w:divBdr>
            </w:div>
            <w:div w:id="1008337207">
              <w:marLeft w:val="0"/>
              <w:marRight w:val="0"/>
              <w:marTop w:val="0"/>
              <w:marBottom w:val="0"/>
              <w:divBdr>
                <w:top w:val="none" w:sz="0" w:space="0" w:color="auto"/>
                <w:left w:val="none" w:sz="0" w:space="0" w:color="auto"/>
                <w:bottom w:val="none" w:sz="0" w:space="0" w:color="auto"/>
                <w:right w:val="none" w:sz="0" w:space="0" w:color="auto"/>
              </w:divBdr>
            </w:div>
            <w:div w:id="2127850890">
              <w:marLeft w:val="0"/>
              <w:marRight w:val="0"/>
              <w:marTop w:val="0"/>
              <w:marBottom w:val="0"/>
              <w:divBdr>
                <w:top w:val="none" w:sz="0" w:space="0" w:color="auto"/>
                <w:left w:val="none" w:sz="0" w:space="0" w:color="auto"/>
                <w:bottom w:val="none" w:sz="0" w:space="0" w:color="auto"/>
                <w:right w:val="none" w:sz="0" w:space="0" w:color="auto"/>
              </w:divBdr>
            </w:div>
          </w:divsChild>
        </w:div>
        <w:div w:id="1619406508">
          <w:marLeft w:val="0"/>
          <w:marRight w:val="0"/>
          <w:marTop w:val="0"/>
          <w:marBottom w:val="0"/>
          <w:divBdr>
            <w:top w:val="none" w:sz="0" w:space="0" w:color="auto"/>
            <w:left w:val="none" w:sz="0" w:space="0" w:color="auto"/>
            <w:bottom w:val="none" w:sz="0" w:space="0" w:color="auto"/>
            <w:right w:val="none" w:sz="0" w:space="0" w:color="auto"/>
          </w:divBdr>
          <w:divsChild>
            <w:div w:id="1558315451">
              <w:marLeft w:val="0"/>
              <w:marRight w:val="0"/>
              <w:marTop w:val="0"/>
              <w:marBottom w:val="0"/>
              <w:divBdr>
                <w:top w:val="none" w:sz="0" w:space="0" w:color="auto"/>
                <w:left w:val="none" w:sz="0" w:space="0" w:color="auto"/>
                <w:bottom w:val="none" w:sz="0" w:space="0" w:color="auto"/>
                <w:right w:val="none" w:sz="0" w:space="0" w:color="auto"/>
              </w:divBdr>
            </w:div>
          </w:divsChild>
        </w:div>
        <w:div w:id="1625385940">
          <w:marLeft w:val="0"/>
          <w:marRight w:val="0"/>
          <w:marTop w:val="0"/>
          <w:marBottom w:val="0"/>
          <w:divBdr>
            <w:top w:val="none" w:sz="0" w:space="0" w:color="auto"/>
            <w:left w:val="none" w:sz="0" w:space="0" w:color="auto"/>
            <w:bottom w:val="none" w:sz="0" w:space="0" w:color="auto"/>
            <w:right w:val="none" w:sz="0" w:space="0" w:color="auto"/>
          </w:divBdr>
          <w:divsChild>
            <w:div w:id="1336805269">
              <w:marLeft w:val="0"/>
              <w:marRight w:val="0"/>
              <w:marTop w:val="0"/>
              <w:marBottom w:val="0"/>
              <w:divBdr>
                <w:top w:val="none" w:sz="0" w:space="0" w:color="auto"/>
                <w:left w:val="none" w:sz="0" w:space="0" w:color="auto"/>
                <w:bottom w:val="none" w:sz="0" w:space="0" w:color="auto"/>
                <w:right w:val="none" w:sz="0" w:space="0" w:color="auto"/>
              </w:divBdr>
            </w:div>
          </w:divsChild>
        </w:div>
        <w:div w:id="1627856062">
          <w:marLeft w:val="0"/>
          <w:marRight w:val="0"/>
          <w:marTop w:val="0"/>
          <w:marBottom w:val="0"/>
          <w:divBdr>
            <w:top w:val="none" w:sz="0" w:space="0" w:color="auto"/>
            <w:left w:val="none" w:sz="0" w:space="0" w:color="auto"/>
            <w:bottom w:val="none" w:sz="0" w:space="0" w:color="auto"/>
            <w:right w:val="none" w:sz="0" w:space="0" w:color="auto"/>
          </w:divBdr>
          <w:divsChild>
            <w:div w:id="1433165119">
              <w:marLeft w:val="0"/>
              <w:marRight w:val="0"/>
              <w:marTop w:val="0"/>
              <w:marBottom w:val="0"/>
              <w:divBdr>
                <w:top w:val="none" w:sz="0" w:space="0" w:color="auto"/>
                <w:left w:val="none" w:sz="0" w:space="0" w:color="auto"/>
                <w:bottom w:val="none" w:sz="0" w:space="0" w:color="auto"/>
                <w:right w:val="none" w:sz="0" w:space="0" w:color="auto"/>
              </w:divBdr>
            </w:div>
          </w:divsChild>
        </w:div>
        <w:div w:id="1649817297">
          <w:marLeft w:val="0"/>
          <w:marRight w:val="0"/>
          <w:marTop w:val="0"/>
          <w:marBottom w:val="0"/>
          <w:divBdr>
            <w:top w:val="none" w:sz="0" w:space="0" w:color="auto"/>
            <w:left w:val="none" w:sz="0" w:space="0" w:color="auto"/>
            <w:bottom w:val="none" w:sz="0" w:space="0" w:color="auto"/>
            <w:right w:val="none" w:sz="0" w:space="0" w:color="auto"/>
          </w:divBdr>
          <w:divsChild>
            <w:div w:id="1965580908">
              <w:marLeft w:val="0"/>
              <w:marRight w:val="0"/>
              <w:marTop w:val="0"/>
              <w:marBottom w:val="0"/>
              <w:divBdr>
                <w:top w:val="none" w:sz="0" w:space="0" w:color="auto"/>
                <w:left w:val="none" w:sz="0" w:space="0" w:color="auto"/>
                <w:bottom w:val="none" w:sz="0" w:space="0" w:color="auto"/>
                <w:right w:val="none" w:sz="0" w:space="0" w:color="auto"/>
              </w:divBdr>
            </w:div>
          </w:divsChild>
        </w:div>
        <w:div w:id="1650478112">
          <w:marLeft w:val="0"/>
          <w:marRight w:val="0"/>
          <w:marTop w:val="0"/>
          <w:marBottom w:val="0"/>
          <w:divBdr>
            <w:top w:val="none" w:sz="0" w:space="0" w:color="auto"/>
            <w:left w:val="none" w:sz="0" w:space="0" w:color="auto"/>
            <w:bottom w:val="none" w:sz="0" w:space="0" w:color="auto"/>
            <w:right w:val="none" w:sz="0" w:space="0" w:color="auto"/>
          </w:divBdr>
          <w:divsChild>
            <w:div w:id="53697618">
              <w:marLeft w:val="0"/>
              <w:marRight w:val="0"/>
              <w:marTop w:val="0"/>
              <w:marBottom w:val="0"/>
              <w:divBdr>
                <w:top w:val="none" w:sz="0" w:space="0" w:color="auto"/>
                <w:left w:val="none" w:sz="0" w:space="0" w:color="auto"/>
                <w:bottom w:val="none" w:sz="0" w:space="0" w:color="auto"/>
                <w:right w:val="none" w:sz="0" w:space="0" w:color="auto"/>
              </w:divBdr>
            </w:div>
          </w:divsChild>
        </w:div>
        <w:div w:id="1662923349">
          <w:marLeft w:val="0"/>
          <w:marRight w:val="0"/>
          <w:marTop w:val="0"/>
          <w:marBottom w:val="0"/>
          <w:divBdr>
            <w:top w:val="none" w:sz="0" w:space="0" w:color="auto"/>
            <w:left w:val="none" w:sz="0" w:space="0" w:color="auto"/>
            <w:bottom w:val="none" w:sz="0" w:space="0" w:color="auto"/>
            <w:right w:val="none" w:sz="0" w:space="0" w:color="auto"/>
          </w:divBdr>
          <w:divsChild>
            <w:div w:id="1823154825">
              <w:marLeft w:val="0"/>
              <w:marRight w:val="0"/>
              <w:marTop w:val="0"/>
              <w:marBottom w:val="0"/>
              <w:divBdr>
                <w:top w:val="none" w:sz="0" w:space="0" w:color="auto"/>
                <w:left w:val="none" w:sz="0" w:space="0" w:color="auto"/>
                <w:bottom w:val="none" w:sz="0" w:space="0" w:color="auto"/>
                <w:right w:val="none" w:sz="0" w:space="0" w:color="auto"/>
              </w:divBdr>
            </w:div>
          </w:divsChild>
        </w:div>
        <w:div w:id="1695644058">
          <w:marLeft w:val="0"/>
          <w:marRight w:val="0"/>
          <w:marTop w:val="0"/>
          <w:marBottom w:val="0"/>
          <w:divBdr>
            <w:top w:val="none" w:sz="0" w:space="0" w:color="auto"/>
            <w:left w:val="none" w:sz="0" w:space="0" w:color="auto"/>
            <w:bottom w:val="none" w:sz="0" w:space="0" w:color="auto"/>
            <w:right w:val="none" w:sz="0" w:space="0" w:color="auto"/>
          </w:divBdr>
          <w:divsChild>
            <w:div w:id="163321493">
              <w:marLeft w:val="0"/>
              <w:marRight w:val="0"/>
              <w:marTop w:val="0"/>
              <w:marBottom w:val="0"/>
              <w:divBdr>
                <w:top w:val="none" w:sz="0" w:space="0" w:color="auto"/>
                <w:left w:val="none" w:sz="0" w:space="0" w:color="auto"/>
                <w:bottom w:val="none" w:sz="0" w:space="0" w:color="auto"/>
                <w:right w:val="none" w:sz="0" w:space="0" w:color="auto"/>
              </w:divBdr>
            </w:div>
          </w:divsChild>
        </w:div>
        <w:div w:id="1752770392">
          <w:marLeft w:val="0"/>
          <w:marRight w:val="0"/>
          <w:marTop w:val="0"/>
          <w:marBottom w:val="0"/>
          <w:divBdr>
            <w:top w:val="none" w:sz="0" w:space="0" w:color="auto"/>
            <w:left w:val="none" w:sz="0" w:space="0" w:color="auto"/>
            <w:bottom w:val="none" w:sz="0" w:space="0" w:color="auto"/>
            <w:right w:val="none" w:sz="0" w:space="0" w:color="auto"/>
          </w:divBdr>
          <w:divsChild>
            <w:div w:id="1231649593">
              <w:marLeft w:val="0"/>
              <w:marRight w:val="0"/>
              <w:marTop w:val="0"/>
              <w:marBottom w:val="0"/>
              <w:divBdr>
                <w:top w:val="none" w:sz="0" w:space="0" w:color="auto"/>
                <w:left w:val="none" w:sz="0" w:space="0" w:color="auto"/>
                <w:bottom w:val="none" w:sz="0" w:space="0" w:color="auto"/>
                <w:right w:val="none" w:sz="0" w:space="0" w:color="auto"/>
              </w:divBdr>
            </w:div>
          </w:divsChild>
        </w:div>
        <w:div w:id="1773937537">
          <w:marLeft w:val="0"/>
          <w:marRight w:val="0"/>
          <w:marTop w:val="0"/>
          <w:marBottom w:val="0"/>
          <w:divBdr>
            <w:top w:val="none" w:sz="0" w:space="0" w:color="auto"/>
            <w:left w:val="none" w:sz="0" w:space="0" w:color="auto"/>
            <w:bottom w:val="none" w:sz="0" w:space="0" w:color="auto"/>
            <w:right w:val="none" w:sz="0" w:space="0" w:color="auto"/>
          </w:divBdr>
          <w:divsChild>
            <w:div w:id="1036348463">
              <w:marLeft w:val="0"/>
              <w:marRight w:val="0"/>
              <w:marTop w:val="0"/>
              <w:marBottom w:val="0"/>
              <w:divBdr>
                <w:top w:val="none" w:sz="0" w:space="0" w:color="auto"/>
                <w:left w:val="none" w:sz="0" w:space="0" w:color="auto"/>
                <w:bottom w:val="none" w:sz="0" w:space="0" w:color="auto"/>
                <w:right w:val="none" w:sz="0" w:space="0" w:color="auto"/>
              </w:divBdr>
            </w:div>
          </w:divsChild>
        </w:div>
        <w:div w:id="1965454088">
          <w:marLeft w:val="0"/>
          <w:marRight w:val="0"/>
          <w:marTop w:val="0"/>
          <w:marBottom w:val="0"/>
          <w:divBdr>
            <w:top w:val="none" w:sz="0" w:space="0" w:color="auto"/>
            <w:left w:val="none" w:sz="0" w:space="0" w:color="auto"/>
            <w:bottom w:val="none" w:sz="0" w:space="0" w:color="auto"/>
            <w:right w:val="none" w:sz="0" w:space="0" w:color="auto"/>
          </w:divBdr>
          <w:divsChild>
            <w:div w:id="106823790">
              <w:marLeft w:val="0"/>
              <w:marRight w:val="0"/>
              <w:marTop w:val="0"/>
              <w:marBottom w:val="0"/>
              <w:divBdr>
                <w:top w:val="none" w:sz="0" w:space="0" w:color="auto"/>
                <w:left w:val="none" w:sz="0" w:space="0" w:color="auto"/>
                <w:bottom w:val="none" w:sz="0" w:space="0" w:color="auto"/>
                <w:right w:val="none" w:sz="0" w:space="0" w:color="auto"/>
              </w:divBdr>
            </w:div>
          </w:divsChild>
        </w:div>
        <w:div w:id="1966621841">
          <w:marLeft w:val="0"/>
          <w:marRight w:val="0"/>
          <w:marTop w:val="0"/>
          <w:marBottom w:val="0"/>
          <w:divBdr>
            <w:top w:val="none" w:sz="0" w:space="0" w:color="auto"/>
            <w:left w:val="none" w:sz="0" w:space="0" w:color="auto"/>
            <w:bottom w:val="none" w:sz="0" w:space="0" w:color="auto"/>
            <w:right w:val="none" w:sz="0" w:space="0" w:color="auto"/>
          </w:divBdr>
          <w:divsChild>
            <w:div w:id="1080911462">
              <w:marLeft w:val="0"/>
              <w:marRight w:val="0"/>
              <w:marTop w:val="0"/>
              <w:marBottom w:val="0"/>
              <w:divBdr>
                <w:top w:val="none" w:sz="0" w:space="0" w:color="auto"/>
                <w:left w:val="none" w:sz="0" w:space="0" w:color="auto"/>
                <w:bottom w:val="none" w:sz="0" w:space="0" w:color="auto"/>
                <w:right w:val="none" w:sz="0" w:space="0" w:color="auto"/>
              </w:divBdr>
            </w:div>
          </w:divsChild>
        </w:div>
        <w:div w:id="1969049073">
          <w:marLeft w:val="0"/>
          <w:marRight w:val="0"/>
          <w:marTop w:val="0"/>
          <w:marBottom w:val="0"/>
          <w:divBdr>
            <w:top w:val="none" w:sz="0" w:space="0" w:color="auto"/>
            <w:left w:val="none" w:sz="0" w:space="0" w:color="auto"/>
            <w:bottom w:val="none" w:sz="0" w:space="0" w:color="auto"/>
            <w:right w:val="none" w:sz="0" w:space="0" w:color="auto"/>
          </w:divBdr>
          <w:divsChild>
            <w:div w:id="439572039">
              <w:marLeft w:val="0"/>
              <w:marRight w:val="0"/>
              <w:marTop w:val="0"/>
              <w:marBottom w:val="0"/>
              <w:divBdr>
                <w:top w:val="none" w:sz="0" w:space="0" w:color="auto"/>
                <w:left w:val="none" w:sz="0" w:space="0" w:color="auto"/>
                <w:bottom w:val="none" w:sz="0" w:space="0" w:color="auto"/>
                <w:right w:val="none" w:sz="0" w:space="0" w:color="auto"/>
              </w:divBdr>
            </w:div>
          </w:divsChild>
        </w:div>
        <w:div w:id="1971981757">
          <w:marLeft w:val="0"/>
          <w:marRight w:val="0"/>
          <w:marTop w:val="0"/>
          <w:marBottom w:val="0"/>
          <w:divBdr>
            <w:top w:val="none" w:sz="0" w:space="0" w:color="auto"/>
            <w:left w:val="none" w:sz="0" w:space="0" w:color="auto"/>
            <w:bottom w:val="none" w:sz="0" w:space="0" w:color="auto"/>
            <w:right w:val="none" w:sz="0" w:space="0" w:color="auto"/>
          </w:divBdr>
          <w:divsChild>
            <w:div w:id="1269656757">
              <w:marLeft w:val="0"/>
              <w:marRight w:val="0"/>
              <w:marTop w:val="0"/>
              <w:marBottom w:val="0"/>
              <w:divBdr>
                <w:top w:val="none" w:sz="0" w:space="0" w:color="auto"/>
                <w:left w:val="none" w:sz="0" w:space="0" w:color="auto"/>
                <w:bottom w:val="none" w:sz="0" w:space="0" w:color="auto"/>
                <w:right w:val="none" w:sz="0" w:space="0" w:color="auto"/>
              </w:divBdr>
            </w:div>
          </w:divsChild>
        </w:div>
        <w:div w:id="2036495312">
          <w:marLeft w:val="0"/>
          <w:marRight w:val="0"/>
          <w:marTop w:val="0"/>
          <w:marBottom w:val="0"/>
          <w:divBdr>
            <w:top w:val="none" w:sz="0" w:space="0" w:color="auto"/>
            <w:left w:val="none" w:sz="0" w:space="0" w:color="auto"/>
            <w:bottom w:val="none" w:sz="0" w:space="0" w:color="auto"/>
            <w:right w:val="none" w:sz="0" w:space="0" w:color="auto"/>
          </w:divBdr>
          <w:divsChild>
            <w:div w:id="130829793">
              <w:marLeft w:val="0"/>
              <w:marRight w:val="0"/>
              <w:marTop w:val="0"/>
              <w:marBottom w:val="0"/>
              <w:divBdr>
                <w:top w:val="none" w:sz="0" w:space="0" w:color="auto"/>
                <w:left w:val="none" w:sz="0" w:space="0" w:color="auto"/>
                <w:bottom w:val="none" w:sz="0" w:space="0" w:color="auto"/>
                <w:right w:val="none" w:sz="0" w:space="0" w:color="auto"/>
              </w:divBdr>
            </w:div>
            <w:div w:id="142547533">
              <w:marLeft w:val="0"/>
              <w:marRight w:val="0"/>
              <w:marTop w:val="0"/>
              <w:marBottom w:val="0"/>
              <w:divBdr>
                <w:top w:val="none" w:sz="0" w:space="0" w:color="auto"/>
                <w:left w:val="none" w:sz="0" w:space="0" w:color="auto"/>
                <w:bottom w:val="none" w:sz="0" w:space="0" w:color="auto"/>
                <w:right w:val="none" w:sz="0" w:space="0" w:color="auto"/>
              </w:divBdr>
            </w:div>
            <w:div w:id="164637036">
              <w:marLeft w:val="0"/>
              <w:marRight w:val="0"/>
              <w:marTop w:val="0"/>
              <w:marBottom w:val="0"/>
              <w:divBdr>
                <w:top w:val="none" w:sz="0" w:space="0" w:color="auto"/>
                <w:left w:val="none" w:sz="0" w:space="0" w:color="auto"/>
                <w:bottom w:val="none" w:sz="0" w:space="0" w:color="auto"/>
                <w:right w:val="none" w:sz="0" w:space="0" w:color="auto"/>
              </w:divBdr>
            </w:div>
            <w:div w:id="172114550">
              <w:marLeft w:val="0"/>
              <w:marRight w:val="0"/>
              <w:marTop w:val="0"/>
              <w:marBottom w:val="0"/>
              <w:divBdr>
                <w:top w:val="none" w:sz="0" w:space="0" w:color="auto"/>
                <w:left w:val="none" w:sz="0" w:space="0" w:color="auto"/>
                <w:bottom w:val="none" w:sz="0" w:space="0" w:color="auto"/>
                <w:right w:val="none" w:sz="0" w:space="0" w:color="auto"/>
              </w:divBdr>
            </w:div>
            <w:div w:id="187985920">
              <w:marLeft w:val="0"/>
              <w:marRight w:val="0"/>
              <w:marTop w:val="0"/>
              <w:marBottom w:val="0"/>
              <w:divBdr>
                <w:top w:val="none" w:sz="0" w:space="0" w:color="auto"/>
                <w:left w:val="none" w:sz="0" w:space="0" w:color="auto"/>
                <w:bottom w:val="none" w:sz="0" w:space="0" w:color="auto"/>
                <w:right w:val="none" w:sz="0" w:space="0" w:color="auto"/>
              </w:divBdr>
            </w:div>
            <w:div w:id="260187170">
              <w:marLeft w:val="0"/>
              <w:marRight w:val="0"/>
              <w:marTop w:val="0"/>
              <w:marBottom w:val="0"/>
              <w:divBdr>
                <w:top w:val="none" w:sz="0" w:space="0" w:color="auto"/>
                <w:left w:val="none" w:sz="0" w:space="0" w:color="auto"/>
                <w:bottom w:val="none" w:sz="0" w:space="0" w:color="auto"/>
                <w:right w:val="none" w:sz="0" w:space="0" w:color="auto"/>
              </w:divBdr>
            </w:div>
            <w:div w:id="285818934">
              <w:marLeft w:val="0"/>
              <w:marRight w:val="0"/>
              <w:marTop w:val="0"/>
              <w:marBottom w:val="0"/>
              <w:divBdr>
                <w:top w:val="none" w:sz="0" w:space="0" w:color="auto"/>
                <w:left w:val="none" w:sz="0" w:space="0" w:color="auto"/>
                <w:bottom w:val="none" w:sz="0" w:space="0" w:color="auto"/>
                <w:right w:val="none" w:sz="0" w:space="0" w:color="auto"/>
              </w:divBdr>
            </w:div>
            <w:div w:id="303004385">
              <w:marLeft w:val="0"/>
              <w:marRight w:val="0"/>
              <w:marTop w:val="0"/>
              <w:marBottom w:val="0"/>
              <w:divBdr>
                <w:top w:val="none" w:sz="0" w:space="0" w:color="auto"/>
                <w:left w:val="none" w:sz="0" w:space="0" w:color="auto"/>
                <w:bottom w:val="none" w:sz="0" w:space="0" w:color="auto"/>
                <w:right w:val="none" w:sz="0" w:space="0" w:color="auto"/>
              </w:divBdr>
            </w:div>
            <w:div w:id="369109557">
              <w:marLeft w:val="0"/>
              <w:marRight w:val="0"/>
              <w:marTop w:val="0"/>
              <w:marBottom w:val="0"/>
              <w:divBdr>
                <w:top w:val="none" w:sz="0" w:space="0" w:color="auto"/>
                <w:left w:val="none" w:sz="0" w:space="0" w:color="auto"/>
                <w:bottom w:val="none" w:sz="0" w:space="0" w:color="auto"/>
                <w:right w:val="none" w:sz="0" w:space="0" w:color="auto"/>
              </w:divBdr>
            </w:div>
            <w:div w:id="544759470">
              <w:marLeft w:val="0"/>
              <w:marRight w:val="0"/>
              <w:marTop w:val="0"/>
              <w:marBottom w:val="0"/>
              <w:divBdr>
                <w:top w:val="none" w:sz="0" w:space="0" w:color="auto"/>
                <w:left w:val="none" w:sz="0" w:space="0" w:color="auto"/>
                <w:bottom w:val="none" w:sz="0" w:space="0" w:color="auto"/>
                <w:right w:val="none" w:sz="0" w:space="0" w:color="auto"/>
              </w:divBdr>
            </w:div>
            <w:div w:id="583686969">
              <w:marLeft w:val="0"/>
              <w:marRight w:val="0"/>
              <w:marTop w:val="0"/>
              <w:marBottom w:val="0"/>
              <w:divBdr>
                <w:top w:val="none" w:sz="0" w:space="0" w:color="auto"/>
                <w:left w:val="none" w:sz="0" w:space="0" w:color="auto"/>
                <w:bottom w:val="none" w:sz="0" w:space="0" w:color="auto"/>
                <w:right w:val="none" w:sz="0" w:space="0" w:color="auto"/>
              </w:divBdr>
            </w:div>
            <w:div w:id="645203021">
              <w:marLeft w:val="0"/>
              <w:marRight w:val="0"/>
              <w:marTop w:val="0"/>
              <w:marBottom w:val="0"/>
              <w:divBdr>
                <w:top w:val="none" w:sz="0" w:space="0" w:color="auto"/>
                <w:left w:val="none" w:sz="0" w:space="0" w:color="auto"/>
                <w:bottom w:val="none" w:sz="0" w:space="0" w:color="auto"/>
                <w:right w:val="none" w:sz="0" w:space="0" w:color="auto"/>
              </w:divBdr>
            </w:div>
            <w:div w:id="866872975">
              <w:marLeft w:val="0"/>
              <w:marRight w:val="0"/>
              <w:marTop w:val="0"/>
              <w:marBottom w:val="0"/>
              <w:divBdr>
                <w:top w:val="none" w:sz="0" w:space="0" w:color="auto"/>
                <w:left w:val="none" w:sz="0" w:space="0" w:color="auto"/>
                <w:bottom w:val="none" w:sz="0" w:space="0" w:color="auto"/>
                <w:right w:val="none" w:sz="0" w:space="0" w:color="auto"/>
              </w:divBdr>
            </w:div>
            <w:div w:id="907376011">
              <w:marLeft w:val="0"/>
              <w:marRight w:val="0"/>
              <w:marTop w:val="0"/>
              <w:marBottom w:val="0"/>
              <w:divBdr>
                <w:top w:val="none" w:sz="0" w:space="0" w:color="auto"/>
                <w:left w:val="none" w:sz="0" w:space="0" w:color="auto"/>
                <w:bottom w:val="none" w:sz="0" w:space="0" w:color="auto"/>
                <w:right w:val="none" w:sz="0" w:space="0" w:color="auto"/>
              </w:divBdr>
            </w:div>
            <w:div w:id="923958828">
              <w:marLeft w:val="0"/>
              <w:marRight w:val="0"/>
              <w:marTop w:val="0"/>
              <w:marBottom w:val="0"/>
              <w:divBdr>
                <w:top w:val="none" w:sz="0" w:space="0" w:color="auto"/>
                <w:left w:val="none" w:sz="0" w:space="0" w:color="auto"/>
                <w:bottom w:val="none" w:sz="0" w:space="0" w:color="auto"/>
                <w:right w:val="none" w:sz="0" w:space="0" w:color="auto"/>
              </w:divBdr>
            </w:div>
            <w:div w:id="1004212662">
              <w:marLeft w:val="0"/>
              <w:marRight w:val="0"/>
              <w:marTop w:val="0"/>
              <w:marBottom w:val="0"/>
              <w:divBdr>
                <w:top w:val="none" w:sz="0" w:space="0" w:color="auto"/>
                <w:left w:val="none" w:sz="0" w:space="0" w:color="auto"/>
                <w:bottom w:val="none" w:sz="0" w:space="0" w:color="auto"/>
                <w:right w:val="none" w:sz="0" w:space="0" w:color="auto"/>
              </w:divBdr>
            </w:div>
            <w:div w:id="1032611780">
              <w:marLeft w:val="0"/>
              <w:marRight w:val="0"/>
              <w:marTop w:val="0"/>
              <w:marBottom w:val="0"/>
              <w:divBdr>
                <w:top w:val="none" w:sz="0" w:space="0" w:color="auto"/>
                <w:left w:val="none" w:sz="0" w:space="0" w:color="auto"/>
                <w:bottom w:val="none" w:sz="0" w:space="0" w:color="auto"/>
                <w:right w:val="none" w:sz="0" w:space="0" w:color="auto"/>
              </w:divBdr>
            </w:div>
            <w:div w:id="1035887339">
              <w:marLeft w:val="0"/>
              <w:marRight w:val="0"/>
              <w:marTop w:val="0"/>
              <w:marBottom w:val="0"/>
              <w:divBdr>
                <w:top w:val="none" w:sz="0" w:space="0" w:color="auto"/>
                <w:left w:val="none" w:sz="0" w:space="0" w:color="auto"/>
                <w:bottom w:val="none" w:sz="0" w:space="0" w:color="auto"/>
                <w:right w:val="none" w:sz="0" w:space="0" w:color="auto"/>
              </w:divBdr>
            </w:div>
            <w:div w:id="1036540903">
              <w:marLeft w:val="0"/>
              <w:marRight w:val="0"/>
              <w:marTop w:val="0"/>
              <w:marBottom w:val="0"/>
              <w:divBdr>
                <w:top w:val="none" w:sz="0" w:space="0" w:color="auto"/>
                <w:left w:val="none" w:sz="0" w:space="0" w:color="auto"/>
                <w:bottom w:val="none" w:sz="0" w:space="0" w:color="auto"/>
                <w:right w:val="none" w:sz="0" w:space="0" w:color="auto"/>
              </w:divBdr>
            </w:div>
            <w:div w:id="1156453359">
              <w:marLeft w:val="0"/>
              <w:marRight w:val="0"/>
              <w:marTop w:val="0"/>
              <w:marBottom w:val="0"/>
              <w:divBdr>
                <w:top w:val="none" w:sz="0" w:space="0" w:color="auto"/>
                <w:left w:val="none" w:sz="0" w:space="0" w:color="auto"/>
                <w:bottom w:val="none" w:sz="0" w:space="0" w:color="auto"/>
                <w:right w:val="none" w:sz="0" w:space="0" w:color="auto"/>
              </w:divBdr>
            </w:div>
            <w:div w:id="1178347111">
              <w:marLeft w:val="0"/>
              <w:marRight w:val="0"/>
              <w:marTop w:val="0"/>
              <w:marBottom w:val="0"/>
              <w:divBdr>
                <w:top w:val="none" w:sz="0" w:space="0" w:color="auto"/>
                <w:left w:val="none" w:sz="0" w:space="0" w:color="auto"/>
                <w:bottom w:val="none" w:sz="0" w:space="0" w:color="auto"/>
                <w:right w:val="none" w:sz="0" w:space="0" w:color="auto"/>
              </w:divBdr>
            </w:div>
            <w:div w:id="1234389174">
              <w:marLeft w:val="0"/>
              <w:marRight w:val="0"/>
              <w:marTop w:val="0"/>
              <w:marBottom w:val="0"/>
              <w:divBdr>
                <w:top w:val="none" w:sz="0" w:space="0" w:color="auto"/>
                <w:left w:val="none" w:sz="0" w:space="0" w:color="auto"/>
                <w:bottom w:val="none" w:sz="0" w:space="0" w:color="auto"/>
                <w:right w:val="none" w:sz="0" w:space="0" w:color="auto"/>
              </w:divBdr>
            </w:div>
            <w:div w:id="1333491780">
              <w:marLeft w:val="0"/>
              <w:marRight w:val="0"/>
              <w:marTop w:val="0"/>
              <w:marBottom w:val="0"/>
              <w:divBdr>
                <w:top w:val="none" w:sz="0" w:space="0" w:color="auto"/>
                <w:left w:val="none" w:sz="0" w:space="0" w:color="auto"/>
                <w:bottom w:val="none" w:sz="0" w:space="0" w:color="auto"/>
                <w:right w:val="none" w:sz="0" w:space="0" w:color="auto"/>
              </w:divBdr>
            </w:div>
            <w:div w:id="1341195156">
              <w:marLeft w:val="0"/>
              <w:marRight w:val="0"/>
              <w:marTop w:val="0"/>
              <w:marBottom w:val="0"/>
              <w:divBdr>
                <w:top w:val="none" w:sz="0" w:space="0" w:color="auto"/>
                <w:left w:val="none" w:sz="0" w:space="0" w:color="auto"/>
                <w:bottom w:val="none" w:sz="0" w:space="0" w:color="auto"/>
                <w:right w:val="none" w:sz="0" w:space="0" w:color="auto"/>
              </w:divBdr>
            </w:div>
            <w:div w:id="1368529425">
              <w:marLeft w:val="0"/>
              <w:marRight w:val="0"/>
              <w:marTop w:val="0"/>
              <w:marBottom w:val="0"/>
              <w:divBdr>
                <w:top w:val="none" w:sz="0" w:space="0" w:color="auto"/>
                <w:left w:val="none" w:sz="0" w:space="0" w:color="auto"/>
                <w:bottom w:val="none" w:sz="0" w:space="0" w:color="auto"/>
                <w:right w:val="none" w:sz="0" w:space="0" w:color="auto"/>
              </w:divBdr>
            </w:div>
            <w:div w:id="1520241215">
              <w:marLeft w:val="0"/>
              <w:marRight w:val="0"/>
              <w:marTop w:val="0"/>
              <w:marBottom w:val="0"/>
              <w:divBdr>
                <w:top w:val="none" w:sz="0" w:space="0" w:color="auto"/>
                <w:left w:val="none" w:sz="0" w:space="0" w:color="auto"/>
                <w:bottom w:val="none" w:sz="0" w:space="0" w:color="auto"/>
                <w:right w:val="none" w:sz="0" w:space="0" w:color="auto"/>
              </w:divBdr>
            </w:div>
            <w:div w:id="1592660038">
              <w:marLeft w:val="0"/>
              <w:marRight w:val="0"/>
              <w:marTop w:val="0"/>
              <w:marBottom w:val="0"/>
              <w:divBdr>
                <w:top w:val="none" w:sz="0" w:space="0" w:color="auto"/>
                <w:left w:val="none" w:sz="0" w:space="0" w:color="auto"/>
                <w:bottom w:val="none" w:sz="0" w:space="0" w:color="auto"/>
                <w:right w:val="none" w:sz="0" w:space="0" w:color="auto"/>
              </w:divBdr>
            </w:div>
            <w:div w:id="1593471043">
              <w:marLeft w:val="0"/>
              <w:marRight w:val="0"/>
              <w:marTop w:val="0"/>
              <w:marBottom w:val="0"/>
              <w:divBdr>
                <w:top w:val="none" w:sz="0" w:space="0" w:color="auto"/>
                <w:left w:val="none" w:sz="0" w:space="0" w:color="auto"/>
                <w:bottom w:val="none" w:sz="0" w:space="0" w:color="auto"/>
                <w:right w:val="none" w:sz="0" w:space="0" w:color="auto"/>
              </w:divBdr>
            </w:div>
            <w:div w:id="1656226283">
              <w:marLeft w:val="0"/>
              <w:marRight w:val="0"/>
              <w:marTop w:val="0"/>
              <w:marBottom w:val="0"/>
              <w:divBdr>
                <w:top w:val="none" w:sz="0" w:space="0" w:color="auto"/>
                <w:left w:val="none" w:sz="0" w:space="0" w:color="auto"/>
                <w:bottom w:val="none" w:sz="0" w:space="0" w:color="auto"/>
                <w:right w:val="none" w:sz="0" w:space="0" w:color="auto"/>
              </w:divBdr>
            </w:div>
            <w:div w:id="1672413264">
              <w:marLeft w:val="0"/>
              <w:marRight w:val="0"/>
              <w:marTop w:val="0"/>
              <w:marBottom w:val="0"/>
              <w:divBdr>
                <w:top w:val="none" w:sz="0" w:space="0" w:color="auto"/>
                <w:left w:val="none" w:sz="0" w:space="0" w:color="auto"/>
                <w:bottom w:val="none" w:sz="0" w:space="0" w:color="auto"/>
                <w:right w:val="none" w:sz="0" w:space="0" w:color="auto"/>
              </w:divBdr>
            </w:div>
            <w:div w:id="1673682429">
              <w:marLeft w:val="0"/>
              <w:marRight w:val="0"/>
              <w:marTop w:val="0"/>
              <w:marBottom w:val="0"/>
              <w:divBdr>
                <w:top w:val="none" w:sz="0" w:space="0" w:color="auto"/>
                <w:left w:val="none" w:sz="0" w:space="0" w:color="auto"/>
                <w:bottom w:val="none" w:sz="0" w:space="0" w:color="auto"/>
                <w:right w:val="none" w:sz="0" w:space="0" w:color="auto"/>
              </w:divBdr>
            </w:div>
            <w:div w:id="1682900381">
              <w:marLeft w:val="0"/>
              <w:marRight w:val="0"/>
              <w:marTop w:val="0"/>
              <w:marBottom w:val="0"/>
              <w:divBdr>
                <w:top w:val="none" w:sz="0" w:space="0" w:color="auto"/>
                <w:left w:val="none" w:sz="0" w:space="0" w:color="auto"/>
                <w:bottom w:val="none" w:sz="0" w:space="0" w:color="auto"/>
                <w:right w:val="none" w:sz="0" w:space="0" w:color="auto"/>
              </w:divBdr>
            </w:div>
            <w:div w:id="1690376628">
              <w:marLeft w:val="0"/>
              <w:marRight w:val="0"/>
              <w:marTop w:val="0"/>
              <w:marBottom w:val="0"/>
              <w:divBdr>
                <w:top w:val="none" w:sz="0" w:space="0" w:color="auto"/>
                <w:left w:val="none" w:sz="0" w:space="0" w:color="auto"/>
                <w:bottom w:val="none" w:sz="0" w:space="0" w:color="auto"/>
                <w:right w:val="none" w:sz="0" w:space="0" w:color="auto"/>
              </w:divBdr>
            </w:div>
            <w:div w:id="1898975799">
              <w:marLeft w:val="0"/>
              <w:marRight w:val="0"/>
              <w:marTop w:val="0"/>
              <w:marBottom w:val="0"/>
              <w:divBdr>
                <w:top w:val="none" w:sz="0" w:space="0" w:color="auto"/>
                <w:left w:val="none" w:sz="0" w:space="0" w:color="auto"/>
                <w:bottom w:val="none" w:sz="0" w:space="0" w:color="auto"/>
                <w:right w:val="none" w:sz="0" w:space="0" w:color="auto"/>
              </w:divBdr>
            </w:div>
            <w:div w:id="1968005785">
              <w:marLeft w:val="0"/>
              <w:marRight w:val="0"/>
              <w:marTop w:val="0"/>
              <w:marBottom w:val="0"/>
              <w:divBdr>
                <w:top w:val="none" w:sz="0" w:space="0" w:color="auto"/>
                <w:left w:val="none" w:sz="0" w:space="0" w:color="auto"/>
                <w:bottom w:val="none" w:sz="0" w:space="0" w:color="auto"/>
                <w:right w:val="none" w:sz="0" w:space="0" w:color="auto"/>
              </w:divBdr>
            </w:div>
            <w:div w:id="1977030955">
              <w:marLeft w:val="0"/>
              <w:marRight w:val="0"/>
              <w:marTop w:val="0"/>
              <w:marBottom w:val="0"/>
              <w:divBdr>
                <w:top w:val="none" w:sz="0" w:space="0" w:color="auto"/>
                <w:left w:val="none" w:sz="0" w:space="0" w:color="auto"/>
                <w:bottom w:val="none" w:sz="0" w:space="0" w:color="auto"/>
                <w:right w:val="none" w:sz="0" w:space="0" w:color="auto"/>
              </w:divBdr>
            </w:div>
            <w:div w:id="2071491925">
              <w:marLeft w:val="0"/>
              <w:marRight w:val="0"/>
              <w:marTop w:val="0"/>
              <w:marBottom w:val="0"/>
              <w:divBdr>
                <w:top w:val="none" w:sz="0" w:space="0" w:color="auto"/>
                <w:left w:val="none" w:sz="0" w:space="0" w:color="auto"/>
                <w:bottom w:val="none" w:sz="0" w:space="0" w:color="auto"/>
                <w:right w:val="none" w:sz="0" w:space="0" w:color="auto"/>
              </w:divBdr>
            </w:div>
            <w:div w:id="2123836558">
              <w:marLeft w:val="0"/>
              <w:marRight w:val="0"/>
              <w:marTop w:val="0"/>
              <w:marBottom w:val="0"/>
              <w:divBdr>
                <w:top w:val="none" w:sz="0" w:space="0" w:color="auto"/>
                <w:left w:val="none" w:sz="0" w:space="0" w:color="auto"/>
                <w:bottom w:val="none" w:sz="0" w:space="0" w:color="auto"/>
                <w:right w:val="none" w:sz="0" w:space="0" w:color="auto"/>
              </w:divBdr>
            </w:div>
            <w:div w:id="2136757237">
              <w:marLeft w:val="0"/>
              <w:marRight w:val="0"/>
              <w:marTop w:val="0"/>
              <w:marBottom w:val="0"/>
              <w:divBdr>
                <w:top w:val="none" w:sz="0" w:space="0" w:color="auto"/>
                <w:left w:val="none" w:sz="0" w:space="0" w:color="auto"/>
                <w:bottom w:val="none" w:sz="0" w:space="0" w:color="auto"/>
                <w:right w:val="none" w:sz="0" w:space="0" w:color="auto"/>
              </w:divBdr>
            </w:div>
          </w:divsChild>
        </w:div>
        <w:div w:id="2107261772">
          <w:marLeft w:val="0"/>
          <w:marRight w:val="0"/>
          <w:marTop w:val="0"/>
          <w:marBottom w:val="0"/>
          <w:divBdr>
            <w:top w:val="none" w:sz="0" w:space="0" w:color="auto"/>
            <w:left w:val="none" w:sz="0" w:space="0" w:color="auto"/>
            <w:bottom w:val="none" w:sz="0" w:space="0" w:color="auto"/>
            <w:right w:val="none" w:sz="0" w:space="0" w:color="auto"/>
          </w:divBdr>
          <w:divsChild>
            <w:div w:id="220750845">
              <w:marLeft w:val="0"/>
              <w:marRight w:val="0"/>
              <w:marTop w:val="0"/>
              <w:marBottom w:val="0"/>
              <w:divBdr>
                <w:top w:val="none" w:sz="0" w:space="0" w:color="auto"/>
                <w:left w:val="none" w:sz="0" w:space="0" w:color="auto"/>
                <w:bottom w:val="none" w:sz="0" w:space="0" w:color="auto"/>
                <w:right w:val="none" w:sz="0" w:space="0" w:color="auto"/>
              </w:divBdr>
            </w:div>
          </w:divsChild>
        </w:div>
        <w:div w:id="2129548780">
          <w:marLeft w:val="0"/>
          <w:marRight w:val="0"/>
          <w:marTop w:val="0"/>
          <w:marBottom w:val="0"/>
          <w:divBdr>
            <w:top w:val="none" w:sz="0" w:space="0" w:color="auto"/>
            <w:left w:val="none" w:sz="0" w:space="0" w:color="auto"/>
            <w:bottom w:val="none" w:sz="0" w:space="0" w:color="auto"/>
            <w:right w:val="none" w:sz="0" w:space="0" w:color="auto"/>
          </w:divBdr>
          <w:divsChild>
            <w:div w:id="2102942900">
              <w:marLeft w:val="0"/>
              <w:marRight w:val="0"/>
              <w:marTop w:val="0"/>
              <w:marBottom w:val="0"/>
              <w:divBdr>
                <w:top w:val="none" w:sz="0" w:space="0" w:color="auto"/>
                <w:left w:val="none" w:sz="0" w:space="0" w:color="auto"/>
                <w:bottom w:val="none" w:sz="0" w:space="0" w:color="auto"/>
                <w:right w:val="none" w:sz="0" w:space="0" w:color="auto"/>
              </w:divBdr>
            </w:div>
          </w:divsChild>
        </w:div>
        <w:div w:id="2144929626">
          <w:marLeft w:val="0"/>
          <w:marRight w:val="0"/>
          <w:marTop w:val="0"/>
          <w:marBottom w:val="0"/>
          <w:divBdr>
            <w:top w:val="none" w:sz="0" w:space="0" w:color="auto"/>
            <w:left w:val="none" w:sz="0" w:space="0" w:color="auto"/>
            <w:bottom w:val="none" w:sz="0" w:space="0" w:color="auto"/>
            <w:right w:val="none" w:sz="0" w:space="0" w:color="auto"/>
          </w:divBdr>
          <w:divsChild>
            <w:div w:id="38549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869977">
      <w:bodyDiv w:val="1"/>
      <w:marLeft w:val="0"/>
      <w:marRight w:val="0"/>
      <w:marTop w:val="0"/>
      <w:marBottom w:val="0"/>
      <w:divBdr>
        <w:top w:val="none" w:sz="0" w:space="0" w:color="auto"/>
        <w:left w:val="none" w:sz="0" w:space="0" w:color="auto"/>
        <w:bottom w:val="none" w:sz="0" w:space="0" w:color="auto"/>
        <w:right w:val="none" w:sz="0" w:space="0" w:color="auto"/>
      </w:divBdr>
    </w:div>
    <w:div w:id="1067613323">
      <w:bodyDiv w:val="1"/>
      <w:marLeft w:val="0"/>
      <w:marRight w:val="0"/>
      <w:marTop w:val="0"/>
      <w:marBottom w:val="0"/>
      <w:divBdr>
        <w:top w:val="none" w:sz="0" w:space="0" w:color="auto"/>
        <w:left w:val="none" w:sz="0" w:space="0" w:color="auto"/>
        <w:bottom w:val="none" w:sz="0" w:space="0" w:color="auto"/>
        <w:right w:val="none" w:sz="0" w:space="0" w:color="auto"/>
      </w:divBdr>
    </w:div>
    <w:div w:id="1082986751">
      <w:bodyDiv w:val="1"/>
      <w:marLeft w:val="0"/>
      <w:marRight w:val="0"/>
      <w:marTop w:val="0"/>
      <w:marBottom w:val="0"/>
      <w:divBdr>
        <w:top w:val="none" w:sz="0" w:space="0" w:color="auto"/>
        <w:left w:val="none" w:sz="0" w:space="0" w:color="auto"/>
        <w:bottom w:val="none" w:sz="0" w:space="0" w:color="auto"/>
        <w:right w:val="none" w:sz="0" w:space="0" w:color="auto"/>
      </w:divBdr>
    </w:div>
    <w:div w:id="1102261531">
      <w:bodyDiv w:val="1"/>
      <w:marLeft w:val="0"/>
      <w:marRight w:val="0"/>
      <w:marTop w:val="0"/>
      <w:marBottom w:val="0"/>
      <w:divBdr>
        <w:top w:val="none" w:sz="0" w:space="0" w:color="auto"/>
        <w:left w:val="none" w:sz="0" w:space="0" w:color="auto"/>
        <w:bottom w:val="none" w:sz="0" w:space="0" w:color="auto"/>
        <w:right w:val="none" w:sz="0" w:space="0" w:color="auto"/>
      </w:divBdr>
      <w:divsChild>
        <w:div w:id="868225105">
          <w:marLeft w:val="0"/>
          <w:marRight w:val="0"/>
          <w:marTop w:val="0"/>
          <w:marBottom w:val="0"/>
          <w:divBdr>
            <w:top w:val="none" w:sz="0" w:space="0" w:color="auto"/>
            <w:left w:val="none" w:sz="0" w:space="0" w:color="auto"/>
            <w:bottom w:val="none" w:sz="0" w:space="0" w:color="auto"/>
            <w:right w:val="none" w:sz="0" w:space="0" w:color="auto"/>
          </w:divBdr>
        </w:div>
        <w:div w:id="1214271926">
          <w:marLeft w:val="0"/>
          <w:marRight w:val="0"/>
          <w:marTop w:val="0"/>
          <w:marBottom w:val="0"/>
          <w:divBdr>
            <w:top w:val="none" w:sz="0" w:space="0" w:color="auto"/>
            <w:left w:val="none" w:sz="0" w:space="0" w:color="auto"/>
            <w:bottom w:val="none" w:sz="0" w:space="0" w:color="auto"/>
            <w:right w:val="none" w:sz="0" w:space="0" w:color="auto"/>
          </w:divBdr>
        </w:div>
        <w:div w:id="1373581814">
          <w:marLeft w:val="0"/>
          <w:marRight w:val="0"/>
          <w:marTop w:val="0"/>
          <w:marBottom w:val="0"/>
          <w:divBdr>
            <w:top w:val="none" w:sz="0" w:space="0" w:color="auto"/>
            <w:left w:val="none" w:sz="0" w:space="0" w:color="auto"/>
            <w:bottom w:val="none" w:sz="0" w:space="0" w:color="auto"/>
            <w:right w:val="none" w:sz="0" w:space="0" w:color="auto"/>
          </w:divBdr>
        </w:div>
        <w:div w:id="1886330844">
          <w:marLeft w:val="0"/>
          <w:marRight w:val="0"/>
          <w:marTop w:val="0"/>
          <w:marBottom w:val="0"/>
          <w:divBdr>
            <w:top w:val="none" w:sz="0" w:space="0" w:color="auto"/>
            <w:left w:val="none" w:sz="0" w:space="0" w:color="auto"/>
            <w:bottom w:val="none" w:sz="0" w:space="0" w:color="auto"/>
            <w:right w:val="none" w:sz="0" w:space="0" w:color="auto"/>
          </w:divBdr>
        </w:div>
      </w:divsChild>
    </w:div>
    <w:div w:id="1106345671">
      <w:bodyDiv w:val="1"/>
      <w:marLeft w:val="0"/>
      <w:marRight w:val="0"/>
      <w:marTop w:val="0"/>
      <w:marBottom w:val="0"/>
      <w:divBdr>
        <w:top w:val="none" w:sz="0" w:space="0" w:color="auto"/>
        <w:left w:val="none" w:sz="0" w:space="0" w:color="auto"/>
        <w:bottom w:val="none" w:sz="0" w:space="0" w:color="auto"/>
        <w:right w:val="none" w:sz="0" w:space="0" w:color="auto"/>
      </w:divBdr>
    </w:div>
    <w:div w:id="1132821488">
      <w:bodyDiv w:val="1"/>
      <w:marLeft w:val="0"/>
      <w:marRight w:val="0"/>
      <w:marTop w:val="0"/>
      <w:marBottom w:val="0"/>
      <w:divBdr>
        <w:top w:val="none" w:sz="0" w:space="0" w:color="auto"/>
        <w:left w:val="none" w:sz="0" w:space="0" w:color="auto"/>
        <w:bottom w:val="none" w:sz="0" w:space="0" w:color="auto"/>
        <w:right w:val="none" w:sz="0" w:space="0" w:color="auto"/>
      </w:divBdr>
    </w:div>
    <w:div w:id="1136264142">
      <w:bodyDiv w:val="1"/>
      <w:marLeft w:val="0"/>
      <w:marRight w:val="0"/>
      <w:marTop w:val="0"/>
      <w:marBottom w:val="0"/>
      <w:divBdr>
        <w:top w:val="none" w:sz="0" w:space="0" w:color="auto"/>
        <w:left w:val="none" w:sz="0" w:space="0" w:color="auto"/>
        <w:bottom w:val="none" w:sz="0" w:space="0" w:color="auto"/>
        <w:right w:val="none" w:sz="0" w:space="0" w:color="auto"/>
      </w:divBdr>
      <w:divsChild>
        <w:div w:id="644892756">
          <w:marLeft w:val="0"/>
          <w:marRight w:val="0"/>
          <w:marTop w:val="0"/>
          <w:marBottom w:val="0"/>
          <w:divBdr>
            <w:top w:val="none" w:sz="0" w:space="0" w:color="auto"/>
            <w:left w:val="none" w:sz="0" w:space="0" w:color="auto"/>
            <w:bottom w:val="none" w:sz="0" w:space="0" w:color="auto"/>
            <w:right w:val="none" w:sz="0" w:space="0" w:color="auto"/>
          </w:divBdr>
        </w:div>
        <w:div w:id="972371316">
          <w:marLeft w:val="0"/>
          <w:marRight w:val="0"/>
          <w:marTop w:val="0"/>
          <w:marBottom w:val="0"/>
          <w:divBdr>
            <w:top w:val="none" w:sz="0" w:space="0" w:color="auto"/>
            <w:left w:val="none" w:sz="0" w:space="0" w:color="auto"/>
            <w:bottom w:val="none" w:sz="0" w:space="0" w:color="auto"/>
            <w:right w:val="none" w:sz="0" w:space="0" w:color="auto"/>
          </w:divBdr>
        </w:div>
        <w:div w:id="1261832905">
          <w:marLeft w:val="0"/>
          <w:marRight w:val="0"/>
          <w:marTop w:val="0"/>
          <w:marBottom w:val="0"/>
          <w:divBdr>
            <w:top w:val="none" w:sz="0" w:space="0" w:color="auto"/>
            <w:left w:val="none" w:sz="0" w:space="0" w:color="auto"/>
            <w:bottom w:val="none" w:sz="0" w:space="0" w:color="auto"/>
            <w:right w:val="none" w:sz="0" w:space="0" w:color="auto"/>
          </w:divBdr>
        </w:div>
        <w:div w:id="1500854594">
          <w:marLeft w:val="0"/>
          <w:marRight w:val="0"/>
          <w:marTop w:val="0"/>
          <w:marBottom w:val="0"/>
          <w:divBdr>
            <w:top w:val="none" w:sz="0" w:space="0" w:color="auto"/>
            <w:left w:val="none" w:sz="0" w:space="0" w:color="auto"/>
            <w:bottom w:val="none" w:sz="0" w:space="0" w:color="auto"/>
            <w:right w:val="none" w:sz="0" w:space="0" w:color="auto"/>
          </w:divBdr>
        </w:div>
        <w:div w:id="1522863870">
          <w:marLeft w:val="0"/>
          <w:marRight w:val="0"/>
          <w:marTop w:val="0"/>
          <w:marBottom w:val="0"/>
          <w:divBdr>
            <w:top w:val="none" w:sz="0" w:space="0" w:color="auto"/>
            <w:left w:val="none" w:sz="0" w:space="0" w:color="auto"/>
            <w:bottom w:val="none" w:sz="0" w:space="0" w:color="auto"/>
            <w:right w:val="none" w:sz="0" w:space="0" w:color="auto"/>
          </w:divBdr>
        </w:div>
      </w:divsChild>
    </w:div>
    <w:div w:id="1187334379">
      <w:bodyDiv w:val="1"/>
      <w:marLeft w:val="0"/>
      <w:marRight w:val="0"/>
      <w:marTop w:val="0"/>
      <w:marBottom w:val="0"/>
      <w:divBdr>
        <w:top w:val="none" w:sz="0" w:space="0" w:color="auto"/>
        <w:left w:val="none" w:sz="0" w:space="0" w:color="auto"/>
        <w:bottom w:val="none" w:sz="0" w:space="0" w:color="auto"/>
        <w:right w:val="none" w:sz="0" w:space="0" w:color="auto"/>
      </w:divBdr>
    </w:div>
    <w:div w:id="1191139668">
      <w:bodyDiv w:val="1"/>
      <w:marLeft w:val="0"/>
      <w:marRight w:val="0"/>
      <w:marTop w:val="0"/>
      <w:marBottom w:val="0"/>
      <w:divBdr>
        <w:top w:val="none" w:sz="0" w:space="0" w:color="auto"/>
        <w:left w:val="none" w:sz="0" w:space="0" w:color="auto"/>
        <w:bottom w:val="none" w:sz="0" w:space="0" w:color="auto"/>
        <w:right w:val="none" w:sz="0" w:space="0" w:color="auto"/>
      </w:divBdr>
    </w:div>
    <w:div w:id="1203178571">
      <w:bodyDiv w:val="1"/>
      <w:marLeft w:val="0"/>
      <w:marRight w:val="0"/>
      <w:marTop w:val="0"/>
      <w:marBottom w:val="0"/>
      <w:divBdr>
        <w:top w:val="none" w:sz="0" w:space="0" w:color="auto"/>
        <w:left w:val="none" w:sz="0" w:space="0" w:color="auto"/>
        <w:bottom w:val="none" w:sz="0" w:space="0" w:color="auto"/>
        <w:right w:val="none" w:sz="0" w:space="0" w:color="auto"/>
      </w:divBdr>
      <w:divsChild>
        <w:div w:id="8455497">
          <w:marLeft w:val="0"/>
          <w:marRight w:val="0"/>
          <w:marTop w:val="0"/>
          <w:marBottom w:val="0"/>
          <w:divBdr>
            <w:top w:val="none" w:sz="0" w:space="0" w:color="auto"/>
            <w:left w:val="none" w:sz="0" w:space="0" w:color="auto"/>
            <w:bottom w:val="none" w:sz="0" w:space="0" w:color="auto"/>
            <w:right w:val="none" w:sz="0" w:space="0" w:color="auto"/>
          </w:divBdr>
          <w:divsChild>
            <w:div w:id="992220258">
              <w:marLeft w:val="0"/>
              <w:marRight w:val="0"/>
              <w:marTop w:val="0"/>
              <w:marBottom w:val="0"/>
              <w:divBdr>
                <w:top w:val="none" w:sz="0" w:space="0" w:color="auto"/>
                <w:left w:val="none" w:sz="0" w:space="0" w:color="auto"/>
                <w:bottom w:val="none" w:sz="0" w:space="0" w:color="auto"/>
                <w:right w:val="none" w:sz="0" w:space="0" w:color="auto"/>
              </w:divBdr>
              <w:divsChild>
                <w:div w:id="1905139415">
                  <w:marLeft w:val="0"/>
                  <w:marRight w:val="0"/>
                  <w:marTop w:val="0"/>
                  <w:marBottom w:val="0"/>
                  <w:divBdr>
                    <w:top w:val="none" w:sz="0" w:space="0" w:color="auto"/>
                    <w:left w:val="none" w:sz="0" w:space="0" w:color="auto"/>
                    <w:bottom w:val="none" w:sz="0" w:space="0" w:color="auto"/>
                    <w:right w:val="none" w:sz="0" w:space="0" w:color="auto"/>
                  </w:divBdr>
                  <w:divsChild>
                    <w:div w:id="124356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170717">
      <w:bodyDiv w:val="1"/>
      <w:marLeft w:val="0"/>
      <w:marRight w:val="0"/>
      <w:marTop w:val="0"/>
      <w:marBottom w:val="0"/>
      <w:divBdr>
        <w:top w:val="none" w:sz="0" w:space="0" w:color="auto"/>
        <w:left w:val="none" w:sz="0" w:space="0" w:color="auto"/>
        <w:bottom w:val="none" w:sz="0" w:space="0" w:color="auto"/>
        <w:right w:val="none" w:sz="0" w:space="0" w:color="auto"/>
      </w:divBdr>
    </w:div>
    <w:div w:id="1227837783">
      <w:bodyDiv w:val="1"/>
      <w:marLeft w:val="0"/>
      <w:marRight w:val="0"/>
      <w:marTop w:val="0"/>
      <w:marBottom w:val="0"/>
      <w:divBdr>
        <w:top w:val="none" w:sz="0" w:space="0" w:color="auto"/>
        <w:left w:val="none" w:sz="0" w:space="0" w:color="auto"/>
        <w:bottom w:val="none" w:sz="0" w:space="0" w:color="auto"/>
        <w:right w:val="none" w:sz="0" w:space="0" w:color="auto"/>
      </w:divBdr>
      <w:divsChild>
        <w:div w:id="1157498806">
          <w:marLeft w:val="562"/>
          <w:marRight w:val="562"/>
          <w:marTop w:val="0"/>
          <w:marBottom w:val="0"/>
          <w:divBdr>
            <w:top w:val="single" w:sz="48" w:space="31" w:color="222222"/>
            <w:left w:val="none" w:sz="0" w:space="0" w:color="auto"/>
            <w:bottom w:val="none" w:sz="0" w:space="31" w:color="auto"/>
            <w:right w:val="none" w:sz="0" w:space="0" w:color="auto"/>
          </w:divBdr>
        </w:div>
      </w:divsChild>
    </w:div>
    <w:div w:id="1265269086">
      <w:bodyDiv w:val="1"/>
      <w:marLeft w:val="0"/>
      <w:marRight w:val="0"/>
      <w:marTop w:val="0"/>
      <w:marBottom w:val="0"/>
      <w:divBdr>
        <w:top w:val="none" w:sz="0" w:space="0" w:color="auto"/>
        <w:left w:val="none" w:sz="0" w:space="0" w:color="auto"/>
        <w:bottom w:val="none" w:sz="0" w:space="0" w:color="auto"/>
        <w:right w:val="none" w:sz="0" w:space="0" w:color="auto"/>
      </w:divBdr>
    </w:div>
    <w:div w:id="1279415242">
      <w:bodyDiv w:val="1"/>
      <w:marLeft w:val="0"/>
      <w:marRight w:val="0"/>
      <w:marTop w:val="0"/>
      <w:marBottom w:val="0"/>
      <w:divBdr>
        <w:top w:val="none" w:sz="0" w:space="0" w:color="auto"/>
        <w:left w:val="none" w:sz="0" w:space="0" w:color="auto"/>
        <w:bottom w:val="none" w:sz="0" w:space="0" w:color="auto"/>
        <w:right w:val="none" w:sz="0" w:space="0" w:color="auto"/>
      </w:divBdr>
      <w:divsChild>
        <w:div w:id="286815571">
          <w:marLeft w:val="0"/>
          <w:marRight w:val="0"/>
          <w:marTop w:val="0"/>
          <w:marBottom w:val="0"/>
          <w:divBdr>
            <w:top w:val="none" w:sz="0" w:space="0" w:color="auto"/>
            <w:left w:val="none" w:sz="0" w:space="0" w:color="auto"/>
            <w:bottom w:val="none" w:sz="0" w:space="0" w:color="auto"/>
            <w:right w:val="none" w:sz="0" w:space="0" w:color="auto"/>
          </w:divBdr>
        </w:div>
        <w:div w:id="471026742">
          <w:marLeft w:val="0"/>
          <w:marRight w:val="0"/>
          <w:marTop w:val="0"/>
          <w:marBottom w:val="0"/>
          <w:divBdr>
            <w:top w:val="none" w:sz="0" w:space="0" w:color="auto"/>
            <w:left w:val="none" w:sz="0" w:space="0" w:color="auto"/>
            <w:bottom w:val="none" w:sz="0" w:space="0" w:color="auto"/>
            <w:right w:val="none" w:sz="0" w:space="0" w:color="auto"/>
          </w:divBdr>
        </w:div>
        <w:div w:id="660699298">
          <w:marLeft w:val="0"/>
          <w:marRight w:val="0"/>
          <w:marTop w:val="0"/>
          <w:marBottom w:val="0"/>
          <w:divBdr>
            <w:top w:val="none" w:sz="0" w:space="0" w:color="auto"/>
            <w:left w:val="none" w:sz="0" w:space="0" w:color="auto"/>
            <w:bottom w:val="none" w:sz="0" w:space="0" w:color="auto"/>
            <w:right w:val="none" w:sz="0" w:space="0" w:color="auto"/>
          </w:divBdr>
        </w:div>
        <w:div w:id="1407144584">
          <w:marLeft w:val="0"/>
          <w:marRight w:val="0"/>
          <w:marTop w:val="0"/>
          <w:marBottom w:val="0"/>
          <w:divBdr>
            <w:top w:val="none" w:sz="0" w:space="0" w:color="auto"/>
            <w:left w:val="none" w:sz="0" w:space="0" w:color="auto"/>
            <w:bottom w:val="none" w:sz="0" w:space="0" w:color="auto"/>
            <w:right w:val="none" w:sz="0" w:space="0" w:color="auto"/>
          </w:divBdr>
        </w:div>
        <w:div w:id="2047482279">
          <w:marLeft w:val="0"/>
          <w:marRight w:val="0"/>
          <w:marTop w:val="0"/>
          <w:marBottom w:val="0"/>
          <w:divBdr>
            <w:top w:val="none" w:sz="0" w:space="0" w:color="auto"/>
            <w:left w:val="none" w:sz="0" w:space="0" w:color="auto"/>
            <w:bottom w:val="none" w:sz="0" w:space="0" w:color="auto"/>
            <w:right w:val="none" w:sz="0" w:space="0" w:color="auto"/>
          </w:divBdr>
        </w:div>
      </w:divsChild>
    </w:div>
    <w:div w:id="1319725214">
      <w:bodyDiv w:val="1"/>
      <w:marLeft w:val="0"/>
      <w:marRight w:val="0"/>
      <w:marTop w:val="0"/>
      <w:marBottom w:val="0"/>
      <w:divBdr>
        <w:top w:val="none" w:sz="0" w:space="0" w:color="auto"/>
        <w:left w:val="none" w:sz="0" w:space="0" w:color="auto"/>
        <w:bottom w:val="none" w:sz="0" w:space="0" w:color="auto"/>
        <w:right w:val="none" w:sz="0" w:space="0" w:color="auto"/>
      </w:divBdr>
    </w:div>
    <w:div w:id="1343240732">
      <w:bodyDiv w:val="1"/>
      <w:marLeft w:val="0"/>
      <w:marRight w:val="0"/>
      <w:marTop w:val="0"/>
      <w:marBottom w:val="0"/>
      <w:divBdr>
        <w:top w:val="none" w:sz="0" w:space="0" w:color="auto"/>
        <w:left w:val="none" w:sz="0" w:space="0" w:color="auto"/>
        <w:bottom w:val="none" w:sz="0" w:space="0" w:color="auto"/>
        <w:right w:val="none" w:sz="0" w:space="0" w:color="auto"/>
      </w:divBdr>
    </w:div>
    <w:div w:id="1354261059">
      <w:bodyDiv w:val="1"/>
      <w:marLeft w:val="0"/>
      <w:marRight w:val="0"/>
      <w:marTop w:val="0"/>
      <w:marBottom w:val="0"/>
      <w:divBdr>
        <w:top w:val="none" w:sz="0" w:space="0" w:color="auto"/>
        <w:left w:val="none" w:sz="0" w:space="0" w:color="auto"/>
        <w:bottom w:val="none" w:sz="0" w:space="0" w:color="auto"/>
        <w:right w:val="none" w:sz="0" w:space="0" w:color="auto"/>
      </w:divBdr>
      <w:divsChild>
        <w:div w:id="1324313483">
          <w:marLeft w:val="0"/>
          <w:marRight w:val="0"/>
          <w:marTop w:val="0"/>
          <w:marBottom w:val="0"/>
          <w:divBdr>
            <w:top w:val="none" w:sz="0" w:space="0" w:color="auto"/>
            <w:left w:val="none" w:sz="0" w:space="0" w:color="auto"/>
            <w:bottom w:val="none" w:sz="0" w:space="0" w:color="auto"/>
            <w:right w:val="none" w:sz="0" w:space="0" w:color="auto"/>
          </w:divBdr>
        </w:div>
        <w:div w:id="1890799453">
          <w:marLeft w:val="0"/>
          <w:marRight w:val="0"/>
          <w:marTop w:val="0"/>
          <w:marBottom w:val="0"/>
          <w:divBdr>
            <w:top w:val="none" w:sz="0" w:space="0" w:color="auto"/>
            <w:left w:val="none" w:sz="0" w:space="0" w:color="auto"/>
            <w:bottom w:val="none" w:sz="0" w:space="0" w:color="auto"/>
            <w:right w:val="none" w:sz="0" w:space="0" w:color="auto"/>
          </w:divBdr>
        </w:div>
      </w:divsChild>
    </w:div>
    <w:div w:id="1377974923">
      <w:bodyDiv w:val="1"/>
      <w:marLeft w:val="0"/>
      <w:marRight w:val="0"/>
      <w:marTop w:val="0"/>
      <w:marBottom w:val="0"/>
      <w:divBdr>
        <w:top w:val="none" w:sz="0" w:space="0" w:color="auto"/>
        <w:left w:val="none" w:sz="0" w:space="0" w:color="auto"/>
        <w:bottom w:val="none" w:sz="0" w:space="0" w:color="auto"/>
        <w:right w:val="none" w:sz="0" w:space="0" w:color="auto"/>
      </w:divBdr>
    </w:div>
    <w:div w:id="1382905482">
      <w:bodyDiv w:val="1"/>
      <w:marLeft w:val="0"/>
      <w:marRight w:val="0"/>
      <w:marTop w:val="0"/>
      <w:marBottom w:val="0"/>
      <w:divBdr>
        <w:top w:val="none" w:sz="0" w:space="0" w:color="auto"/>
        <w:left w:val="none" w:sz="0" w:space="0" w:color="auto"/>
        <w:bottom w:val="none" w:sz="0" w:space="0" w:color="auto"/>
        <w:right w:val="none" w:sz="0" w:space="0" w:color="auto"/>
      </w:divBdr>
      <w:divsChild>
        <w:div w:id="744454061">
          <w:marLeft w:val="0"/>
          <w:marRight w:val="0"/>
          <w:marTop w:val="0"/>
          <w:marBottom w:val="0"/>
          <w:divBdr>
            <w:top w:val="none" w:sz="0" w:space="0" w:color="auto"/>
            <w:left w:val="none" w:sz="0" w:space="0" w:color="auto"/>
            <w:bottom w:val="none" w:sz="0" w:space="0" w:color="auto"/>
            <w:right w:val="none" w:sz="0" w:space="0" w:color="auto"/>
          </w:divBdr>
        </w:div>
        <w:div w:id="1122577463">
          <w:marLeft w:val="0"/>
          <w:marRight w:val="0"/>
          <w:marTop w:val="0"/>
          <w:marBottom w:val="0"/>
          <w:divBdr>
            <w:top w:val="none" w:sz="0" w:space="0" w:color="auto"/>
            <w:left w:val="none" w:sz="0" w:space="0" w:color="auto"/>
            <w:bottom w:val="none" w:sz="0" w:space="0" w:color="auto"/>
            <w:right w:val="none" w:sz="0" w:space="0" w:color="auto"/>
          </w:divBdr>
        </w:div>
      </w:divsChild>
    </w:div>
    <w:div w:id="1425807009">
      <w:bodyDiv w:val="1"/>
      <w:marLeft w:val="0"/>
      <w:marRight w:val="0"/>
      <w:marTop w:val="0"/>
      <w:marBottom w:val="0"/>
      <w:divBdr>
        <w:top w:val="none" w:sz="0" w:space="0" w:color="auto"/>
        <w:left w:val="none" w:sz="0" w:space="0" w:color="auto"/>
        <w:bottom w:val="none" w:sz="0" w:space="0" w:color="auto"/>
        <w:right w:val="none" w:sz="0" w:space="0" w:color="auto"/>
      </w:divBdr>
      <w:divsChild>
        <w:div w:id="874200298">
          <w:marLeft w:val="0"/>
          <w:marRight w:val="0"/>
          <w:marTop w:val="0"/>
          <w:marBottom w:val="0"/>
          <w:divBdr>
            <w:top w:val="none" w:sz="0" w:space="0" w:color="auto"/>
            <w:left w:val="none" w:sz="0" w:space="0" w:color="auto"/>
            <w:bottom w:val="none" w:sz="0" w:space="0" w:color="auto"/>
            <w:right w:val="none" w:sz="0" w:space="0" w:color="auto"/>
          </w:divBdr>
          <w:divsChild>
            <w:div w:id="1690375641">
              <w:marLeft w:val="0"/>
              <w:marRight w:val="0"/>
              <w:marTop w:val="0"/>
              <w:marBottom w:val="0"/>
              <w:divBdr>
                <w:top w:val="none" w:sz="0" w:space="0" w:color="auto"/>
                <w:left w:val="none" w:sz="0" w:space="0" w:color="auto"/>
                <w:bottom w:val="none" w:sz="0" w:space="0" w:color="auto"/>
                <w:right w:val="none" w:sz="0" w:space="0" w:color="auto"/>
              </w:divBdr>
            </w:div>
          </w:divsChild>
        </w:div>
        <w:div w:id="1162623130">
          <w:marLeft w:val="0"/>
          <w:marRight w:val="0"/>
          <w:marTop w:val="0"/>
          <w:marBottom w:val="0"/>
          <w:divBdr>
            <w:top w:val="none" w:sz="0" w:space="0" w:color="auto"/>
            <w:left w:val="none" w:sz="0" w:space="0" w:color="auto"/>
            <w:bottom w:val="none" w:sz="0" w:space="0" w:color="auto"/>
            <w:right w:val="none" w:sz="0" w:space="0" w:color="auto"/>
          </w:divBdr>
          <w:divsChild>
            <w:div w:id="998197835">
              <w:marLeft w:val="0"/>
              <w:marRight w:val="0"/>
              <w:marTop w:val="0"/>
              <w:marBottom w:val="0"/>
              <w:divBdr>
                <w:top w:val="none" w:sz="0" w:space="0" w:color="auto"/>
                <w:left w:val="none" w:sz="0" w:space="0" w:color="auto"/>
                <w:bottom w:val="none" w:sz="0" w:space="0" w:color="auto"/>
                <w:right w:val="none" w:sz="0" w:space="0" w:color="auto"/>
              </w:divBdr>
            </w:div>
          </w:divsChild>
        </w:div>
        <w:div w:id="1244678891">
          <w:marLeft w:val="0"/>
          <w:marRight w:val="0"/>
          <w:marTop w:val="0"/>
          <w:marBottom w:val="0"/>
          <w:divBdr>
            <w:top w:val="none" w:sz="0" w:space="0" w:color="auto"/>
            <w:left w:val="none" w:sz="0" w:space="0" w:color="auto"/>
            <w:bottom w:val="none" w:sz="0" w:space="0" w:color="auto"/>
            <w:right w:val="none" w:sz="0" w:space="0" w:color="auto"/>
          </w:divBdr>
          <w:divsChild>
            <w:div w:id="61324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011262">
      <w:bodyDiv w:val="1"/>
      <w:marLeft w:val="0"/>
      <w:marRight w:val="0"/>
      <w:marTop w:val="0"/>
      <w:marBottom w:val="0"/>
      <w:divBdr>
        <w:top w:val="none" w:sz="0" w:space="0" w:color="auto"/>
        <w:left w:val="none" w:sz="0" w:space="0" w:color="auto"/>
        <w:bottom w:val="none" w:sz="0" w:space="0" w:color="auto"/>
        <w:right w:val="none" w:sz="0" w:space="0" w:color="auto"/>
      </w:divBdr>
    </w:div>
    <w:div w:id="1460104718">
      <w:bodyDiv w:val="1"/>
      <w:marLeft w:val="0"/>
      <w:marRight w:val="0"/>
      <w:marTop w:val="0"/>
      <w:marBottom w:val="0"/>
      <w:divBdr>
        <w:top w:val="none" w:sz="0" w:space="0" w:color="auto"/>
        <w:left w:val="none" w:sz="0" w:space="0" w:color="auto"/>
        <w:bottom w:val="none" w:sz="0" w:space="0" w:color="auto"/>
        <w:right w:val="none" w:sz="0" w:space="0" w:color="auto"/>
      </w:divBdr>
    </w:div>
    <w:div w:id="1470056947">
      <w:bodyDiv w:val="1"/>
      <w:marLeft w:val="0"/>
      <w:marRight w:val="0"/>
      <w:marTop w:val="0"/>
      <w:marBottom w:val="0"/>
      <w:divBdr>
        <w:top w:val="none" w:sz="0" w:space="0" w:color="auto"/>
        <w:left w:val="none" w:sz="0" w:space="0" w:color="auto"/>
        <w:bottom w:val="none" w:sz="0" w:space="0" w:color="auto"/>
        <w:right w:val="none" w:sz="0" w:space="0" w:color="auto"/>
      </w:divBdr>
    </w:div>
    <w:div w:id="1493522873">
      <w:bodyDiv w:val="1"/>
      <w:marLeft w:val="0"/>
      <w:marRight w:val="0"/>
      <w:marTop w:val="0"/>
      <w:marBottom w:val="0"/>
      <w:divBdr>
        <w:top w:val="none" w:sz="0" w:space="0" w:color="auto"/>
        <w:left w:val="none" w:sz="0" w:space="0" w:color="auto"/>
        <w:bottom w:val="none" w:sz="0" w:space="0" w:color="auto"/>
        <w:right w:val="none" w:sz="0" w:space="0" w:color="auto"/>
      </w:divBdr>
      <w:divsChild>
        <w:div w:id="357513396">
          <w:marLeft w:val="0"/>
          <w:marRight w:val="0"/>
          <w:marTop w:val="0"/>
          <w:marBottom w:val="0"/>
          <w:divBdr>
            <w:top w:val="none" w:sz="0" w:space="0" w:color="auto"/>
            <w:left w:val="none" w:sz="0" w:space="0" w:color="auto"/>
            <w:bottom w:val="none" w:sz="0" w:space="0" w:color="auto"/>
            <w:right w:val="none" w:sz="0" w:space="0" w:color="auto"/>
          </w:divBdr>
        </w:div>
        <w:div w:id="392236355">
          <w:marLeft w:val="0"/>
          <w:marRight w:val="0"/>
          <w:marTop w:val="0"/>
          <w:marBottom w:val="0"/>
          <w:divBdr>
            <w:top w:val="none" w:sz="0" w:space="0" w:color="auto"/>
            <w:left w:val="none" w:sz="0" w:space="0" w:color="auto"/>
            <w:bottom w:val="none" w:sz="0" w:space="0" w:color="auto"/>
            <w:right w:val="none" w:sz="0" w:space="0" w:color="auto"/>
          </w:divBdr>
        </w:div>
        <w:div w:id="1334917485">
          <w:marLeft w:val="0"/>
          <w:marRight w:val="0"/>
          <w:marTop w:val="0"/>
          <w:marBottom w:val="0"/>
          <w:divBdr>
            <w:top w:val="none" w:sz="0" w:space="0" w:color="auto"/>
            <w:left w:val="none" w:sz="0" w:space="0" w:color="auto"/>
            <w:bottom w:val="none" w:sz="0" w:space="0" w:color="auto"/>
            <w:right w:val="none" w:sz="0" w:space="0" w:color="auto"/>
          </w:divBdr>
        </w:div>
      </w:divsChild>
    </w:div>
    <w:div w:id="1501122686">
      <w:bodyDiv w:val="1"/>
      <w:marLeft w:val="0"/>
      <w:marRight w:val="0"/>
      <w:marTop w:val="0"/>
      <w:marBottom w:val="0"/>
      <w:divBdr>
        <w:top w:val="none" w:sz="0" w:space="0" w:color="auto"/>
        <w:left w:val="none" w:sz="0" w:space="0" w:color="auto"/>
        <w:bottom w:val="none" w:sz="0" w:space="0" w:color="auto"/>
        <w:right w:val="none" w:sz="0" w:space="0" w:color="auto"/>
      </w:divBdr>
    </w:div>
    <w:div w:id="1534264342">
      <w:bodyDiv w:val="1"/>
      <w:marLeft w:val="0"/>
      <w:marRight w:val="0"/>
      <w:marTop w:val="0"/>
      <w:marBottom w:val="0"/>
      <w:divBdr>
        <w:top w:val="none" w:sz="0" w:space="0" w:color="auto"/>
        <w:left w:val="none" w:sz="0" w:space="0" w:color="auto"/>
        <w:bottom w:val="none" w:sz="0" w:space="0" w:color="auto"/>
        <w:right w:val="none" w:sz="0" w:space="0" w:color="auto"/>
      </w:divBdr>
      <w:divsChild>
        <w:div w:id="350497753">
          <w:marLeft w:val="0"/>
          <w:marRight w:val="0"/>
          <w:marTop w:val="0"/>
          <w:marBottom w:val="0"/>
          <w:divBdr>
            <w:top w:val="none" w:sz="0" w:space="0" w:color="auto"/>
            <w:left w:val="none" w:sz="0" w:space="0" w:color="auto"/>
            <w:bottom w:val="none" w:sz="0" w:space="0" w:color="auto"/>
            <w:right w:val="none" w:sz="0" w:space="0" w:color="auto"/>
          </w:divBdr>
        </w:div>
        <w:div w:id="412170052">
          <w:marLeft w:val="0"/>
          <w:marRight w:val="0"/>
          <w:marTop w:val="0"/>
          <w:marBottom w:val="0"/>
          <w:divBdr>
            <w:top w:val="none" w:sz="0" w:space="0" w:color="auto"/>
            <w:left w:val="none" w:sz="0" w:space="0" w:color="auto"/>
            <w:bottom w:val="none" w:sz="0" w:space="0" w:color="auto"/>
            <w:right w:val="none" w:sz="0" w:space="0" w:color="auto"/>
          </w:divBdr>
        </w:div>
        <w:div w:id="469859473">
          <w:marLeft w:val="0"/>
          <w:marRight w:val="0"/>
          <w:marTop w:val="0"/>
          <w:marBottom w:val="0"/>
          <w:divBdr>
            <w:top w:val="none" w:sz="0" w:space="0" w:color="auto"/>
            <w:left w:val="none" w:sz="0" w:space="0" w:color="auto"/>
            <w:bottom w:val="none" w:sz="0" w:space="0" w:color="auto"/>
            <w:right w:val="none" w:sz="0" w:space="0" w:color="auto"/>
          </w:divBdr>
        </w:div>
        <w:div w:id="626664708">
          <w:marLeft w:val="0"/>
          <w:marRight w:val="0"/>
          <w:marTop w:val="0"/>
          <w:marBottom w:val="0"/>
          <w:divBdr>
            <w:top w:val="none" w:sz="0" w:space="0" w:color="auto"/>
            <w:left w:val="none" w:sz="0" w:space="0" w:color="auto"/>
            <w:bottom w:val="none" w:sz="0" w:space="0" w:color="auto"/>
            <w:right w:val="none" w:sz="0" w:space="0" w:color="auto"/>
          </w:divBdr>
        </w:div>
        <w:div w:id="669719244">
          <w:marLeft w:val="0"/>
          <w:marRight w:val="0"/>
          <w:marTop w:val="0"/>
          <w:marBottom w:val="0"/>
          <w:divBdr>
            <w:top w:val="none" w:sz="0" w:space="0" w:color="auto"/>
            <w:left w:val="none" w:sz="0" w:space="0" w:color="auto"/>
            <w:bottom w:val="none" w:sz="0" w:space="0" w:color="auto"/>
            <w:right w:val="none" w:sz="0" w:space="0" w:color="auto"/>
          </w:divBdr>
        </w:div>
        <w:div w:id="859127493">
          <w:marLeft w:val="0"/>
          <w:marRight w:val="0"/>
          <w:marTop w:val="0"/>
          <w:marBottom w:val="0"/>
          <w:divBdr>
            <w:top w:val="none" w:sz="0" w:space="0" w:color="auto"/>
            <w:left w:val="none" w:sz="0" w:space="0" w:color="auto"/>
            <w:bottom w:val="none" w:sz="0" w:space="0" w:color="auto"/>
            <w:right w:val="none" w:sz="0" w:space="0" w:color="auto"/>
          </w:divBdr>
        </w:div>
        <w:div w:id="881944945">
          <w:marLeft w:val="0"/>
          <w:marRight w:val="0"/>
          <w:marTop w:val="0"/>
          <w:marBottom w:val="0"/>
          <w:divBdr>
            <w:top w:val="none" w:sz="0" w:space="0" w:color="auto"/>
            <w:left w:val="none" w:sz="0" w:space="0" w:color="auto"/>
            <w:bottom w:val="none" w:sz="0" w:space="0" w:color="auto"/>
            <w:right w:val="none" w:sz="0" w:space="0" w:color="auto"/>
          </w:divBdr>
        </w:div>
        <w:div w:id="929042113">
          <w:marLeft w:val="0"/>
          <w:marRight w:val="0"/>
          <w:marTop w:val="0"/>
          <w:marBottom w:val="0"/>
          <w:divBdr>
            <w:top w:val="none" w:sz="0" w:space="0" w:color="auto"/>
            <w:left w:val="none" w:sz="0" w:space="0" w:color="auto"/>
            <w:bottom w:val="none" w:sz="0" w:space="0" w:color="auto"/>
            <w:right w:val="none" w:sz="0" w:space="0" w:color="auto"/>
          </w:divBdr>
        </w:div>
        <w:div w:id="974874437">
          <w:marLeft w:val="0"/>
          <w:marRight w:val="0"/>
          <w:marTop w:val="0"/>
          <w:marBottom w:val="0"/>
          <w:divBdr>
            <w:top w:val="none" w:sz="0" w:space="0" w:color="auto"/>
            <w:left w:val="none" w:sz="0" w:space="0" w:color="auto"/>
            <w:bottom w:val="none" w:sz="0" w:space="0" w:color="auto"/>
            <w:right w:val="none" w:sz="0" w:space="0" w:color="auto"/>
          </w:divBdr>
        </w:div>
        <w:div w:id="1183787035">
          <w:marLeft w:val="0"/>
          <w:marRight w:val="0"/>
          <w:marTop w:val="0"/>
          <w:marBottom w:val="0"/>
          <w:divBdr>
            <w:top w:val="none" w:sz="0" w:space="0" w:color="auto"/>
            <w:left w:val="none" w:sz="0" w:space="0" w:color="auto"/>
            <w:bottom w:val="none" w:sz="0" w:space="0" w:color="auto"/>
            <w:right w:val="none" w:sz="0" w:space="0" w:color="auto"/>
          </w:divBdr>
        </w:div>
        <w:div w:id="1977879758">
          <w:marLeft w:val="0"/>
          <w:marRight w:val="0"/>
          <w:marTop w:val="0"/>
          <w:marBottom w:val="0"/>
          <w:divBdr>
            <w:top w:val="none" w:sz="0" w:space="0" w:color="auto"/>
            <w:left w:val="none" w:sz="0" w:space="0" w:color="auto"/>
            <w:bottom w:val="none" w:sz="0" w:space="0" w:color="auto"/>
            <w:right w:val="none" w:sz="0" w:space="0" w:color="auto"/>
          </w:divBdr>
        </w:div>
        <w:div w:id="2144889118">
          <w:marLeft w:val="0"/>
          <w:marRight w:val="0"/>
          <w:marTop w:val="0"/>
          <w:marBottom w:val="0"/>
          <w:divBdr>
            <w:top w:val="none" w:sz="0" w:space="0" w:color="auto"/>
            <w:left w:val="none" w:sz="0" w:space="0" w:color="auto"/>
            <w:bottom w:val="none" w:sz="0" w:space="0" w:color="auto"/>
            <w:right w:val="none" w:sz="0" w:space="0" w:color="auto"/>
          </w:divBdr>
        </w:div>
      </w:divsChild>
    </w:div>
    <w:div w:id="1544899130">
      <w:bodyDiv w:val="1"/>
      <w:marLeft w:val="0"/>
      <w:marRight w:val="0"/>
      <w:marTop w:val="0"/>
      <w:marBottom w:val="0"/>
      <w:divBdr>
        <w:top w:val="none" w:sz="0" w:space="0" w:color="auto"/>
        <w:left w:val="none" w:sz="0" w:space="0" w:color="auto"/>
        <w:bottom w:val="none" w:sz="0" w:space="0" w:color="auto"/>
        <w:right w:val="none" w:sz="0" w:space="0" w:color="auto"/>
      </w:divBdr>
      <w:divsChild>
        <w:div w:id="272904131">
          <w:marLeft w:val="0"/>
          <w:marRight w:val="0"/>
          <w:marTop w:val="0"/>
          <w:marBottom w:val="0"/>
          <w:divBdr>
            <w:top w:val="none" w:sz="0" w:space="0" w:color="auto"/>
            <w:left w:val="none" w:sz="0" w:space="0" w:color="auto"/>
            <w:bottom w:val="none" w:sz="0" w:space="0" w:color="auto"/>
            <w:right w:val="none" w:sz="0" w:space="0" w:color="auto"/>
          </w:divBdr>
        </w:div>
        <w:div w:id="652373656">
          <w:marLeft w:val="0"/>
          <w:marRight w:val="0"/>
          <w:marTop w:val="0"/>
          <w:marBottom w:val="0"/>
          <w:divBdr>
            <w:top w:val="none" w:sz="0" w:space="0" w:color="auto"/>
            <w:left w:val="none" w:sz="0" w:space="0" w:color="auto"/>
            <w:bottom w:val="none" w:sz="0" w:space="0" w:color="auto"/>
            <w:right w:val="none" w:sz="0" w:space="0" w:color="auto"/>
          </w:divBdr>
        </w:div>
        <w:div w:id="653919681">
          <w:marLeft w:val="0"/>
          <w:marRight w:val="0"/>
          <w:marTop w:val="0"/>
          <w:marBottom w:val="0"/>
          <w:divBdr>
            <w:top w:val="none" w:sz="0" w:space="0" w:color="auto"/>
            <w:left w:val="none" w:sz="0" w:space="0" w:color="auto"/>
            <w:bottom w:val="none" w:sz="0" w:space="0" w:color="auto"/>
            <w:right w:val="none" w:sz="0" w:space="0" w:color="auto"/>
          </w:divBdr>
        </w:div>
        <w:div w:id="907543780">
          <w:marLeft w:val="0"/>
          <w:marRight w:val="0"/>
          <w:marTop w:val="0"/>
          <w:marBottom w:val="0"/>
          <w:divBdr>
            <w:top w:val="none" w:sz="0" w:space="0" w:color="auto"/>
            <w:left w:val="none" w:sz="0" w:space="0" w:color="auto"/>
            <w:bottom w:val="none" w:sz="0" w:space="0" w:color="auto"/>
            <w:right w:val="none" w:sz="0" w:space="0" w:color="auto"/>
          </w:divBdr>
        </w:div>
        <w:div w:id="1024091908">
          <w:marLeft w:val="0"/>
          <w:marRight w:val="0"/>
          <w:marTop w:val="0"/>
          <w:marBottom w:val="0"/>
          <w:divBdr>
            <w:top w:val="none" w:sz="0" w:space="0" w:color="auto"/>
            <w:left w:val="none" w:sz="0" w:space="0" w:color="auto"/>
            <w:bottom w:val="none" w:sz="0" w:space="0" w:color="auto"/>
            <w:right w:val="none" w:sz="0" w:space="0" w:color="auto"/>
          </w:divBdr>
        </w:div>
        <w:div w:id="1255355304">
          <w:marLeft w:val="0"/>
          <w:marRight w:val="0"/>
          <w:marTop w:val="0"/>
          <w:marBottom w:val="0"/>
          <w:divBdr>
            <w:top w:val="none" w:sz="0" w:space="0" w:color="auto"/>
            <w:left w:val="none" w:sz="0" w:space="0" w:color="auto"/>
            <w:bottom w:val="none" w:sz="0" w:space="0" w:color="auto"/>
            <w:right w:val="none" w:sz="0" w:space="0" w:color="auto"/>
          </w:divBdr>
        </w:div>
        <w:div w:id="1318143804">
          <w:marLeft w:val="0"/>
          <w:marRight w:val="0"/>
          <w:marTop w:val="0"/>
          <w:marBottom w:val="0"/>
          <w:divBdr>
            <w:top w:val="none" w:sz="0" w:space="0" w:color="auto"/>
            <w:left w:val="none" w:sz="0" w:space="0" w:color="auto"/>
            <w:bottom w:val="none" w:sz="0" w:space="0" w:color="auto"/>
            <w:right w:val="none" w:sz="0" w:space="0" w:color="auto"/>
          </w:divBdr>
        </w:div>
        <w:div w:id="1361777955">
          <w:marLeft w:val="0"/>
          <w:marRight w:val="0"/>
          <w:marTop w:val="0"/>
          <w:marBottom w:val="0"/>
          <w:divBdr>
            <w:top w:val="none" w:sz="0" w:space="0" w:color="auto"/>
            <w:left w:val="none" w:sz="0" w:space="0" w:color="auto"/>
            <w:bottom w:val="none" w:sz="0" w:space="0" w:color="auto"/>
            <w:right w:val="none" w:sz="0" w:space="0" w:color="auto"/>
          </w:divBdr>
        </w:div>
        <w:div w:id="1368218634">
          <w:marLeft w:val="0"/>
          <w:marRight w:val="0"/>
          <w:marTop w:val="0"/>
          <w:marBottom w:val="0"/>
          <w:divBdr>
            <w:top w:val="none" w:sz="0" w:space="0" w:color="auto"/>
            <w:left w:val="none" w:sz="0" w:space="0" w:color="auto"/>
            <w:bottom w:val="none" w:sz="0" w:space="0" w:color="auto"/>
            <w:right w:val="none" w:sz="0" w:space="0" w:color="auto"/>
          </w:divBdr>
        </w:div>
        <w:div w:id="1437871656">
          <w:marLeft w:val="0"/>
          <w:marRight w:val="0"/>
          <w:marTop w:val="0"/>
          <w:marBottom w:val="0"/>
          <w:divBdr>
            <w:top w:val="none" w:sz="0" w:space="0" w:color="auto"/>
            <w:left w:val="none" w:sz="0" w:space="0" w:color="auto"/>
            <w:bottom w:val="none" w:sz="0" w:space="0" w:color="auto"/>
            <w:right w:val="none" w:sz="0" w:space="0" w:color="auto"/>
          </w:divBdr>
        </w:div>
        <w:div w:id="1447190317">
          <w:marLeft w:val="0"/>
          <w:marRight w:val="0"/>
          <w:marTop w:val="0"/>
          <w:marBottom w:val="0"/>
          <w:divBdr>
            <w:top w:val="none" w:sz="0" w:space="0" w:color="auto"/>
            <w:left w:val="none" w:sz="0" w:space="0" w:color="auto"/>
            <w:bottom w:val="none" w:sz="0" w:space="0" w:color="auto"/>
            <w:right w:val="none" w:sz="0" w:space="0" w:color="auto"/>
          </w:divBdr>
        </w:div>
        <w:div w:id="1522010999">
          <w:marLeft w:val="0"/>
          <w:marRight w:val="0"/>
          <w:marTop w:val="0"/>
          <w:marBottom w:val="0"/>
          <w:divBdr>
            <w:top w:val="none" w:sz="0" w:space="0" w:color="auto"/>
            <w:left w:val="none" w:sz="0" w:space="0" w:color="auto"/>
            <w:bottom w:val="none" w:sz="0" w:space="0" w:color="auto"/>
            <w:right w:val="none" w:sz="0" w:space="0" w:color="auto"/>
          </w:divBdr>
        </w:div>
        <w:div w:id="1591432403">
          <w:marLeft w:val="0"/>
          <w:marRight w:val="0"/>
          <w:marTop w:val="0"/>
          <w:marBottom w:val="0"/>
          <w:divBdr>
            <w:top w:val="none" w:sz="0" w:space="0" w:color="auto"/>
            <w:left w:val="none" w:sz="0" w:space="0" w:color="auto"/>
            <w:bottom w:val="none" w:sz="0" w:space="0" w:color="auto"/>
            <w:right w:val="none" w:sz="0" w:space="0" w:color="auto"/>
          </w:divBdr>
        </w:div>
        <w:div w:id="1948927846">
          <w:marLeft w:val="0"/>
          <w:marRight w:val="0"/>
          <w:marTop w:val="0"/>
          <w:marBottom w:val="0"/>
          <w:divBdr>
            <w:top w:val="none" w:sz="0" w:space="0" w:color="auto"/>
            <w:left w:val="none" w:sz="0" w:space="0" w:color="auto"/>
            <w:bottom w:val="none" w:sz="0" w:space="0" w:color="auto"/>
            <w:right w:val="none" w:sz="0" w:space="0" w:color="auto"/>
          </w:divBdr>
        </w:div>
      </w:divsChild>
    </w:div>
    <w:div w:id="1576237606">
      <w:bodyDiv w:val="1"/>
      <w:marLeft w:val="0"/>
      <w:marRight w:val="0"/>
      <w:marTop w:val="0"/>
      <w:marBottom w:val="0"/>
      <w:divBdr>
        <w:top w:val="none" w:sz="0" w:space="0" w:color="auto"/>
        <w:left w:val="none" w:sz="0" w:space="0" w:color="auto"/>
        <w:bottom w:val="none" w:sz="0" w:space="0" w:color="auto"/>
        <w:right w:val="none" w:sz="0" w:space="0" w:color="auto"/>
      </w:divBdr>
    </w:div>
    <w:div w:id="1604723241">
      <w:bodyDiv w:val="1"/>
      <w:marLeft w:val="0"/>
      <w:marRight w:val="0"/>
      <w:marTop w:val="0"/>
      <w:marBottom w:val="0"/>
      <w:divBdr>
        <w:top w:val="none" w:sz="0" w:space="0" w:color="auto"/>
        <w:left w:val="none" w:sz="0" w:space="0" w:color="auto"/>
        <w:bottom w:val="none" w:sz="0" w:space="0" w:color="auto"/>
        <w:right w:val="none" w:sz="0" w:space="0" w:color="auto"/>
      </w:divBdr>
    </w:div>
    <w:div w:id="1622030859">
      <w:bodyDiv w:val="1"/>
      <w:marLeft w:val="0"/>
      <w:marRight w:val="0"/>
      <w:marTop w:val="0"/>
      <w:marBottom w:val="0"/>
      <w:divBdr>
        <w:top w:val="none" w:sz="0" w:space="0" w:color="auto"/>
        <w:left w:val="none" w:sz="0" w:space="0" w:color="auto"/>
        <w:bottom w:val="none" w:sz="0" w:space="0" w:color="auto"/>
        <w:right w:val="none" w:sz="0" w:space="0" w:color="auto"/>
      </w:divBdr>
      <w:divsChild>
        <w:div w:id="280232510">
          <w:marLeft w:val="0"/>
          <w:marRight w:val="0"/>
          <w:marTop w:val="0"/>
          <w:marBottom w:val="0"/>
          <w:divBdr>
            <w:top w:val="none" w:sz="0" w:space="0" w:color="auto"/>
            <w:left w:val="none" w:sz="0" w:space="0" w:color="auto"/>
            <w:bottom w:val="none" w:sz="0" w:space="0" w:color="auto"/>
            <w:right w:val="none" w:sz="0" w:space="0" w:color="auto"/>
          </w:divBdr>
        </w:div>
        <w:div w:id="348525739">
          <w:marLeft w:val="0"/>
          <w:marRight w:val="0"/>
          <w:marTop w:val="0"/>
          <w:marBottom w:val="0"/>
          <w:divBdr>
            <w:top w:val="none" w:sz="0" w:space="0" w:color="auto"/>
            <w:left w:val="none" w:sz="0" w:space="0" w:color="auto"/>
            <w:bottom w:val="none" w:sz="0" w:space="0" w:color="auto"/>
            <w:right w:val="none" w:sz="0" w:space="0" w:color="auto"/>
          </w:divBdr>
        </w:div>
        <w:div w:id="416439272">
          <w:marLeft w:val="0"/>
          <w:marRight w:val="0"/>
          <w:marTop w:val="0"/>
          <w:marBottom w:val="0"/>
          <w:divBdr>
            <w:top w:val="none" w:sz="0" w:space="0" w:color="auto"/>
            <w:left w:val="none" w:sz="0" w:space="0" w:color="auto"/>
            <w:bottom w:val="none" w:sz="0" w:space="0" w:color="auto"/>
            <w:right w:val="none" w:sz="0" w:space="0" w:color="auto"/>
          </w:divBdr>
        </w:div>
        <w:div w:id="466319809">
          <w:marLeft w:val="0"/>
          <w:marRight w:val="0"/>
          <w:marTop w:val="0"/>
          <w:marBottom w:val="0"/>
          <w:divBdr>
            <w:top w:val="none" w:sz="0" w:space="0" w:color="auto"/>
            <w:left w:val="none" w:sz="0" w:space="0" w:color="auto"/>
            <w:bottom w:val="none" w:sz="0" w:space="0" w:color="auto"/>
            <w:right w:val="none" w:sz="0" w:space="0" w:color="auto"/>
          </w:divBdr>
        </w:div>
        <w:div w:id="486821801">
          <w:marLeft w:val="0"/>
          <w:marRight w:val="0"/>
          <w:marTop w:val="0"/>
          <w:marBottom w:val="0"/>
          <w:divBdr>
            <w:top w:val="none" w:sz="0" w:space="0" w:color="auto"/>
            <w:left w:val="none" w:sz="0" w:space="0" w:color="auto"/>
            <w:bottom w:val="none" w:sz="0" w:space="0" w:color="auto"/>
            <w:right w:val="none" w:sz="0" w:space="0" w:color="auto"/>
          </w:divBdr>
        </w:div>
        <w:div w:id="522668523">
          <w:marLeft w:val="0"/>
          <w:marRight w:val="0"/>
          <w:marTop w:val="0"/>
          <w:marBottom w:val="0"/>
          <w:divBdr>
            <w:top w:val="none" w:sz="0" w:space="0" w:color="auto"/>
            <w:left w:val="none" w:sz="0" w:space="0" w:color="auto"/>
            <w:bottom w:val="none" w:sz="0" w:space="0" w:color="auto"/>
            <w:right w:val="none" w:sz="0" w:space="0" w:color="auto"/>
          </w:divBdr>
        </w:div>
        <w:div w:id="532959600">
          <w:marLeft w:val="0"/>
          <w:marRight w:val="0"/>
          <w:marTop w:val="0"/>
          <w:marBottom w:val="0"/>
          <w:divBdr>
            <w:top w:val="none" w:sz="0" w:space="0" w:color="auto"/>
            <w:left w:val="none" w:sz="0" w:space="0" w:color="auto"/>
            <w:bottom w:val="none" w:sz="0" w:space="0" w:color="auto"/>
            <w:right w:val="none" w:sz="0" w:space="0" w:color="auto"/>
          </w:divBdr>
        </w:div>
        <w:div w:id="654650150">
          <w:marLeft w:val="0"/>
          <w:marRight w:val="0"/>
          <w:marTop w:val="0"/>
          <w:marBottom w:val="0"/>
          <w:divBdr>
            <w:top w:val="none" w:sz="0" w:space="0" w:color="auto"/>
            <w:left w:val="none" w:sz="0" w:space="0" w:color="auto"/>
            <w:bottom w:val="none" w:sz="0" w:space="0" w:color="auto"/>
            <w:right w:val="none" w:sz="0" w:space="0" w:color="auto"/>
          </w:divBdr>
        </w:div>
        <w:div w:id="715812767">
          <w:marLeft w:val="0"/>
          <w:marRight w:val="0"/>
          <w:marTop w:val="0"/>
          <w:marBottom w:val="0"/>
          <w:divBdr>
            <w:top w:val="none" w:sz="0" w:space="0" w:color="auto"/>
            <w:left w:val="none" w:sz="0" w:space="0" w:color="auto"/>
            <w:bottom w:val="none" w:sz="0" w:space="0" w:color="auto"/>
            <w:right w:val="none" w:sz="0" w:space="0" w:color="auto"/>
          </w:divBdr>
        </w:div>
        <w:div w:id="758450387">
          <w:marLeft w:val="0"/>
          <w:marRight w:val="0"/>
          <w:marTop w:val="0"/>
          <w:marBottom w:val="0"/>
          <w:divBdr>
            <w:top w:val="none" w:sz="0" w:space="0" w:color="auto"/>
            <w:left w:val="none" w:sz="0" w:space="0" w:color="auto"/>
            <w:bottom w:val="none" w:sz="0" w:space="0" w:color="auto"/>
            <w:right w:val="none" w:sz="0" w:space="0" w:color="auto"/>
          </w:divBdr>
        </w:div>
        <w:div w:id="840703762">
          <w:marLeft w:val="0"/>
          <w:marRight w:val="0"/>
          <w:marTop w:val="0"/>
          <w:marBottom w:val="0"/>
          <w:divBdr>
            <w:top w:val="none" w:sz="0" w:space="0" w:color="auto"/>
            <w:left w:val="none" w:sz="0" w:space="0" w:color="auto"/>
            <w:bottom w:val="none" w:sz="0" w:space="0" w:color="auto"/>
            <w:right w:val="none" w:sz="0" w:space="0" w:color="auto"/>
          </w:divBdr>
        </w:div>
        <w:div w:id="1034699528">
          <w:marLeft w:val="0"/>
          <w:marRight w:val="0"/>
          <w:marTop w:val="0"/>
          <w:marBottom w:val="0"/>
          <w:divBdr>
            <w:top w:val="none" w:sz="0" w:space="0" w:color="auto"/>
            <w:left w:val="none" w:sz="0" w:space="0" w:color="auto"/>
            <w:bottom w:val="none" w:sz="0" w:space="0" w:color="auto"/>
            <w:right w:val="none" w:sz="0" w:space="0" w:color="auto"/>
          </w:divBdr>
        </w:div>
        <w:div w:id="1199053233">
          <w:marLeft w:val="0"/>
          <w:marRight w:val="0"/>
          <w:marTop w:val="0"/>
          <w:marBottom w:val="0"/>
          <w:divBdr>
            <w:top w:val="none" w:sz="0" w:space="0" w:color="auto"/>
            <w:left w:val="none" w:sz="0" w:space="0" w:color="auto"/>
            <w:bottom w:val="none" w:sz="0" w:space="0" w:color="auto"/>
            <w:right w:val="none" w:sz="0" w:space="0" w:color="auto"/>
          </w:divBdr>
        </w:div>
        <w:div w:id="1199854481">
          <w:marLeft w:val="0"/>
          <w:marRight w:val="0"/>
          <w:marTop w:val="0"/>
          <w:marBottom w:val="0"/>
          <w:divBdr>
            <w:top w:val="none" w:sz="0" w:space="0" w:color="auto"/>
            <w:left w:val="none" w:sz="0" w:space="0" w:color="auto"/>
            <w:bottom w:val="none" w:sz="0" w:space="0" w:color="auto"/>
            <w:right w:val="none" w:sz="0" w:space="0" w:color="auto"/>
          </w:divBdr>
        </w:div>
        <w:div w:id="1222788852">
          <w:marLeft w:val="0"/>
          <w:marRight w:val="0"/>
          <w:marTop w:val="0"/>
          <w:marBottom w:val="0"/>
          <w:divBdr>
            <w:top w:val="none" w:sz="0" w:space="0" w:color="auto"/>
            <w:left w:val="none" w:sz="0" w:space="0" w:color="auto"/>
            <w:bottom w:val="none" w:sz="0" w:space="0" w:color="auto"/>
            <w:right w:val="none" w:sz="0" w:space="0" w:color="auto"/>
          </w:divBdr>
        </w:div>
        <w:div w:id="1307931183">
          <w:marLeft w:val="0"/>
          <w:marRight w:val="0"/>
          <w:marTop w:val="0"/>
          <w:marBottom w:val="0"/>
          <w:divBdr>
            <w:top w:val="none" w:sz="0" w:space="0" w:color="auto"/>
            <w:left w:val="none" w:sz="0" w:space="0" w:color="auto"/>
            <w:bottom w:val="none" w:sz="0" w:space="0" w:color="auto"/>
            <w:right w:val="none" w:sz="0" w:space="0" w:color="auto"/>
          </w:divBdr>
        </w:div>
        <w:div w:id="1386174816">
          <w:marLeft w:val="0"/>
          <w:marRight w:val="0"/>
          <w:marTop w:val="0"/>
          <w:marBottom w:val="0"/>
          <w:divBdr>
            <w:top w:val="none" w:sz="0" w:space="0" w:color="auto"/>
            <w:left w:val="none" w:sz="0" w:space="0" w:color="auto"/>
            <w:bottom w:val="none" w:sz="0" w:space="0" w:color="auto"/>
            <w:right w:val="none" w:sz="0" w:space="0" w:color="auto"/>
          </w:divBdr>
        </w:div>
        <w:div w:id="1479221917">
          <w:marLeft w:val="0"/>
          <w:marRight w:val="0"/>
          <w:marTop w:val="0"/>
          <w:marBottom w:val="0"/>
          <w:divBdr>
            <w:top w:val="none" w:sz="0" w:space="0" w:color="auto"/>
            <w:left w:val="none" w:sz="0" w:space="0" w:color="auto"/>
            <w:bottom w:val="none" w:sz="0" w:space="0" w:color="auto"/>
            <w:right w:val="none" w:sz="0" w:space="0" w:color="auto"/>
          </w:divBdr>
        </w:div>
        <w:div w:id="1514493794">
          <w:marLeft w:val="0"/>
          <w:marRight w:val="0"/>
          <w:marTop w:val="0"/>
          <w:marBottom w:val="0"/>
          <w:divBdr>
            <w:top w:val="none" w:sz="0" w:space="0" w:color="auto"/>
            <w:left w:val="none" w:sz="0" w:space="0" w:color="auto"/>
            <w:bottom w:val="none" w:sz="0" w:space="0" w:color="auto"/>
            <w:right w:val="none" w:sz="0" w:space="0" w:color="auto"/>
          </w:divBdr>
        </w:div>
        <w:div w:id="1610773337">
          <w:marLeft w:val="0"/>
          <w:marRight w:val="0"/>
          <w:marTop w:val="0"/>
          <w:marBottom w:val="0"/>
          <w:divBdr>
            <w:top w:val="none" w:sz="0" w:space="0" w:color="auto"/>
            <w:left w:val="none" w:sz="0" w:space="0" w:color="auto"/>
            <w:bottom w:val="none" w:sz="0" w:space="0" w:color="auto"/>
            <w:right w:val="none" w:sz="0" w:space="0" w:color="auto"/>
          </w:divBdr>
        </w:div>
        <w:div w:id="1633365354">
          <w:marLeft w:val="0"/>
          <w:marRight w:val="0"/>
          <w:marTop w:val="0"/>
          <w:marBottom w:val="0"/>
          <w:divBdr>
            <w:top w:val="none" w:sz="0" w:space="0" w:color="auto"/>
            <w:left w:val="none" w:sz="0" w:space="0" w:color="auto"/>
            <w:bottom w:val="none" w:sz="0" w:space="0" w:color="auto"/>
            <w:right w:val="none" w:sz="0" w:space="0" w:color="auto"/>
          </w:divBdr>
        </w:div>
        <w:div w:id="1655601540">
          <w:marLeft w:val="0"/>
          <w:marRight w:val="0"/>
          <w:marTop w:val="0"/>
          <w:marBottom w:val="0"/>
          <w:divBdr>
            <w:top w:val="none" w:sz="0" w:space="0" w:color="auto"/>
            <w:left w:val="none" w:sz="0" w:space="0" w:color="auto"/>
            <w:bottom w:val="none" w:sz="0" w:space="0" w:color="auto"/>
            <w:right w:val="none" w:sz="0" w:space="0" w:color="auto"/>
          </w:divBdr>
        </w:div>
        <w:div w:id="1855878818">
          <w:marLeft w:val="0"/>
          <w:marRight w:val="0"/>
          <w:marTop w:val="0"/>
          <w:marBottom w:val="0"/>
          <w:divBdr>
            <w:top w:val="none" w:sz="0" w:space="0" w:color="auto"/>
            <w:left w:val="none" w:sz="0" w:space="0" w:color="auto"/>
            <w:bottom w:val="none" w:sz="0" w:space="0" w:color="auto"/>
            <w:right w:val="none" w:sz="0" w:space="0" w:color="auto"/>
          </w:divBdr>
        </w:div>
        <w:div w:id="1866795136">
          <w:marLeft w:val="0"/>
          <w:marRight w:val="0"/>
          <w:marTop w:val="0"/>
          <w:marBottom w:val="0"/>
          <w:divBdr>
            <w:top w:val="none" w:sz="0" w:space="0" w:color="auto"/>
            <w:left w:val="none" w:sz="0" w:space="0" w:color="auto"/>
            <w:bottom w:val="none" w:sz="0" w:space="0" w:color="auto"/>
            <w:right w:val="none" w:sz="0" w:space="0" w:color="auto"/>
          </w:divBdr>
        </w:div>
        <w:div w:id="1943604970">
          <w:marLeft w:val="0"/>
          <w:marRight w:val="0"/>
          <w:marTop w:val="0"/>
          <w:marBottom w:val="0"/>
          <w:divBdr>
            <w:top w:val="none" w:sz="0" w:space="0" w:color="auto"/>
            <w:left w:val="none" w:sz="0" w:space="0" w:color="auto"/>
            <w:bottom w:val="none" w:sz="0" w:space="0" w:color="auto"/>
            <w:right w:val="none" w:sz="0" w:space="0" w:color="auto"/>
          </w:divBdr>
        </w:div>
        <w:div w:id="2047631914">
          <w:marLeft w:val="0"/>
          <w:marRight w:val="0"/>
          <w:marTop w:val="0"/>
          <w:marBottom w:val="0"/>
          <w:divBdr>
            <w:top w:val="none" w:sz="0" w:space="0" w:color="auto"/>
            <w:left w:val="none" w:sz="0" w:space="0" w:color="auto"/>
            <w:bottom w:val="none" w:sz="0" w:space="0" w:color="auto"/>
            <w:right w:val="none" w:sz="0" w:space="0" w:color="auto"/>
          </w:divBdr>
        </w:div>
        <w:div w:id="2107920603">
          <w:marLeft w:val="0"/>
          <w:marRight w:val="0"/>
          <w:marTop w:val="0"/>
          <w:marBottom w:val="0"/>
          <w:divBdr>
            <w:top w:val="none" w:sz="0" w:space="0" w:color="auto"/>
            <w:left w:val="none" w:sz="0" w:space="0" w:color="auto"/>
            <w:bottom w:val="none" w:sz="0" w:space="0" w:color="auto"/>
            <w:right w:val="none" w:sz="0" w:space="0" w:color="auto"/>
          </w:divBdr>
        </w:div>
        <w:div w:id="2112122537">
          <w:marLeft w:val="0"/>
          <w:marRight w:val="0"/>
          <w:marTop w:val="0"/>
          <w:marBottom w:val="0"/>
          <w:divBdr>
            <w:top w:val="none" w:sz="0" w:space="0" w:color="auto"/>
            <w:left w:val="none" w:sz="0" w:space="0" w:color="auto"/>
            <w:bottom w:val="none" w:sz="0" w:space="0" w:color="auto"/>
            <w:right w:val="none" w:sz="0" w:space="0" w:color="auto"/>
          </w:divBdr>
        </w:div>
        <w:div w:id="2127041695">
          <w:marLeft w:val="0"/>
          <w:marRight w:val="0"/>
          <w:marTop w:val="0"/>
          <w:marBottom w:val="0"/>
          <w:divBdr>
            <w:top w:val="none" w:sz="0" w:space="0" w:color="auto"/>
            <w:left w:val="none" w:sz="0" w:space="0" w:color="auto"/>
            <w:bottom w:val="none" w:sz="0" w:space="0" w:color="auto"/>
            <w:right w:val="none" w:sz="0" w:space="0" w:color="auto"/>
          </w:divBdr>
        </w:div>
      </w:divsChild>
    </w:div>
    <w:div w:id="1630017713">
      <w:bodyDiv w:val="1"/>
      <w:marLeft w:val="0"/>
      <w:marRight w:val="0"/>
      <w:marTop w:val="0"/>
      <w:marBottom w:val="0"/>
      <w:divBdr>
        <w:top w:val="none" w:sz="0" w:space="0" w:color="auto"/>
        <w:left w:val="none" w:sz="0" w:space="0" w:color="auto"/>
        <w:bottom w:val="none" w:sz="0" w:space="0" w:color="auto"/>
        <w:right w:val="none" w:sz="0" w:space="0" w:color="auto"/>
      </w:divBdr>
    </w:div>
    <w:div w:id="1691831994">
      <w:bodyDiv w:val="1"/>
      <w:marLeft w:val="0"/>
      <w:marRight w:val="0"/>
      <w:marTop w:val="0"/>
      <w:marBottom w:val="0"/>
      <w:divBdr>
        <w:top w:val="none" w:sz="0" w:space="0" w:color="auto"/>
        <w:left w:val="none" w:sz="0" w:space="0" w:color="auto"/>
        <w:bottom w:val="none" w:sz="0" w:space="0" w:color="auto"/>
        <w:right w:val="none" w:sz="0" w:space="0" w:color="auto"/>
      </w:divBdr>
    </w:div>
    <w:div w:id="1697582568">
      <w:bodyDiv w:val="1"/>
      <w:marLeft w:val="0"/>
      <w:marRight w:val="0"/>
      <w:marTop w:val="0"/>
      <w:marBottom w:val="0"/>
      <w:divBdr>
        <w:top w:val="none" w:sz="0" w:space="0" w:color="auto"/>
        <w:left w:val="none" w:sz="0" w:space="0" w:color="auto"/>
        <w:bottom w:val="none" w:sz="0" w:space="0" w:color="auto"/>
        <w:right w:val="none" w:sz="0" w:space="0" w:color="auto"/>
      </w:divBdr>
    </w:div>
    <w:div w:id="1757242503">
      <w:bodyDiv w:val="1"/>
      <w:marLeft w:val="0"/>
      <w:marRight w:val="0"/>
      <w:marTop w:val="0"/>
      <w:marBottom w:val="0"/>
      <w:divBdr>
        <w:top w:val="none" w:sz="0" w:space="0" w:color="auto"/>
        <w:left w:val="none" w:sz="0" w:space="0" w:color="auto"/>
        <w:bottom w:val="none" w:sz="0" w:space="0" w:color="auto"/>
        <w:right w:val="none" w:sz="0" w:space="0" w:color="auto"/>
      </w:divBdr>
    </w:div>
    <w:div w:id="1779371107">
      <w:bodyDiv w:val="1"/>
      <w:marLeft w:val="0"/>
      <w:marRight w:val="0"/>
      <w:marTop w:val="0"/>
      <w:marBottom w:val="0"/>
      <w:divBdr>
        <w:top w:val="none" w:sz="0" w:space="0" w:color="auto"/>
        <w:left w:val="none" w:sz="0" w:space="0" w:color="auto"/>
        <w:bottom w:val="none" w:sz="0" w:space="0" w:color="auto"/>
        <w:right w:val="none" w:sz="0" w:space="0" w:color="auto"/>
      </w:divBdr>
    </w:div>
    <w:div w:id="1801915109">
      <w:bodyDiv w:val="1"/>
      <w:marLeft w:val="0"/>
      <w:marRight w:val="0"/>
      <w:marTop w:val="0"/>
      <w:marBottom w:val="0"/>
      <w:divBdr>
        <w:top w:val="none" w:sz="0" w:space="0" w:color="auto"/>
        <w:left w:val="none" w:sz="0" w:space="0" w:color="auto"/>
        <w:bottom w:val="none" w:sz="0" w:space="0" w:color="auto"/>
        <w:right w:val="none" w:sz="0" w:space="0" w:color="auto"/>
      </w:divBdr>
    </w:div>
    <w:div w:id="1836533529">
      <w:bodyDiv w:val="1"/>
      <w:marLeft w:val="0"/>
      <w:marRight w:val="0"/>
      <w:marTop w:val="0"/>
      <w:marBottom w:val="0"/>
      <w:divBdr>
        <w:top w:val="none" w:sz="0" w:space="0" w:color="auto"/>
        <w:left w:val="none" w:sz="0" w:space="0" w:color="auto"/>
        <w:bottom w:val="none" w:sz="0" w:space="0" w:color="auto"/>
        <w:right w:val="none" w:sz="0" w:space="0" w:color="auto"/>
      </w:divBdr>
    </w:div>
    <w:div w:id="1840730702">
      <w:bodyDiv w:val="1"/>
      <w:marLeft w:val="0"/>
      <w:marRight w:val="0"/>
      <w:marTop w:val="0"/>
      <w:marBottom w:val="0"/>
      <w:divBdr>
        <w:top w:val="none" w:sz="0" w:space="0" w:color="auto"/>
        <w:left w:val="none" w:sz="0" w:space="0" w:color="auto"/>
        <w:bottom w:val="none" w:sz="0" w:space="0" w:color="auto"/>
        <w:right w:val="none" w:sz="0" w:space="0" w:color="auto"/>
      </w:divBdr>
      <w:divsChild>
        <w:div w:id="338702205">
          <w:marLeft w:val="0"/>
          <w:marRight w:val="0"/>
          <w:marTop w:val="0"/>
          <w:marBottom w:val="0"/>
          <w:divBdr>
            <w:top w:val="none" w:sz="0" w:space="0" w:color="auto"/>
            <w:left w:val="none" w:sz="0" w:space="0" w:color="auto"/>
            <w:bottom w:val="none" w:sz="0" w:space="0" w:color="auto"/>
            <w:right w:val="none" w:sz="0" w:space="0" w:color="auto"/>
          </w:divBdr>
        </w:div>
        <w:div w:id="935938374">
          <w:marLeft w:val="0"/>
          <w:marRight w:val="0"/>
          <w:marTop w:val="0"/>
          <w:marBottom w:val="0"/>
          <w:divBdr>
            <w:top w:val="none" w:sz="0" w:space="0" w:color="auto"/>
            <w:left w:val="none" w:sz="0" w:space="0" w:color="auto"/>
            <w:bottom w:val="none" w:sz="0" w:space="0" w:color="auto"/>
            <w:right w:val="none" w:sz="0" w:space="0" w:color="auto"/>
          </w:divBdr>
        </w:div>
      </w:divsChild>
    </w:div>
    <w:div w:id="1852602761">
      <w:bodyDiv w:val="1"/>
      <w:marLeft w:val="0"/>
      <w:marRight w:val="0"/>
      <w:marTop w:val="0"/>
      <w:marBottom w:val="0"/>
      <w:divBdr>
        <w:top w:val="none" w:sz="0" w:space="0" w:color="auto"/>
        <w:left w:val="none" w:sz="0" w:space="0" w:color="auto"/>
        <w:bottom w:val="none" w:sz="0" w:space="0" w:color="auto"/>
        <w:right w:val="none" w:sz="0" w:space="0" w:color="auto"/>
      </w:divBdr>
      <w:divsChild>
        <w:div w:id="1561862025">
          <w:marLeft w:val="0"/>
          <w:marRight w:val="0"/>
          <w:marTop w:val="0"/>
          <w:marBottom w:val="0"/>
          <w:divBdr>
            <w:top w:val="none" w:sz="0" w:space="0" w:color="auto"/>
            <w:left w:val="none" w:sz="0" w:space="0" w:color="auto"/>
            <w:bottom w:val="none" w:sz="0" w:space="0" w:color="auto"/>
            <w:right w:val="none" w:sz="0" w:space="0" w:color="auto"/>
          </w:divBdr>
          <w:divsChild>
            <w:div w:id="1532303427">
              <w:marLeft w:val="0"/>
              <w:marRight w:val="0"/>
              <w:marTop w:val="0"/>
              <w:marBottom w:val="0"/>
              <w:divBdr>
                <w:top w:val="none" w:sz="0" w:space="0" w:color="auto"/>
                <w:left w:val="none" w:sz="0" w:space="0" w:color="auto"/>
                <w:bottom w:val="none" w:sz="0" w:space="0" w:color="auto"/>
                <w:right w:val="none" w:sz="0" w:space="0" w:color="auto"/>
              </w:divBdr>
              <w:divsChild>
                <w:div w:id="1510365056">
                  <w:marLeft w:val="0"/>
                  <w:marRight w:val="0"/>
                  <w:marTop w:val="0"/>
                  <w:marBottom w:val="0"/>
                  <w:divBdr>
                    <w:top w:val="none" w:sz="0" w:space="0" w:color="auto"/>
                    <w:left w:val="none" w:sz="0" w:space="0" w:color="auto"/>
                    <w:bottom w:val="none" w:sz="0" w:space="0" w:color="auto"/>
                    <w:right w:val="none" w:sz="0" w:space="0" w:color="auto"/>
                  </w:divBdr>
                  <w:divsChild>
                    <w:div w:id="74423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646294">
      <w:bodyDiv w:val="1"/>
      <w:marLeft w:val="0"/>
      <w:marRight w:val="0"/>
      <w:marTop w:val="0"/>
      <w:marBottom w:val="0"/>
      <w:divBdr>
        <w:top w:val="none" w:sz="0" w:space="0" w:color="auto"/>
        <w:left w:val="none" w:sz="0" w:space="0" w:color="auto"/>
        <w:bottom w:val="none" w:sz="0" w:space="0" w:color="auto"/>
        <w:right w:val="none" w:sz="0" w:space="0" w:color="auto"/>
      </w:divBdr>
    </w:div>
    <w:div w:id="1860586791">
      <w:bodyDiv w:val="1"/>
      <w:marLeft w:val="0"/>
      <w:marRight w:val="0"/>
      <w:marTop w:val="0"/>
      <w:marBottom w:val="0"/>
      <w:divBdr>
        <w:top w:val="none" w:sz="0" w:space="0" w:color="auto"/>
        <w:left w:val="none" w:sz="0" w:space="0" w:color="auto"/>
        <w:bottom w:val="none" w:sz="0" w:space="0" w:color="auto"/>
        <w:right w:val="none" w:sz="0" w:space="0" w:color="auto"/>
      </w:divBdr>
    </w:div>
    <w:div w:id="1866751536">
      <w:bodyDiv w:val="1"/>
      <w:marLeft w:val="0"/>
      <w:marRight w:val="0"/>
      <w:marTop w:val="0"/>
      <w:marBottom w:val="0"/>
      <w:divBdr>
        <w:top w:val="none" w:sz="0" w:space="0" w:color="auto"/>
        <w:left w:val="none" w:sz="0" w:space="0" w:color="auto"/>
        <w:bottom w:val="none" w:sz="0" w:space="0" w:color="auto"/>
        <w:right w:val="none" w:sz="0" w:space="0" w:color="auto"/>
      </w:divBdr>
    </w:div>
    <w:div w:id="1876767917">
      <w:bodyDiv w:val="1"/>
      <w:marLeft w:val="0"/>
      <w:marRight w:val="0"/>
      <w:marTop w:val="0"/>
      <w:marBottom w:val="0"/>
      <w:divBdr>
        <w:top w:val="none" w:sz="0" w:space="0" w:color="auto"/>
        <w:left w:val="none" w:sz="0" w:space="0" w:color="auto"/>
        <w:bottom w:val="none" w:sz="0" w:space="0" w:color="auto"/>
        <w:right w:val="none" w:sz="0" w:space="0" w:color="auto"/>
      </w:divBdr>
    </w:div>
    <w:div w:id="1881742796">
      <w:bodyDiv w:val="1"/>
      <w:marLeft w:val="0"/>
      <w:marRight w:val="0"/>
      <w:marTop w:val="0"/>
      <w:marBottom w:val="0"/>
      <w:divBdr>
        <w:top w:val="none" w:sz="0" w:space="0" w:color="auto"/>
        <w:left w:val="none" w:sz="0" w:space="0" w:color="auto"/>
        <w:bottom w:val="none" w:sz="0" w:space="0" w:color="auto"/>
        <w:right w:val="none" w:sz="0" w:space="0" w:color="auto"/>
      </w:divBdr>
    </w:div>
    <w:div w:id="1895894247">
      <w:bodyDiv w:val="1"/>
      <w:marLeft w:val="0"/>
      <w:marRight w:val="0"/>
      <w:marTop w:val="0"/>
      <w:marBottom w:val="0"/>
      <w:divBdr>
        <w:top w:val="none" w:sz="0" w:space="0" w:color="auto"/>
        <w:left w:val="none" w:sz="0" w:space="0" w:color="auto"/>
        <w:bottom w:val="none" w:sz="0" w:space="0" w:color="auto"/>
        <w:right w:val="none" w:sz="0" w:space="0" w:color="auto"/>
      </w:divBdr>
      <w:divsChild>
        <w:div w:id="792404820">
          <w:marLeft w:val="0"/>
          <w:marRight w:val="0"/>
          <w:marTop w:val="0"/>
          <w:marBottom w:val="0"/>
          <w:divBdr>
            <w:top w:val="none" w:sz="0" w:space="0" w:color="auto"/>
            <w:left w:val="none" w:sz="0" w:space="0" w:color="auto"/>
            <w:bottom w:val="none" w:sz="0" w:space="0" w:color="auto"/>
            <w:right w:val="none" w:sz="0" w:space="0" w:color="auto"/>
          </w:divBdr>
          <w:divsChild>
            <w:div w:id="664434314">
              <w:marLeft w:val="0"/>
              <w:marRight w:val="0"/>
              <w:marTop w:val="0"/>
              <w:marBottom w:val="0"/>
              <w:divBdr>
                <w:top w:val="none" w:sz="0" w:space="0" w:color="auto"/>
                <w:left w:val="none" w:sz="0" w:space="0" w:color="auto"/>
                <w:bottom w:val="none" w:sz="0" w:space="0" w:color="auto"/>
                <w:right w:val="none" w:sz="0" w:space="0" w:color="auto"/>
              </w:divBdr>
              <w:divsChild>
                <w:div w:id="2072650739">
                  <w:marLeft w:val="0"/>
                  <w:marRight w:val="0"/>
                  <w:marTop w:val="0"/>
                  <w:marBottom w:val="0"/>
                  <w:divBdr>
                    <w:top w:val="none" w:sz="0" w:space="0" w:color="auto"/>
                    <w:left w:val="none" w:sz="0" w:space="0" w:color="auto"/>
                    <w:bottom w:val="none" w:sz="0" w:space="0" w:color="auto"/>
                    <w:right w:val="none" w:sz="0" w:space="0" w:color="auto"/>
                  </w:divBdr>
                  <w:divsChild>
                    <w:div w:id="171076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113422">
      <w:bodyDiv w:val="1"/>
      <w:marLeft w:val="0"/>
      <w:marRight w:val="0"/>
      <w:marTop w:val="0"/>
      <w:marBottom w:val="0"/>
      <w:divBdr>
        <w:top w:val="none" w:sz="0" w:space="0" w:color="auto"/>
        <w:left w:val="none" w:sz="0" w:space="0" w:color="auto"/>
        <w:bottom w:val="none" w:sz="0" w:space="0" w:color="auto"/>
        <w:right w:val="none" w:sz="0" w:space="0" w:color="auto"/>
      </w:divBdr>
    </w:div>
    <w:div w:id="1913153867">
      <w:bodyDiv w:val="1"/>
      <w:marLeft w:val="0"/>
      <w:marRight w:val="0"/>
      <w:marTop w:val="0"/>
      <w:marBottom w:val="0"/>
      <w:divBdr>
        <w:top w:val="none" w:sz="0" w:space="0" w:color="auto"/>
        <w:left w:val="none" w:sz="0" w:space="0" w:color="auto"/>
        <w:bottom w:val="none" w:sz="0" w:space="0" w:color="auto"/>
        <w:right w:val="none" w:sz="0" w:space="0" w:color="auto"/>
      </w:divBdr>
    </w:div>
    <w:div w:id="1942839720">
      <w:bodyDiv w:val="1"/>
      <w:marLeft w:val="0"/>
      <w:marRight w:val="0"/>
      <w:marTop w:val="0"/>
      <w:marBottom w:val="0"/>
      <w:divBdr>
        <w:top w:val="none" w:sz="0" w:space="0" w:color="auto"/>
        <w:left w:val="none" w:sz="0" w:space="0" w:color="auto"/>
        <w:bottom w:val="none" w:sz="0" w:space="0" w:color="auto"/>
        <w:right w:val="none" w:sz="0" w:space="0" w:color="auto"/>
      </w:divBdr>
    </w:div>
    <w:div w:id="1972661691">
      <w:bodyDiv w:val="1"/>
      <w:marLeft w:val="0"/>
      <w:marRight w:val="0"/>
      <w:marTop w:val="0"/>
      <w:marBottom w:val="0"/>
      <w:divBdr>
        <w:top w:val="none" w:sz="0" w:space="0" w:color="auto"/>
        <w:left w:val="none" w:sz="0" w:space="0" w:color="auto"/>
        <w:bottom w:val="none" w:sz="0" w:space="0" w:color="auto"/>
        <w:right w:val="none" w:sz="0" w:space="0" w:color="auto"/>
      </w:divBdr>
    </w:div>
    <w:div w:id="1981618080">
      <w:bodyDiv w:val="1"/>
      <w:marLeft w:val="0"/>
      <w:marRight w:val="0"/>
      <w:marTop w:val="0"/>
      <w:marBottom w:val="0"/>
      <w:divBdr>
        <w:top w:val="none" w:sz="0" w:space="0" w:color="auto"/>
        <w:left w:val="none" w:sz="0" w:space="0" w:color="auto"/>
        <w:bottom w:val="none" w:sz="0" w:space="0" w:color="auto"/>
        <w:right w:val="none" w:sz="0" w:space="0" w:color="auto"/>
      </w:divBdr>
      <w:divsChild>
        <w:div w:id="199050461">
          <w:marLeft w:val="0"/>
          <w:marRight w:val="0"/>
          <w:marTop w:val="0"/>
          <w:marBottom w:val="0"/>
          <w:divBdr>
            <w:top w:val="none" w:sz="0" w:space="0" w:color="auto"/>
            <w:left w:val="none" w:sz="0" w:space="0" w:color="auto"/>
            <w:bottom w:val="none" w:sz="0" w:space="0" w:color="auto"/>
            <w:right w:val="none" w:sz="0" w:space="0" w:color="auto"/>
          </w:divBdr>
          <w:divsChild>
            <w:div w:id="1189414045">
              <w:marLeft w:val="0"/>
              <w:marRight w:val="0"/>
              <w:marTop w:val="0"/>
              <w:marBottom w:val="0"/>
              <w:divBdr>
                <w:top w:val="none" w:sz="0" w:space="0" w:color="auto"/>
                <w:left w:val="none" w:sz="0" w:space="0" w:color="auto"/>
                <w:bottom w:val="none" w:sz="0" w:space="0" w:color="auto"/>
                <w:right w:val="none" w:sz="0" w:space="0" w:color="auto"/>
              </w:divBdr>
              <w:divsChild>
                <w:div w:id="1473793538">
                  <w:marLeft w:val="0"/>
                  <w:marRight w:val="0"/>
                  <w:marTop w:val="0"/>
                  <w:marBottom w:val="0"/>
                  <w:divBdr>
                    <w:top w:val="none" w:sz="0" w:space="0" w:color="auto"/>
                    <w:left w:val="none" w:sz="0" w:space="0" w:color="auto"/>
                    <w:bottom w:val="none" w:sz="0" w:space="0" w:color="auto"/>
                    <w:right w:val="none" w:sz="0" w:space="0" w:color="auto"/>
                  </w:divBdr>
                  <w:divsChild>
                    <w:div w:id="31407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818047">
      <w:bodyDiv w:val="1"/>
      <w:marLeft w:val="0"/>
      <w:marRight w:val="0"/>
      <w:marTop w:val="0"/>
      <w:marBottom w:val="0"/>
      <w:divBdr>
        <w:top w:val="none" w:sz="0" w:space="0" w:color="auto"/>
        <w:left w:val="none" w:sz="0" w:space="0" w:color="auto"/>
        <w:bottom w:val="none" w:sz="0" w:space="0" w:color="auto"/>
        <w:right w:val="none" w:sz="0" w:space="0" w:color="auto"/>
      </w:divBdr>
    </w:div>
    <w:div w:id="2031293645">
      <w:bodyDiv w:val="1"/>
      <w:marLeft w:val="0"/>
      <w:marRight w:val="0"/>
      <w:marTop w:val="0"/>
      <w:marBottom w:val="0"/>
      <w:divBdr>
        <w:top w:val="none" w:sz="0" w:space="0" w:color="auto"/>
        <w:left w:val="none" w:sz="0" w:space="0" w:color="auto"/>
        <w:bottom w:val="none" w:sz="0" w:space="0" w:color="auto"/>
        <w:right w:val="none" w:sz="0" w:space="0" w:color="auto"/>
      </w:divBdr>
    </w:div>
    <w:div w:id="2041734127">
      <w:bodyDiv w:val="1"/>
      <w:marLeft w:val="0"/>
      <w:marRight w:val="0"/>
      <w:marTop w:val="0"/>
      <w:marBottom w:val="0"/>
      <w:divBdr>
        <w:top w:val="none" w:sz="0" w:space="0" w:color="auto"/>
        <w:left w:val="none" w:sz="0" w:space="0" w:color="auto"/>
        <w:bottom w:val="none" w:sz="0" w:space="0" w:color="auto"/>
        <w:right w:val="none" w:sz="0" w:space="0" w:color="auto"/>
      </w:divBdr>
      <w:divsChild>
        <w:div w:id="638464223">
          <w:marLeft w:val="0"/>
          <w:marRight w:val="0"/>
          <w:marTop w:val="0"/>
          <w:marBottom w:val="0"/>
          <w:divBdr>
            <w:top w:val="none" w:sz="0" w:space="0" w:color="auto"/>
            <w:left w:val="none" w:sz="0" w:space="0" w:color="auto"/>
            <w:bottom w:val="none" w:sz="0" w:space="0" w:color="auto"/>
            <w:right w:val="none" w:sz="0" w:space="0" w:color="auto"/>
          </w:divBdr>
        </w:div>
        <w:div w:id="778254658">
          <w:marLeft w:val="0"/>
          <w:marRight w:val="0"/>
          <w:marTop w:val="0"/>
          <w:marBottom w:val="0"/>
          <w:divBdr>
            <w:top w:val="none" w:sz="0" w:space="0" w:color="auto"/>
            <w:left w:val="none" w:sz="0" w:space="0" w:color="auto"/>
            <w:bottom w:val="none" w:sz="0" w:space="0" w:color="auto"/>
            <w:right w:val="none" w:sz="0" w:space="0" w:color="auto"/>
          </w:divBdr>
        </w:div>
        <w:div w:id="1913463390">
          <w:marLeft w:val="0"/>
          <w:marRight w:val="0"/>
          <w:marTop w:val="0"/>
          <w:marBottom w:val="0"/>
          <w:divBdr>
            <w:top w:val="none" w:sz="0" w:space="0" w:color="auto"/>
            <w:left w:val="none" w:sz="0" w:space="0" w:color="auto"/>
            <w:bottom w:val="none" w:sz="0" w:space="0" w:color="auto"/>
            <w:right w:val="none" w:sz="0" w:space="0" w:color="auto"/>
          </w:divBdr>
        </w:div>
        <w:div w:id="2128549864">
          <w:marLeft w:val="0"/>
          <w:marRight w:val="0"/>
          <w:marTop w:val="0"/>
          <w:marBottom w:val="0"/>
          <w:divBdr>
            <w:top w:val="none" w:sz="0" w:space="0" w:color="auto"/>
            <w:left w:val="none" w:sz="0" w:space="0" w:color="auto"/>
            <w:bottom w:val="none" w:sz="0" w:space="0" w:color="auto"/>
            <w:right w:val="none" w:sz="0" w:space="0" w:color="auto"/>
          </w:divBdr>
        </w:div>
      </w:divsChild>
    </w:div>
    <w:div w:id="2074810371">
      <w:bodyDiv w:val="1"/>
      <w:marLeft w:val="0"/>
      <w:marRight w:val="0"/>
      <w:marTop w:val="0"/>
      <w:marBottom w:val="0"/>
      <w:divBdr>
        <w:top w:val="none" w:sz="0" w:space="0" w:color="auto"/>
        <w:left w:val="none" w:sz="0" w:space="0" w:color="auto"/>
        <w:bottom w:val="none" w:sz="0" w:space="0" w:color="auto"/>
        <w:right w:val="none" w:sz="0" w:space="0" w:color="auto"/>
      </w:divBdr>
    </w:div>
    <w:div w:id="2075815932">
      <w:bodyDiv w:val="1"/>
      <w:marLeft w:val="0"/>
      <w:marRight w:val="0"/>
      <w:marTop w:val="0"/>
      <w:marBottom w:val="0"/>
      <w:divBdr>
        <w:top w:val="none" w:sz="0" w:space="0" w:color="auto"/>
        <w:left w:val="none" w:sz="0" w:space="0" w:color="auto"/>
        <w:bottom w:val="none" w:sz="0" w:space="0" w:color="auto"/>
        <w:right w:val="none" w:sz="0" w:space="0" w:color="auto"/>
      </w:divBdr>
      <w:divsChild>
        <w:div w:id="919371571">
          <w:marLeft w:val="0"/>
          <w:marRight w:val="0"/>
          <w:marTop w:val="0"/>
          <w:marBottom w:val="0"/>
          <w:divBdr>
            <w:top w:val="none" w:sz="0" w:space="0" w:color="auto"/>
            <w:left w:val="none" w:sz="0" w:space="0" w:color="auto"/>
            <w:bottom w:val="none" w:sz="0" w:space="0" w:color="auto"/>
            <w:right w:val="none" w:sz="0" w:space="0" w:color="auto"/>
          </w:divBdr>
          <w:divsChild>
            <w:div w:id="21439405">
              <w:marLeft w:val="0"/>
              <w:marRight w:val="0"/>
              <w:marTop w:val="0"/>
              <w:marBottom w:val="0"/>
              <w:divBdr>
                <w:top w:val="none" w:sz="0" w:space="0" w:color="auto"/>
                <w:left w:val="none" w:sz="0" w:space="0" w:color="auto"/>
                <w:bottom w:val="none" w:sz="0" w:space="0" w:color="auto"/>
                <w:right w:val="none" w:sz="0" w:space="0" w:color="auto"/>
              </w:divBdr>
            </w:div>
            <w:div w:id="102918420">
              <w:marLeft w:val="0"/>
              <w:marRight w:val="0"/>
              <w:marTop w:val="0"/>
              <w:marBottom w:val="0"/>
              <w:divBdr>
                <w:top w:val="none" w:sz="0" w:space="0" w:color="auto"/>
                <w:left w:val="none" w:sz="0" w:space="0" w:color="auto"/>
                <w:bottom w:val="none" w:sz="0" w:space="0" w:color="auto"/>
                <w:right w:val="none" w:sz="0" w:space="0" w:color="auto"/>
              </w:divBdr>
            </w:div>
            <w:div w:id="152065177">
              <w:marLeft w:val="0"/>
              <w:marRight w:val="0"/>
              <w:marTop w:val="0"/>
              <w:marBottom w:val="0"/>
              <w:divBdr>
                <w:top w:val="none" w:sz="0" w:space="0" w:color="auto"/>
                <w:left w:val="none" w:sz="0" w:space="0" w:color="auto"/>
                <w:bottom w:val="none" w:sz="0" w:space="0" w:color="auto"/>
                <w:right w:val="none" w:sz="0" w:space="0" w:color="auto"/>
              </w:divBdr>
            </w:div>
            <w:div w:id="264388608">
              <w:marLeft w:val="0"/>
              <w:marRight w:val="0"/>
              <w:marTop w:val="0"/>
              <w:marBottom w:val="0"/>
              <w:divBdr>
                <w:top w:val="none" w:sz="0" w:space="0" w:color="auto"/>
                <w:left w:val="none" w:sz="0" w:space="0" w:color="auto"/>
                <w:bottom w:val="none" w:sz="0" w:space="0" w:color="auto"/>
                <w:right w:val="none" w:sz="0" w:space="0" w:color="auto"/>
              </w:divBdr>
            </w:div>
            <w:div w:id="448166525">
              <w:marLeft w:val="0"/>
              <w:marRight w:val="0"/>
              <w:marTop w:val="0"/>
              <w:marBottom w:val="0"/>
              <w:divBdr>
                <w:top w:val="none" w:sz="0" w:space="0" w:color="auto"/>
                <w:left w:val="none" w:sz="0" w:space="0" w:color="auto"/>
                <w:bottom w:val="none" w:sz="0" w:space="0" w:color="auto"/>
                <w:right w:val="none" w:sz="0" w:space="0" w:color="auto"/>
              </w:divBdr>
            </w:div>
            <w:div w:id="643197727">
              <w:marLeft w:val="0"/>
              <w:marRight w:val="0"/>
              <w:marTop w:val="0"/>
              <w:marBottom w:val="0"/>
              <w:divBdr>
                <w:top w:val="none" w:sz="0" w:space="0" w:color="auto"/>
                <w:left w:val="none" w:sz="0" w:space="0" w:color="auto"/>
                <w:bottom w:val="none" w:sz="0" w:space="0" w:color="auto"/>
                <w:right w:val="none" w:sz="0" w:space="0" w:color="auto"/>
              </w:divBdr>
            </w:div>
            <w:div w:id="922298010">
              <w:marLeft w:val="0"/>
              <w:marRight w:val="0"/>
              <w:marTop w:val="0"/>
              <w:marBottom w:val="0"/>
              <w:divBdr>
                <w:top w:val="none" w:sz="0" w:space="0" w:color="auto"/>
                <w:left w:val="none" w:sz="0" w:space="0" w:color="auto"/>
                <w:bottom w:val="none" w:sz="0" w:space="0" w:color="auto"/>
                <w:right w:val="none" w:sz="0" w:space="0" w:color="auto"/>
              </w:divBdr>
            </w:div>
            <w:div w:id="934704026">
              <w:marLeft w:val="0"/>
              <w:marRight w:val="0"/>
              <w:marTop w:val="0"/>
              <w:marBottom w:val="0"/>
              <w:divBdr>
                <w:top w:val="none" w:sz="0" w:space="0" w:color="auto"/>
                <w:left w:val="none" w:sz="0" w:space="0" w:color="auto"/>
                <w:bottom w:val="none" w:sz="0" w:space="0" w:color="auto"/>
                <w:right w:val="none" w:sz="0" w:space="0" w:color="auto"/>
              </w:divBdr>
            </w:div>
            <w:div w:id="988752507">
              <w:marLeft w:val="0"/>
              <w:marRight w:val="0"/>
              <w:marTop w:val="0"/>
              <w:marBottom w:val="0"/>
              <w:divBdr>
                <w:top w:val="none" w:sz="0" w:space="0" w:color="auto"/>
                <w:left w:val="none" w:sz="0" w:space="0" w:color="auto"/>
                <w:bottom w:val="none" w:sz="0" w:space="0" w:color="auto"/>
                <w:right w:val="none" w:sz="0" w:space="0" w:color="auto"/>
              </w:divBdr>
            </w:div>
            <w:div w:id="1042904990">
              <w:marLeft w:val="0"/>
              <w:marRight w:val="0"/>
              <w:marTop w:val="0"/>
              <w:marBottom w:val="0"/>
              <w:divBdr>
                <w:top w:val="none" w:sz="0" w:space="0" w:color="auto"/>
                <w:left w:val="none" w:sz="0" w:space="0" w:color="auto"/>
                <w:bottom w:val="none" w:sz="0" w:space="0" w:color="auto"/>
                <w:right w:val="none" w:sz="0" w:space="0" w:color="auto"/>
              </w:divBdr>
            </w:div>
            <w:div w:id="1199584662">
              <w:marLeft w:val="0"/>
              <w:marRight w:val="0"/>
              <w:marTop w:val="0"/>
              <w:marBottom w:val="0"/>
              <w:divBdr>
                <w:top w:val="none" w:sz="0" w:space="0" w:color="auto"/>
                <w:left w:val="none" w:sz="0" w:space="0" w:color="auto"/>
                <w:bottom w:val="none" w:sz="0" w:space="0" w:color="auto"/>
                <w:right w:val="none" w:sz="0" w:space="0" w:color="auto"/>
              </w:divBdr>
            </w:div>
            <w:div w:id="1329138988">
              <w:marLeft w:val="0"/>
              <w:marRight w:val="0"/>
              <w:marTop w:val="0"/>
              <w:marBottom w:val="0"/>
              <w:divBdr>
                <w:top w:val="none" w:sz="0" w:space="0" w:color="auto"/>
                <w:left w:val="none" w:sz="0" w:space="0" w:color="auto"/>
                <w:bottom w:val="none" w:sz="0" w:space="0" w:color="auto"/>
                <w:right w:val="none" w:sz="0" w:space="0" w:color="auto"/>
              </w:divBdr>
            </w:div>
            <w:div w:id="1430928108">
              <w:marLeft w:val="0"/>
              <w:marRight w:val="0"/>
              <w:marTop w:val="0"/>
              <w:marBottom w:val="0"/>
              <w:divBdr>
                <w:top w:val="none" w:sz="0" w:space="0" w:color="auto"/>
                <w:left w:val="none" w:sz="0" w:space="0" w:color="auto"/>
                <w:bottom w:val="none" w:sz="0" w:space="0" w:color="auto"/>
                <w:right w:val="none" w:sz="0" w:space="0" w:color="auto"/>
              </w:divBdr>
            </w:div>
            <w:div w:id="1433474372">
              <w:marLeft w:val="0"/>
              <w:marRight w:val="0"/>
              <w:marTop w:val="0"/>
              <w:marBottom w:val="0"/>
              <w:divBdr>
                <w:top w:val="none" w:sz="0" w:space="0" w:color="auto"/>
                <w:left w:val="none" w:sz="0" w:space="0" w:color="auto"/>
                <w:bottom w:val="none" w:sz="0" w:space="0" w:color="auto"/>
                <w:right w:val="none" w:sz="0" w:space="0" w:color="auto"/>
              </w:divBdr>
            </w:div>
            <w:div w:id="1722437072">
              <w:marLeft w:val="0"/>
              <w:marRight w:val="0"/>
              <w:marTop w:val="0"/>
              <w:marBottom w:val="0"/>
              <w:divBdr>
                <w:top w:val="none" w:sz="0" w:space="0" w:color="auto"/>
                <w:left w:val="none" w:sz="0" w:space="0" w:color="auto"/>
                <w:bottom w:val="none" w:sz="0" w:space="0" w:color="auto"/>
                <w:right w:val="none" w:sz="0" w:space="0" w:color="auto"/>
              </w:divBdr>
            </w:div>
            <w:div w:id="1742674401">
              <w:marLeft w:val="0"/>
              <w:marRight w:val="0"/>
              <w:marTop w:val="0"/>
              <w:marBottom w:val="0"/>
              <w:divBdr>
                <w:top w:val="none" w:sz="0" w:space="0" w:color="auto"/>
                <w:left w:val="none" w:sz="0" w:space="0" w:color="auto"/>
                <w:bottom w:val="none" w:sz="0" w:space="0" w:color="auto"/>
                <w:right w:val="none" w:sz="0" w:space="0" w:color="auto"/>
              </w:divBdr>
            </w:div>
            <w:div w:id="2105808548">
              <w:marLeft w:val="0"/>
              <w:marRight w:val="0"/>
              <w:marTop w:val="0"/>
              <w:marBottom w:val="0"/>
              <w:divBdr>
                <w:top w:val="none" w:sz="0" w:space="0" w:color="auto"/>
                <w:left w:val="none" w:sz="0" w:space="0" w:color="auto"/>
                <w:bottom w:val="none" w:sz="0" w:space="0" w:color="auto"/>
                <w:right w:val="none" w:sz="0" w:space="0" w:color="auto"/>
              </w:divBdr>
            </w:div>
          </w:divsChild>
        </w:div>
        <w:div w:id="1153761382">
          <w:marLeft w:val="0"/>
          <w:marRight w:val="0"/>
          <w:marTop w:val="0"/>
          <w:marBottom w:val="0"/>
          <w:divBdr>
            <w:top w:val="none" w:sz="0" w:space="0" w:color="auto"/>
            <w:left w:val="none" w:sz="0" w:space="0" w:color="auto"/>
            <w:bottom w:val="none" w:sz="0" w:space="0" w:color="auto"/>
            <w:right w:val="none" w:sz="0" w:space="0" w:color="auto"/>
          </w:divBdr>
          <w:divsChild>
            <w:div w:id="55250949">
              <w:marLeft w:val="0"/>
              <w:marRight w:val="0"/>
              <w:marTop w:val="0"/>
              <w:marBottom w:val="0"/>
              <w:divBdr>
                <w:top w:val="none" w:sz="0" w:space="0" w:color="auto"/>
                <w:left w:val="none" w:sz="0" w:space="0" w:color="auto"/>
                <w:bottom w:val="none" w:sz="0" w:space="0" w:color="auto"/>
                <w:right w:val="none" w:sz="0" w:space="0" w:color="auto"/>
              </w:divBdr>
            </w:div>
            <w:div w:id="93287349">
              <w:marLeft w:val="0"/>
              <w:marRight w:val="0"/>
              <w:marTop w:val="0"/>
              <w:marBottom w:val="0"/>
              <w:divBdr>
                <w:top w:val="none" w:sz="0" w:space="0" w:color="auto"/>
                <w:left w:val="none" w:sz="0" w:space="0" w:color="auto"/>
                <w:bottom w:val="none" w:sz="0" w:space="0" w:color="auto"/>
                <w:right w:val="none" w:sz="0" w:space="0" w:color="auto"/>
              </w:divBdr>
            </w:div>
            <w:div w:id="113014627">
              <w:marLeft w:val="0"/>
              <w:marRight w:val="0"/>
              <w:marTop w:val="0"/>
              <w:marBottom w:val="0"/>
              <w:divBdr>
                <w:top w:val="none" w:sz="0" w:space="0" w:color="auto"/>
                <w:left w:val="none" w:sz="0" w:space="0" w:color="auto"/>
                <w:bottom w:val="none" w:sz="0" w:space="0" w:color="auto"/>
                <w:right w:val="none" w:sz="0" w:space="0" w:color="auto"/>
              </w:divBdr>
            </w:div>
            <w:div w:id="153691617">
              <w:marLeft w:val="0"/>
              <w:marRight w:val="0"/>
              <w:marTop w:val="0"/>
              <w:marBottom w:val="0"/>
              <w:divBdr>
                <w:top w:val="none" w:sz="0" w:space="0" w:color="auto"/>
                <w:left w:val="none" w:sz="0" w:space="0" w:color="auto"/>
                <w:bottom w:val="none" w:sz="0" w:space="0" w:color="auto"/>
                <w:right w:val="none" w:sz="0" w:space="0" w:color="auto"/>
              </w:divBdr>
            </w:div>
            <w:div w:id="176695590">
              <w:marLeft w:val="0"/>
              <w:marRight w:val="0"/>
              <w:marTop w:val="0"/>
              <w:marBottom w:val="0"/>
              <w:divBdr>
                <w:top w:val="none" w:sz="0" w:space="0" w:color="auto"/>
                <w:left w:val="none" w:sz="0" w:space="0" w:color="auto"/>
                <w:bottom w:val="none" w:sz="0" w:space="0" w:color="auto"/>
                <w:right w:val="none" w:sz="0" w:space="0" w:color="auto"/>
              </w:divBdr>
            </w:div>
            <w:div w:id="238179425">
              <w:marLeft w:val="0"/>
              <w:marRight w:val="0"/>
              <w:marTop w:val="0"/>
              <w:marBottom w:val="0"/>
              <w:divBdr>
                <w:top w:val="none" w:sz="0" w:space="0" w:color="auto"/>
                <w:left w:val="none" w:sz="0" w:space="0" w:color="auto"/>
                <w:bottom w:val="none" w:sz="0" w:space="0" w:color="auto"/>
                <w:right w:val="none" w:sz="0" w:space="0" w:color="auto"/>
              </w:divBdr>
            </w:div>
            <w:div w:id="300891836">
              <w:marLeft w:val="0"/>
              <w:marRight w:val="0"/>
              <w:marTop w:val="0"/>
              <w:marBottom w:val="0"/>
              <w:divBdr>
                <w:top w:val="none" w:sz="0" w:space="0" w:color="auto"/>
                <w:left w:val="none" w:sz="0" w:space="0" w:color="auto"/>
                <w:bottom w:val="none" w:sz="0" w:space="0" w:color="auto"/>
                <w:right w:val="none" w:sz="0" w:space="0" w:color="auto"/>
              </w:divBdr>
            </w:div>
            <w:div w:id="319577255">
              <w:marLeft w:val="0"/>
              <w:marRight w:val="0"/>
              <w:marTop w:val="0"/>
              <w:marBottom w:val="0"/>
              <w:divBdr>
                <w:top w:val="none" w:sz="0" w:space="0" w:color="auto"/>
                <w:left w:val="none" w:sz="0" w:space="0" w:color="auto"/>
                <w:bottom w:val="none" w:sz="0" w:space="0" w:color="auto"/>
                <w:right w:val="none" w:sz="0" w:space="0" w:color="auto"/>
              </w:divBdr>
            </w:div>
            <w:div w:id="548347259">
              <w:marLeft w:val="0"/>
              <w:marRight w:val="0"/>
              <w:marTop w:val="0"/>
              <w:marBottom w:val="0"/>
              <w:divBdr>
                <w:top w:val="none" w:sz="0" w:space="0" w:color="auto"/>
                <w:left w:val="none" w:sz="0" w:space="0" w:color="auto"/>
                <w:bottom w:val="none" w:sz="0" w:space="0" w:color="auto"/>
                <w:right w:val="none" w:sz="0" w:space="0" w:color="auto"/>
              </w:divBdr>
            </w:div>
            <w:div w:id="739131256">
              <w:marLeft w:val="0"/>
              <w:marRight w:val="0"/>
              <w:marTop w:val="0"/>
              <w:marBottom w:val="0"/>
              <w:divBdr>
                <w:top w:val="none" w:sz="0" w:space="0" w:color="auto"/>
                <w:left w:val="none" w:sz="0" w:space="0" w:color="auto"/>
                <w:bottom w:val="none" w:sz="0" w:space="0" w:color="auto"/>
                <w:right w:val="none" w:sz="0" w:space="0" w:color="auto"/>
              </w:divBdr>
            </w:div>
            <w:div w:id="757868956">
              <w:marLeft w:val="0"/>
              <w:marRight w:val="0"/>
              <w:marTop w:val="0"/>
              <w:marBottom w:val="0"/>
              <w:divBdr>
                <w:top w:val="none" w:sz="0" w:space="0" w:color="auto"/>
                <w:left w:val="none" w:sz="0" w:space="0" w:color="auto"/>
                <w:bottom w:val="none" w:sz="0" w:space="0" w:color="auto"/>
                <w:right w:val="none" w:sz="0" w:space="0" w:color="auto"/>
              </w:divBdr>
            </w:div>
            <w:div w:id="961349928">
              <w:marLeft w:val="0"/>
              <w:marRight w:val="0"/>
              <w:marTop w:val="0"/>
              <w:marBottom w:val="0"/>
              <w:divBdr>
                <w:top w:val="none" w:sz="0" w:space="0" w:color="auto"/>
                <w:left w:val="none" w:sz="0" w:space="0" w:color="auto"/>
                <w:bottom w:val="none" w:sz="0" w:space="0" w:color="auto"/>
                <w:right w:val="none" w:sz="0" w:space="0" w:color="auto"/>
              </w:divBdr>
            </w:div>
            <w:div w:id="1079443942">
              <w:marLeft w:val="0"/>
              <w:marRight w:val="0"/>
              <w:marTop w:val="0"/>
              <w:marBottom w:val="0"/>
              <w:divBdr>
                <w:top w:val="none" w:sz="0" w:space="0" w:color="auto"/>
                <w:left w:val="none" w:sz="0" w:space="0" w:color="auto"/>
                <w:bottom w:val="none" w:sz="0" w:space="0" w:color="auto"/>
                <w:right w:val="none" w:sz="0" w:space="0" w:color="auto"/>
              </w:divBdr>
            </w:div>
            <w:div w:id="1181578569">
              <w:marLeft w:val="0"/>
              <w:marRight w:val="0"/>
              <w:marTop w:val="0"/>
              <w:marBottom w:val="0"/>
              <w:divBdr>
                <w:top w:val="none" w:sz="0" w:space="0" w:color="auto"/>
                <w:left w:val="none" w:sz="0" w:space="0" w:color="auto"/>
                <w:bottom w:val="none" w:sz="0" w:space="0" w:color="auto"/>
                <w:right w:val="none" w:sz="0" w:space="0" w:color="auto"/>
              </w:divBdr>
            </w:div>
            <w:div w:id="1474715429">
              <w:marLeft w:val="0"/>
              <w:marRight w:val="0"/>
              <w:marTop w:val="0"/>
              <w:marBottom w:val="0"/>
              <w:divBdr>
                <w:top w:val="none" w:sz="0" w:space="0" w:color="auto"/>
                <w:left w:val="none" w:sz="0" w:space="0" w:color="auto"/>
                <w:bottom w:val="none" w:sz="0" w:space="0" w:color="auto"/>
                <w:right w:val="none" w:sz="0" w:space="0" w:color="auto"/>
              </w:divBdr>
            </w:div>
            <w:div w:id="1724065366">
              <w:marLeft w:val="0"/>
              <w:marRight w:val="0"/>
              <w:marTop w:val="0"/>
              <w:marBottom w:val="0"/>
              <w:divBdr>
                <w:top w:val="none" w:sz="0" w:space="0" w:color="auto"/>
                <w:left w:val="none" w:sz="0" w:space="0" w:color="auto"/>
                <w:bottom w:val="none" w:sz="0" w:space="0" w:color="auto"/>
                <w:right w:val="none" w:sz="0" w:space="0" w:color="auto"/>
              </w:divBdr>
            </w:div>
            <w:div w:id="1760173760">
              <w:marLeft w:val="0"/>
              <w:marRight w:val="0"/>
              <w:marTop w:val="0"/>
              <w:marBottom w:val="0"/>
              <w:divBdr>
                <w:top w:val="none" w:sz="0" w:space="0" w:color="auto"/>
                <w:left w:val="none" w:sz="0" w:space="0" w:color="auto"/>
                <w:bottom w:val="none" w:sz="0" w:space="0" w:color="auto"/>
                <w:right w:val="none" w:sz="0" w:space="0" w:color="auto"/>
              </w:divBdr>
            </w:div>
            <w:div w:id="2004888799">
              <w:marLeft w:val="0"/>
              <w:marRight w:val="0"/>
              <w:marTop w:val="0"/>
              <w:marBottom w:val="0"/>
              <w:divBdr>
                <w:top w:val="none" w:sz="0" w:space="0" w:color="auto"/>
                <w:left w:val="none" w:sz="0" w:space="0" w:color="auto"/>
                <w:bottom w:val="none" w:sz="0" w:space="0" w:color="auto"/>
                <w:right w:val="none" w:sz="0" w:space="0" w:color="auto"/>
              </w:divBdr>
            </w:div>
            <w:div w:id="2079815905">
              <w:marLeft w:val="0"/>
              <w:marRight w:val="0"/>
              <w:marTop w:val="0"/>
              <w:marBottom w:val="0"/>
              <w:divBdr>
                <w:top w:val="none" w:sz="0" w:space="0" w:color="auto"/>
                <w:left w:val="none" w:sz="0" w:space="0" w:color="auto"/>
                <w:bottom w:val="none" w:sz="0" w:space="0" w:color="auto"/>
                <w:right w:val="none" w:sz="0" w:space="0" w:color="auto"/>
              </w:divBdr>
            </w:div>
            <w:div w:id="2118597637">
              <w:marLeft w:val="0"/>
              <w:marRight w:val="0"/>
              <w:marTop w:val="0"/>
              <w:marBottom w:val="0"/>
              <w:divBdr>
                <w:top w:val="none" w:sz="0" w:space="0" w:color="auto"/>
                <w:left w:val="none" w:sz="0" w:space="0" w:color="auto"/>
                <w:bottom w:val="none" w:sz="0" w:space="0" w:color="auto"/>
                <w:right w:val="none" w:sz="0" w:space="0" w:color="auto"/>
              </w:divBdr>
            </w:div>
          </w:divsChild>
        </w:div>
        <w:div w:id="1272665535">
          <w:marLeft w:val="0"/>
          <w:marRight w:val="0"/>
          <w:marTop w:val="0"/>
          <w:marBottom w:val="0"/>
          <w:divBdr>
            <w:top w:val="none" w:sz="0" w:space="0" w:color="auto"/>
            <w:left w:val="none" w:sz="0" w:space="0" w:color="auto"/>
            <w:bottom w:val="none" w:sz="0" w:space="0" w:color="auto"/>
            <w:right w:val="none" w:sz="0" w:space="0" w:color="auto"/>
          </w:divBdr>
          <w:divsChild>
            <w:div w:id="170219566">
              <w:marLeft w:val="0"/>
              <w:marRight w:val="0"/>
              <w:marTop w:val="0"/>
              <w:marBottom w:val="0"/>
              <w:divBdr>
                <w:top w:val="none" w:sz="0" w:space="0" w:color="auto"/>
                <w:left w:val="none" w:sz="0" w:space="0" w:color="auto"/>
                <w:bottom w:val="none" w:sz="0" w:space="0" w:color="auto"/>
                <w:right w:val="none" w:sz="0" w:space="0" w:color="auto"/>
              </w:divBdr>
            </w:div>
            <w:div w:id="178397912">
              <w:marLeft w:val="0"/>
              <w:marRight w:val="0"/>
              <w:marTop w:val="0"/>
              <w:marBottom w:val="0"/>
              <w:divBdr>
                <w:top w:val="none" w:sz="0" w:space="0" w:color="auto"/>
                <w:left w:val="none" w:sz="0" w:space="0" w:color="auto"/>
                <w:bottom w:val="none" w:sz="0" w:space="0" w:color="auto"/>
                <w:right w:val="none" w:sz="0" w:space="0" w:color="auto"/>
              </w:divBdr>
            </w:div>
            <w:div w:id="231081682">
              <w:marLeft w:val="0"/>
              <w:marRight w:val="0"/>
              <w:marTop w:val="0"/>
              <w:marBottom w:val="0"/>
              <w:divBdr>
                <w:top w:val="none" w:sz="0" w:space="0" w:color="auto"/>
                <w:left w:val="none" w:sz="0" w:space="0" w:color="auto"/>
                <w:bottom w:val="none" w:sz="0" w:space="0" w:color="auto"/>
                <w:right w:val="none" w:sz="0" w:space="0" w:color="auto"/>
              </w:divBdr>
            </w:div>
            <w:div w:id="255022962">
              <w:marLeft w:val="0"/>
              <w:marRight w:val="0"/>
              <w:marTop w:val="0"/>
              <w:marBottom w:val="0"/>
              <w:divBdr>
                <w:top w:val="none" w:sz="0" w:space="0" w:color="auto"/>
                <w:left w:val="none" w:sz="0" w:space="0" w:color="auto"/>
                <w:bottom w:val="none" w:sz="0" w:space="0" w:color="auto"/>
                <w:right w:val="none" w:sz="0" w:space="0" w:color="auto"/>
              </w:divBdr>
            </w:div>
            <w:div w:id="423916237">
              <w:marLeft w:val="0"/>
              <w:marRight w:val="0"/>
              <w:marTop w:val="0"/>
              <w:marBottom w:val="0"/>
              <w:divBdr>
                <w:top w:val="none" w:sz="0" w:space="0" w:color="auto"/>
                <w:left w:val="none" w:sz="0" w:space="0" w:color="auto"/>
                <w:bottom w:val="none" w:sz="0" w:space="0" w:color="auto"/>
                <w:right w:val="none" w:sz="0" w:space="0" w:color="auto"/>
              </w:divBdr>
            </w:div>
            <w:div w:id="487788689">
              <w:marLeft w:val="0"/>
              <w:marRight w:val="0"/>
              <w:marTop w:val="0"/>
              <w:marBottom w:val="0"/>
              <w:divBdr>
                <w:top w:val="none" w:sz="0" w:space="0" w:color="auto"/>
                <w:left w:val="none" w:sz="0" w:space="0" w:color="auto"/>
                <w:bottom w:val="none" w:sz="0" w:space="0" w:color="auto"/>
                <w:right w:val="none" w:sz="0" w:space="0" w:color="auto"/>
              </w:divBdr>
            </w:div>
            <w:div w:id="638614022">
              <w:marLeft w:val="0"/>
              <w:marRight w:val="0"/>
              <w:marTop w:val="0"/>
              <w:marBottom w:val="0"/>
              <w:divBdr>
                <w:top w:val="none" w:sz="0" w:space="0" w:color="auto"/>
                <w:left w:val="none" w:sz="0" w:space="0" w:color="auto"/>
                <w:bottom w:val="none" w:sz="0" w:space="0" w:color="auto"/>
                <w:right w:val="none" w:sz="0" w:space="0" w:color="auto"/>
              </w:divBdr>
            </w:div>
            <w:div w:id="702944405">
              <w:marLeft w:val="0"/>
              <w:marRight w:val="0"/>
              <w:marTop w:val="0"/>
              <w:marBottom w:val="0"/>
              <w:divBdr>
                <w:top w:val="none" w:sz="0" w:space="0" w:color="auto"/>
                <w:left w:val="none" w:sz="0" w:space="0" w:color="auto"/>
                <w:bottom w:val="none" w:sz="0" w:space="0" w:color="auto"/>
                <w:right w:val="none" w:sz="0" w:space="0" w:color="auto"/>
              </w:divBdr>
            </w:div>
            <w:div w:id="786851981">
              <w:marLeft w:val="0"/>
              <w:marRight w:val="0"/>
              <w:marTop w:val="0"/>
              <w:marBottom w:val="0"/>
              <w:divBdr>
                <w:top w:val="none" w:sz="0" w:space="0" w:color="auto"/>
                <w:left w:val="none" w:sz="0" w:space="0" w:color="auto"/>
                <w:bottom w:val="none" w:sz="0" w:space="0" w:color="auto"/>
                <w:right w:val="none" w:sz="0" w:space="0" w:color="auto"/>
              </w:divBdr>
            </w:div>
            <w:div w:id="798304381">
              <w:marLeft w:val="0"/>
              <w:marRight w:val="0"/>
              <w:marTop w:val="0"/>
              <w:marBottom w:val="0"/>
              <w:divBdr>
                <w:top w:val="none" w:sz="0" w:space="0" w:color="auto"/>
                <w:left w:val="none" w:sz="0" w:space="0" w:color="auto"/>
                <w:bottom w:val="none" w:sz="0" w:space="0" w:color="auto"/>
                <w:right w:val="none" w:sz="0" w:space="0" w:color="auto"/>
              </w:divBdr>
            </w:div>
            <w:div w:id="860046709">
              <w:marLeft w:val="0"/>
              <w:marRight w:val="0"/>
              <w:marTop w:val="0"/>
              <w:marBottom w:val="0"/>
              <w:divBdr>
                <w:top w:val="none" w:sz="0" w:space="0" w:color="auto"/>
                <w:left w:val="none" w:sz="0" w:space="0" w:color="auto"/>
                <w:bottom w:val="none" w:sz="0" w:space="0" w:color="auto"/>
                <w:right w:val="none" w:sz="0" w:space="0" w:color="auto"/>
              </w:divBdr>
            </w:div>
            <w:div w:id="1040056692">
              <w:marLeft w:val="0"/>
              <w:marRight w:val="0"/>
              <w:marTop w:val="0"/>
              <w:marBottom w:val="0"/>
              <w:divBdr>
                <w:top w:val="none" w:sz="0" w:space="0" w:color="auto"/>
                <w:left w:val="none" w:sz="0" w:space="0" w:color="auto"/>
                <w:bottom w:val="none" w:sz="0" w:space="0" w:color="auto"/>
                <w:right w:val="none" w:sz="0" w:space="0" w:color="auto"/>
              </w:divBdr>
            </w:div>
            <w:div w:id="1139374266">
              <w:marLeft w:val="0"/>
              <w:marRight w:val="0"/>
              <w:marTop w:val="0"/>
              <w:marBottom w:val="0"/>
              <w:divBdr>
                <w:top w:val="none" w:sz="0" w:space="0" w:color="auto"/>
                <w:left w:val="none" w:sz="0" w:space="0" w:color="auto"/>
                <w:bottom w:val="none" w:sz="0" w:space="0" w:color="auto"/>
                <w:right w:val="none" w:sz="0" w:space="0" w:color="auto"/>
              </w:divBdr>
            </w:div>
            <w:div w:id="1227718550">
              <w:marLeft w:val="0"/>
              <w:marRight w:val="0"/>
              <w:marTop w:val="0"/>
              <w:marBottom w:val="0"/>
              <w:divBdr>
                <w:top w:val="none" w:sz="0" w:space="0" w:color="auto"/>
                <w:left w:val="none" w:sz="0" w:space="0" w:color="auto"/>
                <w:bottom w:val="none" w:sz="0" w:space="0" w:color="auto"/>
                <w:right w:val="none" w:sz="0" w:space="0" w:color="auto"/>
              </w:divBdr>
            </w:div>
            <w:div w:id="1254899340">
              <w:marLeft w:val="0"/>
              <w:marRight w:val="0"/>
              <w:marTop w:val="0"/>
              <w:marBottom w:val="0"/>
              <w:divBdr>
                <w:top w:val="none" w:sz="0" w:space="0" w:color="auto"/>
                <w:left w:val="none" w:sz="0" w:space="0" w:color="auto"/>
                <w:bottom w:val="none" w:sz="0" w:space="0" w:color="auto"/>
                <w:right w:val="none" w:sz="0" w:space="0" w:color="auto"/>
              </w:divBdr>
            </w:div>
            <w:div w:id="1360349037">
              <w:marLeft w:val="0"/>
              <w:marRight w:val="0"/>
              <w:marTop w:val="0"/>
              <w:marBottom w:val="0"/>
              <w:divBdr>
                <w:top w:val="none" w:sz="0" w:space="0" w:color="auto"/>
                <w:left w:val="none" w:sz="0" w:space="0" w:color="auto"/>
                <w:bottom w:val="none" w:sz="0" w:space="0" w:color="auto"/>
                <w:right w:val="none" w:sz="0" w:space="0" w:color="auto"/>
              </w:divBdr>
            </w:div>
            <w:div w:id="1494908042">
              <w:marLeft w:val="0"/>
              <w:marRight w:val="0"/>
              <w:marTop w:val="0"/>
              <w:marBottom w:val="0"/>
              <w:divBdr>
                <w:top w:val="none" w:sz="0" w:space="0" w:color="auto"/>
                <w:left w:val="none" w:sz="0" w:space="0" w:color="auto"/>
                <w:bottom w:val="none" w:sz="0" w:space="0" w:color="auto"/>
                <w:right w:val="none" w:sz="0" w:space="0" w:color="auto"/>
              </w:divBdr>
            </w:div>
            <w:div w:id="1656837571">
              <w:marLeft w:val="0"/>
              <w:marRight w:val="0"/>
              <w:marTop w:val="0"/>
              <w:marBottom w:val="0"/>
              <w:divBdr>
                <w:top w:val="none" w:sz="0" w:space="0" w:color="auto"/>
                <w:left w:val="none" w:sz="0" w:space="0" w:color="auto"/>
                <w:bottom w:val="none" w:sz="0" w:space="0" w:color="auto"/>
                <w:right w:val="none" w:sz="0" w:space="0" w:color="auto"/>
              </w:divBdr>
            </w:div>
            <w:div w:id="1781024160">
              <w:marLeft w:val="0"/>
              <w:marRight w:val="0"/>
              <w:marTop w:val="0"/>
              <w:marBottom w:val="0"/>
              <w:divBdr>
                <w:top w:val="none" w:sz="0" w:space="0" w:color="auto"/>
                <w:left w:val="none" w:sz="0" w:space="0" w:color="auto"/>
                <w:bottom w:val="none" w:sz="0" w:space="0" w:color="auto"/>
                <w:right w:val="none" w:sz="0" w:space="0" w:color="auto"/>
              </w:divBdr>
            </w:div>
            <w:div w:id="1789160345">
              <w:marLeft w:val="0"/>
              <w:marRight w:val="0"/>
              <w:marTop w:val="0"/>
              <w:marBottom w:val="0"/>
              <w:divBdr>
                <w:top w:val="none" w:sz="0" w:space="0" w:color="auto"/>
                <w:left w:val="none" w:sz="0" w:space="0" w:color="auto"/>
                <w:bottom w:val="none" w:sz="0" w:space="0" w:color="auto"/>
                <w:right w:val="none" w:sz="0" w:space="0" w:color="auto"/>
              </w:divBdr>
            </w:div>
          </w:divsChild>
        </w:div>
        <w:div w:id="1568372109">
          <w:marLeft w:val="0"/>
          <w:marRight w:val="0"/>
          <w:marTop w:val="0"/>
          <w:marBottom w:val="0"/>
          <w:divBdr>
            <w:top w:val="none" w:sz="0" w:space="0" w:color="auto"/>
            <w:left w:val="none" w:sz="0" w:space="0" w:color="auto"/>
            <w:bottom w:val="none" w:sz="0" w:space="0" w:color="auto"/>
            <w:right w:val="none" w:sz="0" w:space="0" w:color="auto"/>
          </w:divBdr>
          <w:divsChild>
            <w:div w:id="41557774">
              <w:marLeft w:val="0"/>
              <w:marRight w:val="0"/>
              <w:marTop w:val="0"/>
              <w:marBottom w:val="0"/>
              <w:divBdr>
                <w:top w:val="none" w:sz="0" w:space="0" w:color="auto"/>
                <w:left w:val="none" w:sz="0" w:space="0" w:color="auto"/>
                <w:bottom w:val="none" w:sz="0" w:space="0" w:color="auto"/>
                <w:right w:val="none" w:sz="0" w:space="0" w:color="auto"/>
              </w:divBdr>
            </w:div>
            <w:div w:id="52969981">
              <w:marLeft w:val="0"/>
              <w:marRight w:val="0"/>
              <w:marTop w:val="0"/>
              <w:marBottom w:val="0"/>
              <w:divBdr>
                <w:top w:val="none" w:sz="0" w:space="0" w:color="auto"/>
                <w:left w:val="none" w:sz="0" w:space="0" w:color="auto"/>
                <w:bottom w:val="none" w:sz="0" w:space="0" w:color="auto"/>
                <w:right w:val="none" w:sz="0" w:space="0" w:color="auto"/>
              </w:divBdr>
            </w:div>
            <w:div w:id="103042491">
              <w:marLeft w:val="0"/>
              <w:marRight w:val="0"/>
              <w:marTop w:val="0"/>
              <w:marBottom w:val="0"/>
              <w:divBdr>
                <w:top w:val="none" w:sz="0" w:space="0" w:color="auto"/>
                <w:left w:val="none" w:sz="0" w:space="0" w:color="auto"/>
                <w:bottom w:val="none" w:sz="0" w:space="0" w:color="auto"/>
                <w:right w:val="none" w:sz="0" w:space="0" w:color="auto"/>
              </w:divBdr>
            </w:div>
            <w:div w:id="157431897">
              <w:marLeft w:val="0"/>
              <w:marRight w:val="0"/>
              <w:marTop w:val="0"/>
              <w:marBottom w:val="0"/>
              <w:divBdr>
                <w:top w:val="none" w:sz="0" w:space="0" w:color="auto"/>
                <w:left w:val="none" w:sz="0" w:space="0" w:color="auto"/>
                <w:bottom w:val="none" w:sz="0" w:space="0" w:color="auto"/>
                <w:right w:val="none" w:sz="0" w:space="0" w:color="auto"/>
              </w:divBdr>
            </w:div>
            <w:div w:id="211775127">
              <w:marLeft w:val="0"/>
              <w:marRight w:val="0"/>
              <w:marTop w:val="0"/>
              <w:marBottom w:val="0"/>
              <w:divBdr>
                <w:top w:val="none" w:sz="0" w:space="0" w:color="auto"/>
                <w:left w:val="none" w:sz="0" w:space="0" w:color="auto"/>
                <w:bottom w:val="none" w:sz="0" w:space="0" w:color="auto"/>
                <w:right w:val="none" w:sz="0" w:space="0" w:color="auto"/>
              </w:divBdr>
            </w:div>
            <w:div w:id="450172855">
              <w:marLeft w:val="0"/>
              <w:marRight w:val="0"/>
              <w:marTop w:val="0"/>
              <w:marBottom w:val="0"/>
              <w:divBdr>
                <w:top w:val="none" w:sz="0" w:space="0" w:color="auto"/>
                <w:left w:val="none" w:sz="0" w:space="0" w:color="auto"/>
                <w:bottom w:val="none" w:sz="0" w:space="0" w:color="auto"/>
                <w:right w:val="none" w:sz="0" w:space="0" w:color="auto"/>
              </w:divBdr>
            </w:div>
            <w:div w:id="543753719">
              <w:marLeft w:val="0"/>
              <w:marRight w:val="0"/>
              <w:marTop w:val="0"/>
              <w:marBottom w:val="0"/>
              <w:divBdr>
                <w:top w:val="none" w:sz="0" w:space="0" w:color="auto"/>
                <w:left w:val="none" w:sz="0" w:space="0" w:color="auto"/>
                <w:bottom w:val="none" w:sz="0" w:space="0" w:color="auto"/>
                <w:right w:val="none" w:sz="0" w:space="0" w:color="auto"/>
              </w:divBdr>
            </w:div>
            <w:div w:id="649135857">
              <w:marLeft w:val="0"/>
              <w:marRight w:val="0"/>
              <w:marTop w:val="0"/>
              <w:marBottom w:val="0"/>
              <w:divBdr>
                <w:top w:val="none" w:sz="0" w:space="0" w:color="auto"/>
                <w:left w:val="none" w:sz="0" w:space="0" w:color="auto"/>
                <w:bottom w:val="none" w:sz="0" w:space="0" w:color="auto"/>
                <w:right w:val="none" w:sz="0" w:space="0" w:color="auto"/>
              </w:divBdr>
            </w:div>
            <w:div w:id="666248695">
              <w:marLeft w:val="0"/>
              <w:marRight w:val="0"/>
              <w:marTop w:val="0"/>
              <w:marBottom w:val="0"/>
              <w:divBdr>
                <w:top w:val="none" w:sz="0" w:space="0" w:color="auto"/>
                <w:left w:val="none" w:sz="0" w:space="0" w:color="auto"/>
                <w:bottom w:val="none" w:sz="0" w:space="0" w:color="auto"/>
                <w:right w:val="none" w:sz="0" w:space="0" w:color="auto"/>
              </w:divBdr>
            </w:div>
            <w:div w:id="795489748">
              <w:marLeft w:val="0"/>
              <w:marRight w:val="0"/>
              <w:marTop w:val="0"/>
              <w:marBottom w:val="0"/>
              <w:divBdr>
                <w:top w:val="none" w:sz="0" w:space="0" w:color="auto"/>
                <w:left w:val="none" w:sz="0" w:space="0" w:color="auto"/>
                <w:bottom w:val="none" w:sz="0" w:space="0" w:color="auto"/>
                <w:right w:val="none" w:sz="0" w:space="0" w:color="auto"/>
              </w:divBdr>
            </w:div>
            <w:div w:id="988171398">
              <w:marLeft w:val="0"/>
              <w:marRight w:val="0"/>
              <w:marTop w:val="0"/>
              <w:marBottom w:val="0"/>
              <w:divBdr>
                <w:top w:val="none" w:sz="0" w:space="0" w:color="auto"/>
                <w:left w:val="none" w:sz="0" w:space="0" w:color="auto"/>
                <w:bottom w:val="none" w:sz="0" w:space="0" w:color="auto"/>
                <w:right w:val="none" w:sz="0" w:space="0" w:color="auto"/>
              </w:divBdr>
            </w:div>
            <w:div w:id="1169909483">
              <w:marLeft w:val="0"/>
              <w:marRight w:val="0"/>
              <w:marTop w:val="0"/>
              <w:marBottom w:val="0"/>
              <w:divBdr>
                <w:top w:val="none" w:sz="0" w:space="0" w:color="auto"/>
                <w:left w:val="none" w:sz="0" w:space="0" w:color="auto"/>
                <w:bottom w:val="none" w:sz="0" w:space="0" w:color="auto"/>
                <w:right w:val="none" w:sz="0" w:space="0" w:color="auto"/>
              </w:divBdr>
            </w:div>
            <w:div w:id="1178231471">
              <w:marLeft w:val="0"/>
              <w:marRight w:val="0"/>
              <w:marTop w:val="0"/>
              <w:marBottom w:val="0"/>
              <w:divBdr>
                <w:top w:val="none" w:sz="0" w:space="0" w:color="auto"/>
                <w:left w:val="none" w:sz="0" w:space="0" w:color="auto"/>
                <w:bottom w:val="none" w:sz="0" w:space="0" w:color="auto"/>
                <w:right w:val="none" w:sz="0" w:space="0" w:color="auto"/>
              </w:divBdr>
            </w:div>
            <w:div w:id="1294096005">
              <w:marLeft w:val="0"/>
              <w:marRight w:val="0"/>
              <w:marTop w:val="0"/>
              <w:marBottom w:val="0"/>
              <w:divBdr>
                <w:top w:val="none" w:sz="0" w:space="0" w:color="auto"/>
                <w:left w:val="none" w:sz="0" w:space="0" w:color="auto"/>
                <w:bottom w:val="none" w:sz="0" w:space="0" w:color="auto"/>
                <w:right w:val="none" w:sz="0" w:space="0" w:color="auto"/>
              </w:divBdr>
            </w:div>
            <w:div w:id="1472558376">
              <w:marLeft w:val="0"/>
              <w:marRight w:val="0"/>
              <w:marTop w:val="0"/>
              <w:marBottom w:val="0"/>
              <w:divBdr>
                <w:top w:val="none" w:sz="0" w:space="0" w:color="auto"/>
                <w:left w:val="none" w:sz="0" w:space="0" w:color="auto"/>
                <w:bottom w:val="none" w:sz="0" w:space="0" w:color="auto"/>
                <w:right w:val="none" w:sz="0" w:space="0" w:color="auto"/>
              </w:divBdr>
            </w:div>
            <w:div w:id="1520583556">
              <w:marLeft w:val="0"/>
              <w:marRight w:val="0"/>
              <w:marTop w:val="0"/>
              <w:marBottom w:val="0"/>
              <w:divBdr>
                <w:top w:val="none" w:sz="0" w:space="0" w:color="auto"/>
                <w:left w:val="none" w:sz="0" w:space="0" w:color="auto"/>
                <w:bottom w:val="none" w:sz="0" w:space="0" w:color="auto"/>
                <w:right w:val="none" w:sz="0" w:space="0" w:color="auto"/>
              </w:divBdr>
            </w:div>
            <w:div w:id="1574268515">
              <w:marLeft w:val="0"/>
              <w:marRight w:val="0"/>
              <w:marTop w:val="0"/>
              <w:marBottom w:val="0"/>
              <w:divBdr>
                <w:top w:val="none" w:sz="0" w:space="0" w:color="auto"/>
                <w:left w:val="none" w:sz="0" w:space="0" w:color="auto"/>
                <w:bottom w:val="none" w:sz="0" w:space="0" w:color="auto"/>
                <w:right w:val="none" w:sz="0" w:space="0" w:color="auto"/>
              </w:divBdr>
            </w:div>
            <w:div w:id="1647852331">
              <w:marLeft w:val="0"/>
              <w:marRight w:val="0"/>
              <w:marTop w:val="0"/>
              <w:marBottom w:val="0"/>
              <w:divBdr>
                <w:top w:val="none" w:sz="0" w:space="0" w:color="auto"/>
                <w:left w:val="none" w:sz="0" w:space="0" w:color="auto"/>
                <w:bottom w:val="none" w:sz="0" w:space="0" w:color="auto"/>
                <w:right w:val="none" w:sz="0" w:space="0" w:color="auto"/>
              </w:divBdr>
            </w:div>
            <w:div w:id="1783987683">
              <w:marLeft w:val="0"/>
              <w:marRight w:val="0"/>
              <w:marTop w:val="0"/>
              <w:marBottom w:val="0"/>
              <w:divBdr>
                <w:top w:val="none" w:sz="0" w:space="0" w:color="auto"/>
                <w:left w:val="none" w:sz="0" w:space="0" w:color="auto"/>
                <w:bottom w:val="none" w:sz="0" w:space="0" w:color="auto"/>
                <w:right w:val="none" w:sz="0" w:space="0" w:color="auto"/>
              </w:divBdr>
            </w:div>
            <w:div w:id="2108849061">
              <w:marLeft w:val="0"/>
              <w:marRight w:val="0"/>
              <w:marTop w:val="0"/>
              <w:marBottom w:val="0"/>
              <w:divBdr>
                <w:top w:val="none" w:sz="0" w:space="0" w:color="auto"/>
                <w:left w:val="none" w:sz="0" w:space="0" w:color="auto"/>
                <w:bottom w:val="none" w:sz="0" w:space="0" w:color="auto"/>
                <w:right w:val="none" w:sz="0" w:space="0" w:color="auto"/>
              </w:divBdr>
            </w:div>
          </w:divsChild>
        </w:div>
        <w:div w:id="1719621503">
          <w:marLeft w:val="0"/>
          <w:marRight w:val="0"/>
          <w:marTop w:val="0"/>
          <w:marBottom w:val="0"/>
          <w:divBdr>
            <w:top w:val="none" w:sz="0" w:space="0" w:color="auto"/>
            <w:left w:val="none" w:sz="0" w:space="0" w:color="auto"/>
            <w:bottom w:val="none" w:sz="0" w:space="0" w:color="auto"/>
            <w:right w:val="none" w:sz="0" w:space="0" w:color="auto"/>
          </w:divBdr>
          <w:divsChild>
            <w:div w:id="643966785">
              <w:marLeft w:val="0"/>
              <w:marRight w:val="0"/>
              <w:marTop w:val="0"/>
              <w:marBottom w:val="0"/>
              <w:divBdr>
                <w:top w:val="none" w:sz="0" w:space="0" w:color="auto"/>
                <w:left w:val="none" w:sz="0" w:space="0" w:color="auto"/>
                <w:bottom w:val="none" w:sz="0" w:space="0" w:color="auto"/>
                <w:right w:val="none" w:sz="0" w:space="0" w:color="auto"/>
              </w:divBdr>
            </w:div>
            <w:div w:id="867764981">
              <w:marLeft w:val="0"/>
              <w:marRight w:val="0"/>
              <w:marTop w:val="0"/>
              <w:marBottom w:val="0"/>
              <w:divBdr>
                <w:top w:val="none" w:sz="0" w:space="0" w:color="auto"/>
                <w:left w:val="none" w:sz="0" w:space="0" w:color="auto"/>
                <w:bottom w:val="none" w:sz="0" w:space="0" w:color="auto"/>
                <w:right w:val="none" w:sz="0" w:space="0" w:color="auto"/>
              </w:divBdr>
            </w:div>
            <w:div w:id="971906652">
              <w:marLeft w:val="0"/>
              <w:marRight w:val="0"/>
              <w:marTop w:val="0"/>
              <w:marBottom w:val="0"/>
              <w:divBdr>
                <w:top w:val="none" w:sz="0" w:space="0" w:color="auto"/>
                <w:left w:val="none" w:sz="0" w:space="0" w:color="auto"/>
                <w:bottom w:val="none" w:sz="0" w:space="0" w:color="auto"/>
                <w:right w:val="none" w:sz="0" w:space="0" w:color="auto"/>
              </w:divBdr>
            </w:div>
            <w:div w:id="1009254922">
              <w:marLeft w:val="0"/>
              <w:marRight w:val="0"/>
              <w:marTop w:val="0"/>
              <w:marBottom w:val="0"/>
              <w:divBdr>
                <w:top w:val="none" w:sz="0" w:space="0" w:color="auto"/>
                <w:left w:val="none" w:sz="0" w:space="0" w:color="auto"/>
                <w:bottom w:val="none" w:sz="0" w:space="0" w:color="auto"/>
                <w:right w:val="none" w:sz="0" w:space="0" w:color="auto"/>
              </w:divBdr>
            </w:div>
            <w:div w:id="1036740546">
              <w:marLeft w:val="0"/>
              <w:marRight w:val="0"/>
              <w:marTop w:val="0"/>
              <w:marBottom w:val="0"/>
              <w:divBdr>
                <w:top w:val="none" w:sz="0" w:space="0" w:color="auto"/>
                <w:left w:val="none" w:sz="0" w:space="0" w:color="auto"/>
                <w:bottom w:val="none" w:sz="0" w:space="0" w:color="auto"/>
                <w:right w:val="none" w:sz="0" w:space="0" w:color="auto"/>
              </w:divBdr>
            </w:div>
            <w:div w:id="1039014105">
              <w:marLeft w:val="0"/>
              <w:marRight w:val="0"/>
              <w:marTop w:val="0"/>
              <w:marBottom w:val="0"/>
              <w:divBdr>
                <w:top w:val="none" w:sz="0" w:space="0" w:color="auto"/>
                <w:left w:val="none" w:sz="0" w:space="0" w:color="auto"/>
                <w:bottom w:val="none" w:sz="0" w:space="0" w:color="auto"/>
                <w:right w:val="none" w:sz="0" w:space="0" w:color="auto"/>
              </w:divBdr>
            </w:div>
            <w:div w:id="1384208940">
              <w:marLeft w:val="0"/>
              <w:marRight w:val="0"/>
              <w:marTop w:val="0"/>
              <w:marBottom w:val="0"/>
              <w:divBdr>
                <w:top w:val="none" w:sz="0" w:space="0" w:color="auto"/>
                <w:left w:val="none" w:sz="0" w:space="0" w:color="auto"/>
                <w:bottom w:val="none" w:sz="0" w:space="0" w:color="auto"/>
                <w:right w:val="none" w:sz="0" w:space="0" w:color="auto"/>
              </w:divBdr>
            </w:div>
            <w:div w:id="1389574534">
              <w:marLeft w:val="0"/>
              <w:marRight w:val="0"/>
              <w:marTop w:val="0"/>
              <w:marBottom w:val="0"/>
              <w:divBdr>
                <w:top w:val="none" w:sz="0" w:space="0" w:color="auto"/>
                <w:left w:val="none" w:sz="0" w:space="0" w:color="auto"/>
                <w:bottom w:val="none" w:sz="0" w:space="0" w:color="auto"/>
                <w:right w:val="none" w:sz="0" w:space="0" w:color="auto"/>
              </w:divBdr>
            </w:div>
            <w:div w:id="1399789051">
              <w:marLeft w:val="0"/>
              <w:marRight w:val="0"/>
              <w:marTop w:val="0"/>
              <w:marBottom w:val="0"/>
              <w:divBdr>
                <w:top w:val="none" w:sz="0" w:space="0" w:color="auto"/>
                <w:left w:val="none" w:sz="0" w:space="0" w:color="auto"/>
                <w:bottom w:val="none" w:sz="0" w:space="0" w:color="auto"/>
                <w:right w:val="none" w:sz="0" w:space="0" w:color="auto"/>
              </w:divBdr>
            </w:div>
            <w:div w:id="1451776044">
              <w:marLeft w:val="0"/>
              <w:marRight w:val="0"/>
              <w:marTop w:val="0"/>
              <w:marBottom w:val="0"/>
              <w:divBdr>
                <w:top w:val="none" w:sz="0" w:space="0" w:color="auto"/>
                <w:left w:val="none" w:sz="0" w:space="0" w:color="auto"/>
                <w:bottom w:val="none" w:sz="0" w:space="0" w:color="auto"/>
                <w:right w:val="none" w:sz="0" w:space="0" w:color="auto"/>
              </w:divBdr>
            </w:div>
            <w:div w:id="1474325744">
              <w:marLeft w:val="0"/>
              <w:marRight w:val="0"/>
              <w:marTop w:val="0"/>
              <w:marBottom w:val="0"/>
              <w:divBdr>
                <w:top w:val="none" w:sz="0" w:space="0" w:color="auto"/>
                <w:left w:val="none" w:sz="0" w:space="0" w:color="auto"/>
                <w:bottom w:val="none" w:sz="0" w:space="0" w:color="auto"/>
                <w:right w:val="none" w:sz="0" w:space="0" w:color="auto"/>
              </w:divBdr>
            </w:div>
            <w:div w:id="1537699673">
              <w:marLeft w:val="0"/>
              <w:marRight w:val="0"/>
              <w:marTop w:val="0"/>
              <w:marBottom w:val="0"/>
              <w:divBdr>
                <w:top w:val="none" w:sz="0" w:space="0" w:color="auto"/>
                <w:left w:val="none" w:sz="0" w:space="0" w:color="auto"/>
                <w:bottom w:val="none" w:sz="0" w:space="0" w:color="auto"/>
                <w:right w:val="none" w:sz="0" w:space="0" w:color="auto"/>
              </w:divBdr>
            </w:div>
            <w:div w:id="1553804880">
              <w:marLeft w:val="0"/>
              <w:marRight w:val="0"/>
              <w:marTop w:val="0"/>
              <w:marBottom w:val="0"/>
              <w:divBdr>
                <w:top w:val="none" w:sz="0" w:space="0" w:color="auto"/>
                <w:left w:val="none" w:sz="0" w:space="0" w:color="auto"/>
                <w:bottom w:val="none" w:sz="0" w:space="0" w:color="auto"/>
                <w:right w:val="none" w:sz="0" w:space="0" w:color="auto"/>
              </w:divBdr>
            </w:div>
            <w:div w:id="1563709253">
              <w:marLeft w:val="0"/>
              <w:marRight w:val="0"/>
              <w:marTop w:val="0"/>
              <w:marBottom w:val="0"/>
              <w:divBdr>
                <w:top w:val="none" w:sz="0" w:space="0" w:color="auto"/>
                <w:left w:val="none" w:sz="0" w:space="0" w:color="auto"/>
                <w:bottom w:val="none" w:sz="0" w:space="0" w:color="auto"/>
                <w:right w:val="none" w:sz="0" w:space="0" w:color="auto"/>
              </w:divBdr>
            </w:div>
            <w:div w:id="1607880689">
              <w:marLeft w:val="0"/>
              <w:marRight w:val="0"/>
              <w:marTop w:val="0"/>
              <w:marBottom w:val="0"/>
              <w:divBdr>
                <w:top w:val="none" w:sz="0" w:space="0" w:color="auto"/>
                <w:left w:val="none" w:sz="0" w:space="0" w:color="auto"/>
                <w:bottom w:val="none" w:sz="0" w:space="0" w:color="auto"/>
                <w:right w:val="none" w:sz="0" w:space="0" w:color="auto"/>
              </w:divBdr>
            </w:div>
            <w:div w:id="1761830027">
              <w:marLeft w:val="0"/>
              <w:marRight w:val="0"/>
              <w:marTop w:val="0"/>
              <w:marBottom w:val="0"/>
              <w:divBdr>
                <w:top w:val="none" w:sz="0" w:space="0" w:color="auto"/>
                <w:left w:val="none" w:sz="0" w:space="0" w:color="auto"/>
                <w:bottom w:val="none" w:sz="0" w:space="0" w:color="auto"/>
                <w:right w:val="none" w:sz="0" w:space="0" w:color="auto"/>
              </w:divBdr>
            </w:div>
            <w:div w:id="1767072684">
              <w:marLeft w:val="0"/>
              <w:marRight w:val="0"/>
              <w:marTop w:val="0"/>
              <w:marBottom w:val="0"/>
              <w:divBdr>
                <w:top w:val="none" w:sz="0" w:space="0" w:color="auto"/>
                <w:left w:val="none" w:sz="0" w:space="0" w:color="auto"/>
                <w:bottom w:val="none" w:sz="0" w:space="0" w:color="auto"/>
                <w:right w:val="none" w:sz="0" w:space="0" w:color="auto"/>
              </w:divBdr>
            </w:div>
            <w:div w:id="1782332207">
              <w:marLeft w:val="0"/>
              <w:marRight w:val="0"/>
              <w:marTop w:val="0"/>
              <w:marBottom w:val="0"/>
              <w:divBdr>
                <w:top w:val="none" w:sz="0" w:space="0" w:color="auto"/>
                <w:left w:val="none" w:sz="0" w:space="0" w:color="auto"/>
                <w:bottom w:val="none" w:sz="0" w:space="0" w:color="auto"/>
                <w:right w:val="none" w:sz="0" w:space="0" w:color="auto"/>
              </w:divBdr>
            </w:div>
            <w:div w:id="2049913425">
              <w:marLeft w:val="0"/>
              <w:marRight w:val="0"/>
              <w:marTop w:val="0"/>
              <w:marBottom w:val="0"/>
              <w:divBdr>
                <w:top w:val="none" w:sz="0" w:space="0" w:color="auto"/>
                <w:left w:val="none" w:sz="0" w:space="0" w:color="auto"/>
                <w:bottom w:val="none" w:sz="0" w:space="0" w:color="auto"/>
                <w:right w:val="none" w:sz="0" w:space="0" w:color="auto"/>
              </w:divBdr>
            </w:div>
            <w:div w:id="2112583044">
              <w:marLeft w:val="0"/>
              <w:marRight w:val="0"/>
              <w:marTop w:val="0"/>
              <w:marBottom w:val="0"/>
              <w:divBdr>
                <w:top w:val="none" w:sz="0" w:space="0" w:color="auto"/>
                <w:left w:val="none" w:sz="0" w:space="0" w:color="auto"/>
                <w:bottom w:val="none" w:sz="0" w:space="0" w:color="auto"/>
                <w:right w:val="none" w:sz="0" w:space="0" w:color="auto"/>
              </w:divBdr>
            </w:div>
          </w:divsChild>
        </w:div>
        <w:div w:id="2079279319">
          <w:marLeft w:val="0"/>
          <w:marRight w:val="0"/>
          <w:marTop w:val="0"/>
          <w:marBottom w:val="0"/>
          <w:divBdr>
            <w:top w:val="none" w:sz="0" w:space="0" w:color="auto"/>
            <w:left w:val="none" w:sz="0" w:space="0" w:color="auto"/>
            <w:bottom w:val="none" w:sz="0" w:space="0" w:color="auto"/>
            <w:right w:val="none" w:sz="0" w:space="0" w:color="auto"/>
          </w:divBdr>
          <w:divsChild>
            <w:div w:id="124279880">
              <w:marLeft w:val="0"/>
              <w:marRight w:val="0"/>
              <w:marTop w:val="0"/>
              <w:marBottom w:val="0"/>
              <w:divBdr>
                <w:top w:val="none" w:sz="0" w:space="0" w:color="auto"/>
                <w:left w:val="none" w:sz="0" w:space="0" w:color="auto"/>
                <w:bottom w:val="none" w:sz="0" w:space="0" w:color="auto"/>
                <w:right w:val="none" w:sz="0" w:space="0" w:color="auto"/>
              </w:divBdr>
            </w:div>
            <w:div w:id="274024258">
              <w:marLeft w:val="0"/>
              <w:marRight w:val="0"/>
              <w:marTop w:val="0"/>
              <w:marBottom w:val="0"/>
              <w:divBdr>
                <w:top w:val="none" w:sz="0" w:space="0" w:color="auto"/>
                <w:left w:val="none" w:sz="0" w:space="0" w:color="auto"/>
                <w:bottom w:val="none" w:sz="0" w:space="0" w:color="auto"/>
                <w:right w:val="none" w:sz="0" w:space="0" w:color="auto"/>
              </w:divBdr>
            </w:div>
            <w:div w:id="445581715">
              <w:marLeft w:val="0"/>
              <w:marRight w:val="0"/>
              <w:marTop w:val="0"/>
              <w:marBottom w:val="0"/>
              <w:divBdr>
                <w:top w:val="none" w:sz="0" w:space="0" w:color="auto"/>
                <w:left w:val="none" w:sz="0" w:space="0" w:color="auto"/>
                <w:bottom w:val="none" w:sz="0" w:space="0" w:color="auto"/>
                <w:right w:val="none" w:sz="0" w:space="0" w:color="auto"/>
              </w:divBdr>
            </w:div>
            <w:div w:id="617948950">
              <w:marLeft w:val="0"/>
              <w:marRight w:val="0"/>
              <w:marTop w:val="0"/>
              <w:marBottom w:val="0"/>
              <w:divBdr>
                <w:top w:val="none" w:sz="0" w:space="0" w:color="auto"/>
                <w:left w:val="none" w:sz="0" w:space="0" w:color="auto"/>
                <w:bottom w:val="none" w:sz="0" w:space="0" w:color="auto"/>
                <w:right w:val="none" w:sz="0" w:space="0" w:color="auto"/>
              </w:divBdr>
            </w:div>
            <w:div w:id="732049368">
              <w:marLeft w:val="0"/>
              <w:marRight w:val="0"/>
              <w:marTop w:val="0"/>
              <w:marBottom w:val="0"/>
              <w:divBdr>
                <w:top w:val="none" w:sz="0" w:space="0" w:color="auto"/>
                <w:left w:val="none" w:sz="0" w:space="0" w:color="auto"/>
                <w:bottom w:val="none" w:sz="0" w:space="0" w:color="auto"/>
                <w:right w:val="none" w:sz="0" w:space="0" w:color="auto"/>
              </w:divBdr>
            </w:div>
            <w:div w:id="947198990">
              <w:marLeft w:val="0"/>
              <w:marRight w:val="0"/>
              <w:marTop w:val="0"/>
              <w:marBottom w:val="0"/>
              <w:divBdr>
                <w:top w:val="none" w:sz="0" w:space="0" w:color="auto"/>
                <w:left w:val="none" w:sz="0" w:space="0" w:color="auto"/>
                <w:bottom w:val="none" w:sz="0" w:space="0" w:color="auto"/>
                <w:right w:val="none" w:sz="0" w:space="0" w:color="auto"/>
              </w:divBdr>
            </w:div>
            <w:div w:id="1013797020">
              <w:marLeft w:val="0"/>
              <w:marRight w:val="0"/>
              <w:marTop w:val="0"/>
              <w:marBottom w:val="0"/>
              <w:divBdr>
                <w:top w:val="none" w:sz="0" w:space="0" w:color="auto"/>
                <w:left w:val="none" w:sz="0" w:space="0" w:color="auto"/>
                <w:bottom w:val="none" w:sz="0" w:space="0" w:color="auto"/>
                <w:right w:val="none" w:sz="0" w:space="0" w:color="auto"/>
              </w:divBdr>
            </w:div>
            <w:div w:id="1017929888">
              <w:marLeft w:val="0"/>
              <w:marRight w:val="0"/>
              <w:marTop w:val="0"/>
              <w:marBottom w:val="0"/>
              <w:divBdr>
                <w:top w:val="none" w:sz="0" w:space="0" w:color="auto"/>
                <w:left w:val="none" w:sz="0" w:space="0" w:color="auto"/>
                <w:bottom w:val="none" w:sz="0" w:space="0" w:color="auto"/>
                <w:right w:val="none" w:sz="0" w:space="0" w:color="auto"/>
              </w:divBdr>
            </w:div>
            <w:div w:id="1140536468">
              <w:marLeft w:val="0"/>
              <w:marRight w:val="0"/>
              <w:marTop w:val="0"/>
              <w:marBottom w:val="0"/>
              <w:divBdr>
                <w:top w:val="none" w:sz="0" w:space="0" w:color="auto"/>
                <w:left w:val="none" w:sz="0" w:space="0" w:color="auto"/>
                <w:bottom w:val="none" w:sz="0" w:space="0" w:color="auto"/>
                <w:right w:val="none" w:sz="0" w:space="0" w:color="auto"/>
              </w:divBdr>
            </w:div>
            <w:div w:id="1340809683">
              <w:marLeft w:val="0"/>
              <w:marRight w:val="0"/>
              <w:marTop w:val="0"/>
              <w:marBottom w:val="0"/>
              <w:divBdr>
                <w:top w:val="none" w:sz="0" w:space="0" w:color="auto"/>
                <w:left w:val="none" w:sz="0" w:space="0" w:color="auto"/>
                <w:bottom w:val="none" w:sz="0" w:space="0" w:color="auto"/>
                <w:right w:val="none" w:sz="0" w:space="0" w:color="auto"/>
              </w:divBdr>
            </w:div>
            <w:div w:id="1598755233">
              <w:marLeft w:val="0"/>
              <w:marRight w:val="0"/>
              <w:marTop w:val="0"/>
              <w:marBottom w:val="0"/>
              <w:divBdr>
                <w:top w:val="none" w:sz="0" w:space="0" w:color="auto"/>
                <w:left w:val="none" w:sz="0" w:space="0" w:color="auto"/>
                <w:bottom w:val="none" w:sz="0" w:space="0" w:color="auto"/>
                <w:right w:val="none" w:sz="0" w:space="0" w:color="auto"/>
              </w:divBdr>
            </w:div>
            <w:div w:id="1605461814">
              <w:marLeft w:val="0"/>
              <w:marRight w:val="0"/>
              <w:marTop w:val="0"/>
              <w:marBottom w:val="0"/>
              <w:divBdr>
                <w:top w:val="none" w:sz="0" w:space="0" w:color="auto"/>
                <w:left w:val="none" w:sz="0" w:space="0" w:color="auto"/>
                <w:bottom w:val="none" w:sz="0" w:space="0" w:color="auto"/>
                <w:right w:val="none" w:sz="0" w:space="0" w:color="auto"/>
              </w:divBdr>
            </w:div>
            <w:div w:id="1731920204">
              <w:marLeft w:val="0"/>
              <w:marRight w:val="0"/>
              <w:marTop w:val="0"/>
              <w:marBottom w:val="0"/>
              <w:divBdr>
                <w:top w:val="none" w:sz="0" w:space="0" w:color="auto"/>
                <w:left w:val="none" w:sz="0" w:space="0" w:color="auto"/>
                <w:bottom w:val="none" w:sz="0" w:space="0" w:color="auto"/>
                <w:right w:val="none" w:sz="0" w:space="0" w:color="auto"/>
              </w:divBdr>
            </w:div>
            <w:div w:id="176838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329098">
      <w:bodyDiv w:val="1"/>
      <w:marLeft w:val="0"/>
      <w:marRight w:val="0"/>
      <w:marTop w:val="0"/>
      <w:marBottom w:val="0"/>
      <w:divBdr>
        <w:top w:val="none" w:sz="0" w:space="0" w:color="auto"/>
        <w:left w:val="none" w:sz="0" w:space="0" w:color="auto"/>
        <w:bottom w:val="none" w:sz="0" w:space="0" w:color="auto"/>
        <w:right w:val="none" w:sz="0" w:space="0" w:color="auto"/>
      </w:divBdr>
    </w:div>
    <w:div w:id="2106421083">
      <w:bodyDiv w:val="1"/>
      <w:marLeft w:val="0"/>
      <w:marRight w:val="0"/>
      <w:marTop w:val="0"/>
      <w:marBottom w:val="0"/>
      <w:divBdr>
        <w:top w:val="none" w:sz="0" w:space="0" w:color="auto"/>
        <w:left w:val="none" w:sz="0" w:space="0" w:color="auto"/>
        <w:bottom w:val="none" w:sz="0" w:space="0" w:color="auto"/>
        <w:right w:val="none" w:sz="0" w:space="0" w:color="auto"/>
      </w:divBdr>
    </w:div>
    <w:div w:id="2125153028">
      <w:bodyDiv w:val="1"/>
      <w:marLeft w:val="0"/>
      <w:marRight w:val="0"/>
      <w:marTop w:val="0"/>
      <w:marBottom w:val="0"/>
      <w:divBdr>
        <w:top w:val="none" w:sz="0" w:space="0" w:color="auto"/>
        <w:left w:val="none" w:sz="0" w:space="0" w:color="auto"/>
        <w:bottom w:val="none" w:sz="0" w:space="0" w:color="auto"/>
        <w:right w:val="none" w:sz="0" w:space="0" w:color="auto"/>
      </w:divBdr>
      <w:divsChild>
        <w:div w:id="256906056">
          <w:marLeft w:val="0"/>
          <w:marRight w:val="0"/>
          <w:marTop w:val="0"/>
          <w:marBottom w:val="0"/>
          <w:divBdr>
            <w:top w:val="none" w:sz="0" w:space="0" w:color="auto"/>
            <w:left w:val="none" w:sz="0" w:space="0" w:color="auto"/>
            <w:bottom w:val="none" w:sz="0" w:space="0" w:color="auto"/>
            <w:right w:val="none" w:sz="0" w:space="0" w:color="auto"/>
          </w:divBdr>
        </w:div>
        <w:div w:id="325207654">
          <w:marLeft w:val="0"/>
          <w:marRight w:val="0"/>
          <w:marTop w:val="0"/>
          <w:marBottom w:val="0"/>
          <w:divBdr>
            <w:top w:val="none" w:sz="0" w:space="0" w:color="auto"/>
            <w:left w:val="none" w:sz="0" w:space="0" w:color="auto"/>
            <w:bottom w:val="none" w:sz="0" w:space="0" w:color="auto"/>
            <w:right w:val="none" w:sz="0" w:space="0" w:color="auto"/>
          </w:divBdr>
        </w:div>
        <w:div w:id="429932234">
          <w:marLeft w:val="0"/>
          <w:marRight w:val="0"/>
          <w:marTop w:val="0"/>
          <w:marBottom w:val="0"/>
          <w:divBdr>
            <w:top w:val="none" w:sz="0" w:space="0" w:color="auto"/>
            <w:left w:val="none" w:sz="0" w:space="0" w:color="auto"/>
            <w:bottom w:val="none" w:sz="0" w:space="0" w:color="auto"/>
            <w:right w:val="none" w:sz="0" w:space="0" w:color="auto"/>
          </w:divBdr>
        </w:div>
        <w:div w:id="1066610843">
          <w:marLeft w:val="0"/>
          <w:marRight w:val="0"/>
          <w:marTop w:val="0"/>
          <w:marBottom w:val="0"/>
          <w:divBdr>
            <w:top w:val="none" w:sz="0" w:space="0" w:color="auto"/>
            <w:left w:val="none" w:sz="0" w:space="0" w:color="auto"/>
            <w:bottom w:val="none" w:sz="0" w:space="0" w:color="auto"/>
            <w:right w:val="none" w:sz="0" w:space="0" w:color="auto"/>
          </w:divBdr>
        </w:div>
        <w:div w:id="1108163027">
          <w:marLeft w:val="0"/>
          <w:marRight w:val="0"/>
          <w:marTop w:val="0"/>
          <w:marBottom w:val="0"/>
          <w:divBdr>
            <w:top w:val="none" w:sz="0" w:space="0" w:color="auto"/>
            <w:left w:val="none" w:sz="0" w:space="0" w:color="auto"/>
            <w:bottom w:val="none" w:sz="0" w:space="0" w:color="auto"/>
            <w:right w:val="none" w:sz="0" w:space="0" w:color="auto"/>
          </w:divBdr>
        </w:div>
        <w:div w:id="1269968221">
          <w:marLeft w:val="0"/>
          <w:marRight w:val="0"/>
          <w:marTop w:val="0"/>
          <w:marBottom w:val="0"/>
          <w:divBdr>
            <w:top w:val="none" w:sz="0" w:space="0" w:color="auto"/>
            <w:left w:val="none" w:sz="0" w:space="0" w:color="auto"/>
            <w:bottom w:val="none" w:sz="0" w:space="0" w:color="auto"/>
            <w:right w:val="none" w:sz="0" w:space="0" w:color="auto"/>
          </w:divBdr>
        </w:div>
        <w:div w:id="1331330701">
          <w:marLeft w:val="0"/>
          <w:marRight w:val="0"/>
          <w:marTop w:val="0"/>
          <w:marBottom w:val="0"/>
          <w:divBdr>
            <w:top w:val="none" w:sz="0" w:space="0" w:color="auto"/>
            <w:left w:val="none" w:sz="0" w:space="0" w:color="auto"/>
            <w:bottom w:val="none" w:sz="0" w:space="0" w:color="auto"/>
            <w:right w:val="none" w:sz="0" w:space="0" w:color="auto"/>
          </w:divBdr>
        </w:div>
        <w:div w:id="1471947266">
          <w:marLeft w:val="0"/>
          <w:marRight w:val="0"/>
          <w:marTop w:val="0"/>
          <w:marBottom w:val="0"/>
          <w:divBdr>
            <w:top w:val="none" w:sz="0" w:space="0" w:color="auto"/>
            <w:left w:val="none" w:sz="0" w:space="0" w:color="auto"/>
            <w:bottom w:val="none" w:sz="0" w:space="0" w:color="auto"/>
            <w:right w:val="none" w:sz="0" w:space="0" w:color="auto"/>
          </w:divBdr>
        </w:div>
        <w:div w:id="1677151066">
          <w:marLeft w:val="0"/>
          <w:marRight w:val="0"/>
          <w:marTop w:val="0"/>
          <w:marBottom w:val="0"/>
          <w:divBdr>
            <w:top w:val="none" w:sz="0" w:space="0" w:color="auto"/>
            <w:left w:val="none" w:sz="0" w:space="0" w:color="auto"/>
            <w:bottom w:val="none" w:sz="0" w:space="0" w:color="auto"/>
            <w:right w:val="none" w:sz="0" w:space="0" w:color="auto"/>
          </w:divBdr>
        </w:div>
        <w:div w:id="171704413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7.png"/><Relationship Id="rId21" Type="http://schemas.openxmlformats.org/officeDocument/2006/relationships/image" Target="media/image6.png"/><Relationship Id="rId42" Type="http://schemas.openxmlformats.org/officeDocument/2006/relationships/hyperlink" Target="https://mmpi.gov.hr/UserDocsImages/dokumenti/INFRASTRUKTURA/Infrastruktura%207_23/NPRBI%2028-7_23/Nacionalni_plan_razvoja_biciklisti%C4%8Dkog_prometa_2023-2027.pdf" TargetMode="External"/><Relationship Id="rId47" Type="http://schemas.openxmlformats.org/officeDocument/2006/relationships/hyperlink" Target="https://ribarstvo.mps.hr/default.aspx?id=5183" TargetMode="External"/><Relationship Id="rId63" Type="http://schemas.openxmlformats.org/officeDocument/2006/relationships/hyperlink" Target="https://mpgi.gov.hr/UserDocsImages/dokumenti/EnergetskaUcinkovitost/Program_energetske_obnove_VS_zgrada_do_2030.pdf" TargetMode="External"/><Relationship Id="rId68" Type="http://schemas.openxmlformats.org/officeDocument/2006/relationships/image" Target="media/image15.png"/><Relationship Id="rId84" Type="http://schemas.openxmlformats.org/officeDocument/2006/relationships/hyperlink" Target="https://mzom.gov.hr/UserDocsImages/dokumenti/Obrazovanje/AkcijskiINacionalniPlan/Nacionalni-plan-razvoja-sustava-obrazovanja-za-razdoblje-do-2027.pdf" TargetMode="External"/><Relationship Id="rId89" Type="http://schemas.openxmlformats.org/officeDocument/2006/relationships/hyperlink" Target="https://hrvatiizvanrh.gov.hr/UserDocsImages/dokumenti/Nacionalni%20plan%20razvoja%20odnosa%20RH%20s%20HIRH%20do%202027.%20godine_19.7.2022.pdf" TargetMode="External"/><Relationship Id="rId7" Type="http://schemas.openxmlformats.org/officeDocument/2006/relationships/settings" Target="settings.xml"/><Relationship Id="rId71" Type="http://schemas.openxmlformats.org/officeDocument/2006/relationships/hyperlink" Target="https://mrosp.gov.hr/UserDocsImages/dokumenti/Glavno%20tajni%C5%A1tvo/Godi%C5%A1nji%20planovi%20i%20strate%C5%A1ka%20izvje%C5%A1%C4%87a/Nacionalni%20plan%20borbe%20protiv%20siroma%C5%A1tva%20i%20socijalne%20isklju%C4%8Denosti%20za%20razdoblje%20od%202021%20do%202027.pdf" TargetMode="External"/><Relationship Id="rId92" Type="http://schemas.openxmlformats.org/officeDocument/2006/relationships/hyperlink" Target="https://pravamanjina.gov.hr/UserDocsImages/dokumenti/Operativni%20programi%20nacionalnih%20manjina%20za%20razdoblje%202021.-2024..pdf" TargetMode="Externa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narodne-novine.nn.hr/clanci/sluzbeni/2021_06_63_1205.html" TargetMode="External"/><Relationship Id="rId11" Type="http://schemas.openxmlformats.org/officeDocument/2006/relationships/image" Target="media/image3.png"/><Relationship Id="rId24" Type="http://schemas.openxmlformats.org/officeDocument/2006/relationships/hyperlink" Target="https://mingo.gov.hr/UserDocsImages/Internacionalizacija/Nacionalni-plan-za-poticanje-ulaganja-do-2030.pdf" TargetMode="External"/><Relationship Id="rId32" Type="http://schemas.openxmlformats.org/officeDocument/2006/relationships/hyperlink" Target="https://voda.hr/sites/default/files/dokumenti/visegodisnji_program_gradnje_komunalnih_vodnih_gradevina_za_razdoblje_do_2030._godine.pdf" TargetMode="External"/><Relationship Id="rId37" Type="http://schemas.openxmlformats.org/officeDocument/2006/relationships/image" Target="media/image9.png"/><Relationship Id="rId40" Type="http://schemas.openxmlformats.org/officeDocument/2006/relationships/hyperlink" Target="https://mmpi.gov.hr/UserDocsImages/dokumenti/MORE/Unutarnja%20plovidba/STRATESKI%20DOKUMENTI/STRATEGIJA%20RAZVITKA%20RIJECNOG%20PROMETA%20RH%202022-2032%2010-10_22.pdf" TargetMode="External"/><Relationship Id="rId45" Type="http://schemas.openxmlformats.org/officeDocument/2006/relationships/hyperlink" Target="https://narodne-novine.nn.hr/clanci/sluzbeni/2017_07_73_1772.html" TargetMode="External"/><Relationship Id="rId53" Type="http://schemas.openxmlformats.org/officeDocument/2006/relationships/image" Target="media/image13.png"/><Relationship Id="rId58" Type="http://schemas.openxmlformats.org/officeDocument/2006/relationships/hyperlink" Target="https://narodne-novine.nn.hr/clanci/sluzbeni/2017_10_106_2423.html" TargetMode="External"/><Relationship Id="rId66" Type="http://schemas.openxmlformats.org/officeDocument/2006/relationships/hyperlink" Target="https://mrosp.gov.hr/UserDocsImages/dokumenti/Glavno%20tajni%C5%A1tvo/Godi%C5%A1nji%20planovi%20i%20strate%C5%A1ka%20izvje%C5%A1%C4%87a/26.11.Prijedlog%20Nacionalnog%20plana.pdf" TargetMode="External"/><Relationship Id="rId74" Type="http://schemas.openxmlformats.org/officeDocument/2006/relationships/hyperlink" Target="https://razvoj.gov.hr/UserDocsImages/O%20ministarstvu/Regionalni%20razvoj/Otoci%20i%20priobalje/2021/Nacionalni%20plan%20razvoja%20otoka%202021.-2027._28.12.2021..pdf" TargetMode="External"/><Relationship Id="rId79" Type="http://schemas.openxmlformats.org/officeDocument/2006/relationships/hyperlink" Target="https://civilna-zastita.gov.hr/UserDocsImages/CIVILNA%20ZA&#352;TITA/PDF_ZA%20WEB/Strategija_i_AkcijskiPlan_katastrofe_rizici.pdf" TargetMode="External"/><Relationship Id="rId87" Type="http://schemas.openxmlformats.org/officeDocument/2006/relationships/hyperlink" Target="https://narodne-novine.nn.hr/clanci/sluzbeni/full/2022_03_29_365.html" TargetMode="External"/><Relationship Id="rId102"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mpgi.gov.hr/UserDocsImages/dokumenti/EnergetskaUcinkovitost/Program_razvoja_zelene_infrastrukture_do_2030.pdf" TargetMode="External"/><Relationship Id="rId82" Type="http://schemas.openxmlformats.org/officeDocument/2006/relationships/hyperlink" Target="https://zdravlje.gov.hr/UserDocsImages/2022%20Objave/Nacionalni%20plan%20razvoja%20zdravstva%202021.-2027..pdf" TargetMode="External"/><Relationship Id="rId90" Type="http://schemas.openxmlformats.org/officeDocument/2006/relationships/image" Target="media/image18.png"/><Relationship Id="rId95" Type="http://schemas.openxmlformats.org/officeDocument/2006/relationships/hyperlink" Target="https://ravnopravnost.gov.hr/UserDocsImages/dokumenti/NPRS%202027%20APRS%202024/Nacionalni%20plan%20za%20ravnopravnost%20spolova,%20za%20razdoblje%20do%202027..pdf" TargetMode="External"/><Relationship Id="rId19" Type="http://schemas.openxmlformats.org/officeDocument/2006/relationships/image" Target="media/image5.emf"/><Relationship Id="rId14" Type="http://schemas.openxmlformats.org/officeDocument/2006/relationships/hyperlink" Target="https://narodne-novine.nn.hr/clanci/sluzbeni/2023_04_44_772.html" TargetMode="External"/><Relationship Id="rId22" Type="http://schemas.openxmlformats.org/officeDocument/2006/relationships/hyperlink" Target="https://narodne-novine.nn.hr/clanci/sluzbeni/2020_03_25_602.html" TargetMode="External"/><Relationship Id="rId27" Type="http://schemas.openxmlformats.org/officeDocument/2006/relationships/hyperlink" Target="https://narodne-novine.nn.hr/clanci/sluzbeni/2017_07_72_1712.html" TargetMode="External"/><Relationship Id="rId30" Type="http://schemas.openxmlformats.org/officeDocument/2006/relationships/hyperlink" Target="https://narodne-novine.nn.hr/clanci/sluzbeni/2020_04_46_921.html" TargetMode="External"/><Relationship Id="rId35" Type="http://schemas.openxmlformats.org/officeDocument/2006/relationships/hyperlink" Target="https://min-kulture.gov.hr/UserDocsImages/dokumenti/Nacionalni%20plan%20razvoja%20kulture%20i%20medija/Nacionalni%20plan_objava.pdf" TargetMode="External"/><Relationship Id="rId43" Type="http://schemas.openxmlformats.org/officeDocument/2006/relationships/hyperlink" Target="https://mmpi.gov.hr/UserDocsImages/dokumenti/PROMET/Promet%203_21/MMPI-NPR-BB2021-2027-VRH%2011-3_21.pdf" TargetMode="External"/><Relationship Id="rId48" Type="http://schemas.openxmlformats.org/officeDocument/2006/relationships/image" Target="media/image12.png"/><Relationship Id="rId56" Type="http://schemas.openxmlformats.org/officeDocument/2006/relationships/hyperlink" Target="https://narodne-novine.nn.hr/clanci/sluzbeni/2021_11_120_2069.html" TargetMode="External"/><Relationship Id="rId64" Type="http://schemas.openxmlformats.org/officeDocument/2006/relationships/hyperlink" Target="https://mpgi.gov.hr/UserDocsImages/dokumenti/EnergetskaUcinkovitost/Program_energetske_obnove_kulturna_dobra_do_2030.pdf" TargetMode="External"/><Relationship Id="rId69" Type="http://schemas.openxmlformats.org/officeDocument/2006/relationships/hyperlink" Target="https://mrosp.gov.hr/UserDocsImages/dokumenti/Glavno%20tajni&#353;tvo/Godi&#353;nji%20planovi%20i%20strate&#353;ka%20izvje&#353;&#263;a/Nacionalni%20plan%20izjedna&#269;avanja%20mogu&#263;nosti%20za%20osobe%20s%20invaliditetom%20za%20razdoblje%20od%202021%20do%202027.%20godine.pdf" TargetMode="External"/><Relationship Id="rId77" Type="http://schemas.openxmlformats.org/officeDocument/2006/relationships/hyperlink" Target="https://mint.gov.hr/UserDocsImages/2023_dokumenti/Nacionalni%20plan%20razvoja%20odr%C5%BEivog%20turizma%20do%202027.%20godine%20i%20Akcijski%20plan%20do%202025.%20godine.pdf" TargetMode="External"/><Relationship Id="rId100" Type="http://schemas.openxmlformats.org/officeDocument/2006/relationships/image" Target="media/image23.png"/><Relationship Id="rId8" Type="http://schemas.openxmlformats.org/officeDocument/2006/relationships/webSettings" Target="webSettings.xml"/><Relationship Id="rId51" Type="http://schemas.openxmlformats.org/officeDocument/2006/relationships/hyperlink" Target="https://poljoprivreda.gov.hr/UserDocsImages/dokumenti/sume/drvna_industrija/Nacionalni_plan_razvoja_prerade_drva/Nacionalni%20plan%20razvoja%20prerade%20drva%20i%20proizvodnje%20namje%C5%A1taja%20Republike%20Hrvatske.pdf" TargetMode="External"/><Relationship Id="rId72" Type="http://schemas.openxmlformats.org/officeDocument/2006/relationships/hyperlink" Target="https://mrosp.gov.hr/UserDocsImages/dokumenti/Glavno%20tajni%C5%A1tvo/Godi%C5%A1nji%20planovi%20i%20strate%C5%A1ka%20izvje%C5%A1%C4%87a/Nacionalni%20plan%20razvoja%20socijalnih%20usluga%20za%20razdoblje%20od%20%202021.%20do%202027.%20godine.pdf" TargetMode="External"/><Relationship Id="rId80" Type="http://schemas.openxmlformats.org/officeDocument/2006/relationships/hyperlink" Target="https://narodne-novine.nn.hr/clanci/sluzbeni/full/2019_09_91_1802.html" TargetMode="External"/><Relationship Id="rId85" Type="http://schemas.openxmlformats.org/officeDocument/2006/relationships/hyperlink" Target="https://mingo.gov.hr/UserDocsImages/slike/Vijesti/2022/S3%20do%202029%20Tekst%20VRH%202023%2012%2013.pdf" TargetMode="External"/><Relationship Id="rId93" Type="http://schemas.openxmlformats.org/officeDocument/2006/relationships/hyperlink" Target="https://pravamanjina.gov.hr/UserDocsImages/dokumenti/Nacionalni%20plan%20za%20ZPLJP%20razdoblje%20do%202027.pdf" TargetMode="External"/><Relationship Id="rId98" Type="http://schemas.openxmlformats.org/officeDocument/2006/relationships/image" Target="media/image21.png"/><Relationship Id="rId3" Type="http://schemas.openxmlformats.org/officeDocument/2006/relationships/customXml" Target="../customXml/item3.xml"/><Relationship Id="rId12" Type="http://schemas.openxmlformats.org/officeDocument/2006/relationships/hyperlink" Target="https://narodne-novine.nn.hr/clanci/sluzbeni/2017_12_123_2798.html" TargetMode="External"/><Relationship Id="rId17" Type="http://schemas.openxmlformats.org/officeDocument/2006/relationships/footer" Target="footer2.xml"/><Relationship Id="rId25" Type="http://schemas.openxmlformats.org/officeDocument/2006/relationships/hyperlink" Target="https://narodne-novine.nn.hr/clanci/sluzbeni/2024_03_36_580.html" TargetMode="External"/><Relationship Id="rId33" Type="http://schemas.openxmlformats.org/officeDocument/2006/relationships/hyperlink" Target="https://narodne-novine.nn.hr/clanci/sluzbeni/2023_07_84_1334.html" TargetMode="External"/><Relationship Id="rId38" Type="http://schemas.openxmlformats.org/officeDocument/2006/relationships/hyperlink" Target="https://mmpi.gov.hr/UserDocsImages/dokumenti/PROMET/Promet%201_23/MMPI%20NPRZI%2018-1_23.pdf" TargetMode="External"/><Relationship Id="rId46" Type="http://schemas.openxmlformats.org/officeDocument/2006/relationships/image" Target="media/image11.png"/><Relationship Id="rId59" Type="http://schemas.openxmlformats.org/officeDocument/2006/relationships/hyperlink" Target="https://mpgi.gov.hr/UserDocsImages/dokumenti/EnergetskaUcinkovitost/DSO_14.12.2020.pdf" TargetMode="External"/><Relationship Id="rId67" Type="http://schemas.openxmlformats.org/officeDocument/2006/relationships/image" Target="media/image14.png"/><Relationship Id="rId103" Type="http://schemas.microsoft.com/office/2019/05/relationships/documenttasks" Target="documenttasks/documenttasks1.xml"/><Relationship Id="rId20" Type="http://schemas.openxmlformats.org/officeDocument/2006/relationships/hyperlink" Target="https://mingo.gov.hr/UserDocsImages/Internacionalizacija/Dokumenti/Strategija%20za%20procjenu%20ekonomskog%20u%C4%8Dinka%20propisa%20na%20sektor%20malog%20i%20srednjeg%20podzetni%C5%A1tva%20za%20razdoblje%20od%202023.%20do%202027.%20godine.doc" TargetMode="External"/><Relationship Id="rId41" Type="http://schemas.openxmlformats.org/officeDocument/2006/relationships/hyperlink" Target="https://mmpi.gov.hr/UserDocsImages/dokumenti/MORE/Unutarnja%20plovidba/STRATESKI%20DOKUMENTI/SREDNJOROCNI%20PLAN%20RAZVITKA%20VODNIH%20PUTOVA_LUKA_PRISTANISTA%20RH%202022-2031%2010-10_22.pdf" TargetMode="External"/><Relationship Id="rId54" Type="http://schemas.openxmlformats.org/officeDocument/2006/relationships/hyperlink" Target="https://mpudt.gov.hr/UserDocsImages/dokumenti/Strategije,%20planovi,%20izvje%C5%A1%C4%87a/Strate%C5%A1ki%20dokumenti/Nacionalni%20plan%20razvoja%20javne%20uprave_brosura.pdf" TargetMode="External"/><Relationship Id="rId62" Type="http://schemas.openxmlformats.org/officeDocument/2006/relationships/hyperlink" Target="https://mpgi.gov.hr/UserDocsImages/dokumenti/EnergetskaUcinkovitost/Program_razvoja_KG_prostorom_i_zgradama_2021-2030.pdf" TargetMode="External"/><Relationship Id="rId70" Type="http://schemas.openxmlformats.org/officeDocument/2006/relationships/hyperlink" Target="https://mrosp.gov.hr/UserDocsImages/dokumenti/Socijalna%20politika/Dokumenti/Nacionalni%20plan%20za%20prava%20djece%20u%20Republici%20Hrvatskoj%20za%20razdoblje%20od%202022.%20do%202026.%20godine.pdf" TargetMode="External"/><Relationship Id="rId75" Type="http://schemas.openxmlformats.org/officeDocument/2006/relationships/image" Target="media/image16.png"/><Relationship Id="rId83" Type="http://schemas.openxmlformats.org/officeDocument/2006/relationships/hyperlink" Target="https://narodne-novine.nn.hr/clanci/sluzbeni/2023_02_18_307.html" TargetMode="External"/><Relationship Id="rId88" Type="http://schemas.openxmlformats.org/officeDocument/2006/relationships/hyperlink" Target="https://narodne-novine.nn.hr/clanci/sluzbeni/2022_03_29_366.html" TargetMode="External"/><Relationship Id="rId91" Type="http://schemas.openxmlformats.org/officeDocument/2006/relationships/hyperlink" Target="https://pravamanjina.gov.hr/UserDocsImages/NPUR%202021-2027/Nacionalni%20plan%20za%20uklju%C4%8Divanje%20Roma.pdf" TargetMode="External"/><Relationship Id="rId96"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hrvatska2030.hr/" TargetMode="External"/><Relationship Id="rId23" Type="http://schemas.openxmlformats.org/officeDocument/2006/relationships/hyperlink" Target="https://narodne-novine.nn.hr/clanci/sluzbeni/2022_03_40_492.html" TargetMode="External"/><Relationship Id="rId28" Type="http://schemas.openxmlformats.org/officeDocument/2006/relationships/image" Target="media/image8.png"/><Relationship Id="rId36" Type="http://schemas.openxmlformats.org/officeDocument/2006/relationships/hyperlink" Target="https://mmpi.gov.hr/UserDocsImages/dokumenti/PROMET/Promet%2011_22/Strategija%20razvoja%20zeljeznickog%20sustava%20RH%20do%202032%209-11_22.pdf" TargetMode="External"/><Relationship Id="rId49" Type="http://schemas.openxmlformats.org/officeDocument/2006/relationships/hyperlink" Target="https://ruralnirazvoj.hr/files/Strateski-plan-Zajednicke-poljoprivredne-politike-Republike-Hrvatske-2023.-2027._v.3.1.pdf" TargetMode="External"/><Relationship Id="rId57" Type="http://schemas.openxmlformats.org/officeDocument/2006/relationships/hyperlink" Target="https://narodne-novine.nn.hr/clanci/sluzbeni/2019_10_96_1863.html" TargetMode="External"/><Relationship Id="rId10" Type="http://schemas.openxmlformats.org/officeDocument/2006/relationships/endnotes" Target="endnotes.xml"/><Relationship Id="rId31" Type="http://schemas.openxmlformats.org/officeDocument/2006/relationships/hyperlink" Target="https://mingo.gov.hr/UserDocsImages/UPRAVA%20ZA%20ENERGETIKU/Strategije,%20planovi%20i%20programi/hr%20necp/Integrirani%20nacionalni%20energetski%20i%20klimatski%20plan%20Republike%20Hrvatske%20%20_final.pdf" TargetMode="External"/><Relationship Id="rId44" Type="http://schemas.openxmlformats.org/officeDocument/2006/relationships/image" Target="media/image10.png"/><Relationship Id="rId52" Type="http://schemas.openxmlformats.org/officeDocument/2006/relationships/hyperlink" Target="https://mpudt.gov.hr/UserDocsImages/dokumenti/Strategije,%20planovi,%20izvje&#353;&#263;a/Nacionalni%20plan%20razvoja%20pravosudnog%20sustava%20za%20razdoblje%202022_2027.pdf" TargetMode="External"/><Relationship Id="rId60" Type="http://schemas.openxmlformats.org/officeDocument/2006/relationships/hyperlink" Target="https://mpgi.gov.hr/UserDocsImages/dokumenti/EnergetskaUcinkovitost/PROGRAM_EN_OBN_ZGRADA_JAVNOG_SEKTORA_do2030.pdf" TargetMode="External"/><Relationship Id="rId65" Type="http://schemas.openxmlformats.org/officeDocument/2006/relationships/hyperlink" Target="https://mpgi.gov.hr/UserDocsImages/dokumenti/EnergetskaUcinkovitost/Program_suzbijanja_energetskog_siromastva_do_2025.pdf" TargetMode="External"/><Relationship Id="rId73" Type="http://schemas.openxmlformats.org/officeDocument/2006/relationships/hyperlink" Target="https://mrosp.gov.hr/UserDocsImages/dokumenti/Socijalna%20politika/Dokumenti/NACIONALNI%20PLAN%20ZA%20SUZBIJANJE%20SEKSUALNOG%20NASILJA%20I%20SEKSUALNOG%20UZNEMIRAVANJA%20do%202027.g_final.pdf" TargetMode="External"/><Relationship Id="rId78" Type="http://schemas.openxmlformats.org/officeDocument/2006/relationships/hyperlink" Target="https://mint.gov.hr/UserDocsImages/dokumenti-sdus/docs/Nacionalni%20program%20&#353;porta%202019.%20&#8211;%202026_.pdf" TargetMode="External"/><Relationship Id="rId81" Type="http://schemas.openxmlformats.org/officeDocument/2006/relationships/hyperlink" Target="https://mup.gov.hr/UserDocsImages/2022/06/NPSCP_hr_web.pdf" TargetMode="External"/><Relationship Id="rId86" Type="http://schemas.openxmlformats.org/officeDocument/2006/relationships/image" Target="media/image17.png"/><Relationship Id="rId94" Type="http://schemas.openxmlformats.org/officeDocument/2006/relationships/hyperlink" Target="https://pravamanjina.gov.hr/UserDocsImages/dokumenti/Nacionalni%20plan%20suzbijanja%20trgovanja%20ljudima%20do%202030.pdf" TargetMode="External"/><Relationship Id="rId99" Type="http://schemas.openxmlformats.org/officeDocument/2006/relationships/image" Target="media/image22.png"/><Relationship Id="rId10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narodne-novine.nn.hr/clanci/sluzbeni/2022_12_151_2349.html" TargetMode="External"/><Relationship Id="rId18" Type="http://schemas.openxmlformats.org/officeDocument/2006/relationships/image" Target="media/image4.emf"/><Relationship Id="rId39" Type="http://schemas.openxmlformats.org/officeDocument/2006/relationships/hyperlink" Target="https://mmpi.gov.hr/UserDocsImages/dokumenti/PROMET/Promet%201_23/MMPI%20NPUIZP%202023%2018-1_23.pdf" TargetMode="External"/><Relationship Id="rId34" Type="http://schemas.openxmlformats.org/officeDocument/2006/relationships/hyperlink" Target="https://www.voda.hr/sites/default/files/2024-12/VPG%20REGULACIJSKIH%20I%20ZA%C5%A0TITNIH%20VODNIH%20GRA%C4%90EVINA%20I%20GRA%C4%90EVINA%20ZA%20MELIORACIJE.pdf" TargetMode="External"/><Relationship Id="rId50" Type="http://schemas.openxmlformats.org/officeDocument/2006/relationships/hyperlink" Target="https://narodne-novine.nn.hr/clanci/sluzbeni/2022_03_26_325.html" TargetMode="External"/><Relationship Id="rId55" Type="http://schemas.openxmlformats.org/officeDocument/2006/relationships/hyperlink" Target="https://narodne-novine.nn.hr/clanci/sluzbeni/2023_01_2_17.html" TargetMode="External"/><Relationship Id="rId76" Type="http://schemas.openxmlformats.org/officeDocument/2006/relationships/hyperlink" Target="https://narodne-novine.nn.hr/clanci/sluzbeni/full/2023_01_2_18.html" TargetMode="External"/><Relationship Id="rId97" Type="http://schemas.openxmlformats.org/officeDocument/2006/relationships/image" Target="media/image20.png"/><Relationship Id="rId104" Type="http://schemas.microsoft.com/office/2020/10/relationships/intelligence" Target="intelligence2.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eurostat/databrowser/view/educ_uoe_enra21__custom_12690636/default/table?lang=en" TargetMode="External"/><Relationship Id="rId3" Type="http://schemas.openxmlformats.org/officeDocument/2006/relationships/hyperlink" Target="https://gov.hr/hr/e-konzervatorska-lokacijska-informacija-2507/2507" TargetMode="External"/><Relationship Id="rId7" Type="http://schemas.openxmlformats.org/officeDocument/2006/relationships/hyperlink" Target="https://op.europa.eu/hr/publication-detail/-/publication/e77ac5d6-bdb0-11ed-8912-01aa75ed71a1/language-hr" TargetMode="External"/><Relationship Id="rId2" Type="http://schemas.openxmlformats.org/officeDocument/2006/relationships/hyperlink" Target="https://emediji.aem.hr/" TargetMode="External"/><Relationship Id="rId1" Type="http://schemas.openxmlformats.org/officeDocument/2006/relationships/hyperlink" Target="https://www.tocnotako.hr/" TargetMode="External"/><Relationship Id="rId6" Type="http://schemas.openxmlformats.org/officeDocument/2006/relationships/hyperlink" Target="https://eur-lex.europa.eu/legal-content/HR/TXT/PDF/?uri=CELEX:32022H1220(01)" TargetMode="External"/><Relationship Id="rId11" Type="http://schemas.openxmlformats.org/officeDocument/2006/relationships/hyperlink" Target="https://dashboards.sdgindex.org/rankings/" TargetMode="External"/><Relationship Id="rId5" Type="http://schemas.openxmlformats.org/officeDocument/2006/relationships/hyperlink" Target="http://publications.europa.eu/resource/celex/32021G0226%2801%29" TargetMode="External"/><Relationship Id="rId10" Type="http://schemas.openxmlformats.org/officeDocument/2006/relationships/hyperlink" Target="https://www.certilia.com/" TargetMode="External"/><Relationship Id="rId4" Type="http://schemas.openxmlformats.org/officeDocument/2006/relationships/hyperlink" Target="https://ekultura.hr/" TargetMode="External"/><Relationship Id="rId9" Type="http://schemas.openxmlformats.org/officeDocument/2006/relationships/hyperlink" Target="https://visokoobrazovanje.hr/"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EE95BCA6-3096-4A2E-8565-82E608D0218F}">
    <t:Anchor>
      <t:Comment id="1968134836"/>
    </t:Anchor>
    <t:History>
      <t:Event id="{BE991A6F-9E53-4384-8CB1-711B7CD2830A}" time="2024-10-15T12:23:32.458Z">
        <t:Attribution userId="S::trajic@mrrfeu.hr::488a4634-ce59-4fde-8e38-05ca00861143" userProvider="AD" userName="Tomislav Rajić"/>
        <t:Anchor>
          <t:Comment id="1968134836"/>
        </t:Anchor>
        <t:Create/>
      </t:Event>
      <t:Event id="{0DCBF7A0-F357-42A6-AB6D-06088A399F30}" time="2024-10-15T12:23:32.458Z">
        <t:Attribution userId="S::trajic@mrrfeu.hr::488a4634-ce59-4fde-8e38-05ca00861143" userProvider="AD" userName="Tomislav Rajić"/>
        <t:Anchor>
          <t:Comment id="1968134836"/>
        </t:Anchor>
        <t:Assign userId="S::tbelovari@mrrfeu.hr::fc75366c-4baa-45f0-9628-d577d50146ac" userProvider="AD" userName="Tomislav Belovari"/>
      </t:Event>
      <t:Event id="{D3C68F36-231F-4E7B-89C6-29F744A097F9}" time="2024-10-15T12:23:32.458Z">
        <t:Attribution userId="S::trajic@mrrfeu.hr::488a4634-ce59-4fde-8e38-05ca00861143" userProvider="AD" userName="Tomislav Rajić"/>
        <t:Anchor>
          <t:Comment id="1968134836"/>
        </t:Anchor>
        <t:SetTitle title="@Tomislav Belovari Molim iz teksta ukloniti spominjanje ministarstva- izvješće podnosi VRH Saboru, Molim koristiti Hrvatska, Republika Hrvatska i sl. prema primjerima opisa ostalih ciljeva."/>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23CAAC38371245AEFDE3FB1B578B08" ma:contentTypeVersion="18" ma:contentTypeDescription="Create a new document." ma:contentTypeScope="" ma:versionID="843eebc69a35c0e43a3e57b2bc2734d9">
  <xsd:schema xmlns:xsd="http://www.w3.org/2001/XMLSchema" xmlns:xs="http://www.w3.org/2001/XMLSchema" xmlns:p="http://schemas.microsoft.com/office/2006/metadata/properties" xmlns:ns2="bf7a2af0-3c4d-462f-a8c1-eded84cc76a1" xmlns:ns3="1fee7bf6-0178-4b90-9348-e91dc6fe0c66" targetNamespace="http://schemas.microsoft.com/office/2006/metadata/properties" ma:root="true" ma:fieldsID="9c939409851fd4762cfedb1bbbe15f17" ns2:_="" ns3:_="">
    <xsd:import namespace="bf7a2af0-3c4d-462f-a8c1-eded84cc76a1"/>
    <xsd:import namespace="1fee7bf6-0178-4b90-9348-e91dc6fe0c6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7a2af0-3c4d-462f-a8c1-eded84cc7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d0ee974-192f-4353-9d1c-3274f95f45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ee7bf6-0178-4b90-9348-e91dc6fe0c6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11dc842-e7db-48b3-aa1f-581c1a6365cf}" ma:internalName="TaxCatchAll" ma:showField="CatchAllData" ma:web="1fee7bf6-0178-4b90-9348-e91dc6fe0c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f7a2af0-3c4d-462f-a8c1-eded84cc76a1">
      <Terms xmlns="http://schemas.microsoft.com/office/infopath/2007/PartnerControls"/>
    </lcf76f155ced4ddcb4097134ff3c332f>
    <TaxCatchAll xmlns="1fee7bf6-0178-4b90-9348-e91dc6fe0c6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2A8F6-E52B-46B5-A3D3-BE288B9C7D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7a2af0-3c4d-462f-a8c1-eded84cc76a1"/>
    <ds:schemaRef ds:uri="1fee7bf6-0178-4b90-9348-e91dc6fe0c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C7CD71-2CFF-4DD3-83A6-9B1E2F20B405}">
  <ds:schemaRefs>
    <ds:schemaRef ds:uri="http://schemas.microsoft.com/office/2006/metadata/properties"/>
    <ds:schemaRef ds:uri="http://schemas.microsoft.com/office/infopath/2007/PartnerControls"/>
    <ds:schemaRef ds:uri="bf7a2af0-3c4d-462f-a8c1-eded84cc76a1"/>
    <ds:schemaRef ds:uri="1fee7bf6-0178-4b90-9348-e91dc6fe0c66"/>
  </ds:schemaRefs>
</ds:datastoreItem>
</file>

<file path=customXml/itemProps3.xml><?xml version="1.0" encoding="utf-8"?>
<ds:datastoreItem xmlns:ds="http://schemas.openxmlformats.org/officeDocument/2006/customXml" ds:itemID="{A5EBBC62-78DD-4453-B48B-6F5D9890AABE}">
  <ds:schemaRefs>
    <ds:schemaRef ds:uri="http://schemas.microsoft.com/sharepoint/v3/contenttype/forms"/>
  </ds:schemaRefs>
</ds:datastoreItem>
</file>

<file path=customXml/itemProps4.xml><?xml version="1.0" encoding="utf-8"?>
<ds:datastoreItem xmlns:ds="http://schemas.openxmlformats.org/officeDocument/2006/customXml" ds:itemID="{C1493ABF-1641-43B6-A5AE-582A2481E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143</Pages>
  <Words>63095</Words>
  <Characters>359646</Characters>
  <Application>Microsoft Office Word</Application>
  <DocSecurity>0</DocSecurity>
  <Lines>2997</Lines>
  <Paragraphs>843</Paragraphs>
  <ScaleCrop>false</ScaleCrop>
  <HeadingPairs>
    <vt:vector size="2" baseType="variant">
      <vt:variant>
        <vt:lpstr>Title</vt:lpstr>
      </vt:variant>
      <vt:variant>
        <vt:i4>1</vt:i4>
      </vt:variant>
    </vt:vector>
  </HeadingPairs>
  <TitlesOfParts>
    <vt:vector size="1" baseType="lpstr">
      <vt:lpstr>GI NRS 2030 (2023)</vt:lpstr>
    </vt:vector>
  </TitlesOfParts>
  <Manager/>
  <Company/>
  <LinksUpToDate>false</LinksUpToDate>
  <CharactersWithSpaces>421898</CharactersWithSpaces>
  <SharedDoc>false</SharedDoc>
  <HyperlinkBase/>
  <HLinks>
    <vt:vector size="756" baseType="variant">
      <vt:variant>
        <vt:i4>131161</vt:i4>
      </vt:variant>
      <vt:variant>
        <vt:i4>492</vt:i4>
      </vt:variant>
      <vt:variant>
        <vt:i4>0</vt:i4>
      </vt:variant>
      <vt:variant>
        <vt:i4>5</vt:i4>
      </vt:variant>
      <vt:variant>
        <vt:lpwstr>https://ravnopravnost.gov.hr/UserDocsImages/dokumenti/NPRS 2027 APRS 2024/Nacionalni plan za ravnopravnost spolova, za razdoblje do 2027..pdf</vt:lpwstr>
      </vt:variant>
      <vt:variant>
        <vt:lpwstr/>
      </vt:variant>
      <vt:variant>
        <vt:i4>1835094</vt:i4>
      </vt:variant>
      <vt:variant>
        <vt:i4>489</vt:i4>
      </vt:variant>
      <vt:variant>
        <vt:i4>0</vt:i4>
      </vt:variant>
      <vt:variant>
        <vt:i4>5</vt:i4>
      </vt:variant>
      <vt:variant>
        <vt:lpwstr>https://pravamanjina.gov.hr/UserDocsImages/dokumenti/Nacionalni plan suzbijanja trgovanja ljudima do 2030.pdf</vt:lpwstr>
      </vt:variant>
      <vt:variant>
        <vt:lpwstr/>
      </vt:variant>
      <vt:variant>
        <vt:i4>7209009</vt:i4>
      </vt:variant>
      <vt:variant>
        <vt:i4>486</vt:i4>
      </vt:variant>
      <vt:variant>
        <vt:i4>0</vt:i4>
      </vt:variant>
      <vt:variant>
        <vt:i4>5</vt:i4>
      </vt:variant>
      <vt:variant>
        <vt:lpwstr>https://pravamanjina.gov.hr/UserDocsImages/dokumenti/Nacionalni plan za ZPLJP razdoblje do 2027.pdf</vt:lpwstr>
      </vt:variant>
      <vt:variant>
        <vt:lpwstr/>
      </vt:variant>
      <vt:variant>
        <vt:i4>196617</vt:i4>
      </vt:variant>
      <vt:variant>
        <vt:i4>483</vt:i4>
      </vt:variant>
      <vt:variant>
        <vt:i4>0</vt:i4>
      </vt:variant>
      <vt:variant>
        <vt:i4>5</vt:i4>
      </vt:variant>
      <vt:variant>
        <vt:lpwstr>https://pravamanjina.gov.hr/UserDocsImages/dokumenti/Operativni programi nacionalnih manjina za razdoblje 2021.-2024..pdf</vt:lpwstr>
      </vt:variant>
      <vt:variant>
        <vt:lpwstr/>
      </vt:variant>
      <vt:variant>
        <vt:i4>7077940</vt:i4>
      </vt:variant>
      <vt:variant>
        <vt:i4>480</vt:i4>
      </vt:variant>
      <vt:variant>
        <vt:i4>0</vt:i4>
      </vt:variant>
      <vt:variant>
        <vt:i4>5</vt:i4>
      </vt:variant>
      <vt:variant>
        <vt:lpwstr>https://pravamanjina.gov.hr/UserDocsImages/NPUR 2021-2027/Nacionalni plan za uklju%C4%8Divanje Roma.pdf</vt:lpwstr>
      </vt:variant>
      <vt:variant>
        <vt:lpwstr/>
      </vt:variant>
      <vt:variant>
        <vt:i4>6094953</vt:i4>
      </vt:variant>
      <vt:variant>
        <vt:i4>477</vt:i4>
      </vt:variant>
      <vt:variant>
        <vt:i4>0</vt:i4>
      </vt:variant>
      <vt:variant>
        <vt:i4>5</vt:i4>
      </vt:variant>
      <vt:variant>
        <vt:lpwstr>https://hrvatiizvanrh.gov.hr/UserDocsImages/dokumenti/Nacionalni plan razvoja odnosa RH s HIRH do 2027. godine_19.7.2022.pdf</vt:lpwstr>
      </vt:variant>
      <vt:variant>
        <vt:lpwstr/>
      </vt:variant>
      <vt:variant>
        <vt:i4>5767222</vt:i4>
      </vt:variant>
      <vt:variant>
        <vt:i4>474</vt:i4>
      </vt:variant>
      <vt:variant>
        <vt:i4>0</vt:i4>
      </vt:variant>
      <vt:variant>
        <vt:i4>5</vt:i4>
      </vt:variant>
      <vt:variant>
        <vt:lpwstr>https://narodne-novine.nn.hr/clanci/sluzbeni/2022_03_29_366.html</vt:lpwstr>
      </vt:variant>
      <vt:variant>
        <vt:lpwstr/>
      </vt:variant>
      <vt:variant>
        <vt:i4>2818070</vt:i4>
      </vt:variant>
      <vt:variant>
        <vt:i4>471</vt:i4>
      </vt:variant>
      <vt:variant>
        <vt:i4>0</vt:i4>
      </vt:variant>
      <vt:variant>
        <vt:i4>5</vt:i4>
      </vt:variant>
      <vt:variant>
        <vt:lpwstr>https://narodne-novine.nn.hr/clanci/sluzbeni/full/2022_03_29_365.html</vt:lpwstr>
      </vt:variant>
      <vt:variant>
        <vt:lpwstr/>
      </vt:variant>
      <vt:variant>
        <vt:i4>6619178</vt:i4>
      </vt:variant>
      <vt:variant>
        <vt:i4>468</vt:i4>
      </vt:variant>
      <vt:variant>
        <vt:i4>0</vt:i4>
      </vt:variant>
      <vt:variant>
        <vt:i4>5</vt:i4>
      </vt:variant>
      <vt:variant>
        <vt:lpwstr>https://mingo.gov.hr/UserDocsImages/slike/Vijesti/2022/S3 do 2029 Tekst VRH 2023 12 13.pdf</vt:lpwstr>
      </vt:variant>
      <vt:variant>
        <vt:lpwstr/>
      </vt:variant>
      <vt:variant>
        <vt:i4>4718595</vt:i4>
      </vt:variant>
      <vt:variant>
        <vt:i4>465</vt:i4>
      </vt:variant>
      <vt:variant>
        <vt:i4>0</vt:i4>
      </vt:variant>
      <vt:variant>
        <vt:i4>5</vt:i4>
      </vt:variant>
      <vt:variant>
        <vt:lpwstr>https://mzom.gov.hr/UserDocsImages/dokumenti/Obrazovanje/AkcijskiINacionalniPlan/Nacionalni-plan-razvoja-sustava-obrazovanja-za-razdoblje-do-2027.pdf</vt:lpwstr>
      </vt:variant>
      <vt:variant>
        <vt:lpwstr/>
      </vt:variant>
      <vt:variant>
        <vt:i4>6029367</vt:i4>
      </vt:variant>
      <vt:variant>
        <vt:i4>462</vt:i4>
      </vt:variant>
      <vt:variant>
        <vt:i4>0</vt:i4>
      </vt:variant>
      <vt:variant>
        <vt:i4>5</vt:i4>
      </vt:variant>
      <vt:variant>
        <vt:lpwstr>https://narodne-novine.nn.hr/clanci/sluzbeni/2023_02_18_307.html</vt:lpwstr>
      </vt:variant>
      <vt:variant>
        <vt:lpwstr/>
      </vt:variant>
      <vt:variant>
        <vt:i4>6094860</vt:i4>
      </vt:variant>
      <vt:variant>
        <vt:i4>459</vt:i4>
      </vt:variant>
      <vt:variant>
        <vt:i4>0</vt:i4>
      </vt:variant>
      <vt:variant>
        <vt:i4>5</vt:i4>
      </vt:variant>
      <vt:variant>
        <vt:lpwstr>https://zdravlje.gov.hr/UserDocsImages/2022 Objave/Nacionalni plan razvoja zdravstva 2021.-2027..pdf</vt:lpwstr>
      </vt:variant>
      <vt:variant>
        <vt:lpwstr/>
      </vt:variant>
      <vt:variant>
        <vt:i4>786435</vt:i4>
      </vt:variant>
      <vt:variant>
        <vt:i4>456</vt:i4>
      </vt:variant>
      <vt:variant>
        <vt:i4>0</vt:i4>
      </vt:variant>
      <vt:variant>
        <vt:i4>5</vt:i4>
      </vt:variant>
      <vt:variant>
        <vt:lpwstr>https://mup.gov.hr/UserDocsImages/2022/06/NPSCP_hr_web.pdf</vt:lpwstr>
      </vt:variant>
      <vt:variant>
        <vt:lpwstr/>
      </vt:variant>
      <vt:variant>
        <vt:i4>1835127</vt:i4>
      </vt:variant>
      <vt:variant>
        <vt:i4>453</vt:i4>
      </vt:variant>
      <vt:variant>
        <vt:i4>0</vt:i4>
      </vt:variant>
      <vt:variant>
        <vt:i4>5</vt:i4>
      </vt:variant>
      <vt:variant>
        <vt:lpwstr>https://narodne-novine.nn.hr/clanci/sluzbeni/full/2019_09_91_1802.html</vt:lpwstr>
      </vt:variant>
      <vt:variant>
        <vt:lpwstr/>
      </vt:variant>
      <vt:variant>
        <vt:i4>917861</vt:i4>
      </vt:variant>
      <vt:variant>
        <vt:i4>450</vt:i4>
      </vt:variant>
      <vt:variant>
        <vt:i4>0</vt:i4>
      </vt:variant>
      <vt:variant>
        <vt:i4>5</vt:i4>
      </vt:variant>
      <vt:variant>
        <vt:lpwstr>https://civilna-zastita.gov.hr/UserDocsImages/CIVILNA ZAŠTITA/PDF_ZA WEB/Strategija_i_AkcijskiPlan_katastrofe_rizici.pdf</vt:lpwstr>
      </vt:variant>
      <vt:variant>
        <vt:lpwstr/>
      </vt:variant>
      <vt:variant>
        <vt:i4>543359342</vt:i4>
      </vt:variant>
      <vt:variant>
        <vt:i4>447</vt:i4>
      </vt:variant>
      <vt:variant>
        <vt:i4>0</vt:i4>
      </vt:variant>
      <vt:variant>
        <vt:i4>5</vt:i4>
      </vt:variant>
      <vt:variant>
        <vt:lpwstr>https://mint.gov.hr/UserDocsImages/dokumenti-sdus/docs/Nacionalni program športa 2019. – 2026_.pdf</vt:lpwstr>
      </vt:variant>
      <vt:variant>
        <vt:lpwstr/>
      </vt:variant>
      <vt:variant>
        <vt:i4>4718636</vt:i4>
      </vt:variant>
      <vt:variant>
        <vt:i4>444</vt:i4>
      </vt:variant>
      <vt:variant>
        <vt:i4>0</vt:i4>
      </vt:variant>
      <vt:variant>
        <vt:i4>5</vt:i4>
      </vt:variant>
      <vt:variant>
        <vt:lpwstr>https://mint.gov.hr/UserDocsImages/2023_dokumenti/Nacionalni plan razvoja odr%C5%BEivog turizma do 2027. godine i Akcijski plan do 2025. godine.pdf</vt:lpwstr>
      </vt:variant>
      <vt:variant>
        <vt:lpwstr/>
      </vt:variant>
      <vt:variant>
        <vt:i4>7471180</vt:i4>
      </vt:variant>
      <vt:variant>
        <vt:i4>441</vt:i4>
      </vt:variant>
      <vt:variant>
        <vt:i4>0</vt:i4>
      </vt:variant>
      <vt:variant>
        <vt:i4>5</vt:i4>
      </vt:variant>
      <vt:variant>
        <vt:lpwstr>https://narodne-novine.nn.hr/clanci/sluzbeni/full/2023_01_2_18.html</vt:lpwstr>
      </vt:variant>
      <vt:variant>
        <vt:lpwstr/>
      </vt:variant>
      <vt:variant>
        <vt:i4>3407893</vt:i4>
      </vt:variant>
      <vt:variant>
        <vt:i4>438</vt:i4>
      </vt:variant>
      <vt:variant>
        <vt:i4>0</vt:i4>
      </vt:variant>
      <vt:variant>
        <vt:i4>5</vt:i4>
      </vt:variant>
      <vt:variant>
        <vt:lpwstr>https://razvoj.gov.hr/UserDocsImages/O ministarstvu/Regionalni razvoj/Otoci i priobalje/2021/Nacionalni plan razvoja otoka 2021.-2027._28.12.2021..pdf</vt:lpwstr>
      </vt:variant>
      <vt:variant>
        <vt:lpwstr/>
      </vt:variant>
      <vt:variant>
        <vt:i4>2359371</vt:i4>
      </vt:variant>
      <vt:variant>
        <vt:i4>435</vt:i4>
      </vt:variant>
      <vt:variant>
        <vt:i4>0</vt:i4>
      </vt:variant>
      <vt:variant>
        <vt:i4>5</vt:i4>
      </vt:variant>
      <vt:variant>
        <vt:lpwstr>https://mrosp.gov.hr/UserDocsImages/dokumenti/Socijalna politika/Dokumenti/NACIONALNI PLAN ZA SUZBIJANJE SEKSUALNOG NASILJA I SEKSUALNOG UZNEMIRAVANJA do 2027.g_final.pdf</vt:lpwstr>
      </vt:variant>
      <vt:variant>
        <vt:lpwstr/>
      </vt:variant>
      <vt:variant>
        <vt:i4>6422560</vt:i4>
      </vt:variant>
      <vt:variant>
        <vt:i4>432</vt:i4>
      </vt:variant>
      <vt:variant>
        <vt:i4>0</vt:i4>
      </vt:variant>
      <vt:variant>
        <vt:i4>5</vt:i4>
      </vt:variant>
      <vt:variant>
        <vt:lpwstr>https://mrosp.gov.hr/UserDocsImages/dokumenti/Glavno tajni%C5%A1tvo/Godi%C5%A1nji planovi i strate%C5%A1ka izvje%C5%A1%C4%87a/Nacionalni plan razvoja socijalnih usluga za razdoblje od  2021. do 2027. godine.pdf</vt:lpwstr>
      </vt:variant>
      <vt:variant>
        <vt:lpwstr/>
      </vt:variant>
      <vt:variant>
        <vt:i4>3932204</vt:i4>
      </vt:variant>
      <vt:variant>
        <vt:i4>429</vt:i4>
      </vt:variant>
      <vt:variant>
        <vt:i4>0</vt:i4>
      </vt:variant>
      <vt:variant>
        <vt:i4>5</vt:i4>
      </vt:variant>
      <vt:variant>
        <vt:lpwstr>https://mrosp.gov.hr/UserDocsImages/dokumenti/Glavno tajni%C5%A1tvo/Godi%C5%A1nji planovi i strate%C5%A1ka izvje%C5%A1%C4%87a/Nacionalni plan borbe protiv siroma%C5%A1tva i socijalne isklju%C4%8Denosti za razdoblje od 2021 do 2027.pdf</vt:lpwstr>
      </vt:variant>
      <vt:variant>
        <vt:lpwstr/>
      </vt:variant>
      <vt:variant>
        <vt:i4>1179663</vt:i4>
      </vt:variant>
      <vt:variant>
        <vt:i4>426</vt:i4>
      </vt:variant>
      <vt:variant>
        <vt:i4>0</vt:i4>
      </vt:variant>
      <vt:variant>
        <vt:i4>5</vt:i4>
      </vt:variant>
      <vt:variant>
        <vt:lpwstr>https://mrosp.gov.hr/UserDocsImages/dokumenti/Socijalna politika/Dokumenti/Nacionalni plan za prava djece u Republici Hrvatskoj za razdoblje od 2022. do 2026. godine.pdf</vt:lpwstr>
      </vt:variant>
      <vt:variant>
        <vt:lpwstr/>
      </vt:variant>
      <vt:variant>
        <vt:i4>4587899</vt:i4>
      </vt:variant>
      <vt:variant>
        <vt:i4>423</vt:i4>
      </vt:variant>
      <vt:variant>
        <vt:i4>0</vt:i4>
      </vt:variant>
      <vt:variant>
        <vt:i4>5</vt:i4>
      </vt:variant>
      <vt:variant>
        <vt:lpwstr>https://mrosp.gov.hr/UserDocsImages/dokumenti/Glavno tajništvo/Godišnji planovi i strateška izvješća/Nacionalni plan izjednačavanja mogućnosti za osobe s invaliditetom za razdoblje od 2021 do 2027. godine.pdf</vt:lpwstr>
      </vt:variant>
      <vt:variant>
        <vt:lpwstr/>
      </vt:variant>
      <vt:variant>
        <vt:i4>3997813</vt:i4>
      </vt:variant>
      <vt:variant>
        <vt:i4>420</vt:i4>
      </vt:variant>
      <vt:variant>
        <vt:i4>0</vt:i4>
      </vt:variant>
      <vt:variant>
        <vt:i4>5</vt:i4>
      </vt:variant>
      <vt:variant>
        <vt:lpwstr>https://mrosp.gov.hr/UserDocsImages/dokumenti/Glavno tajni%C5%A1tvo/Godi%C5%A1nji planovi i strate%C5%A1ka izvje%C5%A1%C4%87a/26.11.Prijedlog Nacionalnog plana.pdf</vt:lpwstr>
      </vt:variant>
      <vt:variant>
        <vt:lpwstr/>
      </vt:variant>
      <vt:variant>
        <vt:i4>5963887</vt:i4>
      </vt:variant>
      <vt:variant>
        <vt:i4>417</vt:i4>
      </vt:variant>
      <vt:variant>
        <vt:i4>0</vt:i4>
      </vt:variant>
      <vt:variant>
        <vt:i4>5</vt:i4>
      </vt:variant>
      <vt:variant>
        <vt:lpwstr>https://mpgi.gov.hr/UserDocsImages/dokumenti/EnergetskaUcinkovitost/Program_suzbijanja_energetskog_siromastva_do_2025.pdf</vt:lpwstr>
      </vt:variant>
      <vt:variant>
        <vt:lpwstr/>
      </vt:variant>
      <vt:variant>
        <vt:i4>3801143</vt:i4>
      </vt:variant>
      <vt:variant>
        <vt:i4>414</vt:i4>
      </vt:variant>
      <vt:variant>
        <vt:i4>0</vt:i4>
      </vt:variant>
      <vt:variant>
        <vt:i4>5</vt:i4>
      </vt:variant>
      <vt:variant>
        <vt:lpwstr>https://mpgi.gov.hr/UserDocsImages/dokumenti/EnergetskaUcinkovitost/Program_energetske_obnove_kulturna_dobra_do_2030.pdf</vt:lpwstr>
      </vt:variant>
      <vt:variant>
        <vt:lpwstr/>
      </vt:variant>
      <vt:variant>
        <vt:i4>393239</vt:i4>
      </vt:variant>
      <vt:variant>
        <vt:i4>411</vt:i4>
      </vt:variant>
      <vt:variant>
        <vt:i4>0</vt:i4>
      </vt:variant>
      <vt:variant>
        <vt:i4>5</vt:i4>
      </vt:variant>
      <vt:variant>
        <vt:lpwstr>https://mpgi.gov.hr/UserDocsImages/dokumenti/EnergetskaUcinkovitost/Program_energetske_obnove_VS_zgrada_do_2030.pdf</vt:lpwstr>
      </vt:variant>
      <vt:variant>
        <vt:lpwstr/>
      </vt:variant>
      <vt:variant>
        <vt:i4>6881333</vt:i4>
      </vt:variant>
      <vt:variant>
        <vt:i4>408</vt:i4>
      </vt:variant>
      <vt:variant>
        <vt:i4>0</vt:i4>
      </vt:variant>
      <vt:variant>
        <vt:i4>5</vt:i4>
      </vt:variant>
      <vt:variant>
        <vt:lpwstr>https://mpgi.gov.hr/UserDocsImages/dokumenti/EnergetskaUcinkovitost/Program_razvoja_KG_prostorom_i_zgradama_2021-2030.pdf</vt:lpwstr>
      </vt:variant>
      <vt:variant>
        <vt:lpwstr/>
      </vt:variant>
      <vt:variant>
        <vt:i4>7340113</vt:i4>
      </vt:variant>
      <vt:variant>
        <vt:i4>405</vt:i4>
      </vt:variant>
      <vt:variant>
        <vt:i4>0</vt:i4>
      </vt:variant>
      <vt:variant>
        <vt:i4>5</vt:i4>
      </vt:variant>
      <vt:variant>
        <vt:lpwstr>https://mpgi.gov.hr/UserDocsImages/dokumenti/EnergetskaUcinkovitost/Program_razvoja_zelene_infrastrukture_do_2030.pdf</vt:lpwstr>
      </vt:variant>
      <vt:variant>
        <vt:lpwstr/>
      </vt:variant>
      <vt:variant>
        <vt:i4>2621490</vt:i4>
      </vt:variant>
      <vt:variant>
        <vt:i4>402</vt:i4>
      </vt:variant>
      <vt:variant>
        <vt:i4>0</vt:i4>
      </vt:variant>
      <vt:variant>
        <vt:i4>5</vt:i4>
      </vt:variant>
      <vt:variant>
        <vt:lpwstr>https://mpgi.gov.hr/UserDocsImages/dokumenti/EnergetskaUcinkovitost/PROGRAM_EN_OBN_ZGRADA_JAVNOG_SEKTORA_do2030.pdf</vt:lpwstr>
      </vt:variant>
      <vt:variant>
        <vt:lpwstr/>
      </vt:variant>
      <vt:variant>
        <vt:i4>2031665</vt:i4>
      </vt:variant>
      <vt:variant>
        <vt:i4>399</vt:i4>
      </vt:variant>
      <vt:variant>
        <vt:i4>0</vt:i4>
      </vt:variant>
      <vt:variant>
        <vt:i4>5</vt:i4>
      </vt:variant>
      <vt:variant>
        <vt:lpwstr>https://mpgi.gov.hr/UserDocsImages/dokumenti/EnergetskaUcinkovitost/DSO_14.12.2020.pdf</vt:lpwstr>
      </vt:variant>
      <vt:variant>
        <vt:lpwstr/>
      </vt:variant>
      <vt:variant>
        <vt:i4>262246</vt:i4>
      </vt:variant>
      <vt:variant>
        <vt:i4>396</vt:i4>
      </vt:variant>
      <vt:variant>
        <vt:i4>0</vt:i4>
      </vt:variant>
      <vt:variant>
        <vt:i4>5</vt:i4>
      </vt:variant>
      <vt:variant>
        <vt:lpwstr>https://narodne-novine.nn.hr/clanci/sluzbeni/2017_10_106_2423.html</vt:lpwstr>
      </vt:variant>
      <vt:variant>
        <vt:lpwstr/>
      </vt:variant>
      <vt:variant>
        <vt:i4>6094958</vt:i4>
      </vt:variant>
      <vt:variant>
        <vt:i4>393</vt:i4>
      </vt:variant>
      <vt:variant>
        <vt:i4>0</vt:i4>
      </vt:variant>
      <vt:variant>
        <vt:i4>5</vt:i4>
      </vt:variant>
      <vt:variant>
        <vt:lpwstr>https://narodne-novine.nn.hr/clanci/sluzbeni/2019_10_96_1863.html</vt:lpwstr>
      </vt:variant>
      <vt:variant>
        <vt:lpwstr/>
      </vt:variant>
      <vt:variant>
        <vt:i4>262252</vt:i4>
      </vt:variant>
      <vt:variant>
        <vt:i4>390</vt:i4>
      </vt:variant>
      <vt:variant>
        <vt:i4>0</vt:i4>
      </vt:variant>
      <vt:variant>
        <vt:i4>5</vt:i4>
      </vt:variant>
      <vt:variant>
        <vt:lpwstr>https://narodne-novine.nn.hr/clanci/sluzbeni/2021_11_120_2069.html</vt:lpwstr>
      </vt:variant>
      <vt:variant>
        <vt:lpwstr/>
      </vt:variant>
      <vt:variant>
        <vt:i4>131171</vt:i4>
      </vt:variant>
      <vt:variant>
        <vt:i4>387</vt:i4>
      </vt:variant>
      <vt:variant>
        <vt:i4>0</vt:i4>
      </vt:variant>
      <vt:variant>
        <vt:i4>5</vt:i4>
      </vt:variant>
      <vt:variant>
        <vt:lpwstr>https://narodne-novine.nn.hr/clanci/sluzbeni/2023_01_2_17.html</vt:lpwstr>
      </vt:variant>
      <vt:variant>
        <vt:lpwstr/>
      </vt:variant>
      <vt:variant>
        <vt:i4>1179751</vt:i4>
      </vt:variant>
      <vt:variant>
        <vt:i4>384</vt:i4>
      </vt:variant>
      <vt:variant>
        <vt:i4>0</vt:i4>
      </vt:variant>
      <vt:variant>
        <vt:i4>5</vt:i4>
      </vt:variant>
      <vt:variant>
        <vt:lpwstr>https://mpudt.gov.hr/UserDocsImages/dokumenti/Strategije, planovi, izvje%C5%A1%C4%87a/Strate%C5%A1ki dokumenti/Nacionalni plan razvoja javne uprave_brosura.pdf</vt:lpwstr>
      </vt:variant>
      <vt:variant>
        <vt:lpwstr/>
      </vt:variant>
      <vt:variant>
        <vt:i4>24772988</vt:i4>
      </vt:variant>
      <vt:variant>
        <vt:i4>381</vt:i4>
      </vt:variant>
      <vt:variant>
        <vt:i4>0</vt:i4>
      </vt:variant>
      <vt:variant>
        <vt:i4>5</vt:i4>
      </vt:variant>
      <vt:variant>
        <vt:lpwstr>https://mpudt.gov.hr/UserDocsImages/dokumenti/Strategije, planovi, izvješća/Nacionalni plan razvoja pravosudnog sustava za razdoblje 2022_2027.pdf</vt:lpwstr>
      </vt:variant>
      <vt:variant>
        <vt:lpwstr/>
      </vt:variant>
      <vt:variant>
        <vt:i4>1245293</vt:i4>
      </vt:variant>
      <vt:variant>
        <vt:i4>378</vt:i4>
      </vt:variant>
      <vt:variant>
        <vt:i4>0</vt:i4>
      </vt:variant>
      <vt:variant>
        <vt:i4>5</vt:i4>
      </vt:variant>
      <vt:variant>
        <vt:lpwstr>https://poljoprivreda.gov.hr/UserDocsImages/dokumenti/sume/drvna_industrija/Nacionalni_plan_razvoja_prerade_drva/Nacionalni plan razvoja prerade drva i proizvodnje namje%C5%A1taja Republike Hrvatske.pdf</vt:lpwstr>
      </vt:variant>
      <vt:variant>
        <vt:lpwstr/>
      </vt:variant>
      <vt:variant>
        <vt:i4>6029370</vt:i4>
      </vt:variant>
      <vt:variant>
        <vt:i4>375</vt:i4>
      </vt:variant>
      <vt:variant>
        <vt:i4>0</vt:i4>
      </vt:variant>
      <vt:variant>
        <vt:i4>5</vt:i4>
      </vt:variant>
      <vt:variant>
        <vt:lpwstr>https://narodne-novine.nn.hr/clanci/sluzbeni/2022_03_26_325.html</vt:lpwstr>
      </vt:variant>
      <vt:variant>
        <vt:lpwstr/>
      </vt:variant>
      <vt:variant>
        <vt:i4>3211337</vt:i4>
      </vt:variant>
      <vt:variant>
        <vt:i4>372</vt:i4>
      </vt:variant>
      <vt:variant>
        <vt:i4>0</vt:i4>
      </vt:variant>
      <vt:variant>
        <vt:i4>5</vt:i4>
      </vt:variant>
      <vt:variant>
        <vt:lpwstr>https://ruralnirazvoj.hr/files/Strateski-plan-Zajednicke-poljoprivredne-politike-Republike-Hrvatske-2023.-2027._v.3.1.pdf</vt:lpwstr>
      </vt:variant>
      <vt:variant>
        <vt:lpwstr/>
      </vt:variant>
      <vt:variant>
        <vt:i4>5898312</vt:i4>
      </vt:variant>
      <vt:variant>
        <vt:i4>369</vt:i4>
      </vt:variant>
      <vt:variant>
        <vt:i4>0</vt:i4>
      </vt:variant>
      <vt:variant>
        <vt:i4>5</vt:i4>
      </vt:variant>
      <vt:variant>
        <vt:lpwstr>https://ribarstvo.mps.hr/default.aspx?id=5183</vt:lpwstr>
      </vt:variant>
      <vt:variant>
        <vt:lpwstr/>
      </vt:variant>
      <vt:variant>
        <vt:i4>5898341</vt:i4>
      </vt:variant>
      <vt:variant>
        <vt:i4>366</vt:i4>
      </vt:variant>
      <vt:variant>
        <vt:i4>0</vt:i4>
      </vt:variant>
      <vt:variant>
        <vt:i4>5</vt:i4>
      </vt:variant>
      <vt:variant>
        <vt:lpwstr>https://narodne-novine.nn.hr/clanci/sluzbeni/2017_07_73_1772.html</vt:lpwstr>
      </vt:variant>
      <vt:variant>
        <vt:lpwstr/>
      </vt:variant>
      <vt:variant>
        <vt:i4>7864421</vt:i4>
      </vt:variant>
      <vt:variant>
        <vt:i4>363</vt:i4>
      </vt:variant>
      <vt:variant>
        <vt:i4>0</vt:i4>
      </vt:variant>
      <vt:variant>
        <vt:i4>5</vt:i4>
      </vt:variant>
      <vt:variant>
        <vt:lpwstr>https://mmpi.gov.hr/UserDocsImages/dokumenti/PROMET/Promet 3_21/MMPI-NPR-BB2021-2027-VRH 11-3_21.pdf</vt:lpwstr>
      </vt:variant>
      <vt:variant>
        <vt:lpwstr/>
      </vt:variant>
      <vt:variant>
        <vt:i4>7995477</vt:i4>
      </vt:variant>
      <vt:variant>
        <vt:i4>360</vt:i4>
      </vt:variant>
      <vt:variant>
        <vt:i4>0</vt:i4>
      </vt:variant>
      <vt:variant>
        <vt:i4>5</vt:i4>
      </vt:variant>
      <vt:variant>
        <vt:lpwstr>https://mmpi.gov.hr/UserDocsImages/dokumenti/INFRASTRUKTURA/Infrastruktura 7_23/NPRBI 28-7_23/Nacionalni_plan_razvoja_biciklisti%C4%8Dkog_prometa_2023-2027.pdf</vt:lpwstr>
      </vt:variant>
      <vt:variant>
        <vt:lpwstr/>
      </vt:variant>
      <vt:variant>
        <vt:i4>1114227</vt:i4>
      </vt:variant>
      <vt:variant>
        <vt:i4>357</vt:i4>
      </vt:variant>
      <vt:variant>
        <vt:i4>0</vt:i4>
      </vt:variant>
      <vt:variant>
        <vt:i4>5</vt:i4>
      </vt:variant>
      <vt:variant>
        <vt:lpwstr>https://mmpi.gov.hr/UserDocsImages/dokumenti/MORE/Unutarnja plovidba/STRATESKI DOKUMENTI/SREDNJOROCNI PLAN RAZVITKA VODNIH PUTOVA_LUKA_PRISTANISTA RH 2022-2031 10-10_22.pdf</vt:lpwstr>
      </vt:variant>
      <vt:variant>
        <vt:lpwstr/>
      </vt:variant>
      <vt:variant>
        <vt:i4>7536720</vt:i4>
      </vt:variant>
      <vt:variant>
        <vt:i4>354</vt:i4>
      </vt:variant>
      <vt:variant>
        <vt:i4>0</vt:i4>
      </vt:variant>
      <vt:variant>
        <vt:i4>5</vt:i4>
      </vt:variant>
      <vt:variant>
        <vt:lpwstr>https://mmpi.gov.hr/UserDocsImages/dokumenti/MORE/Unutarnja plovidba/STRATESKI DOKUMENTI/STRATEGIJA RAZVITKA RIJECNOG PROMETA RH 2022-2032 10-10_22.pdf</vt:lpwstr>
      </vt:variant>
      <vt:variant>
        <vt:lpwstr/>
      </vt:variant>
      <vt:variant>
        <vt:i4>7340137</vt:i4>
      </vt:variant>
      <vt:variant>
        <vt:i4>351</vt:i4>
      </vt:variant>
      <vt:variant>
        <vt:i4>0</vt:i4>
      </vt:variant>
      <vt:variant>
        <vt:i4>5</vt:i4>
      </vt:variant>
      <vt:variant>
        <vt:lpwstr>https://mmpi.gov.hr/UserDocsImages/dokumenti/PROMET/Promet 1_23/MMPI NPUIZP 2023 18-1_23.pdf</vt:lpwstr>
      </vt:variant>
      <vt:variant>
        <vt:lpwstr/>
      </vt:variant>
      <vt:variant>
        <vt:i4>4653066</vt:i4>
      </vt:variant>
      <vt:variant>
        <vt:i4>348</vt:i4>
      </vt:variant>
      <vt:variant>
        <vt:i4>0</vt:i4>
      </vt:variant>
      <vt:variant>
        <vt:i4>5</vt:i4>
      </vt:variant>
      <vt:variant>
        <vt:lpwstr>https://mmpi.gov.hr/UserDocsImages/dokumenti/PROMET/Promet 1_23/MMPI NPRZI 18-1_23.pdf</vt:lpwstr>
      </vt:variant>
      <vt:variant>
        <vt:lpwstr/>
      </vt:variant>
      <vt:variant>
        <vt:i4>5046287</vt:i4>
      </vt:variant>
      <vt:variant>
        <vt:i4>345</vt:i4>
      </vt:variant>
      <vt:variant>
        <vt:i4>0</vt:i4>
      </vt:variant>
      <vt:variant>
        <vt:i4>5</vt:i4>
      </vt:variant>
      <vt:variant>
        <vt:lpwstr>https://mmpi.gov.hr/UserDocsImages/dokumenti/PROMET/Promet 11_22/Strategija razvoja zeljeznickog sustava RH do 2032 9-11_22.pdf</vt:lpwstr>
      </vt:variant>
      <vt:variant>
        <vt:lpwstr/>
      </vt:variant>
      <vt:variant>
        <vt:i4>2949191</vt:i4>
      </vt:variant>
      <vt:variant>
        <vt:i4>342</vt:i4>
      </vt:variant>
      <vt:variant>
        <vt:i4>0</vt:i4>
      </vt:variant>
      <vt:variant>
        <vt:i4>5</vt:i4>
      </vt:variant>
      <vt:variant>
        <vt:lpwstr>https://min-kulture.gov.hr/UserDocsImages/dokumenti/Nacionalni plan razvoja kulture i medija/Nacionalni plan_objava.pdf</vt:lpwstr>
      </vt:variant>
      <vt:variant>
        <vt:lpwstr/>
      </vt:variant>
      <vt:variant>
        <vt:i4>5177351</vt:i4>
      </vt:variant>
      <vt:variant>
        <vt:i4>339</vt:i4>
      </vt:variant>
      <vt:variant>
        <vt:i4>0</vt:i4>
      </vt:variant>
      <vt:variant>
        <vt:i4>5</vt:i4>
      </vt:variant>
      <vt:variant>
        <vt:lpwstr>https://www.voda.hr/sites/default/files/2024-12/VPG REGULACIJSKIH I ZA%C5%A0TITNIH VODNIH GRA%C4%90EVINA I GRA%C4%90EVINA ZA MELIORACIJE.pdf</vt:lpwstr>
      </vt:variant>
      <vt:variant>
        <vt:lpwstr/>
      </vt:variant>
      <vt:variant>
        <vt:i4>5505122</vt:i4>
      </vt:variant>
      <vt:variant>
        <vt:i4>336</vt:i4>
      </vt:variant>
      <vt:variant>
        <vt:i4>0</vt:i4>
      </vt:variant>
      <vt:variant>
        <vt:i4>5</vt:i4>
      </vt:variant>
      <vt:variant>
        <vt:lpwstr>https://narodne-novine.nn.hr/clanci/sluzbeni/2023_07_84_1334.html</vt:lpwstr>
      </vt:variant>
      <vt:variant>
        <vt:lpwstr/>
      </vt:variant>
      <vt:variant>
        <vt:i4>1769565</vt:i4>
      </vt:variant>
      <vt:variant>
        <vt:i4>333</vt:i4>
      </vt:variant>
      <vt:variant>
        <vt:i4>0</vt:i4>
      </vt:variant>
      <vt:variant>
        <vt:i4>5</vt:i4>
      </vt:variant>
      <vt:variant>
        <vt:lpwstr>https://voda.hr/sites/default/files/dokumenti/visegodisnji_program_gradnje_komunalnih_vodnih_gradevina_za_razdoblje_do_2030._godine.pdf</vt:lpwstr>
      </vt:variant>
      <vt:variant>
        <vt:lpwstr/>
      </vt:variant>
      <vt:variant>
        <vt:i4>8323075</vt:i4>
      </vt:variant>
      <vt:variant>
        <vt:i4>330</vt:i4>
      </vt:variant>
      <vt:variant>
        <vt:i4>0</vt:i4>
      </vt:variant>
      <vt:variant>
        <vt:i4>5</vt:i4>
      </vt:variant>
      <vt:variant>
        <vt:lpwstr>https://mingo.gov.hr/UserDocsImages/UPRAVA ZA ENERGETIKU/Strategije, planovi i programi/hr necp/Integrirani nacionalni energetski i klimatski plan Republike Hrvatske  _final.pdf</vt:lpwstr>
      </vt:variant>
      <vt:variant>
        <vt:lpwstr/>
      </vt:variant>
      <vt:variant>
        <vt:i4>6094902</vt:i4>
      </vt:variant>
      <vt:variant>
        <vt:i4>327</vt:i4>
      </vt:variant>
      <vt:variant>
        <vt:i4>0</vt:i4>
      </vt:variant>
      <vt:variant>
        <vt:i4>5</vt:i4>
      </vt:variant>
      <vt:variant>
        <vt:lpwstr>https://narodne-novine.nn.hr/clanci/sluzbeni/2020_04_46_921.html</vt:lpwstr>
      </vt:variant>
      <vt:variant>
        <vt:lpwstr/>
      </vt:variant>
      <vt:variant>
        <vt:i4>5963876</vt:i4>
      </vt:variant>
      <vt:variant>
        <vt:i4>324</vt:i4>
      </vt:variant>
      <vt:variant>
        <vt:i4>0</vt:i4>
      </vt:variant>
      <vt:variant>
        <vt:i4>5</vt:i4>
      </vt:variant>
      <vt:variant>
        <vt:lpwstr>https://narodne-novine.nn.hr/clanci/sluzbeni/2021_06_63_1205.html</vt:lpwstr>
      </vt:variant>
      <vt:variant>
        <vt:lpwstr/>
      </vt:variant>
      <vt:variant>
        <vt:i4>5898338</vt:i4>
      </vt:variant>
      <vt:variant>
        <vt:i4>321</vt:i4>
      </vt:variant>
      <vt:variant>
        <vt:i4>0</vt:i4>
      </vt:variant>
      <vt:variant>
        <vt:i4>5</vt:i4>
      </vt:variant>
      <vt:variant>
        <vt:lpwstr>https://narodne-novine.nn.hr/clanci/sluzbeni/2017_07_72_1712.html</vt:lpwstr>
      </vt:variant>
      <vt:variant>
        <vt:lpwstr/>
      </vt:variant>
      <vt:variant>
        <vt:i4>5701695</vt:i4>
      </vt:variant>
      <vt:variant>
        <vt:i4>318</vt:i4>
      </vt:variant>
      <vt:variant>
        <vt:i4>0</vt:i4>
      </vt:variant>
      <vt:variant>
        <vt:i4>5</vt:i4>
      </vt:variant>
      <vt:variant>
        <vt:lpwstr>https://narodne-novine.nn.hr/clanci/sluzbeni/2024_03_36_580.html</vt:lpwstr>
      </vt:variant>
      <vt:variant>
        <vt:lpwstr/>
      </vt:variant>
      <vt:variant>
        <vt:i4>3211363</vt:i4>
      </vt:variant>
      <vt:variant>
        <vt:i4>315</vt:i4>
      </vt:variant>
      <vt:variant>
        <vt:i4>0</vt:i4>
      </vt:variant>
      <vt:variant>
        <vt:i4>5</vt:i4>
      </vt:variant>
      <vt:variant>
        <vt:lpwstr>https://mingo.gov.hr/UserDocsImages/Internacionalizacija/Nacionalni-plan-za-poticanje-ulaganja-do-2030.pdf</vt:lpwstr>
      </vt:variant>
      <vt:variant>
        <vt:lpwstr/>
      </vt:variant>
      <vt:variant>
        <vt:i4>5308476</vt:i4>
      </vt:variant>
      <vt:variant>
        <vt:i4>312</vt:i4>
      </vt:variant>
      <vt:variant>
        <vt:i4>0</vt:i4>
      </vt:variant>
      <vt:variant>
        <vt:i4>5</vt:i4>
      </vt:variant>
      <vt:variant>
        <vt:lpwstr>https://narodne-novine.nn.hr/clanci/sluzbeni/2022_03_40_492.html</vt:lpwstr>
      </vt:variant>
      <vt:variant>
        <vt:lpwstr/>
      </vt:variant>
      <vt:variant>
        <vt:i4>6160441</vt:i4>
      </vt:variant>
      <vt:variant>
        <vt:i4>309</vt:i4>
      </vt:variant>
      <vt:variant>
        <vt:i4>0</vt:i4>
      </vt:variant>
      <vt:variant>
        <vt:i4>5</vt:i4>
      </vt:variant>
      <vt:variant>
        <vt:lpwstr>https://narodne-novine.nn.hr/clanci/sluzbeni/2020_03_25_602.html</vt:lpwstr>
      </vt:variant>
      <vt:variant>
        <vt:lpwstr/>
      </vt:variant>
      <vt:variant>
        <vt:i4>2818082</vt:i4>
      </vt:variant>
      <vt:variant>
        <vt:i4>306</vt:i4>
      </vt:variant>
      <vt:variant>
        <vt:i4>0</vt:i4>
      </vt:variant>
      <vt:variant>
        <vt:i4>5</vt:i4>
      </vt:variant>
      <vt:variant>
        <vt:lpwstr>https://mingo.gov.hr/UserDocsImages/Internacionalizacija/Dokumenti/Strategija za procjenu ekonomskog u%C4%8Dinka propisa na sektor malog i srednjeg podzetni%C5%A1tva za razdoblje od 2023. do 2027. godine.doc</vt:lpwstr>
      </vt:variant>
      <vt:variant>
        <vt:lpwstr/>
      </vt:variant>
      <vt:variant>
        <vt:i4>7798841</vt:i4>
      </vt:variant>
      <vt:variant>
        <vt:i4>303</vt:i4>
      </vt:variant>
      <vt:variant>
        <vt:i4>0</vt:i4>
      </vt:variant>
      <vt:variant>
        <vt:i4>5</vt:i4>
      </vt:variant>
      <vt:variant>
        <vt:lpwstr>http://www.hrvatska2030.hr/</vt:lpwstr>
      </vt:variant>
      <vt:variant>
        <vt:lpwstr/>
      </vt:variant>
      <vt:variant>
        <vt:i4>5767226</vt:i4>
      </vt:variant>
      <vt:variant>
        <vt:i4>300</vt:i4>
      </vt:variant>
      <vt:variant>
        <vt:i4>0</vt:i4>
      </vt:variant>
      <vt:variant>
        <vt:i4>5</vt:i4>
      </vt:variant>
      <vt:variant>
        <vt:lpwstr>https://narodne-novine.nn.hr/clanci/sluzbeni/2023_04_44_772.html</vt:lpwstr>
      </vt:variant>
      <vt:variant>
        <vt:lpwstr/>
      </vt:variant>
      <vt:variant>
        <vt:i4>262251</vt:i4>
      </vt:variant>
      <vt:variant>
        <vt:i4>297</vt:i4>
      </vt:variant>
      <vt:variant>
        <vt:i4>0</vt:i4>
      </vt:variant>
      <vt:variant>
        <vt:i4>5</vt:i4>
      </vt:variant>
      <vt:variant>
        <vt:lpwstr>https://narodne-novine.nn.hr/clanci/sluzbeni/2022_12_151_2349.html</vt:lpwstr>
      </vt:variant>
      <vt:variant>
        <vt:lpwstr/>
      </vt:variant>
      <vt:variant>
        <vt:i4>524396</vt:i4>
      </vt:variant>
      <vt:variant>
        <vt:i4>294</vt:i4>
      </vt:variant>
      <vt:variant>
        <vt:i4>0</vt:i4>
      </vt:variant>
      <vt:variant>
        <vt:i4>5</vt:i4>
      </vt:variant>
      <vt:variant>
        <vt:lpwstr>https://narodne-novine.nn.hr/clanci/sluzbeni/2017_12_123_2798.html</vt:lpwstr>
      </vt:variant>
      <vt:variant>
        <vt:lpwstr/>
      </vt:variant>
      <vt:variant>
        <vt:i4>6160410</vt:i4>
      </vt:variant>
      <vt:variant>
        <vt:i4>291</vt:i4>
      </vt:variant>
      <vt:variant>
        <vt:i4>0</vt:i4>
      </vt:variant>
      <vt:variant>
        <vt:i4>5</vt:i4>
      </vt:variant>
      <vt:variant>
        <vt:lpwstr>https://narodne-novine.nn.hr/eli/sluzbeni/2025/40/pdf</vt:lpwstr>
      </vt:variant>
      <vt:variant>
        <vt:lpwstr/>
      </vt:variant>
      <vt:variant>
        <vt:i4>1114168</vt:i4>
      </vt:variant>
      <vt:variant>
        <vt:i4>284</vt:i4>
      </vt:variant>
      <vt:variant>
        <vt:i4>0</vt:i4>
      </vt:variant>
      <vt:variant>
        <vt:i4>5</vt:i4>
      </vt:variant>
      <vt:variant>
        <vt:lpwstr/>
      </vt:variant>
      <vt:variant>
        <vt:lpwstr>_Toc223002968</vt:lpwstr>
      </vt:variant>
      <vt:variant>
        <vt:i4>1114168</vt:i4>
      </vt:variant>
      <vt:variant>
        <vt:i4>278</vt:i4>
      </vt:variant>
      <vt:variant>
        <vt:i4>0</vt:i4>
      </vt:variant>
      <vt:variant>
        <vt:i4>5</vt:i4>
      </vt:variant>
      <vt:variant>
        <vt:lpwstr/>
      </vt:variant>
      <vt:variant>
        <vt:lpwstr>_Toc223002967</vt:lpwstr>
      </vt:variant>
      <vt:variant>
        <vt:i4>1114168</vt:i4>
      </vt:variant>
      <vt:variant>
        <vt:i4>272</vt:i4>
      </vt:variant>
      <vt:variant>
        <vt:i4>0</vt:i4>
      </vt:variant>
      <vt:variant>
        <vt:i4>5</vt:i4>
      </vt:variant>
      <vt:variant>
        <vt:lpwstr/>
      </vt:variant>
      <vt:variant>
        <vt:lpwstr>_Toc223002966</vt:lpwstr>
      </vt:variant>
      <vt:variant>
        <vt:i4>1114168</vt:i4>
      </vt:variant>
      <vt:variant>
        <vt:i4>266</vt:i4>
      </vt:variant>
      <vt:variant>
        <vt:i4>0</vt:i4>
      </vt:variant>
      <vt:variant>
        <vt:i4>5</vt:i4>
      </vt:variant>
      <vt:variant>
        <vt:lpwstr/>
      </vt:variant>
      <vt:variant>
        <vt:lpwstr>_Toc223002965</vt:lpwstr>
      </vt:variant>
      <vt:variant>
        <vt:i4>1114168</vt:i4>
      </vt:variant>
      <vt:variant>
        <vt:i4>260</vt:i4>
      </vt:variant>
      <vt:variant>
        <vt:i4>0</vt:i4>
      </vt:variant>
      <vt:variant>
        <vt:i4>5</vt:i4>
      </vt:variant>
      <vt:variant>
        <vt:lpwstr/>
      </vt:variant>
      <vt:variant>
        <vt:lpwstr>_Toc223002964</vt:lpwstr>
      </vt:variant>
      <vt:variant>
        <vt:i4>1114168</vt:i4>
      </vt:variant>
      <vt:variant>
        <vt:i4>254</vt:i4>
      </vt:variant>
      <vt:variant>
        <vt:i4>0</vt:i4>
      </vt:variant>
      <vt:variant>
        <vt:i4>5</vt:i4>
      </vt:variant>
      <vt:variant>
        <vt:lpwstr/>
      </vt:variant>
      <vt:variant>
        <vt:lpwstr>_Toc223002963</vt:lpwstr>
      </vt:variant>
      <vt:variant>
        <vt:i4>1114168</vt:i4>
      </vt:variant>
      <vt:variant>
        <vt:i4>248</vt:i4>
      </vt:variant>
      <vt:variant>
        <vt:i4>0</vt:i4>
      </vt:variant>
      <vt:variant>
        <vt:i4>5</vt:i4>
      </vt:variant>
      <vt:variant>
        <vt:lpwstr/>
      </vt:variant>
      <vt:variant>
        <vt:lpwstr>_Toc223002962</vt:lpwstr>
      </vt:variant>
      <vt:variant>
        <vt:i4>1114168</vt:i4>
      </vt:variant>
      <vt:variant>
        <vt:i4>242</vt:i4>
      </vt:variant>
      <vt:variant>
        <vt:i4>0</vt:i4>
      </vt:variant>
      <vt:variant>
        <vt:i4>5</vt:i4>
      </vt:variant>
      <vt:variant>
        <vt:lpwstr/>
      </vt:variant>
      <vt:variant>
        <vt:lpwstr>_Toc223002961</vt:lpwstr>
      </vt:variant>
      <vt:variant>
        <vt:i4>1114168</vt:i4>
      </vt:variant>
      <vt:variant>
        <vt:i4>236</vt:i4>
      </vt:variant>
      <vt:variant>
        <vt:i4>0</vt:i4>
      </vt:variant>
      <vt:variant>
        <vt:i4>5</vt:i4>
      </vt:variant>
      <vt:variant>
        <vt:lpwstr/>
      </vt:variant>
      <vt:variant>
        <vt:lpwstr>_Toc223002960</vt:lpwstr>
      </vt:variant>
      <vt:variant>
        <vt:i4>1179704</vt:i4>
      </vt:variant>
      <vt:variant>
        <vt:i4>230</vt:i4>
      </vt:variant>
      <vt:variant>
        <vt:i4>0</vt:i4>
      </vt:variant>
      <vt:variant>
        <vt:i4>5</vt:i4>
      </vt:variant>
      <vt:variant>
        <vt:lpwstr/>
      </vt:variant>
      <vt:variant>
        <vt:lpwstr>_Toc223002959</vt:lpwstr>
      </vt:variant>
      <vt:variant>
        <vt:i4>1179704</vt:i4>
      </vt:variant>
      <vt:variant>
        <vt:i4>224</vt:i4>
      </vt:variant>
      <vt:variant>
        <vt:i4>0</vt:i4>
      </vt:variant>
      <vt:variant>
        <vt:i4>5</vt:i4>
      </vt:variant>
      <vt:variant>
        <vt:lpwstr/>
      </vt:variant>
      <vt:variant>
        <vt:lpwstr>_Toc223002958</vt:lpwstr>
      </vt:variant>
      <vt:variant>
        <vt:i4>1179704</vt:i4>
      </vt:variant>
      <vt:variant>
        <vt:i4>218</vt:i4>
      </vt:variant>
      <vt:variant>
        <vt:i4>0</vt:i4>
      </vt:variant>
      <vt:variant>
        <vt:i4>5</vt:i4>
      </vt:variant>
      <vt:variant>
        <vt:lpwstr/>
      </vt:variant>
      <vt:variant>
        <vt:lpwstr>_Toc223002957</vt:lpwstr>
      </vt:variant>
      <vt:variant>
        <vt:i4>1179704</vt:i4>
      </vt:variant>
      <vt:variant>
        <vt:i4>212</vt:i4>
      </vt:variant>
      <vt:variant>
        <vt:i4>0</vt:i4>
      </vt:variant>
      <vt:variant>
        <vt:i4>5</vt:i4>
      </vt:variant>
      <vt:variant>
        <vt:lpwstr/>
      </vt:variant>
      <vt:variant>
        <vt:lpwstr>_Toc223002956</vt:lpwstr>
      </vt:variant>
      <vt:variant>
        <vt:i4>1179704</vt:i4>
      </vt:variant>
      <vt:variant>
        <vt:i4>206</vt:i4>
      </vt:variant>
      <vt:variant>
        <vt:i4>0</vt:i4>
      </vt:variant>
      <vt:variant>
        <vt:i4>5</vt:i4>
      </vt:variant>
      <vt:variant>
        <vt:lpwstr/>
      </vt:variant>
      <vt:variant>
        <vt:lpwstr>_Toc223002955</vt:lpwstr>
      </vt:variant>
      <vt:variant>
        <vt:i4>1179704</vt:i4>
      </vt:variant>
      <vt:variant>
        <vt:i4>200</vt:i4>
      </vt:variant>
      <vt:variant>
        <vt:i4>0</vt:i4>
      </vt:variant>
      <vt:variant>
        <vt:i4>5</vt:i4>
      </vt:variant>
      <vt:variant>
        <vt:lpwstr/>
      </vt:variant>
      <vt:variant>
        <vt:lpwstr>_Toc223002954</vt:lpwstr>
      </vt:variant>
      <vt:variant>
        <vt:i4>1179704</vt:i4>
      </vt:variant>
      <vt:variant>
        <vt:i4>194</vt:i4>
      </vt:variant>
      <vt:variant>
        <vt:i4>0</vt:i4>
      </vt:variant>
      <vt:variant>
        <vt:i4>5</vt:i4>
      </vt:variant>
      <vt:variant>
        <vt:lpwstr/>
      </vt:variant>
      <vt:variant>
        <vt:lpwstr>_Toc223002953</vt:lpwstr>
      </vt:variant>
      <vt:variant>
        <vt:i4>1179704</vt:i4>
      </vt:variant>
      <vt:variant>
        <vt:i4>188</vt:i4>
      </vt:variant>
      <vt:variant>
        <vt:i4>0</vt:i4>
      </vt:variant>
      <vt:variant>
        <vt:i4>5</vt:i4>
      </vt:variant>
      <vt:variant>
        <vt:lpwstr/>
      </vt:variant>
      <vt:variant>
        <vt:lpwstr>_Toc223002952</vt:lpwstr>
      </vt:variant>
      <vt:variant>
        <vt:i4>1179704</vt:i4>
      </vt:variant>
      <vt:variant>
        <vt:i4>182</vt:i4>
      </vt:variant>
      <vt:variant>
        <vt:i4>0</vt:i4>
      </vt:variant>
      <vt:variant>
        <vt:i4>5</vt:i4>
      </vt:variant>
      <vt:variant>
        <vt:lpwstr/>
      </vt:variant>
      <vt:variant>
        <vt:lpwstr>_Toc223002951</vt:lpwstr>
      </vt:variant>
      <vt:variant>
        <vt:i4>1179704</vt:i4>
      </vt:variant>
      <vt:variant>
        <vt:i4>176</vt:i4>
      </vt:variant>
      <vt:variant>
        <vt:i4>0</vt:i4>
      </vt:variant>
      <vt:variant>
        <vt:i4>5</vt:i4>
      </vt:variant>
      <vt:variant>
        <vt:lpwstr/>
      </vt:variant>
      <vt:variant>
        <vt:lpwstr>_Toc223002950</vt:lpwstr>
      </vt:variant>
      <vt:variant>
        <vt:i4>1245240</vt:i4>
      </vt:variant>
      <vt:variant>
        <vt:i4>170</vt:i4>
      </vt:variant>
      <vt:variant>
        <vt:i4>0</vt:i4>
      </vt:variant>
      <vt:variant>
        <vt:i4>5</vt:i4>
      </vt:variant>
      <vt:variant>
        <vt:lpwstr/>
      </vt:variant>
      <vt:variant>
        <vt:lpwstr>_Toc223002949</vt:lpwstr>
      </vt:variant>
      <vt:variant>
        <vt:i4>1245240</vt:i4>
      </vt:variant>
      <vt:variant>
        <vt:i4>164</vt:i4>
      </vt:variant>
      <vt:variant>
        <vt:i4>0</vt:i4>
      </vt:variant>
      <vt:variant>
        <vt:i4>5</vt:i4>
      </vt:variant>
      <vt:variant>
        <vt:lpwstr/>
      </vt:variant>
      <vt:variant>
        <vt:lpwstr>_Toc223002948</vt:lpwstr>
      </vt:variant>
      <vt:variant>
        <vt:i4>1245240</vt:i4>
      </vt:variant>
      <vt:variant>
        <vt:i4>158</vt:i4>
      </vt:variant>
      <vt:variant>
        <vt:i4>0</vt:i4>
      </vt:variant>
      <vt:variant>
        <vt:i4>5</vt:i4>
      </vt:variant>
      <vt:variant>
        <vt:lpwstr/>
      </vt:variant>
      <vt:variant>
        <vt:lpwstr>_Toc223002947</vt:lpwstr>
      </vt:variant>
      <vt:variant>
        <vt:i4>1245240</vt:i4>
      </vt:variant>
      <vt:variant>
        <vt:i4>152</vt:i4>
      </vt:variant>
      <vt:variant>
        <vt:i4>0</vt:i4>
      </vt:variant>
      <vt:variant>
        <vt:i4>5</vt:i4>
      </vt:variant>
      <vt:variant>
        <vt:lpwstr/>
      </vt:variant>
      <vt:variant>
        <vt:lpwstr>_Toc223002946</vt:lpwstr>
      </vt:variant>
      <vt:variant>
        <vt:i4>1245240</vt:i4>
      </vt:variant>
      <vt:variant>
        <vt:i4>146</vt:i4>
      </vt:variant>
      <vt:variant>
        <vt:i4>0</vt:i4>
      </vt:variant>
      <vt:variant>
        <vt:i4>5</vt:i4>
      </vt:variant>
      <vt:variant>
        <vt:lpwstr/>
      </vt:variant>
      <vt:variant>
        <vt:lpwstr>_Toc223002945</vt:lpwstr>
      </vt:variant>
      <vt:variant>
        <vt:i4>1245240</vt:i4>
      </vt:variant>
      <vt:variant>
        <vt:i4>140</vt:i4>
      </vt:variant>
      <vt:variant>
        <vt:i4>0</vt:i4>
      </vt:variant>
      <vt:variant>
        <vt:i4>5</vt:i4>
      </vt:variant>
      <vt:variant>
        <vt:lpwstr/>
      </vt:variant>
      <vt:variant>
        <vt:lpwstr>_Toc223002944</vt:lpwstr>
      </vt:variant>
      <vt:variant>
        <vt:i4>1245240</vt:i4>
      </vt:variant>
      <vt:variant>
        <vt:i4>134</vt:i4>
      </vt:variant>
      <vt:variant>
        <vt:i4>0</vt:i4>
      </vt:variant>
      <vt:variant>
        <vt:i4>5</vt:i4>
      </vt:variant>
      <vt:variant>
        <vt:lpwstr/>
      </vt:variant>
      <vt:variant>
        <vt:lpwstr>_Toc223002943</vt:lpwstr>
      </vt:variant>
      <vt:variant>
        <vt:i4>1245240</vt:i4>
      </vt:variant>
      <vt:variant>
        <vt:i4>128</vt:i4>
      </vt:variant>
      <vt:variant>
        <vt:i4>0</vt:i4>
      </vt:variant>
      <vt:variant>
        <vt:i4>5</vt:i4>
      </vt:variant>
      <vt:variant>
        <vt:lpwstr/>
      </vt:variant>
      <vt:variant>
        <vt:lpwstr>_Toc223002942</vt:lpwstr>
      </vt:variant>
      <vt:variant>
        <vt:i4>1245240</vt:i4>
      </vt:variant>
      <vt:variant>
        <vt:i4>122</vt:i4>
      </vt:variant>
      <vt:variant>
        <vt:i4>0</vt:i4>
      </vt:variant>
      <vt:variant>
        <vt:i4>5</vt:i4>
      </vt:variant>
      <vt:variant>
        <vt:lpwstr/>
      </vt:variant>
      <vt:variant>
        <vt:lpwstr>_Toc223002941</vt:lpwstr>
      </vt:variant>
      <vt:variant>
        <vt:i4>1245240</vt:i4>
      </vt:variant>
      <vt:variant>
        <vt:i4>116</vt:i4>
      </vt:variant>
      <vt:variant>
        <vt:i4>0</vt:i4>
      </vt:variant>
      <vt:variant>
        <vt:i4>5</vt:i4>
      </vt:variant>
      <vt:variant>
        <vt:lpwstr/>
      </vt:variant>
      <vt:variant>
        <vt:lpwstr>_Toc223002940</vt:lpwstr>
      </vt:variant>
      <vt:variant>
        <vt:i4>1310776</vt:i4>
      </vt:variant>
      <vt:variant>
        <vt:i4>110</vt:i4>
      </vt:variant>
      <vt:variant>
        <vt:i4>0</vt:i4>
      </vt:variant>
      <vt:variant>
        <vt:i4>5</vt:i4>
      </vt:variant>
      <vt:variant>
        <vt:lpwstr/>
      </vt:variant>
      <vt:variant>
        <vt:lpwstr>_Toc223002939</vt:lpwstr>
      </vt:variant>
      <vt:variant>
        <vt:i4>1310776</vt:i4>
      </vt:variant>
      <vt:variant>
        <vt:i4>104</vt:i4>
      </vt:variant>
      <vt:variant>
        <vt:i4>0</vt:i4>
      </vt:variant>
      <vt:variant>
        <vt:i4>5</vt:i4>
      </vt:variant>
      <vt:variant>
        <vt:lpwstr/>
      </vt:variant>
      <vt:variant>
        <vt:lpwstr>_Toc223002938</vt:lpwstr>
      </vt:variant>
      <vt:variant>
        <vt:i4>1310776</vt:i4>
      </vt:variant>
      <vt:variant>
        <vt:i4>98</vt:i4>
      </vt:variant>
      <vt:variant>
        <vt:i4>0</vt:i4>
      </vt:variant>
      <vt:variant>
        <vt:i4>5</vt:i4>
      </vt:variant>
      <vt:variant>
        <vt:lpwstr/>
      </vt:variant>
      <vt:variant>
        <vt:lpwstr>_Toc223002937</vt:lpwstr>
      </vt:variant>
      <vt:variant>
        <vt:i4>1310776</vt:i4>
      </vt:variant>
      <vt:variant>
        <vt:i4>92</vt:i4>
      </vt:variant>
      <vt:variant>
        <vt:i4>0</vt:i4>
      </vt:variant>
      <vt:variant>
        <vt:i4>5</vt:i4>
      </vt:variant>
      <vt:variant>
        <vt:lpwstr/>
      </vt:variant>
      <vt:variant>
        <vt:lpwstr>_Toc223002936</vt:lpwstr>
      </vt:variant>
      <vt:variant>
        <vt:i4>1310776</vt:i4>
      </vt:variant>
      <vt:variant>
        <vt:i4>86</vt:i4>
      </vt:variant>
      <vt:variant>
        <vt:i4>0</vt:i4>
      </vt:variant>
      <vt:variant>
        <vt:i4>5</vt:i4>
      </vt:variant>
      <vt:variant>
        <vt:lpwstr/>
      </vt:variant>
      <vt:variant>
        <vt:lpwstr>_Toc223002935</vt:lpwstr>
      </vt:variant>
      <vt:variant>
        <vt:i4>1310776</vt:i4>
      </vt:variant>
      <vt:variant>
        <vt:i4>80</vt:i4>
      </vt:variant>
      <vt:variant>
        <vt:i4>0</vt:i4>
      </vt:variant>
      <vt:variant>
        <vt:i4>5</vt:i4>
      </vt:variant>
      <vt:variant>
        <vt:lpwstr/>
      </vt:variant>
      <vt:variant>
        <vt:lpwstr>_Toc223002934</vt:lpwstr>
      </vt:variant>
      <vt:variant>
        <vt:i4>1310776</vt:i4>
      </vt:variant>
      <vt:variant>
        <vt:i4>74</vt:i4>
      </vt:variant>
      <vt:variant>
        <vt:i4>0</vt:i4>
      </vt:variant>
      <vt:variant>
        <vt:i4>5</vt:i4>
      </vt:variant>
      <vt:variant>
        <vt:lpwstr/>
      </vt:variant>
      <vt:variant>
        <vt:lpwstr>_Toc223002933</vt:lpwstr>
      </vt:variant>
      <vt:variant>
        <vt:i4>1310776</vt:i4>
      </vt:variant>
      <vt:variant>
        <vt:i4>68</vt:i4>
      </vt:variant>
      <vt:variant>
        <vt:i4>0</vt:i4>
      </vt:variant>
      <vt:variant>
        <vt:i4>5</vt:i4>
      </vt:variant>
      <vt:variant>
        <vt:lpwstr/>
      </vt:variant>
      <vt:variant>
        <vt:lpwstr>_Toc223002932</vt:lpwstr>
      </vt:variant>
      <vt:variant>
        <vt:i4>1310776</vt:i4>
      </vt:variant>
      <vt:variant>
        <vt:i4>62</vt:i4>
      </vt:variant>
      <vt:variant>
        <vt:i4>0</vt:i4>
      </vt:variant>
      <vt:variant>
        <vt:i4>5</vt:i4>
      </vt:variant>
      <vt:variant>
        <vt:lpwstr/>
      </vt:variant>
      <vt:variant>
        <vt:lpwstr>_Toc223002931</vt:lpwstr>
      </vt:variant>
      <vt:variant>
        <vt:i4>1310776</vt:i4>
      </vt:variant>
      <vt:variant>
        <vt:i4>56</vt:i4>
      </vt:variant>
      <vt:variant>
        <vt:i4>0</vt:i4>
      </vt:variant>
      <vt:variant>
        <vt:i4>5</vt:i4>
      </vt:variant>
      <vt:variant>
        <vt:lpwstr/>
      </vt:variant>
      <vt:variant>
        <vt:lpwstr>_Toc223002930</vt:lpwstr>
      </vt:variant>
      <vt:variant>
        <vt:i4>1376312</vt:i4>
      </vt:variant>
      <vt:variant>
        <vt:i4>50</vt:i4>
      </vt:variant>
      <vt:variant>
        <vt:i4>0</vt:i4>
      </vt:variant>
      <vt:variant>
        <vt:i4>5</vt:i4>
      </vt:variant>
      <vt:variant>
        <vt:lpwstr/>
      </vt:variant>
      <vt:variant>
        <vt:lpwstr>_Toc223002929</vt:lpwstr>
      </vt:variant>
      <vt:variant>
        <vt:i4>1376312</vt:i4>
      </vt:variant>
      <vt:variant>
        <vt:i4>44</vt:i4>
      </vt:variant>
      <vt:variant>
        <vt:i4>0</vt:i4>
      </vt:variant>
      <vt:variant>
        <vt:i4>5</vt:i4>
      </vt:variant>
      <vt:variant>
        <vt:lpwstr/>
      </vt:variant>
      <vt:variant>
        <vt:lpwstr>_Toc223002928</vt:lpwstr>
      </vt:variant>
      <vt:variant>
        <vt:i4>1376312</vt:i4>
      </vt:variant>
      <vt:variant>
        <vt:i4>38</vt:i4>
      </vt:variant>
      <vt:variant>
        <vt:i4>0</vt:i4>
      </vt:variant>
      <vt:variant>
        <vt:i4>5</vt:i4>
      </vt:variant>
      <vt:variant>
        <vt:lpwstr/>
      </vt:variant>
      <vt:variant>
        <vt:lpwstr>_Toc223002927</vt:lpwstr>
      </vt:variant>
      <vt:variant>
        <vt:i4>1376312</vt:i4>
      </vt:variant>
      <vt:variant>
        <vt:i4>32</vt:i4>
      </vt:variant>
      <vt:variant>
        <vt:i4>0</vt:i4>
      </vt:variant>
      <vt:variant>
        <vt:i4>5</vt:i4>
      </vt:variant>
      <vt:variant>
        <vt:lpwstr/>
      </vt:variant>
      <vt:variant>
        <vt:lpwstr>_Toc223002926</vt:lpwstr>
      </vt:variant>
      <vt:variant>
        <vt:i4>1376312</vt:i4>
      </vt:variant>
      <vt:variant>
        <vt:i4>26</vt:i4>
      </vt:variant>
      <vt:variant>
        <vt:i4>0</vt:i4>
      </vt:variant>
      <vt:variant>
        <vt:i4>5</vt:i4>
      </vt:variant>
      <vt:variant>
        <vt:lpwstr/>
      </vt:variant>
      <vt:variant>
        <vt:lpwstr>_Toc223002925</vt:lpwstr>
      </vt:variant>
      <vt:variant>
        <vt:i4>1376312</vt:i4>
      </vt:variant>
      <vt:variant>
        <vt:i4>20</vt:i4>
      </vt:variant>
      <vt:variant>
        <vt:i4>0</vt:i4>
      </vt:variant>
      <vt:variant>
        <vt:i4>5</vt:i4>
      </vt:variant>
      <vt:variant>
        <vt:lpwstr/>
      </vt:variant>
      <vt:variant>
        <vt:lpwstr>_Toc223002924</vt:lpwstr>
      </vt:variant>
      <vt:variant>
        <vt:i4>1376312</vt:i4>
      </vt:variant>
      <vt:variant>
        <vt:i4>14</vt:i4>
      </vt:variant>
      <vt:variant>
        <vt:i4>0</vt:i4>
      </vt:variant>
      <vt:variant>
        <vt:i4>5</vt:i4>
      </vt:variant>
      <vt:variant>
        <vt:lpwstr/>
      </vt:variant>
      <vt:variant>
        <vt:lpwstr>_Toc223002923</vt:lpwstr>
      </vt:variant>
      <vt:variant>
        <vt:i4>1376312</vt:i4>
      </vt:variant>
      <vt:variant>
        <vt:i4>8</vt:i4>
      </vt:variant>
      <vt:variant>
        <vt:i4>0</vt:i4>
      </vt:variant>
      <vt:variant>
        <vt:i4>5</vt:i4>
      </vt:variant>
      <vt:variant>
        <vt:lpwstr/>
      </vt:variant>
      <vt:variant>
        <vt:lpwstr>_Toc223002922</vt:lpwstr>
      </vt:variant>
      <vt:variant>
        <vt:i4>1376312</vt:i4>
      </vt:variant>
      <vt:variant>
        <vt:i4>2</vt:i4>
      </vt:variant>
      <vt:variant>
        <vt:i4>0</vt:i4>
      </vt:variant>
      <vt:variant>
        <vt:i4>5</vt:i4>
      </vt:variant>
      <vt:variant>
        <vt:lpwstr/>
      </vt:variant>
      <vt:variant>
        <vt:lpwstr>_Toc223002921</vt:lpwstr>
      </vt:variant>
      <vt:variant>
        <vt:i4>851989</vt:i4>
      </vt:variant>
      <vt:variant>
        <vt:i4>24</vt:i4>
      </vt:variant>
      <vt:variant>
        <vt:i4>0</vt:i4>
      </vt:variant>
      <vt:variant>
        <vt:i4>5</vt:i4>
      </vt:variant>
      <vt:variant>
        <vt:lpwstr>https://dashboards.sdgindex.org/rankings/</vt:lpwstr>
      </vt:variant>
      <vt:variant>
        <vt:lpwstr/>
      </vt:variant>
      <vt:variant>
        <vt:i4>5898256</vt:i4>
      </vt:variant>
      <vt:variant>
        <vt:i4>21</vt:i4>
      </vt:variant>
      <vt:variant>
        <vt:i4>0</vt:i4>
      </vt:variant>
      <vt:variant>
        <vt:i4>5</vt:i4>
      </vt:variant>
      <vt:variant>
        <vt:lpwstr>https://www.certilia.com/</vt:lpwstr>
      </vt:variant>
      <vt:variant>
        <vt:lpwstr/>
      </vt:variant>
      <vt:variant>
        <vt:i4>4391004</vt:i4>
      </vt:variant>
      <vt:variant>
        <vt:i4>18</vt:i4>
      </vt:variant>
      <vt:variant>
        <vt:i4>0</vt:i4>
      </vt:variant>
      <vt:variant>
        <vt:i4>5</vt:i4>
      </vt:variant>
      <vt:variant>
        <vt:lpwstr>https://visokoobrazovanje.hr/</vt:lpwstr>
      </vt:variant>
      <vt:variant>
        <vt:lpwstr/>
      </vt:variant>
      <vt:variant>
        <vt:i4>7995401</vt:i4>
      </vt:variant>
      <vt:variant>
        <vt:i4>15</vt:i4>
      </vt:variant>
      <vt:variant>
        <vt:i4>0</vt:i4>
      </vt:variant>
      <vt:variant>
        <vt:i4>5</vt:i4>
      </vt:variant>
      <vt:variant>
        <vt:lpwstr>https://ec.europa.eu/eurostat/databrowser/view/educ_uoe_enra21__custom_12690636/default/table?lang=en</vt:lpwstr>
      </vt:variant>
      <vt:variant>
        <vt:lpwstr/>
      </vt:variant>
      <vt:variant>
        <vt:i4>4194397</vt:i4>
      </vt:variant>
      <vt:variant>
        <vt:i4>12</vt:i4>
      </vt:variant>
      <vt:variant>
        <vt:i4>0</vt:i4>
      </vt:variant>
      <vt:variant>
        <vt:i4>5</vt:i4>
      </vt:variant>
      <vt:variant>
        <vt:lpwstr>https://op.europa.eu/hr/publication-detail/-/publication/e77ac5d6-bdb0-11ed-8912-01aa75ed71a1/language-hr</vt:lpwstr>
      </vt:variant>
      <vt:variant>
        <vt:lpwstr/>
      </vt:variant>
      <vt:variant>
        <vt:i4>1900575</vt:i4>
      </vt:variant>
      <vt:variant>
        <vt:i4>9</vt:i4>
      </vt:variant>
      <vt:variant>
        <vt:i4>0</vt:i4>
      </vt:variant>
      <vt:variant>
        <vt:i4>5</vt:i4>
      </vt:variant>
      <vt:variant>
        <vt:lpwstr>https://eur-lex.europa.eu/legal-content/HR/TXT/PDF/?uri=CELEX:32022H1220(01)</vt:lpwstr>
      </vt:variant>
      <vt:variant>
        <vt:lpwstr/>
      </vt:variant>
      <vt:variant>
        <vt:i4>7143540</vt:i4>
      </vt:variant>
      <vt:variant>
        <vt:i4>6</vt:i4>
      </vt:variant>
      <vt:variant>
        <vt:i4>0</vt:i4>
      </vt:variant>
      <vt:variant>
        <vt:i4>5</vt:i4>
      </vt:variant>
      <vt:variant>
        <vt:lpwstr>http://publications.europa.eu/resource/celex/32021G0226%2801%29</vt:lpwstr>
      </vt:variant>
      <vt:variant>
        <vt:lpwstr/>
      </vt:variant>
      <vt:variant>
        <vt:i4>4521994</vt:i4>
      </vt:variant>
      <vt:variant>
        <vt:i4>3</vt:i4>
      </vt:variant>
      <vt:variant>
        <vt:i4>0</vt:i4>
      </vt:variant>
      <vt:variant>
        <vt:i4>5</vt:i4>
      </vt:variant>
      <vt:variant>
        <vt:lpwstr>https://ekultura.hr/</vt:lpwstr>
      </vt:variant>
      <vt:variant>
        <vt:lpwstr/>
      </vt:variant>
      <vt:variant>
        <vt:i4>3342382</vt:i4>
      </vt:variant>
      <vt:variant>
        <vt:i4>0</vt:i4>
      </vt:variant>
      <vt:variant>
        <vt:i4>0</vt:i4>
      </vt:variant>
      <vt:variant>
        <vt:i4>5</vt:i4>
      </vt:variant>
      <vt:variant>
        <vt:lpwstr>https://gov.hr/hr/e-konzervatorska-lokacijska-informacija-2507/2507</vt:lpwstr>
      </vt:variant>
      <vt:variant>
        <vt:lpwstr/>
      </vt:variant>
      <vt:variant>
        <vt:i4>2228249</vt:i4>
      </vt:variant>
      <vt:variant>
        <vt:i4>0</vt:i4>
      </vt:variant>
      <vt:variant>
        <vt:i4>0</vt:i4>
      </vt:variant>
      <vt:variant>
        <vt:i4>5</vt:i4>
      </vt:variant>
      <vt:variant>
        <vt:lpwstr>mailto:lnovosel@mrrfeu.hr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 NRS 2030 (2023)</dc:title>
  <dc:subject/>
  <dc:creator>Luka Novosel</dc:creator>
  <cp:keywords>0123</cp:keywords>
  <dc:description/>
  <cp:lastModifiedBy>Sonja Tučkar</cp:lastModifiedBy>
  <cp:revision>3</cp:revision>
  <cp:lastPrinted>2025-03-22T09:43:00Z</cp:lastPrinted>
  <dcterms:created xsi:type="dcterms:W3CDTF">2026-04-09T07:42:00Z</dcterms:created>
  <dcterms:modified xsi:type="dcterms:W3CDTF">2026-04-09T07:44:00Z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0x0101000523CAAC38371245AEFDE3FB1B578B08</vt:lpwstr>
  </property>
  <property fmtid="{D5CDD505-2E9C-101B-9397-08002B2CF9AE}" pid="3" name="MediaServiceImageTags">
    <vt:lpwstr/>
  </property>
  <property fmtid="{D5CDD505-2E9C-101B-9397-08002B2CF9AE}" pid="4" name="_dlc_DocIdItemGuid">
    <vt:lpwstr>67dec286-aac7-46f7-a098-562a2889936e</vt:lpwstr>
  </property>
  <property fmtid="{D5CDD505-2E9C-101B-9397-08002B2CF9AE}" pid="5" name="GrammarlyDocumentId">
    <vt:lpwstr>84c584ffff339e439ad6d570292d64652be2963856ba9adf671ccf4915e831ff</vt:lpwstr>
  </property>
  <property fmtid="{D5CDD505-2E9C-101B-9397-08002B2CF9AE}" pid="6" name="docLang">
    <vt:lpwstr>hr</vt:lpwstr>
  </property>
</Properties>
</file>