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47C7" w14:textId="77777777" w:rsidR="005732EF" w:rsidRPr="00E65BB5" w:rsidRDefault="005732EF" w:rsidP="000A03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895088" w14:textId="54C17EFD" w:rsidR="005732EF" w:rsidRPr="00E65BB5" w:rsidRDefault="005732EF" w:rsidP="005732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E65B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DF0E2B2" wp14:editId="0D35A36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3E3282D" w14:textId="77777777" w:rsidR="005732EF" w:rsidRPr="00E65BB5" w:rsidRDefault="005732EF" w:rsidP="005732E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C893E15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F8FA8" w14:textId="30D9169D" w:rsidR="005732EF" w:rsidRPr="00E65BB5" w:rsidRDefault="005732EF" w:rsidP="005732E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AD55D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C3F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55DD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C3FD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D70CC1" w14:textId="77777777" w:rsidR="005732EF" w:rsidRPr="00E65BB5" w:rsidRDefault="005732EF" w:rsidP="005732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E111118" w14:textId="77777777" w:rsidR="005732EF" w:rsidRPr="00E65BB5" w:rsidRDefault="005732EF" w:rsidP="005732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732EF" w:rsidRPr="00E65BB5" w:rsidSect="005732EF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732EF" w:rsidRPr="00E65BB5" w14:paraId="151307BF" w14:textId="77777777" w:rsidTr="0024465B">
        <w:tc>
          <w:tcPr>
            <w:tcW w:w="1951" w:type="dxa"/>
          </w:tcPr>
          <w:p w14:paraId="4FC99C69" w14:textId="77777777" w:rsidR="005732EF" w:rsidRPr="00E65BB5" w:rsidRDefault="005732EF" w:rsidP="005732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65BB5">
              <w:rPr>
                <w:b/>
                <w:smallCaps/>
                <w:sz w:val="24"/>
                <w:szCs w:val="24"/>
              </w:rPr>
              <w:t>Predlagatelj</w:t>
            </w:r>
            <w:r w:rsidRPr="00E65B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482480F" w14:textId="19AD8BE1" w:rsidR="005732EF" w:rsidRPr="00E65BB5" w:rsidRDefault="005732EF" w:rsidP="005732EF">
            <w:pPr>
              <w:spacing w:line="360" w:lineRule="auto"/>
              <w:rPr>
                <w:sz w:val="24"/>
                <w:szCs w:val="24"/>
              </w:rPr>
            </w:pPr>
            <w:r w:rsidRPr="00E65BB5">
              <w:rPr>
                <w:rFonts w:eastAsia="Calibri"/>
                <w:color w:val="000000" w:themeColor="text1"/>
                <w:sz w:val="24"/>
                <w:szCs w:val="24"/>
              </w:rPr>
              <w:t>Ministarstvo zdravstva</w:t>
            </w:r>
          </w:p>
        </w:tc>
      </w:tr>
    </w:tbl>
    <w:p w14:paraId="161CE8E1" w14:textId="77777777" w:rsidR="005732EF" w:rsidRPr="00E65BB5" w:rsidRDefault="005732EF" w:rsidP="005732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E1EC5F2" w14:textId="77777777" w:rsidR="005732EF" w:rsidRPr="00E65BB5" w:rsidRDefault="005732EF" w:rsidP="005732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732EF" w:rsidRPr="00E65BB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732EF" w:rsidRPr="00E65BB5" w14:paraId="7BA5065D" w14:textId="77777777" w:rsidTr="0024465B">
        <w:tc>
          <w:tcPr>
            <w:tcW w:w="1951" w:type="dxa"/>
          </w:tcPr>
          <w:p w14:paraId="2D9CB653" w14:textId="77777777" w:rsidR="005732EF" w:rsidRPr="00E65BB5" w:rsidRDefault="005732EF" w:rsidP="005732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65BB5">
              <w:rPr>
                <w:b/>
                <w:smallCaps/>
                <w:sz w:val="24"/>
                <w:szCs w:val="24"/>
              </w:rPr>
              <w:t>Predmet</w:t>
            </w:r>
            <w:r w:rsidRPr="00E65B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00B46B8" w14:textId="67FF216A" w:rsidR="005732EF" w:rsidRPr="00E65BB5" w:rsidRDefault="005732EF" w:rsidP="005732EF">
            <w:pPr>
              <w:spacing w:line="360" w:lineRule="auto"/>
              <w:rPr>
                <w:sz w:val="24"/>
                <w:szCs w:val="24"/>
              </w:rPr>
            </w:pPr>
            <w:r w:rsidRPr="00E65BB5">
              <w:rPr>
                <w:rFonts w:eastAsia="Calibri"/>
                <w:color w:val="000000" w:themeColor="text1"/>
                <w:sz w:val="24"/>
                <w:szCs w:val="24"/>
              </w:rPr>
              <w:t xml:space="preserve">Nacrt </w:t>
            </w:r>
            <w:r w:rsidR="00AD55DD">
              <w:rPr>
                <w:rFonts w:eastAsia="Calibri"/>
                <w:color w:val="000000" w:themeColor="text1"/>
                <w:sz w:val="24"/>
                <w:szCs w:val="24"/>
              </w:rPr>
              <w:t>k</w:t>
            </w:r>
            <w:r w:rsidR="00CC3FDE">
              <w:rPr>
                <w:rFonts w:eastAsia="Calibri"/>
                <w:color w:val="000000" w:themeColor="text1"/>
                <w:sz w:val="24"/>
                <w:szCs w:val="24"/>
              </w:rPr>
              <w:t xml:space="preserve">onačnog </w:t>
            </w:r>
            <w:r w:rsidRPr="00E65BB5">
              <w:rPr>
                <w:rFonts w:eastAsia="Calibri"/>
                <w:color w:val="000000" w:themeColor="text1"/>
                <w:sz w:val="24"/>
                <w:szCs w:val="24"/>
              </w:rPr>
              <w:t>prijedloga zakona o izmjenama Z</w:t>
            </w:r>
            <w:r w:rsidRPr="00E65BB5">
              <w:rPr>
                <w:color w:val="000000" w:themeColor="text1"/>
                <w:sz w:val="24"/>
                <w:szCs w:val="24"/>
              </w:rPr>
              <w:t>akona o obeštećenju radnika profesionalno izloženih azbestu</w:t>
            </w:r>
          </w:p>
        </w:tc>
      </w:tr>
    </w:tbl>
    <w:p w14:paraId="04F21201" w14:textId="77777777" w:rsidR="005732EF" w:rsidRPr="00E65BB5" w:rsidRDefault="005732EF" w:rsidP="005732E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5A95959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592E2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0C2FE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F54A69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348A91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4B025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6629F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225E1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732EF" w:rsidRPr="00E65BB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48EBFEE8" w14:textId="77777777" w:rsidR="005732EF" w:rsidRPr="00E65BB5" w:rsidRDefault="005732EF" w:rsidP="005732EF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VLADA REPUBLIKE HRVATSKE</w:t>
      </w:r>
    </w:p>
    <w:p w14:paraId="209EF6C8" w14:textId="77777777" w:rsidR="005732EF" w:rsidRPr="00E65BB5" w:rsidRDefault="005732EF" w:rsidP="005732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00"/>
        </w:rPr>
      </w:pPr>
    </w:p>
    <w:p w14:paraId="459AC6A8" w14:textId="77777777" w:rsidR="00B01594" w:rsidRPr="00E65BB5" w:rsidRDefault="00B01594" w:rsidP="000A03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DC3E74F" w14:textId="77777777" w:rsidR="00B01594" w:rsidRPr="00E65BB5" w:rsidRDefault="00B01594" w:rsidP="000A03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F8D9818" w14:textId="77777777" w:rsidR="00B01594" w:rsidRPr="00E65BB5" w:rsidRDefault="00B01594" w:rsidP="000A03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61094C1" w14:textId="77777777" w:rsidR="00B01594" w:rsidRPr="00E65BB5" w:rsidRDefault="00B01594" w:rsidP="000A03E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NACRT</w:t>
      </w:r>
    </w:p>
    <w:p w14:paraId="35278742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ar-SA"/>
        </w:rPr>
      </w:pPr>
    </w:p>
    <w:p w14:paraId="487CABF8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1DE1D63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11A4610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7FED19F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5BC7357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9A19B62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7D2E314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05E665C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089A712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BDB3A99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463F05A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9086E54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37D9136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338B8D6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D61F140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1710344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796F81C" w14:textId="4712306A" w:rsidR="00B01594" w:rsidRPr="00E65BB5" w:rsidRDefault="00CC3FDE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KONAČNI </w:t>
      </w:r>
      <w:r w:rsidR="00CB3DF0" w:rsidRPr="00E65BB5">
        <w:rPr>
          <w:rFonts w:ascii="Times New Roman" w:eastAsia="Calibri" w:hAnsi="Times New Roman" w:cs="Times New Roman"/>
          <w:b/>
          <w:sz w:val="24"/>
          <w:szCs w:val="24"/>
        </w:rPr>
        <w:t>PRIJEDLOG ZAKONA O IZMJENAMA</w:t>
      </w:r>
      <w:r w:rsidR="00DA4183" w:rsidRPr="00E65BB5">
        <w:rPr>
          <w:rFonts w:ascii="Times New Roman" w:eastAsia="Calibri" w:hAnsi="Times New Roman" w:cs="Times New Roman"/>
          <w:b/>
          <w:sz w:val="24"/>
          <w:szCs w:val="24"/>
        </w:rPr>
        <w:t xml:space="preserve"> Z</w:t>
      </w:r>
      <w:r w:rsidR="00DA4183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AKONA O OBEŠTEĆENJU RADNIKA PROFESIONALNO IZLOŽENIH AZBESTU</w:t>
      </w:r>
    </w:p>
    <w:p w14:paraId="35B90AB0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6DBC47A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37B8F6E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63A297B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0562833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4512889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88CDAED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EB770B1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E6B11CA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C9643E9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BB7E6BB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91B90C3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18D7A5C" w14:textId="77777777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B9BD603" w14:textId="77777777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46E32F1" w14:textId="77777777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2A51926" w14:textId="77777777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2C2993B" w14:textId="73949BB8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726CEF1" w14:textId="16DDB903" w:rsidR="005732EF" w:rsidRPr="00E65BB5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30F6A2D" w14:textId="11692222" w:rsidR="005732EF" w:rsidRPr="00E65BB5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94F2768" w14:textId="3CA764F9" w:rsidR="005732EF" w:rsidRPr="00E65BB5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CD97407" w14:textId="3D452D00" w:rsidR="005732EF" w:rsidRPr="00E65BB5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9B01FE0" w14:textId="758E3C5D" w:rsidR="005732EF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CAEB1CB" w14:textId="04E7BC40" w:rsidR="00E65BB5" w:rsidRDefault="00E65BB5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92D8E55" w14:textId="77777777" w:rsidR="00E65BB5" w:rsidRPr="00E65BB5" w:rsidRDefault="00E65BB5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E6FD2D" w14:textId="269AC840" w:rsidR="00E65BB5" w:rsidRDefault="00CC3FDE" w:rsidP="000A03E8">
      <w:pPr>
        <w:pStyle w:val="Title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E65BB5" w:rsidSect="00E65BB5"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Zagreb, </w:t>
      </w:r>
      <w:r w:rsidR="00AD55D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travanj</w:t>
      </w:r>
      <w:r w:rsidR="00C8164E" w:rsidRPr="00E65BB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805A78" w:rsidRPr="00E65BB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6</w:t>
      </w:r>
      <w:r w:rsidR="00805A78" w:rsidRPr="00E65BB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</w:t>
      </w:r>
    </w:p>
    <w:p w14:paraId="4EF759D4" w14:textId="2DAA13AA" w:rsidR="00DA4183" w:rsidRPr="00E65BB5" w:rsidRDefault="00CC3FDE" w:rsidP="00E65BB5">
      <w:pPr>
        <w:pStyle w:val="Heading1"/>
        <w:spacing w:before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 xml:space="preserve">KONAČNI </w:t>
      </w:r>
      <w:r w:rsidR="00DA4183" w:rsidRPr="00E65BB5">
        <w:rPr>
          <w:rFonts w:ascii="Times New Roman" w:eastAsia="Calibri" w:hAnsi="Times New Roman" w:cs="Times New Roman"/>
          <w:b/>
          <w:color w:val="auto"/>
          <w:sz w:val="24"/>
          <w:szCs w:val="24"/>
        </w:rPr>
        <w:t>PRIJEDLOG ZAKONA O IZMJENAMA</w:t>
      </w:r>
      <w:r w:rsidR="00CB3DF0" w:rsidRPr="00E65BB5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="00DA4183" w:rsidRPr="00E65BB5">
        <w:rPr>
          <w:rFonts w:ascii="Times New Roman" w:eastAsia="Calibri" w:hAnsi="Times New Roman" w:cs="Times New Roman"/>
          <w:b/>
          <w:color w:val="auto"/>
          <w:sz w:val="24"/>
          <w:szCs w:val="24"/>
        </w:rPr>
        <w:t>Z</w:t>
      </w:r>
      <w:r w:rsidR="00DA4183" w:rsidRPr="00E65BB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AKONA O OBEŠTEĆENJU RADNIKA PROFESIONALNO IZLOŽENIH AZBESTU</w:t>
      </w:r>
    </w:p>
    <w:p w14:paraId="079B6046" w14:textId="7A7B586A" w:rsidR="000A03E8" w:rsidRDefault="000A03E8" w:rsidP="00E6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6981F" w14:textId="77777777" w:rsidR="008B3C47" w:rsidRPr="00E65BB5" w:rsidRDefault="008B3C47" w:rsidP="00E6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90EF4" w14:textId="77777777" w:rsidR="00C24D25" w:rsidRPr="00E65BB5" w:rsidRDefault="00C24D25" w:rsidP="00E65BB5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65BB5">
        <w:rPr>
          <w:b/>
        </w:rPr>
        <w:t>Članak 1.</w:t>
      </w:r>
    </w:p>
    <w:p w14:paraId="324FA951" w14:textId="77777777" w:rsidR="000A03E8" w:rsidRPr="00E65BB5" w:rsidRDefault="000A03E8" w:rsidP="00E65BB5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0EB347B5" w14:textId="60434629" w:rsidR="0020771D" w:rsidRPr="00E65BB5" w:rsidRDefault="00F90307" w:rsidP="00E65BB5">
      <w:pPr>
        <w:pStyle w:val="clanak-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5BB5">
        <w:t xml:space="preserve">U Zakonu </w:t>
      </w:r>
      <w:r w:rsidR="0044533C" w:rsidRPr="00E65BB5">
        <w:rPr>
          <w:kern w:val="36"/>
        </w:rPr>
        <w:t xml:space="preserve">o </w:t>
      </w:r>
      <w:r w:rsidR="0044533C" w:rsidRPr="00E65BB5">
        <w:t xml:space="preserve">obeštećenju radnika profesionalno izloženih azbestu </w:t>
      </w:r>
      <w:r w:rsidR="00DD11F2" w:rsidRPr="00E65BB5">
        <w:t>(„</w:t>
      </w:r>
      <w:r w:rsidR="00CF5E36" w:rsidRPr="00E65BB5">
        <w:t>Narodne novine”, br. 79/07</w:t>
      </w:r>
      <w:r w:rsidR="00790981" w:rsidRPr="00E65BB5">
        <w:t>.</w:t>
      </w:r>
      <w:r w:rsidR="00CF5E36" w:rsidRPr="00E65BB5">
        <w:t>, 139/10</w:t>
      </w:r>
      <w:r w:rsidR="00790981" w:rsidRPr="00E65BB5">
        <w:t>.</w:t>
      </w:r>
      <w:r w:rsidR="00CD54F6" w:rsidRPr="00E65BB5">
        <w:t xml:space="preserve"> i</w:t>
      </w:r>
      <w:r w:rsidR="00CF5E36" w:rsidRPr="00E65BB5">
        <w:t xml:space="preserve"> 111/18</w:t>
      </w:r>
      <w:r w:rsidR="00790981" w:rsidRPr="00E65BB5">
        <w:t>.</w:t>
      </w:r>
      <w:r w:rsidR="00CF5E36" w:rsidRPr="00E65BB5">
        <w:t>)</w:t>
      </w:r>
      <w:r w:rsidR="009D31D3" w:rsidRPr="00E65BB5">
        <w:t>,</w:t>
      </w:r>
      <w:r w:rsidR="00CF5E36" w:rsidRPr="00E65BB5">
        <w:t xml:space="preserve"> </w:t>
      </w:r>
      <w:r w:rsidR="00E019CF" w:rsidRPr="00E65BB5">
        <w:t>u</w:t>
      </w:r>
      <w:r w:rsidR="00F04EC0" w:rsidRPr="00E65BB5">
        <w:t xml:space="preserve"> članku </w:t>
      </w:r>
      <w:r w:rsidR="0020771D" w:rsidRPr="00E65BB5">
        <w:t xml:space="preserve">7. </w:t>
      </w:r>
      <w:r w:rsidR="00594FF7" w:rsidRPr="00E65BB5">
        <w:t xml:space="preserve">stavku 1. </w:t>
      </w:r>
      <w:r w:rsidR="001B1AEF">
        <w:t xml:space="preserve">tablica se </w:t>
      </w:r>
      <w:r w:rsidR="0020771D" w:rsidRPr="00E65BB5">
        <w:t>mijenja i glasi:</w:t>
      </w:r>
    </w:p>
    <w:p w14:paraId="747644E6" w14:textId="77777777" w:rsidR="00F962AA" w:rsidRPr="00E65BB5" w:rsidRDefault="00F962AA" w:rsidP="00F962AA">
      <w:pPr>
        <w:pStyle w:val="clanak-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1194"/>
        <w:gridCol w:w="2420"/>
      </w:tblGrid>
      <w:tr w:rsidR="00E65BB5" w:rsidRPr="00E65BB5" w14:paraId="1197E4DD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FE843E" w14:textId="6BC822C0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Bolest/stanje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241703" w14:textId="77777777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93BBC8" w14:textId="77777777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Povećanje</w:t>
            </w: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koeficijenta</w:t>
            </w:r>
          </w:p>
        </w:tc>
      </w:tr>
      <w:tr w:rsidR="00E65BB5" w:rsidRPr="00E65BB5" w14:paraId="5F718EC9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33B9D8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Pleuralni plakovi i difuzna zadebljanja pleure</w:t>
            </w:r>
          </w:p>
          <w:p w14:paraId="5A6D58DA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Kronični pleuralni izljev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F684AE" w14:textId="77777777" w:rsidR="0020771D" w:rsidRPr="00E65BB5" w:rsidRDefault="0020771D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4CC6C1" w14:textId="78946595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0,1 za svakih 10</w:t>
            </w:r>
            <w:r w:rsidR="00534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 oštećenja funkcija</w:t>
            </w:r>
          </w:p>
        </w:tc>
      </w:tr>
      <w:tr w:rsidR="00E65BB5" w:rsidRPr="00E65BB5" w14:paraId="4C6E1DE1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7FA976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Azbestoza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4D1B0" w14:textId="77777777" w:rsidR="0020771D" w:rsidRPr="00E65BB5" w:rsidRDefault="0020771D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3CFACB" w14:textId="700A08A0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0,1 za svakih 10</w:t>
            </w:r>
            <w:r w:rsidR="00534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% oštećenja funkcija </w:t>
            </w:r>
          </w:p>
        </w:tc>
      </w:tr>
      <w:tr w:rsidR="00E65BB5" w:rsidRPr="00E65BB5" w14:paraId="4C399527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D1C4D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Mezoteliom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38E76" w14:textId="77777777" w:rsidR="0020771D" w:rsidRPr="00E65BB5" w:rsidRDefault="0020771D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D328F" w14:textId="77777777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E65BB5" w:rsidRPr="00E65BB5" w14:paraId="3ECF90C7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1BE703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Maligni tumori dišnog sustava (karcinom pluća, bronha i grkljana)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7A42DE" w14:textId="77777777" w:rsidR="0020771D" w:rsidRPr="00E65BB5" w:rsidRDefault="0020771D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2441" w14:textId="77777777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E65BB5" w:rsidRPr="00E65BB5" w14:paraId="46AF750A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200DA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Maligni tumori probavnog sustava (ždrijela, želuca, debelog crijeva i rektuma)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78DE0" w14:textId="77777777" w:rsidR="0020771D" w:rsidRPr="00E65BB5" w:rsidRDefault="00760F13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AACAE" w14:textId="77777777" w:rsidR="0020771D" w:rsidRPr="00E65BB5" w:rsidRDefault="00E206D5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0771D" w:rsidRPr="00E65BB5" w14:paraId="6EE98410" w14:textId="77777777" w:rsidTr="00F654DC">
        <w:trPr>
          <w:trHeight w:val="19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66A71" w14:textId="22ADA2CB" w:rsidR="0020771D" w:rsidRPr="00E65BB5" w:rsidRDefault="003820B4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Maligni tumori jajnika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E3636" w14:textId="5CDF8027" w:rsidR="0020771D" w:rsidRPr="00E65BB5" w:rsidRDefault="003820B4" w:rsidP="000A03E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28232" w14:textId="3D2C20B8" w:rsidR="0020771D" w:rsidRPr="00E65BB5" w:rsidRDefault="003820B4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</w:tbl>
    <w:p w14:paraId="349DB645" w14:textId="182ADEC2" w:rsidR="002870D5" w:rsidRPr="00E65BB5" w:rsidRDefault="002870D5" w:rsidP="00E65BB5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782E97E7" w14:textId="20EEB2F2" w:rsidR="00D53716" w:rsidRPr="00E65BB5" w:rsidRDefault="00D53716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65BB5">
        <w:rPr>
          <w:b/>
        </w:rPr>
        <w:t xml:space="preserve">Članak </w:t>
      </w:r>
      <w:r w:rsidR="00E019CF" w:rsidRPr="00E65BB5">
        <w:rPr>
          <w:b/>
        </w:rPr>
        <w:t>2.</w:t>
      </w:r>
    </w:p>
    <w:p w14:paraId="2E866DE2" w14:textId="77777777" w:rsidR="004707E2" w:rsidRPr="00E65BB5" w:rsidRDefault="004707E2" w:rsidP="00E65BB5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76323F68" w14:textId="0053AF41" w:rsidR="004707E2" w:rsidRPr="00E65BB5" w:rsidRDefault="00857D48" w:rsidP="00E65BB5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5BB5">
        <w:t>U članku 9. stavak 1. mijenja se i glasi:</w:t>
      </w:r>
    </w:p>
    <w:p w14:paraId="00B75D7D" w14:textId="77777777" w:rsidR="00857D48" w:rsidRPr="00E65BB5" w:rsidRDefault="00857D48" w:rsidP="00E65BB5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58A3CAF" w14:textId="7B11C0FB" w:rsidR="00CD54F6" w:rsidRPr="00E65BB5" w:rsidRDefault="00DD11F2" w:rsidP="00E65BB5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</w:pPr>
      <w:r w:rsidRPr="00E65BB5">
        <w:t>„</w:t>
      </w:r>
      <w:r w:rsidR="00857D48" w:rsidRPr="00E65BB5">
        <w:t>Novčane naknade na ime odštetnih zahtjeva isplaćuju se u punom iznosu odmah po pravomoćnosti rješenja Povjerenstva.“</w:t>
      </w:r>
      <w:r w:rsidR="00594FF7" w:rsidRPr="00E65BB5">
        <w:t>.</w:t>
      </w:r>
    </w:p>
    <w:p w14:paraId="73254E9F" w14:textId="5C76BDF1" w:rsidR="00850DD1" w:rsidRPr="00E65BB5" w:rsidRDefault="00850DD1" w:rsidP="00E65BB5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D2B10D2" w14:textId="5B3F4FDE" w:rsidR="00850DD1" w:rsidRPr="00E65BB5" w:rsidRDefault="00AE7647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65BB5">
        <w:rPr>
          <w:b/>
        </w:rPr>
        <w:t>Članak 3.</w:t>
      </w:r>
    </w:p>
    <w:p w14:paraId="26E7EBB7" w14:textId="77777777" w:rsidR="00533623" w:rsidRPr="00E65BB5" w:rsidRDefault="00533623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5C3ADC0" w14:textId="4FDEA888" w:rsidR="00404C7C" w:rsidRPr="00E65BB5" w:rsidRDefault="00404C7C" w:rsidP="00E65BB5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5BB5">
        <w:t>Svi postupci pokrenuti prema Zakonu o obeštećenju radnika profesionalno izloženih</w:t>
      </w:r>
      <w:r w:rsidR="00F654DC" w:rsidRPr="00E65BB5">
        <w:t xml:space="preserve"> </w:t>
      </w:r>
      <w:r w:rsidRPr="00E65BB5">
        <w:t>azbestu („Narodne novine”, br. 79/07</w:t>
      </w:r>
      <w:r w:rsidR="00F654DC" w:rsidRPr="00E65BB5">
        <w:t>.</w:t>
      </w:r>
      <w:r w:rsidRPr="00E65BB5">
        <w:t>, 139/10</w:t>
      </w:r>
      <w:r w:rsidR="00F654DC" w:rsidRPr="00E65BB5">
        <w:t>.</w:t>
      </w:r>
      <w:r w:rsidRPr="00E65BB5">
        <w:t xml:space="preserve"> i 111/18</w:t>
      </w:r>
      <w:r w:rsidR="00F654DC" w:rsidRPr="00E65BB5">
        <w:t>.</w:t>
      </w:r>
      <w:r w:rsidRPr="00E65BB5">
        <w:t>), a ne dovršeni prije stupanja na snagu ovoga Zakona, dovršit će se prema odredbama ovoga Zakona ako je to povoljnije za radnika.</w:t>
      </w:r>
    </w:p>
    <w:p w14:paraId="5A0B43A1" w14:textId="77777777" w:rsidR="009F1377" w:rsidRPr="00E65BB5" w:rsidRDefault="009F1377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D94899B" w14:textId="31646DA1" w:rsidR="007718E6" w:rsidRPr="00E65BB5" w:rsidRDefault="00594FF7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65BB5">
        <w:rPr>
          <w:b/>
        </w:rPr>
        <w:t xml:space="preserve">Članak </w:t>
      </w:r>
      <w:r w:rsidR="00AE7647" w:rsidRPr="00E65BB5">
        <w:rPr>
          <w:b/>
        </w:rPr>
        <w:t>4</w:t>
      </w:r>
      <w:r w:rsidR="007718E6" w:rsidRPr="00E65BB5">
        <w:rPr>
          <w:b/>
        </w:rPr>
        <w:t>.</w:t>
      </w:r>
    </w:p>
    <w:p w14:paraId="466FF446" w14:textId="77777777" w:rsidR="00F6433A" w:rsidRPr="00E65BB5" w:rsidRDefault="00F6433A" w:rsidP="00E65BB5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731A1123" w14:textId="77777777" w:rsidR="004C3D40" w:rsidRPr="00E65BB5" w:rsidRDefault="0068765B" w:rsidP="00E65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3D40" w:rsidRPr="00E65BB5">
        <w:rPr>
          <w:rFonts w:ascii="Times New Roman" w:hAnsi="Times New Roman" w:cs="Times New Roman"/>
          <w:sz w:val="24"/>
          <w:szCs w:val="24"/>
        </w:rPr>
        <w:t>Ovaj Zakon stupa na snagu osmoga dana od dana objave u „Narodnim novinama“.</w:t>
      </w:r>
    </w:p>
    <w:p w14:paraId="35333109" w14:textId="424F2706" w:rsidR="00DD45EC" w:rsidRPr="00E65BB5" w:rsidRDefault="00DD45EC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93A46" w14:textId="587FAAF8" w:rsidR="00DD45EC" w:rsidRPr="00E65BB5" w:rsidRDefault="00DD45EC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25FA8C" w14:textId="77777777" w:rsidR="00CC3FDE" w:rsidRPr="00CC3FDE" w:rsidRDefault="007E67AC" w:rsidP="00CC3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  <w:r w:rsidR="00CC3FDE" w:rsidRPr="00CC3F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 B R A Z L O Ž E N J E</w:t>
      </w:r>
    </w:p>
    <w:p w14:paraId="750993E3" w14:textId="77777777" w:rsidR="00CC3FDE" w:rsidRPr="00CC3FDE" w:rsidRDefault="00CC3FDE" w:rsidP="00CC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7B732A" w14:textId="208FCEE7" w:rsidR="00CC3FDE" w:rsidRPr="00CC3FDE" w:rsidRDefault="00CC3FDE" w:rsidP="00AD55D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3F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RAZLOZI ZBOG KOJIH SE ZAKON DONOSI</w:t>
      </w:r>
    </w:p>
    <w:p w14:paraId="3606A2B0" w14:textId="68DD50DB" w:rsidR="00CC3FDE" w:rsidRDefault="00CC3FDE" w:rsidP="00CC3FDE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D69338" w14:textId="77777777" w:rsidR="00CC3FDE" w:rsidRPr="00CC3FDE" w:rsidRDefault="00CC3FDE" w:rsidP="00CC3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FDE">
        <w:rPr>
          <w:rFonts w:ascii="Times New Roman" w:hAnsi="Times New Roman" w:cs="Times New Roman"/>
          <w:sz w:val="24"/>
          <w:szCs w:val="24"/>
        </w:rPr>
        <w:t xml:space="preserve">Važećim Zakonom </w:t>
      </w:r>
      <w:r w:rsidRPr="00CC3FD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o </w:t>
      </w:r>
      <w:r w:rsidRPr="00CC3FDE">
        <w:rPr>
          <w:rFonts w:ascii="Times New Roman" w:eastAsia="Times New Roman" w:hAnsi="Times New Roman" w:cs="Times New Roman"/>
          <w:sz w:val="24"/>
          <w:szCs w:val="24"/>
          <w:lang w:eastAsia="hr-HR"/>
        </w:rPr>
        <w:t>obeštećenju radnika profesionalno izloženih azbestu</w:t>
      </w:r>
      <w:r w:rsidRPr="00CC3FDE">
        <w:rPr>
          <w:rFonts w:ascii="Times New Roman" w:hAnsi="Times New Roman" w:cs="Times New Roman"/>
          <w:sz w:val="24"/>
          <w:szCs w:val="24"/>
        </w:rPr>
        <w:t xml:space="preserve"> („Narodne novine”, br. </w:t>
      </w:r>
      <w:r w:rsidRPr="00CC3FDE">
        <w:rPr>
          <w:rFonts w:ascii="Times New Roman" w:eastAsia="Times New Roman" w:hAnsi="Times New Roman" w:cs="Times New Roman"/>
          <w:sz w:val="24"/>
          <w:szCs w:val="24"/>
        </w:rPr>
        <w:t>79/07., 139/10. i 111/18.) uređuje se priznavanje odštetnih zahtjeva radnika oboljelih od bolesti uzrokovanih azbestom, postupak i tijelo nadležno za rješavanje odštetnih zahtjeva i osiguranje sredstava za isplatu odštetnih zahtjeva radnika oboljelih od profesionalne bolesti uzrokovane azbestom.</w:t>
      </w:r>
    </w:p>
    <w:p w14:paraId="50DAA808" w14:textId="77777777" w:rsidR="00CC3FDE" w:rsidRPr="00CC3FDE" w:rsidRDefault="00CC3FDE" w:rsidP="00CC3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D08D4" w14:textId="77777777" w:rsidR="00CC3FDE" w:rsidRPr="00CC3FDE" w:rsidRDefault="00CC3FDE" w:rsidP="00CC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DE">
        <w:rPr>
          <w:rFonts w:ascii="Times New Roman" w:hAnsi="Times New Roman" w:cs="Times New Roman"/>
          <w:spacing w:val="-2"/>
          <w:sz w:val="24"/>
          <w:szCs w:val="24"/>
        </w:rPr>
        <w:t>Navedeni Zakon noveliran je u 2010. godini radi provedbe Programa gospodarskog oporavka Vlade Republike Hrvatske i reorganizacije sustava provedbe obveznoga zdravstvenoga osiguranja u Republici Hrvatskoj te u 2018. godini radi provedbe Zaključka o smanjenju broja agencija, zavoda, fondova, trgovačkih društava, instituta, zaklada i drugih pravnih osoba s javnim ovlastima koji je Vlada Republike Hrvatske donijela 2. kolovoza 2018., u svrhu provedbe Nacionalnog programa reformi 2018. godine, prema kojem je od 1. siječnja</w:t>
      </w:r>
      <w:r w:rsidRPr="00CC3FDE">
        <w:rPr>
          <w:rFonts w:ascii="Times New Roman" w:hAnsi="Times New Roman" w:cs="Times New Roman"/>
          <w:sz w:val="24"/>
          <w:szCs w:val="24"/>
        </w:rPr>
        <w:t xml:space="preserve"> 2019. Hrvatski zavod za javno zdravstvo preuzeo obavljanje poslova od Hrvatskog zavoda za zaštitu zdravlja i sigurnost na radu.</w:t>
      </w:r>
    </w:p>
    <w:p w14:paraId="44F8A99F" w14:textId="77777777" w:rsidR="00CC3FDE" w:rsidRPr="00CC3FDE" w:rsidRDefault="00CC3FDE" w:rsidP="00CC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90154D" w14:textId="77777777" w:rsidR="00CC3FDE" w:rsidRPr="00CC3FDE" w:rsidRDefault="00CC3FDE" w:rsidP="00CC3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DE">
        <w:rPr>
          <w:rFonts w:ascii="Times New Roman" w:hAnsi="Times New Roman" w:cs="Times New Roman"/>
          <w:sz w:val="24"/>
          <w:szCs w:val="24"/>
        </w:rPr>
        <w:t>Prijedlogom zakona mijenjaju se odredbe o profesionalnim bolestima uzrokovanim azbestom na način da se dopunjuje popis bolesti za koje je utvrđeno da mogu biti posljedica izloženosti slobodnim vlaknima.</w:t>
      </w:r>
    </w:p>
    <w:p w14:paraId="3C8DEAF6" w14:textId="77777777" w:rsidR="00CC3FDE" w:rsidRPr="00CC3FDE" w:rsidRDefault="00CC3FDE" w:rsidP="00CC3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6E18B1" w14:textId="46EA4A72" w:rsidR="00CC3FDE" w:rsidRPr="00CC3FDE" w:rsidRDefault="00CC3FDE" w:rsidP="00CC3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DE">
        <w:rPr>
          <w:rFonts w:ascii="Times New Roman" w:hAnsi="Times New Roman" w:cs="Times New Roman"/>
          <w:sz w:val="24"/>
          <w:szCs w:val="24"/>
        </w:rPr>
        <w:t xml:space="preserve">Također pojednostavljuje se postupak isplate novčanih naknada predviđanjem isplate cjelokupnog iznosa odmah po pravomoćnosti rješenja Povjerenstva, umjesto obročne isplate kroz tri godine.  </w:t>
      </w:r>
    </w:p>
    <w:p w14:paraId="6B6D9F72" w14:textId="77777777" w:rsidR="00CC3FDE" w:rsidRPr="00CC3FDE" w:rsidRDefault="00CC3FDE" w:rsidP="00CC3FDE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EE24BD" w14:textId="50475053" w:rsidR="00CC3FDE" w:rsidRDefault="00CC3FDE" w:rsidP="00AD55D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77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PITANJA KOJA SE ZAKONOM RJEŠAVAJU</w:t>
      </w:r>
    </w:p>
    <w:p w14:paraId="5AE1635B" w14:textId="77777777" w:rsidR="001749CA" w:rsidRDefault="001749CA" w:rsidP="001749CA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1EA043" w14:textId="12F1ED9E" w:rsidR="001749CA" w:rsidRDefault="001749CA" w:rsidP="0017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9CA">
        <w:rPr>
          <w:rFonts w:ascii="Times New Roman" w:hAnsi="Times New Roman" w:cs="Times New Roman"/>
          <w:sz w:val="24"/>
          <w:szCs w:val="24"/>
        </w:rPr>
        <w:t>Prijedlogom zakona mijenjaju se odredbe o profesionalnim bolestima uzrokovanim azbestom na način da se dopunjuje popis bolesti za koje je utvrđeno da mogu</w:t>
      </w:r>
      <w:r>
        <w:rPr>
          <w:rFonts w:ascii="Times New Roman" w:hAnsi="Times New Roman" w:cs="Times New Roman"/>
          <w:sz w:val="24"/>
          <w:szCs w:val="24"/>
        </w:rPr>
        <w:t xml:space="preserve"> biti posljedica izloženosti slobodnim vlaknima. Ujedno, pojednostavljuje se postupak isplate novčanih naknada predviđanjem isplate cjelokupnog iznosa odmah po pravomoćnosti rješenja Povjerenstva, umjesto obročne isplate kroz tri godine.</w:t>
      </w:r>
    </w:p>
    <w:p w14:paraId="53150983" w14:textId="1EBC6092" w:rsidR="001749CA" w:rsidRPr="001749CA" w:rsidRDefault="001749CA" w:rsidP="0017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predloženog zakona je proširiti popis profesionalnih bolesti koje daju pravo na novčanu naknadu. Izmjenom odredbe o isplati novčanih  naknada skratit će se trajanje postupka isplate te pojednostaviti administrativne procedure, na način da</w:t>
      </w:r>
      <w:r w:rsidR="00E60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 se umjesto obročne isplate kroz tri godine</w:t>
      </w:r>
      <w:r w:rsidR="00E6092E">
        <w:rPr>
          <w:rFonts w:ascii="Times New Roman" w:hAnsi="Times New Roman" w:cs="Times New Roman"/>
          <w:sz w:val="24"/>
          <w:szCs w:val="24"/>
        </w:rPr>
        <w:t>, vršiti isplata cjelokupnog iznosa odmah po pravomoćnosti rješenja Povjerenstva.</w:t>
      </w:r>
    </w:p>
    <w:p w14:paraId="0612A17C" w14:textId="75DEB5CF" w:rsidR="00CC3FDE" w:rsidRDefault="00CC3FDE" w:rsidP="00CC3FDE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0BBAE9" w14:textId="77777777" w:rsidR="00CC3FDE" w:rsidRPr="001B0637" w:rsidRDefault="00CC3FDE" w:rsidP="00CC3FDE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080B8F" w14:textId="25428CF2" w:rsidR="00CC3FDE" w:rsidRDefault="00CC3FDE" w:rsidP="00AD55DD">
      <w:pPr>
        <w:pStyle w:val="ListParagraph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ODREDBI PREDLOŽENOG ZAKONA</w:t>
      </w:r>
    </w:p>
    <w:p w14:paraId="0525EA2C" w14:textId="1FDFABE4" w:rsidR="00CC3FDE" w:rsidRDefault="00CC3FDE" w:rsidP="00CC3FD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97110" w14:textId="77777777" w:rsidR="00CC3FDE" w:rsidRPr="00E65BB5" w:rsidRDefault="00CC3FDE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1.</w:t>
      </w:r>
    </w:p>
    <w:p w14:paraId="3E03228B" w14:textId="77777777" w:rsidR="00CC3FDE" w:rsidRPr="00E65BB5" w:rsidRDefault="00CC3FDE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mijenjaju odredbe o profesionalnim bolestima uzrokovanim azbestom na način da se dopunjuje popis bolesti za koje je utvrđeno da mogu biti posljedica izloženosti slobodnim vlaknima.</w:t>
      </w:r>
    </w:p>
    <w:p w14:paraId="1950FD06" w14:textId="77777777" w:rsidR="00CC3FDE" w:rsidRPr="00E65BB5" w:rsidRDefault="00CC3FDE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FD193" w14:textId="77777777" w:rsidR="00AD55DD" w:rsidRDefault="00AD55DD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224522" w14:textId="77777777" w:rsidR="00AD55DD" w:rsidRDefault="00AD55DD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079071" w14:textId="3087D5CF" w:rsidR="00CC3FDE" w:rsidRPr="00E65BB5" w:rsidRDefault="00CC3FDE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Uz članak 2.</w:t>
      </w:r>
    </w:p>
    <w:p w14:paraId="643D20E8" w14:textId="77777777" w:rsidR="00CC3FDE" w:rsidRPr="00E65BB5" w:rsidRDefault="00CC3FDE" w:rsidP="00CC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člankom, umjesto dosadašnje obveze obročne isplate novčanih naknada, propisuje obveza isplate novčanih naknada u punom iznosu odmah po pravomoćnosti rješenja Povjerenstva. </w:t>
      </w:r>
      <w:r w:rsidRPr="00E65BB5">
        <w:rPr>
          <w:rFonts w:ascii="Times New Roman" w:hAnsi="Times New Roman" w:cs="Times New Roman"/>
          <w:sz w:val="24"/>
          <w:szCs w:val="24"/>
        </w:rPr>
        <w:t xml:space="preserve">Time se osigurava jednako postupanje prema svim korisnicima, ubrzava ostvarenje prava i pojednostavljuje provedba isplate. </w:t>
      </w:r>
    </w:p>
    <w:p w14:paraId="182446AA" w14:textId="77777777" w:rsidR="00CC3FDE" w:rsidRPr="00E65BB5" w:rsidRDefault="00CC3FDE" w:rsidP="00CC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7AE31" w14:textId="77777777" w:rsidR="00CC3FDE" w:rsidRPr="00E65BB5" w:rsidRDefault="00CC3FDE" w:rsidP="00CC3F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Uz članak 3.</w:t>
      </w:r>
    </w:p>
    <w:p w14:paraId="1BA25DC0" w14:textId="77777777" w:rsidR="00CC3FDE" w:rsidRPr="00E65BB5" w:rsidRDefault="00CC3FDE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 utvrđuje da će se svi postupci koji su pokrenuti prema Zakonu o obeštećenju radnika profesionalno izloženih azbestu („Narodne novine”, br. 79/07., 139/10. i 111/18.), a nisu dovršeni prije stupanja na snagu ovoga zakona, dovršiti prema odredbama ovoga zakona ako je to povoljnije za radnika. Naime, ovaj zakon djeluje u korist radnika oboljelih od bolesti uzrokovanih azbestom te bi neprimjena zakona na postupke u tijeku dovela do nejednakog tretmana radnika koji su pretrpjeli istu štetu. </w:t>
      </w:r>
    </w:p>
    <w:p w14:paraId="3EF36152" w14:textId="77777777" w:rsidR="00CC3FDE" w:rsidRPr="00E65BB5" w:rsidRDefault="00CC3FDE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E96713" w14:textId="77777777" w:rsidR="00CC3FDE" w:rsidRPr="00E65BB5" w:rsidRDefault="00CC3FDE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4 .</w:t>
      </w:r>
    </w:p>
    <w:p w14:paraId="62D207A4" w14:textId="0A7D9C7F" w:rsidR="00CC3FDE" w:rsidRPr="00CC3FDE" w:rsidRDefault="00CC3FDE" w:rsidP="00CC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se uređuje stupanje na snagu zakona.</w:t>
      </w:r>
    </w:p>
    <w:p w14:paraId="73521D09" w14:textId="6F8C235B" w:rsidR="00CC3FDE" w:rsidRDefault="00CC3FDE" w:rsidP="00CC3FD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8944A" w14:textId="21A72D14" w:rsidR="00CC3FDE" w:rsidRDefault="00CC3FDE" w:rsidP="00CC3FD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3767A" w14:textId="036A1AA9" w:rsidR="00CC3FDE" w:rsidRDefault="00CC3FDE" w:rsidP="00AD55DD">
      <w:pPr>
        <w:pStyle w:val="ListParagraph"/>
        <w:numPr>
          <w:ilvl w:val="0"/>
          <w:numId w:val="17"/>
        </w:numPr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3F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OCJENA I IZVORI SREDSTAVA POTREBNIH ZA PROVOĐENJE ZAKONA</w:t>
      </w:r>
    </w:p>
    <w:p w14:paraId="37BF4B63" w14:textId="223B9C07" w:rsidR="000E132B" w:rsidRDefault="000E132B" w:rsidP="000E132B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16655C" w14:textId="205C8638" w:rsidR="000E132B" w:rsidRDefault="000E132B" w:rsidP="000E1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3FDE">
        <w:rPr>
          <w:rFonts w:ascii="Times New Roman" w:hAnsi="Times New Roman" w:cs="Times New Roman"/>
          <w:sz w:val="24"/>
          <w:szCs w:val="24"/>
        </w:rPr>
        <w:t xml:space="preserve">Za provođenje ovoga zakona ukupno se procjenjuje da će biti potrebna dodatna financijska sredstva za 2026. godinu u iznosu od 357.370,40 </w:t>
      </w:r>
      <w:r w:rsidR="005136EC">
        <w:rPr>
          <w:rFonts w:ascii="Times New Roman" w:hAnsi="Times New Roman" w:cs="Times New Roman"/>
          <w:sz w:val="24"/>
          <w:szCs w:val="24"/>
        </w:rPr>
        <w:t>eura</w:t>
      </w:r>
      <w:r w:rsidRPr="00CC3FDE">
        <w:rPr>
          <w:rFonts w:ascii="Times New Roman" w:hAnsi="Times New Roman" w:cs="Times New Roman"/>
          <w:sz w:val="24"/>
          <w:szCs w:val="24"/>
        </w:rPr>
        <w:t xml:space="preserve">, za 2027. godinu u iznosu od 268.076,80 </w:t>
      </w:r>
      <w:r w:rsidR="005136EC">
        <w:rPr>
          <w:rFonts w:ascii="Times New Roman" w:hAnsi="Times New Roman" w:cs="Times New Roman"/>
          <w:sz w:val="24"/>
          <w:szCs w:val="24"/>
        </w:rPr>
        <w:t>eura</w:t>
      </w:r>
      <w:r w:rsidRPr="00CC3FDE">
        <w:rPr>
          <w:rFonts w:ascii="Times New Roman" w:hAnsi="Times New Roman" w:cs="Times New Roman"/>
          <w:sz w:val="24"/>
          <w:szCs w:val="24"/>
        </w:rPr>
        <w:t xml:space="preserve"> te za 2028. godinu 178.783,20 </w:t>
      </w:r>
      <w:r w:rsidR="005136EC">
        <w:rPr>
          <w:rFonts w:ascii="Times New Roman" w:hAnsi="Times New Roman" w:cs="Times New Roman"/>
          <w:sz w:val="24"/>
          <w:szCs w:val="24"/>
        </w:rPr>
        <w:t>eura</w:t>
      </w:r>
      <w:r w:rsidRPr="00CC3FDE">
        <w:rPr>
          <w:rFonts w:ascii="Times New Roman" w:hAnsi="Times New Roman" w:cs="Times New Roman"/>
          <w:sz w:val="24"/>
          <w:szCs w:val="24"/>
        </w:rPr>
        <w:t xml:space="preserve">, a koja su osigurana u Financijskom planu Hrvatskog zavoda za zdravstveno osiguranje za 2026. godinu i projekcijama za 2027. i 2028. godinu, na aktivnosti A600018 </w:t>
      </w:r>
      <w:r w:rsidR="00550350">
        <w:rPr>
          <w:rFonts w:ascii="Times New Roman" w:hAnsi="Times New Roman" w:cs="Times New Roman"/>
          <w:sz w:val="24"/>
          <w:szCs w:val="24"/>
        </w:rPr>
        <w:t>- N</w:t>
      </w:r>
      <w:r w:rsidR="00550350" w:rsidRPr="00CC3FDE">
        <w:rPr>
          <w:rFonts w:ascii="Times New Roman" w:hAnsi="Times New Roman" w:cs="Times New Roman"/>
          <w:sz w:val="24"/>
          <w:szCs w:val="24"/>
        </w:rPr>
        <w:t>aknada štete - profesionalne bolesti</w:t>
      </w:r>
      <w:r w:rsidRPr="00CC3FDE">
        <w:rPr>
          <w:rFonts w:ascii="Times New Roman" w:hAnsi="Times New Roman" w:cs="Times New Roman"/>
          <w:sz w:val="24"/>
          <w:szCs w:val="24"/>
        </w:rPr>
        <w:t>.</w:t>
      </w:r>
    </w:p>
    <w:p w14:paraId="421060A0" w14:textId="087DA822" w:rsidR="000E132B" w:rsidRDefault="000E132B" w:rsidP="000E132B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1B4A6E" w14:textId="77777777" w:rsidR="000E132B" w:rsidRDefault="000E132B" w:rsidP="000E132B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24C3FA" w14:textId="37639996" w:rsidR="000E132B" w:rsidRPr="000E132B" w:rsidRDefault="000E132B" w:rsidP="00AD55DD">
      <w:pPr>
        <w:pStyle w:val="ListParagraph"/>
        <w:numPr>
          <w:ilvl w:val="0"/>
          <w:numId w:val="17"/>
        </w:num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E13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RAZLIKE IZMEĐU RJEŠENJA KOJA SE PREDLAŽU KONAČNIM PRIJEDLOGOM ZAKONA U ODNOSU NA RJEŠENJA IZ PRIJEDLOGA ZAKONA TE RAZLOZI ZBOG KOJIH SU </w:t>
      </w:r>
      <w:r w:rsidR="00AD55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 </w:t>
      </w:r>
      <w:r w:rsidRPr="000E13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RAZLIKE NASTALE</w:t>
      </w:r>
    </w:p>
    <w:p w14:paraId="6839BE91" w14:textId="146F3F3C" w:rsidR="003D4A4C" w:rsidRPr="003D4A4C" w:rsidRDefault="003D4A4C" w:rsidP="000E132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D4A4C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tekst Prijedloga zakona koji je prošao prvo čitanje u Hrvatskome saboru, u tekstu Konačnog prijedloga zakona nema razlika.</w:t>
      </w:r>
    </w:p>
    <w:p w14:paraId="42E79D54" w14:textId="77777777" w:rsidR="003D4A4C" w:rsidRDefault="003D4A4C" w:rsidP="003D4A4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45CB478" w14:textId="148B667E" w:rsidR="000E132B" w:rsidRDefault="000E132B" w:rsidP="00AD55DD">
      <w:pPr>
        <w:pStyle w:val="ListParagraph"/>
        <w:numPr>
          <w:ilvl w:val="0"/>
          <w:numId w:val="17"/>
        </w:num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3D3D3E">
        <w:rPr>
          <w:rFonts w:ascii="Times New Roman" w:hAnsi="Times New Roman" w:cs="Times New Roman"/>
          <w:b/>
          <w:sz w:val="24"/>
          <w:szCs w:val="24"/>
        </w:rPr>
        <w:t>PRIJEDLOZI I MIŠLJENJA DANI NA PRIJEDLOG ZAKONA KOJE PREDLAGATELJ NIJE PRIHVATIO, S OBRAZLOŽENJEM</w:t>
      </w:r>
    </w:p>
    <w:p w14:paraId="138434DD" w14:textId="604907DC" w:rsidR="000E132B" w:rsidRPr="00577F8F" w:rsidRDefault="000E132B" w:rsidP="000E132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2893C5" w14:textId="7734AADA" w:rsidR="000E132B" w:rsidRPr="003D3D3E" w:rsidRDefault="000E132B" w:rsidP="000E132B">
      <w:pPr>
        <w:spacing w:after="0" w:line="240" w:lineRule="auto"/>
        <w:ind w:firstLine="708"/>
        <w:jc w:val="both"/>
        <w:rPr>
          <w:rFonts w:ascii="Calibri" w:eastAsia="Times New Roman" w:hAnsi="Calibri" w:cs="Calibri"/>
        </w:rPr>
      </w:pPr>
      <w:r w:rsidRPr="003D3D3E">
        <w:rPr>
          <w:rFonts w:ascii="Times New Roman" w:eastAsia="Times New Roman" w:hAnsi="Times New Roman" w:cs="Times New Roman"/>
          <w:sz w:val="24"/>
          <w:szCs w:val="24"/>
          <w:lang w:eastAsia="hr-HR"/>
        </w:rPr>
        <w:t>U raspravi o Prijedlogu zakona na radnim tijelima Hrvatskog</w:t>
      </w:r>
      <w:r w:rsidR="001D777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bookmarkStart w:id="1" w:name="_GoBack"/>
      <w:bookmarkEnd w:id="1"/>
      <w:r w:rsidRPr="003D3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sabora, kao i u raspravi na sjednici Hrvatskog sabora, nije bilo sadržajnih primjedbi i prijedloga o kojima bi se predlagatelj mogao posebno očitovati. </w:t>
      </w:r>
    </w:p>
    <w:p w14:paraId="60B9D936" w14:textId="77777777" w:rsidR="000E132B" w:rsidRPr="003D3D3E" w:rsidRDefault="000E132B" w:rsidP="000E132B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C186A" w14:textId="45966DFD" w:rsidR="000E132B" w:rsidRDefault="000E132B" w:rsidP="000E132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065A6D" w14:textId="1645419A" w:rsidR="00E22430" w:rsidRDefault="00E22430" w:rsidP="000E132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F26983" w14:textId="5424A9A1" w:rsidR="00E22430" w:rsidRDefault="00E22430" w:rsidP="000E132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8C6F4A" w14:textId="4BBA1C01" w:rsidR="00E22430" w:rsidRDefault="00E22430" w:rsidP="000E132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D126A8" w14:textId="77777777" w:rsidR="00E22430" w:rsidRPr="000E132B" w:rsidRDefault="00E22430" w:rsidP="000E132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6231A1" w14:textId="2BBDC388" w:rsidR="00E22430" w:rsidRDefault="00E22430" w:rsidP="00E22430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TEKST ODREDBI VAŽEĆEG ZAKONA KOJE SE MIJENJAJU </w:t>
      </w:r>
    </w:p>
    <w:p w14:paraId="53093A09" w14:textId="77777777" w:rsidR="00B873BE" w:rsidRDefault="00B873BE" w:rsidP="00E224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FB9AE7" w14:textId="17AFEC4E" w:rsidR="00E22430" w:rsidRPr="00E65BB5" w:rsidRDefault="00E22430" w:rsidP="00E224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14:paraId="137243EC" w14:textId="77777777" w:rsidR="00E22430" w:rsidRPr="00E65BB5" w:rsidRDefault="00E22430" w:rsidP="00E224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1A46A76" w14:textId="77777777" w:rsidR="00E22430" w:rsidRPr="00E65BB5" w:rsidRDefault="00E22430" w:rsidP="00E224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Pravo na novčanu naknadu na temelju odštetnog zahtjeva osoba iz članka 2. i 3. ovoga Zakona ima za profesionalne bolesti prema koeficijentima kako slijedi:</w:t>
      </w:r>
    </w:p>
    <w:p w14:paraId="3B94ED69" w14:textId="77777777" w:rsidR="00E22430" w:rsidRPr="00E65BB5" w:rsidRDefault="00E22430" w:rsidP="00E224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5" w:type="dxa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276"/>
        <w:gridCol w:w="2976"/>
      </w:tblGrid>
      <w:tr w:rsidR="00E22430" w:rsidRPr="00E65BB5" w14:paraId="45C7EE31" w14:textId="77777777" w:rsidTr="00106E2D">
        <w:trPr>
          <w:trHeight w:val="60"/>
        </w:trPr>
        <w:tc>
          <w:tcPr>
            <w:tcW w:w="4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64A5FE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Bolest/stanje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40DABD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Koeficijent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1459DB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Povećanje</w:t>
            </w: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koeficijenta</w:t>
            </w:r>
          </w:p>
        </w:tc>
      </w:tr>
      <w:tr w:rsidR="00E22430" w:rsidRPr="00E65BB5" w14:paraId="4A11B92B" w14:textId="77777777" w:rsidTr="00106E2D">
        <w:trPr>
          <w:trHeight w:val="60"/>
        </w:trPr>
        <w:tc>
          <w:tcPr>
            <w:tcW w:w="4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099A28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Pleuralni plakovi i difuzna zadebljanja pleure</w:t>
            </w:r>
          </w:p>
          <w:p w14:paraId="656BA787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Kronični pleuralni izljev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06CC51" w14:textId="77777777" w:rsidR="00E22430" w:rsidRPr="00E65BB5" w:rsidRDefault="00E22430" w:rsidP="00106E2D">
            <w:pPr>
              <w:spacing w:after="0" w:line="24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D93D4F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0,1 za svakih 10% oštećenja funkcija</w:t>
            </w:r>
          </w:p>
        </w:tc>
      </w:tr>
      <w:tr w:rsidR="00E22430" w:rsidRPr="00E65BB5" w14:paraId="7E41FEF4" w14:textId="77777777" w:rsidTr="00106E2D">
        <w:trPr>
          <w:trHeight w:val="60"/>
        </w:trPr>
        <w:tc>
          <w:tcPr>
            <w:tcW w:w="4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F98CAD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Azbestoza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968B76" w14:textId="77777777" w:rsidR="00E22430" w:rsidRPr="00E65BB5" w:rsidRDefault="00E22430" w:rsidP="00106E2D">
            <w:pPr>
              <w:spacing w:after="0" w:line="24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70F3B3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0,1 za svakih 10% oštećenja funkcija</w:t>
            </w:r>
          </w:p>
        </w:tc>
      </w:tr>
      <w:tr w:rsidR="00E22430" w:rsidRPr="00E65BB5" w14:paraId="3E99F5A5" w14:textId="77777777" w:rsidTr="00106E2D">
        <w:trPr>
          <w:trHeight w:val="60"/>
        </w:trPr>
        <w:tc>
          <w:tcPr>
            <w:tcW w:w="4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DECA41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Karcinom pluća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203F2" w14:textId="77777777" w:rsidR="00E22430" w:rsidRPr="00E65BB5" w:rsidRDefault="00E22430" w:rsidP="00106E2D">
            <w:pPr>
              <w:spacing w:after="0" w:line="24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5E16B6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E22430" w:rsidRPr="00E65BB5" w14:paraId="014FBA34" w14:textId="77777777" w:rsidTr="00106E2D">
        <w:trPr>
          <w:trHeight w:val="60"/>
        </w:trPr>
        <w:tc>
          <w:tcPr>
            <w:tcW w:w="4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719741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Mezoteliom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C46A10" w14:textId="77777777" w:rsidR="00E22430" w:rsidRPr="00E65BB5" w:rsidRDefault="00E22430" w:rsidP="00106E2D">
            <w:pPr>
              <w:spacing w:after="0" w:line="24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25AC4C" w14:textId="77777777" w:rsidR="00E22430" w:rsidRPr="00E65BB5" w:rsidRDefault="00E22430" w:rsidP="00106E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14:paraId="6AA70127" w14:textId="77777777" w:rsidR="00E22430" w:rsidRPr="00E65BB5" w:rsidRDefault="00E22430" w:rsidP="00E224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3E43214" w14:textId="77777777" w:rsidR="00E22430" w:rsidRPr="00E65BB5" w:rsidRDefault="00E22430" w:rsidP="00E224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Vrijednost koeficijenta iznosi pet proračunskih osnovica za godinu u kojoj je podnesen odštetni zahtjev.</w:t>
      </w:r>
    </w:p>
    <w:p w14:paraId="0461E058" w14:textId="77777777" w:rsidR="00E22430" w:rsidRPr="00E65BB5" w:rsidRDefault="00E22430" w:rsidP="00E224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E8307D" w14:textId="77777777" w:rsidR="00E22430" w:rsidRPr="00E65BB5" w:rsidRDefault="00E22430" w:rsidP="00E2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1B98FECF" w14:textId="77777777" w:rsidR="00E22430" w:rsidRPr="00E65BB5" w:rsidRDefault="00E22430" w:rsidP="00E2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4050B" w14:textId="77777777" w:rsidR="00E22430" w:rsidRPr="00E65BB5" w:rsidRDefault="00E22430" w:rsidP="00E2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Novčane naknade na ime odštetnih zahtjeva isplaćuju se obročno kroz razdoblje od tri godine od dana pravomoćnosti rješenja iz članka 6. stavka 1. ovoga Zakona u jednakim polugodišnjim iznosima, osim novčanih naknada radnika pravnih ili fizičkih osoba u stečaju, koji imaju pravo na isplatu punog iznosa novčane naknade odmah po pravomoćnosti rješenja Povjerenstva.</w:t>
      </w:r>
    </w:p>
    <w:p w14:paraId="18F25988" w14:textId="77777777" w:rsidR="00E22430" w:rsidRDefault="00E22430" w:rsidP="00E2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1646A" w14:textId="77777777" w:rsidR="00E22430" w:rsidRPr="00E65BB5" w:rsidRDefault="00E22430" w:rsidP="00E2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Tražbina dospjele novčane naknade koja nije isplaćena zbog smrti osobe kojoj je ista priznata, nasljeđuje se.</w:t>
      </w:r>
    </w:p>
    <w:p w14:paraId="4755FE37" w14:textId="77777777" w:rsidR="00E22430" w:rsidRPr="00E65BB5" w:rsidRDefault="00E22430" w:rsidP="00E224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4FBCB3" w14:textId="77777777" w:rsidR="00E22430" w:rsidRPr="000E132B" w:rsidRDefault="00E22430" w:rsidP="000E132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06EAE0" w14:textId="5E778A8E" w:rsidR="000E132B" w:rsidRDefault="000E132B" w:rsidP="00CC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32B" w:rsidSect="00E65BB5">
      <w:headerReference w:type="defaul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AFCD09" w16cex:dateUtc="2024-10-28T07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9A60" w14:textId="77777777" w:rsidR="001F45AC" w:rsidRDefault="001F45AC" w:rsidP="00BC56FF">
      <w:pPr>
        <w:spacing w:after="0" w:line="240" w:lineRule="auto"/>
      </w:pPr>
      <w:r>
        <w:separator/>
      </w:r>
    </w:p>
  </w:endnote>
  <w:endnote w:type="continuationSeparator" w:id="0">
    <w:p w14:paraId="65611FB8" w14:textId="77777777" w:rsidR="001F45AC" w:rsidRDefault="001F45AC" w:rsidP="00BC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617D" w14:textId="77777777" w:rsidR="005732EF" w:rsidRPr="00990A7E" w:rsidRDefault="005732EF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990A7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5061E" w14:textId="77777777" w:rsidR="00653C0B" w:rsidRPr="00E65BB5" w:rsidRDefault="00653C0B" w:rsidP="00E6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3F202" w14:textId="77777777" w:rsidR="001F45AC" w:rsidRDefault="001F45AC" w:rsidP="00BC56FF">
      <w:pPr>
        <w:spacing w:after="0" w:line="240" w:lineRule="auto"/>
      </w:pPr>
      <w:r>
        <w:separator/>
      </w:r>
    </w:p>
  </w:footnote>
  <w:footnote w:type="continuationSeparator" w:id="0">
    <w:p w14:paraId="0A875711" w14:textId="77777777" w:rsidR="001F45AC" w:rsidRDefault="001F45AC" w:rsidP="00BC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352623113"/>
      <w:docPartObj>
        <w:docPartGallery w:val="Page Numbers (Top of Page)"/>
        <w:docPartUnique/>
      </w:docPartObj>
    </w:sdtPr>
    <w:sdtEndPr/>
    <w:sdtContent>
      <w:p w14:paraId="370001CE" w14:textId="06A8A5C4" w:rsidR="00E65BB5" w:rsidRPr="00E65BB5" w:rsidRDefault="00E65BB5" w:rsidP="00E65BB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5B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5B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5B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24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5B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3EC"/>
    <w:multiLevelType w:val="hybridMultilevel"/>
    <w:tmpl w:val="A260EBA2"/>
    <w:lvl w:ilvl="0" w:tplc="1242BF84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13A"/>
    <w:multiLevelType w:val="hybridMultilevel"/>
    <w:tmpl w:val="8042E634"/>
    <w:lvl w:ilvl="0" w:tplc="DDEC4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3ECA"/>
    <w:multiLevelType w:val="hybridMultilevel"/>
    <w:tmpl w:val="22488056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6558C"/>
    <w:multiLevelType w:val="hybridMultilevel"/>
    <w:tmpl w:val="B10A4F68"/>
    <w:lvl w:ilvl="0" w:tplc="68CE34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E662433"/>
    <w:multiLevelType w:val="hybridMultilevel"/>
    <w:tmpl w:val="EA02E74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1030"/>
    <w:multiLevelType w:val="hybridMultilevel"/>
    <w:tmpl w:val="45DECB9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D18C4"/>
    <w:multiLevelType w:val="hybridMultilevel"/>
    <w:tmpl w:val="8CBA592E"/>
    <w:lvl w:ilvl="0" w:tplc="626413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7ACC"/>
    <w:multiLevelType w:val="hybridMultilevel"/>
    <w:tmpl w:val="2160CE24"/>
    <w:lvl w:ilvl="0" w:tplc="35C6754A">
      <w:start w:val="1"/>
      <w:numFmt w:val="upperRoman"/>
      <w:lvlText w:val="%1."/>
      <w:lvlJc w:val="left"/>
      <w:pPr>
        <w:ind w:left="870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250C3"/>
    <w:multiLevelType w:val="hybridMultilevel"/>
    <w:tmpl w:val="3326A6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F2130"/>
    <w:multiLevelType w:val="hybridMultilevel"/>
    <w:tmpl w:val="DD4A13E0"/>
    <w:lvl w:ilvl="0" w:tplc="65C80660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42E5A"/>
    <w:multiLevelType w:val="hybridMultilevel"/>
    <w:tmpl w:val="0F7C5A04"/>
    <w:lvl w:ilvl="0" w:tplc="E9526D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81C4E"/>
    <w:multiLevelType w:val="hybridMultilevel"/>
    <w:tmpl w:val="A2D41F62"/>
    <w:lvl w:ilvl="0" w:tplc="31E20A32">
      <w:start w:val="1"/>
      <w:numFmt w:val="decimal"/>
      <w:lvlText w:val="(%1)"/>
      <w:lvlJc w:val="left"/>
      <w:pPr>
        <w:ind w:left="744" w:hanging="384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945C9"/>
    <w:multiLevelType w:val="hybridMultilevel"/>
    <w:tmpl w:val="016E5514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857D9C"/>
    <w:multiLevelType w:val="hybridMultilevel"/>
    <w:tmpl w:val="5B46E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B1D7E"/>
    <w:multiLevelType w:val="hybridMultilevel"/>
    <w:tmpl w:val="C058899A"/>
    <w:lvl w:ilvl="0" w:tplc="E562783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B17409"/>
    <w:multiLevelType w:val="hybridMultilevel"/>
    <w:tmpl w:val="1024A786"/>
    <w:lvl w:ilvl="0" w:tplc="A52E5026">
      <w:start w:val="3"/>
      <w:numFmt w:val="bullet"/>
      <w:lvlText w:val="–"/>
      <w:lvlJc w:val="left"/>
      <w:pPr>
        <w:ind w:left="540" w:hanging="18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6"/>
  </w:num>
  <w:num w:numId="10">
    <w:abstractNumId w:val="13"/>
  </w:num>
  <w:num w:numId="11">
    <w:abstractNumId w:val="0"/>
  </w:num>
  <w:num w:numId="12">
    <w:abstractNumId w:val="14"/>
  </w:num>
  <w:num w:numId="13">
    <w:abstractNumId w:val="9"/>
  </w:num>
  <w:num w:numId="14">
    <w:abstractNumId w:val="15"/>
  </w:num>
  <w:num w:numId="15">
    <w:abstractNumId w:val="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F6"/>
    <w:rsid w:val="0000080E"/>
    <w:rsid w:val="00001833"/>
    <w:rsid w:val="000107C0"/>
    <w:rsid w:val="000217F2"/>
    <w:rsid w:val="0002533C"/>
    <w:rsid w:val="000270BE"/>
    <w:rsid w:val="0003015F"/>
    <w:rsid w:val="0003194A"/>
    <w:rsid w:val="00031CA6"/>
    <w:rsid w:val="00032B5C"/>
    <w:rsid w:val="00037D99"/>
    <w:rsid w:val="00046CE1"/>
    <w:rsid w:val="00057382"/>
    <w:rsid w:val="00060F32"/>
    <w:rsid w:val="000659C7"/>
    <w:rsid w:val="00070B0E"/>
    <w:rsid w:val="00072FEC"/>
    <w:rsid w:val="00083115"/>
    <w:rsid w:val="000A03E8"/>
    <w:rsid w:val="000A5D8F"/>
    <w:rsid w:val="000B33F7"/>
    <w:rsid w:val="000D2DA6"/>
    <w:rsid w:val="000D6146"/>
    <w:rsid w:val="000E11BC"/>
    <w:rsid w:val="000E132B"/>
    <w:rsid w:val="000E4268"/>
    <w:rsid w:val="000F07A1"/>
    <w:rsid w:val="000F57E4"/>
    <w:rsid w:val="00100A86"/>
    <w:rsid w:val="00101CC7"/>
    <w:rsid w:val="001112A6"/>
    <w:rsid w:val="001331F3"/>
    <w:rsid w:val="00135069"/>
    <w:rsid w:val="001403B7"/>
    <w:rsid w:val="00142186"/>
    <w:rsid w:val="00152088"/>
    <w:rsid w:val="00152B79"/>
    <w:rsid w:val="001547B4"/>
    <w:rsid w:val="00161BCB"/>
    <w:rsid w:val="00172272"/>
    <w:rsid w:val="001749CA"/>
    <w:rsid w:val="0018154B"/>
    <w:rsid w:val="00190429"/>
    <w:rsid w:val="00191ED5"/>
    <w:rsid w:val="0019505B"/>
    <w:rsid w:val="001A014C"/>
    <w:rsid w:val="001B1AEF"/>
    <w:rsid w:val="001B481C"/>
    <w:rsid w:val="001D2E44"/>
    <w:rsid w:val="001D306F"/>
    <w:rsid w:val="001D3A81"/>
    <w:rsid w:val="001D640F"/>
    <w:rsid w:val="001D777B"/>
    <w:rsid w:val="001E3667"/>
    <w:rsid w:val="001E5E6B"/>
    <w:rsid w:val="001F3D0F"/>
    <w:rsid w:val="001F45AC"/>
    <w:rsid w:val="001F7882"/>
    <w:rsid w:val="0020771D"/>
    <w:rsid w:val="00223C0D"/>
    <w:rsid w:val="0022705E"/>
    <w:rsid w:val="00240830"/>
    <w:rsid w:val="0024589D"/>
    <w:rsid w:val="00254519"/>
    <w:rsid w:val="0025782E"/>
    <w:rsid w:val="00272D56"/>
    <w:rsid w:val="0028041C"/>
    <w:rsid w:val="00283BAB"/>
    <w:rsid w:val="002870D5"/>
    <w:rsid w:val="002A784A"/>
    <w:rsid w:val="002B6F86"/>
    <w:rsid w:val="002D0151"/>
    <w:rsid w:val="002D0355"/>
    <w:rsid w:val="002E2CF1"/>
    <w:rsid w:val="002E6E14"/>
    <w:rsid w:val="002F4576"/>
    <w:rsid w:val="003069CE"/>
    <w:rsid w:val="003176A9"/>
    <w:rsid w:val="0032168D"/>
    <w:rsid w:val="0032173E"/>
    <w:rsid w:val="00330F2A"/>
    <w:rsid w:val="00333046"/>
    <w:rsid w:val="00333A7F"/>
    <w:rsid w:val="00340081"/>
    <w:rsid w:val="0034612A"/>
    <w:rsid w:val="003531A1"/>
    <w:rsid w:val="00370566"/>
    <w:rsid w:val="00370DDE"/>
    <w:rsid w:val="003820B4"/>
    <w:rsid w:val="00384DCE"/>
    <w:rsid w:val="0038663E"/>
    <w:rsid w:val="0039491D"/>
    <w:rsid w:val="0039600D"/>
    <w:rsid w:val="0039651F"/>
    <w:rsid w:val="003A080C"/>
    <w:rsid w:val="003A173D"/>
    <w:rsid w:val="003B4C37"/>
    <w:rsid w:val="003C0501"/>
    <w:rsid w:val="003C65DD"/>
    <w:rsid w:val="003C7DDD"/>
    <w:rsid w:val="003D1F24"/>
    <w:rsid w:val="003D2B94"/>
    <w:rsid w:val="003D3B71"/>
    <w:rsid w:val="003D4A4C"/>
    <w:rsid w:val="003E360C"/>
    <w:rsid w:val="003F660B"/>
    <w:rsid w:val="003F6E6F"/>
    <w:rsid w:val="00404C7C"/>
    <w:rsid w:val="00411091"/>
    <w:rsid w:val="00413615"/>
    <w:rsid w:val="004151E1"/>
    <w:rsid w:val="00415A80"/>
    <w:rsid w:val="00416402"/>
    <w:rsid w:val="00417EFF"/>
    <w:rsid w:val="0042426F"/>
    <w:rsid w:val="00424545"/>
    <w:rsid w:val="0042771E"/>
    <w:rsid w:val="00427A47"/>
    <w:rsid w:val="00431E32"/>
    <w:rsid w:val="0044194C"/>
    <w:rsid w:val="0044533C"/>
    <w:rsid w:val="004542E8"/>
    <w:rsid w:val="004549F8"/>
    <w:rsid w:val="0046261A"/>
    <w:rsid w:val="004707E2"/>
    <w:rsid w:val="004959C2"/>
    <w:rsid w:val="004A5168"/>
    <w:rsid w:val="004A7E50"/>
    <w:rsid w:val="004B276A"/>
    <w:rsid w:val="004B493C"/>
    <w:rsid w:val="004B63BD"/>
    <w:rsid w:val="004B7DCA"/>
    <w:rsid w:val="004C3D40"/>
    <w:rsid w:val="004C5A48"/>
    <w:rsid w:val="004D1498"/>
    <w:rsid w:val="004D3232"/>
    <w:rsid w:val="004D5862"/>
    <w:rsid w:val="004E533E"/>
    <w:rsid w:val="004E5354"/>
    <w:rsid w:val="004F2B51"/>
    <w:rsid w:val="004F6F76"/>
    <w:rsid w:val="0050181B"/>
    <w:rsid w:val="005136EC"/>
    <w:rsid w:val="00533623"/>
    <w:rsid w:val="00534A4C"/>
    <w:rsid w:val="00544221"/>
    <w:rsid w:val="00546FE3"/>
    <w:rsid w:val="00550126"/>
    <w:rsid w:val="00550350"/>
    <w:rsid w:val="005547A7"/>
    <w:rsid w:val="00566FFE"/>
    <w:rsid w:val="00572F51"/>
    <w:rsid w:val="005732EF"/>
    <w:rsid w:val="00582C76"/>
    <w:rsid w:val="00585E53"/>
    <w:rsid w:val="005861A0"/>
    <w:rsid w:val="00586A0A"/>
    <w:rsid w:val="00590BE2"/>
    <w:rsid w:val="00594FF7"/>
    <w:rsid w:val="00597BB8"/>
    <w:rsid w:val="005A0644"/>
    <w:rsid w:val="005A06DB"/>
    <w:rsid w:val="005B5AF0"/>
    <w:rsid w:val="005B75F9"/>
    <w:rsid w:val="005C5301"/>
    <w:rsid w:val="005C7F05"/>
    <w:rsid w:val="005D12AA"/>
    <w:rsid w:val="005F718A"/>
    <w:rsid w:val="006009E2"/>
    <w:rsid w:val="00604CC4"/>
    <w:rsid w:val="00612B3C"/>
    <w:rsid w:val="00615EEF"/>
    <w:rsid w:val="0064045B"/>
    <w:rsid w:val="0064118D"/>
    <w:rsid w:val="006442B0"/>
    <w:rsid w:val="00650A39"/>
    <w:rsid w:val="00650C89"/>
    <w:rsid w:val="00653C0B"/>
    <w:rsid w:val="0066504D"/>
    <w:rsid w:val="006671C5"/>
    <w:rsid w:val="0066790E"/>
    <w:rsid w:val="006728D4"/>
    <w:rsid w:val="006738FB"/>
    <w:rsid w:val="006867B7"/>
    <w:rsid w:val="0068765B"/>
    <w:rsid w:val="006906A1"/>
    <w:rsid w:val="006927EC"/>
    <w:rsid w:val="006945C5"/>
    <w:rsid w:val="006A2775"/>
    <w:rsid w:val="006B3B4C"/>
    <w:rsid w:val="006B70CA"/>
    <w:rsid w:val="006B76CB"/>
    <w:rsid w:val="006C1ECC"/>
    <w:rsid w:val="006C6BAA"/>
    <w:rsid w:val="006D3F0A"/>
    <w:rsid w:val="006E0283"/>
    <w:rsid w:val="006E1E70"/>
    <w:rsid w:val="006E71A0"/>
    <w:rsid w:val="00701928"/>
    <w:rsid w:val="00714A81"/>
    <w:rsid w:val="0072759E"/>
    <w:rsid w:val="00732486"/>
    <w:rsid w:val="00733A15"/>
    <w:rsid w:val="007352EC"/>
    <w:rsid w:val="00740068"/>
    <w:rsid w:val="0074222C"/>
    <w:rsid w:val="00743CD7"/>
    <w:rsid w:val="00754E9D"/>
    <w:rsid w:val="00760F13"/>
    <w:rsid w:val="0076183C"/>
    <w:rsid w:val="0076518D"/>
    <w:rsid w:val="007718E6"/>
    <w:rsid w:val="0077422C"/>
    <w:rsid w:val="007855EF"/>
    <w:rsid w:val="00790981"/>
    <w:rsid w:val="007A43C4"/>
    <w:rsid w:val="007A675A"/>
    <w:rsid w:val="007B3D19"/>
    <w:rsid w:val="007B5725"/>
    <w:rsid w:val="007B6A6E"/>
    <w:rsid w:val="007D0B57"/>
    <w:rsid w:val="007E62CA"/>
    <w:rsid w:val="007E67AC"/>
    <w:rsid w:val="007F56A2"/>
    <w:rsid w:val="007F6675"/>
    <w:rsid w:val="00805A78"/>
    <w:rsid w:val="00810DC7"/>
    <w:rsid w:val="00813488"/>
    <w:rsid w:val="00821929"/>
    <w:rsid w:val="00831F1A"/>
    <w:rsid w:val="0083438B"/>
    <w:rsid w:val="00834ADA"/>
    <w:rsid w:val="00850DD1"/>
    <w:rsid w:val="00857D48"/>
    <w:rsid w:val="00871858"/>
    <w:rsid w:val="0088423C"/>
    <w:rsid w:val="0088443B"/>
    <w:rsid w:val="008851B4"/>
    <w:rsid w:val="008927B8"/>
    <w:rsid w:val="008A218E"/>
    <w:rsid w:val="008A4BFE"/>
    <w:rsid w:val="008B3C47"/>
    <w:rsid w:val="008B3D92"/>
    <w:rsid w:val="008B4A75"/>
    <w:rsid w:val="008B58F4"/>
    <w:rsid w:val="008C215F"/>
    <w:rsid w:val="008C64B8"/>
    <w:rsid w:val="008D5851"/>
    <w:rsid w:val="008F089D"/>
    <w:rsid w:val="008F4934"/>
    <w:rsid w:val="008F5AEC"/>
    <w:rsid w:val="008F6C97"/>
    <w:rsid w:val="00905E0B"/>
    <w:rsid w:val="00922D11"/>
    <w:rsid w:val="00926082"/>
    <w:rsid w:val="0093104D"/>
    <w:rsid w:val="009424B7"/>
    <w:rsid w:val="009456CF"/>
    <w:rsid w:val="00950AFB"/>
    <w:rsid w:val="0095685C"/>
    <w:rsid w:val="009606BA"/>
    <w:rsid w:val="00960B00"/>
    <w:rsid w:val="00964EE1"/>
    <w:rsid w:val="00973E53"/>
    <w:rsid w:val="00986BF8"/>
    <w:rsid w:val="00990A7E"/>
    <w:rsid w:val="00992F46"/>
    <w:rsid w:val="009A0C06"/>
    <w:rsid w:val="009A2104"/>
    <w:rsid w:val="009A2221"/>
    <w:rsid w:val="009A68C2"/>
    <w:rsid w:val="009B6B5A"/>
    <w:rsid w:val="009B70C4"/>
    <w:rsid w:val="009D2052"/>
    <w:rsid w:val="009D31D3"/>
    <w:rsid w:val="009E2D0A"/>
    <w:rsid w:val="009E7F2C"/>
    <w:rsid w:val="009F1377"/>
    <w:rsid w:val="00A02DFC"/>
    <w:rsid w:val="00A16776"/>
    <w:rsid w:val="00A3307D"/>
    <w:rsid w:val="00A45CCC"/>
    <w:rsid w:val="00A52154"/>
    <w:rsid w:val="00A54EF6"/>
    <w:rsid w:val="00A55059"/>
    <w:rsid w:val="00A5618F"/>
    <w:rsid w:val="00A579E0"/>
    <w:rsid w:val="00A60721"/>
    <w:rsid w:val="00A61E9D"/>
    <w:rsid w:val="00A6415D"/>
    <w:rsid w:val="00A64CE3"/>
    <w:rsid w:val="00A64DDB"/>
    <w:rsid w:val="00A65C0E"/>
    <w:rsid w:val="00A665B1"/>
    <w:rsid w:val="00A66739"/>
    <w:rsid w:val="00A70D50"/>
    <w:rsid w:val="00A748A2"/>
    <w:rsid w:val="00A808A2"/>
    <w:rsid w:val="00A8166D"/>
    <w:rsid w:val="00A81C18"/>
    <w:rsid w:val="00A82596"/>
    <w:rsid w:val="00A97636"/>
    <w:rsid w:val="00AA48AF"/>
    <w:rsid w:val="00AA5FB3"/>
    <w:rsid w:val="00AB0BF2"/>
    <w:rsid w:val="00AD0FFA"/>
    <w:rsid w:val="00AD3C51"/>
    <w:rsid w:val="00AD525F"/>
    <w:rsid w:val="00AD55DD"/>
    <w:rsid w:val="00AE67DC"/>
    <w:rsid w:val="00AE7647"/>
    <w:rsid w:val="00AF3C25"/>
    <w:rsid w:val="00B01594"/>
    <w:rsid w:val="00B1236B"/>
    <w:rsid w:val="00B15162"/>
    <w:rsid w:val="00B47D15"/>
    <w:rsid w:val="00B53FEF"/>
    <w:rsid w:val="00B82204"/>
    <w:rsid w:val="00B873BE"/>
    <w:rsid w:val="00B914AE"/>
    <w:rsid w:val="00BA5065"/>
    <w:rsid w:val="00BC56FF"/>
    <w:rsid w:val="00BF1E38"/>
    <w:rsid w:val="00C01441"/>
    <w:rsid w:val="00C13AF7"/>
    <w:rsid w:val="00C17FE2"/>
    <w:rsid w:val="00C20AC9"/>
    <w:rsid w:val="00C21FBC"/>
    <w:rsid w:val="00C24D25"/>
    <w:rsid w:val="00C32B80"/>
    <w:rsid w:val="00C451B0"/>
    <w:rsid w:val="00C47552"/>
    <w:rsid w:val="00C55248"/>
    <w:rsid w:val="00C61C95"/>
    <w:rsid w:val="00C638D4"/>
    <w:rsid w:val="00C8164E"/>
    <w:rsid w:val="00C827DC"/>
    <w:rsid w:val="00CA5704"/>
    <w:rsid w:val="00CB3DF0"/>
    <w:rsid w:val="00CC3FDE"/>
    <w:rsid w:val="00CD0C9E"/>
    <w:rsid w:val="00CD54F6"/>
    <w:rsid w:val="00CD6B81"/>
    <w:rsid w:val="00CE118A"/>
    <w:rsid w:val="00CE1E77"/>
    <w:rsid w:val="00CE30F7"/>
    <w:rsid w:val="00CE3ABF"/>
    <w:rsid w:val="00CE40D3"/>
    <w:rsid w:val="00CE4AEF"/>
    <w:rsid w:val="00CF557A"/>
    <w:rsid w:val="00CF5E36"/>
    <w:rsid w:val="00CF6C02"/>
    <w:rsid w:val="00CF70A0"/>
    <w:rsid w:val="00D04D7F"/>
    <w:rsid w:val="00D12990"/>
    <w:rsid w:val="00D140E8"/>
    <w:rsid w:val="00D15FEA"/>
    <w:rsid w:val="00D4147F"/>
    <w:rsid w:val="00D53716"/>
    <w:rsid w:val="00D734EA"/>
    <w:rsid w:val="00D916B9"/>
    <w:rsid w:val="00D94EDC"/>
    <w:rsid w:val="00DA1BEE"/>
    <w:rsid w:val="00DA4183"/>
    <w:rsid w:val="00DA569B"/>
    <w:rsid w:val="00DA5FBB"/>
    <w:rsid w:val="00DB1DD6"/>
    <w:rsid w:val="00DC3890"/>
    <w:rsid w:val="00DD11F2"/>
    <w:rsid w:val="00DD24F6"/>
    <w:rsid w:val="00DD325F"/>
    <w:rsid w:val="00DD45EC"/>
    <w:rsid w:val="00DD598B"/>
    <w:rsid w:val="00DE30F7"/>
    <w:rsid w:val="00DE5260"/>
    <w:rsid w:val="00E019CF"/>
    <w:rsid w:val="00E0305D"/>
    <w:rsid w:val="00E206D5"/>
    <w:rsid w:val="00E22430"/>
    <w:rsid w:val="00E37423"/>
    <w:rsid w:val="00E5260F"/>
    <w:rsid w:val="00E6092E"/>
    <w:rsid w:val="00E636B3"/>
    <w:rsid w:val="00E645C4"/>
    <w:rsid w:val="00E65BB5"/>
    <w:rsid w:val="00E663CB"/>
    <w:rsid w:val="00E74F22"/>
    <w:rsid w:val="00E837BB"/>
    <w:rsid w:val="00E853BF"/>
    <w:rsid w:val="00E86091"/>
    <w:rsid w:val="00E86D52"/>
    <w:rsid w:val="00E92282"/>
    <w:rsid w:val="00E93A21"/>
    <w:rsid w:val="00EA2CB8"/>
    <w:rsid w:val="00EA4349"/>
    <w:rsid w:val="00EA49DE"/>
    <w:rsid w:val="00EB118E"/>
    <w:rsid w:val="00EC3F7D"/>
    <w:rsid w:val="00EC780D"/>
    <w:rsid w:val="00ED5443"/>
    <w:rsid w:val="00EF3387"/>
    <w:rsid w:val="00EF509A"/>
    <w:rsid w:val="00F00BB5"/>
    <w:rsid w:val="00F04EC0"/>
    <w:rsid w:val="00F10E33"/>
    <w:rsid w:val="00F15582"/>
    <w:rsid w:val="00F27EEE"/>
    <w:rsid w:val="00F30656"/>
    <w:rsid w:val="00F31393"/>
    <w:rsid w:val="00F31CA5"/>
    <w:rsid w:val="00F364E4"/>
    <w:rsid w:val="00F36AA4"/>
    <w:rsid w:val="00F403E1"/>
    <w:rsid w:val="00F44BE9"/>
    <w:rsid w:val="00F45603"/>
    <w:rsid w:val="00F46153"/>
    <w:rsid w:val="00F52DC0"/>
    <w:rsid w:val="00F6433A"/>
    <w:rsid w:val="00F654DC"/>
    <w:rsid w:val="00F747F8"/>
    <w:rsid w:val="00F7570D"/>
    <w:rsid w:val="00F80983"/>
    <w:rsid w:val="00F90307"/>
    <w:rsid w:val="00F93AA2"/>
    <w:rsid w:val="00F962AA"/>
    <w:rsid w:val="00F97565"/>
    <w:rsid w:val="00FA0BD0"/>
    <w:rsid w:val="00FA1751"/>
    <w:rsid w:val="00FA5E88"/>
    <w:rsid w:val="00FA7F1A"/>
    <w:rsid w:val="00FC0DE9"/>
    <w:rsid w:val="00FD2475"/>
    <w:rsid w:val="00FD4758"/>
    <w:rsid w:val="00FD6B0C"/>
    <w:rsid w:val="00FD6E19"/>
    <w:rsid w:val="00FD7EE9"/>
    <w:rsid w:val="00FE05F3"/>
    <w:rsid w:val="00FE4851"/>
    <w:rsid w:val="00FE53FA"/>
    <w:rsid w:val="00FF0DC6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EC59D"/>
  <w15:docId w15:val="{106FDDDD-D6E5-4758-B19A-722CE4C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9CA"/>
  </w:style>
  <w:style w:type="paragraph" w:styleId="Heading1">
    <w:name w:val="heading 1"/>
    <w:basedOn w:val="Normal"/>
    <w:next w:val="Normal"/>
    <w:link w:val="Heading1Char"/>
    <w:uiPriority w:val="9"/>
    <w:qFormat/>
    <w:rsid w:val="00B01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6">
    <w:name w:val="tb-na16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D2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F6"/>
    <w:rPr>
      <w:rFonts w:ascii="Segoe UI" w:hAnsi="Segoe UI" w:cs="Segoe UI"/>
      <w:sz w:val="18"/>
      <w:szCs w:val="18"/>
    </w:rPr>
  </w:style>
  <w:style w:type="paragraph" w:customStyle="1" w:styleId="box471687">
    <w:name w:val="box_471687"/>
    <w:basedOn w:val="Normal"/>
    <w:rsid w:val="00C2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C24D25"/>
  </w:style>
  <w:style w:type="paragraph" w:styleId="Revision">
    <w:name w:val="Revision"/>
    <w:hidden/>
    <w:uiPriority w:val="99"/>
    <w:semiHidden/>
    <w:rsid w:val="00612B3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01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015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15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C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6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C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8bezuvl">
    <w:name w:val="t-98bezuvl"/>
    <w:basedOn w:val="Normal"/>
    <w:rsid w:val="00E8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37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3716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BC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6FF"/>
  </w:style>
  <w:style w:type="paragraph" w:styleId="Footer">
    <w:name w:val="footer"/>
    <w:basedOn w:val="Normal"/>
    <w:link w:val="FooterChar"/>
    <w:uiPriority w:val="99"/>
    <w:unhideWhenUsed/>
    <w:rsid w:val="00BC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6FF"/>
  </w:style>
  <w:style w:type="table" w:styleId="TableGrid">
    <w:name w:val="Table Grid"/>
    <w:basedOn w:val="TableNormal"/>
    <w:rsid w:val="00573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AZJMDCZ6QSYZ-886166611-13454</_dlc_DocId>
    <_dlc_DocIdUrl xmlns="a494813a-d0d8-4dad-94cb-0d196f36ba15">
      <Url>https://ekoordinacije.vlada.hr/unutarnja-ljudska/_layouts/15/DocIdRedir.aspx?ID=AZJMDCZ6QSYZ-886166611-13454</Url>
      <Description>AZJMDCZ6QSYZ-886166611-13454</Description>
    </_dlc_DocIdUrl>
  </documentManagement>
</p:properties>
</file>

<file path=customXml/itemProps1.xml><?xml version="1.0" encoding="utf-8"?>
<ds:datastoreItem xmlns:ds="http://schemas.openxmlformats.org/officeDocument/2006/customXml" ds:itemID="{6C708766-0CB2-4AB2-8218-9B2992187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DF4BE4-BD04-4994-9C02-387E52DC7286}"/>
</file>

<file path=customXml/itemProps3.xml><?xml version="1.0" encoding="utf-8"?>
<ds:datastoreItem xmlns:ds="http://schemas.openxmlformats.org/officeDocument/2006/customXml" ds:itemID="{88856A72-36DE-4E1D-A988-61DAD2665EA5}"/>
</file>

<file path=customXml/itemProps4.xml><?xml version="1.0" encoding="utf-8"?>
<ds:datastoreItem xmlns:ds="http://schemas.openxmlformats.org/officeDocument/2006/customXml" ds:itemID="{61278E6D-1D2F-4A5C-AC6D-F15F30C929AE}"/>
</file>

<file path=customXml/itemProps5.xml><?xml version="1.0" encoding="utf-8"?>
<ds:datastoreItem xmlns:ds="http://schemas.openxmlformats.org/officeDocument/2006/customXml" ds:itemID="{DD34F94A-E2DC-4489-8096-3C686B514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Pašalić Marija</dc:creator>
  <cp:lastModifiedBy>Bernardica Stipić</cp:lastModifiedBy>
  <cp:revision>8</cp:revision>
  <cp:lastPrinted>2025-12-12T06:55:00Z</cp:lastPrinted>
  <dcterms:created xsi:type="dcterms:W3CDTF">2026-03-25T08:20:00Z</dcterms:created>
  <dcterms:modified xsi:type="dcterms:W3CDTF">2026-03-27T10:36:00Z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ac48fec6-4c88-4b8d-aca2-608deb186d26</vt:lpwstr>
  </property>
</Properties>
</file>