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A5581" w14:textId="77777777" w:rsidR="007A3407" w:rsidRDefault="007A3407" w:rsidP="007A3407">
      <w:pPr>
        <w:jc w:val="both"/>
        <w:rPr>
          <w:rFonts w:eastAsia="Times New Roman"/>
          <w:b/>
        </w:rPr>
      </w:pPr>
    </w:p>
    <w:p w14:paraId="55DA5582" w14:textId="77777777" w:rsidR="007A3407" w:rsidRDefault="007A3407" w:rsidP="00C2238C">
      <w:pPr>
        <w:jc w:val="right"/>
        <w:rPr>
          <w:rFonts w:eastAsia="Times New Roman"/>
          <w:b/>
        </w:rPr>
      </w:pPr>
    </w:p>
    <w:p w14:paraId="55DA5583" w14:textId="77777777" w:rsidR="007A3407" w:rsidRPr="007A3407" w:rsidRDefault="007A3407" w:rsidP="007A3407">
      <w:pPr>
        <w:rPr>
          <w:rFonts w:eastAsia="Times New Roman"/>
          <w:sz w:val="20"/>
          <w:szCs w:val="20"/>
          <w:lang w:eastAsia="hr-HR"/>
        </w:rPr>
      </w:pPr>
      <w:r w:rsidRPr="007A3407">
        <w:rPr>
          <w:rFonts w:eastAsia="Times New Roman"/>
          <w:noProof/>
          <w:sz w:val="20"/>
          <w:szCs w:val="20"/>
          <w:lang w:eastAsia="hr-HR"/>
        </w:rPr>
        <w:drawing>
          <wp:inline distT="0" distB="0" distL="0" distR="0" wp14:anchorId="55DA55E8" wp14:editId="1FB1257C">
            <wp:extent cx="504190" cy="6838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A5584" w14:textId="77777777" w:rsidR="007A3407" w:rsidRPr="007A3407" w:rsidRDefault="007A3407" w:rsidP="007A3407">
      <w:pPr>
        <w:spacing w:before="60" w:after="1680"/>
        <w:rPr>
          <w:rFonts w:eastAsia="Times New Roman"/>
          <w:sz w:val="28"/>
          <w:szCs w:val="20"/>
          <w:lang w:eastAsia="hr-HR"/>
        </w:rPr>
      </w:pPr>
      <w:r w:rsidRPr="007A3407">
        <w:rPr>
          <w:rFonts w:eastAsia="Times New Roman"/>
          <w:sz w:val="28"/>
          <w:szCs w:val="20"/>
          <w:lang w:eastAsia="hr-HR"/>
        </w:rPr>
        <w:t>VLADA REPUBLIKE HRVATSKE</w:t>
      </w:r>
    </w:p>
    <w:p w14:paraId="55DA5585" w14:textId="77777777" w:rsidR="007A3407" w:rsidRPr="007A3407" w:rsidRDefault="007A3407" w:rsidP="007A3407">
      <w:pPr>
        <w:jc w:val="both"/>
        <w:rPr>
          <w:rFonts w:eastAsia="Times New Roman"/>
          <w:lang w:eastAsia="hr-HR"/>
        </w:rPr>
      </w:pPr>
    </w:p>
    <w:p w14:paraId="55DA5586" w14:textId="1DC06954" w:rsidR="007A3407" w:rsidRPr="007A3407" w:rsidRDefault="00E9235F" w:rsidP="007A3407">
      <w:pPr>
        <w:jc w:val="right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Zagreb, </w:t>
      </w:r>
      <w:r w:rsidR="007212AF">
        <w:rPr>
          <w:rFonts w:eastAsia="Times New Roman"/>
          <w:lang w:eastAsia="hr-HR"/>
        </w:rPr>
        <w:t xml:space="preserve">30. travnja </w:t>
      </w:r>
      <w:r w:rsidR="005F1F25" w:rsidRPr="00430336">
        <w:rPr>
          <w:rFonts w:eastAsia="Times New Roman"/>
          <w:lang w:eastAsia="hr-HR"/>
        </w:rPr>
        <w:t>202</w:t>
      </w:r>
      <w:r w:rsidR="00BF28C7">
        <w:rPr>
          <w:rFonts w:eastAsia="Times New Roman"/>
          <w:lang w:eastAsia="hr-HR"/>
        </w:rPr>
        <w:t>6</w:t>
      </w:r>
      <w:r w:rsidR="007A3407" w:rsidRPr="00430336">
        <w:rPr>
          <w:rFonts w:eastAsia="Times New Roman"/>
          <w:lang w:eastAsia="hr-HR"/>
        </w:rPr>
        <w:t>.</w:t>
      </w:r>
    </w:p>
    <w:p w14:paraId="55DA5587" w14:textId="77777777" w:rsidR="007A3407" w:rsidRPr="007A3407" w:rsidRDefault="007A3407" w:rsidP="007A3407">
      <w:pPr>
        <w:jc w:val="right"/>
        <w:rPr>
          <w:rFonts w:eastAsia="Times New Roman"/>
          <w:lang w:eastAsia="hr-HR"/>
        </w:rPr>
      </w:pPr>
    </w:p>
    <w:p w14:paraId="55DA5588" w14:textId="77777777" w:rsidR="007A3407" w:rsidRPr="007A3407" w:rsidRDefault="007A3407" w:rsidP="007A3407">
      <w:pPr>
        <w:jc w:val="right"/>
        <w:rPr>
          <w:rFonts w:eastAsia="Times New Roman"/>
          <w:lang w:eastAsia="hr-HR"/>
        </w:rPr>
      </w:pPr>
    </w:p>
    <w:p w14:paraId="55DA5589" w14:textId="77777777" w:rsidR="007A3407" w:rsidRPr="007A3407" w:rsidRDefault="007A3407" w:rsidP="007A3407">
      <w:pPr>
        <w:jc w:val="right"/>
        <w:rPr>
          <w:rFonts w:eastAsia="Times New Roman"/>
          <w:lang w:eastAsia="hr-HR"/>
        </w:rPr>
      </w:pPr>
    </w:p>
    <w:p w14:paraId="55DA558A" w14:textId="77777777" w:rsidR="007A3407" w:rsidRPr="007A3407" w:rsidRDefault="007A3407" w:rsidP="007A3407">
      <w:pPr>
        <w:jc w:val="right"/>
        <w:rPr>
          <w:rFonts w:eastAsia="Times New Roman"/>
          <w:lang w:eastAsia="hr-HR"/>
        </w:rPr>
      </w:pPr>
    </w:p>
    <w:p w14:paraId="55DA558B" w14:textId="77777777" w:rsidR="007A3407" w:rsidRPr="007A3407" w:rsidRDefault="007A3407" w:rsidP="007A3407">
      <w:pPr>
        <w:jc w:val="right"/>
        <w:rPr>
          <w:rFonts w:eastAsia="Times New Roman"/>
          <w:lang w:eastAsia="hr-HR"/>
        </w:rPr>
      </w:pPr>
    </w:p>
    <w:p w14:paraId="55DA558C" w14:textId="77777777" w:rsidR="007A3407" w:rsidRPr="007A3407" w:rsidRDefault="007A3407" w:rsidP="007A3407">
      <w:pPr>
        <w:jc w:val="right"/>
        <w:rPr>
          <w:rFonts w:eastAsia="Times New Roman"/>
          <w:lang w:eastAsia="hr-HR"/>
        </w:rPr>
      </w:pPr>
    </w:p>
    <w:p w14:paraId="55DA558D" w14:textId="77777777" w:rsidR="007A3407" w:rsidRPr="007A3407" w:rsidRDefault="007A3407" w:rsidP="007A3407">
      <w:pPr>
        <w:jc w:val="both"/>
        <w:rPr>
          <w:rFonts w:eastAsia="Times New Roman"/>
          <w:lang w:eastAsia="hr-HR"/>
        </w:rPr>
      </w:pPr>
      <w:r w:rsidRPr="007A3407">
        <w:rPr>
          <w:rFonts w:eastAsia="Times New Roman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2"/>
      </w:tblGrid>
      <w:tr w:rsidR="007A3407" w:rsidRPr="007A3407" w14:paraId="55DA5592" w14:textId="77777777">
        <w:tc>
          <w:tcPr>
            <w:tcW w:w="1951" w:type="dxa"/>
          </w:tcPr>
          <w:p w14:paraId="55DA558E" w14:textId="77777777" w:rsidR="007A3407" w:rsidRPr="007A3407" w:rsidRDefault="007A3407" w:rsidP="007A3407">
            <w:pPr>
              <w:spacing w:line="360" w:lineRule="auto"/>
              <w:jc w:val="right"/>
              <w:rPr>
                <w:rFonts w:eastAsia="Times New Roman"/>
                <w:lang w:eastAsia="hr-HR"/>
              </w:rPr>
            </w:pPr>
          </w:p>
          <w:p w14:paraId="55DA558F" w14:textId="77777777" w:rsidR="007A3407" w:rsidRPr="007A3407" w:rsidRDefault="007A3407" w:rsidP="007A3407">
            <w:pPr>
              <w:spacing w:line="360" w:lineRule="auto"/>
              <w:jc w:val="right"/>
              <w:rPr>
                <w:rFonts w:eastAsia="Times New Roman"/>
                <w:lang w:eastAsia="hr-HR"/>
              </w:rPr>
            </w:pPr>
            <w:r w:rsidRPr="007A3407">
              <w:rPr>
                <w:rFonts w:eastAsia="Times New Roman"/>
                <w:lang w:eastAsia="hr-HR"/>
              </w:rPr>
              <w:t xml:space="preserve"> </w:t>
            </w:r>
            <w:r w:rsidRPr="007A3407">
              <w:rPr>
                <w:rFonts w:eastAsia="Times New Roman"/>
                <w:b/>
                <w:smallCaps/>
                <w:lang w:eastAsia="hr-HR"/>
              </w:rPr>
              <w:t>Predlagatelj</w:t>
            </w:r>
            <w:r w:rsidRPr="007A3407">
              <w:rPr>
                <w:rFonts w:eastAsia="Times New Roman"/>
                <w:b/>
                <w:lang w:eastAsia="hr-HR"/>
              </w:rPr>
              <w:t>:</w:t>
            </w:r>
          </w:p>
        </w:tc>
        <w:tc>
          <w:tcPr>
            <w:tcW w:w="7229" w:type="dxa"/>
          </w:tcPr>
          <w:p w14:paraId="55DA5590" w14:textId="77777777" w:rsidR="007A3407" w:rsidRPr="007A3407" w:rsidRDefault="007A3407" w:rsidP="007A3407">
            <w:pPr>
              <w:spacing w:line="360" w:lineRule="auto"/>
              <w:jc w:val="left"/>
              <w:rPr>
                <w:rFonts w:eastAsia="Times New Roman"/>
                <w:lang w:eastAsia="hr-HR"/>
              </w:rPr>
            </w:pPr>
          </w:p>
          <w:p w14:paraId="55DA5591" w14:textId="77777777" w:rsidR="007A3407" w:rsidRPr="007A3407" w:rsidRDefault="007A3407" w:rsidP="007A3407">
            <w:pPr>
              <w:spacing w:line="360" w:lineRule="auto"/>
              <w:jc w:val="left"/>
              <w:rPr>
                <w:rFonts w:eastAsia="Times New Roman"/>
                <w:lang w:eastAsia="hr-HR"/>
              </w:rPr>
            </w:pPr>
            <w:r w:rsidRPr="007A3407">
              <w:rPr>
                <w:rFonts w:eastAsia="Times New Roman"/>
                <w:lang w:eastAsia="hr-HR"/>
              </w:rPr>
              <w:t>Ministarstvo financija</w:t>
            </w:r>
          </w:p>
        </w:tc>
      </w:tr>
    </w:tbl>
    <w:p w14:paraId="55DA5593" w14:textId="77777777" w:rsidR="007A3407" w:rsidRPr="007A3407" w:rsidRDefault="007A3407" w:rsidP="007A3407">
      <w:pPr>
        <w:jc w:val="both"/>
        <w:rPr>
          <w:rFonts w:eastAsia="Times New Roman"/>
          <w:lang w:eastAsia="hr-HR"/>
        </w:rPr>
      </w:pPr>
      <w:r w:rsidRPr="007A3407">
        <w:rPr>
          <w:rFonts w:eastAsia="Times New Roman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1"/>
      </w:tblGrid>
      <w:tr w:rsidR="007A3407" w:rsidRPr="007A3407" w14:paraId="55DA5599" w14:textId="77777777">
        <w:tc>
          <w:tcPr>
            <w:tcW w:w="1951" w:type="dxa"/>
          </w:tcPr>
          <w:p w14:paraId="55DA5594" w14:textId="77777777" w:rsidR="007A3407" w:rsidRPr="007A3407" w:rsidRDefault="007A3407" w:rsidP="007A3407">
            <w:pPr>
              <w:spacing w:line="360" w:lineRule="auto"/>
              <w:jc w:val="right"/>
              <w:rPr>
                <w:rFonts w:eastAsia="Times New Roman"/>
                <w:b/>
                <w:smallCaps/>
                <w:lang w:eastAsia="hr-HR"/>
              </w:rPr>
            </w:pPr>
          </w:p>
          <w:p w14:paraId="55DA5595" w14:textId="77777777" w:rsidR="007A3407" w:rsidRPr="007A3407" w:rsidRDefault="007A3407" w:rsidP="007A3407">
            <w:pPr>
              <w:spacing w:line="360" w:lineRule="auto"/>
              <w:jc w:val="right"/>
              <w:rPr>
                <w:rFonts w:eastAsia="Times New Roman"/>
                <w:lang w:eastAsia="hr-HR"/>
              </w:rPr>
            </w:pPr>
            <w:r w:rsidRPr="007A3407">
              <w:rPr>
                <w:rFonts w:eastAsia="Times New Roman"/>
                <w:b/>
                <w:smallCaps/>
                <w:lang w:eastAsia="hr-HR"/>
              </w:rPr>
              <w:t>Predmet</w:t>
            </w:r>
            <w:r w:rsidRPr="007A3407">
              <w:rPr>
                <w:rFonts w:eastAsia="Times New Roman"/>
                <w:b/>
                <w:lang w:eastAsia="hr-HR"/>
              </w:rPr>
              <w:t>:</w:t>
            </w:r>
          </w:p>
        </w:tc>
        <w:tc>
          <w:tcPr>
            <w:tcW w:w="7229" w:type="dxa"/>
          </w:tcPr>
          <w:p w14:paraId="55DA5596" w14:textId="77777777" w:rsidR="007A3407" w:rsidRPr="007A3407" w:rsidRDefault="007A3407" w:rsidP="007A3407">
            <w:pPr>
              <w:spacing w:line="360" w:lineRule="auto"/>
              <w:jc w:val="both"/>
              <w:rPr>
                <w:rFonts w:eastAsia="Times New Roman"/>
                <w:lang w:eastAsia="hr-HR"/>
              </w:rPr>
            </w:pPr>
          </w:p>
          <w:p w14:paraId="55DA5598" w14:textId="77FF1053" w:rsidR="007A3407" w:rsidRPr="00E9235F" w:rsidRDefault="00031CA4" w:rsidP="00C706EC">
            <w:pPr>
              <w:jc w:val="both"/>
              <w:rPr>
                <w:rFonts w:eastAsia="Times New Roman"/>
                <w:bCs/>
                <w:szCs w:val="20"/>
              </w:rPr>
            </w:pPr>
            <w:r>
              <w:rPr>
                <w:rFonts w:eastAsia="Times New Roman"/>
                <w:lang w:eastAsia="hr-HR"/>
              </w:rPr>
              <w:t>Prijedlog</w:t>
            </w:r>
            <w:r w:rsidR="000A7C03">
              <w:rPr>
                <w:rFonts w:eastAsia="Times New Roman"/>
                <w:lang w:eastAsia="hr-HR"/>
              </w:rPr>
              <w:t xml:space="preserve"> </w:t>
            </w:r>
            <w:r w:rsidR="00C706EC">
              <w:rPr>
                <w:rFonts w:eastAsia="Times New Roman"/>
                <w:lang w:eastAsia="hr-HR"/>
              </w:rPr>
              <w:t>o</w:t>
            </w:r>
            <w:bookmarkStart w:id="0" w:name="_GoBack"/>
            <w:bookmarkEnd w:id="0"/>
            <w:r w:rsidR="000A7C03">
              <w:rPr>
                <w:rFonts w:eastAsia="Times New Roman"/>
                <w:lang w:eastAsia="hr-HR"/>
              </w:rPr>
              <w:t>dluke</w:t>
            </w:r>
            <w:r w:rsidR="00260F12">
              <w:rPr>
                <w:rFonts w:eastAsia="Times New Roman"/>
                <w:lang w:eastAsia="hr-HR"/>
              </w:rPr>
              <w:t xml:space="preserve"> o davanju ovlasti </w:t>
            </w:r>
            <w:r w:rsidR="00AA2994">
              <w:rPr>
                <w:rFonts w:eastAsia="Times New Roman"/>
                <w:lang w:eastAsia="hr-HR"/>
              </w:rPr>
              <w:t>za</w:t>
            </w:r>
            <w:r w:rsidR="00796E6B">
              <w:rPr>
                <w:rFonts w:eastAsia="Times New Roman"/>
                <w:b/>
                <w:bCs/>
                <w:szCs w:val="20"/>
              </w:rPr>
              <w:t xml:space="preserve"> </w:t>
            </w:r>
            <w:r w:rsidR="00796E6B" w:rsidRPr="00796E6B">
              <w:rPr>
                <w:rFonts w:eastAsia="Times New Roman"/>
                <w:bCs/>
                <w:szCs w:val="20"/>
              </w:rPr>
              <w:t xml:space="preserve">potpisivanje </w:t>
            </w:r>
            <w:r w:rsidR="00E9235F">
              <w:rPr>
                <w:rFonts w:eastAsia="Times New Roman"/>
                <w:bCs/>
                <w:szCs w:val="20"/>
              </w:rPr>
              <w:t>S</w:t>
            </w:r>
            <w:r w:rsidR="00E9235F" w:rsidRPr="00E9235F">
              <w:rPr>
                <w:rFonts w:eastAsia="Times New Roman"/>
                <w:bCs/>
                <w:szCs w:val="20"/>
              </w:rPr>
              <w:t>porazum</w:t>
            </w:r>
            <w:r w:rsidR="00223846">
              <w:rPr>
                <w:rFonts w:eastAsia="Times New Roman"/>
                <w:bCs/>
                <w:szCs w:val="20"/>
              </w:rPr>
              <w:t>a</w:t>
            </w:r>
            <w:r w:rsidR="00E9235F" w:rsidRPr="00E9235F">
              <w:rPr>
                <w:rFonts w:eastAsia="Times New Roman"/>
                <w:bCs/>
                <w:szCs w:val="20"/>
              </w:rPr>
              <w:t xml:space="preserve"> o prijenosu dionica</w:t>
            </w:r>
            <w:r w:rsidR="009E6A36">
              <w:rPr>
                <w:rFonts w:eastAsia="Times New Roman"/>
                <w:bCs/>
                <w:szCs w:val="20"/>
              </w:rPr>
              <w:t xml:space="preserve"> CROATIA BANK</w:t>
            </w:r>
            <w:r w:rsidR="00695AA4">
              <w:rPr>
                <w:rFonts w:eastAsia="Times New Roman"/>
                <w:bCs/>
                <w:szCs w:val="20"/>
              </w:rPr>
              <w:t>E</w:t>
            </w:r>
            <w:r w:rsidR="00B9670A">
              <w:rPr>
                <w:rFonts w:eastAsia="Times New Roman"/>
                <w:bCs/>
                <w:szCs w:val="20"/>
              </w:rPr>
              <w:t xml:space="preserve"> d.d. s Hrvatskom agencijom za osiguranje depozita</w:t>
            </w:r>
          </w:p>
        </w:tc>
      </w:tr>
    </w:tbl>
    <w:p w14:paraId="55DA559A" w14:textId="77777777" w:rsidR="007A3407" w:rsidRPr="007A3407" w:rsidRDefault="007A3407" w:rsidP="007A3407">
      <w:pPr>
        <w:jc w:val="both"/>
        <w:rPr>
          <w:rFonts w:eastAsia="Times New Roman"/>
          <w:lang w:eastAsia="hr-HR"/>
        </w:rPr>
      </w:pPr>
      <w:r w:rsidRPr="007A3407">
        <w:rPr>
          <w:rFonts w:eastAsia="Times New Roman"/>
          <w:lang w:eastAsia="hr-HR"/>
        </w:rPr>
        <w:t>__________________________________________________________________________</w:t>
      </w:r>
    </w:p>
    <w:p w14:paraId="55DA559B" w14:textId="77777777" w:rsidR="007A3407" w:rsidRPr="007A3407" w:rsidRDefault="007A3407" w:rsidP="007A3407">
      <w:pPr>
        <w:jc w:val="both"/>
        <w:rPr>
          <w:rFonts w:eastAsia="Times New Roman"/>
          <w:lang w:eastAsia="hr-HR"/>
        </w:rPr>
      </w:pPr>
    </w:p>
    <w:p w14:paraId="55DA559C" w14:textId="77777777" w:rsidR="007A3407" w:rsidRPr="007A3407" w:rsidRDefault="007A3407" w:rsidP="007A3407">
      <w:pPr>
        <w:jc w:val="both"/>
        <w:rPr>
          <w:rFonts w:eastAsia="Times New Roman"/>
          <w:lang w:eastAsia="hr-HR"/>
        </w:rPr>
      </w:pPr>
    </w:p>
    <w:p w14:paraId="55DA559D" w14:textId="77777777" w:rsidR="007A3407" w:rsidRPr="007A3407" w:rsidRDefault="007A3407" w:rsidP="007A3407">
      <w:pPr>
        <w:jc w:val="both"/>
        <w:rPr>
          <w:rFonts w:eastAsia="Times New Roman"/>
          <w:lang w:eastAsia="hr-HR"/>
        </w:rPr>
      </w:pPr>
    </w:p>
    <w:p w14:paraId="55DA559E" w14:textId="77777777" w:rsidR="007A3407" w:rsidRPr="007A3407" w:rsidRDefault="007A3407" w:rsidP="007A3407">
      <w:pPr>
        <w:jc w:val="both"/>
        <w:rPr>
          <w:rFonts w:eastAsia="Times New Roman"/>
          <w:lang w:eastAsia="hr-HR"/>
        </w:rPr>
      </w:pPr>
    </w:p>
    <w:p w14:paraId="55DA559F" w14:textId="77777777" w:rsidR="007A3407" w:rsidRPr="007A3407" w:rsidRDefault="007A3407" w:rsidP="007A3407">
      <w:pPr>
        <w:jc w:val="both"/>
        <w:rPr>
          <w:rFonts w:eastAsia="Times New Roman"/>
          <w:lang w:eastAsia="hr-HR"/>
        </w:rPr>
      </w:pPr>
    </w:p>
    <w:p w14:paraId="55DA55A0" w14:textId="77777777" w:rsidR="007A3407" w:rsidRPr="007A3407" w:rsidRDefault="007A3407" w:rsidP="007A3407">
      <w:pPr>
        <w:jc w:val="both"/>
        <w:rPr>
          <w:rFonts w:eastAsia="Times New Roman"/>
          <w:lang w:eastAsia="hr-HR"/>
        </w:rPr>
      </w:pPr>
    </w:p>
    <w:p w14:paraId="55DA55A1" w14:textId="77777777" w:rsidR="007A3407" w:rsidRPr="007A3407" w:rsidRDefault="007A3407" w:rsidP="007A3407">
      <w:pPr>
        <w:jc w:val="both"/>
        <w:rPr>
          <w:rFonts w:eastAsia="Times New Roman"/>
          <w:lang w:eastAsia="hr-HR"/>
        </w:rPr>
      </w:pPr>
    </w:p>
    <w:p w14:paraId="55DA55A2" w14:textId="77777777" w:rsidR="007A3407" w:rsidRPr="007A3407" w:rsidRDefault="007A3407" w:rsidP="007A3407">
      <w:pPr>
        <w:jc w:val="both"/>
        <w:rPr>
          <w:rFonts w:eastAsia="Times New Roman"/>
          <w:lang w:eastAsia="hr-HR"/>
        </w:rPr>
      </w:pPr>
    </w:p>
    <w:p w14:paraId="55DA55A3" w14:textId="77777777" w:rsidR="007A3407" w:rsidRPr="007A3407" w:rsidRDefault="007A3407" w:rsidP="007A3407">
      <w:pPr>
        <w:jc w:val="both"/>
        <w:rPr>
          <w:rFonts w:eastAsia="Times New Roman"/>
          <w:lang w:eastAsia="hr-HR"/>
        </w:rPr>
      </w:pPr>
    </w:p>
    <w:p w14:paraId="55DA55A4" w14:textId="77777777" w:rsidR="007A3407" w:rsidRPr="007A3407" w:rsidRDefault="007A3407" w:rsidP="007A3407">
      <w:pPr>
        <w:jc w:val="both"/>
        <w:rPr>
          <w:rFonts w:eastAsia="Times New Roman"/>
          <w:lang w:eastAsia="hr-HR"/>
        </w:rPr>
      </w:pPr>
    </w:p>
    <w:p w14:paraId="55DA55A5" w14:textId="77777777" w:rsidR="007A3407" w:rsidRPr="007A3407" w:rsidRDefault="007A3407" w:rsidP="007A3407">
      <w:pPr>
        <w:tabs>
          <w:tab w:val="center" w:pos="4536"/>
          <w:tab w:val="right" w:pos="9072"/>
        </w:tabs>
        <w:jc w:val="left"/>
        <w:rPr>
          <w:rFonts w:eastAsia="Times New Roman"/>
          <w:sz w:val="20"/>
          <w:szCs w:val="20"/>
          <w:lang w:eastAsia="hr-HR"/>
        </w:rPr>
      </w:pPr>
    </w:p>
    <w:p w14:paraId="55DA55A6" w14:textId="77777777" w:rsidR="007A3407" w:rsidRPr="007A3407" w:rsidRDefault="007A3407" w:rsidP="007A3407">
      <w:pPr>
        <w:jc w:val="left"/>
        <w:rPr>
          <w:rFonts w:eastAsia="Times New Roman"/>
          <w:sz w:val="20"/>
          <w:szCs w:val="20"/>
          <w:lang w:eastAsia="hr-HR"/>
        </w:rPr>
      </w:pPr>
    </w:p>
    <w:p w14:paraId="55DA55A7" w14:textId="77777777" w:rsidR="007A3407" w:rsidRDefault="007A3407" w:rsidP="007A3407">
      <w:pPr>
        <w:pBdr>
          <w:top w:val="single" w:sz="4" w:space="1" w:color="404040"/>
        </w:pBdr>
        <w:tabs>
          <w:tab w:val="center" w:pos="4536"/>
          <w:tab w:val="right" w:pos="9072"/>
        </w:tabs>
        <w:rPr>
          <w:rFonts w:eastAsia="Times New Roman"/>
          <w:color w:val="404040"/>
          <w:spacing w:val="20"/>
          <w:sz w:val="20"/>
          <w:szCs w:val="20"/>
          <w:lang w:eastAsia="hr-HR"/>
        </w:rPr>
      </w:pPr>
      <w:r w:rsidRPr="007A3407">
        <w:rPr>
          <w:rFonts w:eastAsia="Times New Roman"/>
          <w:color w:val="404040"/>
          <w:spacing w:val="20"/>
          <w:sz w:val="20"/>
          <w:szCs w:val="20"/>
          <w:lang w:eastAsia="hr-HR"/>
        </w:rPr>
        <w:t>Banski dvori | Trg Sv. Marka 2  | 10000 Zagreb | tel. 01 4569 222 | vlada.gov.hr</w:t>
      </w:r>
    </w:p>
    <w:p w14:paraId="55DA55A8" w14:textId="77777777" w:rsidR="00134D80" w:rsidRDefault="00134D80" w:rsidP="007A3407">
      <w:pPr>
        <w:pBdr>
          <w:top w:val="single" w:sz="4" w:space="1" w:color="404040"/>
        </w:pBdr>
        <w:tabs>
          <w:tab w:val="center" w:pos="4536"/>
          <w:tab w:val="right" w:pos="9072"/>
        </w:tabs>
        <w:rPr>
          <w:rFonts w:eastAsia="Times New Roman"/>
          <w:color w:val="404040"/>
          <w:spacing w:val="20"/>
          <w:sz w:val="20"/>
          <w:szCs w:val="20"/>
          <w:lang w:eastAsia="hr-HR"/>
        </w:rPr>
      </w:pPr>
    </w:p>
    <w:p w14:paraId="55DA55A9" w14:textId="77777777" w:rsidR="00134D80" w:rsidRDefault="00134D80" w:rsidP="007A3407">
      <w:pPr>
        <w:pBdr>
          <w:top w:val="single" w:sz="4" w:space="1" w:color="404040"/>
        </w:pBdr>
        <w:tabs>
          <w:tab w:val="center" w:pos="4536"/>
          <w:tab w:val="right" w:pos="9072"/>
        </w:tabs>
        <w:rPr>
          <w:rFonts w:eastAsia="Times New Roman"/>
          <w:color w:val="404040"/>
          <w:spacing w:val="20"/>
          <w:sz w:val="20"/>
          <w:szCs w:val="20"/>
          <w:lang w:eastAsia="hr-HR"/>
        </w:rPr>
      </w:pPr>
    </w:p>
    <w:p w14:paraId="55DA55AA" w14:textId="77777777" w:rsidR="00134D80" w:rsidRDefault="00134D80" w:rsidP="007A3407">
      <w:pPr>
        <w:pBdr>
          <w:top w:val="single" w:sz="4" w:space="1" w:color="404040"/>
        </w:pBdr>
        <w:tabs>
          <w:tab w:val="center" w:pos="4536"/>
          <w:tab w:val="right" w:pos="9072"/>
        </w:tabs>
        <w:rPr>
          <w:rFonts w:eastAsia="Times New Roman"/>
          <w:color w:val="404040"/>
          <w:spacing w:val="20"/>
          <w:sz w:val="20"/>
          <w:szCs w:val="20"/>
          <w:lang w:eastAsia="hr-HR"/>
        </w:rPr>
      </w:pPr>
    </w:p>
    <w:p w14:paraId="55DA55AB" w14:textId="164A7F9E" w:rsidR="00134D80" w:rsidRDefault="00134D80" w:rsidP="007A3407">
      <w:pPr>
        <w:pBdr>
          <w:top w:val="single" w:sz="4" w:space="1" w:color="404040"/>
        </w:pBdr>
        <w:tabs>
          <w:tab w:val="center" w:pos="4536"/>
          <w:tab w:val="right" w:pos="9072"/>
        </w:tabs>
        <w:rPr>
          <w:rFonts w:eastAsia="Times New Roman"/>
          <w:color w:val="404040"/>
          <w:spacing w:val="20"/>
          <w:sz w:val="20"/>
          <w:szCs w:val="20"/>
          <w:lang w:eastAsia="hr-HR"/>
        </w:rPr>
      </w:pPr>
    </w:p>
    <w:p w14:paraId="430E981B" w14:textId="21EE1722" w:rsidR="00E9235F" w:rsidRDefault="00E9235F" w:rsidP="007A3407">
      <w:pPr>
        <w:pBdr>
          <w:top w:val="single" w:sz="4" w:space="1" w:color="404040"/>
        </w:pBdr>
        <w:tabs>
          <w:tab w:val="center" w:pos="4536"/>
          <w:tab w:val="right" w:pos="9072"/>
        </w:tabs>
        <w:rPr>
          <w:rFonts w:eastAsia="Times New Roman"/>
          <w:color w:val="404040"/>
          <w:spacing w:val="20"/>
          <w:sz w:val="20"/>
          <w:szCs w:val="20"/>
          <w:lang w:eastAsia="hr-HR"/>
        </w:rPr>
      </w:pPr>
    </w:p>
    <w:p w14:paraId="45FA263A" w14:textId="77777777" w:rsidR="00E9235F" w:rsidRDefault="00E9235F" w:rsidP="007A3407">
      <w:pPr>
        <w:pBdr>
          <w:top w:val="single" w:sz="4" w:space="1" w:color="404040"/>
        </w:pBdr>
        <w:tabs>
          <w:tab w:val="center" w:pos="4536"/>
          <w:tab w:val="right" w:pos="9072"/>
        </w:tabs>
        <w:rPr>
          <w:rFonts w:eastAsia="Times New Roman"/>
          <w:color w:val="404040"/>
          <w:spacing w:val="20"/>
          <w:sz w:val="20"/>
          <w:szCs w:val="20"/>
          <w:lang w:eastAsia="hr-HR"/>
        </w:rPr>
      </w:pPr>
    </w:p>
    <w:p w14:paraId="55DA55AC" w14:textId="77777777" w:rsidR="003F6E4C" w:rsidRPr="007A3407" w:rsidRDefault="003F6E4C" w:rsidP="007A3407">
      <w:pPr>
        <w:pBdr>
          <w:top w:val="single" w:sz="4" w:space="1" w:color="404040"/>
        </w:pBdr>
        <w:tabs>
          <w:tab w:val="center" w:pos="4536"/>
          <w:tab w:val="right" w:pos="9072"/>
        </w:tabs>
        <w:rPr>
          <w:rFonts w:eastAsia="Times New Roman"/>
          <w:color w:val="404040"/>
          <w:spacing w:val="20"/>
          <w:sz w:val="20"/>
          <w:szCs w:val="20"/>
          <w:lang w:eastAsia="hr-HR"/>
        </w:rPr>
      </w:pPr>
    </w:p>
    <w:p w14:paraId="5F79E61F" w14:textId="77777777" w:rsidR="008F0E89" w:rsidRDefault="008F0E89" w:rsidP="00C2238C">
      <w:pPr>
        <w:jc w:val="right"/>
        <w:rPr>
          <w:rFonts w:eastAsia="Times New Roman"/>
          <w:b/>
        </w:rPr>
      </w:pPr>
    </w:p>
    <w:p w14:paraId="55DA55AD" w14:textId="3D5E2338" w:rsidR="00C2238C" w:rsidRPr="00C2238C" w:rsidRDefault="00C2238C" w:rsidP="00C2238C">
      <w:pPr>
        <w:jc w:val="right"/>
        <w:rPr>
          <w:rFonts w:eastAsia="Times New Roman"/>
          <w:b/>
        </w:rPr>
      </w:pPr>
      <w:r w:rsidRPr="00C2238C">
        <w:rPr>
          <w:rFonts w:eastAsia="Times New Roman"/>
          <w:b/>
        </w:rPr>
        <w:t>PRIJEDLOG</w:t>
      </w:r>
    </w:p>
    <w:p w14:paraId="55DA55AE" w14:textId="77777777" w:rsidR="001D264D" w:rsidRDefault="001D264D" w:rsidP="00C2238C">
      <w:pPr>
        <w:jc w:val="both"/>
        <w:rPr>
          <w:rFonts w:eastAsia="Times New Roman"/>
        </w:rPr>
      </w:pPr>
    </w:p>
    <w:p w14:paraId="55DA55B0" w14:textId="7530A02C" w:rsidR="00C2238C" w:rsidRPr="00C2238C" w:rsidRDefault="00C2238C" w:rsidP="00BC7FD2">
      <w:pPr>
        <w:ind w:firstLine="708"/>
        <w:jc w:val="both"/>
        <w:rPr>
          <w:rFonts w:eastAsia="Times New Roman"/>
        </w:rPr>
      </w:pPr>
      <w:r w:rsidRPr="00C2238C">
        <w:rPr>
          <w:rFonts w:eastAsia="Times New Roman"/>
        </w:rPr>
        <w:t>Na temelju članka 31. stavka 2. Zakona o Vladi Republike Hrvatske (</w:t>
      </w:r>
      <w:r w:rsidR="00E9235F">
        <w:rPr>
          <w:rFonts w:eastAsia="Times New Roman"/>
        </w:rPr>
        <w:t>„</w:t>
      </w:r>
      <w:r w:rsidRPr="00C2238C">
        <w:rPr>
          <w:rFonts w:eastAsia="Times New Roman"/>
        </w:rPr>
        <w:t>Narodne novine</w:t>
      </w:r>
      <w:r w:rsidR="00E9235F">
        <w:rPr>
          <w:rFonts w:eastAsia="Times New Roman"/>
        </w:rPr>
        <w:t>“</w:t>
      </w:r>
      <w:r w:rsidRPr="00C2238C">
        <w:rPr>
          <w:rFonts w:eastAsia="Times New Roman"/>
        </w:rPr>
        <w:t xml:space="preserve">, br. </w:t>
      </w:r>
      <w:r w:rsidR="00BC7FD2">
        <w:rPr>
          <w:rFonts w:eastAsia="Times New Roman"/>
        </w:rPr>
        <w:t>150/11</w:t>
      </w:r>
      <w:r w:rsidR="00E9235F">
        <w:rPr>
          <w:rFonts w:eastAsia="Times New Roman"/>
        </w:rPr>
        <w:t>.</w:t>
      </w:r>
      <w:r w:rsidR="00BC7FD2">
        <w:rPr>
          <w:rFonts w:eastAsia="Times New Roman"/>
        </w:rPr>
        <w:t>, 119/14</w:t>
      </w:r>
      <w:r w:rsidR="00E9235F">
        <w:rPr>
          <w:rFonts w:eastAsia="Times New Roman"/>
        </w:rPr>
        <w:t>.</w:t>
      </w:r>
      <w:r w:rsidR="00BC7FD2">
        <w:rPr>
          <w:rFonts w:eastAsia="Times New Roman"/>
        </w:rPr>
        <w:t>, 93/16</w:t>
      </w:r>
      <w:r w:rsidR="00E9235F">
        <w:rPr>
          <w:rFonts w:eastAsia="Times New Roman"/>
        </w:rPr>
        <w:t>.</w:t>
      </w:r>
      <w:r w:rsidR="007739C8">
        <w:rPr>
          <w:rFonts w:eastAsia="Times New Roman"/>
        </w:rPr>
        <w:t xml:space="preserve">, </w:t>
      </w:r>
      <w:r w:rsidR="00BC7FD2" w:rsidRPr="00BC7FD2">
        <w:rPr>
          <w:rFonts w:eastAsia="Times New Roman"/>
        </w:rPr>
        <w:t>116/18</w:t>
      </w:r>
      <w:r w:rsidR="00E9235F">
        <w:rPr>
          <w:rFonts w:eastAsia="Times New Roman"/>
        </w:rPr>
        <w:t>.,</w:t>
      </w:r>
      <w:r w:rsidR="00E9235F" w:rsidRPr="00E9235F">
        <w:rPr>
          <w:rFonts w:eastAsia="Times New Roman"/>
        </w:rPr>
        <w:t xml:space="preserve"> 80/22. i 78/24.)</w:t>
      </w:r>
      <w:r w:rsidRPr="00C2238C">
        <w:rPr>
          <w:rFonts w:eastAsia="Times New Roman"/>
        </w:rPr>
        <w:t xml:space="preserve">, a u vezi s </w:t>
      </w:r>
      <w:r w:rsidR="00AD3DE2">
        <w:rPr>
          <w:rFonts w:eastAsia="Times New Roman"/>
        </w:rPr>
        <w:t xml:space="preserve">člankom 77. </w:t>
      </w:r>
      <w:r w:rsidR="005227FF" w:rsidRPr="005227FF">
        <w:rPr>
          <w:rFonts w:eastAsia="Times New Roman"/>
        </w:rPr>
        <w:t>Zakon</w:t>
      </w:r>
      <w:r w:rsidR="00AD3DE2">
        <w:rPr>
          <w:rFonts w:eastAsia="Times New Roman"/>
        </w:rPr>
        <w:t>a</w:t>
      </w:r>
      <w:r w:rsidR="005227FF" w:rsidRPr="005227FF">
        <w:rPr>
          <w:rFonts w:eastAsia="Times New Roman"/>
        </w:rPr>
        <w:t xml:space="preserve"> o </w:t>
      </w:r>
      <w:r w:rsidR="00E9235F">
        <w:rPr>
          <w:rFonts w:eastAsia="Times New Roman"/>
        </w:rPr>
        <w:t>pravnim osobama u vlasništvu Republike Hrvatske („Narodne novine“</w:t>
      </w:r>
      <w:r w:rsidR="0088029C">
        <w:rPr>
          <w:rFonts w:eastAsia="Times New Roman"/>
        </w:rPr>
        <w:t xml:space="preserve">, </w:t>
      </w:r>
      <w:r w:rsidR="00E9235F">
        <w:rPr>
          <w:rFonts w:eastAsia="Times New Roman"/>
        </w:rPr>
        <w:t>br</w:t>
      </w:r>
      <w:r w:rsidR="00D72681">
        <w:rPr>
          <w:rFonts w:eastAsia="Times New Roman"/>
        </w:rPr>
        <w:t>.</w:t>
      </w:r>
      <w:r w:rsidR="00E9235F">
        <w:rPr>
          <w:rFonts w:eastAsia="Times New Roman"/>
        </w:rPr>
        <w:t xml:space="preserve"> </w:t>
      </w:r>
      <w:r w:rsidR="00AD3DE2">
        <w:rPr>
          <w:rFonts w:eastAsia="Times New Roman"/>
        </w:rPr>
        <w:t>102/25</w:t>
      </w:r>
      <w:r w:rsidR="007739C8">
        <w:rPr>
          <w:rFonts w:eastAsia="Times New Roman"/>
        </w:rPr>
        <w:t>.</w:t>
      </w:r>
      <w:r w:rsidR="00E9235F">
        <w:rPr>
          <w:rFonts w:eastAsia="Times New Roman"/>
        </w:rPr>
        <w:t>)</w:t>
      </w:r>
      <w:r w:rsidR="00134D80">
        <w:rPr>
          <w:rFonts w:eastAsia="Times New Roman"/>
        </w:rPr>
        <w:t>,</w:t>
      </w:r>
      <w:r w:rsidR="00BC7FD2">
        <w:rPr>
          <w:rFonts w:eastAsia="Times New Roman"/>
        </w:rPr>
        <w:t xml:space="preserve"> </w:t>
      </w:r>
      <w:r w:rsidRPr="00C2238C">
        <w:rPr>
          <w:rFonts w:eastAsia="Times New Roman"/>
        </w:rPr>
        <w:t>Vlada Republike Hrvatske je na sjednici održanoj</w:t>
      </w:r>
      <w:r w:rsidR="000E1AE3">
        <w:rPr>
          <w:rFonts w:eastAsia="Times New Roman"/>
          <w:u w:val="single"/>
        </w:rPr>
        <w:t xml:space="preserve">                   </w:t>
      </w:r>
      <w:r w:rsidR="00284B35" w:rsidRPr="00284B35">
        <w:rPr>
          <w:rFonts w:eastAsia="Times New Roman"/>
        </w:rPr>
        <w:t xml:space="preserve"> </w:t>
      </w:r>
      <w:r w:rsidR="005F1F25">
        <w:rPr>
          <w:rFonts w:eastAsia="Times New Roman"/>
        </w:rPr>
        <w:t>202</w:t>
      </w:r>
      <w:r w:rsidR="00932B3D">
        <w:rPr>
          <w:rFonts w:eastAsia="Times New Roman"/>
        </w:rPr>
        <w:t>6</w:t>
      </w:r>
      <w:r w:rsidRPr="00C2238C">
        <w:rPr>
          <w:rFonts w:eastAsia="Times New Roman"/>
        </w:rPr>
        <w:t>. godine donijela</w:t>
      </w:r>
    </w:p>
    <w:p w14:paraId="55DA55B4" w14:textId="0D54822E" w:rsidR="00AF68B1" w:rsidRPr="00C2238C" w:rsidRDefault="00AF68B1" w:rsidP="004C666F">
      <w:pPr>
        <w:rPr>
          <w:rFonts w:eastAsia="Times New Roman"/>
        </w:rPr>
      </w:pPr>
    </w:p>
    <w:p w14:paraId="55DA55B5" w14:textId="77777777" w:rsidR="00C2238C" w:rsidRPr="00C2238C" w:rsidRDefault="00C2238C" w:rsidP="00C2238C">
      <w:pPr>
        <w:rPr>
          <w:rFonts w:eastAsia="Times New Roman"/>
          <w:b/>
          <w:lang w:eastAsia="hr-HR"/>
        </w:rPr>
      </w:pPr>
      <w:r w:rsidRPr="00C2238C">
        <w:rPr>
          <w:rFonts w:eastAsia="Times New Roman"/>
          <w:b/>
          <w:lang w:eastAsia="hr-HR"/>
        </w:rPr>
        <w:t>O D L U K U</w:t>
      </w:r>
    </w:p>
    <w:p w14:paraId="55DA55B6" w14:textId="77777777" w:rsidR="00C2238C" w:rsidRPr="00C2238C" w:rsidRDefault="00C2238C" w:rsidP="00C2238C">
      <w:pPr>
        <w:rPr>
          <w:rFonts w:eastAsia="Times New Roman"/>
          <w:b/>
          <w:lang w:eastAsia="hr-HR"/>
        </w:rPr>
      </w:pPr>
    </w:p>
    <w:p w14:paraId="55DA55B7" w14:textId="5B5AE64A" w:rsidR="00C2238C" w:rsidRPr="0061790E" w:rsidRDefault="00C2238C" w:rsidP="00B9670A">
      <w:pPr>
        <w:rPr>
          <w:rFonts w:eastAsia="Times New Roman"/>
          <w:b/>
        </w:rPr>
      </w:pPr>
      <w:r w:rsidRPr="00C2238C">
        <w:rPr>
          <w:rFonts w:eastAsia="Times New Roman"/>
          <w:b/>
        </w:rPr>
        <w:t xml:space="preserve">o davanju </w:t>
      </w:r>
      <w:r w:rsidRPr="00C2238C">
        <w:rPr>
          <w:rFonts w:eastAsia="Times New Roman"/>
          <w:b/>
          <w:bCs/>
          <w:szCs w:val="20"/>
        </w:rPr>
        <w:t>ovlasti</w:t>
      </w:r>
      <w:r w:rsidR="00C10392">
        <w:rPr>
          <w:rFonts w:eastAsia="Times New Roman"/>
          <w:b/>
          <w:bCs/>
          <w:szCs w:val="20"/>
        </w:rPr>
        <w:t xml:space="preserve"> </w:t>
      </w:r>
      <w:r w:rsidRPr="00C2238C">
        <w:rPr>
          <w:rFonts w:eastAsia="Times New Roman"/>
          <w:b/>
          <w:bCs/>
          <w:szCs w:val="20"/>
        </w:rPr>
        <w:t xml:space="preserve">za </w:t>
      </w:r>
      <w:r w:rsidR="00F8672E">
        <w:rPr>
          <w:rFonts w:eastAsia="Times New Roman"/>
          <w:b/>
          <w:bCs/>
          <w:szCs w:val="20"/>
        </w:rPr>
        <w:t xml:space="preserve">potpisivanje </w:t>
      </w:r>
      <w:r w:rsidR="002742C8">
        <w:rPr>
          <w:rFonts w:eastAsia="Times New Roman"/>
          <w:b/>
          <w:bCs/>
          <w:szCs w:val="20"/>
        </w:rPr>
        <w:t>Sporazum</w:t>
      </w:r>
      <w:r w:rsidR="00420FAB">
        <w:rPr>
          <w:rFonts w:eastAsia="Times New Roman"/>
          <w:b/>
          <w:bCs/>
          <w:szCs w:val="20"/>
        </w:rPr>
        <w:t>a</w:t>
      </w:r>
      <w:r w:rsidR="002742C8">
        <w:rPr>
          <w:rFonts w:eastAsia="Times New Roman"/>
          <w:b/>
          <w:bCs/>
          <w:szCs w:val="20"/>
        </w:rPr>
        <w:t xml:space="preserve"> o prijenosu dionica</w:t>
      </w:r>
      <w:r w:rsidR="009E6A36">
        <w:rPr>
          <w:rFonts w:eastAsia="Times New Roman"/>
          <w:b/>
          <w:bCs/>
          <w:szCs w:val="20"/>
        </w:rPr>
        <w:t xml:space="preserve"> CROATIA BANK</w:t>
      </w:r>
      <w:r w:rsidR="00357384">
        <w:rPr>
          <w:rFonts w:eastAsia="Times New Roman"/>
          <w:b/>
          <w:bCs/>
          <w:szCs w:val="20"/>
        </w:rPr>
        <w:t>E</w:t>
      </w:r>
      <w:r w:rsidR="00B9670A" w:rsidRPr="00B9670A">
        <w:rPr>
          <w:rFonts w:eastAsia="Times New Roman"/>
          <w:bCs/>
          <w:szCs w:val="20"/>
        </w:rPr>
        <w:t xml:space="preserve"> </w:t>
      </w:r>
      <w:r w:rsidR="00B9670A" w:rsidRPr="0061790E">
        <w:rPr>
          <w:rFonts w:eastAsia="Times New Roman"/>
          <w:b/>
          <w:bCs/>
          <w:szCs w:val="20"/>
        </w:rPr>
        <w:t>d.d. s Hrvatskom agencijom za osiguranje depozita</w:t>
      </w:r>
      <w:r w:rsidR="00B9670A" w:rsidRPr="0061790E">
        <w:rPr>
          <w:rFonts w:eastAsia="Times New Roman"/>
          <w:b/>
        </w:rPr>
        <w:t xml:space="preserve"> </w:t>
      </w:r>
    </w:p>
    <w:p w14:paraId="55DA55BA" w14:textId="32AED1C4" w:rsidR="001D264D" w:rsidRPr="0061790E" w:rsidRDefault="001D264D" w:rsidP="004C666F">
      <w:pPr>
        <w:tabs>
          <w:tab w:val="left" w:pos="0"/>
        </w:tabs>
        <w:rPr>
          <w:rFonts w:eastAsia="Times New Roman"/>
          <w:b/>
        </w:rPr>
      </w:pPr>
    </w:p>
    <w:p w14:paraId="55DA55BB" w14:textId="77777777" w:rsidR="00C2238C" w:rsidRDefault="00AF68B1" w:rsidP="002A6152">
      <w:pPr>
        <w:rPr>
          <w:rFonts w:eastAsia="Times New Roman"/>
          <w:b/>
        </w:rPr>
      </w:pPr>
      <w:r>
        <w:rPr>
          <w:rFonts w:eastAsia="Times New Roman"/>
          <w:b/>
        </w:rPr>
        <w:t>I</w:t>
      </w:r>
      <w:r w:rsidR="00C2238C" w:rsidRPr="00C2238C">
        <w:rPr>
          <w:rFonts w:eastAsia="Times New Roman"/>
          <w:b/>
        </w:rPr>
        <w:t xml:space="preserve">. </w:t>
      </w:r>
    </w:p>
    <w:p w14:paraId="55DA55BC" w14:textId="77777777" w:rsidR="008320C3" w:rsidRPr="00C2238C" w:rsidRDefault="008320C3" w:rsidP="002A6152">
      <w:pPr>
        <w:rPr>
          <w:rFonts w:eastAsia="Times New Roman"/>
          <w:b/>
        </w:rPr>
      </w:pPr>
    </w:p>
    <w:p w14:paraId="3A10FD35" w14:textId="66CF18DB" w:rsidR="00511110" w:rsidRPr="00FC350C" w:rsidRDefault="001A72F0" w:rsidP="00511110">
      <w:pPr>
        <w:jc w:val="both"/>
        <w:rPr>
          <w:rFonts w:eastAsia="Times New Roman"/>
        </w:rPr>
      </w:pPr>
      <w:r>
        <w:rPr>
          <w:rFonts w:eastAsia="Times New Roman"/>
        </w:rPr>
        <w:tab/>
      </w:r>
      <w:r w:rsidR="00C2238C" w:rsidRPr="00C2238C">
        <w:rPr>
          <w:rFonts w:eastAsia="Times New Roman"/>
        </w:rPr>
        <w:t>Ovlašćuj</w:t>
      </w:r>
      <w:r w:rsidR="00BC7FD2">
        <w:rPr>
          <w:rFonts w:eastAsia="Times New Roman"/>
        </w:rPr>
        <w:t>e</w:t>
      </w:r>
      <w:r w:rsidR="00C2238C" w:rsidRPr="00C2238C">
        <w:rPr>
          <w:rFonts w:eastAsia="Times New Roman"/>
        </w:rPr>
        <w:t xml:space="preserve"> se </w:t>
      </w:r>
      <w:r w:rsidR="00FC350C" w:rsidRPr="005F1F25">
        <w:rPr>
          <w:rFonts w:eastAsia="Times New Roman"/>
        </w:rPr>
        <w:t>potpredsjednik Vlade</w:t>
      </w:r>
      <w:r w:rsidR="00FC350C">
        <w:rPr>
          <w:rFonts w:eastAsia="Times New Roman"/>
        </w:rPr>
        <w:t xml:space="preserve"> </w:t>
      </w:r>
      <w:r w:rsidR="00FC350C">
        <w:t>Republike Hrvatske</w:t>
      </w:r>
      <w:r w:rsidR="00FC350C" w:rsidRPr="005F1F25">
        <w:rPr>
          <w:rFonts w:eastAsia="Times New Roman"/>
        </w:rPr>
        <w:t xml:space="preserve"> </w:t>
      </w:r>
      <w:r w:rsidR="00FC350C">
        <w:rPr>
          <w:rFonts w:eastAsia="Times New Roman"/>
        </w:rPr>
        <w:t xml:space="preserve">i </w:t>
      </w:r>
      <w:r w:rsidR="00FC350C" w:rsidRPr="00C2238C">
        <w:rPr>
          <w:rFonts w:eastAsia="Times New Roman"/>
        </w:rPr>
        <w:t xml:space="preserve">ministar financija </w:t>
      </w:r>
      <w:r w:rsidR="00C2238C" w:rsidRPr="00C2238C">
        <w:rPr>
          <w:rFonts w:eastAsia="Times New Roman"/>
        </w:rPr>
        <w:t>dr.</w:t>
      </w:r>
      <w:r w:rsidR="00C2238C">
        <w:rPr>
          <w:rFonts w:eastAsia="Times New Roman"/>
        </w:rPr>
        <w:t xml:space="preserve"> </w:t>
      </w:r>
      <w:r w:rsidR="00C2238C" w:rsidRPr="00C2238C">
        <w:rPr>
          <w:rFonts w:eastAsia="Times New Roman"/>
        </w:rPr>
        <w:t xml:space="preserve">sc. </w:t>
      </w:r>
      <w:r w:rsidR="00773D82">
        <w:rPr>
          <w:rFonts w:eastAsia="Times New Roman"/>
        </w:rPr>
        <w:t>Tomislav Ćorić</w:t>
      </w:r>
      <w:r w:rsidR="00C2238C" w:rsidRPr="00C2238C">
        <w:rPr>
          <w:rFonts w:eastAsia="Times New Roman"/>
        </w:rPr>
        <w:t xml:space="preserve">, </w:t>
      </w:r>
      <w:r w:rsidR="00FC350C">
        <w:rPr>
          <w:rFonts w:eastAsia="Times New Roman"/>
        </w:rPr>
        <w:t xml:space="preserve">da u ime Republike Hrvatske s </w:t>
      </w:r>
      <w:r w:rsidR="00FC350C" w:rsidRPr="00FC350C">
        <w:rPr>
          <w:rFonts w:eastAsia="Times New Roman"/>
          <w:bCs/>
        </w:rPr>
        <w:t>Hrvatsko</w:t>
      </w:r>
      <w:r w:rsidR="00FC350C">
        <w:rPr>
          <w:rFonts w:eastAsia="Times New Roman"/>
          <w:bCs/>
        </w:rPr>
        <w:t>m agencijom za osiguranje depozita</w:t>
      </w:r>
      <w:r w:rsidR="00595169">
        <w:rPr>
          <w:rFonts w:eastAsia="Times New Roman"/>
          <w:bCs/>
        </w:rPr>
        <w:t xml:space="preserve">, </w:t>
      </w:r>
      <w:r w:rsidR="00595169">
        <w:rPr>
          <w:rFonts w:eastAsia="Times New Roman"/>
          <w:bCs/>
          <w:szCs w:val="20"/>
        </w:rPr>
        <w:t xml:space="preserve">Zagreb, </w:t>
      </w:r>
      <w:r w:rsidR="00595169" w:rsidRPr="00650AA4">
        <w:rPr>
          <w:rFonts w:eastAsia="Times New Roman"/>
          <w:bCs/>
          <w:szCs w:val="20"/>
        </w:rPr>
        <w:t>Jurišićeva ulica 1</w:t>
      </w:r>
      <w:r w:rsidR="00595169">
        <w:rPr>
          <w:rFonts w:eastAsia="Times New Roman"/>
          <w:bCs/>
          <w:szCs w:val="20"/>
        </w:rPr>
        <w:t xml:space="preserve">, OIB: </w:t>
      </w:r>
      <w:r w:rsidR="00595169" w:rsidRPr="00650AA4">
        <w:rPr>
          <w:rFonts w:eastAsia="Times New Roman"/>
          <w:bCs/>
          <w:szCs w:val="20"/>
        </w:rPr>
        <w:t>94819327944</w:t>
      </w:r>
      <w:r w:rsidR="00B9670A">
        <w:rPr>
          <w:rFonts w:eastAsia="Times New Roman"/>
          <w:bCs/>
          <w:szCs w:val="20"/>
        </w:rPr>
        <w:t>,</w:t>
      </w:r>
      <w:r w:rsidR="00FC350C">
        <w:rPr>
          <w:rFonts w:eastAsia="Times New Roman"/>
        </w:rPr>
        <w:t xml:space="preserve"> </w:t>
      </w:r>
      <w:r w:rsidR="003A09D3">
        <w:rPr>
          <w:rFonts w:eastAsia="Times New Roman"/>
        </w:rPr>
        <w:t xml:space="preserve">potpiše </w:t>
      </w:r>
      <w:r w:rsidR="00FC350C">
        <w:rPr>
          <w:rFonts w:eastAsia="Times New Roman"/>
        </w:rPr>
        <w:t>Sporazum</w:t>
      </w:r>
      <w:r w:rsidR="002742C8">
        <w:rPr>
          <w:rFonts w:eastAsia="Times New Roman"/>
        </w:rPr>
        <w:t xml:space="preserve"> o</w:t>
      </w:r>
      <w:r w:rsidR="002742C8" w:rsidRPr="002742C8">
        <w:rPr>
          <w:rFonts w:eastAsia="Times New Roman"/>
        </w:rPr>
        <w:t xml:space="preserve"> prijenosu dionica </w:t>
      </w:r>
      <w:r w:rsidR="009E6A36" w:rsidRPr="004C666F">
        <w:rPr>
          <w:rFonts w:eastAsia="Times New Roman"/>
          <w:bCs/>
          <w:szCs w:val="20"/>
        </w:rPr>
        <w:t>CROATIA BANK</w:t>
      </w:r>
      <w:r w:rsidR="00695AA4" w:rsidRPr="00695AA4">
        <w:rPr>
          <w:rFonts w:eastAsia="Times New Roman"/>
          <w:bCs/>
          <w:szCs w:val="20"/>
        </w:rPr>
        <w:t>E</w:t>
      </w:r>
      <w:r w:rsidR="00744C58">
        <w:rPr>
          <w:rFonts w:eastAsia="Times New Roman"/>
        </w:rPr>
        <w:t>, dioničko društvo</w:t>
      </w:r>
      <w:r w:rsidR="00BE301C">
        <w:rPr>
          <w:rFonts w:eastAsia="Times New Roman"/>
        </w:rPr>
        <w:t xml:space="preserve">, </w:t>
      </w:r>
      <w:r w:rsidR="00BE301C" w:rsidRPr="00BE301C">
        <w:rPr>
          <w:rFonts w:eastAsia="Times New Roman"/>
        </w:rPr>
        <w:t>Zagreb, Ulica Roberta Frangeša - Mihanovića 9, OIB: 32247795989</w:t>
      </w:r>
      <w:r w:rsidR="00BE301C">
        <w:rPr>
          <w:rFonts w:eastAsia="Times New Roman"/>
        </w:rPr>
        <w:t xml:space="preserve"> (CROATIA BANKA d.d.)</w:t>
      </w:r>
      <w:r w:rsidR="00B9670A">
        <w:rPr>
          <w:rFonts w:eastAsia="Times New Roman"/>
        </w:rPr>
        <w:t>,</w:t>
      </w:r>
      <w:r w:rsidR="00BE301C">
        <w:rPr>
          <w:rFonts w:eastAsia="Times New Roman"/>
        </w:rPr>
        <w:t xml:space="preserve"> </w:t>
      </w:r>
      <w:r w:rsidR="003A09D3">
        <w:rPr>
          <w:rFonts w:eastAsia="Times New Roman"/>
        </w:rPr>
        <w:t xml:space="preserve">u tekstu </w:t>
      </w:r>
      <w:r w:rsidR="00FC350C">
        <w:rPr>
          <w:rFonts w:eastAsia="Times New Roman"/>
          <w:bCs/>
          <w:szCs w:val="20"/>
        </w:rPr>
        <w:t>koje</w:t>
      </w:r>
      <w:r w:rsidR="0073034B">
        <w:rPr>
          <w:rFonts w:eastAsia="Times New Roman"/>
          <w:bCs/>
          <w:szCs w:val="20"/>
        </w:rPr>
        <w:t>g</w:t>
      </w:r>
      <w:r w:rsidR="00FC350C">
        <w:rPr>
          <w:rFonts w:eastAsia="Times New Roman"/>
          <w:bCs/>
          <w:szCs w:val="20"/>
        </w:rPr>
        <w:t xml:space="preserve"> je</w:t>
      </w:r>
      <w:r w:rsidR="00FC350C" w:rsidRPr="00FC350C">
        <w:rPr>
          <w:rFonts w:eastAsia="Times New Roman"/>
          <w:bCs/>
          <w:szCs w:val="20"/>
        </w:rPr>
        <w:t xml:space="preserve"> Vladi Republike Hrvatske dostavilo Ministarstvo financija </w:t>
      </w:r>
      <w:r w:rsidR="00284B35">
        <w:rPr>
          <w:rFonts w:eastAsia="Times New Roman"/>
          <w:bCs/>
          <w:szCs w:val="20"/>
        </w:rPr>
        <w:t>dopisom</w:t>
      </w:r>
      <w:r w:rsidR="00FC350C" w:rsidRPr="00FC350C">
        <w:rPr>
          <w:rFonts w:eastAsia="Times New Roman"/>
          <w:bCs/>
          <w:szCs w:val="20"/>
        </w:rPr>
        <w:t xml:space="preserve">, </w:t>
      </w:r>
      <w:r w:rsidR="00FC350C" w:rsidRPr="006548E4">
        <w:rPr>
          <w:rFonts w:eastAsia="Times New Roman"/>
          <w:bCs/>
          <w:szCs w:val="20"/>
        </w:rPr>
        <w:t>KLASA</w:t>
      </w:r>
      <w:r w:rsidR="00C706EC">
        <w:rPr>
          <w:rFonts w:eastAsia="Times New Roman"/>
          <w:bCs/>
          <w:szCs w:val="20"/>
        </w:rPr>
        <w:t xml:space="preserve">: </w:t>
      </w:r>
      <w:r w:rsidR="00C706EC">
        <w:rPr>
          <w:rFonts w:eastAsia="Times New Roman"/>
          <w:bCs/>
          <w:szCs w:val="20"/>
        </w:rPr>
        <w:t xml:space="preserve">450-01/25-01/282, </w:t>
      </w:r>
      <w:r w:rsidR="00C706EC" w:rsidRPr="00284B35">
        <w:rPr>
          <w:rFonts w:eastAsia="Times New Roman"/>
          <w:bCs/>
          <w:szCs w:val="20"/>
        </w:rPr>
        <w:t>URBROJ:</w:t>
      </w:r>
      <w:r w:rsidR="00C706EC">
        <w:rPr>
          <w:rFonts w:eastAsia="Times New Roman"/>
          <w:bCs/>
          <w:szCs w:val="20"/>
        </w:rPr>
        <w:t xml:space="preserve"> 513-06-03-26-10</w:t>
      </w:r>
      <w:r w:rsidR="00C706EC">
        <w:rPr>
          <w:rFonts w:eastAsia="Times New Roman"/>
          <w:bCs/>
          <w:szCs w:val="20"/>
        </w:rPr>
        <w:t xml:space="preserve">, od 10. travnja </w:t>
      </w:r>
      <w:r w:rsidR="007F5646" w:rsidRPr="00284B35">
        <w:rPr>
          <w:rFonts w:eastAsia="Times New Roman"/>
          <w:bCs/>
          <w:szCs w:val="20"/>
        </w:rPr>
        <w:t>202</w:t>
      </w:r>
      <w:r w:rsidR="00932B3D">
        <w:rPr>
          <w:rFonts w:eastAsia="Times New Roman"/>
          <w:bCs/>
          <w:szCs w:val="20"/>
        </w:rPr>
        <w:t>6</w:t>
      </w:r>
      <w:r w:rsidR="007F5646" w:rsidRPr="00284B35">
        <w:rPr>
          <w:rFonts w:eastAsia="Times New Roman"/>
          <w:bCs/>
          <w:szCs w:val="20"/>
        </w:rPr>
        <w:t>.</w:t>
      </w:r>
      <w:r w:rsidR="006C1862">
        <w:rPr>
          <w:rFonts w:eastAsia="Times New Roman"/>
          <w:bCs/>
          <w:szCs w:val="20"/>
        </w:rPr>
        <w:t xml:space="preserve"> godine.</w:t>
      </w:r>
    </w:p>
    <w:p w14:paraId="1DE79B68" w14:textId="0E7F0458" w:rsidR="006056DC" w:rsidRDefault="006056DC" w:rsidP="00FC350C">
      <w:pPr>
        <w:jc w:val="both"/>
        <w:rPr>
          <w:rFonts w:eastAsia="Times New Roman"/>
        </w:rPr>
      </w:pPr>
    </w:p>
    <w:p w14:paraId="026B32A6" w14:textId="77777777" w:rsidR="006056DC" w:rsidRDefault="006056DC" w:rsidP="006056DC">
      <w:pPr>
        <w:rPr>
          <w:rFonts w:eastAsia="Times New Roman"/>
          <w:b/>
        </w:rPr>
      </w:pPr>
      <w:r>
        <w:rPr>
          <w:rFonts w:eastAsia="Times New Roman"/>
          <w:b/>
        </w:rPr>
        <w:t>II.</w:t>
      </w:r>
    </w:p>
    <w:p w14:paraId="6582A919" w14:textId="77777777" w:rsidR="006056DC" w:rsidRDefault="006056DC" w:rsidP="006056DC">
      <w:pPr>
        <w:rPr>
          <w:rFonts w:eastAsia="Times New Roman"/>
          <w:b/>
        </w:rPr>
      </w:pPr>
    </w:p>
    <w:p w14:paraId="2CBE4FFB" w14:textId="7138C1C4" w:rsidR="00F370AE" w:rsidRDefault="006056DC">
      <w:pPr>
        <w:jc w:val="both"/>
        <w:rPr>
          <w:rFonts w:eastAsia="Times New Roman"/>
        </w:rPr>
      </w:pPr>
      <w:r>
        <w:rPr>
          <w:rFonts w:eastAsia="Times New Roman"/>
          <w:b/>
        </w:rPr>
        <w:tab/>
      </w:r>
      <w:r w:rsidR="00A534A4" w:rsidRPr="00A534A4">
        <w:rPr>
          <w:rFonts w:eastAsia="Times New Roman"/>
        </w:rPr>
        <w:t xml:space="preserve"> </w:t>
      </w:r>
      <w:r w:rsidR="00A534A4">
        <w:rPr>
          <w:rFonts w:eastAsia="Times New Roman"/>
        </w:rPr>
        <w:t xml:space="preserve">Zadužuje se Ministarstvo financija </w:t>
      </w:r>
      <w:r w:rsidR="003A09D3">
        <w:rPr>
          <w:rFonts w:eastAsia="Times New Roman"/>
        </w:rPr>
        <w:t xml:space="preserve">za poduzimanje svih potrebnih </w:t>
      </w:r>
      <w:r w:rsidR="003A09D3" w:rsidRPr="003A09D3">
        <w:rPr>
          <w:rFonts w:eastAsia="Times New Roman"/>
        </w:rPr>
        <w:t xml:space="preserve">pravnih radnji </w:t>
      </w:r>
      <w:r w:rsidR="003A09D3">
        <w:rPr>
          <w:rFonts w:eastAsia="Times New Roman"/>
        </w:rPr>
        <w:t>vezanih za potpisivanje Sporazuma iz točke I. ove Odluke, kao i za</w:t>
      </w:r>
      <w:r w:rsidR="00A534A4">
        <w:rPr>
          <w:rFonts w:eastAsia="Times New Roman"/>
        </w:rPr>
        <w:t xml:space="preserve"> dostavu </w:t>
      </w:r>
      <w:r w:rsidR="00A17289">
        <w:rPr>
          <w:rFonts w:eastAsia="Times New Roman"/>
        </w:rPr>
        <w:t xml:space="preserve">potpisanog </w:t>
      </w:r>
      <w:r w:rsidR="00A17289" w:rsidRPr="006056DC">
        <w:rPr>
          <w:rFonts w:eastAsia="Times New Roman"/>
        </w:rPr>
        <w:t>Sporazuma o</w:t>
      </w:r>
      <w:r w:rsidR="00A17289" w:rsidRPr="002742C8">
        <w:rPr>
          <w:rFonts w:eastAsia="Times New Roman"/>
        </w:rPr>
        <w:t xml:space="preserve"> prijenosu dionica</w:t>
      </w:r>
      <w:r w:rsidR="00ED15A2">
        <w:rPr>
          <w:rFonts w:eastAsia="Times New Roman"/>
        </w:rPr>
        <w:t xml:space="preserve"> </w:t>
      </w:r>
      <w:r w:rsidR="00FE62B1">
        <w:rPr>
          <w:rFonts w:eastAsia="Times New Roman"/>
        </w:rPr>
        <w:t>CROATIA BANKE</w:t>
      </w:r>
      <w:r w:rsidR="0032184D">
        <w:rPr>
          <w:rFonts w:eastAsia="Times New Roman"/>
        </w:rPr>
        <w:t xml:space="preserve">, dioničko društvo, </w:t>
      </w:r>
      <w:r w:rsidR="0032184D" w:rsidRPr="00BE301C">
        <w:rPr>
          <w:rFonts w:eastAsia="Times New Roman"/>
        </w:rPr>
        <w:t>Zagreb, Ulica Roberta Frangeša - Mihanovića 9, OIB: 32247795989</w:t>
      </w:r>
      <w:r w:rsidR="0032184D">
        <w:rPr>
          <w:rFonts w:eastAsia="Times New Roman"/>
        </w:rPr>
        <w:t>,</w:t>
      </w:r>
      <w:r w:rsidR="00A17289" w:rsidRPr="002742C8">
        <w:rPr>
          <w:rFonts w:eastAsia="Times New Roman"/>
        </w:rPr>
        <w:t xml:space="preserve"> </w:t>
      </w:r>
      <w:r w:rsidR="00B9670A">
        <w:rPr>
          <w:rFonts w:eastAsia="Times New Roman"/>
          <w:bCs/>
          <w:szCs w:val="20"/>
        </w:rPr>
        <w:t>Hrvatskoj agenciji za osiguranje depozita</w:t>
      </w:r>
      <w:r w:rsidR="004D17EA">
        <w:rPr>
          <w:rFonts w:eastAsia="Times New Roman"/>
          <w:bCs/>
          <w:szCs w:val="20"/>
        </w:rPr>
        <w:t xml:space="preserve">, Zagreb, </w:t>
      </w:r>
      <w:r w:rsidR="004D17EA" w:rsidRPr="00650AA4">
        <w:rPr>
          <w:rFonts w:eastAsia="Times New Roman"/>
          <w:bCs/>
          <w:szCs w:val="20"/>
        </w:rPr>
        <w:t>Jurišićeva ulica 1</w:t>
      </w:r>
      <w:r w:rsidR="004D17EA">
        <w:rPr>
          <w:rFonts w:eastAsia="Times New Roman"/>
          <w:bCs/>
          <w:szCs w:val="20"/>
        </w:rPr>
        <w:t xml:space="preserve">, OIB: </w:t>
      </w:r>
      <w:r w:rsidR="004D17EA" w:rsidRPr="00650AA4">
        <w:rPr>
          <w:rFonts w:eastAsia="Times New Roman"/>
          <w:bCs/>
          <w:szCs w:val="20"/>
        </w:rPr>
        <w:t>94819327944</w:t>
      </w:r>
      <w:r w:rsidR="004D17EA">
        <w:rPr>
          <w:rFonts w:eastAsia="Times New Roman"/>
          <w:bCs/>
          <w:szCs w:val="20"/>
        </w:rPr>
        <w:t xml:space="preserve">. </w:t>
      </w:r>
      <w:r w:rsidR="008F0E89">
        <w:rPr>
          <w:rFonts w:eastAsia="Times New Roman"/>
          <w:bCs/>
          <w:szCs w:val="20"/>
        </w:rPr>
        <w:t xml:space="preserve"> </w:t>
      </w:r>
    </w:p>
    <w:p w14:paraId="4967D542" w14:textId="2F6D2004" w:rsidR="00C65DE2" w:rsidRDefault="00C65DE2" w:rsidP="006056DC">
      <w:pPr>
        <w:jc w:val="both"/>
        <w:rPr>
          <w:rFonts w:eastAsia="Times New Roman"/>
        </w:rPr>
      </w:pPr>
    </w:p>
    <w:p w14:paraId="1997AA3A" w14:textId="77777777" w:rsidR="00C65DE2" w:rsidRDefault="00C65DE2" w:rsidP="00C65DE2">
      <w:pPr>
        <w:rPr>
          <w:rFonts w:eastAsia="Times New Roman"/>
          <w:b/>
        </w:rPr>
      </w:pPr>
      <w:r>
        <w:rPr>
          <w:rFonts w:eastAsia="Times New Roman"/>
          <w:b/>
        </w:rPr>
        <w:t>III.</w:t>
      </w:r>
    </w:p>
    <w:p w14:paraId="6A6A20ED" w14:textId="77777777" w:rsidR="00C65DE2" w:rsidRDefault="00C65DE2" w:rsidP="00C65DE2">
      <w:pPr>
        <w:rPr>
          <w:rFonts w:eastAsia="Times New Roman"/>
          <w:b/>
        </w:rPr>
      </w:pPr>
    </w:p>
    <w:p w14:paraId="370330D7" w14:textId="4F6C6340" w:rsidR="006056DC" w:rsidRDefault="003A09D3" w:rsidP="006548E4">
      <w:pPr>
        <w:ind w:firstLine="708"/>
        <w:jc w:val="both"/>
        <w:rPr>
          <w:rFonts w:eastAsia="Times New Roman"/>
          <w:b/>
        </w:rPr>
      </w:pPr>
      <w:r>
        <w:t>F</w:t>
      </w:r>
      <w:r w:rsidR="00284B35" w:rsidRPr="00284B35">
        <w:t>inancijska sredstva za izvršenje obveza iz Sporazuma</w:t>
      </w:r>
      <w:r w:rsidRPr="003A09D3">
        <w:t xml:space="preserve"> iz točke I. ove Odluke</w:t>
      </w:r>
      <w:r w:rsidR="00284B35" w:rsidRPr="00284B35">
        <w:t xml:space="preserve"> osigurat će se u državn</w:t>
      </w:r>
      <w:r w:rsidR="00284B35">
        <w:t>om proračunu Republike Hrvatske.</w:t>
      </w:r>
    </w:p>
    <w:p w14:paraId="1495BB22" w14:textId="77777777" w:rsidR="00FE62B1" w:rsidRDefault="00FE62B1" w:rsidP="007B6A76">
      <w:pPr>
        <w:rPr>
          <w:rFonts w:eastAsia="Times New Roman"/>
          <w:b/>
        </w:rPr>
      </w:pPr>
    </w:p>
    <w:p w14:paraId="6C95B4B0" w14:textId="6CCDB7D4" w:rsidR="00D86B92" w:rsidRPr="007B6A76" w:rsidRDefault="00C65DE2" w:rsidP="007B6A76">
      <w:pPr>
        <w:rPr>
          <w:rFonts w:eastAsia="Times New Roman"/>
          <w:b/>
        </w:rPr>
      </w:pPr>
      <w:r>
        <w:rPr>
          <w:rFonts w:eastAsia="Times New Roman"/>
          <w:b/>
        </w:rPr>
        <w:t>IV</w:t>
      </w:r>
      <w:r w:rsidR="006056DC">
        <w:rPr>
          <w:rFonts w:eastAsia="Times New Roman"/>
          <w:b/>
        </w:rPr>
        <w:t>.</w:t>
      </w:r>
    </w:p>
    <w:p w14:paraId="1F961883" w14:textId="77777777" w:rsidR="00611930" w:rsidRDefault="00611930" w:rsidP="006056DC">
      <w:pPr>
        <w:rPr>
          <w:rFonts w:eastAsia="Times New Roman"/>
          <w:b/>
        </w:rPr>
      </w:pPr>
    </w:p>
    <w:p w14:paraId="09352C6F" w14:textId="77777777" w:rsidR="006056DC" w:rsidRDefault="006056DC" w:rsidP="006056DC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Ova Odluka stupa na snagu danom donošenja. </w:t>
      </w:r>
    </w:p>
    <w:p w14:paraId="55DA55CB" w14:textId="34C19331" w:rsidR="00AF68B1" w:rsidRDefault="00AF68B1" w:rsidP="00C2238C">
      <w:pPr>
        <w:jc w:val="both"/>
        <w:rPr>
          <w:rFonts w:eastAsia="Times New Roman"/>
          <w:lang w:eastAsia="hr-HR"/>
        </w:rPr>
      </w:pPr>
    </w:p>
    <w:p w14:paraId="55DA55CC" w14:textId="77777777" w:rsidR="00C2238C" w:rsidRPr="00C2238C" w:rsidRDefault="00DD47D6" w:rsidP="00C2238C">
      <w:pPr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Klasa</w:t>
      </w:r>
      <w:r w:rsidR="00C2238C" w:rsidRPr="00C2238C">
        <w:rPr>
          <w:rFonts w:eastAsia="Times New Roman"/>
          <w:lang w:eastAsia="hr-HR"/>
        </w:rPr>
        <w:t>:</w:t>
      </w:r>
      <w:r w:rsidR="00C2238C" w:rsidRPr="00C2238C">
        <w:rPr>
          <w:rFonts w:eastAsia="Times New Roman"/>
          <w:lang w:eastAsia="hr-HR"/>
        </w:rPr>
        <w:tab/>
      </w:r>
    </w:p>
    <w:p w14:paraId="55DA55CD" w14:textId="77777777" w:rsidR="00C2238C" w:rsidRPr="00C2238C" w:rsidRDefault="00DD47D6" w:rsidP="00C2238C">
      <w:pPr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Urbroj</w:t>
      </w:r>
      <w:r w:rsidR="001D264D">
        <w:rPr>
          <w:rFonts w:eastAsia="Times New Roman"/>
          <w:lang w:eastAsia="hr-HR"/>
        </w:rPr>
        <w:t>:</w:t>
      </w:r>
      <w:r w:rsidR="001D264D"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 xml:space="preserve"> </w:t>
      </w:r>
    </w:p>
    <w:p w14:paraId="55DA55CE" w14:textId="77777777" w:rsidR="00C2238C" w:rsidRPr="00C2238C" w:rsidRDefault="00C2238C" w:rsidP="00C2238C">
      <w:pPr>
        <w:jc w:val="both"/>
        <w:rPr>
          <w:rFonts w:eastAsia="Times New Roman"/>
          <w:lang w:eastAsia="hr-HR"/>
        </w:rPr>
      </w:pPr>
    </w:p>
    <w:p w14:paraId="55DA55CF" w14:textId="77777777" w:rsidR="00C2238C" w:rsidRPr="00C2238C" w:rsidRDefault="00C2238C" w:rsidP="00C2238C">
      <w:pPr>
        <w:jc w:val="both"/>
        <w:rPr>
          <w:rFonts w:eastAsia="Times New Roman"/>
          <w:lang w:eastAsia="hr-HR"/>
        </w:rPr>
      </w:pPr>
      <w:r w:rsidRPr="00C2238C">
        <w:rPr>
          <w:rFonts w:eastAsia="Times New Roman"/>
          <w:lang w:eastAsia="hr-HR"/>
        </w:rPr>
        <w:t>Zagreb,</w:t>
      </w:r>
      <w:r w:rsidRPr="00C2238C">
        <w:rPr>
          <w:rFonts w:eastAsia="Times New Roman"/>
          <w:lang w:eastAsia="hr-HR"/>
        </w:rPr>
        <w:tab/>
      </w:r>
    </w:p>
    <w:p w14:paraId="7D0432E9" w14:textId="252201BE" w:rsidR="002742C8" w:rsidRDefault="002742C8" w:rsidP="00C2238C">
      <w:pPr>
        <w:jc w:val="both"/>
        <w:rPr>
          <w:rFonts w:eastAsia="Times New Roman"/>
          <w:lang w:eastAsia="hr-HR"/>
        </w:rPr>
      </w:pPr>
    </w:p>
    <w:p w14:paraId="55DA55D2" w14:textId="564B11B6" w:rsidR="00C2238C" w:rsidRPr="00C2238C" w:rsidRDefault="007F5646" w:rsidP="004C666F">
      <w:pPr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                                                                                                                     </w:t>
      </w:r>
      <w:r w:rsidR="00C2238C" w:rsidRPr="00C2238C">
        <w:rPr>
          <w:rFonts w:eastAsia="Times New Roman"/>
          <w:lang w:eastAsia="hr-HR"/>
        </w:rPr>
        <w:t>PREDSJEDNIK</w:t>
      </w:r>
    </w:p>
    <w:p w14:paraId="55DA55D3" w14:textId="77777777" w:rsidR="00C2238C" w:rsidRPr="00C2238C" w:rsidRDefault="00C2238C" w:rsidP="00C2238C">
      <w:pPr>
        <w:ind w:left="6480"/>
        <w:rPr>
          <w:rFonts w:eastAsia="Times New Roman"/>
          <w:lang w:eastAsia="hr-HR"/>
        </w:rPr>
      </w:pPr>
    </w:p>
    <w:p w14:paraId="138A4DEF" w14:textId="1D265EFA" w:rsidR="00D17B43" w:rsidRDefault="00C2238C" w:rsidP="00D17B43">
      <w:pPr>
        <w:ind w:left="6480"/>
        <w:rPr>
          <w:rFonts w:eastAsia="Times New Roman"/>
          <w:lang w:eastAsia="hr-HR"/>
        </w:rPr>
        <w:sectPr w:rsidR="00D17B43" w:rsidSect="00284B35">
          <w:headerReference w:type="default" r:id="rId13"/>
          <w:footerReference w:type="default" r:id="rId14"/>
          <w:pgSz w:w="11907" w:h="16840" w:code="9"/>
          <w:pgMar w:top="993" w:right="1418" w:bottom="1440" w:left="1418" w:header="720" w:footer="720" w:gutter="0"/>
          <w:cols w:space="720"/>
        </w:sectPr>
      </w:pPr>
      <w:r w:rsidRPr="00C2238C">
        <w:rPr>
          <w:rFonts w:eastAsia="Times New Roman"/>
          <w:lang w:eastAsia="hr-HR"/>
        </w:rPr>
        <w:t>mr. sc. Andrej Plenković</w:t>
      </w:r>
    </w:p>
    <w:p w14:paraId="55DA55D8" w14:textId="52BE9358" w:rsidR="001D264D" w:rsidRDefault="001D264D" w:rsidP="00E2442B">
      <w:pPr>
        <w:rPr>
          <w:b/>
        </w:rPr>
      </w:pPr>
      <w:r w:rsidRPr="00836E8A">
        <w:rPr>
          <w:b/>
        </w:rPr>
        <w:lastRenderedPageBreak/>
        <w:t>O</w:t>
      </w:r>
      <w:r>
        <w:rPr>
          <w:b/>
        </w:rPr>
        <w:t xml:space="preserve"> </w:t>
      </w:r>
      <w:r w:rsidRPr="00836E8A">
        <w:rPr>
          <w:b/>
        </w:rPr>
        <w:t>b</w:t>
      </w:r>
      <w:r>
        <w:rPr>
          <w:b/>
        </w:rPr>
        <w:t xml:space="preserve"> </w:t>
      </w:r>
      <w:r w:rsidRPr="00836E8A">
        <w:rPr>
          <w:b/>
        </w:rPr>
        <w:t>r</w:t>
      </w:r>
      <w:r>
        <w:rPr>
          <w:b/>
        </w:rPr>
        <w:t xml:space="preserve"> </w:t>
      </w:r>
      <w:r w:rsidRPr="00836E8A">
        <w:rPr>
          <w:b/>
        </w:rPr>
        <w:t>a</w:t>
      </w:r>
      <w:r>
        <w:rPr>
          <w:b/>
        </w:rPr>
        <w:t xml:space="preserve"> </w:t>
      </w:r>
      <w:r w:rsidRPr="00836E8A">
        <w:rPr>
          <w:b/>
        </w:rPr>
        <w:t>z</w:t>
      </w:r>
      <w:r>
        <w:rPr>
          <w:b/>
        </w:rPr>
        <w:t xml:space="preserve"> </w:t>
      </w:r>
      <w:r w:rsidRPr="00836E8A">
        <w:rPr>
          <w:b/>
        </w:rPr>
        <w:t>l</w:t>
      </w:r>
      <w:r>
        <w:rPr>
          <w:b/>
        </w:rPr>
        <w:t xml:space="preserve"> </w:t>
      </w:r>
      <w:r w:rsidRPr="00836E8A">
        <w:rPr>
          <w:b/>
        </w:rPr>
        <w:t>o</w:t>
      </w:r>
      <w:r>
        <w:rPr>
          <w:b/>
        </w:rPr>
        <w:t xml:space="preserve"> </w:t>
      </w:r>
      <w:r w:rsidRPr="00836E8A">
        <w:rPr>
          <w:b/>
        </w:rPr>
        <w:t>ž</w:t>
      </w:r>
      <w:r>
        <w:rPr>
          <w:b/>
        </w:rPr>
        <w:t xml:space="preserve"> </w:t>
      </w:r>
      <w:r w:rsidRPr="00836E8A">
        <w:rPr>
          <w:b/>
        </w:rPr>
        <w:t>e</w:t>
      </w:r>
      <w:r>
        <w:rPr>
          <w:b/>
        </w:rPr>
        <w:t xml:space="preserve"> </w:t>
      </w:r>
      <w:r w:rsidRPr="00836E8A">
        <w:rPr>
          <w:b/>
        </w:rPr>
        <w:t>nj</w:t>
      </w:r>
      <w:r>
        <w:rPr>
          <w:b/>
        </w:rPr>
        <w:t xml:space="preserve"> </w:t>
      </w:r>
      <w:r w:rsidRPr="00836E8A">
        <w:rPr>
          <w:b/>
        </w:rPr>
        <w:t>e</w:t>
      </w:r>
    </w:p>
    <w:p w14:paraId="74277620" w14:textId="703C802A" w:rsidR="00C10392" w:rsidRDefault="00C10392" w:rsidP="00A97B19">
      <w:pPr>
        <w:rPr>
          <w:b/>
        </w:rPr>
      </w:pPr>
    </w:p>
    <w:p w14:paraId="54EE6EEB" w14:textId="6E2546C1" w:rsidR="003A09D3" w:rsidRDefault="003A09D3" w:rsidP="003A09D3">
      <w:pPr>
        <w:jc w:val="both"/>
        <w:rPr>
          <w:rFonts w:eastAsia="Times New Roman"/>
        </w:rPr>
      </w:pPr>
      <w:r>
        <w:rPr>
          <w:rFonts w:eastAsia="Times New Roman"/>
        </w:rPr>
        <w:t xml:space="preserve">Hrvatska agencija za osiguranje depozita </w:t>
      </w:r>
      <w:r>
        <w:rPr>
          <w:rFonts w:eastAsia="Times New Roman"/>
          <w:bCs/>
          <w:szCs w:val="20"/>
        </w:rPr>
        <w:t xml:space="preserve">(u daljnjem tekstu: HAOD) </w:t>
      </w:r>
      <w:r w:rsidR="000E1AE3">
        <w:rPr>
          <w:rFonts w:eastAsia="Times New Roman"/>
          <w:bCs/>
          <w:szCs w:val="20"/>
        </w:rPr>
        <w:t xml:space="preserve">samostalno i neovisno </w:t>
      </w:r>
      <w:r>
        <w:rPr>
          <w:rFonts w:eastAsia="Times New Roman"/>
          <w:bCs/>
          <w:szCs w:val="20"/>
        </w:rPr>
        <w:t xml:space="preserve">upravlja </w:t>
      </w:r>
      <w:r w:rsidRPr="003A09D3">
        <w:rPr>
          <w:rFonts w:eastAsia="Times New Roman"/>
          <w:bCs/>
          <w:szCs w:val="20"/>
        </w:rPr>
        <w:t xml:space="preserve">Fondom osiguranja depozita u skladu s </w:t>
      </w:r>
      <w:r w:rsidR="000E1AE3">
        <w:rPr>
          <w:rFonts w:eastAsia="Times New Roman"/>
          <w:bCs/>
          <w:szCs w:val="20"/>
        </w:rPr>
        <w:t>člankom 30.</w:t>
      </w:r>
      <w:r w:rsidRPr="003A09D3">
        <w:rPr>
          <w:rFonts w:eastAsia="Times New Roman"/>
          <w:bCs/>
          <w:szCs w:val="20"/>
        </w:rPr>
        <w:t xml:space="preserve"> Zakona</w:t>
      </w:r>
      <w:r w:rsidRPr="003A09D3">
        <w:t xml:space="preserve"> </w:t>
      </w:r>
      <w:r w:rsidRPr="003A09D3">
        <w:rPr>
          <w:rFonts w:eastAsia="Times New Roman"/>
          <w:bCs/>
          <w:szCs w:val="20"/>
        </w:rPr>
        <w:t>o sustavu osiguranja depozita</w:t>
      </w:r>
      <w:r>
        <w:rPr>
          <w:rFonts w:eastAsia="Times New Roman"/>
          <w:bCs/>
          <w:szCs w:val="20"/>
        </w:rPr>
        <w:t xml:space="preserve"> </w:t>
      </w:r>
      <w:r w:rsidRPr="003A09D3">
        <w:rPr>
          <w:rFonts w:eastAsia="Times New Roman"/>
          <w:bCs/>
          <w:szCs w:val="20"/>
        </w:rPr>
        <w:t>(„Narodne novine“</w:t>
      </w:r>
      <w:r w:rsidR="003B747D">
        <w:rPr>
          <w:rFonts w:eastAsia="Times New Roman"/>
          <w:bCs/>
          <w:szCs w:val="20"/>
        </w:rPr>
        <w:t>,</w:t>
      </w:r>
      <w:r w:rsidRPr="003A09D3">
        <w:rPr>
          <w:rFonts w:eastAsia="Times New Roman"/>
          <w:bCs/>
          <w:szCs w:val="20"/>
        </w:rPr>
        <w:t xml:space="preserve"> br.</w:t>
      </w:r>
      <w:r w:rsidR="003B747D">
        <w:rPr>
          <w:rFonts w:eastAsia="Times New Roman"/>
          <w:bCs/>
          <w:szCs w:val="20"/>
        </w:rPr>
        <w:t xml:space="preserve"> </w:t>
      </w:r>
      <w:r>
        <w:rPr>
          <w:rFonts w:eastAsia="Times New Roman"/>
          <w:bCs/>
          <w:szCs w:val="20"/>
        </w:rPr>
        <w:t>146/20</w:t>
      </w:r>
      <w:r w:rsidR="000E1AE3">
        <w:rPr>
          <w:rFonts w:eastAsia="Times New Roman"/>
          <w:bCs/>
          <w:szCs w:val="20"/>
        </w:rPr>
        <w:t>.</w:t>
      </w:r>
      <w:r>
        <w:rPr>
          <w:rFonts w:eastAsia="Times New Roman"/>
          <w:bCs/>
          <w:szCs w:val="20"/>
        </w:rPr>
        <w:t xml:space="preserve"> i </w:t>
      </w:r>
      <w:r w:rsidRPr="003A09D3">
        <w:rPr>
          <w:rFonts w:eastAsia="Times New Roman"/>
          <w:bCs/>
          <w:szCs w:val="20"/>
        </w:rPr>
        <w:t>119/22</w:t>
      </w:r>
      <w:r w:rsidR="000E1AE3">
        <w:rPr>
          <w:rFonts w:eastAsia="Times New Roman"/>
          <w:bCs/>
          <w:szCs w:val="20"/>
        </w:rPr>
        <w:t xml:space="preserve">., u daljnjem tekstu: Zakon o </w:t>
      </w:r>
      <w:r w:rsidR="00CC221F">
        <w:rPr>
          <w:rFonts w:eastAsia="Times New Roman"/>
          <w:bCs/>
          <w:szCs w:val="20"/>
        </w:rPr>
        <w:t xml:space="preserve">sustavu </w:t>
      </w:r>
      <w:r w:rsidR="000E1AE3">
        <w:rPr>
          <w:rFonts w:eastAsia="Times New Roman"/>
          <w:bCs/>
          <w:szCs w:val="20"/>
        </w:rPr>
        <w:t>osiguranj</w:t>
      </w:r>
      <w:r w:rsidR="00CC221F">
        <w:rPr>
          <w:rFonts w:eastAsia="Times New Roman"/>
          <w:bCs/>
          <w:szCs w:val="20"/>
        </w:rPr>
        <w:t>a</w:t>
      </w:r>
      <w:r w:rsidR="000E1AE3">
        <w:rPr>
          <w:rFonts w:eastAsia="Times New Roman"/>
          <w:bCs/>
          <w:szCs w:val="20"/>
        </w:rPr>
        <w:t xml:space="preserve"> depozita</w:t>
      </w:r>
      <w:r>
        <w:rPr>
          <w:rFonts w:eastAsia="Times New Roman"/>
          <w:bCs/>
          <w:szCs w:val="20"/>
        </w:rPr>
        <w:t>). U imovinu Fonda osiguranja depozita</w:t>
      </w:r>
      <w:r w:rsidR="000E1AE3">
        <w:rPr>
          <w:rFonts w:eastAsia="Times New Roman"/>
          <w:bCs/>
          <w:szCs w:val="20"/>
        </w:rPr>
        <w:t xml:space="preserve"> (u daljnjem tekstu: Fond)</w:t>
      </w:r>
      <w:r>
        <w:rPr>
          <w:rFonts w:eastAsia="Times New Roman"/>
          <w:bCs/>
          <w:szCs w:val="20"/>
        </w:rPr>
        <w:t xml:space="preserve">, između ostalog, ulazi i </w:t>
      </w:r>
      <w:r w:rsidR="00F013B5" w:rsidRPr="0056598C">
        <w:rPr>
          <w:rFonts w:eastAsia="Times New Roman"/>
        </w:rPr>
        <w:t xml:space="preserve">100% temeljnog kapitala </w:t>
      </w:r>
      <w:r w:rsidR="00F013B5">
        <w:rPr>
          <w:rFonts w:eastAsia="Times New Roman"/>
        </w:rPr>
        <w:t>CROATIA BANKE</w:t>
      </w:r>
      <w:r w:rsidR="003B747D">
        <w:rPr>
          <w:rFonts w:eastAsia="Times New Roman"/>
        </w:rPr>
        <w:t>,</w:t>
      </w:r>
      <w:r w:rsidR="00F013B5">
        <w:rPr>
          <w:rFonts w:eastAsia="Times New Roman"/>
        </w:rPr>
        <w:t xml:space="preserve"> </w:t>
      </w:r>
      <w:r w:rsidR="003B747D">
        <w:rPr>
          <w:rFonts w:eastAsia="Times New Roman"/>
        </w:rPr>
        <w:t xml:space="preserve">dioničko društvo, </w:t>
      </w:r>
      <w:r w:rsidR="003B747D" w:rsidRPr="00BE301C">
        <w:rPr>
          <w:rFonts w:eastAsia="Times New Roman"/>
        </w:rPr>
        <w:t>Zagreb, Ulica Roberta Frangeša - Mihanovića 9, OIB: 32247795989</w:t>
      </w:r>
      <w:r w:rsidR="003B747D">
        <w:rPr>
          <w:rFonts w:eastAsia="Times New Roman"/>
        </w:rPr>
        <w:t xml:space="preserve"> (u daljnjem tekstu: CROATIA BANKA d.d.) </w:t>
      </w:r>
      <w:r w:rsidR="00F013B5">
        <w:rPr>
          <w:rFonts w:eastAsia="Times New Roman"/>
        </w:rPr>
        <w:t>u iznosu</w:t>
      </w:r>
      <w:r w:rsidR="00F013B5" w:rsidRPr="0056598C">
        <w:rPr>
          <w:rFonts w:eastAsia="Times New Roman"/>
        </w:rPr>
        <w:t xml:space="preserve"> 62.990.244,87 </w:t>
      </w:r>
      <w:r w:rsidR="00F013B5">
        <w:rPr>
          <w:rFonts w:eastAsia="Times New Roman"/>
        </w:rPr>
        <w:t xml:space="preserve">eura </w:t>
      </w:r>
      <w:r w:rsidR="00B954EC">
        <w:rPr>
          <w:rFonts w:eastAsia="Times New Roman"/>
        </w:rPr>
        <w:t>u obliku</w:t>
      </w:r>
      <w:r w:rsidRPr="0056598C">
        <w:rPr>
          <w:rFonts w:eastAsia="Times New Roman"/>
        </w:rPr>
        <w:t xml:space="preserve"> 4.746.000 redovnih dionica </w:t>
      </w:r>
      <w:r>
        <w:rPr>
          <w:rFonts w:eastAsia="Times New Roman"/>
        </w:rPr>
        <w:t xml:space="preserve">CROATIA BANKE d.d., </w:t>
      </w:r>
      <w:r w:rsidRPr="0056598C">
        <w:rPr>
          <w:rFonts w:eastAsia="Times New Roman"/>
        </w:rPr>
        <w:t>s pravom glasa, koje glase na ime, bez nominalnog iznosa koje se kao nematerijalizirani vrijednosni papiri vode u računalnom sustavu središnjeg depozitorija kojim upravlja</w:t>
      </w:r>
      <w:r>
        <w:rPr>
          <w:rFonts w:eastAsia="Times New Roman"/>
        </w:rPr>
        <w:t xml:space="preserve"> </w:t>
      </w:r>
      <w:r w:rsidRPr="00127207">
        <w:rPr>
          <w:rFonts w:eastAsia="Times New Roman"/>
        </w:rPr>
        <w:t>SREDIŠNJE KLIRINŠKO DEPOZITARNO DRUŠTVO, dioničko društvo, Zagreb, Ulica Vjekoslava Heinzela 62A, OIB: 64406809162</w:t>
      </w:r>
      <w:r>
        <w:rPr>
          <w:rFonts w:eastAsia="Times New Roman"/>
        </w:rPr>
        <w:t xml:space="preserve"> (u daljnjem tekstu: SKDD d.d.),</w:t>
      </w:r>
      <w:r w:rsidRPr="00127207">
        <w:rPr>
          <w:rFonts w:eastAsia="Times New Roman"/>
        </w:rPr>
        <w:t xml:space="preserve"> </w:t>
      </w:r>
      <w:r w:rsidRPr="0056598C">
        <w:rPr>
          <w:rFonts w:eastAsia="Times New Roman"/>
        </w:rPr>
        <w:t>pod oznakom CRBA-R-A, ISIN: HRCRBARA0007</w:t>
      </w:r>
      <w:r w:rsidR="003B747D">
        <w:rPr>
          <w:rFonts w:eastAsia="Times New Roman"/>
        </w:rPr>
        <w:t>.</w:t>
      </w:r>
      <w:r w:rsidRPr="0056598C">
        <w:rPr>
          <w:rFonts w:eastAsia="Times New Roman"/>
        </w:rPr>
        <w:t xml:space="preserve"> </w:t>
      </w:r>
    </w:p>
    <w:p w14:paraId="66927341" w14:textId="77777777" w:rsidR="003A09D3" w:rsidRDefault="003A09D3" w:rsidP="003A09D3">
      <w:pPr>
        <w:jc w:val="both"/>
        <w:rPr>
          <w:rFonts w:eastAsia="Times New Roman"/>
        </w:rPr>
      </w:pPr>
    </w:p>
    <w:p w14:paraId="4AB875A1" w14:textId="6AEDB8D5" w:rsidR="00884F24" w:rsidRDefault="006237CD" w:rsidP="00CC221F">
      <w:pPr>
        <w:jc w:val="both"/>
      </w:pPr>
      <w:r>
        <w:t>Dionice C</w:t>
      </w:r>
      <w:r w:rsidR="00A72151">
        <w:t xml:space="preserve">ROATIA BANKE </w:t>
      </w:r>
      <w:r>
        <w:t>d.d. predstavljaju imovinu Fonda</w:t>
      </w:r>
      <w:r w:rsidR="003B747D">
        <w:t xml:space="preserve"> osiguranja depozita (u daljnjem tekstu: Fond)</w:t>
      </w:r>
      <w:r>
        <w:t xml:space="preserve"> </w:t>
      </w:r>
      <w:r w:rsidR="00C628F1">
        <w:t xml:space="preserve">budući je </w:t>
      </w:r>
      <w:r w:rsidR="00FF10E2">
        <w:t xml:space="preserve">iz sredstava Fonda </w:t>
      </w:r>
      <w:r w:rsidR="00AB6007">
        <w:t xml:space="preserve">izvršena </w:t>
      </w:r>
      <w:r w:rsidR="00655FEA">
        <w:t>dokapitalizacija C</w:t>
      </w:r>
      <w:r w:rsidR="00A72151">
        <w:t xml:space="preserve">ROATIA BANKE </w:t>
      </w:r>
      <w:r w:rsidR="00655FEA">
        <w:t>d.d.</w:t>
      </w:r>
      <w:r w:rsidR="00050B95">
        <w:t>,</w:t>
      </w:r>
      <w:r w:rsidR="00655FEA">
        <w:t xml:space="preserve"> </w:t>
      </w:r>
      <w:r w:rsidR="00AB6007">
        <w:t>i to</w:t>
      </w:r>
      <w:r w:rsidR="00884F24">
        <w:t>:</w:t>
      </w:r>
    </w:p>
    <w:p w14:paraId="38301CBD" w14:textId="0B0230AD" w:rsidR="00291AE7" w:rsidRDefault="00884F24" w:rsidP="00CC221F">
      <w:pPr>
        <w:jc w:val="both"/>
      </w:pPr>
      <w:r>
        <w:t>-</w:t>
      </w:r>
      <w:r w:rsidR="00AB6007">
        <w:t xml:space="preserve"> </w:t>
      </w:r>
      <w:r>
        <w:t xml:space="preserve">pretvaranjem potraživanja po hibridnom </w:t>
      </w:r>
      <w:r w:rsidR="00D17F6F">
        <w:t>depozitu</w:t>
      </w:r>
      <w:r>
        <w:t xml:space="preserve"> u iznosu od 70</w:t>
      </w:r>
      <w:r w:rsidR="003B747D">
        <w:t xml:space="preserve">.000.000,00 </w:t>
      </w:r>
      <w:r>
        <w:t>kuna 28.</w:t>
      </w:r>
      <w:r w:rsidR="003B747D">
        <w:t xml:space="preserve"> listopada </w:t>
      </w:r>
      <w:r>
        <w:t>2008.</w:t>
      </w:r>
      <w:r w:rsidR="003B747D">
        <w:t>,</w:t>
      </w:r>
      <w:r>
        <w:t xml:space="preserve"> koje je</w:t>
      </w:r>
      <w:r w:rsidR="00387FD7">
        <w:t xml:space="preserve"> pretvoreno u temeljni kapital C</w:t>
      </w:r>
      <w:r w:rsidR="00A72151">
        <w:t xml:space="preserve">ROATIA BANKE </w:t>
      </w:r>
      <w:r w:rsidR="00387FD7">
        <w:t>d.d. u ožujku 2010.</w:t>
      </w:r>
      <w:r w:rsidR="003B747D">
        <w:t xml:space="preserve"> </w:t>
      </w:r>
      <w:r w:rsidR="00387FD7">
        <w:t>g</w:t>
      </w:r>
      <w:r w:rsidR="002F09D1">
        <w:t>odine</w:t>
      </w:r>
    </w:p>
    <w:p w14:paraId="1DFF25AC" w14:textId="3F655AB2" w:rsidR="00D17F6F" w:rsidRDefault="00D17F6F" w:rsidP="00CC221F">
      <w:pPr>
        <w:jc w:val="both"/>
      </w:pPr>
      <w:r>
        <w:t xml:space="preserve">- u obliku </w:t>
      </w:r>
      <w:r w:rsidR="00C87B13">
        <w:t>pretvaranja</w:t>
      </w:r>
      <w:r>
        <w:t xml:space="preserve"> potraživanja po hibridnim obveznicama u iznosu od 70</w:t>
      </w:r>
      <w:r w:rsidR="003B747D">
        <w:t xml:space="preserve">.000.000,00 </w:t>
      </w:r>
      <w:r>
        <w:t xml:space="preserve">kuna </w:t>
      </w:r>
      <w:r w:rsidR="0079129D">
        <w:t xml:space="preserve">u temeljni kapital </w:t>
      </w:r>
      <w:r w:rsidR="0092763F">
        <w:t>C</w:t>
      </w:r>
      <w:r w:rsidR="00A72151">
        <w:t xml:space="preserve">ROATIA BANKE </w:t>
      </w:r>
      <w:r w:rsidR="0092763F">
        <w:t xml:space="preserve">d.d. </w:t>
      </w:r>
      <w:r w:rsidR="001F049C">
        <w:t xml:space="preserve">te </w:t>
      </w:r>
      <w:r w:rsidR="0092763F">
        <w:t xml:space="preserve">dalje </w:t>
      </w:r>
      <w:r w:rsidR="001F049C">
        <w:t>u obliku dokapitalizacije, izdavanjem novih redovnih dionica, u iznosu od 130</w:t>
      </w:r>
      <w:r w:rsidR="003B747D">
        <w:t>.000.000,00 kuna</w:t>
      </w:r>
      <w:r w:rsidR="001F049C">
        <w:t>,</w:t>
      </w:r>
      <w:r w:rsidR="0092763F">
        <w:t xml:space="preserve"> proveden</w:t>
      </w:r>
      <w:r w:rsidR="007D2C25">
        <w:t>ima</w:t>
      </w:r>
      <w:r w:rsidR="0092763F">
        <w:t xml:space="preserve"> u prosincu 2012.</w:t>
      </w:r>
      <w:r w:rsidR="002F09D1">
        <w:t xml:space="preserve"> godine</w:t>
      </w:r>
      <w:r w:rsidR="003B747D">
        <w:t>.</w:t>
      </w:r>
      <w:r w:rsidR="002F09D1">
        <w:t xml:space="preserve"> </w:t>
      </w:r>
      <w:r w:rsidR="001F049C">
        <w:t xml:space="preserve"> </w:t>
      </w:r>
    </w:p>
    <w:p w14:paraId="323C097C" w14:textId="77777777" w:rsidR="003B747D" w:rsidRDefault="003B747D" w:rsidP="00CC221F">
      <w:pPr>
        <w:jc w:val="both"/>
      </w:pPr>
    </w:p>
    <w:p w14:paraId="79BDB89F" w14:textId="1FA27FA6" w:rsidR="001F70F5" w:rsidRPr="004249C1" w:rsidRDefault="00962F92" w:rsidP="00CC221F">
      <w:pPr>
        <w:jc w:val="both"/>
      </w:pPr>
      <w:r w:rsidRPr="004249C1">
        <w:t xml:space="preserve">Navedenom je prethodila </w:t>
      </w:r>
      <w:r w:rsidR="00B26B74" w:rsidRPr="004249C1">
        <w:t xml:space="preserve">neophodna početna </w:t>
      </w:r>
      <w:r w:rsidR="005A5236" w:rsidRPr="004249C1">
        <w:t xml:space="preserve">dokapitalizacija </w:t>
      </w:r>
      <w:r w:rsidR="00B26B74" w:rsidRPr="004249C1">
        <w:t>u iznosu od 204</w:t>
      </w:r>
      <w:r w:rsidR="003B747D">
        <w:t>.</w:t>
      </w:r>
      <w:r w:rsidR="00B26B74" w:rsidRPr="004249C1">
        <w:t>6</w:t>
      </w:r>
      <w:r w:rsidR="003B747D">
        <w:t xml:space="preserve">00.000,00 </w:t>
      </w:r>
      <w:r w:rsidR="00B26B74" w:rsidRPr="004249C1">
        <w:t>kuna koja izvrš</w:t>
      </w:r>
      <w:r w:rsidR="00FE71A2" w:rsidRPr="004249C1">
        <w:t>ena</w:t>
      </w:r>
      <w:r w:rsidR="00B26B74" w:rsidRPr="004249C1">
        <w:t xml:space="preserve"> u postupku </w:t>
      </w:r>
      <w:r w:rsidRPr="004249C1">
        <w:t>sanacij</w:t>
      </w:r>
      <w:r w:rsidR="00B26B74" w:rsidRPr="004249C1">
        <w:t>e C</w:t>
      </w:r>
      <w:r w:rsidR="00A72151" w:rsidRPr="00110FC5">
        <w:t xml:space="preserve">ROATIA BANKE </w:t>
      </w:r>
      <w:r w:rsidR="00B26B74" w:rsidRPr="004249C1">
        <w:t>d.d.</w:t>
      </w:r>
      <w:r w:rsidR="00FE71A2" w:rsidRPr="004249C1">
        <w:t xml:space="preserve"> od strane HAOD-a.</w:t>
      </w:r>
      <w:r w:rsidR="00B26B74" w:rsidRPr="004249C1">
        <w:t xml:space="preserve"> </w:t>
      </w:r>
      <w:r w:rsidR="00425628" w:rsidRPr="004249C1">
        <w:t xml:space="preserve">Napominje se da je HAOD izvršio povrat </w:t>
      </w:r>
      <w:r w:rsidR="001F70F5" w:rsidRPr="004249C1">
        <w:t>sredst</w:t>
      </w:r>
      <w:r w:rsidR="001E44C0" w:rsidRPr="00110FC5">
        <w:t>a</w:t>
      </w:r>
      <w:r w:rsidR="001F70F5" w:rsidRPr="004249C1">
        <w:t>va državnog proračuna korišten</w:t>
      </w:r>
      <w:r w:rsidR="00A40698" w:rsidRPr="00110FC5">
        <w:t>ih</w:t>
      </w:r>
      <w:r w:rsidR="001F70F5" w:rsidRPr="004249C1">
        <w:t xml:space="preserve"> u postupku sanacije C</w:t>
      </w:r>
      <w:r w:rsidR="00A72151" w:rsidRPr="00110FC5">
        <w:t>ROATIA BANKE d.d.</w:t>
      </w:r>
      <w:r w:rsidR="001F70F5" w:rsidRPr="004249C1">
        <w:t>,</w:t>
      </w:r>
      <w:r w:rsidR="001E44C0" w:rsidRPr="00110FC5">
        <w:t xml:space="preserve"> i to</w:t>
      </w:r>
      <w:r w:rsidR="001F70F5" w:rsidRPr="004249C1">
        <w:t xml:space="preserve"> </w:t>
      </w:r>
      <w:r w:rsidR="00425628" w:rsidRPr="004249C1">
        <w:t xml:space="preserve">prijenosom i ustupom imovine </w:t>
      </w:r>
      <w:r w:rsidR="009133B5" w:rsidRPr="00110FC5">
        <w:t xml:space="preserve">stečene u tom postupku </w:t>
      </w:r>
      <w:r w:rsidR="00425628" w:rsidRPr="004249C1">
        <w:t xml:space="preserve">na Republiku Hrvatsku </w:t>
      </w:r>
      <w:r w:rsidR="009133B5" w:rsidRPr="00110FC5">
        <w:t>2017.</w:t>
      </w:r>
      <w:r w:rsidR="003B747D">
        <w:t xml:space="preserve"> godine</w:t>
      </w:r>
      <w:r w:rsidR="009133B5" w:rsidRPr="00110FC5">
        <w:t xml:space="preserve"> </w:t>
      </w:r>
      <w:r w:rsidR="00425628" w:rsidRPr="004249C1">
        <w:t>te</w:t>
      </w:r>
      <w:r w:rsidR="009133B5" w:rsidRPr="00110FC5">
        <w:t xml:space="preserve"> daljnjom</w:t>
      </w:r>
      <w:r w:rsidR="00425628" w:rsidRPr="004249C1">
        <w:t xml:space="preserve"> uplatom </w:t>
      </w:r>
      <w:r w:rsidR="009133B5" w:rsidRPr="00110FC5">
        <w:t xml:space="preserve">sredstava </w:t>
      </w:r>
      <w:r w:rsidR="001E44C0" w:rsidRPr="00110FC5">
        <w:t xml:space="preserve">u državni proračun početkom </w:t>
      </w:r>
      <w:r w:rsidR="00E270F9" w:rsidRPr="004249C1">
        <w:t>2021.</w:t>
      </w:r>
      <w:r w:rsidR="003B747D">
        <w:t xml:space="preserve"> godine.</w:t>
      </w:r>
    </w:p>
    <w:p w14:paraId="489F9313" w14:textId="77777777" w:rsidR="00BA50A7" w:rsidRPr="004249C1" w:rsidRDefault="00BA50A7" w:rsidP="00CC221F">
      <w:pPr>
        <w:jc w:val="both"/>
      </w:pPr>
    </w:p>
    <w:p w14:paraId="106BE004" w14:textId="76663F86" w:rsidR="00425628" w:rsidRDefault="00CA7FA8" w:rsidP="00CC221F">
      <w:pPr>
        <w:jc w:val="both"/>
      </w:pPr>
      <w:r w:rsidRPr="00110FC5">
        <w:t xml:space="preserve">Naime, </w:t>
      </w:r>
      <w:r w:rsidR="00BA50A7" w:rsidRPr="004249C1">
        <w:t xml:space="preserve">HAOD </w:t>
      </w:r>
      <w:r w:rsidR="00547140" w:rsidRPr="004249C1">
        <w:t xml:space="preserve">se </w:t>
      </w:r>
      <w:r w:rsidR="00BA50A7" w:rsidRPr="004249C1">
        <w:t xml:space="preserve">više ne financira iz državnog proračuna, a sredstva Fonda ne predstavljaju državnu imovinu i ne mogu se smatrati državnom imovinom zbog </w:t>
      </w:r>
      <w:r w:rsidR="0073290D">
        <w:t>odredbi</w:t>
      </w:r>
      <w:r w:rsidR="00BA50A7" w:rsidRPr="004249C1">
        <w:t xml:space="preserve"> </w:t>
      </w:r>
      <w:r w:rsidR="00C519A2" w:rsidRPr="00110FC5">
        <w:t>Direktiv</w:t>
      </w:r>
      <w:r w:rsidR="0073290D">
        <w:t>e (EU)</w:t>
      </w:r>
      <w:r w:rsidR="00C519A2" w:rsidRPr="00110FC5">
        <w:t xml:space="preserve"> 2014/</w:t>
      </w:r>
      <w:r w:rsidR="00A85B69" w:rsidRPr="00110FC5">
        <w:t>4</w:t>
      </w:r>
      <w:r w:rsidR="00C519A2" w:rsidRPr="00110FC5">
        <w:t>9</w:t>
      </w:r>
      <w:r w:rsidR="00A85B69" w:rsidRPr="00110FC5">
        <w:t>/EU</w:t>
      </w:r>
      <w:r w:rsidR="00C519A2" w:rsidRPr="00110FC5">
        <w:t xml:space="preserve"> o sustavima osiguranja depozita</w:t>
      </w:r>
      <w:r w:rsidR="00A85B69" w:rsidRPr="00110FC5">
        <w:t xml:space="preserve"> </w:t>
      </w:r>
      <w:r w:rsidR="0073290D">
        <w:t>(</w:t>
      </w:r>
      <w:r w:rsidR="00BA50A7" w:rsidRPr="004249C1">
        <w:t>DGSD) i Z</w:t>
      </w:r>
      <w:r w:rsidR="00C519A2" w:rsidRPr="00110FC5">
        <w:t>akona o sustavu osiguranja depozita</w:t>
      </w:r>
      <w:r w:rsidR="00BA50A7" w:rsidRPr="004249C1">
        <w:t>. Odredb</w:t>
      </w:r>
      <w:r w:rsidR="0073290D">
        <w:t>ama</w:t>
      </w:r>
      <w:r w:rsidR="00BA50A7" w:rsidRPr="004249C1">
        <w:t xml:space="preserve"> čl</w:t>
      </w:r>
      <w:r w:rsidR="0073290D">
        <w:t>anaka</w:t>
      </w:r>
      <w:r w:rsidR="00BA50A7" w:rsidRPr="004249C1">
        <w:t xml:space="preserve"> 13. i 32. Z</w:t>
      </w:r>
      <w:r w:rsidR="00A85B69" w:rsidRPr="00110FC5">
        <w:t>akona o sustav</w:t>
      </w:r>
      <w:r w:rsidR="0073290D">
        <w:t>u</w:t>
      </w:r>
      <w:r w:rsidR="00A85B69" w:rsidRPr="00110FC5">
        <w:t xml:space="preserve"> osiguranja depozita </w:t>
      </w:r>
      <w:r w:rsidR="00BA50A7" w:rsidRPr="004249C1">
        <w:t xml:space="preserve">usklađen je izvor financiranja prema pravnoj stečevini Europske unije na način da se sustav osiguranja depozita ne može financirati na teret poreznih obveznika i državnog proračuna već isključivo na teret kreditnih institucija koje kao članice sustava osiguranja depozita solidarno odgovaraju za sve obveze sustava i </w:t>
      </w:r>
      <w:r w:rsidR="004249C1">
        <w:t>HAOD-a</w:t>
      </w:r>
      <w:r w:rsidR="00BA50A7" w:rsidRPr="004249C1">
        <w:t>.</w:t>
      </w:r>
    </w:p>
    <w:p w14:paraId="2C0E6140" w14:textId="77777777" w:rsidR="003A09D3" w:rsidRDefault="003A09D3" w:rsidP="003A09D3">
      <w:pPr>
        <w:jc w:val="both"/>
        <w:rPr>
          <w:rFonts w:eastAsia="Times New Roman"/>
        </w:rPr>
      </w:pPr>
    </w:p>
    <w:p w14:paraId="7F9C25C9" w14:textId="3C277003" w:rsidR="00EF4465" w:rsidRDefault="00135B78" w:rsidP="003727F5">
      <w:pPr>
        <w:jc w:val="both"/>
        <w:rPr>
          <w:rFonts w:eastAsia="Times New Roman"/>
          <w:lang w:eastAsia="hr-HR"/>
        </w:rPr>
      </w:pPr>
      <w:r>
        <w:t xml:space="preserve">Sukladno odredbama članka 16. </w:t>
      </w:r>
      <w:r>
        <w:rPr>
          <w:rFonts w:eastAsia="Times New Roman"/>
          <w:bCs/>
          <w:szCs w:val="20"/>
        </w:rPr>
        <w:t>Zakon</w:t>
      </w:r>
      <w:r w:rsidR="0073290D">
        <w:rPr>
          <w:rFonts w:eastAsia="Times New Roman"/>
          <w:bCs/>
          <w:szCs w:val="20"/>
        </w:rPr>
        <w:t>a</w:t>
      </w:r>
      <w:r>
        <w:rPr>
          <w:rFonts w:eastAsia="Times New Roman"/>
          <w:bCs/>
          <w:szCs w:val="20"/>
        </w:rPr>
        <w:t xml:space="preserve"> o sustavu osiguranja depozita</w:t>
      </w:r>
      <w:r w:rsidR="0073290D">
        <w:rPr>
          <w:rFonts w:eastAsia="Times New Roman"/>
          <w:bCs/>
          <w:szCs w:val="20"/>
        </w:rPr>
        <w:t>,</w:t>
      </w:r>
      <w:r>
        <w:t xml:space="preserve"> HAOD ulaže raspoloživa financijska sredstva Fonda isključivo u nisko rizičnu imovnu na dovoljno </w:t>
      </w:r>
      <w:r>
        <w:lastRenderedPageBreak/>
        <w:t>diverzificiran način kojemu je cilj očuvanje vrijednosti imovine te ograničenje rizika gubitaka od ulaganja.  Ujedno, sukladno europskoj regulativi, smjernicama Europskog nadzornog tijela za bankarstvo te najboljim međunarodnim praksama osiguravatelja depozita</w:t>
      </w:r>
      <w:r w:rsidR="0073290D">
        <w:t>,</w:t>
      </w:r>
      <w:r>
        <w:t xml:space="preserve"> sredstva Fonda moraju biti visoko</w:t>
      </w:r>
      <w:r w:rsidR="0073290D">
        <w:t xml:space="preserve"> </w:t>
      </w:r>
      <w:r>
        <w:t xml:space="preserve">likvidna imovina. Dakle, financijska sredstva Fonda </w:t>
      </w:r>
      <w:r w:rsidR="0034317C">
        <w:t xml:space="preserve">trebala bi </w:t>
      </w:r>
      <w:r>
        <w:t>biti raspoloživa u svakom trenutku</w:t>
      </w:r>
      <w:r w:rsidR="0073290D">
        <w:t xml:space="preserve"> </w:t>
      </w:r>
      <w:r>
        <w:t>za potrebe isplate osiguranih depozita uslijed nastupa osiguranog slučaj</w:t>
      </w:r>
      <w:r w:rsidR="0073290D">
        <w:t>a,</w:t>
      </w:r>
      <w:r>
        <w:t xml:space="preserve"> odnosno za potrebe</w:t>
      </w:r>
      <w:r w:rsidR="0073290D">
        <w:t xml:space="preserve"> </w:t>
      </w:r>
      <w:r>
        <w:t>provedbe postupka sanacije kreditnih institucija, poduzimanja preventivnih mjera za sprečavanje nastupa osiguranog slučaja ili alternativnih mjera prilikom provedbe postupka prisilne likvidacije. Rokovi za postupanje HAOD-a u tim slučajevima izuzetno su kratki u cilju o</w:t>
      </w:r>
      <w:r w:rsidR="001B3E56">
        <w:t xml:space="preserve">čuvanja povjerenja </w:t>
      </w:r>
      <w:r>
        <w:t>u financijsk</w:t>
      </w:r>
      <w:r w:rsidR="0073290D">
        <w:t>i</w:t>
      </w:r>
      <w:r>
        <w:t xml:space="preserve"> sustav i osiguranja financijske stabilnosti.</w:t>
      </w:r>
      <w:r w:rsidRPr="00286BBA">
        <w:rPr>
          <w:rFonts w:eastAsia="Times New Roman"/>
          <w:lang w:eastAsia="hr-HR"/>
        </w:rPr>
        <w:t xml:space="preserve"> </w:t>
      </w:r>
      <w:r w:rsidR="003A09D3" w:rsidRPr="00286BBA">
        <w:rPr>
          <w:rFonts w:eastAsia="Times New Roman"/>
          <w:lang w:eastAsia="hr-HR"/>
        </w:rPr>
        <w:t xml:space="preserve">Imajući u vidu da dionice </w:t>
      </w:r>
      <w:r w:rsidR="00B23911" w:rsidRPr="00B23911">
        <w:rPr>
          <w:rFonts w:eastAsia="Times New Roman"/>
          <w:lang w:eastAsia="hr-HR"/>
        </w:rPr>
        <w:t>CROATIA BANK</w:t>
      </w:r>
      <w:r w:rsidR="00B23911">
        <w:rPr>
          <w:rFonts w:eastAsia="Times New Roman"/>
          <w:lang w:eastAsia="hr-HR"/>
        </w:rPr>
        <w:t>E</w:t>
      </w:r>
      <w:r w:rsidR="00B23911" w:rsidRPr="00B23911">
        <w:rPr>
          <w:rFonts w:eastAsia="Times New Roman"/>
          <w:lang w:eastAsia="hr-HR"/>
        </w:rPr>
        <w:t xml:space="preserve"> d.d.</w:t>
      </w:r>
      <w:r w:rsidR="00B23911">
        <w:rPr>
          <w:rFonts w:eastAsia="Times New Roman"/>
          <w:lang w:eastAsia="hr-HR"/>
        </w:rPr>
        <w:t xml:space="preserve"> </w:t>
      </w:r>
      <w:r w:rsidR="001B3E56">
        <w:rPr>
          <w:rFonts w:eastAsia="Times New Roman"/>
          <w:lang w:eastAsia="hr-HR"/>
        </w:rPr>
        <w:t xml:space="preserve">ne </w:t>
      </w:r>
      <w:r w:rsidR="003A09D3" w:rsidRPr="00286BBA">
        <w:rPr>
          <w:rFonts w:eastAsia="Times New Roman"/>
          <w:lang w:eastAsia="hr-HR"/>
        </w:rPr>
        <w:t xml:space="preserve">predstavljaju </w:t>
      </w:r>
      <w:r w:rsidR="001B3E56">
        <w:rPr>
          <w:rFonts w:eastAsia="Times New Roman"/>
          <w:lang w:eastAsia="hr-HR"/>
        </w:rPr>
        <w:t>visoko likvidnu imovinu</w:t>
      </w:r>
      <w:r w:rsidR="003A09D3" w:rsidRPr="00286BBA">
        <w:rPr>
          <w:rFonts w:eastAsia="Times New Roman"/>
          <w:lang w:eastAsia="hr-HR"/>
        </w:rPr>
        <w:t xml:space="preserve">, njihovo držanje može otežati osiguravanje potrebne likvidnosti sredstava </w:t>
      </w:r>
      <w:r w:rsidR="003A09D3">
        <w:rPr>
          <w:rFonts w:eastAsia="Times New Roman"/>
          <w:lang w:eastAsia="hr-HR"/>
        </w:rPr>
        <w:t>F</w:t>
      </w:r>
      <w:r w:rsidR="003A09D3" w:rsidRPr="00286BBA">
        <w:rPr>
          <w:rFonts w:eastAsia="Times New Roman"/>
          <w:lang w:eastAsia="hr-HR"/>
        </w:rPr>
        <w:t xml:space="preserve">onda, koja je ključna za pravodobno izvršavanje njegovih zakonom propisanih funkcija, osobito u svrhu zaštite deponenata i očuvanja stabilnosti financijskog sustava. </w:t>
      </w:r>
    </w:p>
    <w:p w14:paraId="3D50479F" w14:textId="77777777" w:rsidR="0073290D" w:rsidRDefault="0073290D" w:rsidP="006E75A0">
      <w:pPr>
        <w:jc w:val="both"/>
        <w:rPr>
          <w:rFonts w:eastAsia="Times New Roman"/>
          <w:lang w:eastAsia="hr-HR"/>
        </w:rPr>
      </w:pPr>
    </w:p>
    <w:p w14:paraId="3CECE64D" w14:textId="342420D5" w:rsidR="006E75A0" w:rsidRDefault="00EF4465" w:rsidP="006E75A0">
      <w:pPr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HAOD je</w:t>
      </w:r>
      <w:r w:rsidR="0073290D">
        <w:rPr>
          <w:rFonts w:eastAsia="Times New Roman"/>
          <w:lang w:eastAsia="hr-HR"/>
        </w:rPr>
        <w:t>,</w:t>
      </w:r>
      <w:r>
        <w:rPr>
          <w:rFonts w:eastAsia="Times New Roman"/>
          <w:lang w:eastAsia="hr-HR"/>
        </w:rPr>
        <w:t xml:space="preserve"> u cilju usklađenja s regulativom</w:t>
      </w:r>
      <w:r w:rsidR="0073290D">
        <w:rPr>
          <w:rFonts w:eastAsia="Times New Roman"/>
          <w:lang w:eastAsia="hr-HR"/>
        </w:rPr>
        <w:t xml:space="preserve"> Europske unije</w:t>
      </w:r>
      <w:r>
        <w:rPr>
          <w:rFonts w:eastAsia="Times New Roman"/>
          <w:lang w:eastAsia="hr-HR"/>
        </w:rPr>
        <w:t>, smjernicama</w:t>
      </w:r>
      <w:r w:rsidR="0073290D">
        <w:rPr>
          <w:rFonts w:eastAsia="Times New Roman"/>
          <w:lang w:eastAsia="hr-HR"/>
        </w:rPr>
        <w:t xml:space="preserve"> Europskog nadzornog tijela za bankarstvo</w:t>
      </w:r>
      <w:r>
        <w:rPr>
          <w:rFonts w:eastAsia="Times New Roman"/>
          <w:lang w:eastAsia="hr-HR"/>
        </w:rPr>
        <w:t xml:space="preserve"> te najboljim međunarodnim praksama</w:t>
      </w:r>
      <w:r w:rsidR="0073290D" w:rsidRPr="0073290D">
        <w:t xml:space="preserve"> </w:t>
      </w:r>
      <w:r w:rsidR="0073290D">
        <w:t>osiguravatelja depozita,</w:t>
      </w:r>
      <w:r>
        <w:rPr>
          <w:rFonts w:eastAsia="Times New Roman"/>
          <w:lang w:eastAsia="hr-HR"/>
        </w:rPr>
        <w:t xml:space="preserve"> pokušao raspolagati dionicama </w:t>
      </w:r>
      <w:r w:rsidRPr="0095417C">
        <w:rPr>
          <w:rFonts w:eastAsia="Times New Roman"/>
          <w:lang w:eastAsia="hr-HR"/>
        </w:rPr>
        <w:t xml:space="preserve">Croatia banke d.d. </w:t>
      </w:r>
      <w:r>
        <w:rPr>
          <w:rFonts w:eastAsia="Times New Roman"/>
          <w:lang w:eastAsia="hr-HR"/>
        </w:rPr>
        <w:t xml:space="preserve">budući </w:t>
      </w:r>
      <w:r w:rsidR="00FD7C5B">
        <w:rPr>
          <w:rFonts w:eastAsia="Times New Roman"/>
          <w:lang w:eastAsia="hr-HR"/>
        </w:rPr>
        <w:t xml:space="preserve">da </w:t>
      </w:r>
      <w:r w:rsidRPr="0095417C">
        <w:rPr>
          <w:rFonts w:eastAsia="Times New Roman"/>
          <w:lang w:eastAsia="hr-HR"/>
        </w:rPr>
        <w:t xml:space="preserve">nisu </w:t>
      </w:r>
      <w:r w:rsidR="0073290D">
        <w:rPr>
          <w:rFonts w:eastAsia="Times New Roman"/>
          <w:lang w:eastAsia="hr-HR"/>
        </w:rPr>
        <w:t>uvrštene</w:t>
      </w:r>
      <w:r w:rsidRPr="0095417C">
        <w:rPr>
          <w:rFonts w:eastAsia="Times New Roman"/>
          <w:lang w:eastAsia="hr-HR"/>
        </w:rPr>
        <w:t xml:space="preserve"> na </w:t>
      </w:r>
      <w:r w:rsidR="0073290D">
        <w:rPr>
          <w:rFonts w:eastAsia="Times New Roman"/>
          <w:lang w:eastAsia="hr-HR"/>
        </w:rPr>
        <w:t xml:space="preserve">uređenom </w:t>
      </w:r>
      <w:r w:rsidRPr="0095417C">
        <w:rPr>
          <w:rFonts w:eastAsia="Times New Roman"/>
          <w:lang w:eastAsia="hr-HR"/>
        </w:rPr>
        <w:t xml:space="preserve">tržištu, što </w:t>
      </w:r>
      <w:r>
        <w:rPr>
          <w:rFonts w:eastAsia="Times New Roman"/>
          <w:lang w:eastAsia="hr-HR"/>
        </w:rPr>
        <w:t xml:space="preserve">je </w:t>
      </w:r>
      <w:r w:rsidRPr="0095417C">
        <w:rPr>
          <w:rFonts w:eastAsia="Times New Roman"/>
          <w:lang w:eastAsia="hr-HR"/>
        </w:rPr>
        <w:t>predstavlja</w:t>
      </w:r>
      <w:r>
        <w:rPr>
          <w:rFonts w:eastAsia="Times New Roman"/>
          <w:lang w:eastAsia="hr-HR"/>
        </w:rPr>
        <w:t>lo</w:t>
      </w:r>
      <w:r w:rsidRPr="0095417C">
        <w:rPr>
          <w:rFonts w:eastAsia="Times New Roman"/>
          <w:lang w:eastAsia="hr-HR"/>
        </w:rPr>
        <w:t xml:space="preserve"> daljnju prepreku u slučaju potrebe brzog unovčavanja navedene imovine. </w:t>
      </w:r>
      <w:r w:rsidR="006E75A0">
        <w:rPr>
          <w:rFonts w:eastAsia="Times New Roman"/>
          <w:lang w:eastAsia="hr-HR"/>
        </w:rPr>
        <w:t>Slijedom toga, sredinom 2025. godine HAOD je kao tijelo koje neovisno i samostalno upravlja Fondom, u skladu sa člankom 33. stavkom 4. Zakona o sustavu osiguranja depozita</w:t>
      </w:r>
      <w:r w:rsidR="00FD7C5B">
        <w:rPr>
          <w:rFonts w:eastAsia="Times New Roman"/>
          <w:lang w:eastAsia="hr-HR"/>
        </w:rPr>
        <w:t>,</w:t>
      </w:r>
      <w:r w:rsidR="006E75A0">
        <w:rPr>
          <w:rFonts w:eastAsia="Times New Roman"/>
          <w:lang w:eastAsia="hr-HR"/>
        </w:rPr>
        <w:t xml:space="preserve"> </w:t>
      </w:r>
      <w:r w:rsidR="006E75A0" w:rsidRPr="00666F69">
        <w:rPr>
          <w:rFonts w:eastAsia="Times New Roman"/>
          <w:lang w:eastAsia="hr-HR"/>
        </w:rPr>
        <w:t>započeo postup</w:t>
      </w:r>
      <w:r w:rsidR="006E75A0">
        <w:rPr>
          <w:rFonts w:eastAsia="Times New Roman"/>
          <w:lang w:eastAsia="hr-HR"/>
        </w:rPr>
        <w:t xml:space="preserve">ak raspolaganja dionicama </w:t>
      </w:r>
      <w:r w:rsidR="006E75A0" w:rsidRPr="00B23911">
        <w:rPr>
          <w:rFonts w:eastAsia="Times New Roman"/>
          <w:lang w:eastAsia="hr-HR"/>
        </w:rPr>
        <w:t>CROATIA BANK</w:t>
      </w:r>
      <w:r w:rsidR="006E75A0">
        <w:rPr>
          <w:rFonts w:eastAsia="Times New Roman"/>
          <w:lang w:eastAsia="hr-HR"/>
        </w:rPr>
        <w:t>E</w:t>
      </w:r>
      <w:r w:rsidR="006E75A0" w:rsidRPr="00B23911">
        <w:rPr>
          <w:rFonts w:eastAsia="Times New Roman"/>
          <w:lang w:eastAsia="hr-HR"/>
        </w:rPr>
        <w:t xml:space="preserve"> d.d.</w:t>
      </w:r>
      <w:r w:rsidR="006E75A0">
        <w:rPr>
          <w:rFonts w:eastAsia="Times New Roman"/>
          <w:lang w:eastAsia="hr-HR"/>
        </w:rPr>
        <w:t xml:space="preserve"> </w:t>
      </w:r>
      <w:r w:rsidR="006E75A0" w:rsidRPr="00666F69">
        <w:rPr>
          <w:rFonts w:eastAsia="Times New Roman"/>
          <w:lang w:eastAsia="hr-HR"/>
        </w:rPr>
        <w:t xml:space="preserve">i to na temelju prihvaćenog neobvezujućeg interesa i odluke </w:t>
      </w:r>
      <w:r w:rsidR="006E75A0">
        <w:rPr>
          <w:rFonts w:eastAsia="Times New Roman"/>
          <w:lang w:eastAsia="hr-HR"/>
        </w:rPr>
        <w:t>HAOD-a</w:t>
      </w:r>
      <w:r w:rsidR="006E75A0" w:rsidRPr="00666F69">
        <w:rPr>
          <w:rFonts w:eastAsia="Times New Roman"/>
          <w:lang w:eastAsia="hr-HR"/>
        </w:rPr>
        <w:t xml:space="preserve"> o početku razgovora oko prodaje dionica </w:t>
      </w:r>
      <w:r w:rsidR="006E75A0" w:rsidRPr="00B23911">
        <w:rPr>
          <w:rFonts w:eastAsia="Times New Roman"/>
          <w:lang w:eastAsia="hr-HR"/>
        </w:rPr>
        <w:t>CROATIA BANK</w:t>
      </w:r>
      <w:r w:rsidR="006E75A0">
        <w:rPr>
          <w:rFonts w:eastAsia="Times New Roman"/>
          <w:lang w:eastAsia="hr-HR"/>
        </w:rPr>
        <w:t>E</w:t>
      </w:r>
      <w:r w:rsidR="006E75A0" w:rsidRPr="00B23911">
        <w:rPr>
          <w:rFonts w:eastAsia="Times New Roman"/>
          <w:lang w:eastAsia="hr-HR"/>
        </w:rPr>
        <w:t xml:space="preserve"> d.d.</w:t>
      </w:r>
      <w:r w:rsidR="00FD7C5B">
        <w:rPr>
          <w:rFonts w:eastAsia="Times New Roman"/>
          <w:lang w:eastAsia="hr-HR"/>
        </w:rPr>
        <w:t xml:space="preserve"> s </w:t>
      </w:r>
      <w:r w:rsidR="00FD7C5B">
        <w:rPr>
          <w:rFonts w:eastAsia="Times New Roman"/>
        </w:rPr>
        <w:t>HRVATSKOM POŠTANSKOM BANKOM</w:t>
      </w:r>
      <w:r w:rsidR="00FD7C5B" w:rsidRPr="00966701">
        <w:rPr>
          <w:rFonts w:eastAsia="Times New Roman"/>
        </w:rPr>
        <w:t>, dioničko društvo, Zagreb, Jurišićeva ulica 4, OIB: 87939104217</w:t>
      </w:r>
      <w:r w:rsidR="00FD7C5B">
        <w:rPr>
          <w:rFonts w:eastAsia="Times New Roman"/>
        </w:rPr>
        <w:t xml:space="preserve"> (u daljnjem tekstu: HPB d.d.)</w:t>
      </w:r>
    </w:p>
    <w:p w14:paraId="4997A920" w14:textId="77777777" w:rsidR="0073290D" w:rsidRDefault="0073290D" w:rsidP="00EF4465">
      <w:pPr>
        <w:jc w:val="both"/>
        <w:rPr>
          <w:rFonts w:eastAsia="Times New Roman"/>
          <w:lang w:eastAsia="hr-HR"/>
        </w:rPr>
      </w:pPr>
    </w:p>
    <w:p w14:paraId="56028B69" w14:textId="325B9FC2" w:rsidR="00EF4465" w:rsidRDefault="006E75A0" w:rsidP="003727F5">
      <w:pPr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Napominje se da je r</w:t>
      </w:r>
      <w:r w:rsidR="00EF4465" w:rsidRPr="0095417C">
        <w:rPr>
          <w:rFonts w:eastAsia="Times New Roman"/>
          <w:lang w:eastAsia="hr-HR"/>
        </w:rPr>
        <w:t xml:space="preserve">aniji pokušaj prodaje </w:t>
      </w:r>
      <w:r w:rsidR="00FD7C5B">
        <w:rPr>
          <w:rFonts w:eastAsia="Times New Roman"/>
          <w:lang w:eastAsia="hr-HR"/>
        </w:rPr>
        <w:t xml:space="preserve">dionica </w:t>
      </w:r>
      <w:r w:rsidR="00FD7C5B" w:rsidRPr="00B23911">
        <w:rPr>
          <w:rFonts w:eastAsia="Times New Roman"/>
          <w:lang w:eastAsia="hr-HR"/>
        </w:rPr>
        <w:t>CROATIA BANK</w:t>
      </w:r>
      <w:r w:rsidR="00FD7C5B">
        <w:rPr>
          <w:rFonts w:eastAsia="Times New Roman"/>
          <w:lang w:eastAsia="hr-HR"/>
        </w:rPr>
        <w:t>E</w:t>
      </w:r>
      <w:r w:rsidR="00FD7C5B" w:rsidRPr="00B23911">
        <w:rPr>
          <w:rFonts w:eastAsia="Times New Roman"/>
          <w:lang w:eastAsia="hr-HR"/>
        </w:rPr>
        <w:t xml:space="preserve"> d.d.</w:t>
      </w:r>
      <w:r w:rsidR="00FD7C5B">
        <w:rPr>
          <w:rFonts w:eastAsia="Times New Roman"/>
          <w:lang w:eastAsia="hr-HR"/>
        </w:rPr>
        <w:t xml:space="preserve"> </w:t>
      </w:r>
      <w:r w:rsidR="00EF4465" w:rsidRPr="0095417C">
        <w:rPr>
          <w:rFonts w:eastAsia="Times New Roman"/>
          <w:lang w:eastAsia="hr-HR"/>
        </w:rPr>
        <w:t xml:space="preserve">u periodu </w:t>
      </w:r>
      <w:r w:rsidR="00FD7C5B">
        <w:rPr>
          <w:rFonts w:eastAsia="Times New Roman"/>
          <w:lang w:eastAsia="hr-HR"/>
        </w:rPr>
        <w:t xml:space="preserve">od </w:t>
      </w:r>
      <w:r w:rsidR="00EF4465" w:rsidRPr="0095417C">
        <w:rPr>
          <w:rFonts w:eastAsia="Times New Roman"/>
          <w:lang w:eastAsia="hr-HR"/>
        </w:rPr>
        <w:t>2020.</w:t>
      </w:r>
      <w:r w:rsidR="00FD7C5B">
        <w:rPr>
          <w:rFonts w:eastAsia="Times New Roman"/>
          <w:lang w:eastAsia="hr-HR"/>
        </w:rPr>
        <w:t xml:space="preserve"> do </w:t>
      </w:r>
      <w:r w:rsidR="00EF4465" w:rsidRPr="0095417C">
        <w:rPr>
          <w:rFonts w:eastAsia="Times New Roman"/>
          <w:lang w:eastAsia="hr-HR"/>
        </w:rPr>
        <w:t xml:space="preserve">2023. </w:t>
      </w:r>
      <w:r w:rsidR="00FD7C5B">
        <w:rPr>
          <w:rFonts w:eastAsia="Times New Roman"/>
          <w:lang w:eastAsia="hr-HR"/>
        </w:rPr>
        <w:t xml:space="preserve">godine </w:t>
      </w:r>
      <w:r w:rsidR="00EF4465" w:rsidRPr="0095417C">
        <w:rPr>
          <w:rFonts w:eastAsia="Times New Roman"/>
          <w:lang w:eastAsia="hr-HR"/>
        </w:rPr>
        <w:t>ostao bezuspješan</w:t>
      </w:r>
      <w:r w:rsidR="00B678A3">
        <w:rPr>
          <w:rFonts w:eastAsia="Times New Roman"/>
          <w:lang w:eastAsia="hr-HR"/>
        </w:rPr>
        <w:t xml:space="preserve"> jer </w:t>
      </w:r>
      <w:r w:rsidR="00EF4465" w:rsidRPr="0095417C">
        <w:rPr>
          <w:rFonts w:eastAsia="Times New Roman"/>
          <w:lang w:eastAsia="hr-HR"/>
        </w:rPr>
        <w:t>tadašnji zainteresirani ponuditelj</w:t>
      </w:r>
      <w:r w:rsidR="00B678A3">
        <w:rPr>
          <w:rFonts w:eastAsia="Times New Roman"/>
          <w:lang w:eastAsia="hr-HR"/>
        </w:rPr>
        <w:t>i</w:t>
      </w:r>
      <w:r w:rsidR="00EF4465" w:rsidRPr="0095417C">
        <w:rPr>
          <w:rFonts w:eastAsia="Times New Roman"/>
          <w:lang w:eastAsia="hr-HR"/>
        </w:rPr>
        <w:t xml:space="preserve"> nisu ispunjavali regulatorne zahtjeve za stjecanje kvalificiranog udjela</w:t>
      </w:r>
      <w:r w:rsidR="00486D46">
        <w:rPr>
          <w:rFonts w:eastAsia="Times New Roman"/>
          <w:lang w:eastAsia="hr-HR"/>
        </w:rPr>
        <w:t xml:space="preserve"> dok je </w:t>
      </w:r>
      <w:r w:rsidR="00FD7C5B">
        <w:rPr>
          <w:rFonts w:eastAsia="Times New Roman"/>
          <w:lang w:eastAsia="hr-HR"/>
        </w:rPr>
        <w:t>HPB</w:t>
      </w:r>
      <w:r w:rsidR="00EF4465" w:rsidRPr="0095417C">
        <w:rPr>
          <w:rFonts w:eastAsia="Times New Roman"/>
          <w:lang w:eastAsia="hr-HR"/>
        </w:rPr>
        <w:t xml:space="preserve"> d.d. kao kreditna institucija licencirani </w:t>
      </w:r>
      <w:r w:rsidR="00EF27BF" w:rsidRPr="0095417C">
        <w:rPr>
          <w:rFonts w:eastAsia="Times New Roman"/>
          <w:lang w:eastAsia="hr-HR"/>
        </w:rPr>
        <w:t xml:space="preserve">i prikladan </w:t>
      </w:r>
      <w:r w:rsidR="00EF4465" w:rsidRPr="0095417C">
        <w:rPr>
          <w:rFonts w:eastAsia="Times New Roman"/>
          <w:lang w:eastAsia="hr-HR"/>
        </w:rPr>
        <w:t>ponuditelj</w:t>
      </w:r>
      <w:r w:rsidR="00EF27BF">
        <w:rPr>
          <w:rFonts w:eastAsia="Times New Roman"/>
          <w:lang w:eastAsia="hr-HR"/>
        </w:rPr>
        <w:t xml:space="preserve"> </w:t>
      </w:r>
      <w:r w:rsidR="00EF4465" w:rsidRPr="0095417C">
        <w:rPr>
          <w:rFonts w:eastAsia="Times New Roman"/>
          <w:lang w:eastAsia="hr-HR"/>
        </w:rPr>
        <w:t xml:space="preserve">te ispunjava regulatorne zahtjeve za stjecanje kvalificiranog udjela. </w:t>
      </w:r>
    </w:p>
    <w:p w14:paraId="0E912DA3" w14:textId="26317A6D" w:rsidR="003A09D3" w:rsidRDefault="003A09D3" w:rsidP="003A09D3">
      <w:pPr>
        <w:jc w:val="both"/>
        <w:rPr>
          <w:rFonts w:eastAsia="Times New Roman"/>
          <w:lang w:eastAsia="hr-HR"/>
        </w:rPr>
      </w:pPr>
    </w:p>
    <w:p w14:paraId="691C1C34" w14:textId="1F686CA4" w:rsidR="004E7CE5" w:rsidRDefault="003A09D3" w:rsidP="0010529F">
      <w:pPr>
        <w:jc w:val="both"/>
      </w:pPr>
      <w:r>
        <w:rPr>
          <w:rFonts w:eastAsia="Times New Roman"/>
          <w:lang w:eastAsia="hr-HR"/>
        </w:rPr>
        <w:t xml:space="preserve">U međuvremenu je 1. listopada 2025. na snagu stupio </w:t>
      </w:r>
      <w:r w:rsidRPr="00FC350C">
        <w:rPr>
          <w:rFonts w:eastAsia="Times New Roman"/>
        </w:rPr>
        <w:t>Zakon o pravnim osobama u vlasništvu Republike Hrvatske</w:t>
      </w:r>
      <w:r>
        <w:rPr>
          <w:rFonts w:eastAsia="Times New Roman"/>
        </w:rPr>
        <w:t xml:space="preserve"> („Narodne novine“</w:t>
      </w:r>
      <w:r w:rsidR="00FD7C5B">
        <w:rPr>
          <w:rFonts w:eastAsia="Times New Roman"/>
        </w:rPr>
        <w:t>,</w:t>
      </w:r>
      <w:r>
        <w:rPr>
          <w:rFonts w:eastAsia="Times New Roman"/>
        </w:rPr>
        <w:t xml:space="preserve"> br. 102/25., u daljnjem tekstu: Zakon</w:t>
      </w:r>
      <w:r w:rsidR="00666F69">
        <w:rPr>
          <w:rFonts w:eastAsia="Times New Roman"/>
        </w:rPr>
        <w:t xml:space="preserve"> o pravnim osobama</w:t>
      </w:r>
      <w:r>
        <w:rPr>
          <w:rFonts w:eastAsia="Times New Roman"/>
        </w:rPr>
        <w:t>)</w:t>
      </w:r>
      <w:r w:rsidR="00666F69">
        <w:rPr>
          <w:rFonts w:eastAsia="Times New Roman"/>
        </w:rPr>
        <w:t xml:space="preserve">. U </w:t>
      </w:r>
      <w:r>
        <w:rPr>
          <w:rFonts w:eastAsia="Times New Roman"/>
        </w:rPr>
        <w:t>člank</w:t>
      </w:r>
      <w:r w:rsidR="00666F69">
        <w:rPr>
          <w:rFonts w:eastAsia="Times New Roman"/>
        </w:rPr>
        <w:t>u</w:t>
      </w:r>
      <w:r>
        <w:rPr>
          <w:rFonts w:eastAsia="Times New Roman"/>
        </w:rPr>
        <w:t xml:space="preserve"> </w:t>
      </w:r>
      <w:r w:rsidRPr="00286BBA">
        <w:rPr>
          <w:rFonts w:eastAsia="Times New Roman"/>
          <w:lang w:eastAsia="hr-HR"/>
        </w:rPr>
        <w:t>77. stavk</w:t>
      </w:r>
      <w:r w:rsidR="00666F69">
        <w:rPr>
          <w:rFonts w:eastAsia="Times New Roman"/>
          <w:lang w:eastAsia="hr-HR"/>
        </w:rPr>
        <w:t>u</w:t>
      </w:r>
      <w:r w:rsidRPr="00286BBA">
        <w:rPr>
          <w:rFonts w:eastAsia="Times New Roman"/>
          <w:lang w:eastAsia="hr-HR"/>
        </w:rPr>
        <w:t xml:space="preserve"> 3. Zakona </w:t>
      </w:r>
      <w:r w:rsidR="00666F69">
        <w:rPr>
          <w:rFonts w:eastAsia="Times New Roman"/>
          <w:lang w:eastAsia="hr-HR"/>
        </w:rPr>
        <w:t xml:space="preserve">o pravnim osobama </w:t>
      </w:r>
      <w:r w:rsidRPr="00286BBA">
        <w:rPr>
          <w:rFonts w:eastAsia="Times New Roman"/>
          <w:lang w:eastAsia="hr-HR"/>
        </w:rPr>
        <w:t xml:space="preserve">propisana </w:t>
      </w:r>
      <w:r w:rsidR="00666F69">
        <w:rPr>
          <w:rFonts w:eastAsia="Times New Roman"/>
          <w:lang w:eastAsia="hr-HR"/>
        </w:rPr>
        <w:t xml:space="preserve">je </w:t>
      </w:r>
      <w:r w:rsidRPr="00286BBA">
        <w:rPr>
          <w:rFonts w:eastAsia="Times New Roman"/>
          <w:lang w:eastAsia="hr-HR"/>
        </w:rPr>
        <w:t>obveza sklapanja sporazuma između HAOD-a i Republike Hrvatske radi prijenosa dionica i poslovnih udjela kojim se uređuju međusobna prava</w:t>
      </w:r>
      <w:r w:rsidR="00666F69">
        <w:rPr>
          <w:rFonts w:eastAsia="Times New Roman"/>
          <w:lang w:eastAsia="hr-HR"/>
        </w:rPr>
        <w:t xml:space="preserve"> i obveze, uključujući i naknadu</w:t>
      </w:r>
      <w:r w:rsidRPr="00286BBA">
        <w:rPr>
          <w:rFonts w:eastAsia="Times New Roman"/>
          <w:lang w:eastAsia="hr-HR"/>
        </w:rPr>
        <w:t xml:space="preserve"> za prenesene </w:t>
      </w:r>
      <w:r w:rsidR="00FD7C5B">
        <w:rPr>
          <w:rFonts w:eastAsia="Times New Roman"/>
          <w:lang w:eastAsia="hr-HR"/>
        </w:rPr>
        <w:t xml:space="preserve">dionice, odnosno poslovne </w:t>
      </w:r>
      <w:r w:rsidRPr="00286BBA">
        <w:rPr>
          <w:rFonts w:eastAsia="Times New Roman"/>
          <w:lang w:eastAsia="hr-HR"/>
        </w:rPr>
        <w:t xml:space="preserve">udjele. Budući da dionice i poslovni udjeli kojih je HAOD imatelj </w:t>
      </w:r>
      <w:r>
        <w:rPr>
          <w:rFonts w:eastAsia="Times New Roman"/>
          <w:lang w:eastAsia="hr-HR"/>
        </w:rPr>
        <w:t>čine</w:t>
      </w:r>
      <w:r w:rsidRPr="00286BBA">
        <w:rPr>
          <w:rFonts w:eastAsia="Times New Roman"/>
          <w:lang w:eastAsia="hr-HR"/>
        </w:rPr>
        <w:t xml:space="preserve"> imovinu </w:t>
      </w:r>
      <w:r>
        <w:rPr>
          <w:rFonts w:eastAsia="Times New Roman"/>
          <w:lang w:eastAsia="hr-HR"/>
        </w:rPr>
        <w:t>F</w:t>
      </w:r>
      <w:r w:rsidRPr="00286BBA">
        <w:rPr>
          <w:rFonts w:eastAsia="Times New Roman"/>
          <w:lang w:eastAsia="hr-HR"/>
        </w:rPr>
        <w:t>ond</w:t>
      </w:r>
      <w:r>
        <w:rPr>
          <w:rFonts w:eastAsia="Times New Roman"/>
          <w:lang w:eastAsia="hr-HR"/>
        </w:rPr>
        <w:t>a</w:t>
      </w:r>
      <w:r w:rsidR="000E1AE3">
        <w:rPr>
          <w:rFonts w:eastAsia="Times New Roman"/>
          <w:lang w:eastAsia="hr-HR"/>
        </w:rPr>
        <w:t xml:space="preserve"> </w:t>
      </w:r>
      <w:r w:rsidRPr="00286BBA">
        <w:rPr>
          <w:rFonts w:eastAsia="Times New Roman"/>
          <w:lang w:eastAsia="hr-HR"/>
        </w:rPr>
        <w:t xml:space="preserve">kojima </w:t>
      </w:r>
      <w:r w:rsidR="00666F69">
        <w:rPr>
          <w:rFonts w:eastAsia="Times New Roman"/>
          <w:lang w:eastAsia="hr-HR"/>
        </w:rPr>
        <w:t>HAOD</w:t>
      </w:r>
      <w:r w:rsidR="00B23911">
        <w:rPr>
          <w:rFonts w:eastAsia="Times New Roman"/>
          <w:lang w:eastAsia="hr-HR"/>
        </w:rPr>
        <w:t>,</w:t>
      </w:r>
      <w:r w:rsidR="00666F69">
        <w:rPr>
          <w:rFonts w:eastAsia="Times New Roman"/>
          <w:lang w:eastAsia="hr-HR"/>
        </w:rPr>
        <w:t xml:space="preserve"> </w:t>
      </w:r>
      <w:r w:rsidR="00B23911" w:rsidRPr="00286BBA">
        <w:rPr>
          <w:rFonts w:eastAsia="Times New Roman"/>
          <w:lang w:eastAsia="hr-HR"/>
        </w:rPr>
        <w:t xml:space="preserve">sukladno </w:t>
      </w:r>
      <w:r w:rsidR="009F3F9C">
        <w:rPr>
          <w:rFonts w:eastAsia="Times New Roman"/>
          <w:lang w:eastAsia="hr-HR"/>
        </w:rPr>
        <w:t xml:space="preserve">članku 33. </w:t>
      </w:r>
      <w:r w:rsidR="00B23911" w:rsidRPr="00666F69">
        <w:rPr>
          <w:rFonts w:eastAsia="Times New Roman"/>
          <w:lang w:eastAsia="hr-HR"/>
        </w:rPr>
        <w:t>Zakona o sustavu osiguranja depozita</w:t>
      </w:r>
      <w:r w:rsidR="00FD7C5B">
        <w:rPr>
          <w:rFonts w:eastAsia="Times New Roman"/>
          <w:lang w:eastAsia="hr-HR"/>
        </w:rPr>
        <w:t>,</w:t>
      </w:r>
      <w:r w:rsidR="00B23911">
        <w:rPr>
          <w:rFonts w:eastAsia="Times New Roman"/>
          <w:lang w:eastAsia="hr-HR"/>
        </w:rPr>
        <w:t xml:space="preserve"> </w:t>
      </w:r>
      <w:r w:rsidR="000E1AE3">
        <w:rPr>
          <w:rFonts w:eastAsia="Times New Roman"/>
          <w:bCs/>
          <w:szCs w:val="20"/>
        </w:rPr>
        <w:t>samostalno i neovisno</w:t>
      </w:r>
      <w:r w:rsidR="00666F69">
        <w:rPr>
          <w:rFonts w:eastAsia="Times New Roman"/>
          <w:lang w:eastAsia="hr-HR"/>
        </w:rPr>
        <w:t xml:space="preserve"> </w:t>
      </w:r>
      <w:r w:rsidRPr="00286BBA">
        <w:rPr>
          <w:rFonts w:eastAsia="Times New Roman"/>
          <w:lang w:eastAsia="hr-HR"/>
        </w:rPr>
        <w:t xml:space="preserve">upravlja u ime i za račun </w:t>
      </w:r>
      <w:r w:rsidRPr="00FC6F68">
        <w:rPr>
          <w:rFonts w:eastAsia="Times New Roman"/>
          <w:lang w:eastAsia="hr-HR"/>
        </w:rPr>
        <w:t>Fonda</w:t>
      </w:r>
      <w:r w:rsidR="00666F69" w:rsidRPr="00FC6F68">
        <w:rPr>
          <w:rFonts w:eastAsia="Times New Roman"/>
          <w:lang w:eastAsia="hr-HR"/>
        </w:rPr>
        <w:t>,</w:t>
      </w:r>
      <w:r w:rsidRPr="00FC6F68">
        <w:rPr>
          <w:rFonts w:eastAsia="Times New Roman"/>
          <w:lang w:eastAsia="hr-HR"/>
        </w:rPr>
        <w:t xml:space="preserve"> odredbom </w:t>
      </w:r>
      <w:r w:rsidR="00384B0E">
        <w:rPr>
          <w:rFonts w:eastAsia="Times New Roman"/>
          <w:lang w:eastAsia="hr-HR"/>
        </w:rPr>
        <w:t>članka 77. stavak 3. Zakona o pravnim osobama</w:t>
      </w:r>
      <w:r w:rsidR="00384B0E" w:rsidRPr="00FC6F68">
        <w:rPr>
          <w:rFonts w:eastAsia="Times New Roman"/>
          <w:lang w:eastAsia="hr-HR"/>
        </w:rPr>
        <w:t xml:space="preserve"> </w:t>
      </w:r>
      <w:r w:rsidRPr="00FC6F68">
        <w:rPr>
          <w:rFonts w:eastAsia="Times New Roman"/>
          <w:lang w:eastAsia="hr-HR"/>
        </w:rPr>
        <w:t xml:space="preserve">obuhvaćena je </w:t>
      </w:r>
      <w:r w:rsidR="001849A8">
        <w:rPr>
          <w:rFonts w:eastAsia="Times New Roman"/>
          <w:lang w:eastAsia="hr-HR"/>
        </w:rPr>
        <w:t>i</w:t>
      </w:r>
      <w:r w:rsidRPr="00FC6F68">
        <w:rPr>
          <w:rFonts w:eastAsia="Times New Roman"/>
          <w:lang w:eastAsia="hr-HR"/>
        </w:rPr>
        <w:t>movin</w:t>
      </w:r>
      <w:r w:rsidR="001849A8">
        <w:rPr>
          <w:rFonts w:eastAsia="Times New Roman"/>
          <w:lang w:eastAsia="hr-HR"/>
        </w:rPr>
        <w:t>a</w:t>
      </w:r>
      <w:r w:rsidR="004E7CE5">
        <w:rPr>
          <w:rFonts w:eastAsia="Times New Roman"/>
          <w:lang w:eastAsia="hr-HR"/>
        </w:rPr>
        <w:t xml:space="preserve"> Fonda</w:t>
      </w:r>
      <w:r w:rsidRPr="00FC6F68">
        <w:rPr>
          <w:rFonts w:eastAsia="Times New Roman"/>
          <w:lang w:eastAsia="hr-HR"/>
        </w:rPr>
        <w:t>.</w:t>
      </w:r>
      <w:r w:rsidR="004E7CE5">
        <w:rPr>
          <w:rFonts w:eastAsia="Times New Roman"/>
          <w:lang w:eastAsia="hr-HR"/>
        </w:rPr>
        <w:t xml:space="preserve"> </w:t>
      </w:r>
      <w:r w:rsidR="00E17E0A">
        <w:rPr>
          <w:rFonts w:eastAsia="Times New Roman"/>
          <w:lang w:eastAsia="hr-HR"/>
        </w:rPr>
        <w:t>Nasuprot tome</w:t>
      </w:r>
      <w:r w:rsidR="004E7CE5">
        <w:rPr>
          <w:rFonts w:eastAsia="Times New Roman"/>
          <w:lang w:eastAsia="hr-HR"/>
        </w:rPr>
        <w:t>,</w:t>
      </w:r>
      <w:r w:rsidR="00666F69" w:rsidRPr="003727F5">
        <w:t xml:space="preserve"> </w:t>
      </w:r>
      <w:r w:rsidR="004E7CE5">
        <w:t>člankom 77. stavkom 1. Zakona o pravnim osobama propisano je da se stupanjem na snagu</w:t>
      </w:r>
      <w:r w:rsidR="00E17E0A">
        <w:t xml:space="preserve"> tog Z</w:t>
      </w:r>
      <w:r w:rsidR="004E7CE5">
        <w:t xml:space="preserve">akona dionice </w:t>
      </w:r>
      <w:r w:rsidR="004E7CE5">
        <w:lastRenderedPageBreak/>
        <w:t xml:space="preserve">i poslovni udjeli, između ostalih, u vlasništvu HAOD-a smatraju dionicama i poslovnim udjelima Republike Hrvatske. Navedena </w:t>
      </w:r>
      <w:r w:rsidR="00E17E0A">
        <w:t>odredba odnosi se</w:t>
      </w:r>
      <w:r w:rsidR="004E7CE5">
        <w:t xml:space="preserve"> na dionice i poslovne udjele čiji je vlasnik HAOD i </w:t>
      </w:r>
      <w:r w:rsidR="00E17E0A">
        <w:t xml:space="preserve">koje stoga predstavljaju imovinu HAOD-a, te se takve dionice i poslovni udjeli prenose na Republiku Hrvatsku bez naknade. To, međutim, nije slučaj s dionicama CROATIA BANKE d.d. jer iste predstavljaju imovinu Fonda, kojima HAOD </w:t>
      </w:r>
      <w:r w:rsidR="00384B0E">
        <w:t xml:space="preserve">samo </w:t>
      </w:r>
      <w:r w:rsidR="00E17E0A">
        <w:t>upravlja</w:t>
      </w:r>
      <w:r w:rsidR="00384B0E">
        <w:t>.</w:t>
      </w:r>
    </w:p>
    <w:p w14:paraId="7B305086" w14:textId="77777777" w:rsidR="004E7CE5" w:rsidRDefault="004E7CE5" w:rsidP="0010529F">
      <w:pPr>
        <w:jc w:val="both"/>
      </w:pPr>
    </w:p>
    <w:p w14:paraId="0A1ECD7D" w14:textId="5323925B" w:rsidR="0010529F" w:rsidRPr="003727F5" w:rsidRDefault="00B23911" w:rsidP="0010529F">
      <w:pPr>
        <w:jc w:val="both"/>
      </w:pPr>
      <w:r w:rsidRPr="003727F5">
        <w:t>S obzirom da je</w:t>
      </w:r>
      <w:r w:rsidR="0010529F" w:rsidRPr="003727F5">
        <w:t xml:space="preserve"> postupak raspolaganja dionicama CROATIA BANKE d.d. započeo</w:t>
      </w:r>
      <w:r w:rsidRPr="003727F5">
        <w:t xml:space="preserve"> </w:t>
      </w:r>
      <w:r w:rsidR="0010529F" w:rsidRPr="003727F5">
        <w:t>prije stupanja na snagu Zakona o pravnim osobama, i to s</w:t>
      </w:r>
      <w:r w:rsidR="009F3F9C">
        <w:t xml:space="preserve"> HPB-om d.d. kao</w:t>
      </w:r>
      <w:r w:rsidR="0010529F" w:rsidRPr="003727F5">
        <w:t xml:space="preserve"> pravnom osobom u odnosu na koju Republika Hrvatska ima prevladavajući utjecaj</w:t>
      </w:r>
      <w:r w:rsidR="001849A8">
        <w:t>,</w:t>
      </w:r>
      <w:r w:rsidR="0010529F" w:rsidRPr="003727F5">
        <w:t xml:space="preserve"> kako je definirano člankom 4. točkom 11. Zakona o pravnim osobama, Sporazumom se utvrđuje </w:t>
      </w:r>
      <w:r w:rsidR="001849A8">
        <w:t>da</w:t>
      </w:r>
      <w:r w:rsidR="0010529F" w:rsidRPr="003727F5">
        <w:t xml:space="preserve"> u slučaju uspješnog okončanja postupka raspolaganja dionicama CROATIA BANKE d.d. Republika Hrvatska neće steći te dionice. S druge strane, ako se započeti postupak raspolaganja dionicama okonča neuspješno, HAOD će prenijeti dionice</w:t>
      </w:r>
      <w:r w:rsidR="0010529F" w:rsidRPr="00FC6F68">
        <w:t xml:space="preserve"> </w:t>
      </w:r>
      <w:r w:rsidR="0010529F" w:rsidRPr="003727F5">
        <w:t xml:space="preserve">CROATIA BANKE d.d. na Republiku Hrvatska, a nakon što se izvrši procjena </w:t>
      </w:r>
      <w:r w:rsidR="009F3F9C">
        <w:t xml:space="preserve">njihove </w:t>
      </w:r>
      <w:r w:rsidR="0010529F" w:rsidRPr="003727F5">
        <w:t>vrijednosti u skladu s važećim zakonodav</w:t>
      </w:r>
      <w:r w:rsidR="001849A8">
        <w:t>nim okvirom</w:t>
      </w:r>
      <w:r w:rsidR="0010529F" w:rsidRPr="003727F5">
        <w:t>, odnosno u skladu s propisom kojim se uređuju načini raspolaganja dionicama i udjelima trgovačkih društava čiji je imatelj Republika Hrvatska</w:t>
      </w:r>
      <w:r w:rsidR="009F3F9C">
        <w:t>,</w:t>
      </w:r>
      <w:r w:rsidR="0010529F" w:rsidRPr="003727F5">
        <w:t xml:space="preserve"> pri čemu bi Republika Hrvatska bila obvezna platiti naknadu za prijenos </w:t>
      </w:r>
      <w:r w:rsidR="009F3F9C">
        <w:t xml:space="preserve">predmetnih </w:t>
      </w:r>
      <w:r w:rsidR="0010529F" w:rsidRPr="003727F5">
        <w:t xml:space="preserve">dionica tek nakon </w:t>
      </w:r>
      <w:r w:rsidR="009F3F9C">
        <w:t xml:space="preserve">njihovog </w:t>
      </w:r>
      <w:r w:rsidR="0010529F" w:rsidRPr="003727F5">
        <w:t xml:space="preserve">unovčenja. Međutim, u slučaju nedostatnosti sredstava u Fondu, za potrebe izvršavanja </w:t>
      </w:r>
      <w:r w:rsidR="00FC6F68" w:rsidRPr="003727F5">
        <w:t xml:space="preserve">njegovih </w:t>
      </w:r>
      <w:r w:rsidR="0010529F" w:rsidRPr="003727F5">
        <w:t>zakonskih obaveza</w:t>
      </w:r>
      <w:r w:rsidR="00FC6F68" w:rsidRPr="003727F5">
        <w:t>,</w:t>
      </w:r>
      <w:r w:rsidR="0010529F" w:rsidRPr="003727F5">
        <w:t xml:space="preserve"> </w:t>
      </w:r>
      <w:r w:rsidR="00FC6F68" w:rsidRPr="003727F5">
        <w:t xml:space="preserve">HAOD bi bio ovlašten od Republike Hrvatske </w:t>
      </w:r>
      <w:r w:rsidR="0010529F" w:rsidRPr="003727F5">
        <w:t xml:space="preserve">zatražiti isplatu naknade za prijenos dionica </w:t>
      </w:r>
      <w:r w:rsidR="00FC6F68" w:rsidRPr="003727F5">
        <w:t>i prije nego Republika Hrvatska unovči dionice CROATIA BANKE d.d.</w:t>
      </w:r>
      <w:r w:rsidR="009F3F9C">
        <w:t>,</w:t>
      </w:r>
      <w:r w:rsidR="00FC6F68" w:rsidRPr="003727F5">
        <w:t xml:space="preserve"> </w:t>
      </w:r>
      <w:r w:rsidR="001849A8">
        <w:t>odnosno</w:t>
      </w:r>
      <w:r w:rsidR="00FC6F68" w:rsidRPr="003727F5">
        <w:t xml:space="preserve"> zatražiti isplatu  iz državnog proračuna i to</w:t>
      </w:r>
      <w:r w:rsidR="0010529F" w:rsidRPr="003727F5">
        <w:t xml:space="preserve"> u visini procijenjene vrijednosti dionica </w:t>
      </w:r>
      <w:r w:rsidR="00FC6F68" w:rsidRPr="003727F5">
        <w:t xml:space="preserve">CROATIA BANKE d.d. </w:t>
      </w:r>
    </w:p>
    <w:p w14:paraId="6BFFA215" w14:textId="77777777" w:rsidR="00FC6F68" w:rsidRPr="00FC6F68" w:rsidRDefault="00FC6F68" w:rsidP="00FC6F68">
      <w:pPr>
        <w:jc w:val="both"/>
        <w:rPr>
          <w:rFonts w:eastAsia="Times New Roman"/>
        </w:rPr>
      </w:pPr>
    </w:p>
    <w:p w14:paraId="1DB1B570" w14:textId="6252F769" w:rsidR="00FC6F68" w:rsidRDefault="00FC6F68" w:rsidP="00FC6F68">
      <w:pPr>
        <w:jc w:val="both"/>
        <w:rPr>
          <w:rFonts w:eastAsia="Times New Roman"/>
        </w:rPr>
      </w:pPr>
      <w:r>
        <w:rPr>
          <w:rFonts w:eastAsia="Times New Roman"/>
        </w:rPr>
        <w:t>Isto tako, u</w:t>
      </w:r>
      <w:r w:rsidRPr="00FC6F68">
        <w:rPr>
          <w:rFonts w:eastAsia="Times New Roman"/>
        </w:rPr>
        <w:t xml:space="preserve"> imovinu Fonda</w:t>
      </w:r>
      <w:r>
        <w:rPr>
          <w:rFonts w:eastAsia="Times New Roman"/>
        </w:rPr>
        <w:t xml:space="preserve">, između ostalog, ulazi i </w:t>
      </w:r>
      <w:r w:rsidR="005869DF">
        <w:rPr>
          <w:rFonts w:eastAsia="Times New Roman"/>
        </w:rPr>
        <w:t xml:space="preserve">8,98% temeljnog kapitala HPB-a d.d. u iznosu </w:t>
      </w:r>
      <w:r w:rsidR="005869DF">
        <w:t xml:space="preserve">14.545.440,00 eura od ukupno </w:t>
      </w:r>
      <w:r w:rsidR="005869DF" w:rsidRPr="008D273A">
        <w:t xml:space="preserve">161.970.000,00 </w:t>
      </w:r>
      <w:r w:rsidR="005869DF">
        <w:t xml:space="preserve">eura, u obliku </w:t>
      </w:r>
      <w:r>
        <w:t xml:space="preserve">181.818 redovnih </w:t>
      </w:r>
      <w:r>
        <w:rPr>
          <w:rFonts w:eastAsia="Times New Roman"/>
        </w:rPr>
        <w:t xml:space="preserve">dionica od ukupno 2.024.625 </w:t>
      </w:r>
      <w:r w:rsidRPr="00127207">
        <w:rPr>
          <w:rFonts w:eastAsia="Times New Roman"/>
        </w:rPr>
        <w:t>redovnih dionica</w:t>
      </w:r>
      <w:r w:rsidR="009F3F9C">
        <w:rPr>
          <w:rFonts w:eastAsia="Times New Roman"/>
        </w:rPr>
        <w:t xml:space="preserve"> HPB-a d.d.</w:t>
      </w:r>
      <w:r w:rsidRPr="00127207">
        <w:rPr>
          <w:rFonts w:eastAsia="Times New Roman"/>
        </w:rPr>
        <w:t xml:space="preserve"> s pravom glasa, koje glase na ime, svaka u nominalnom iznosu od 80,00 </w:t>
      </w:r>
      <w:r>
        <w:rPr>
          <w:rFonts w:eastAsia="Times New Roman"/>
        </w:rPr>
        <w:t>eura</w:t>
      </w:r>
      <w:r w:rsidRPr="00127207">
        <w:rPr>
          <w:rFonts w:eastAsia="Times New Roman"/>
        </w:rPr>
        <w:t xml:space="preserve">, izdane u nematerijaliziranom obliku i postoje samo u obliku elektroničkog zapisa u središnjem depozitoriju nematerijaliziranih vrijednosnih papira kojim upravlja </w:t>
      </w:r>
      <w:r>
        <w:rPr>
          <w:rFonts w:eastAsia="Times New Roman"/>
        </w:rPr>
        <w:t>SKDD d.d. Prijenos dionica HPB-a d.d. koje su</w:t>
      </w:r>
      <w:r w:rsidRPr="00FC6F68">
        <w:rPr>
          <w:rFonts w:eastAsia="Times New Roman"/>
        </w:rPr>
        <w:t xml:space="preserve"> imovin</w:t>
      </w:r>
      <w:r>
        <w:rPr>
          <w:rFonts w:eastAsia="Times New Roman"/>
        </w:rPr>
        <w:t>a</w:t>
      </w:r>
      <w:r w:rsidRPr="00FC6F68">
        <w:rPr>
          <w:rFonts w:eastAsia="Times New Roman"/>
        </w:rPr>
        <w:t xml:space="preserve"> Fonda </w:t>
      </w:r>
      <w:r>
        <w:rPr>
          <w:rFonts w:eastAsia="Times New Roman"/>
        </w:rPr>
        <w:t xml:space="preserve">na Republiku Hrvatsku, uključujući naknadu za prenesene dionice će se urediti posebnim sporazumom.    </w:t>
      </w:r>
    </w:p>
    <w:p w14:paraId="40974220" w14:textId="45982D99" w:rsidR="00B23911" w:rsidRDefault="00B23911" w:rsidP="003A09D3">
      <w:pPr>
        <w:jc w:val="both"/>
        <w:rPr>
          <w:rFonts w:eastAsia="Times New Roman"/>
          <w:lang w:eastAsia="hr-HR"/>
        </w:rPr>
      </w:pPr>
    </w:p>
    <w:p w14:paraId="3B7DB65C" w14:textId="39E21933" w:rsidR="00B23911" w:rsidRPr="00E055B5" w:rsidRDefault="003A09D3" w:rsidP="00B23911">
      <w:pPr>
        <w:jc w:val="both"/>
        <w:rPr>
          <w:rFonts w:eastAsia="Times New Roman"/>
        </w:rPr>
      </w:pPr>
      <w:r w:rsidRPr="00286BBA">
        <w:rPr>
          <w:rFonts w:eastAsia="Times New Roman"/>
          <w:lang w:eastAsia="hr-HR"/>
        </w:rPr>
        <w:t xml:space="preserve">Slijedom </w:t>
      </w:r>
      <w:r w:rsidR="00666F69">
        <w:rPr>
          <w:rFonts w:eastAsia="Times New Roman"/>
          <w:lang w:eastAsia="hr-HR"/>
        </w:rPr>
        <w:t>svega navedenog</w:t>
      </w:r>
      <w:r w:rsidRPr="00286BBA">
        <w:rPr>
          <w:rFonts w:eastAsia="Times New Roman"/>
          <w:lang w:eastAsia="hr-HR"/>
        </w:rPr>
        <w:t xml:space="preserve">, </w:t>
      </w:r>
      <w:r w:rsidR="00666F69">
        <w:rPr>
          <w:rFonts w:eastAsia="Times New Roman"/>
          <w:lang w:eastAsia="hr-HR"/>
        </w:rPr>
        <w:t xml:space="preserve">a uzevši u obzir činjenicu da </w:t>
      </w:r>
      <w:r w:rsidR="009F3F9C">
        <w:rPr>
          <w:rFonts w:eastAsia="Times New Roman"/>
          <w:lang w:eastAsia="hr-HR"/>
        </w:rPr>
        <w:t>smanjenje izloženosti Fonda</w:t>
      </w:r>
      <w:r w:rsidR="009F3F9C" w:rsidRPr="00286BBA">
        <w:rPr>
          <w:rFonts w:eastAsia="Times New Roman"/>
          <w:lang w:eastAsia="hr-HR"/>
        </w:rPr>
        <w:t xml:space="preserve"> </w:t>
      </w:r>
      <w:r w:rsidR="009F3F9C">
        <w:rPr>
          <w:rFonts w:eastAsia="Times New Roman"/>
          <w:lang w:eastAsia="hr-HR"/>
        </w:rPr>
        <w:t>nelikvidnim</w:t>
      </w:r>
      <w:r w:rsidR="009F3F9C" w:rsidRPr="00666F69">
        <w:rPr>
          <w:rFonts w:eastAsia="Times New Roman"/>
          <w:lang w:eastAsia="hr-HR"/>
        </w:rPr>
        <w:t xml:space="preserve"> obli</w:t>
      </w:r>
      <w:r w:rsidR="009F3F9C">
        <w:rPr>
          <w:rFonts w:eastAsia="Times New Roman"/>
          <w:lang w:eastAsia="hr-HR"/>
        </w:rPr>
        <w:t>cima</w:t>
      </w:r>
      <w:r w:rsidR="009F3F9C" w:rsidRPr="00666F69">
        <w:rPr>
          <w:rFonts w:eastAsia="Times New Roman"/>
          <w:lang w:eastAsia="hr-HR"/>
        </w:rPr>
        <w:t xml:space="preserve"> imovine</w:t>
      </w:r>
      <w:r w:rsidRPr="00286BBA">
        <w:rPr>
          <w:rFonts w:eastAsia="Times New Roman"/>
          <w:lang w:eastAsia="hr-HR"/>
        </w:rPr>
        <w:t>, uključujući prodaju</w:t>
      </w:r>
      <w:r w:rsidR="009F3F9C">
        <w:rPr>
          <w:rFonts w:eastAsia="Times New Roman"/>
          <w:lang w:eastAsia="hr-HR"/>
        </w:rPr>
        <w:t xml:space="preserve"> takve imovine</w:t>
      </w:r>
      <w:r w:rsidRPr="00286BBA">
        <w:rPr>
          <w:rFonts w:eastAsia="Times New Roman"/>
          <w:lang w:eastAsia="hr-HR"/>
        </w:rPr>
        <w:t>, predstavlja legitimnu mjeru upravljanja imovinom Fonda usmjerenu na očuvanje njegove likvidnosti i financijske stabilnosti, pri čemu HAOD djeluje u ime i za račun Fonda, u okviru zakonom utvrđene svrhe korištenja tih sredstava</w:t>
      </w:r>
      <w:r w:rsidR="00FC6F68">
        <w:rPr>
          <w:rFonts w:eastAsia="Times New Roman"/>
          <w:lang w:eastAsia="hr-HR"/>
        </w:rPr>
        <w:t>,</w:t>
      </w:r>
      <w:r w:rsidR="00B23911">
        <w:rPr>
          <w:rFonts w:eastAsia="Times New Roman"/>
          <w:lang w:eastAsia="hr-HR"/>
        </w:rPr>
        <w:t xml:space="preserve"> ovom se Odlukom </w:t>
      </w:r>
      <w:r w:rsidR="00B23911">
        <w:rPr>
          <w:rFonts w:eastAsia="Calibri"/>
        </w:rPr>
        <w:t>ovlašćuje potpredsjednik</w:t>
      </w:r>
      <w:r w:rsidR="00B23911" w:rsidRPr="009C3E17">
        <w:rPr>
          <w:rFonts w:eastAsia="Calibri"/>
        </w:rPr>
        <w:t xml:space="preserve"> Vlade</w:t>
      </w:r>
      <w:r w:rsidR="00B23911">
        <w:rPr>
          <w:rFonts w:eastAsia="Calibri"/>
        </w:rPr>
        <w:t xml:space="preserve"> </w:t>
      </w:r>
      <w:r w:rsidR="00B23911">
        <w:t>Republike Hrvatske</w:t>
      </w:r>
      <w:r w:rsidR="00B23911" w:rsidRPr="009C3E17">
        <w:rPr>
          <w:rFonts w:eastAsia="Calibri"/>
        </w:rPr>
        <w:t xml:space="preserve"> </w:t>
      </w:r>
      <w:r w:rsidR="00B23911">
        <w:rPr>
          <w:rFonts w:eastAsia="Calibri"/>
        </w:rPr>
        <w:t xml:space="preserve">i ministar financija dr. sc. Tomislav Ćorić </w:t>
      </w:r>
      <w:r w:rsidR="00B23911">
        <w:rPr>
          <w:rFonts w:eastAsia="Times New Roman"/>
        </w:rPr>
        <w:t xml:space="preserve">za potpisivanje </w:t>
      </w:r>
      <w:r w:rsidR="00B23911" w:rsidRPr="00A97B19">
        <w:rPr>
          <w:rFonts w:eastAsia="Times New Roman"/>
        </w:rPr>
        <w:t xml:space="preserve">Sporazuma </w:t>
      </w:r>
      <w:r w:rsidR="00B23911">
        <w:rPr>
          <w:rFonts w:eastAsia="Times New Roman"/>
        </w:rPr>
        <w:t xml:space="preserve">o </w:t>
      </w:r>
      <w:r w:rsidR="00B23911" w:rsidRPr="002742C8">
        <w:rPr>
          <w:rFonts w:eastAsia="Times New Roman"/>
        </w:rPr>
        <w:t xml:space="preserve">prijenosu dionica </w:t>
      </w:r>
      <w:r w:rsidR="00B23911">
        <w:rPr>
          <w:rFonts w:eastAsia="Times New Roman"/>
        </w:rPr>
        <w:t xml:space="preserve">CROATIA BANKE d.d. Također, zadužuje se Ministarstvo financija </w:t>
      </w:r>
      <w:r w:rsidR="00B23911" w:rsidRPr="00B23911">
        <w:rPr>
          <w:rFonts w:eastAsia="Times New Roman"/>
        </w:rPr>
        <w:t>za poduzimanje svih potrebnih pravnih</w:t>
      </w:r>
      <w:r w:rsidR="00B23911">
        <w:rPr>
          <w:rFonts w:eastAsia="Times New Roman"/>
        </w:rPr>
        <w:t xml:space="preserve"> radnji vezanih za potpisivanje navedenog </w:t>
      </w:r>
      <w:r w:rsidR="00B23911" w:rsidRPr="00B23911">
        <w:rPr>
          <w:rFonts w:eastAsia="Times New Roman"/>
        </w:rPr>
        <w:t>Sporazuma</w:t>
      </w:r>
      <w:r w:rsidR="00B23911">
        <w:rPr>
          <w:rFonts w:eastAsia="Times New Roman"/>
        </w:rPr>
        <w:t xml:space="preserve">, kao i za dostavu HAOD-u potpisanog </w:t>
      </w:r>
      <w:r w:rsidR="00B23911" w:rsidRPr="00A97B19">
        <w:rPr>
          <w:rFonts w:eastAsia="Times New Roman"/>
        </w:rPr>
        <w:t>Spora</w:t>
      </w:r>
      <w:r w:rsidR="00B23911" w:rsidRPr="00A97B19">
        <w:rPr>
          <w:rFonts w:eastAsia="Times New Roman"/>
        </w:rPr>
        <w:lastRenderedPageBreak/>
        <w:t xml:space="preserve">zuma </w:t>
      </w:r>
      <w:r w:rsidR="00B23911">
        <w:rPr>
          <w:rFonts w:eastAsia="Times New Roman"/>
        </w:rPr>
        <w:t xml:space="preserve">o </w:t>
      </w:r>
      <w:r w:rsidR="00B23911" w:rsidRPr="002742C8">
        <w:rPr>
          <w:rFonts w:eastAsia="Times New Roman"/>
        </w:rPr>
        <w:t xml:space="preserve">prijenosu dionica </w:t>
      </w:r>
      <w:r w:rsidR="00B23911">
        <w:rPr>
          <w:rFonts w:eastAsia="Times New Roman"/>
        </w:rPr>
        <w:t>CROATIA BANKE d.d.</w:t>
      </w:r>
      <w:r w:rsidR="00FC6F68">
        <w:rPr>
          <w:rFonts w:eastAsia="Times New Roman"/>
        </w:rPr>
        <w:t xml:space="preserve"> </w:t>
      </w:r>
      <w:r w:rsidR="00CC221F">
        <w:rPr>
          <w:rFonts w:eastAsia="Times New Roman"/>
        </w:rPr>
        <w:t>U</w:t>
      </w:r>
      <w:r w:rsidR="00FC6F68">
        <w:rPr>
          <w:rFonts w:eastAsia="Times New Roman"/>
        </w:rPr>
        <w:t xml:space="preserve"> </w:t>
      </w:r>
      <w:r w:rsidR="00B23911" w:rsidRPr="00E055B5">
        <w:rPr>
          <w:rFonts w:eastAsia="Times New Roman"/>
        </w:rPr>
        <w:t xml:space="preserve">svrhu ostvarivanja prava i ispunjavanja obveza stranaka iz </w:t>
      </w:r>
      <w:r w:rsidR="00CC221F">
        <w:rPr>
          <w:rFonts w:eastAsia="Times New Roman"/>
        </w:rPr>
        <w:t>predmetnog</w:t>
      </w:r>
      <w:r w:rsidR="00FC6F68">
        <w:rPr>
          <w:rFonts w:eastAsia="Times New Roman"/>
        </w:rPr>
        <w:t xml:space="preserve"> </w:t>
      </w:r>
      <w:r w:rsidR="00B23911">
        <w:rPr>
          <w:rFonts w:eastAsia="Times New Roman"/>
        </w:rPr>
        <w:t>S</w:t>
      </w:r>
      <w:r w:rsidR="00B23911" w:rsidRPr="00E055B5">
        <w:rPr>
          <w:rFonts w:eastAsia="Times New Roman"/>
        </w:rPr>
        <w:t xml:space="preserve">porazuma </w:t>
      </w:r>
      <w:r w:rsidR="00B23911" w:rsidRPr="00284B35">
        <w:t xml:space="preserve">osigurat će se </w:t>
      </w:r>
      <w:r w:rsidR="00B23911" w:rsidRPr="00E055B5">
        <w:rPr>
          <w:rFonts w:eastAsia="Times New Roman"/>
        </w:rPr>
        <w:t xml:space="preserve">sredstva </w:t>
      </w:r>
      <w:r w:rsidR="00B23911">
        <w:rPr>
          <w:rFonts w:eastAsia="Times New Roman"/>
        </w:rPr>
        <w:t>u državnom proračunu</w:t>
      </w:r>
      <w:r w:rsidR="00B23911" w:rsidRPr="00E055B5">
        <w:rPr>
          <w:rFonts w:eastAsia="Times New Roman"/>
        </w:rPr>
        <w:t xml:space="preserve"> Republike Hrvatske.</w:t>
      </w:r>
    </w:p>
    <w:p w14:paraId="60C9BB61" w14:textId="77777777" w:rsidR="00B23911" w:rsidRPr="00E055B5" w:rsidRDefault="00B23911" w:rsidP="00B23911">
      <w:pPr>
        <w:jc w:val="both"/>
        <w:rPr>
          <w:rFonts w:eastAsia="Times New Roman"/>
          <w:b/>
        </w:rPr>
      </w:pPr>
    </w:p>
    <w:p w14:paraId="55DA55E7" w14:textId="6794B876" w:rsidR="00AA1F03" w:rsidRDefault="00AA1F03" w:rsidP="002742C8">
      <w:pPr>
        <w:jc w:val="both"/>
      </w:pPr>
    </w:p>
    <w:sectPr w:rsidR="00AA1F03" w:rsidSect="00D17B43">
      <w:footerReference w:type="default" r:id="rId15"/>
      <w:pgSz w:w="11907" w:h="16840" w:code="9"/>
      <w:pgMar w:top="993" w:right="1418" w:bottom="1440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9F808" w14:textId="77777777" w:rsidR="00E73CBE" w:rsidRDefault="00E73CBE" w:rsidP="005C677D">
      <w:r>
        <w:separator/>
      </w:r>
    </w:p>
  </w:endnote>
  <w:endnote w:type="continuationSeparator" w:id="0">
    <w:p w14:paraId="1BD127D5" w14:textId="77777777" w:rsidR="00E73CBE" w:rsidRDefault="00E73CBE" w:rsidP="005C6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1FDA7" w14:textId="1A21DF04" w:rsidR="00D17B43" w:rsidRDefault="00D17B43">
    <w:pPr>
      <w:pStyle w:val="Footer"/>
      <w:jc w:val="right"/>
    </w:pPr>
  </w:p>
  <w:p w14:paraId="0F5B725A" w14:textId="77777777" w:rsidR="00D17B43" w:rsidRDefault="00D17B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05889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E703AEF" w14:textId="52EFE7C2" w:rsidR="00D17B43" w:rsidRPr="00D17B43" w:rsidRDefault="00D17B43">
        <w:pPr>
          <w:pStyle w:val="Footer"/>
          <w:jc w:val="right"/>
          <w:rPr>
            <w:rFonts w:ascii="Times New Roman" w:hAnsi="Times New Roman"/>
          </w:rPr>
        </w:pPr>
        <w:r w:rsidRPr="00D17B43">
          <w:rPr>
            <w:rFonts w:ascii="Times New Roman" w:hAnsi="Times New Roman"/>
          </w:rPr>
          <w:fldChar w:fldCharType="begin"/>
        </w:r>
        <w:r w:rsidRPr="00D17B43">
          <w:rPr>
            <w:rFonts w:ascii="Times New Roman" w:hAnsi="Times New Roman"/>
          </w:rPr>
          <w:instrText>PAGE   \* MERGEFORMAT</w:instrText>
        </w:r>
        <w:r w:rsidRPr="00D17B43">
          <w:rPr>
            <w:rFonts w:ascii="Times New Roman" w:hAnsi="Times New Roman"/>
          </w:rPr>
          <w:fldChar w:fldCharType="separate"/>
        </w:r>
        <w:r w:rsidR="00C706EC" w:rsidRPr="00C706EC">
          <w:rPr>
            <w:rFonts w:ascii="Times New Roman" w:hAnsi="Times New Roman"/>
            <w:noProof/>
            <w:lang w:val="hr-HR"/>
          </w:rPr>
          <w:t>1</w:t>
        </w:r>
        <w:r w:rsidRPr="00D17B43">
          <w:rPr>
            <w:rFonts w:ascii="Times New Roman" w:hAnsi="Times New Roman"/>
          </w:rPr>
          <w:fldChar w:fldCharType="end"/>
        </w:r>
      </w:p>
    </w:sdtContent>
  </w:sdt>
  <w:p w14:paraId="2291A79C" w14:textId="77777777" w:rsidR="00D17B43" w:rsidRDefault="00D17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7F64A" w14:textId="77777777" w:rsidR="00E73CBE" w:rsidRDefault="00E73CBE" w:rsidP="005C677D">
      <w:r>
        <w:separator/>
      </w:r>
    </w:p>
  </w:footnote>
  <w:footnote w:type="continuationSeparator" w:id="0">
    <w:p w14:paraId="672E8169" w14:textId="77777777" w:rsidR="00E73CBE" w:rsidRDefault="00E73CBE" w:rsidP="005C6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96C60" w14:textId="16A4A34B" w:rsidR="00BF28C7" w:rsidRDefault="00BF28C7">
    <w:pPr>
      <w:pStyle w:val="Header"/>
    </w:pPr>
  </w:p>
  <w:p w14:paraId="46562604" w14:textId="77777777" w:rsidR="00FE62B1" w:rsidRDefault="00FE62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D65C0"/>
    <w:multiLevelType w:val="hybridMultilevel"/>
    <w:tmpl w:val="98D6E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A74AF"/>
    <w:multiLevelType w:val="hybridMultilevel"/>
    <w:tmpl w:val="4CC6CDC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07704A"/>
    <w:multiLevelType w:val="hybridMultilevel"/>
    <w:tmpl w:val="2AECF64E"/>
    <w:lvl w:ilvl="0" w:tplc="378C6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E4CE3"/>
    <w:multiLevelType w:val="hybridMultilevel"/>
    <w:tmpl w:val="E814F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C5EE1"/>
    <w:multiLevelType w:val="hybridMultilevel"/>
    <w:tmpl w:val="BE8A2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8C"/>
    <w:rsid w:val="00001A25"/>
    <w:rsid w:val="00016E29"/>
    <w:rsid w:val="0002244C"/>
    <w:rsid w:val="00031CA4"/>
    <w:rsid w:val="00050B95"/>
    <w:rsid w:val="00054147"/>
    <w:rsid w:val="000579F6"/>
    <w:rsid w:val="00096132"/>
    <w:rsid w:val="000972A0"/>
    <w:rsid w:val="000A7C03"/>
    <w:rsid w:val="000A7C93"/>
    <w:rsid w:val="000C18CE"/>
    <w:rsid w:val="000D0A3B"/>
    <w:rsid w:val="000D7D0A"/>
    <w:rsid w:val="000E1AE3"/>
    <w:rsid w:val="000E3792"/>
    <w:rsid w:val="0010529F"/>
    <w:rsid w:val="001075EA"/>
    <w:rsid w:val="00110FC5"/>
    <w:rsid w:val="00126BF4"/>
    <w:rsid w:val="00127207"/>
    <w:rsid w:val="00134D80"/>
    <w:rsid w:val="00135B78"/>
    <w:rsid w:val="00147382"/>
    <w:rsid w:val="00155828"/>
    <w:rsid w:val="00156502"/>
    <w:rsid w:val="00184781"/>
    <w:rsid w:val="001849A8"/>
    <w:rsid w:val="001A72F0"/>
    <w:rsid w:val="001B3E56"/>
    <w:rsid w:val="001C174E"/>
    <w:rsid w:val="001C5427"/>
    <w:rsid w:val="001D264D"/>
    <w:rsid w:val="001D769F"/>
    <w:rsid w:val="001E44C0"/>
    <w:rsid w:val="001E7F98"/>
    <w:rsid w:val="001F049C"/>
    <w:rsid w:val="001F129E"/>
    <w:rsid w:val="001F1C11"/>
    <w:rsid w:val="001F3E8C"/>
    <w:rsid w:val="001F70F5"/>
    <w:rsid w:val="00206F37"/>
    <w:rsid w:val="00223846"/>
    <w:rsid w:val="00231218"/>
    <w:rsid w:val="00241844"/>
    <w:rsid w:val="002512D9"/>
    <w:rsid w:val="00260F12"/>
    <w:rsid w:val="00266B6C"/>
    <w:rsid w:val="0027308D"/>
    <w:rsid w:val="002742C8"/>
    <w:rsid w:val="00274DEE"/>
    <w:rsid w:val="002828FA"/>
    <w:rsid w:val="00284B35"/>
    <w:rsid w:val="00291AE7"/>
    <w:rsid w:val="002A6152"/>
    <w:rsid w:val="002C59C0"/>
    <w:rsid w:val="002C7F32"/>
    <w:rsid w:val="002D7BE8"/>
    <w:rsid w:val="002E5AB3"/>
    <w:rsid w:val="002F09D1"/>
    <w:rsid w:val="002F48BC"/>
    <w:rsid w:val="0032184D"/>
    <w:rsid w:val="00333542"/>
    <w:rsid w:val="0034317C"/>
    <w:rsid w:val="00347436"/>
    <w:rsid w:val="00357384"/>
    <w:rsid w:val="003727F5"/>
    <w:rsid w:val="00374967"/>
    <w:rsid w:val="00384B0E"/>
    <w:rsid w:val="00387FD7"/>
    <w:rsid w:val="00395821"/>
    <w:rsid w:val="00395F63"/>
    <w:rsid w:val="003A09D3"/>
    <w:rsid w:val="003B747D"/>
    <w:rsid w:val="003C30F7"/>
    <w:rsid w:val="003C508D"/>
    <w:rsid w:val="003D59B2"/>
    <w:rsid w:val="003E03B4"/>
    <w:rsid w:val="003F6E4C"/>
    <w:rsid w:val="00400DD8"/>
    <w:rsid w:val="00407744"/>
    <w:rsid w:val="004105F3"/>
    <w:rsid w:val="00411621"/>
    <w:rsid w:val="00420FAB"/>
    <w:rsid w:val="004249C1"/>
    <w:rsid w:val="00425628"/>
    <w:rsid w:val="00430336"/>
    <w:rsid w:val="00447655"/>
    <w:rsid w:val="00451135"/>
    <w:rsid w:val="00486D46"/>
    <w:rsid w:val="004B0132"/>
    <w:rsid w:val="004B6F8B"/>
    <w:rsid w:val="004C666F"/>
    <w:rsid w:val="004D0507"/>
    <w:rsid w:val="004D17EA"/>
    <w:rsid w:val="004D4010"/>
    <w:rsid w:val="004E32F9"/>
    <w:rsid w:val="004E7CE5"/>
    <w:rsid w:val="004F1D4B"/>
    <w:rsid w:val="00511110"/>
    <w:rsid w:val="005227FF"/>
    <w:rsid w:val="00524E03"/>
    <w:rsid w:val="00525BBB"/>
    <w:rsid w:val="00526D71"/>
    <w:rsid w:val="00527676"/>
    <w:rsid w:val="005324DB"/>
    <w:rsid w:val="00544565"/>
    <w:rsid w:val="00547140"/>
    <w:rsid w:val="00552E6D"/>
    <w:rsid w:val="005577F1"/>
    <w:rsid w:val="0056598C"/>
    <w:rsid w:val="00572AA2"/>
    <w:rsid w:val="005748B3"/>
    <w:rsid w:val="00584C12"/>
    <w:rsid w:val="005869DF"/>
    <w:rsid w:val="00595169"/>
    <w:rsid w:val="005A5236"/>
    <w:rsid w:val="005C677D"/>
    <w:rsid w:val="005E3DE6"/>
    <w:rsid w:val="005E7F81"/>
    <w:rsid w:val="005F1F25"/>
    <w:rsid w:val="005F49E0"/>
    <w:rsid w:val="006056DC"/>
    <w:rsid w:val="00611930"/>
    <w:rsid w:val="0061790E"/>
    <w:rsid w:val="006237CD"/>
    <w:rsid w:val="00627FF6"/>
    <w:rsid w:val="0063236B"/>
    <w:rsid w:val="00640325"/>
    <w:rsid w:val="006459E8"/>
    <w:rsid w:val="0064663D"/>
    <w:rsid w:val="00650434"/>
    <w:rsid w:val="00650AA4"/>
    <w:rsid w:val="006548E4"/>
    <w:rsid w:val="00655FEA"/>
    <w:rsid w:val="00666F69"/>
    <w:rsid w:val="00677EC3"/>
    <w:rsid w:val="00686208"/>
    <w:rsid w:val="00695AA4"/>
    <w:rsid w:val="00696425"/>
    <w:rsid w:val="006A1B1B"/>
    <w:rsid w:val="006A2F4C"/>
    <w:rsid w:val="006A7472"/>
    <w:rsid w:val="006B7E14"/>
    <w:rsid w:val="006C1862"/>
    <w:rsid w:val="006C4CA8"/>
    <w:rsid w:val="006C5A2E"/>
    <w:rsid w:val="006D0F3C"/>
    <w:rsid w:val="006D4D1A"/>
    <w:rsid w:val="006E6543"/>
    <w:rsid w:val="006E75A0"/>
    <w:rsid w:val="00716156"/>
    <w:rsid w:val="007212AF"/>
    <w:rsid w:val="0073034B"/>
    <w:rsid w:val="0073290D"/>
    <w:rsid w:val="007363AA"/>
    <w:rsid w:val="00737E31"/>
    <w:rsid w:val="00744C58"/>
    <w:rsid w:val="007659F9"/>
    <w:rsid w:val="0076770C"/>
    <w:rsid w:val="007739C8"/>
    <w:rsid w:val="00773D82"/>
    <w:rsid w:val="0079129D"/>
    <w:rsid w:val="00796E6B"/>
    <w:rsid w:val="0079734F"/>
    <w:rsid w:val="007A3407"/>
    <w:rsid w:val="007B2196"/>
    <w:rsid w:val="007B2684"/>
    <w:rsid w:val="007B2974"/>
    <w:rsid w:val="007B6A76"/>
    <w:rsid w:val="007D2C25"/>
    <w:rsid w:val="007F5646"/>
    <w:rsid w:val="008320C3"/>
    <w:rsid w:val="0084165A"/>
    <w:rsid w:val="0085417B"/>
    <w:rsid w:val="00855DEF"/>
    <w:rsid w:val="00864A01"/>
    <w:rsid w:val="0088029C"/>
    <w:rsid w:val="00884F24"/>
    <w:rsid w:val="00887EB1"/>
    <w:rsid w:val="008A4B8E"/>
    <w:rsid w:val="008A4D0D"/>
    <w:rsid w:val="008A6919"/>
    <w:rsid w:val="008F0E89"/>
    <w:rsid w:val="008F6F9B"/>
    <w:rsid w:val="009133B5"/>
    <w:rsid w:val="009142BE"/>
    <w:rsid w:val="0092763F"/>
    <w:rsid w:val="00932B3D"/>
    <w:rsid w:val="0095417C"/>
    <w:rsid w:val="00961A1B"/>
    <w:rsid w:val="00962F92"/>
    <w:rsid w:val="00966701"/>
    <w:rsid w:val="00966B73"/>
    <w:rsid w:val="00967205"/>
    <w:rsid w:val="00970E68"/>
    <w:rsid w:val="00974E1D"/>
    <w:rsid w:val="009A085E"/>
    <w:rsid w:val="009A0DF6"/>
    <w:rsid w:val="009A3F31"/>
    <w:rsid w:val="009C0F6F"/>
    <w:rsid w:val="009C3E17"/>
    <w:rsid w:val="009C7B9F"/>
    <w:rsid w:val="009C7E87"/>
    <w:rsid w:val="009D52DD"/>
    <w:rsid w:val="009E6A36"/>
    <w:rsid w:val="009F3F9C"/>
    <w:rsid w:val="00A024A5"/>
    <w:rsid w:val="00A04590"/>
    <w:rsid w:val="00A0566C"/>
    <w:rsid w:val="00A127B8"/>
    <w:rsid w:val="00A17289"/>
    <w:rsid w:val="00A22D9B"/>
    <w:rsid w:val="00A35802"/>
    <w:rsid w:val="00A40698"/>
    <w:rsid w:val="00A40845"/>
    <w:rsid w:val="00A410F6"/>
    <w:rsid w:val="00A43EFF"/>
    <w:rsid w:val="00A4507B"/>
    <w:rsid w:val="00A534A4"/>
    <w:rsid w:val="00A630BF"/>
    <w:rsid w:val="00A72151"/>
    <w:rsid w:val="00A736DC"/>
    <w:rsid w:val="00A80D2B"/>
    <w:rsid w:val="00A8447B"/>
    <w:rsid w:val="00A85B69"/>
    <w:rsid w:val="00A8721F"/>
    <w:rsid w:val="00A90CA4"/>
    <w:rsid w:val="00A910DE"/>
    <w:rsid w:val="00A93065"/>
    <w:rsid w:val="00A93527"/>
    <w:rsid w:val="00A9377F"/>
    <w:rsid w:val="00A97B19"/>
    <w:rsid w:val="00AA1F03"/>
    <w:rsid w:val="00AA2994"/>
    <w:rsid w:val="00AB6007"/>
    <w:rsid w:val="00AC2C3D"/>
    <w:rsid w:val="00AD3DE2"/>
    <w:rsid w:val="00AF68B1"/>
    <w:rsid w:val="00B23911"/>
    <w:rsid w:val="00B26B74"/>
    <w:rsid w:val="00B274D1"/>
    <w:rsid w:val="00B306F5"/>
    <w:rsid w:val="00B35195"/>
    <w:rsid w:val="00B42B52"/>
    <w:rsid w:val="00B678A3"/>
    <w:rsid w:val="00B87C31"/>
    <w:rsid w:val="00B954EC"/>
    <w:rsid w:val="00B9670A"/>
    <w:rsid w:val="00BA448E"/>
    <w:rsid w:val="00BA50A7"/>
    <w:rsid w:val="00BC7FD2"/>
    <w:rsid w:val="00BE301C"/>
    <w:rsid w:val="00BF28C7"/>
    <w:rsid w:val="00C00391"/>
    <w:rsid w:val="00C01AAD"/>
    <w:rsid w:val="00C10392"/>
    <w:rsid w:val="00C14961"/>
    <w:rsid w:val="00C161C6"/>
    <w:rsid w:val="00C2238C"/>
    <w:rsid w:val="00C35420"/>
    <w:rsid w:val="00C519A2"/>
    <w:rsid w:val="00C54DCB"/>
    <w:rsid w:val="00C628F1"/>
    <w:rsid w:val="00C64DA2"/>
    <w:rsid w:val="00C65DE2"/>
    <w:rsid w:val="00C706EC"/>
    <w:rsid w:val="00C87B13"/>
    <w:rsid w:val="00C907D6"/>
    <w:rsid w:val="00CA7FA8"/>
    <w:rsid w:val="00CB5BC3"/>
    <w:rsid w:val="00CC1A51"/>
    <w:rsid w:val="00CC221F"/>
    <w:rsid w:val="00CE1F36"/>
    <w:rsid w:val="00D053C2"/>
    <w:rsid w:val="00D13B06"/>
    <w:rsid w:val="00D17B43"/>
    <w:rsid w:val="00D17F6F"/>
    <w:rsid w:val="00D2177A"/>
    <w:rsid w:val="00D31B9F"/>
    <w:rsid w:val="00D400EC"/>
    <w:rsid w:val="00D72681"/>
    <w:rsid w:val="00D86B92"/>
    <w:rsid w:val="00DC4987"/>
    <w:rsid w:val="00DD47D6"/>
    <w:rsid w:val="00DE2167"/>
    <w:rsid w:val="00DF006F"/>
    <w:rsid w:val="00DF56B6"/>
    <w:rsid w:val="00E055B5"/>
    <w:rsid w:val="00E1439F"/>
    <w:rsid w:val="00E17E0A"/>
    <w:rsid w:val="00E22AAE"/>
    <w:rsid w:val="00E2442B"/>
    <w:rsid w:val="00E270F9"/>
    <w:rsid w:val="00E27290"/>
    <w:rsid w:val="00E35B6A"/>
    <w:rsid w:val="00E5674A"/>
    <w:rsid w:val="00E73CBE"/>
    <w:rsid w:val="00E74DA6"/>
    <w:rsid w:val="00E82B42"/>
    <w:rsid w:val="00E9235F"/>
    <w:rsid w:val="00EA00C0"/>
    <w:rsid w:val="00EA0488"/>
    <w:rsid w:val="00EA106F"/>
    <w:rsid w:val="00EA133B"/>
    <w:rsid w:val="00EA1F2E"/>
    <w:rsid w:val="00EB5B9A"/>
    <w:rsid w:val="00EB5DF2"/>
    <w:rsid w:val="00EB7B93"/>
    <w:rsid w:val="00ED15A2"/>
    <w:rsid w:val="00EE29BC"/>
    <w:rsid w:val="00EE4A6B"/>
    <w:rsid w:val="00EE56F0"/>
    <w:rsid w:val="00EF27BF"/>
    <w:rsid w:val="00EF4465"/>
    <w:rsid w:val="00F013B5"/>
    <w:rsid w:val="00F13082"/>
    <w:rsid w:val="00F24A75"/>
    <w:rsid w:val="00F279AB"/>
    <w:rsid w:val="00F370AE"/>
    <w:rsid w:val="00F82ED6"/>
    <w:rsid w:val="00F84739"/>
    <w:rsid w:val="00F8672E"/>
    <w:rsid w:val="00F9240D"/>
    <w:rsid w:val="00F976FF"/>
    <w:rsid w:val="00FA7ABB"/>
    <w:rsid w:val="00FB3241"/>
    <w:rsid w:val="00FB5F2C"/>
    <w:rsid w:val="00FC350C"/>
    <w:rsid w:val="00FC6F68"/>
    <w:rsid w:val="00FD1D5A"/>
    <w:rsid w:val="00FD2386"/>
    <w:rsid w:val="00FD7C5B"/>
    <w:rsid w:val="00FE0EA7"/>
    <w:rsid w:val="00FE5C55"/>
    <w:rsid w:val="00FE62B1"/>
    <w:rsid w:val="00FE71A2"/>
    <w:rsid w:val="00FF10E2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A5581"/>
  <w15:docId w15:val="{CACDC83B-7B27-4491-AE1D-05C47C2A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238C"/>
    <w:pPr>
      <w:tabs>
        <w:tab w:val="center" w:pos="4536"/>
        <w:tab w:val="right" w:pos="9072"/>
      </w:tabs>
      <w:jc w:val="left"/>
    </w:pPr>
    <w:rPr>
      <w:rFonts w:ascii="Arial" w:eastAsia="Times New Roman" w:hAnsi="Arial"/>
      <w:szCs w:val="20"/>
      <w:lang w:val="en-US"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C2238C"/>
    <w:rPr>
      <w:rFonts w:ascii="Arial" w:eastAsia="Times New Roman" w:hAnsi="Arial"/>
      <w:szCs w:val="20"/>
      <w:lang w:val="en-US" w:eastAsia="hr-HR"/>
    </w:rPr>
  </w:style>
  <w:style w:type="paragraph" w:styleId="Footer">
    <w:name w:val="footer"/>
    <w:basedOn w:val="Normal"/>
    <w:link w:val="FooterChar"/>
    <w:uiPriority w:val="99"/>
    <w:rsid w:val="00C2238C"/>
    <w:pPr>
      <w:tabs>
        <w:tab w:val="center" w:pos="4536"/>
        <w:tab w:val="right" w:pos="9072"/>
      </w:tabs>
      <w:jc w:val="left"/>
    </w:pPr>
    <w:rPr>
      <w:rFonts w:ascii="Arial" w:eastAsia="Times New Roman" w:hAnsi="Arial"/>
      <w:szCs w:val="20"/>
      <w:lang w:val="en-US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C2238C"/>
    <w:rPr>
      <w:rFonts w:ascii="Arial" w:eastAsia="Times New Roman" w:hAnsi="Arial"/>
      <w:szCs w:val="20"/>
      <w:lang w:val="en-US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C223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23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23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3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3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7E14"/>
    <w:pPr>
      <w:ind w:left="720"/>
      <w:contextualSpacing/>
    </w:pPr>
  </w:style>
  <w:style w:type="paragraph" w:styleId="Revision">
    <w:name w:val="Revision"/>
    <w:hidden/>
    <w:uiPriority w:val="99"/>
    <w:semiHidden/>
    <w:rsid w:val="00A9377F"/>
    <w:pPr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8447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44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447B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410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AZJMDCZ6QSYZ-1849078857-54117</_dlc_DocId>
    <_dlc_DocIdUrl xmlns="a494813a-d0d8-4dad-94cb-0d196f36ba15">
      <Url>https://ekoordinacije.vlada.hr/koordinacija-gospodarstvo/_layouts/15/DocIdRedir.aspx?ID=AZJMDCZ6QSYZ-1849078857-54117</Url>
      <Description>AZJMDCZ6QSYZ-1849078857-54117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5A31C-8DB8-4CDE-9BAE-29A770046075}">
  <ds:schemaRefs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55029B-6A68-41D2-8A28-0EDD9B294E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1BB57-620F-432E-869B-9B67DD2336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48205C2-92F7-4C97-80C0-C9B5EC9F6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422F324-A2EF-404C-A3ED-37658D8FE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5</Pages>
  <Words>1772</Words>
  <Characters>10101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11850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Ban Glasnović</dc:creator>
  <cp:lastModifiedBy>Larisa Petrić</cp:lastModifiedBy>
  <cp:revision>87</cp:revision>
  <cp:lastPrinted>2026-04-02T13:52:00Z</cp:lastPrinted>
  <dcterms:created xsi:type="dcterms:W3CDTF">2026-04-02T09:51:00Z</dcterms:created>
  <dcterms:modified xsi:type="dcterms:W3CDTF">2026-04-28T11:05:00Z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d40319fa-c6c1-4e27-83b8-5616350a0c27</vt:lpwstr>
  </property>
</Properties>
</file>