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EA02F" w14:textId="77777777" w:rsidR="00FA0058" w:rsidRPr="00FA0058" w:rsidRDefault="00FA0058" w:rsidP="00FA00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A0058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drawing>
          <wp:inline distT="0" distB="0" distL="0" distR="0" wp14:anchorId="646F869E" wp14:editId="034BCE3B">
            <wp:extent cx="504825" cy="685800"/>
            <wp:effectExtent l="0" t="0" r="9525" b="0"/>
            <wp:docPr id="864023341" name="Slika 1" descr="Slika na kojoj se prikazuje simbol, emblem, crveno, logotip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023341" name="Slika 1" descr="Slika na kojoj se prikazuje simbol, emblem, crveno, logotip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05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fldChar w:fldCharType="begin"/>
      </w:r>
      <w:r w:rsidRPr="00FA005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instrText xml:space="preserve"> INCLUDEPICTURE "http://www.inet.hr/~box/images/grb-rh.gif" \* MERGEFORMATINET </w:instrText>
      </w:r>
      <w:r w:rsidRPr="00FA005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fldChar w:fldCharType="end"/>
      </w:r>
    </w:p>
    <w:p w14:paraId="7FC3E2E4" w14:textId="77777777" w:rsidR="00FA0058" w:rsidRPr="00FA0058" w:rsidRDefault="00FA0058" w:rsidP="00FA0058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A005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VLADA REPUBLIKE HRVATSKE</w:t>
      </w:r>
    </w:p>
    <w:p w14:paraId="18E45165" w14:textId="77777777" w:rsidR="00FA0058" w:rsidRPr="00FA0058" w:rsidRDefault="00FA0058" w:rsidP="00FA00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A13603E" w14:textId="77777777" w:rsidR="00FA0058" w:rsidRPr="00FA0058" w:rsidRDefault="00FA0058" w:rsidP="00FA0058">
      <w:pPr>
        <w:spacing w:after="2400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A005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Zagreb, </w:t>
      </w:r>
      <w:r w:rsidR="00C10DF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30</w:t>
      </w:r>
      <w:r w:rsidRPr="00FA005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r w:rsidR="00C10DF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travnja</w:t>
      </w:r>
      <w:r w:rsidRPr="00FA005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6</w:t>
      </w:r>
      <w:r w:rsidRPr="00FA005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245FE81E" w14:textId="77777777" w:rsidR="00FA0058" w:rsidRPr="00FA0058" w:rsidRDefault="00FA0058" w:rsidP="00FA0058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A005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__________________________________________________________________________</w:t>
      </w:r>
    </w:p>
    <w:p w14:paraId="0E588637" w14:textId="77777777" w:rsidR="00FA0058" w:rsidRPr="00FA0058" w:rsidRDefault="00FA0058" w:rsidP="00FA0058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kern w:val="0"/>
          <w:lang w:eastAsia="hr-HR"/>
          <w14:ligatures w14:val="none"/>
        </w:rPr>
        <w:sectPr w:rsidR="00FA0058" w:rsidRPr="00FA0058" w:rsidSect="00FA0058">
          <w:footerReference w:type="default" r:id="rId8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FA0058" w:rsidRPr="00FA0058" w14:paraId="23BC1F97" w14:textId="77777777" w:rsidTr="000A5964">
        <w:tc>
          <w:tcPr>
            <w:tcW w:w="1951" w:type="dxa"/>
          </w:tcPr>
          <w:p w14:paraId="7521B21C" w14:textId="77777777" w:rsidR="00FA0058" w:rsidRPr="00FA0058" w:rsidRDefault="00FA0058" w:rsidP="00FA005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FA0058">
              <w:rPr>
                <w:rFonts w:ascii="Times New Roman" w:eastAsia="Times New Roman" w:hAnsi="Times New Roman" w:cs="Times New Roman"/>
                <w:b/>
                <w:smallCaps/>
                <w:kern w:val="0"/>
                <w:lang w:eastAsia="hr-HR"/>
                <w14:ligatures w14:val="none"/>
              </w:rPr>
              <w:t>Predlagatelj</w:t>
            </w:r>
            <w:r w:rsidRPr="00FA0058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:</w:t>
            </w:r>
          </w:p>
        </w:tc>
        <w:tc>
          <w:tcPr>
            <w:tcW w:w="7229" w:type="dxa"/>
          </w:tcPr>
          <w:p w14:paraId="28BADCFA" w14:textId="77777777" w:rsidR="00FA0058" w:rsidRPr="00FA0058" w:rsidRDefault="00FA0058" w:rsidP="00FA005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FA005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Ministarstvo pravosuđa, uprave i digitalne transformacije</w:t>
            </w:r>
          </w:p>
        </w:tc>
      </w:tr>
    </w:tbl>
    <w:p w14:paraId="0314A340" w14:textId="77777777" w:rsidR="00FA0058" w:rsidRPr="00FA0058" w:rsidRDefault="00FA0058" w:rsidP="00FA0058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A005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__________________________________________________________________________</w:t>
      </w:r>
    </w:p>
    <w:p w14:paraId="49C774FD" w14:textId="77777777" w:rsidR="00FA0058" w:rsidRPr="00FA0058" w:rsidRDefault="00FA0058" w:rsidP="00FA0058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kern w:val="0"/>
          <w:lang w:eastAsia="hr-HR"/>
          <w14:ligatures w14:val="none"/>
        </w:rPr>
        <w:sectPr w:rsidR="00FA0058" w:rsidRPr="00FA0058" w:rsidSect="00FA0058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FA0058" w:rsidRPr="00FA0058" w14:paraId="1B7F4A10" w14:textId="77777777" w:rsidTr="000A5964">
        <w:tc>
          <w:tcPr>
            <w:tcW w:w="1951" w:type="dxa"/>
          </w:tcPr>
          <w:p w14:paraId="03DFE43C" w14:textId="77777777" w:rsidR="00FA0058" w:rsidRPr="00FA0058" w:rsidRDefault="00FA0058" w:rsidP="00FA005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FA0058">
              <w:rPr>
                <w:rFonts w:ascii="Times New Roman" w:eastAsia="Times New Roman" w:hAnsi="Times New Roman" w:cs="Times New Roman"/>
                <w:b/>
                <w:smallCaps/>
                <w:kern w:val="0"/>
                <w:lang w:eastAsia="hr-HR"/>
                <w14:ligatures w14:val="none"/>
              </w:rPr>
              <w:t>Predmet</w:t>
            </w:r>
            <w:r w:rsidRPr="00FA0058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:</w:t>
            </w:r>
          </w:p>
        </w:tc>
        <w:tc>
          <w:tcPr>
            <w:tcW w:w="7229" w:type="dxa"/>
          </w:tcPr>
          <w:p w14:paraId="3F437F81" w14:textId="77777777" w:rsidR="00FA0058" w:rsidRPr="00FA0058" w:rsidRDefault="00FA0058" w:rsidP="00C10D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A005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Prijedlog </w:t>
            </w:r>
            <w:bookmarkStart w:id="0" w:name="_Hlk168577490"/>
            <w:r w:rsidRPr="00FA005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zakona o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dopuni</w:t>
            </w:r>
            <w:r w:rsidRPr="00FA005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Kaznenog zakona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A005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(predlagatelj: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A005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Klub zastupnika SDP-a u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Hrvatskom</w:t>
            </w:r>
            <w:r w:rsidRPr="00FA005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saboru)</w:t>
            </w:r>
            <w:bookmarkEnd w:id="0"/>
            <w:r w:rsidR="00C10D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0C07C7" w:rsidRPr="00A957C6">
              <w:t>–</w:t>
            </w:r>
            <w:r w:rsidR="00C10D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A005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mišljenje Vlade </w:t>
            </w:r>
            <w:r w:rsidR="000C07C7" w:rsidRPr="000C07C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Republike Hrvatske</w:t>
            </w:r>
          </w:p>
        </w:tc>
      </w:tr>
    </w:tbl>
    <w:p w14:paraId="7D490540" w14:textId="77777777" w:rsidR="00FA0058" w:rsidRPr="00FA0058" w:rsidRDefault="00FA0058" w:rsidP="00FA0058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A005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__________________________________________________________________________</w:t>
      </w:r>
    </w:p>
    <w:p w14:paraId="755B665A" w14:textId="77777777" w:rsidR="00FA0058" w:rsidRPr="00FA0058" w:rsidRDefault="00FA0058" w:rsidP="00FA00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E727F82" w14:textId="77777777" w:rsidR="00FA0058" w:rsidRPr="00FA0058" w:rsidRDefault="00FA0058" w:rsidP="00FA00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9927EF6" w14:textId="77777777" w:rsidR="00FA0058" w:rsidRPr="00FA0058" w:rsidRDefault="00FA0058" w:rsidP="00FA00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41D69F4" w14:textId="77777777" w:rsidR="00FA0058" w:rsidRPr="00FA0058" w:rsidRDefault="00FA0058" w:rsidP="00FA00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7766D2A" w14:textId="77777777" w:rsidR="00FA0058" w:rsidRPr="00FA0058" w:rsidRDefault="00FA0058" w:rsidP="00FA00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546AE96" w14:textId="77777777" w:rsidR="00FA0058" w:rsidRPr="00FA0058" w:rsidRDefault="00FA0058" w:rsidP="00FA00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3A49186" w14:textId="77777777" w:rsidR="00FA0058" w:rsidRPr="00FA0058" w:rsidRDefault="00FA0058" w:rsidP="00FA00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sectPr w:rsidR="00FA0058" w:rsidRPr="00FA0058" w:rsidSect="00FA0058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0B6FA424" w14:textId="77777777" w:rsidR="00FA0058" w:rsidRPr="00FA0058" w:rsidRDefault="00FA0058" w:rsidP="00FA00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FA0058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lastRenderedPageBreak/>
        <w:t>PRIJEDLOG</w:t>
      </w:r>
    </w:p>
    <w:p w14:paraId="54F8A044" w14:textId="77777777" w:rsidR="00FA0058" w:rsidRPr="00FA0058" w:rsidRDefault="00FA0058" w:rsidP="00FA005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61292A77" w14:textId="77777777" w:rsidR="00FA0058" w:rsidRDefault="00FA0058" w:rsidP="00FA005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034F084D" w14:textId="77777777" w:rsidR="005D11DB" w:rsidRDefault="005D11DB" w:rsidP="00FA005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09FE2920" w14:textId="77777777" w:rsidR="005D11DB" w:rsidRPr="00FA0058" w:rsidRDefault="005D11DB" w:rsidP="00FA005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767C581D" w14:textId="77777777" w:rsidR="000C07C7" w:rsidRPr="00A957C6" w:rsidRDefault="000C07C7" w:rsidP="000C07C7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</w:rPr>
      </w:pPr>
      <w:r w:rsidRPr="00A957C6">
        <w:rPr>
          <w:rFonts w:ascii="Times New Roman" w:hAnsi="Times New Roman" w:cs="Times New Roman"/>
          <w:bCs/>
        </w:rPr>
        <w:t xml:space="preserve">KLASA:    </w:t>
      </w:r>
    </w:p>
    <w:p w14:paraId="1B4D36CE" w14:textId="77777777" w:rsidR="000C07C7" w:rsidRPr="00A957C6" w:rsidRDefault="000C07C7" w:rsidP="000C07C7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</w:rPr>
      </w:pPr>
      <w:r w:rsidRPr="00A957C6">
        <w:rPr>
          <w:rFonts w:ascii="Times New Roman" w:hAnsi="Times New Roman" w:cs="Times New Roman"/>
          <w:bCs/>
        </w:rPr>
        <w:t>URBROJ:</w:t>
      </w:r>
    </w:p>
    <w:p w14:paraId="7C3C4523" w14:textId="77777777" w:rsidR="000C07C7" w:rsidRPr="00A957C6" w:rsidRDefault="000C07C7" w:rsidP="000C07C7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2F355AC8" w14:textId="77777777" w:rsidR="000C07C7" w:rsidRPr="00A957C6" w:rsidRDefault="000C07C7" w:rsidP="000C07C7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</w:rPr>
      </w:pPr>
      <w:r w:rsidRPr="00A957C6">
        <w:rPr>
          <w:rFonts w:ascii="Times New Roman" w:hAnsi="Times New Roman" w:cs="Times New Roman"/>
          <w:bCs/>
        </w:rPr>
        <w:t xml:space="preserve">Zagreb, </w:t>
      </w:r>
    </w:p>
    <w:p w14:paraId="2CE8894B" w14:textId="77777777" w:rsidR="00FA0058" w:rsidRPr="00FA0058" w:rsidRDefault="00FA0058" w:rsidP="00FA005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6FE7C587" w14:textId="77777777" w:rsidR="00FA0058" w:rsidRDefault="00FA0058" w:rsidP="00FA005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2991D098" w14:textId="77777777" w:rsidR="005D11DB" w:rsidRPr="00FA0058" w:rsidRDefault="005D11DB" w:rsidP="00FA005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59FC1722" w14:textId="77777777" w:rsidR="00FA0058" w:rsidRPr="00FA0058" w:rsidRDefault="00FA0058" w:rsidP="00FA005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37104ADE" w14:textId="77777777" w:rsidR="00FA0058" w:rsidRPr="00FA0058" w:rsidRDefault="00FA0058" w:rsidP="00FA0058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FA0058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PREDSJEDNIKU HRVATSKOGA SABORA</w:t>
      </w:r>
    </w:p>
    <w:p w14:paraId="0715067C" w14:textId="77777777" w:rsidR="00FA0058" w:rsidRPr="005D11DB" w:rsidRDefault="00FA0058" w:rsidP="00FA005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4CA682BC" w14:textId="77777777" w:rsidR="005D11DB" w:rsidRDefault="005D11DB" w:rsidP="00FA005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2AF24F46" w14:textId="77777777" w:rsidR="005D11DB" w:rsidRPr="005D11DB" w:rsidRDefault="005D11DB" w:rsidP="00FA005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2CD7F644" w14:textId="77777777" w:rsidR="00FA0058" w:rsidRPr="005D11DB" w:rsidRDefault="00FA0058" w:rsidP="00FA0058">
      <w:pPr>
        <w:widowControl w:val="0"/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3"/>
          <w:kern w:val="0"/>
          <w:szCs w:val="20"/>
          <w:lang w:eastAsia="hr-HR"/>
          <w14:ligatures w14:val="none"/>
        </w:rPr>
      </w:pPr>
    </w:p>
    <w:p w14:paraId="740F4D44" w14:textId="77777777" w:rsidR="00FA0058" w:rsidRPr="00FA0058" w:rsidRDefault="00C10DF9" w:rsidP="00DD4F08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14:ligatures w14:val="none"/>
        </w:rPr>
      </w:pPr>
      <w:r w:rsidRPr="00FA0058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t>PREDMET</w:t>
      </w:r>
      <w:r w:rsidR="00FA0058" w:rsidRPr="00FA0058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t>:</w:t>
      </w:r>
      <w:r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tab/>
      </w:r>
      <w:r w:rsidR="00FA0058" w:rsidRPr="00FA0058">
        <w:rPr>
          <w:rFonts w:ascii="Times New Roman" w:eastAsia="Calibri" w:hAnsi="Times New Roman" w:cs="Times New Roman"/>
          <w:kern w:val="0"/>
          <w14:ligatures w14:val="none"/>
        </w:rPr>
        <w:t xml:space="preserve">Prijedlog </w:t>
      </w:r>
      <w:r>
        <w:rPr>
          <w:rFonts w:ascii="Times New Roman" w:eastAsia="Calibri" w:hAnsi="Times New Roman" w:cs="Times New Roman"/>
          <w:kern w:val="0"/>
          <w14:ligatures w14:val="none"/>
        </w:rPr>
        <w:t>z</w:t>
      </w:r>
      <w:r w:rsidR="00FA0058" w:rsidRPr="00FA0058">
        <w:rPr>
          <w:rFonts w:ascii="Times New Roman" w:eastAsia="Calibri" w:hAnsi="Times New Roman" w:cs="Times New Roman"/>
          <w:kern w:val="0"/>
          <w14:ligatures w14:val="none"/>
        </w:rPr>
        <w:t xml:space="preserve">akona o </w:t>
      </w:r>
      <w:r w:rsidR="00FA0058">
        <w:rPr>
          <w:rFonts w:ascii="Times New Roman" w:eastAsia="Calibri" w:hAnsi="Times New Roman" w:cs="Times New Roman"/>
          <w:kern w:val="0"/>
          <w14:ligatures w14:val="none"/>
        </w:rPr>
        <w:t>dopuni</w:t>
      </w:r>
      <w:r w:rsidR="00FA0058" w:rsidRPr="00FA0058">
        <w:rPr>
          <w:rFonts w:ascii="Times New Roman" w:eastAsia="Calibri" w:hAnsi="Times New Roman" w:cs="Times New Roman"/>
          <w:kern w:val="0"/>
          <w14:ligatures w14:val="none"/>
        </w:rPr>
        <w:t xml:space="preserve"> Kaznenog zakona (predlagatelj: Klub zastupnika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FA0058" w:rsidRPr="00FA0058">
        <w:rPr>
          <w:rFonts w:ascii="Times New Roman" w:eastAsia="Calibri" w:hAnsi="Times New Roman" w:cs="Times New Roman"/>
          <w:kern w:val="0"/>
          <w14:ligatures w14:val="none"/>
        </w:rPr>
        <w:t>SDP-a u Hrvatskom</w:t>
      </w:r>
      <w:r w:rsidR="00DD4F08">
        <w:rPr>
          <w:rFonts w:ascii="Times New Roman" w:eastAsia="Calibri" w:hAnsi="Times New Roman" w:cs="Times New Roman"/>
          <w:kern w:val="0"/>
          <w14:ligatures w14:val="none"/>
        </w:rPr>
        <w:t>e</w:t>
      </w:r>
      <w:r w:rsidR="00FA0058" w:rsidRPr="00FA0058">
        <w:rPr>
          <w:rFonts w:ascii="Times New Roman" w:eastAsia="Calibri" w:hAnsi="Times New Roman" w:cs="Times New Roman"/>
          <w:kern w:val="0"/>
          <w14:ligatures w14:val="none"/>
        </w:rPr>
        <w:t xml:space="preserve"> saboru) </w:t>
      </w:r>
      <w:r w:rsidR="000C07C7" w:rsidRPr="00A957C6">
        <w:rPr>
          <w:rFonts w:ascii="Times New Roman" w:hAnsi="Times New Roman" w:cs="Times New Roman"/>
        </w:rPr>
        <w:t>–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FA0058" w:rsidRPr="00FA0058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14:ligatures w14:val="none"/>
        </w:rPr>
        <w:t>mišljenje Vlade</w:t>
      </w:r>
    </w:p>
    <w:p w14:paraId="0A141D3F" w14:textId="77777777" w:rsidR="00FA0058" w:rsidRPr="00FA0058" w:rsidRDefault="00FA0058" w:rsidP="00DD4F08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</w:pPr>
    </w:p>
    <w:p w14:paraId="40B2B0F6" w14:textId="77777777" w:rsidR="00FA0058" w:rsidRDefault="00FA0058" w:rsidP="00DD4F08">
      <w:pPr>
        <w:widowControl w:val="0"/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</w:pPr>
      <w:r w:rsidRPr="00FA0058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t>Veza:</w:t>
      </w:r>
      <w:r w:rsidRPr="00FA0058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tab/>
      </w:r>
      <w:r w:rsidRPr="00FA0058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tab/>
      </w:r>
      <w:r w:rsidR="00C10DF9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t>Pismo</w:t>
      </w:r>
      <w:r w:rsidRPr="00FA0058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t xml:space="preserve"> Hrvatskoga sabora, </w:t>
      </w:r>
      <w:r w:rsidR="008840DD" w:rsidRPr="008840DD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t>KLASA: 740-01</w:t>
      </w:r>
      <w:r w:rsidR="004B5C36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t>/</w:t>
      </w:r>
      <w:r w:rsidR="008840DD" w:rsidRPr="008840DD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t>25-01</w:t>
      </w:r>
      <w:r w:rsidR="004B5C36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t>/</w:t>
      </w:r>
      <w:r w:rsidR="008840DD" w:rsidRPr="008840DD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t>29; URBROJ: 65-25-3</w:t>
      </w:r>
      <w:r w:rsidR="000C07C7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t>,</w:t>
      </w:r>
      <w:r w:rsidR="008840DD" w:rsidRPr="008840DD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t xml:space="preserve"> od </w:t>
      </w:r>
      <w:r w:rsidR="00C10DF9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br/>
      </w:r>
      <w:r w:rsidR="008840DD" w:rsidRPr="008840DD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t>17. prosinca 2025</w:t>
      </w:r>
      <w:r w:rsidR="000820CC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t>.</w:t>
      </w:r>
    </w:p>
    <w:p w14:paraId="223B9440" w14:textId="77777777" w:rsidR="000820CC" w:rsidRPr="00FA0058" w:rsidRDefault="000820CC" w:rsidP="00DD4F08">
      <w:pPr>
        <w:widowControl w:val="0"/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</w:pPr>
    </w:p>
    <w:p w14:paraId="62B32EA5" w14:textId="77777777" w:rsidR="00FA0058" w:rsidRDefault="00FA0058" w:rsidP="00DD4F08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A0058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tab/>
      </w:r>
      <w:r w:rsidRPr="00FA0058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tab/>
        <w:t xml:space="preserve">Na temelju članka 122. stavka 2. Poslovnika Hrvatskoga sabora </w:t>
      </w:r>
      <w:r w:rsidRPr="00FA0058">
        <w:rPr>
          <w:rFonts w:ascii="Times New Roman" w:eastAsia="Times New Roman" w:hAnsi="Times New Roman" w:cs="Times New Roman"/>
          <w:snapToGrid w:val="0"/>
          <w:color w:val="000000"/>
          <w:kern w:val="0"/>
          <w:szCs w:val="20"/>
          <w:lang w:eastAsia="hr-HR"/>
          <w14:ligatures w14:val="none"/>
        </w:rPr>
        <w:t>(</w:t>
      </w:r>
      <w:r w:rsidR="00DD4F08">
        <w:rPr>
          <w:rFonts w:ascii="Times New Roman" w:eastAsia="Times New Roman" w:hAnsi="Times New Roman" w:cs="Times New Roman"/>
          <w:snapToGrid w:val="0"/>
          <w:color w:val="000000"/>
          <w:kern w:val="0"/>
          <w:szCs w:val="20"/>
          <w:lang w:eastAsia="hr-HR"/>
          <w14:ligatures w14:val="none"/>
        </w:rPr>
        <w:t>„</w:t>
      </w:r>
      <w:r w:rsidRPr="00FA0058">
        <w:rPr>
          <w:rFonts w:ascii="Times New Roman" w:eastAsia="Times New Roman" w:hAnsi="Times New Roman" w:cs="Times New Roman"/>
          <w:snapToGrid w:val="0"/>
          <w:color w:val="000000"/>
          <w:kern w:val="0"/>
          <w:szCs w:val="20"/>
          <w:lang w:eastAsia="hr-HR"/>
          <w14:ligatures w14:val="none"/>
        </w:rPr>
        <w:t>Narodne novine</w:t>
      </w:r>
      <w:r w:rsidR="00DD4F08">
        <w:rPr>
          <w:rFonts w:ascii="Times New Roman" w:eastAsia="Times New Roman" w:hAnsi="Times New Roman" w:cs="Times New Roman"/>
          <w:snapToGrid w:val="0"/>
          <w:color w:val="000000"/>
          <w:kern w:val="0"/>
          <w:szCs w:val="20"/>
          <w:lang w:eastAsia="hr-HR"/>
          <w14:ligatures w14:val="none"/>
        </w:rPr>
        <w:t>“</w:t>
      </w:r>
      <w:r w:rsidRPr="00FA0058">
        <w:rPr>
          <w:rFonts w:ascii="Times New Roman" w:eastAsia="Times New Roman" w:hAnsi="Times New Roman" w:cs="Times New Roman"/>
          <w:snapToGrid w:val="0"/>
          <w:color w:val="000000"/>
          <w:kern w:val="0"/>
          <w:szCs w:val="20"/>
          <w:lang w:eastAsia="hr-HR"/>
          <w14:ligatures w14:val="none"/>
        </w:rPr>
        <w:t>, br. 81/13</w:t>
      </w:r>
      <w:r w:rsidR="00DD4F08">
        <w:rPr>
          <w:rFonts w:ascii="Times New Roman" w:eastAsia="Times New Roman" w:hAnsi="Times New Roman" w:cs="Times New Roman"/>
          <w:snapToGrid w:val="0"/>
          <w:color w:val="000000"/>
          <w:kern w:val="0"/>
          <w:szCs w:val="20"/>
          <w:lang w:eastAsia="hr-HR"/>
          <w14:ligatures w14:val="none"/>
        </w:rPr>
        <w:t>.</w:t>
      </w:r>
      <w:r w:rsidRPr="00FA0058">
        <w:rPr>
          <w:rFonts w:ascii="Times New Roman" w:eastAsia="Times New Roman" w:hAnsi="Times New Roman" w:cs="Times New Roman"/>
          <w:snapToGrid w:val="0"/>
          <w:color w:val="000000"/>
          <w:kern w:val="0"/>
          <w:szCs w:val="20"/>
          <w:lang w:eastAsia="hr-HR"/>
          <w14:ligatures w14:val="none"/>
        </w:rPr>
        <w:t>, 113/16</w:t>
      </w:r>
      <w:r w:rsidR="00DD4F08">
        <w:rPr>
          <w:rFonts w:ascii="Times New Roman" w:eastAsia="Times New Roman" w:hAnsi="Times New Roman" w:cs="Times New Roman"/>
          <w:snapToGrid w:val="0"/>
          <w:color w:val="000000"/>
          <w:kern w:val="0"/>
          <w:szCs w:val="20"/>
          <w:lang w:eastAsia="hr-HR"/>
          <w14:ligatures w14:val="none"/>
        </w:rPr>
        <w:t>.</w:t>
      </w:r>
      <w:r w:rsidRPr="00FA0058">
        <w:rPr>
          <w:rFonts w:ascii="Times New Roman" w:eastAsia="Times New Roman" w:hAnsi="Times New Roman" w:cs="Times New Roman"/>
          <w:snapToGrid w:val="0"/>
          <w:color w:val="000000"/>
          <w:kern w:val="0"/>
          <w:szCs w:val="20"/>
          <w:lang w:eastAsia="hr-HR"/>
          <w14:ligatures w14:val="none"/>
        </w:rPr>
        <w:t>, 69/17</w:t>
      </w:r>
      <w:r w:rsidR="00DD4F08">
        <w:rPr>
          <w:rFonts w:ascii="Times New Roman" w:eastAsia="Times New Roman" w:hAnsi="Times New Roman" w:cs="Times New Roman"/>
          <w:snapToGrid w:val="0"/>
          <w:color w:val="000000"/>
          <w:kern w:val="0"/>
          <w:szCs w:val="20"/>
          <w:lang w:eastAsia="hr-HR"/>
          <w14:ligatures w14:val="none"/>
        </w:rPr>
        <w:t>.</w:t>
      </w:r>
      <w:r w:rsidRPr="00FA0058">
        <w:rPr>
          <w:rFonts w:ascii="Times New Roman" w:eastAsia="Times New Roman" w:hAnsi="Times New Roman" w:cs="Times New Roman"/>
          <w:snapToGrid w:val="0"/>
          <w:color w:val="000000"/>
          <w:kern w:val="0"/>
          <w:szCs w:val="20"/>
          <w:lang w:eastAsia="hr-HR"/>
          <w14:ligatures w14:val="none"/>
        </w:rPr>
        <w:t>, 29/18</w:t>
      </w:r>
      <w:r w:rsidR="00DD4F08">
        <w:rPr>
          <w:rFonts w:ascii="Times New Roman" w:eastAsia="Times New Roman" w:hAnsi="Times New Roman" w:cs="Times New Roman"/>
          <w:snapToGrid w:val="0"/>
          <w:color w:val="000000"/>
          <w:kern w:val="0"/>
          <w:szCs w:val="20"/>
          <w:lang w:eastAsia="hr-HR"/>
          <w14:ligatures w14:val="none"/>
        </w:rPr>
        <w:t>.</w:t>
      </w:r>
      <w:r w:rsidRPr="00FA0058">
        <w:rPr>
          <w:rFonts w:ascii="Times New Roman" w:eastAsia="Times New Roman" w:hAnsi="Times New Roman" w:cs="Times New Roman"/>
          <w:snapToGrid w:val="0"/>
          <w:color w:val="000000"/>
          <w:kern w:val="0"/>
          <w:szCs w:val="20"/>
          <w:lang w:eastAsia="hr-HR"/>
          <w14:ligatures w14:val="none"/>
        </w:rPr>
        <w:t>, 53/20</w:t>
      </w:r>
      <w:r w:rsidR="00DD4F08">
        <w:rPr>
          <w:rFonts w:ascii="Times New Roman" w:eastAsia="Times New Roman" w:hAnsi="Times New Roman" w:cs="Times New Roman"/>
          <w:snapToGrid w:val="0"/>
          <w:color w:val="000000"/>
          <w:kern w:val="0"/>
          <w:szCs w:val="20"/>
          <w:lang w:eastAsia="hr-HR"/>
          <w14:ligatures w14:val="none"/>
        </w:rPr>
        <w:t>.</w:t>
      </w:r>
      <w:r w:rsidRPr="00FA0058">
        <w:rPr>
          <w:rFonts w:ascii="Times New Roman" w:eastAsia="Times New Roman" w:hAnsi="Times New Roman" w:cs="Times New Roman"/>
          <w:snapToGrid w:val="0"/>
          <w:color w:val="000000"/>
          <w:kern w:val="0"/>
          <w:szCs w:val="20"/>
          <w:lang w:eastAsia="hr-HR"/>
          <w14:ligatures w14:val="none"/>
        </w:rPr>
        <w:t>, 119/20</w:t>
      </w:r>
      <w:r w:rsidR="00DD4F08">
        <w:rPr>
          <w:rFonts w:ascii="Times New Roman" w:eastAsia="Times New Roman" w:hAnsi="Times New Roman" w:cs="Times New Roman"/>
          <w:snapToGrid w:val="0"/>
          <w:color w:val="000000"/>
          <w:kern w:val="0"/>
          <w:szCs w:val="20"/>
          <w:lang w:eastAsia="hr-HR"/>
          <w14:ligatures w14:val="none"/>
        </w:rPr>
        <w:t xml:space="preserve">. </w:t>
      </w:r>
      <w:r w:rsidR="000C07C7" w:rsidRPr="00A957C6">
        <w:rPr>
          <w:rFonts w:ascii="Times New Roman" w:hAnsi="Times New Roman" w:cs="Times New Roman"/>
        </w:rPr>
        <w:t>–</w:t>
      </w:r>
      <w:r w:rsidR="00DD4F08" w:rsidRPr="00DD4F08">
        <w:rPr>
          <w:rFonts w:ascii="Times New Roman" w:eastAsia="Times New Roman" w:hAnsi="Times New Roman" w:cs="Times New Roman"/>
          <w:snapToGrid w:val="0"/>
          <w:color w:val="000000"/>
          <w:kern w:val="0"/>
          <w:szCs w:val="20"/>
          <w:lang w:eastAsia="hr-HR"/>
          <w14:ligatures w14:val="none"/>
        </w:rPr>
        <w:t xml:space="preserve"> Odluka Ustavnog suda Republike Hrvatske</w:t>
      </w:r>
      <w:r w:rsidRPr="00FA0058">
        <w:rPr>
          <w:rFonts w:ascii="Times New Roman" w:eastAsia="Times New Roman" w:hAnsi="Times New Roman" w:cs="Times New Roman"/>
          <w:snapToGrid w:val="0"/>
          <w:color w:val="000000"/>
          <w:kern w:val="0"/>
          <w:szCs w:val="20"/>
          <w:lang w:eastAsia="hr-HR"/>
          <w14:ligatures w14:val="none"/>
        </w:rPr>
        <w:t>, 123/20</w:t>
      </w:r>
      <w:r w:rsidR="00DD4F08">
        <w:rPr>
          <w:rFonts w:ascii="Times New Roman" w:eastAsia="Times New Roman" w:hAnsi="Times New Roman" w:cs="Times New Roman"/>
          <w:snapToGrid w:val="0"/>
          <w:color w:val="000000"/>
          <w:kern w:val="0"/>
          <w:szCs w:val="20"/>
          <w:lang w:eastAsia="hr-HR"/>
          <w14:ligatures w14:val="none"/>
        </w:rPr>
        <w:t>.</w:t>
      </w:r>
      <w:r w:rsidRPr="00FA0058">
        <w:rPr>
          <w:rFonts w:ascii="Times New Roman" w:eastAsia="Times New Roman" w:hAnsi="Times New Roman" w:cs="Times New Roman"/>
          <w:snapToGrid w:val="0"/>
          <w:color w:val="000000"/>
          <w:kern w:val="0"/>
          <w:szCs w:val="20"/>
          <w:lang w:eastAsia="hr-HR"/>
          <w14:ligatures w14:val="none"/>
        </w:rPr>
        <w:t xml:space="preserve"> i 86/23</w:t>
      </w:r>
      <w:r w:rsidR="00DD4F08">
        <w:rPr>
          <w:rFonts w:ascii="Times New Roman" w:eastAsia="Times New Roman" w:hAnsi="Times New Roman" w:cs="Times New Roman"/>
          <w:snapToGrid w:val="0"/>
          <w:color w:val="000000"/>
          <w:kern w:val="0"/>
          <w:szCs w:val="20"/>
          <w:lang w:eastAsia="hr-HR"/>
          <w14:ligatures w14:val="none"/>
        </w:rPr>
        <w:t xml:space="preserve">. </w:t>
      </w:r>
      <w:r w:rsidR="000C07C7" w:rsidRPr="00A957C6">
        <w:rPr>
          <w:rFonts w:ascii="Times New Roman" w:hAnsi="Times New Roman" w:cs="Times New Roman"/>
        </w:rPr>
        <w:t>–</w:t>
      </w:r>
      <w:r w:rsidRPr="00FA0058">
        <w:rPr>
          <w:rFonts w:ascii="Times New Roman" w:eastAsia="Times New Roman" w:hAnsi="Times New Roman" w:cs="Times New Roman"/>
          <w:snapToGrid w:val="0"/>
          <w:color w:val="000000"/>
          <w:kern w:val="0"/>
          <w:szCs w:val="20"/>
          <w:lang w:eastAsia="hr-HR"/>
          <w14:ligatures w14:val="none"/>
        </w:rPr>
        <w:t xml:space="preserve"> Odluka Ustavnog suda Republike Hrvatske)</w:t>
      </w:r>
      <w:r w:rsidRPr="00FA0058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t xml:space="preserve">, Vlada Republike Hrvatske </w:t>
      </w:r>
      <w:r w:rsidRPr="00FA005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 Prijedlogu zakona o </w:t>
      </w:r>
      <w:r w:rsidR="008840D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dopuni</w:t>
      </w:r>
      <w:r w:rsidRPr="00FA005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Kaznenog zakona</w:t>
      </w:r>
      <w:r w:rsidR="008840D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FA005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(predlagatelj: Klub zastupnika SDP-a u Hrvatskom</w:t>
      </w:r>
      <w:r w:rsidR="00DD4F0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</w:t>
      </w:r>
      <w:r w:rsidRPr="00FA005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saboru) daje sljedeće</w:t>
      </w:r>
    </w:p>
    <w:p w14:paraId="0F115027" w14:textId="77777777" w:rsidR="00DD4F08" w:rsidRPr="000841DE" w:rsidRDefault="00DD4F08" w:rsidP="000841DE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263CA456" w14:textId="77777777" w:rsidR="00FA0058" w:rsidRPr="000841DE" w:rsidRDefault="00FA0058" w:rsidP="00084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7F794B9C" w14:textId="77777777" w:rsidR="00FA0058" w:rsidRDefault="00FA0058" w:rsidP="00DD4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FA0058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M I Š L J E N</w:t>
      </w:r>
      <w:r w:rsidR="000841DE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r w:rsidRPr="00FA0058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J E</w:t>
      </w:r>
    </w:p>
    <w:p w14:paraId="6B568DBD" w14:textId="77777777" w:rsidR="003A6677" w:rsidRPr="00FA0058" w:rsidRDefault="003A6677" w:rsidP="00DD4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7288856A" w14:textId="77777777" w:rsidR="00FA0058" w:rsidRPr="000841DE" w:rsidRDefault="00FA0058" w:rsidP="00084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7A733A27" w14:textId="77777777" w:rsidR="00DD4F08" w:rsidRDefault="00DD4F08" w:rsidP="00DD4F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841DE">
        <w:rPr>
          <w:rFonts w:ascii="Times New Roman" w:eastAsia="Times New Roman" w:hAnsi="Times New Roman" w:cs="Times New Roman"/>
          <w:spacing w:val="2"/>
          <w:kern w:val="0"/>
          <w:lang w:eastAsia="hr-HR"/>
          <w14:ligatures w14:val="none"/>
        </w:rPr>
        <w:t>Vlada Republike Hrvatske predlaže Hrvatskome saboru da ne prihvati Prijedlog zakona o dopuni Kaznenog zakona (u daljnjem tekstu: Prijedlog zakona), koji je predsjedniku</w:t>
      </w:r>
      <w:r w:rsidRPr="00DD4F0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Hrvatskoga sabora podnio Klub zastupnika SDP-a u Hrvatskome saboru, aktom od 15. prosinca 2025., iz sljedećih razloga:</w:t>
      </w:r>
    </w:p>
    <w:p w14:paraId="318AD3BE" w14:textId="77777777" w:rsidR="00DD4F08" w:rsidRDefault="00DD4F08" w:rsidP="00DD4F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5E9F751" w14:textId="1EDF035E" w:rsidR="00FA0058" w:rsidRPr="00FA0058" w:rsidRDefault="00FA0058" w:rsidP="00DD4F08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005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Prijedlogom zakona predlaže se </w:t>
      </w:r>
      <w:r w:rsidR="00917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dodavanje novog</w:t>
      </w:r>
      <w:r w:rsidRPr="00FA005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kaznenog djela </w:t>
      </w:r>
      <w:r w:rsidRPr="00FA0058">
        <w:rPr>
          <w:rFonts w:ascii="Times New Roman" w:eastAsia="Calibri" w:hAnsi="Times New Roman" w:cs="Times New Roman"/>
          <w:kern w:val="0"/>
          <w14:ligatures w14:val="none"/>
        </w:rPr>
        <w:t xml:space="preserve">članak </w:t>
      </w:r>
      <w:r w:rsidR="00917A04">
        <w:rPr>
          <w:rFonts w:ascii="Times New Roman" w:eastAsia="Calibri" w:hAnsi="Times New Roman" w:cs="Times New Roman"/>
          <w:kern w:val="0"/>
          <w14:ligatures w14:val="none"/>
        </w:rPr>
        <w:t>177</w:t>
      </w:r>
      <w:r w:rsidRPr="00FA0058">
        <w:rPr>
          <w:rFonts w:ascii="Times New Roman" w:eastAsia="Calibri" w:hAnsi="Times New Roman" w:cs="Times New Roman"/>
          <w:kern w:val="0"/>
          <w14:ligatures w14:val="none"/>
        </w:rPr>
        <w:t xml:space="preserve">.a </w:t>
      </w:r>
      <w:r w:rsidR="00CD3B49">
        <w:rPr>
          <w:rFonts w:ascii="Times New Roman" w:eastAsia="Calibri" w:hAnsi="Times New Roman" w:cs="Times New Roman"/>
          <w:kern w:val="0"/>
          <w14:ligatures w14:val="none"/>
        </w:rPr>
        <w:t xml:space="preserve">u </w:t>
      </w:r>
      <w:r w:rsidRPr="00FA0058">
        <w:rPr>
          <w:rFonts w:ascii="Times New Roman" w:eastAsia="Calibri" w:hAnsi="Times New Roman" w:cs="Times New Roman"/>
          <w:kern w:val="0"/>
          <w14:ligatures w14:val="none"/>
        </w:rPr>
        <w:t>Kaznen</w:t>
      </w:r>
      <w:r w:rsidR="00CD3B49">
        <w:rPr>
          <w:rFonts w:ascii="Times New Roman" w:eastAsia="Calibri" w:hAnsi="Times New Roman" w:cs="Times New Roman"/>
          <w:kern w:val="0"/>
          <w14:ligatures w14:val="none"/>
        </w:rPr>
        <w:t>i</w:t>
      </w:r>
      <w:r w:rsidRPr="00FA0058">
        <w:rPr>
          <w:rFonts w:ascii="Times New Roman" w:eastAsia="Calibri" w:hAnsi="Times New Roman" w:cs="Times New Roman"/>
          <w:kern w:val="0"/>
          <w14:ligatures w14:val="none"/>
        </w:rPr>
        <w:t xml:space="preserve"> zakon</w:t>
      </w:r>
      <w:r w:rsidR="00CD3B49">
        <w:rPr>
          <w:rFonts w:ascii="Times New Roman" w:eastAsia="Calibri" w:hAnsi="Times New Roman" w:cs="Times New Roman"/>
          <w:kern w:val="0"/>
          <w14:ligatures w14:val="none"/>
        </w:rPr>
        <w:t xml:space="preserve"> (</w:t>
      </w:r>
      <w:r w:rsidRPr="00FA0058">
        <w:rPr>
          <w:rFonts w:ascii="Times New Roman" w:eastAsia="Calibri" w:hAnsi="Times New Roman" w:cs="Times New Roman"/>
          <w:kern w:val="0"/>
          <w14:ligatures w14:val="none"/>
        </w:rPr>
        <w:t>,,Narodne novine“</w:t>
      </w:r>
      <w:r w:rsidR="00CD3B49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FA0058">
        <w:rPr>
          <w:rFonts w:ascii="Times New Roman" w:eastAsia="Calibri" w:hAnsi="Times New Roman" w:cs="Times New Roman"/>
          <w:kern w:val="0"/>
          <w14:ligatures w14:val="none"/>
        </w:rPr>
        <w:t xml:space="preserve"> br. </w:t>
      </w:r>
      <w:r w:rsidR="000C07C7" w:rsidRPr="00A957C6">
        <w:rPr>
          <w:rFonts w:ascii="Times New Roman" w:hAnsi="Times New Roman" w:cs="Times New Roman"/>
        </w:rPr>
        <w:t>125/11., 144/12., 56/15., 61/15. – ispravak, 101/17., 118/18., 126/19., 84/21., 114/22., 114/23., 36/24. i 136/25.</w:t>
      </w:r>
      <w:r w:rsidR="00CD3B49">
        <w:rPr>
          <w:rFonts w:ascii="Times New Roman" w:eastAsia="Calibri" w:hAnsi="Times New Roman" w:cs="Times New Roman"/>
          <w:kern w:val="0"/>
          <w14:ligatures w14:val="none"/>
        </w:rPr>
        <w:t>)</w:t>
      </w:r>
      <w:r w:rsidR="00D3058B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FA005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053800">
        <w:rPr>
          <w:rFonts w:ascii="Times New Roman" w:eastAsia="Calibri" w:hAnsi="Times New Roman" w:cs="Times New Roman"/>
          <w:kern w:val="0"/>
          <w14:ligatures w14:val="none"/>
        </w:rPr>
        <w:t xml:space="preserve">Ovim se kaznenim djelom u njegovom temeljnom obliku sankcionira </w:t>
      </w:r>
      <w:r w:rsidR="00053800" w:rsidRPr="00053800">
        <w:rPr>
          <w:rFonts w:ascii="Times New Roman" w:eastAsia="Calibri" w:hAnsi="Times New Roman" w:cs="Times New Roman"/>
          <w:kern w:val="0"/>
          <w14:ligatures w14:val="none"/>
        </w:rPr>
        <w:t>krug taksativno naznačenih počinitelja (roditelja, posvojitelja, skrbnika ili druge osobe)</w:t>
      </w:r>
      <w:r w:rsidR="00053800">
        <w:rPr>
          <w:rFonts w:ascii="Times New Roman" w:eastAsia="Calibri" w:hAnsi="Times New Roman" w:cs="Times New Roman"/>
          <w:kern w:val="0"/>
          <w14:ligatures w14:val="none"/>
        </w:rPr>
        <w:t xml:space="preserve"> zbog trajnog ili ponovljenog propuštanja dužnog nadzora nad djetetom koje čini teška kaznena djela ili nasilna ponašanja  prema drugim osobama.</w:t>
      </w:r>
    </w:p>
    <w:p w14:paraId="6BC1A95A" w14:textId="77777777" w:rsidR="00FA0058" w:rsidRPr="00FA0058" w:rsidRDefault="00FA0058" w:rsidP="00DD4F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F8AD41B" w14:textId="05DE546A" w:rsidR="00C17BDA" w:rsidRDefault="00FA0058" w:rsidP="00DD4F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A005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 odnosu na predloženu izmjenu, ukazujemo kako </w:t>
      </w:r>
      <w:r w:rsidR="00CA48D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se </w:t>
      </w:r>
      <w:r w:rsidRPr="00FA005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uvođenje kaznenog djela </w:t>
      </w:r>
      <w:r w:rsidR="00A3637F"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iz članka 177.a </w:t>
      </w:r>
      <w:r w:rsidR="00CD3B4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Prijedloga</w:t>
      </w:r>
      <w:r w:rsidR="00CD3B49"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A3637F"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zakona</w:t>
      </w:r>
      <w:r w:rsidR="00CA48D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predlaže</w:t>
      </w:r>
      <w:r w:rsidR="00A3637F"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uvr</w:t>
      </w:r>
      <w:r w:rsidR="00CA48D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stiti</w:t>
      </w:r>
      <w:r w:rsidR="00A3637F"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r w:rsidR="0051007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</w:t>
      </w:r>
      <w:r w:rsidR="00A3637F"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lavu</w:t>
      </w:r>
      <w:r w:rsidR="0051007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XVIII.</w:t>
      </w:r>
      <w:r w:rsidR="00A3637F"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kaznenih djela protiv braka, obitelji i djece i to kao novo kazneno djelo iza postojećeg kaznenog djela povrede djetetovih prava. </w:t>
      </w:r>
      <w:r w:rsidR="0005380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A3637F"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Objekt kaznenopravne zaštite predmetne glave K</w:t>
      </w:r>
      <w:r w:rsidR="00E0083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aznenog zakona</w:t>
      </w:r>
      <w:r w:rsidR="00A3637F"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su brak, obitelj i djeca</w:t>
      </w:r>
      <w:r w:rsidR="008554F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r w:rsidR="00CA48D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Iz Prijedloga zakona</w:t>
      </w:r>
      <w:r w:rsidR="00A3637F"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razvidno je kako se predloženim kaznenim djelom dominantno štite druge osobe (</w:t>
      </w:r>
      <w:r w:rsidR="00C17BD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kazneno djelo </w:t>
      </w:r>
      <w:r w:rsidR="00A3637F"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nije ograničeno na djecu odnosno njihov odgoj) odnosno njihovo zdravlje i život. Slijedom navedenog</w:t>
      </w:r>
      <w:r w:rsidR="00CD3B4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</w:t>
      </w:r>
      <w:r w:rsidR="00A3637F"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smještaj navedenog kaznenog djela u </w:t>
      </w:r>
      <w:r w:rsidR="00C17BD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</w:t>
      </w:r>
      <w:r w:rsidR="00A3637F"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lavu kaznenih djela protiv braka, obitelji i djece i to osobito iza kaznenog djela povrede djetetovih prava nije u duhu dominantnog objekta kaznenopravne zaštite. </w:t>
      </w:r>
    </w:p>
    <w:p w14:paraId="0BF81E1A" w14:textId="77777777" w:rsidR="00C17BDA" w:rsidRDefault="00C17BDA" w:rsidP="00DD4F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8A77C86" w14:textId="77777777" w:rsidR="00A3637F" w:rsidRPr="00A3637F" w:rsidRDefault="00C9430C" w:rsidP="00DD4F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Postojeće k</w:t>
      </w:r>
      <w:r w:rsidR="00A3637F"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azneno djelo povrede djetetovih prava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iz članka 177</w:t>
      </w:r>
      <w:r w:rsidR="00C32A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Kaznenog zakona</w:t>
      </w:r>
      <w:r w:rsidR="00A3637F"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štiti djecu od neodgovarajućeg odgoja, odnosno isto je usmjereno isključivo prema kaznenopravnoj zaštiti zanemarivanog djeteta, a ne prema zaštiti zajednice odnosno kolektiva, općenito. Samim time ne može se nomotehnički vezivati njegova numeracija na nastavak kaznenog djela povrede djetetovih prava.</w:t>
      </w:r>
    </w:p>
    <w:p w14:paraId="5C60F98B" w14:textId="77777777" w:rsidR="00A3637F" w:rsidRPr="00A3637F" w:rsidRDefault="00A3637F" w:rsidP="00DD4F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F5233AC" w14:textId="1CDFC33C" w:rsidR="00A3637F" w:rsidRPr="00A3637F" w:rsidRDefault="00A3637F" w:rsidP="00DD4F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Nadalje, iz predloženog teksta članka 177.a stavka 1. </w:t>
      </w:r>
      <w:r w:rsidR="00CD3B4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Prijedloga </w:t>
      </w:r>
      <w:r w:rsidR="00C71E6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zakona</w:t>
      </w:r>
      <w:r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nije jasno s kojim oblikom krivnje odgovara počinitelj predloženog kaznenog djela. Naime, predloženim kaznenim djelom kod temeljnog oblika nije jasno </w:t>
      </w:r>
      <w:r w:rsidR="007A7B46"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odgovara </w:t>
      </w:r>
      <w:r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li počinitelj samo ako je djelo počinjeno s namjerom ili odgovara i za nehaj kao blaži oblik krivnje. Odgovornost za nehaj mora biti </w:t>
      </w:r>
      <w:r w:rsidR="00FC698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izričito</w:t>
      </w:r>
      <w:r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propisana</w:t>
      </w:r>
      <w:r w:rsidR="00FC698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skladu s člankom 27. stavkom 1. Kaznenog zakona</w:t>
      </w:r>
      <w:r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a to ovdje nije slučaj. Isto tako</w:t>
      </w:r>
      <w:r w:rsidR="007A7B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  <w:r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nije jasno kod kvalificiranih oblika iz stav</w:t>
      </w:r>
      <w:r w:rsidR="00C22A1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</w:t>
      </w:r>
      <w:r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ka 2. i 3. </w:t>
      </w:r>
      <w:r w:rsidR="00C22A16"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odgovara </w:t>
      </w:r>
      <w:r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li počinitelj samo za namjerni oblik krivnje ili i za nehaj kao težu posljedicu djela. Općenito govoreći, </w:t>
      </w:r>
      <w:r w:rsidR="005C764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</w:t>
      </w:r>
      <w:r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lava kaznenih djela protiv braka, obitelji i djece uglavnom sadrži namjerna kaznena djela</w:t>
      </w:r>
      <w:r w:rsidR="00C22A1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  <w:r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dok je nehajni oblik krivnje propisan samo iznimno kod svega dva kaznena djela i to neprovođenja odluke za zaštitu dobrobiti djeteta i drugih ranjivih skupina ili postupanje protivno pravilima struke </w:t>
      </w:r>
      <w:r w:rsidR="00D723F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 članka 173. Kazneno</w:t>
      </w:r>
      <w:r w:rsidR="00CD3B4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</w:t>
      </w:r>
      <w:r w:rsidR="00D723F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zakona</w:t>
      </w:r>
      <w:r w:rsidR="00C22A1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  <w:r w:rsidR="00D723F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kao i kaznenog djela promjene obiteljskog stanja</w:t>
      </w:r>
      <w:r w:rsidR="00D723F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iz članka 175. Kaznenog zakona</w:t>
      </w:r>
      <w:r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5F950FB8" w14:textId="77777777" w:rsidR="00A3637F" w:rsidRPr="00A3637F" w:rsidRDefault="00A3637F" w:rsidP="00DD4F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5597366" w14:textId="4E2E8AFD" w:rsidR="000C4EBA" w:rsidRDefault="00A94F3F" w:rsidP="00DD4F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Nadalje, kada je riječ o mogućoj kaznenoj odgovornosti roditelja nečinjenjem, ističemo kako se u</w:t>
      </w:r>
      <w:r w:rsidR="00A3637F"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</w:t>
      </w:r>
      <w:r w:rsidR="00C71E6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aznenom zakonu u članku 20. </w:t>
      </w:r>
      <w:r w:rsidR="0043791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stavcima </w:t>
      </w:r>
      <w:r w:rsidR="00C71E6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1. i 2.</w:t>
      </w:r>
      <w:r w:rsidR="00A3637F"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5C538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propisuje </w:t>
      </w:r>
      <w:r w:rsidR="00A3637F"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odgovornost za kaznena djela počinjena nečinjenjem i to kroz garantnu dužnost. Garantna dužnost se osim u zaštitnoj obvezi sastoji i u kontrolnoj obvezi u kojima za određenog pojedinca proizlazi obveza kontrolnog nadzora nad izvorima opasnosti. U odnosu na djecu roditelji ili druge osobe kojima je povjeren odgoj djece bi po toj liniji mogli odgovarati kroz </w:t>
      </w:r>
      <w:r w:rsidR="005947B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propuštanje dužnog </w:t>
      </w:r>
      <w:r w:rsidR="00A3637F"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nadzora nad trećim osobama kao garanti (npr. otac koji ne spriječi svoje dijete u razbijanju izloga može odgovarati za oštećenje tuđe stvari), ali je za takvu odgovornost neophodno dokazati postojanje uzročne veze između propuštanja roditelja ili osobe kojima je povjeren odgoj djece i ponašanja djeteta.</w:t>
      </w:r>
      <w:r w:rsidR="00DD4F0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A3637F"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No, kod garantne dužnosti je potrebno da se dijete nalazi pod izravnom kontrolom garanta. </w:t>
      </w:r>
      <w:r w:rsidR="00072D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Kada je riječ o osobama koje mogu biti garanti,</w:t>
      </w:r>
      <w:r w:rsidR="00A3637F"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također je potrebno navesti kako druga osoba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koja se u člank</w:t>
      </w:r>
      <w:r w:rsidR="0055294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177.a</w:t>
      </w:r>
      <w:r w:rsidR="0095238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stavka 1.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Prijedloga zakona, predlaže kao jedan od počinitelja kaznenog djela</w:t>
      </w:r>
      <w:r w:rsidR="00A3637F"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ne može biti garant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  <w:r w:rsidR="00A3637F" w:rsidRPr="00A363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osim onih osoba kojima je jasno povjeren odgoj djece pa je i u tom pogledu prijedlog neusklađen s garantnom odgovornošću odnosno preširoko je postavljena odgovornost. </w:t>
      </w:r>
    </w:p>
    <w:p w14:paraId="26887E8E" w14:textId="77777777" w:rsidR="000C4EBA" w:rsidRDefault="000C4EBA" w:rsidP="00DD4F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D021026" w14:textId="4BE41F99" w:rsidR="000C4EBA" w:rsidRDefault="000C4EBA" w:rsidP="00DD4F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C4EB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Smisao sankcioniranja roditelja te ostalih osoba kojima je povjerena dužnost odgoja djeteta je u ne izvršavanju obveze odgoja djece koja su im povjerena te ako uslijed navedenog dođe do štetne posljedice, a što je već predviđeno kroz postojeće kazneno djelo povrede djetetovih prava. U vezi s tim navodi se kako je člankom 177. stavkom 3. Kaznenog zakona već propisana odgovornost roditelja i ostalih skrbnika u situaciji kada se dijete uslijed neodgovarajućeg podizanja, odgoja i obrazovanja djeteta odalo prosjačenju, prostituciji, kao i ostalim oblicima društveno neprihvatljivog ponašanja</w:t>
      </w:r>
      <w:r w:rsidR="0095238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6CABB58D" w14:textId="77777777" w:rsidR="000C4EBA" w:rsidRDefault="000C4EBA" w:rsidP="00DD4F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9394531" w14:textId="48DED33D" w:rsidR="00F438E0" w:rsidRDefault="00A94F3F" w:rsidP="00DD4F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Osim dogmatski opisan</w:t>
      </w:r>
      <w:r w:rsidR="000C4EB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ih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razloga zbog koj</w:t>
      </w:r>
      <w:r w:rsidR="000C4EB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ih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 Prijedlog zakona ne može prihvatiti, u nastavku </w:t>
      </w:r>
      <w:r w:rsidR="004D40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ističemo kako se isti ne može prihvatiti niti zbog povrede načela zakonitosti. Naime, Prijedlog</w:t>
      </w:r>
      <w:r w:rsidR="0055294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om</w:t>
      </w:r>
      <w:r w:rsidR="004D40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zakona predlaže se kvalificirani oblik ovog kaznenog djela, koji se ogleda u sankcioniranju roditelja ili skrbnika, kada isti </w:t>
      </w:r>
      <w:r w:rsidR="001248E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zanemare</w:t>
      </w:r>
      <w:r w:rsidR="004D40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1248E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upozorenje nadležnih tijela, bez </w:t>
      </w:r>
      <w:r w:rsidR="00F438E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da je za opisani oblik protupravnog postupanja predložena kazna. Ovakvim </w:t>
      </w:r>
      <w:r w:rsidR="006308C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se </w:t>
      </w:r>
      <w:r w:rsidR="00F438E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propuštanjem</w:t>
      </w:r>
      <w:r w:rsidR="006308C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predlagatelja</w:t>
      </w:r>
      <w:r w:rsidR="00F438E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r w:rsidR="006308C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onemogućava kažnjavanje samog počinitelja </w:t>
      </w:r>
      <w:r w:rsidR="0055294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 </w:t>
      </w:r>
      <w:r w:rsidR="006308C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obzirom </w:t>
      </w:r>
      <w:r w:rsidR="0055294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 to da </w:t>
      </w:r>
      <w:r w:rsidR="006308C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se prema Ustavu</w:t>
      </w:r>
      <w:r w:rsidR="006308C4" w:rsidRPr="006308C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Republike Hrvatske („Narodne novine“, br.</w:t>
      </w:r>
      <w:r w:rsidR="00626F5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bookmarkStart w:id="1" w:name="_GoBack"/>
      <w:bookmarkEnd w:id="1"/>
      <w:r w:rsidR="006308C4" w:rsidRPr="006308C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85/10. </w:t>
      </w:r>
      <w:r w:rsidR="0055294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</w:t>
      </w:r>
      <w:r w:rsidR="006308C4" w:rsidRPr="006308C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pročišćeni tekst </w:t>
      </w:r>
      <w:r w:rsidR="0055294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 </w:t>
      </w:r>
      <w:r w:rsidR="006308C4" w:rsidRPr="006308C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5/14</w:t>
      </w:r>
      <w:r w:rsidR="0055294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- </w:t>
      </w:r>
      <w:r w:rsidR="006308C4" w:rsidRPr="006308C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Odluka Ustavnog suda Republike Hrvatske)</w:t>
      </w:r>
      <w:r w:rsidR="006308C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nikome ne može izreći kazna koja nije bila određena zakonom.</w:t>
      </w:r>
    </w:p>
    <w:p w14:paraId="103F2F8C" w14:textId="77777777" w:rsidR="00F438E0" w:rsidRDefault="00F438E0" w:rsidP="00DD4F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9CA15CD" w14:textId="758ACD4A" w:rsidR="000C4EBA" w:rsidRDefault="000C4EBA" w:rsidP="009C64B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 nastavku</w:t>
      </w:r>
      <w:r w:rsidR="00F438E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ukazujemo i na </w:t>
      </w:r>
      <w:r w:rsidR="006308C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nedostatke</w:t>
      </w:r>
      <w:r w:rsidR="0095238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predloženog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članka</w:t>
      </w:r>
      <w:r w:rsidR="006308C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kojim se izričito propisuje </w:t>
      </w:r>
      <w:r w:rsidR="006308C4" w:rsidRPr="006308C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 se kazneni progon za temeljni oblik djela pokreće po službenoj dužnosti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Naime,</w:t>
      </w:r>
      <w:r w:rsidR="006308C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predložena odredba narušava koherentnost Kaznenog zakona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r w:rsidR="0055294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obzirom </w:t>
      </w:r>
      <w:r w:rsidR="0055294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 to da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se kazneni postupak za kaznena djela u pravilu pokreće po službenoj dužnosti, osim kada je izrijekom propisano da se isti pokreće po prijedlogu ili po privatnoj tužbi.</w:t>
      </w:r>
      <w:r w:rsidR="006308C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Zaključno, kazneno djelo </w:t>
      </w:r>
      <w:r w:rsidR="0095238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člank</w:t>
      </w:r>
      <w:r w:rsidR="0095238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1</w:t>
      </w:r>
      <w:r w:rsidR="0095238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7.a Prijedloga zakona ne sadrži niti naziv djela</w:t>
      </w:r>
      <w:r w:rsidR="009C64B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koji bi treba</w:t>
      </w:r>
      <w:r w:rsidR="00B8342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</w:t>
      </w:r>
      <w:r w:rsidR="009C64B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održavati njegovu pravnu prirodu koja proizlazi iz zakonskog opisa djela</w:t>
      </w:r>
      <w:r w:rsidR="0095238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  <w:r w:rsidR="00B8342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a koja ga posljedično</w:t>
      </w:r>
      <w:r w:rsidR="0095238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čini </w:t>
      </w:r>
      <w:r w:rsidR="009C64B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neodvojiv</w:t>
      </w:r>
      <w:r w:rsidR="0095238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</w:t>
      </w:r>
      <w:r w:rsidR="009C64B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povezan</w:t>
      </w:r>
      <w:r w:rsidR="0095238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im</w:t>
      </w:r>
      <w:r w:rsidR="009C64B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sa samim zaštitnim objektom.</w:t>
      </w:r>
    </w:p>
    <w:p w14:paraId="155615ED" w14:textId="77777777" w:rsidR="000C4EBA" w:rsidRDefault="000C4EBA" w:rsidP="00DD4F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4C23002" w14:textId="77777777" w:rsidR="00FA0058" w:rsidRPr="00FA0058" w:rsidRDefault="00FA0058" w:rsidP="00DD4F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</w:pPr>
      <w:r w:rsidRPr="00FA005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Slijedom navedenog</w:t>
      </w:r>
      <w:r w:rsidR="00DD4F0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</w:t>
      </w:r>
      <w:r w:rsidRPr="00FA005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Vlada Republike Hrvatske</w:t>
      </w:r>
      <w:r w:rsidRPr="00FA0058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t xml:space="preserve"> predlaže Hrvatskome saboru da ne prihvati Prijedlog zakona o </w:t>
      </w:r>
      <w:r w:rsidR="00DD4F08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t>dopuni</w:t>
      </w:r>
      <w:r w:rsidRPr="00FA0058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t xml:space="preserve"> Kaznenog zakona.</w:t>
      </w:r>
    </w:p>
    <w:p w14:paraId="68B8A70C" w14:textId="77777777" w:rsidR="00FA0058" w:rsidRPr="00FA0058" w:rsidRDefault="00FA0058" w:rsidP="00DD4F0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</w:pPr>
    </w:p>
    <w:p w14:paraId="0EED6DE6" w14:textId="77777777" w:rsidR="00FA0058" w:rsidRPr="00DD4F08" w:rsidRDefault="00A55D67" w:rsidP="00DD4F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</w:pPr>
      <w:r w:rsidRPr="00A55D67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t>Za svoje predstavnike, koji će u vezi s iznesenim mišljenjem biti nazočni na sjednicama Hrvatskog</w:t>
      </w:r>
      <w:r w:rsidR="00D27B24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t>a</w:t>
      </w:r>
      <w:r w:rsidRPr="00A55D67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t xml:space="preserve"> sabora i njegovih radnih tijela, Vlada je odredila </w:t>
      </w:r>
      <w:r w:rsidR="00DD4F08" w:rsidRPr="00A55D67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t xml:space="preserve">ministra pravosuđa, uprave i digitalne transformacije </w:t>
      </w:r>
      <w:r w:rsidRPr="00A55D67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t>Damira Habijan</w:t>
      </w:r>
      <w:r w:rsidR="00DD4F08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t>a i državne tajnike</w:t>
      </w:r>
      <w:r w:rsidRPr="00A55D67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t xml:space="preserve"> Ivana Crnčeca, Vedranu Šimundžu Nikolić, </w:t>
      </w:r>
      <w:r w:rsidR="00DD4F08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t>F</w:t>
      </w:r>
      <w:r w:rsidRPr="00A55D67">
        <w:rPr>
          <w:rFonts w:ascii="Times New Roman" w:eastAsia="Times New Roman" w:hAnsi="Times New Roman" w:cs="Times New Roman"/>
          <w:snapToGrid w:val="0"/>
          <w:spacing w:val="-3"/>
          <w:kern w:val="0"/>
          <w:szCs w:val="20"/>
          <w:lang w:eastAsia="hr-HR"/>
          <w14:ligatures w14:val="none"/>
        </w:rPr>
        <w:t>adilu Bahović i Sanjina Rukavinu.</w:t>
      </w:r>
    </w:p>
    <w:p w14:paraId="459DD1AB" w14:textId="77777777" w:rsidR="00FA0058" w:rsidRPr="00FA0058" w:rsidRDefault="00FA0058" w:rsidP="00A55D67">
      <w:pPr>
        <w:tabs>
          <w:tab w:val="left" w:pos="12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FA0058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ab/>
      </w:r>
      <w:r w:rsidRPr="00FA0058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ab/>
      </w:r>
      <w:r w:rsidRPr="00FA0058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ab/>
      </w:r>
      <w:r w:rsidRPr="00FA0058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ab/>
      </w:r>
      <w:r w:rsidRPr="00FA0058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ab/>
      </w:r>
      <w:r w:rsidRPr="00FA0058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ab/>
      </w:r>
      <w:r w:rsidRPr="00FA0058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ab/>
      </w:r>
      <w:r w:rsidRPr="00FA0058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ab/>
      </w:r>
      <w:r w:rsidRPr="00FA0058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ab/>
        <w:t xml:space="preserve">    </w:t>
      </w:r>
    </w:p>
    <w:p w14:paraId="5281610A" w14:textId="77777777" w:rsidR="00BF755C" w:rsidRDefault="00FA0058" w:rsidP="00BF75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FA0058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ab/>
      </w:r>
      <w:r w:rsidRPr="00FA0058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ab/>
      </w:r>
      <w:r w:rsidRPr="00FA0058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ab/>
      </w:r>
      <w:r w:rsidRPr="00FA0058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ab/>
      </w:r>
      <w:r w:rsidRPr="00FA0058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ab/>
      </w:r>
      <w:r w:rsidRPr="00FA0058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ab/>
      </w:r>
      <w:r w:rsidRPr="00FA0058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ab/>
      </w:r>
      <w:r w:rsidRPr="00FA0058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ab/>
      </w:r>
      <w:r w:rsidRPr="00FA0058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ab/>
      </w:r>
      <w:r w:rsidR="00BF755C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PREDSJEDNIK</w:t>
      </w:r>
    </w:p>
    <w:p w14:paraId="4874A741" w14:textId="77777777" w:rsidR="00BF755C" w:rsidRDefault="00BF755C" w:rsidP="00BF75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3E4154A9" w14:textId="77777777" w:rsidR="00BF755C" w:rsidRDefault="00BF755C" w:rsidP="00BF75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6B59AE62" w14:textId="77777777" w:rsidR="00BF755C" w:rsidRDefault="00BF755C" w:rsidP="00BF75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  <w:t xml:space="preserve">      mr. sc. Andrej Plenković</w:t>
      </w:r>
    </w:p>
    <w:p w14:paraId="6A83E161" w14:textId="77777777" w:rsidR="0044369A" w:rsidRDefault="0044369A" w:rsidP="00BF755C">
      <w:pPr>
        <w:tabs>
          <w:tab w:val="left" w:pos="1260"/>
        </w:tabs>
        <w:autoSpaceDE w:val="0"/>
        <w:autoSpaceDN w:val="0"/>
        <w:adjustRightInd w:val="0"/>
        <w:spacing w:after="0" w:line="276" w:lineRule="auto"/>
        <w:jc w:val="both"/>
      </w:pPr>
    </w:p>
    <w:sectPr w:rsidR="0044369A" w:rsidSect="00FA0058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3BF50" w14:textId="77777777" w:rsidR="003F41D5" w:rsidRDefault="003F41D5">
      <w:pPr>
        <w:spacing w:after="0" w:line="240" w:lineRule="auto"/>
      </w:pPr>
      <w:r>
        <w:separator/>
      </w:r>
    </w:p>
  </w:endnote>
  <w:endnote w:type="continuationSeparator" w:id="0">
    <w:p w14:paraId="52DD4BD9" w14:textId="77777777" w:rsidR="003F41D5" w:rsidRDefault="003F4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D5A4D" w14:textId="77777777" w:rsidR="006F1EC1" w:rsidRPr="00601D25" w:rsidRDefault="008A6F2B" w:rsidP="00601D25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1D25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67779" w14:textId="77777777" w:rsidR="006F1EC1" w:rsidRPr="00917DA2" w:rsidRDefault="006F1EC1" w:rsidP="00917D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41BB4" w14:textId="77777777" w:rsidR="006F1EC1" w:rsidRDefault="006F1E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3DC03" w14:textId="77777777" w:rsidR="003F41D5" w:rsidRDefault="003F41D5">
      <w:pPr>
        <w:spacing w:after="0" w:line="240" w:lineRule="auto"/>
      </w:pPr>
      <w:r>
        <w:separator/>
      </w:r>
    </w:p>
  </w:footnote>
  <w:footnote w:type="continuationSeparator" w:id="0">
    <w:p w14:paraId="1C4F440B" w14:textId="77777777" w:rsidR="003F41D5" w:rsidRDefault="003F4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2DD68" w14:textId="77777777" w:rsidR="006F1EC1" w:rsidRDefault="008A6F2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728F9">
      <w:rPr>
        <w:noProof/>
      </w:rPr>
      <w:t>3</w:t>
    </w:r>
    <w:r>
      <w:fldChar w:fldCharType="end"/>
    </w:r>
  </w:p>
  <w:p w14:paraId="79448D9C" w14:textId="77777777" w:rsidR="006F1EC1" w:rsidRDefault="006F1E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10575"/>
    <w:multiLevelType w:val="hybridMultilevel"/>
    <w:tmpl w:val="A1FCEBB2"/>
    <w:lvl w:ilvl="0" w:tplc="F42A9DA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058"/>
    <w:rsid w:val="00036F84"/>
    <w:rsid w:val="00047D04"/>
    <w:rsid w:val="00053800"/>
    <w:rsid w:val="00072DB3"/>
    <w:rsid w:val="000820CC"/>
    <w:rsid w:val="00082935"/>
    <w:rsid w:val="000841DE"/>
    <w:rsid w:val="000C07C7"/>
    <w:rsid w:val="000C38B4"/>
    <w:rsid w:val="000C4EBA"/>
    <w:rsid w:val="000E139A"/>
    <w:rsid w:val="00124686"/>
    <w:rsid w:val="001248E9"/>
    <w:rsid w:val="001C56E5"/>
    <w:rsid w:val="001C6F07"/>
    <w:rsid w:val="001D2497"/>
    <w:rsid w:val="002A25B1"/>
    <w:rsid w:val="002A5B5E"/>
    <w:rsid w:val="002B09D6"/>
    <w:rsid w:val="002D2AE2"/>
    <w:rsid w:val="0032294B"/>
    <w:rsid w:val="003A6677"/>
    <w:rsid w:val="003B4AA7"/>
    <w:rsid w:val="003E3169"/>
    <w:rsid w:val="003F41D5"/>
    <w:rsid w:val="00416DED"/>
    <w:rsid w:val="00422244"/>
    <w:rsid w:val="00437919"/>
    <w:rsid w:val="0044369A"/>
    <w:rsid w:val="00491DFD"/>
    <w:rsid w:val="004B5C36"/>
    <w:rsid w:val="004D387B"/>
    <w:rsid w:val="004D403A"/>
    <w:rsid w:val="00510070"/>
    <w:rsid w:val="00510FCC"/>
    <w:rsid w:val="00515E0B"/>
    <w:rsid w:val="00524519"/>
    <w:rsid w:val="00552943"/>
    <w:rsid w:val="00557DE5"/>
    <w:rsid w:val="005947BC"/>
    <w:rsid w:val="005B66D7"/>
    <w:rsid w:val="005C5383"/>
    <w:rsid w:val="005C764A"/>
    <w:rsid w:val="005D11DB"/>
    <w:rsid w:val="00626F5E"/>
    <w:rsid w:val="006308C4"/>
    <w:rsid w:val="00684419"/>
    <w:rsid w:val="006F1EC1"/>
    <w:rsid w:val="006F2332"/>
    <w:rsid w:val="00710153"/>
    <w:rsid w:val="00730461"/>
    <w:rsid w:val="00757107"/>
    <w:rsid w:val="00770AA1"/>
    <w:rsid w:val="007A7B46"/>
    <w:rsid w:val="008554FA"/>
    <w:rsid w:val="008840DD"/>
    <w:rsid w:val="00892A12"/>
    <w:rsid w:val="0089629C"/>
    <w:rsid w:val="008A6F2B"/>
    <w:rsid w:val="008B2364"/>
    <w:rsid w:val="008C7916"/>
    <w:rsid w:val="00917A04"/>
    <w:rsid w:val="0095238A"/>
    <w:rsid w:val="009559C8"/>
    <w:rsid w:val="00985FA5"/>
    <w:rsid w:val="009C64B2"/>
    <w:rsid w:val="00A121CE"/>
    <w:rsid w:val="00A3637F"/>
    <w:rsid w:val="00A4697B"/>
    <w:rsid w:val="00A55D67"/>
    <w:rsid w:val="00A94F3F"/>
    <w:rsid w:val="00AB3117"/>
    <w:rsid w:val="00B42A35"/>
    <w:rsid w:val="00B83422"/>
    <w:rsid w:val="00BB0803"/>
    <w:rsid w:val="00BF755C"/>
    <w:rsid w:val="00C10DF9"/>
    <w:rsid w:val="00C17BDA"/>
    <w:rsid w:val="00C22A16"/>
    <w:rsid w:val="00C32A2C"/>
    <w:rsid w:val="00C71E67"/>
    <w:rsid w:val="00C9430C"/>
    <w:rsid w:val="00CA48DF"/>
    <w:rsid w:val="00CC1B67"/>
    <w:rsid w:val="00CD3B49"/>
    <w:rsid w:val="00CD51B5"/>
    <w:rsid w:val="00D27B24"/>
    <w:rsid w:val="00D3058B"/>
    <w:rsid w:val="00D723FF"/>
    <w:rsid w:val="00DD4F08"/>
    <w:rsid w:val="00DF4224"/>
    <w:rsid w:val="00DF4DE5"/>
    <w:rsid w:val="00E0083E"/>
    <w:rsid w:val="00E30059"/>
    <w:rsid w:val="00E32613"/>
    <w:rsid w:val="00E65FE4"/>
    <w:rsid w:val="00E728F9"/>
    <w:rsid w:val="00E72D85"/>
    <w:rsid w:val="00EE6A5A"/>
    <w:rsid w:val="00F24ED3"/>
    <w:rsid w:val="00F438E0"/>
    <w:rsid w:val="00F65798"/>
    <w:rsid w:val="00F75B74"/>
    <w:rsid w:val="00FA0058"/>
    <w:rsid w:val="00FC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1342"/>
  <w15:chartTrackingRefBased/>
  <w15:docId w15:val="{4EA6EDEE-5274-4A13-B9EF-4F1238F6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0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0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0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0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0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A005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A0058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rsid w:val="00FA005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A0058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4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4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1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1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1D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24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1216</Words>
  <Characters>6933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Katavić</dc:creator>
  <cp:keywords/>
  <dc:description/>
  <cp:lastModifiedBy>Koordinacija za un. politiku, dr. djelatnosti i ljudska prava</cp:lastModifiedBy>
  <cp:revision>4</cp:revision>
  <dcterms:created xsi:type="dcterms:W3CDTF">2026-04-29T11:52:00Z</dcterms:created>
  <dcterms:modified xsi:type="dcterms:W3CDTF">2026-04-29T12:46:00Z</dcterms:modified>
</cp:coreProperties>
</file>