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82DC6" w14:textId="7CB15601" w:rsidR="0067038B" w:rsidRPr="00773578" w:rsidRDefault="0067038B" w:rsidP="00C12EA7">
      <w:pPr>
        <w:tabs>
          <w:tab w:val="left" w:pos="1843"/>
        </w:tabs>
        <w:jc w:val="both"/>
        <w:rPr>
          <w:rFonts w:ascii="Times New Roman" w:hAnsi="Times New Roman" w:cs="Times New Roman"/>
          <w:iCs/>
          <w:lang w:val="pl-PL"/>
        </w:rPr>
      </w:pPr>
      <w:r>
        <w:rPr>
          <w:rFonts w:ascii="Times New Roman" w:hAnsi="Times New Roman" w:cs="Times New Roman"/>
          <w:noProof/>
          <w:lang w:val="en-US" w:eastAsia="en-US"/>
        </w:rPr>
        <w:tab/>
      </w:r>
    </w:p>
    <w:p w14:paraId="76782DC7" w14:textId="6448DD64" w:rsidR="0067038B" w:rsidRPr="00CB7345" w:rsidRDefault="0067038B" w:rsidP="00BB025B">
      <w:pPr>
        <w:jc w:val="right"/>
        <w:rPr>
          <w:rFonts w:ascii="CarolinaBar-B39-25F2" w:hAnsi="CarolinaBar-B39-25F2"/>
          <w:sz w:val="32"/>
          <w:szCs w:val="32"/>
        </w:rPr>
        <w:sectPr w:rsidR="0067038B" w:rsidRPr="00CB7345" w:rsidSect="00E62B31">
          <w:pgSz w:w="11906" w:h="16838" w:code="9"/>
          <w:pgMar w:top="993" w:right="1080" w:bottom="1440" w:left="1080" w:header="709" w:footer="709" w:gutter="0"/>
          <w:paperSrc w:first="14"/>
          <w:cols w:num="2" w:space="708"/>
          <w:titlePg/>
          <w:docGrid w:linePitch="360"/>
        </w:sectPr>
      </w:pPr>
    </w:p>
    <w:p w14:paraId="76782DCF" w14:textId="77777777" w:rsidR="0067038B" w:rsidRPr="00773578" w:rsidRDefault="0067038B" w:rsidP="00092B44">
      <w:pPr>
        <w:rPr>
          <w:rFonts w:ascii="Times New Roman" w:hAnsi="Times New Roman" w:cs="Times New Roman"/>
          <w:noProof/>
          <w:sz w:val="22"/>
          <w:szCs w:val="22"/>
        </w:rPr>
      </w:pPr>
    </w:p>
    <w:p w14:paraId="76782DDA" w14:textId="77777777" w:rsidR="0067038B" w:rsidRPr="00773578" w:rsidRDefault="0067038B" w:rsidP="00F63743">
      <w:pPr>
        <w:rPr>
          <w:rFonts w:ascii="Times New Roman" w:hAnsi="Times New Roman" w:cs="Times New Roman"/>
          <w:b/>
          <w:sz w:val="22"/>
          <w:szCs w:val="22"/>
        </w:rPr>
      </w:pPr>
    </w:p>
    <w:p w14:paraId="76DF4205" w14:textId="77777777" w:rsidR="00540966" w:rsidRPr="00540966" w:rsidRDefault="00540966" w:rsidP="00540966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540966">
        <w:rPr>
          <w:rFonts w:ascii="Times New Roman" w:hAnsi="Times New Roman" w:cs="Times New Roman"/>
          <w:iCs/>
          <w:lang w:val="pl-PL"/>
        </w:rPr>
        <w:t xml:space="preserve">             </w:t>
      </w:r>
      <w:r w:rsidRPr="00540966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6DF4A08A" w14:textId="05DF03A9" w:rsidR="00540966" w:rsidRPr="00540966" w:rsidRDefault="00561923" w:rsidP="00540966">
      <w:pPr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noProof/>
          <w:color w:val="auto"/>
          <w:sz w:val="22"/>
          <w:szCs w:val="22"/>
        </w:rPr>
        <w:drawing>
          <wp:inline distT="0" distB="0" distL="0" distR="0" wp14:anchorId="2C7E2CC6" wp14:editId="1BBEE835">
            <wp:extent cx="519430" cy="687705"/>
            <wp:effectExtent l="0" t="0" r="0" b="0"/>
            <wp:docPr id="1" name="Slika 2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FCF88" w14:textId="77777777" w:rsidR="00540966" w:rsidRPr="00540966" w:rsidRDefault="00540966" w:rsidP="00540966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540966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458988EB" w14:textId="4E406060" w:rsidR="00540966" w:rsidRPr="00540966" w:rsidRDefault="00540966" w:rsidP="00540966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540966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CB78B5">
        <w:rPr>
          <w:rFonts w:ascii="Times New Roman" w:eastAsia="Calibri" w:hAnsi="Times New Roman" w:cs="Times New Roman"/>
          <w:color w:val="auto"/>
          <w:lang w:eastAsia="en-US"/>
        </w:rPr>
        <w:t xml:space="preserve">30. </w:t>
      </w:r>
      <w:r w:rsidRPr="00540966">
        <w:rPr>
          <w:rFonts w:ascii="Times New Roman" w:eastAsia="Calibri" w:hAnsi="Times New Roman" w:cs="Times New Roman"/>
          <w:color w:val="auto"/>
          <w:lang w:eastAsia="en-US"/>
        </w:rPr>
        <w:t>travnj</w:t>
      </w:r>
      <w:r w:rsidR="00CB78B5">
        <w:rPr>
          <w:rFonts w:ascii="Times New Roman" w:eastAsia="Calibri" w:hAnsi="Times New Roman" w:cs="Times New Roman"/>
          <w:color w:val="auto"/>
          <w:lang w:eastAsia="en-US"/>
        </w:rPr>
        <w:t>a</w:t>
      </w:r>
      <w:r w:rsidRPr="00540966">
        <w:rPr>
          <w:rFonts w:ascii="Times New Roman" w:eastAsia="Calibri" w:hAnsi="Times New Roman" w:cs="Times New Roman"/>
          <w:color w:val="auto"/>
          <w:lang w:eastAsia="en-US"/>
        </w:rPr>
        <w:t xml:space="preserve"> 2026.</w:t>
      </w:r>
    </w:p>
    <w:p w14:paraId="48568A85" w14:textId="77777777" w:rsidR="00540966" w:rsidRPr="00540966" w:rsidRDefault="00540966" w:rsidP="00540966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780A2303" w14:textId="77777777" w:rsidR="00540966" w:rsidRPr="00540966" w:rsidRDefault="00540966" w:rsidP="00CB78B5">
      <w:pPr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14:paraId="37EE287F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40966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540966" w:rsidRPr="00540966" w14:paraId="7DCE8C16" w14:textId="77777777" w:rsidTr="000C5787">
        <w:tc>
          <w:tcPr>
            <w:tcW w:w="1951" w:type="dxa"/>
            <w:hideMark/>
          </w:tcPr>
          <w:p w14:paraId="46945419" w14:textId="77777777" w:rsidR="00540966" w:rsidRPr="00540966" w:rsidRDefault="00540966" w:rsidP="00540966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  <w:kern w:val="2"/>
                <w:lang w:val="en-US" w:eastAsia="en-US"/>
              </w:rPr>
            </w:pPr>
            <w:r w:rsidRPr="00CD0BFD">
              <w:rPr>
                <w:rFonts w:ascii="Times New Roman" w:hAnsi="Times New Roman" w:cs="Times New Roman"/>
                <w:b/>
                <w:smallCaps/>
                <w:noProof/>
                <w:color w:val="auto"/>
                <w:kern w:val="2"/>
                <w:lang w:eastAsia="en-US"/>
              </w:rPr>
              <w:t>Predlagatelj</w:t>
            </w:r>
            <w:r w:rsidRPr="00540966">
              <w:rPr>
                <w:rFonts w:ascii="Times New Roman" w:hAnsi="Times New Roman" w:cs="Times New Roman"/>
                <w:b/>
                <w:color w:val="auto"/>
                <w:kern w:val="2"/>
                <w:lang w:val="en-US" w:eastAsia="en-US"/>
              </w:rPr>
              <w:t>:</w:t>
            </w:r>
          </w:p>
        </w:tc>
        <w:tc>
          <w:tcPr>
            <w:tcW w:w="7229" w:type="dxa"/>
            <w:hideMark/>
          </w:tcPr>
          <w:p w14:paraId="436B1341" w14:textId="77777777" w:rsidR="00540966" w:rsidRPr="00DA17B4" w:rsidRDefault="00540966" w:rsidP="00540966">
            <w:pPr>
              <w:spacing w:line="360" w:lineRule="auto"/>
              <w:rPr>
                <w:rFonts w:ascii="Times New Roman" w:hAnsi="Times New Roman" w:cs="Times New Roman"/>
                <w:color w:val="auto"/>
                <w:kern w:val="2"/>
                <w:lang w:val="sv-SE" w:eastAsia="en-US"/>
              </w:rPr>
            </w:pPr>
            <w:r w:rsidRPr="00DA17B4">
              <w:rPr>
                <w:rFonts w:ascii="Times New Roman" w:hAnsi="Times New Roman" w:cs="Times New Roman"/>
                <w:color w:val="auto"/>
                <w:kern w:val="2"/>
                <w:lang w:val="sv-SE" w:eastAsia="en-US"/>
              </w:rPr>
              <w:t>Ministarstvo poljoprivrede, šumarstva i ribarstva</w:t>
            </w:r>
          </w:p>
        </w:tc>
      </w:tr>
    </w:tbl>
    <w:p w14:paraId="77E12246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40966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540966" w:rsidRPr="00540966" w14:paraId="09A6346F" w14:textId="77777777" w:rsidTr="000C5787">
        <w:tc>
          <w:tcPr>
            <w:tcW w:w="1951" w:type="dxa"/>
            <w:hideMark/>
          </w:tcPr>
          <w:p w14:paraId="12ECC20E" w14:textId="77777777" w:rsidR="00540966" w:rsidRPr="00540966" w:rsidRDefault="00540966" w:rsidP="00540966">
            <w:pPr>
              <w:spacing w:line="360" w:lineRule="auto"/>
              <w:rPr>
                <w:rFonts w:ascii="Times New Roman" w:hAnsi="Times New Roman" w:cs="Times New Roman"/>
                <w:noProof/>
                <w:color w:val="auto"/>
                <w:kern w:val="2"/>
                <w:lang w:val="en-US" w:eastAsia="en-US"/>
              </w:rPr>
            </w:pPr>
            <w:r w:rsidRPr="00540966">
              <w:rPr>
                <w:rFonts w:ascii="Times New Roman" w:hAnsi="Times New Roman" w:cs="Times New Roman"/>
                <w:b/>
                <w:smallCaps/>
                <w:noProof/>
                <w:color w:val="auto"/>
                <w:kern w:val="2"/>
                <w:lang w:val="en-US" w:eastAsia="en-US"/>
              </w:rPr>
              <w:t>Predmet</w:t>
            </w:r>
            <w:r w:rsidRPr="00540966">
              <w:rPr>
                <w:rFonts w:ascii="Times New Roman" w:hAnsi="Times New Roman" w:cs="Times New Roman"/>
                <w:b/>
                <w:noProof/>
                <w:color w:val="auto"/>
                <w:kern w:val="2"/>
                <w:lang w:val="en-US" w:eastAsia="en-US"/>
              </w:rPr>
              <w:t>:</w:t>
            </w:r>
          </w:p>
        </w:tc>
        <w:tc>
          <w:tcPr>
            <w:tcW w:w="7229" w:type="dxa"/>
            <w:hideMark/>
          </w:tcPr>
          <w:p w14:paraId="1FDD58D9" w14:textId="7EAA7922" w:rsidR="00540966" w:rsidRPr="00540966" w:rsidRDefault="00540966" w:rsidP="00540966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color w:val="auto"/>
                <w:kern w:val="2"/>
                <w:lang w:val="en-US" w:eastAsia="en-US"/>
              </w:rPr>
            </w:pPr>
            <w:r w:rsidRPr="00540966">
              <w:rPr>
                <w:rFonts w:ascii="Times New Roman" w:hAnsi="Times New Roman" w:cs="Times New Roman"/>
                <w:noProof/>
                <w:color w:val="auto"/>
                <w:kern w:val="2"/>
                <w:lang w:val="en-US" w:eastAsia="en-US"/>
              </w:rPr>
              <w:t xml:space="preserve">Prijedlog </w:t>
            </w:r>
            <w:r w:rsidR="00CD0BFD">
              <w:rPr>
                <w:rFonts w:ascii="Times New Roman" w:hAnsi="Times New Roman" w:cs="Times New Roman"/>
                <w:noProof/>
                <w:color w:val="auto"/>
                <w:kern w:val="2"/>
                <w:lang w:val="en-US" w:eastAsia="en-US"/>
              </w:rPr>
              <w:t>o</w:t>
            </w:r>
            <w:r w:rsidRPr="00540966">
              <w:rPr>
                <w:rFonts w:ascii="Times New Roman" w:hAnsi="Times New Roman" w:cs="Times New Roman"/>
                <w:noProof/>
                <w:color w:val="auto"/>
                <w:kern w:val="2"/>
                <w:lang w:val="en-US" w:eastAsia="en-US"/>
              </w:rPr>
              <w:t>dluke o dodjeli sredstava za suzbijanje sredozemne voćne muhe u višegodišnjim nasadima na području Dubrovačko-neretvanske županije za 2026. godinu</w:t>
            </w:r>
          </w:p>
        </w:tc>
      </w:tr>
    </w:tbl>
    <w:p w14:paraId="48363142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540966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620C8DE3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6AC204C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45FCD7D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A5B11FF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2CE3875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C58ABA8" w14:textId="77777777" w:rsidR="00540966" w:rsidRPr="00540966" w:rsidRDefault="00540966" w:rsidP="00540966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0BE2CFD" w14:textId="77777777" w:rsidR="00540966" w:rsidRPr="00540966" w:rsidRDefault="00540966" w:rsidP="0054096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540966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2AD0C166" w14:textId="77777777" w:rsidR="00540966" w:rsidRPr="00540966" w:rsidRDefault="00540966" w:rsidP="0054096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</w:p>
    <w:p w14:paraId="25983794" w14:textId="77777777" w:rsidR="00540966" w:rsidRPr="00540966" w:rsidRDefault="00540966" w:rsidP="0054096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</w:p>
    <w:p w14:paraId="5B98F438" w14:textId="5C2B7A2C" w:rsidR="00540966" w:rsidRDefault="00CB78B5" w:rsidP="00CB78B5">
      <w:pPr>
        <w:pBdr>
          <w:top w:val="single" w:sz="4" w:space="1" w:color="404040"/>
        </w:pBdr>
        <w:tabs>
          <w:tab w:val="center" w:pos="4536"/>
          <w:tab w:val="left" w:pos="8610"/>
        </w:tabs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ab/>
      </w:r>
      <w:r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ab/>
      </w:r>
    </w:p>
    <w:p w14:paraId="0AFABF42" w14:textId="5087EF36" w:rsidR="00CB78B5" w:rsidRDefault="00CB78B5" w:rsidP="00CB78B5">
      <w:pPr>
        <w:pBdr>
          <w:top w:val="single" w:sz="4" w:space="1" w:color="404040"/>
        </w:pBdr>
        <w:tabs>
          <w:tab w:val="center" w:pos="4536"/>
          <w:tab w:val="left" w:pos="8610"/>
        </w:tabs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</w:p>
    <w:p w14:paraId="09F0D937" w14:textId="77C9CA59" w:rsidR="00CB78B5" w:rsidRDefault="00CB78B5" w:rsidP="00CB78B5">
      <w:pPr>
        <w:pBdr>
          <w:top w:val="single" w:sz="4" w:space="1" w:color="404040"/>
        </w:pBdr>
        <w:tabs>
          <w:tab w:val="center" w:pos="4536"/>
          <w:tab w:val="left" w:pos="8610"/>
        </w:tabs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</w:p>
    <w:p w14:paraId="1364C174" w14:textId="1B5E4234" w:rsidR="00CB78B5" w:rsidRDefault="00CB78B5" w:rsidP="00CB78B5">
      <w:pPr>
        <w:pBdr>
          <w:top w:val="single" w:sz="4" w:space="1" w:color="404040"/>
        </w:pBdr>
        <w:tabs>
          <w:tab w:val="center" w:pos="4536"/>
          <w:tab w:val="left" w:pos="8610"/>
        </w:tabs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</w:p>
    <w:p w14:paraId="0A1E8E2D" w14:textId="77777777" w:rsidR="00CB78B5" w:rsidRPr="00540966" w:rsidRDefault="00CB78B5" w:rsidP="00CB78B5">
      <w:pPr>
        <w:pBdr>
          <w:top w:val="single" w:sz="4" w:space="1" w:color="404040"/>
        </w:pBdr>
        <w:tabs>
          <w:tab w:val="center" w:pos="4536"/>
          <w:tab w:val="left" w:pos="8610"/>
        </w:tabs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</w:p>
    <w:p w14:paraId="15DDDED0" w14:textId="77777777" w:rsidR="00540966" w:rsidRPr="00540966" w:rsidRDefault="00540966" w:rsidP="00540966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</w:p>
    <w:p w14:paraId="7ED91BB9" w14:textId="77777777" w:rsidR="00540966" w:rsidRPr="00540966" w:rsidRDefault="00540966" w:rsidP="00540966">
      <w:pPr>
        <w:jc w:val="right"/>
        <w:rPr>
          <w:rFonts w:ascii="Times New Roman" w:hAnsi="Times New Roman" w:cs="Times New Roman"/>
          <w:color w:val="auto"/>
        </w:rPr>
      </w:pPr>
      <w:r w:rsidRPr="00540966">
        <w:rPr>
          <w:rFonts w:ascii="Times New Roman" w:hAnsi="Times New Roman" w:cs="Times New Roman"/>
          <w:color w:val="auto"/>
        </w:rPr>
        <w:lastRenderedPageBreak/>
        <w:t>PRIJEDLOG</w:t>
      </w:r>
    </w:p>
    <w:p w14:paraId="6A0987E2" w14:textId="77777777" w:rsidR="00540966" w:rsidRPr="00540966" w:rsidRDefault="00540966" w:rsidP="00540966">
      <w:pPr>
        <w:jc w:val="both"/>
        <w:rPr>
          <w:rFonts w:ascii="Times New Roman" w:hAnsi="Times New Roman" w:cs="Times New Roman"/>
          <w:color w:val="auto"/>
        </w:rPr>
      </w:pPr>
    </w:p>
    <w:p w14:paraId="0AAED6BA" w14:textId="77777777" w:rsidR="00540966" w:rsidRPr="00540966" w:rsidRDefault="00540966" w:rsidP="005409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14:paraId="70704714" w14:textId="141021F2" w:rsidR="00540966" w:rsidRPr="00540966" w:rsidRDefault="00113998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540966" w:rsidRPr="00540966">
        <w:rPr>
          <w:rFonts w:ascii="Times New Roman" w:hAnsi="Times New Roman" w:cs="Times New Roman"/>
          <w:color w:val="auto"/>
        </w:rPr>
        <w:t>Na temelju članka 31. stavka 2. Zakona o Vladi Republike Hrvatske („Narodne novine“, br. 150/11., 119/14., 93/16., 116/18., 80/22. i 78/24.), Vlada Republike Hrvatske je na sjednici održanoj _______________ 2026. donijela</w:t>
      </w:r>
    </w:p>
    <w:p w14:paraId="1E63BC3C" w14:textId="77777777" w:rsidR="00540966" w:rsidRPr="00540966" w:rsidRDefault="00540966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33907E9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6DF165BC" w14:textId="77777777" w:rsidR="00540966" w:rsidRPr="00540966" w:rsidRDefault="00540966" w:rsidP="0054096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40966">
        <w:rPr>
          <w:rFonts w:ascii="Times New Roman" w:hAnsi="Times New Roman" w:cs="Times New Roman"/>
          <w:b/>
          <w:color w:val="auto"/>
        </w:rPr>
        <w:t>O D L U K U</w:t>
      </w:r>
    </w:p>
    <w:p w14:paraId="60D8D34F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792F5AD5" w14:textId="66CC2F1E" w:rsidR="00540966" w:rsidRPr="00540966" w:rsidRDefault="00540966" w:rsidP="00113998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40966">
        <w:rPr>
          <w:rFonts w:ascii="Times New Roman" w:hAnsi="Times New Roman" w:cs="Times New Roman"/>
          <w:b/>
          <w:color w:val="auto"/>
        </w:rPr>
        <w:t xml:space="preserve">o dodjeli sredstava </w:t>
      </w:r>
      <w:bookmarkStart w:id="0" w:name="_Hlk190954549"/>
      <w:r w:rsidRPr="00540966">
        <w:rPr>
          <w:rFonts w:ascii="Times New Roman" w:hAnsi="Times New Roman" w:cs="Times New Roman"/>
          <w:b/>
          <w:bCs/>
          <w:color w:val="auto"/>
        </w:rPr>
        <w:t>za suzbijanje sredozemne voćne muhe u višegodišnjim nasadima na području Dubrovačko-neretvanske županije za 2026. godinu</w:t>
      </w:r>
    </w:p>
    <w:bookmarkEnd w:id="0"/>
    <w:p w14:paraId="28BC951E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5B15D90" w14:textId="2158384B" w:rsidR="00540966" w:rsidRDefault="00540966" w:rsidP="0054096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540966">
        <w:rPr>
          <w:rFonts w:ascii="Times New Roman" w:hAnsi="Times New Roman" w:cs="Times New Roman"/>
          <w:b/>
          <w:color w:val="auto"/>
        </w:rPr>
        <w:t>I.</w:t>
      </w:r>
    </w:p>
    <w:p w14:paraId="507446B3" w14:textId="77777777" w:rsidR="00113998" w:rsidRPr="00540966" w:rsidRDefault="00113998" w:rsidP="00540966">
      <w:pPr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05F49F5" w14:textId="1677CEAF" w:rsidR="00540966" w:rsidRPr="00540966" w:rsidRDefault="00113998" w:rsidP="0054096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540966" w:rsidRPr="00540966">
        <w:rPr>
          <w:rFonts w:ascii="Times New Roman" w:hAnsi="Times New Roman" w:cs="Times New Roman"/>
          <w:color w:val="auto"/>
        </w:rPr>
        <w:t xml:space="preserve">Odobrava se Ministarstvu poljoprivrede, šumarstva i ribarstva da na teret </w:t>
      </w:r>
      <w:r w:rsidR="0093444E">
        <w:rPr>
          <w:rFonts w:ascii="Times New Roman" w:hAnsi="Times New Roman" w:cs="Times New Roman"/>
          <w:color w:val="auto"/>
        </w:rPr>
        <w:t xml:space="preserve">sredstava </w:t>
      </w:r>
      <w:r w:rsidR="00972F70">
        <w:rPr>
          <w:rFonts w:ascii="Times New Roman" w:hAnsi="Times New Roman" w:cs="Times New Roman"/>
          <w:color w:val="auto"/>
        </w:rPr>
        <w:t>d</w:t>
      </w:r>
      <w:r w:rsidR="00540966" w:rsidRPr="00540966">
        <w:rPr>
          <w:rFonts w:ascii="Times New Roman" w:hAnsi="Times New Roman" w:cs="Times New Roman"/>
          <w:color w:val="auto"/>
        </w:rPr>
        <w:t xml:space="preserve">ržavnog proračuna Republike Hrvatske financira iznos od 1.000.000,00 </w:t>
      </w:r>
      <w:r w:rsidR="00540966" w:rsidRPr="00540966">
        <w:rPr>
          <w:rFonts w:ascii="Times New Roman" w:hAnsi="Times New Roman" w:cs="Times New Roman"/>
        </w:rPr>
        <w:t>eura</w:t>
      </w:r>
      <w:r w:rsidR="00540966" w:rsidRPr="00540966">
        <w:rPr>
          <w:rFonts w:ascii="Times New Roman" w:hAnsi="Times New Roman" w:cs="Times New Roman"/>
          <w:color w:val="auto"/>
        </w:rPr>
        <w:t xml:space="preserve"> za suzbijanje sredozemne voćne muhe na području Dubrovačko-neretvanske županije u 2026.</w:t>
      </w:r>
      <w:bookmarkStart w:id="1" w:name="_Hlk227608698"/>
      <w:r w:rsidR="00540966" w:rsidRPr="00540966">
        <w:rPr>
          <w:rFonts w:ascii="Times New Roman" w:hAnsi="Times New Roman" w:cs="Times New Roman"/>
          <w:color w:val="auto"/>
        </w:rPr>
        <w:t xml:space="preserve"> godin</w:t>
      </w:r>
      <w:bookmarkEnd w:id="1"/>
      <w:r w:rsidR="00540966" w:rsidRPr="00540966">
        <w:rPr>
          <w:rFonts w:ascii="Times New Roman" w:hAnsi="Times New Roman" w:cs="Times New Roman"/>
          <w:color w:val="auto"/>
        </w:rPr>
        <w:t>i.</w:t>
      </w:r>
    </w:p>
    <w:p w14:paraId="42A52461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471780D" w14:textId="13CC7839" w:rsidR="00540966" w:rsidRDefault="00540966" w:rsidP="0054096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40966">
        <w:rPr>
          <w:rFonts w:ascii="Times New Roman" w:hAnsi="Times New Roman" w:cs="Times New Roman"/>
          <w:b/>
          <w:bCs/>
        </w:rPr>
        <w:t>II.</w:t>
      </w:r>
    </w:p>
    <w:p w14:paraId="262CD79C" w14:textId="77777777" w:rsidR="00113998" w:rsidRPr="00540966" w:rsidRDefault="00113998" w:rsidP="0054096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0176A42" w14:textId="3F4EC501" w:rsidR="00540966" w:rsidRPr="00540966" w:rsidRDefault="00113998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40966" w:rsidRPr="00540966">
        <w:rPr>
          <w:rFonts w:ascii="Times New Roman" w:hAnsi="Times New Roman" w:cs="Times New Roman"/>
        </w:rPr>
        <w:t xml:space="preserve">Sredstva iz točke I. ove Odluke osigurana su u Državnom proračunu Republike Hrvatske za 2026. i projekcijama za 2027. i 2028. godinu, u okviru razdjela 060, glave 06005 Ministarstva poljoprivrede, šumarstva i ribarstva. </w:t>
      </w:r>
    </w:p>
    <w:p w14:paraId="3D543028" w14:textId="77777777" w:rsidR="00540966" w:rsidRPr="00540966" w:rsidRDefault="00540966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1EF21AB6" w14:textId="17C91660" w:rsidR="00540966" w:rsidRDefault="00540966" w:rsidP="00540966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_Hlk188617995"/>
      <w:r>
        <w:rPr>
          <w:rFonts w:ascii="Times New Roman" w:hAnsi="Times New Roman" w:cs="Times New Roman"/>
          <w:b/>
          <w:bCs/>
          <w:color w:val="auto"/>
        </w:rPr>
        <w:t>III.</w:t>
      </w:r>
    </w:p>
    <w:p w14:paraId="186C1015" w14:textId="77777777" w:rsidR="00113998" w:rsidRDefault="00113998" w:rsidP="00540966">
      <w:pPr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A8A81D2" w14:textId="2DE058D7" w:rsidR="00540966" w:rsidRPr="00540966" w:rsidRDefault="00113998" w:rsidP="00540966">
      <w:pPr>
        <w:spacing w:line="276" w:lineRule="auto"/>
        <w:jc w:val="both"/>
        <w:rPr>
          <w:rFonts w:ascii="Times New Roman" w:hAnsi="Times New Roman" w:cs="Times New Roman"/>
          <w:noProof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540966" w:rsidRPr="00540966">
        <w:rPr>
          <w:rFonts w:ascii="Times New Roman" w:hAnsi="Times New Roman" w:cs="Times New Roman"/>
          <w:color w:val="auto"/>
        </w:rPr>
        <w:t xml:space="preserve">Dubrovačko-neretvanska županija će izraditi Plan provedbenih mjera za suzbijanje sredozemne voćne muhe koje se temelje na Smjernicama prilagodbe proizvodnje agruma s obzirom na klimatske promjene i nove mikroklimatske uvjete u dolini Neretve koje je izradio </w:t>
      </w:r>
      <w:r w:rsidR="00540966" w:rsidRPr="00540966">
        <w:rPr>
          <w:rFonts w:ascii="Times New Roman" w:hAnsi="Times New Roman" w:cs="Times New Roman"/>
          <w:noProof/>
          <w:color w:val="auto"/>
        </w:rPr>
        <w:t xml:space="preserve">Agromediteranski fakultet Sveučilišta u Splitu, kao i na drugim znanstveno utemeljenim dostupnim mjerama koje pridonose suzbijanju sredozemne voćne muhe. </w:t>
      </w:r>
    </w:p>
    <w:p w14:paraId="0EA3484F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2919AB35" w14:textId="04B1B9BE" w:rsidR="00540966" w:rsidRDefault="00540966" w:rsidP="0054096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40966">
        <w:rPr>
          <w:rFonts w:ascii="Times New Roman" w:hAnsi="Times New Roman" w:cs="Times New Roman"/>
          <w:b/>
          <w:bCs/>
        </w:rPr>
        <w:t>IV.</w:t>
      </w:r>
    </w:p>
    <w:p w14:paraId="312F65C5" w14:textId="77777777" w:rsidR="00113998" w:rsidRPr="00540966" w:rsidRDefault="00113998" w:rsidP="0054096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8C9E60C" w14:textId="21D890F9" w:rsidR="00540966" w:rsidRPr="00540966" w:rsidRDefault="00113998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540966" w:rsidRPr="00540966">
        <w:rPr>
          <w:rFonts w:ascii="Times New Roman" w:hAnsi="Times New Roman" w:cs="Times New Roman"/>
          <w:color w:val="auto"/>
        </w:rPr>
        <w:t>Ministarstvo poljoprivrede, šumarstva i ribarstva i Dubrovačko-neretvanska županija sklopit će Sporazum o dodijeli financijskih sredstava iz točke I. ove Odluke, u prilogu kojeg će biti Plan provedbenih mjera iz točke III. ove Odluke.</w:t>
      </w:r>
    </w:p>
    <w:p w14:paraId="548B3360" w14:textId="77777777" w:rsidR="00540966" w:rsidRPr="00540966" w:rsidRDefault="00540966" w:rsidP="0054096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bookmarkEnd w:id="2"/>
    <w:p w14:paraId="30B0A31F" w14:textId="026015CE" w:rsidR="00540966" w:rsidRDefault="00540966" w:rsidP="0054096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40966">
        <w:rPr>
          <w:rFonts w:ascii="Times New Roman" w:hAnsi="Times New Roman" w:cs="Times New Roman"/>
          <w:b/>
          <w:bCs/>
          <w:color w:val="auto"/>
        </w:rPr>
        <w:t>V.</w:t>
      </w:r>
    </w:p>
    <w:p w14:paraId="3B312E24" w14:textId="77777777" w:rsidR="00113998" w:rsidRPr="00540966" w:rsidRDefault="00113998" w:rsidP="0054096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36EA685" w14:textId="40CEAC50" w:rsidR="00540966" w:rsidRPr="00540966" w:rsidRDefault="00113998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540966" w:rsidRPr="00540966">
        <w:rPr>
          <w:rFonts w:ascii="Times New Roman" w:hAnsi="Times New Roman" w:cs="Times New Roman"/>
          <w:color w:val="auto"/>
        </w:rPr>
        <w:t>Dubrovačko-neretvanska županija namjenski će utrošiti sredstva iz točke I. ove Odluke i podnijeti izvješće Ministarstvu poljoprivrede, šumarstva i ribarstva do 31. prosinca 2026.</w:t>
      </w:r>
    </w:p>
    <w:p w14:paraId="46F6F004" w14:textId="77777777" w:rsidR="00540966" w:rsidRPr="00540966" w:rsidRDefault="00540966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68C732C" w14:textId="0B1A2874" w:rsidR="00540966" w:rsidRPr="00540966" w:rsidRDefault="00540966" w:rsidP="00540966">
      <w:pPr>
        <w:spacing w:after="160"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40966">
        <w:rPr>
          <w:rFonts w:ascii="Times New Roman" w:hAnsi="Times New Roman" w:cs="Times New Roman"/>
          <w:b/>
          <w:bCs/>
          <w:color w:val="auto"/>
        </w:rPr>
        <w:br w:type="page"/>
      </w:r>
      <w:r w:rsidRPr="00540966">
        <w:rPr>
          <w:rFonts w:ascii="Times New Roman" w:hAnsi="Times New Roman" w:cs="Times New Roman"/>
          <w:b/>
          <w:bCs/>
          <w:color w:val="auto"/>
        </w:rPr>
        <w:lastRenderedPageBreak/>
        <w:t>VI.</w:t>
      </w:r>
    </w:p>
    <w:p w14:paraId="652B4689" w14:textId="7813271A" w:rsidR="00540966" w:rsidRPr="00540966" w:rsidRDefault="00113998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540966" w:rsidRPr="00540966">
        <w:rPr>
          <w:rFonts w:ascii="Times New Roman" w:hAnsi="Times New Roman" w:cs="Times New Roman"/>
          <w:color w:val="auto"/>
        </w:rPr>
        <w:t>Dubrovačko-neretvanska županija će eventualno neutrošena financijska sredstva iz točke I. ove Odluke vratiti u državni proračun Republike Hrvatske.</w:t>
      </w:r>
    </w:p>
    <w:p w14:paraId="483DD0A8" w14:textId="77777777" w:rsidR="00540966" w:rsidRPr="00540966" w:rsidRDefault="00540966" w:rsidP="0054096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67AA389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p w14:paraId="29E084D4" w14:textId="0635FBF8" w:rsidR="00540966" w:rsidRPr="00540966" w:rsidRDefault="00540966" w:rsidP="0054096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540966">
        <w:rPr>
          <w:rFonts w:ascii="Times New Roman" w:hAnsi="Times New Roman" w:cs="Times New Roman"/>
          <w:b/>
          <w:bCs/>
          <w:color w:val="auto"/>
        </w:rPr>
        <w:t>VII.</w:t>
      </w:r>
    </w:p>
    <w:p w14:paraId="25548C7D" w14:textId="3655C752" w:rsidR="00540966" w:rsidRPr="00540966" w:rsidRDefault="00113998" w:rsidP="0054096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540966" w:rsidRPr="00540966">
        <w:rPr>
          <w:rFonts w:ascii="Times New Roman" w:hAnsi="Times New Roman" w:cs="Times New Roman"/>
          <w:color w:val="auto"/>
        </w:rPr>
        <w:t>Ova Odluka stupa na snagu dan</w:t>
      </w:r>
      <w:r w:rsidR="009B2554">
        <w:rPr>
          <w:rFonts w:ascii="Times New Roman" w:hAnsi="Times New Roman" w:cs="Times New Roman"/>
          <w:color w:val="auto"/>
        </w:rPr>
        <w:t>om</w:t>
      </w:r>
      <w:r w:rsidR="00540966" w:rsidRPr="00540966">
        <w:rPr>
          <w:rFonts w:ascii="Times New Roman" w:hAnsi="Times New Roman" w:cs="Times New Roman"/>
          <w:color w:val="auto"/>
        </w:rPr>
        <w:t xml:space="preserve"> donošenja.</w:t>
      </w:r>
    </w:p>
    <w:p w14:paraId="379E5839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0AB611E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59B990A4" w14:textId="77777777" w:rsidR="00540966" w:rsidRPr="00540966" w:rsidRDefault="00540966" w:rsidP="00540966">
      <w:pPr>
        <w:jc w:val="both"/>
        <w:rPr>
          <w:rFonts w:ascii="Times New Roman" w:hAnsi="Times New Roman" w:cs="Times New Roman"/>
          <w:color w:val="auto"/>
        </w:rPr>
      </w:pPr>
    </w:p>
    <w:p w14:paraId="66A1C264" w14:textId="77777777" w:rsidR="00540966" w:rsidRDefault="00540966" w:rsidP="00540966">
      <w:pPr>
        <w:rPr>
          <w:rFonts w:ascii="Times New Roman" w:hAnsi="Times New Roman" w:cs="Times New Roman"/>
          <w:noProof/>
          <w:sz w:val="22"/>
          <w:szCs w:val="22"/>
        </w:rPr>
      </w:pPr>
    </w:p>
    <w:p w14:paraId="66AB5ABB" w14:textId="77777777" w:rsidR="00540966" w:rsidRPr="00773578" w:rsidRDefault="00540966" w:rsidP="00540966">
      <w:pPr>
        <w:rPr>
          <w:rFonts w:ascii="Times New Roman" w:hAnsi="Times New Roman" w:cs="Times New Roman"/>
          <w:noProof/>
          <w:sz w:val="22"/>
          <w:szCs w:val="22"/>
        </w:rPr>
      </w:pPr>
    </w:p>
    <w:p w14:paraId="56C4A10F" w14:textId="5D269C46" w:rsidR="00540966" w:rsidRPr="00BB5F33" w:rsidRDefault="00540966" w:rsidP="00540966">
      <w:pPr>
        <w:rPr>
          <w:rFonts w:ascii="Times New Roman" w:hAnsi="Times New Roman" w:cs="Times New Roman"/>
        </w:rPr>
      </w:pPr>
      <w:r w:rsidRPr="00BB5F33">
        <w:rPr>
          <w:rFonts w:ascii="Times New Roman" w:hAnsi="Times New Roman" w:cs="Times New Roman"/>
        </w:rPr>
        <w:t xml:space="preserve">KLASA: </w:t>
      </w:r>
    </w:p>
    <w:p w14:paraId="6124D5B0" w14:textId="2D461361" w:rsidR="00113998" w:rsidRDefault="00540966" w:rsidP="00113998">
      <w:pPr>
        <w:rPr>
          <w:rFonts w:ascii="Times New Roman" w:hAnsi="Times New Roman" w:cs="Times New Roman"/>
        </w:rPr>
      </w:pPr>
      <w:r w:rsidRPr="00BB5F33">
        <w:rPr>
          <w:rFonts w:ascii="Times New Roman" w:hAnsi="Times New Roman" w:cs="Times New Roman"/>
        </w:rPr>
        <w:t xml:space="preserve">URBROJ: </w:t>
      </w:r>
    </w:p>
    <w:p w14:paraId="28E8ADD5" w14:textId="77777777" w:rsidR="00540966" w:rsidRPr="00773578" w:rsidRDefault="00540966" w:rsidP="00540966">
      <w:pPr>
        <w:rPr>
          <w:rFonts w:ascii="Times New Roman" w:hAnsi="Times New Roman" w:cs="Times New Roman"/>
          <w:sz w:val="22"/>
          <w:szCs w:val="22"/>
        </w:rPr>
      </w:pPr>
    </w:p>
    <w:p w14:paraId="177D63E9" w14:textId="77777777" w:rsidR="00540966" w:rsidRPr="00540966" w:rsidRDefault="00540966" w:rsidP="00540966">
      <w:pPr>
        <w:ind w:left="1416"/>
        <w:jc w:val="both"/>
        <w:rPr>
          <w:rFonts w:ascii="Times New Roman" w:hAnsi="Times New Roman" w:cs="Times New Roman"/>
          <w:color w:val="auto"/>
        </w:rPr>
      </w:pPr>
    </w:p>
    <w:p w14:paraId="406E9B6A" w14:textId="4B6526E6" w:rsidR="00540966" w:rsidRPr="00540966" w:rsidRDefault="00540966" w:rsidP="00540966">
      <w:pPr>
        <w:ind w:left="216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  <w:r w:rsidRPr="00540966">
        <w:rPr>
          <w:rFonts w:ascii="Times New Roman" w:hAnsi="Times New Roman" w:cs="Times New Roman"/>
          <w:color w:val="auto"/>
        </w:rPr>
        <w:t>PREDSJEDNIK</w:t>
      </w:r>
    </w:p>
    <w:p w14:paraId="6E4D0D11" w14:textId="77777777" w:rsidR="00540966" w:rsidRPr="00540966" w:rsidRDefault="00540966" w:rsidP="00540966">
      <w:pPr>
        <w:ind w:left="2160"/>
        <w:jc w:val="center"/>
        <w:rPr>
          <w:rFonts w:ascii="Times New Roman" w:hAnsi="Times New Roman" w:cs="Times New Roman"/>
          <w:color w:val="auto"/>
        </w:rPr>
      </w:pPr>
    </w:p>
    <w:p w14:paraId="1CFB4408" w14:textId="4A8C7038" w:rsidR="00540966" w:rsidRPr="00540966" w:rsidRDefault="00540966" w:rsidP="00540966">
      <w:pPr>
        <w:ind w:left="4344" w:firstLine="720"/>
        <w:rPr>
          <w:rFonts w:ascii="Times New Roman" w:hAnsi="Times New Roman" w:cs="Times New Roman"/>
          <w:color w:val="auto"/>
        </w:rPr>
      </w:pPr>
      <w:r w:rsidRPr="00540966">
        <w:rPr>
          <w:rFonts w:ascii="Times New Roman" w:hAnsi="Times New Roman" w:cs="Times New Roman"/>
          <w:color w:val="auto"/>
        </w:rPr>
        <w:t>mr. sc. Andrej Plenković</w:t>
      </w:r>
    </w:p>
    <w:p w14:paraId="6E6DAE4F" w14:textId="77777777" w:rsidR="00540966" w:rsidRPr="00540966" w:rsidRDefault="00540966" w:rsidP="00540966">
      <w:pPr>
        <w:jc w:val="center"/>
        <w:rPr>
          <w:rFonts w:ascii="Times New Roman" w:hAnsi="Times New Roman" w:cs="Times New Roman"/>
          <w:b/>
          <w:color w:val="auto"/>
        </w:rPr>
      </w:pPr>
    </w:p>
    <w:p w14:paraId="00C510E0" w14:textId="77777777" w:rsidR="00540966" w:rsidRPr="00540966" w:rsidRDefault="00540966" w:rsidP="00540966">
      <w:pPr>
        <w:jc w:val="center"/>
        <w:rPr>
          <w:rFonts w:ascii="Times New Roman" w:hAnsi="Times New Roman" w:cs="Times New Roman"/>
          <w:b/>
          <w:color w:val="auto"/>
        </w:rPr>
      </w:pPr>
    </w:p>
    <w:p w14:paraId="232524BD" w14:textId="77777777" w:rsidR="00540966" w:rsidRPr="00540966" w:rsidRDefault="00540966" w:rsidP="00540966">
      <w:pPr>
        <w:jc w:val="center"/>
        <w:rPr>
          <w:rFonts w:ascii="Times New Roman" w:hAnsi="Times New Roman" w:cs="Times New Roman"/>
          <w:b/>
          <w:color w:val="auto"/>
        </w:rPr>
      </w:pPr>
    </w:p>
    <w:p w14:paraId="62FF2573" w14:textId="77777777" w:rsidR="00540966" w:rsidRPr="00540966" w:rsidRDefault="00540966" w:rsidP="00540966">
      <w:pPr>
        <w:jc w:val="center"/>
        <w:rPr>
          <w:rFonts w:ascii="Times New Roman" w:hAnsi="Times New Roman" w:cs="Times New Roman"/>
          <w:b/>
          <w:color w:val="auto"/>
        </w:rPr>
      </w:pPr>
    </w:p>
    <w:p w14:paraId="714C9A5B" w14:textId="77777777" w:rsidR="00540966" w:rsidRPr="00540966" w:rsidRDefault="00540966" w:rsidP="00540966">
      <w:pPr>
        <w:jc w:val="center"/>
        <w:rPr>
          <w:rFonts w:ascii="Times New Roman" w:hAnsi="Times New Roman" w:cs="Times New Roman"/>
          <w:b/>
          <w:color w:val="auto"/>
        </w:rPr>
      </w:pPr>
    </w:p>
    <w:p w14:paraId="22CA9B08" w14:textId="77777777" w:rsidR="00540966" w:rsidRPr="00540966" w:rsidRDefault="00540966" w:rsidP="00540966">
      <w:pPr>
        <w:spacing w:after="160" w:line="276" w:lineRule="auto"/>
        <w:rPr>
          <w:rFonts w:ascii="Times New Roman" w:hAnsi="Times New Roman" w:cs="Times New Roman"/>
          <w:b/>
          <w:color w:val="auto"/>
        </w:rPr>
      </w:pPr>
      <w:r w:rsidRPr="00540966">
        <w:rPr>
          <w:rFonts w:ascii="Times New Roman" w:hAnsi="Times New Roman" w:cs="Times New Roman"/>
          <w:b/>
          <w:color w:val="auto"/>
        </w:rPr>
        <w:br w:type="page"/>
      </w:r>
    </w:p>
    <w:p w14:paraId="70EB9D85" w14:textId="77777777" w:rsidR="00540966" w:rsidRPr="00540966" w:rsidRDefault="00540966" w:rsidP="00540966">
      <w:pPr>
        <w:jc w:val="center"/>
        <w:rPr>
          <w:rFonts w:ascii="Times New Roman" w:hAnsi="Times New Roman" w:cs="Times New Roman"/>
          <w:b/>
          <w:color w:val="auto"/>
        </w:rPr>
      </w:pPr>
      <w:r w:rsidRPr="00540966">
        <w:rPr>
          <w:rFonts w:ascii="Times New Roman" w:hAnsi="Times New Roman" w:cs="Times New Roman"/>
          <w:b/>
          <w:color w:val="auto"/>
        </w:rPr>
        <w:lastRenderedPageBreak/>
        <w:t>OBRAZLOŽENJE</w:t>
      </w:r>
    </w:p>
    <w:p w14:paraId="1A06E6D0" w14:textId="77777777" w:rsidR="00540966" w:rsidRPr="00540966" w:rsidRDefault="00540966" w:rsidP="00540966">
      <w:pPr>
        <w:jc w:val="center"/>
        <w:rPr>
          <w:rFonts w:ascii="Times New Roman" w:hAnsi="Times New Roman" w:cs="Times New Roman"/>
          <w:b/>
          <w:color w:val="auto"/>
        </w:rPr>
      </w:pPr>
    </w:p>
    <w:p w14:paraId="15D177D5" w14:textId="77777777" w:rsidR="00540966" w:rsidRPr="00540966" w:rsidRDefault="00540966" w:rsidP="00540966">
      <w:pPr>
        <w:jc w:val="both"/>
        <w:rPr>
          <w:rFonts w:ascii="Times New Roman" w:hAnsi="Times New Roman" w:cs="Times New Roman"/>
          <w:b/>
          <w:color w:val="auto"/>
        </w:rPr>
      </w:pPr>
    </w:p>
    <w:p w14:paraId="1FEED7AF" w14:textId="227093C6" w:rsid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 xml:space="preserve">Ovom Odlukom Vlada Republike Hrvatske podupire provedbu mjera sprečavanja širenja i suzbijanja sredozemne voćne muhe </w:t>
      </w:r>
      <w:r w:rsidR="00924A06" w:rsidRPr="00924A06">
        <w:rPr>
          <w:rFonts w:ascii="Times New Roman" w:hAnsi="Times New Roman" w:cs="Times New Roman"/>
          <w:noProof/>
        </w:rPr>
        <w:t>(Ceratitis capiata)</w:t>
      </w:r>
      <w:r w:rsidR="00924A06">
        <w:rPr>
          <w:rFonts w:ascii="Times New Roman" w:hAnsi="Times New Roman" w:cs="Times New Roman"/>
          <w:noProof/>
        </w:rPr>
        <w:t xml:space="preserve"> </w:t>
      </w:r>
      <w:r w:rsidRPr="00540966">
        <w:rPr>
          <w:rFonts w:ascii="Times New Roman" w:hAnsi="Times New Roman" w:cs="Times New Roman"/>
          <w:noProof/>
        </w:rPr>
        <w:t>u višegodišnjim nasadima na području Dubrovačko-neretvanske županije (u daljnjem tekstu: Županija) za 2026. godinu.</w:t>
      </w:r>
    </w:p>
    <w:p w14:paraId="756B4F35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28D51BFC" w14:textId="6D837B7C" w:rsidR="00540966" w:rsidRDefault="00540966" w:rsidP="00113998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 xml:space="preserve">Sredozemna voćna muha je najvažniji štetni organizam agruma i drugih voćnih vrsta u dolini rijeke Neretve. Štete koje sredozemna voćna muha uzrokuje na svojim domaćinima mogu biti vrlo visoke. Bez poduzimanja mjera zaštite, štete na agrumima i drugom voću mogu iznositi 100 %. </w:t>
      </w:r>
    </w:p>
    <w:p w14:paraId="68253CFB" w14:textId="77777777" w:rsidR="00D25FF1" w:rsidRPr="00540966" w:rsidRDefault="00D25FF1" w:rsidP="00113998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129F49FF" w14:textId="02A901A7" w:rsidR="00540966" w:rsidRDefault="00540966" w:rsidP="00113998">
      <w:pPr>
        <w:spacing w:line="276" w:lineRule="auto"/>
        <w:jc w:val="both"/>
        <w:rPr>
          <w:rFonts w:ascii="Times New Roman" w:hAnsi="Times New Roman" w:cs="Times New Roman"/>
          <w:iCs/>
          <w:noProof/>
        </w:rPr>
      </w:pPr>
      <w:r w:rsidRPr="00540966">
        <w:rPr>
          <w:rFonts w:ascii="Times New Roman" w:hAnsi="Times New Roman" w:cs="Times New Roman"/>
          <w:iCs/>
          <w:noProof/>
        </w:rPr>
        <w:t>Održavanje poljoprivrednog zemljišta u stanju pogodnom za proizvodnju podrazumijeva redov</w:t>
      </w:r>
      <w:r w:rsidR="000B3FCB">
        <w:rPr>
          <w:rFonts w:ascii="Times New Roman" w:hAnsi="Times New Roman" w:cs="Times New Roman"/>
          <w:iCs/>
          <w:noProof/>
        </w:rPr>
        <w:t>itu</w:t>
      </w:r>
      <w:r w:rsidRPr="00540966">
        <w:rPr>
          <w:rFonts w:ascii="Times New Roman" w:hAnsi="Times New Roman" w:cs="Times New Roman"/>
          <w:iCs/>
          <w:noProof/>
        </w:rPr>
        <w:t xml:space="preserve"> obradu, sprečavanje zakorovljenosti i degradacije tla te primjenu mjera koje osiguravaju očuvanje njegove plodnosti i funkcionalnosti, u skladu sa člankom 4. Zakona o poljoprivrednom zemljištu. </w:t>
      </w:r>
    </w:p>
    <w:p w14:paraId="0192037A" w14:textId="77777777" w:rsidR="00D25FF1" w:rsidRPr="00540966" w:rsidRDefault="00D25FF1" w:rsidP="00113998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03E67F00" w14:textId="77777777" w:rsidR="00540966" w:rsidRDefault="00540966" w:rsidP="00113998">
      <w:pPr>
        <w:spacing w:line="276" w:lineRule="auto"/>
        <w:jc w:val="both"/>
        <w:rPr>
          <w:rFonts w:ascii="Times New Roman" w:hAnsi="Times New Roman" w:cs="Times New Roman"/>
          <w:iCs/>
          <w:noProof/>
        </w:rPr>
      </w:pPr>
      <w:r w:rsidRPr="00540966">
        <w:rPr>
          <w:rFonts w:ascii="Times New Roman" w:hAnsi="Times New Roman" w:cs="Times New Roman"/>
          <w:iCs/>
          <w:noProof/>
        </w:rPr>
        <w:t>Stoga je obveza svakog poljoprivrednika provoditi sve mjere koje osiguravaju sigurnu i plodonosnu proizvodnju.</w:t>
      </w:r>
    </w:p>
    <w:p w14:paraId="6989C8DF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3CA2E1CA" w14:textId="3EEC6EDA" w:rsidR="00540966" w:rsidRDefault="00540966" w:rsidP="00113998">
      <w:pPr>
        <w:spacing w:line="276" w:lineRule="auto"/>
        <w:jc w:val="both"/>
        <w:rPr>
          <w:rFonts w:ascii="Times New Roman" w:hAnsi="Times New Roman" w:cs="Times New Roman"/>
          <w:iCs/>
          <w:noProof/>
        </w:rPr>
      </w:pPr>
      <w:r w:rsidRPr="00540966">
        <w:rPr>
          <w:rFonts w:ascii="Times New Roman" w:hAnsi="Times New Roman" w:cs="Times New Roman"/>
          <w:iCs/>
          <w:noProof/>
        </w:rPr>
        <w:t>S obzirom da je Ceratitis capitata gospodarski štetni organizam</w:t>
      </w:r>
      <w:r w:rsidR="00A40E52">
        <w:rPr>
          <w:rFonts w:ascii="Times New Roman" w:hAnsi="Times New Roman" w:cs="Times New Roman"/>
          <w:iCs/>
          <w:noProof/>
        </w:rPr>
        <w:t>,</w:t>
      </w:r>
      <w:r w:rsidRPr="00540966">
        <w:rPr>
          <w:rFonts w:ascii="Times New Roman" w:hAnsi="Times New Roman" w:cs="Times New Roman"/>
          <w:iCs/>
          <w:noProof/>
        </w:rPr>
        <w:t xml:space="preserve"> na njega se ne mogu primjenjivati mjere koje propisuje Zakon o biljnom zdravstvu. </w:t>
      </w:r>
      <w:r w:rsidR="00A40E52">
        <w:rPr>
          <w:rFonts w:ascii="Times New Roman" w:hAnsi="Times New Roman" w:cs="Times New Roman"/>
          <w:iCs/>
          <w:noProof/>
        </w:rPr>
        <w:t>P</w:t>
      </w:r>
      <w:r w:rsidRPr="00540966">
        <w:rPr>
          <w:rFonts w:ascii="Times New Roman" w:hAnsi="Times New Roman" w:cs="Times New Roman"/>
          <w:iCs/>
          <w:noProof/>
        </w:rPr>
        <w:t>repoznajući ozbiljnost situacije</w:t>
      </w:r>
      <w:r w:rsidR="00F72BB4">
        <w:rPr>
          <w:rFonts w:ascii="Times New Roman" w:hAnsi="Times New Roman" w:cs="Times New Roman"/>
          <w:iCs/>
          <w:noProof/>
        </w:rPr>
        <w:t>,</w:t>
      </w:r>
      <w:r w:rsidRPr="00540966">
        <w:rPr>
          <w:rFonts w:ascii="Times New Roman" w:hAnsi="Times New Roman" w:cs="Times New Roman"/>
          <w:iCs/>
          <w:noProof/>
        </w:rPr>
        <w:t xml:space="preserve"> Vlada Republike Hrvatske će ovom Odlukom pomoći u suzbijanju sredozemne voćne muhe.</w:t>
      </w:r>
    </w:p>
    <w:p w14:paraId="50E38C4D" w14:textId="77777777" w:rsidR="00D25FF1" w:rsidRPr="00540966" w:rsidRDefault="00D25FF1" w:rsidP="00113998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4FBCE477" w14:textId="063D631B" w:rsidR="00540966" w:rsidRDefault="00540966" w:rsidP="00113998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>Spomenuti štetnik se prilagodio okolišnim uvjetima u kojima se nalazi te sada umjesto samo nekoliko mjeseci u godini, predstavlja opasnost za počinjenje šteta u voćnjacima tijekom cijele godine. Stoga je potrebno</w:t>
      </w:r>
      <w:r w:rsidR="00F72BB4">
        <w:rPr>
          <w:rFonts w:ascii="Times New Roman" w:hAnsi="Times New Roman" w:cs="Times New Roman"/>
          <w:noProof/>
        </w:rPr>
        <w:t xml:space="preserve"> ciljano pristupiti sustavnoj zaštiti te poduzeti sve </w:t>
      </w:r>
      <w:r w:rsidR="00F72BB4" w:rsidRPr="00F72BB4">
        <w:rPr>
          <w:rFonts w:ascii="Times New Roman" w:hAnsi="Times New Roman" w:cs="Times New Roman"/>
          <w:noProof/>
        </w:rPr>
        <w:t>mjere u cilju zaštite poljoprivredne proizvodnje.</w:t>
      </w:r>
      <w:r w:rsidR="00F72BB4">
        <w:rPr>
          <w:rFonts w:ascii="Times New Roman" w:hAnsi="Times New Roman" w:cs="Times New Roman"/>
          <w:noProof/>
        </w:rPr>
        <w:t xml:space="preserve"> Glavni naglasak </w:t>
      </w:r>
      <w:r w:rsidR="00F22284">
        <w:rPr>
          <w:rFonts w:ascii="Times New Roman" w:hAnsi="Times New Roman" w:cs="Times New Roman"/>
          <w:noProof/>
        </w:rPr>
        <w:t>dosad je bio</w:t>
      </w:r>
      <w:r w:rsidR="00F72BB4">
        <w:rPr>
          <w:rFonts w:ascii="Times New Roman" w:hAnsi="Times New Roman" w:cs="Times New Roman"/>
          <w:noProof/>
        </w:rPr>
        <w:t xml:space="preserve"> na provođenju mjera </w:t>
      </w:r>
      <w:r w:rsidR="005E7913">
        <w:rPr>
          <w:rFonts w:ascii="Times New Roman" w:hAnsi="Times New Roman" w:cs="Times New Roman"/>
          <w:noProof/>
        </w:rPr>
        <w:t xml:space="preserve">poput </w:t>
      </w:r>
      <w:r w:rsidR="00F72BB4">
        <w:rPr>
          <w:rFonts w:ascii="Times New Roman" w:hAnsi="Times New Roman" w:cs="Times New Roman"/>
          <w:noProof/>
        </w:rPr>
        <w:t>SIT tehnike (tehnika sterilnih mužjaka voćne muhe), sanitacij</w:t>
      </w:r>
      <w:r w:rsidR="00527F55">
        <w:rPr>
          <w:rFonts w:ascii="Times New Roman" w:hAnsi="Times New Roman" w:cs="Times New Roman"/>
          <w:noProof/>
        </w:rPr>
        <w:t>i</w:t>
      </w:r>
      <w:r w:rsidR="00F72BB4">
        <w:rPr>
          <w:rFonts w:ascii="Times New Roman" w:hAnsi="Times New Roman" w:cs="Times New Roman"/>
          <w:noProof/>
        </w:rPr>
        <w:t xml:space="preserve"> plodova, masovnom ulovu, krčenju biljaka domaćina, edukaciji proizvođača, identifikaciji rizičnih i zapuštenih površina, koordinaciji svih dionika na lokalnoj, regionalnoj i državnoj razini te svih mjera koje pridonose sprječavanju širenja ovog štetnog organizma.</w:t>
      </w:r>
      <w:r w:rsidR="00BA7616">
        <w:rPr>
          <w:rFonts w:ascii="Times New Roman" w:hAnsi="Times New Roman" w:cs="Times New Roman"/>
          <w:noProof/>
        </w:rPr>
        <w:t xml:space="preserve"> Dubrovačko-neretvanska županija će sukladno ovoj Odluci izraditi Plan provedbenih mjera za suzbijanje sredozemne voćne muhe i odabrati adekvatne metode i mjere suzbijanja.</w:t>
      </w:r>
    </w:p>
    <w:p w14:paraId="73768D2E" w14:textId="261325EF" w:rsidR="005E7913" w:rsidRDefault="005E7913" w:rsidP="00113998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297A99D4" w14:textId="77777777" w:rsidR="005E7913" w:rsidRDefault="005E7913" w:rsidP="005E7913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>Ukupan iznos sredstava potrebnih za provedbu dodatnih aktivnosti i mjera koji će osigurati sprečavanja širenja i suzbijanje sredozemne voćne muhe, procjenjuje se na iznos od 1.000.000,00 eura.</w:t>
      </w:r>
    </w:p>
    <w:p w14:paraId="197BE437" w14:textId="77777777" w:rsidR="005E7913" w:rsidRPr="00540966" w:rsidRDefault="005E7913" w:rsidP="005E7913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40EEE3A7" w14:textId="16B6A275" w:rsidR="005E7913" w:rsidRDefault="005E7913" w:rsidP="005E7913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 xml:space="preserve">U cilju osiguranja učinkovite provedbe mjera zaštite od sredozemne voćne muhe, nužno je osnažiti ulogu Županije i jedinica lokalne samouprave (JLS) </w:t>
      </w:r>
      <w:r>
        <w:rPr>
          <w:rFonts w:ascii="Times New Roman" w:hAnsi="Times New Roman" w:cs="Times New Roman"/>
          <w:noProof/>
        </w:rPr>
        <w:t>i svih</w:t>
      </w:r>
      <w:r w:rsidRPr="00540966">
        <w:rPr>
          <w:rFonts w:ascii="Times New Roman" w:hAnsi="Times New Roman" w:cs="Times New Roman"/>
          <w:noProof/>
        </w:rPr>
        <w:t xml:space="preserve"> ključnih dionika na terenu. </w:t>
      </w:r>
    </w:p>
    <w:p w14:paraId="05089FED" w14:textId="77777777" w:rsidR="005E7913" w:rsidRPr="00540966" w:rsidRDefault="005E7913" w:rsidP="005E7913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27A0570F" w14:textId="374563CB" w:rsidR="005E7913" w:rsidRDefault="005E7913" w:rsidP="005E7913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>Pomoću ove potpore Županija  i JLS će</w:t>
      </w:r>
      <w:r>
        <w:rPr>
          <w:rFonts w:ascii="Times New Roman" w:hAnsi="Times New Roman" w:cs="Times New Roman"/>
          <w:noProof/>
        </w:rPr>
        <w:t>, uz Hrvatsku agenciju za poljoprivredu i hranu,</w:t>
      </w:r>
      <w:r w:rsidRPr="00540966">
        <w:rPr>
          <w:rFonts w:ascii="Times New Roman" w:hAnsi="Times New Roman" w:cs="Times New Roman"/>
          <w:noProof/>
        </w:rPr>
        <w:t xml:space="preserve"> preuzeti aktivnu ulogu u provedbi mjera, </w:t>
      </w:r>
      <w:r>
        <w:rPr>
          <w:rFonts w:ascii="Times New Roman" w:hAnsi="Times New Roman" w:cs="Times New Roman"/>
          <w:noProof/>
        </w:rPr>
        <w:t>kao i</w:t>
      </w:r>
      <w:r w:rsidRPr="00540966">
        <w:rPr>
          <w:rFonts w:ascii="Times New Roman" w:hAnsi="Times New Roman" w:cs="Times New Roman"/>
          <w:noProof/>
        </w:rPr>
        <w:t xml:space="preserve"> pružanje operativne i logističke potpore proizvođačima, organizaciju i koordinaciju aktivnosti na lokalnoj razini te izravno sudjelovanje u provedbi mjera zaštite.</w:t>
      </w:r>
      <w:r>
        <w:rPr>
          <w:rFonts w:ascii="Times New Roman" w:hAnsi="Times New Roman" w:cs="Times New Roman"/>
          <w:noProof/>
        </w:rPr>
        <w:t xml:space="preserve"> Aktiv</w:t>
      </w:r>
      <w:r w:rsidR="00DF479C">
        <w:rPr>
          <w:rFonts w:ascii="Times New Roman" w:hAnsi="Times New Roman" w:cs="Times New Roman"/>
          <w:noProof/>
        </w:rPr>
        <w:t>na</w:t>
      </w:r>
      <w:r>
        <w:rPr>
          <w:rFonts w:ascii="Times New Roman" w:hAnsi="Times New Roman" w:cs="Times New Roman"/>
          <w:noProof/>
        </w:rPr>
        <w:t xml:space="preserve"> uloga, između ostalog</w:t>
      </w:r>
      <w:r w:rsidR="00611D6D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>, podrazumjeva provođenje postup</w:t>
      </w:r>
      <w:r w:rsidR="003605A2">
        <w:rPr>
          <w:rFonts w:ascii="Times New Roman" w:hAnsi="Times New Roman" w:cs="Times New Roman"/>
          <w:noProof/>
        </w:rPr>
        <w:t>a</w:t>
      </w:r>
      <w:bookmarkStart w:id="3" w:name="_GoBack"/>
      <w:bookmarkEnd w:id="3"/>
      <w:r>
        <w:rPr>
          <w:rFonts w:ascii="Times New Roman" w:hAnsi="Times New Roman" w:cs="Times New Roman"/>
          <w:noProof/>
        </w:rPr>
        <w:t>ka javne nabave od str</w:t>
      </w:r>
      <w:r w:rsidR="00DF479C">
        <w:rPr>
          <w:rFonts w:ascii="Times New Roman" w:hAnsi="Times New Roman" w:cs="Times New Roman"/>
          <w:noProof/>
        </w:rPr>
        <w:t>a</w:t>
      </w:r>
      <w:r>
        <w:rPr>
          <w:rFonts w:ascii="Times New Roman" w:hAnsi="Times New Roman" w:cs="Times New Roman"/>
          <w:noProof/>
        </w:rPr>
        <w:t>ne Županije te logističku potporu provođenju navedene od st</w:t>
      </w:r>
      <w:r w:rsidR="00DF479C">
        <w:rPr>
          <w:rFonts w:ascii="Times New Roman" w:hAnsi="Times New Roman" w:cs="Times New Roman"/>
          <w:noProof/>
        </w:rPr>
        <w:t>rane</w:t>
      </w:r>
      <w:r>
        <w:rPr>
          <w:rFonts w:ascii="Times New Roman" w:hAnsi="Times New Roman" w:cs="Times New Roman"/>
          <w:noProof/>
        </w:rPr>
        <w:t xml:space="preserve"> Hrvatske agencije za poljoprivredu i hranu.</w:t>
      </w:r>
    </w:p>
    <w:p w14:paraId="4D38A8AD" w14:textId="77777777" w:rsidR="005E7913" w:rsidRPr="00540966" w:rsidRDefault="005E7913" w:rsidP="005E7913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2A45B233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20BA6ACE" w14:textId="77777777" w:rsid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 xml:space="preserve">Time se omogućuje brža i učinkovitija provedba mjera, povećava obuhvat aktivnosti na terenu te se proizvođačima osigurava konkretna i pravodobna pomoć u provedbi preporučenih mjera kao i drugih znanstveno utemeljenih mjera koje uspješno suzbijaju sredozemnu voćnu muhu. </w:t>
      </w:r>
    </w:p>
    <w:p w14:paraId="54163C35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2AA022A0" w14:textId="7F021F20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>Aktivnim uključivanjem JLS osigurava se sustavniji pristup zaštiti, jača odgovornost na lokalnoj razini te se značajno povećava ukupna učinkovitost svi</w:t>
      </w:r>
      <w:r w:rsidR="0094073E">
        <w:rPr>
          <w:rFonts w:ascii="Times New Roman" w:hAnsi="Times New Roman" w:cs="Times New Roman"/>
          <w:noProof/>
        </w:rPr>
        <w:t>h</w:t>
      </w:r>
      <w:r w:rsidRPr="00540966">
        <w:rPr>
          <w:rFonts w:ascii="Times New Roman" w:hAnsi="Times New Roman" w:cs="Times New Roman"/>
          <w:noProof/>
        </w:rPr>
        <w:t xml:space="preserve"> dionika borbe s opasnim štetnikom.</w:t>
      </w:r>
    </w:p>
    <w:p w14:paraId="5C5D1A08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</w:p>
    <w:p w14:paraId="7ABC90CD" w14:textId="77777777" w:rsidR="00540966" w:rsidRPr="00540966" w:rsidRDefault="00540966" w:rsidP="00540966">
      <w:pPr>
        <w:spacing w:line="276" w:lineRule="auto"/>
        <w:jc w:val="both"/>
        <w:rPr>
          <w:rFonts w:ascii="Times New Roman" w:hAnsi="Times New Roman" w:cs="Times New Roman"/>
          <w:noProof/>
        </w:rPr>
      </w:pPr>
      <w:r w:rsidRPr="00540966">
        <w:rPr>
          <w:rFonts w:ascii="Times New Roman" w:hAnsi="Times New Roman" w:cs="Times New Roman"/>
          <w:noProof/>
        </w:rPr>
        <w:t xml:space="preserve"> </w:t>
      </w:r>
    </w:p>
    <w:p w14:paraId="2F0BF7E4" w14:textId="77777777" w:rsidR="00540966" w:rsidRPr="00540966" w:rsidRDefault="00540966" w:rsidP="00540966">
      <w:pPr>
        <w:rPr>
          <w:rFonts w:ascii="Times New Roman" w:hAnsi="Times New Roman" w:cs="Times New Roman"/>
          <w:noProof/>
        </w:rPr>
      </w:pPr>
    </w:p>
    <w:p w14:paraId="76782DED" w14:textId="749AEF67" w:rsidR="0067038B" w:rsidRDefault="0067038B" w:rsidP="00540966">
      <w:pPr>
        <w:ind w:left="3540"/>
        <w:jc w:val="center"/>
        <w:rPr>
          <w:rFonts w:ascii="Times New Roman" w:hAnsi="Times New Roman" w:cs="Times New Roman"/>
          <w:noProof/>
        </w:rPr>
      </w:pPr>
    </w:p>
    <w:sectPr w:rsidR="0067038B" w:rsidSect="00601324">
      <w:footerReference w:type="default" r:id="rId10"/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7E23B" w14:textId="77777777" w:rsidR="00EA3E8D" w:rsidRDefault="00EA3E8D">
      <w:r>
        <w:separator/>
      </w:r>
    </w:p>
  </w:endnote>
  <w:endnote w:type="continuationSeparator" w:id="0">
    <w:p w14:paraId="7907D947" w14:textId="77777777" w:rsidR="00EA3E8D" w:rsidRDefault="00EA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olinaBar-B39-25F2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2DEF" w14:textId="77777777" w:rsidR="0067038B" w:rsidRPr="00773578" w:rsidRDefault="0067038B">
    <w:pPr>
      <w:pStyle w:val="Footer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0A107" w14:textId="77777777" w:rsidR="00EA3E8D" w:rsidRDefault="00EA3E8D">
      <w:r>
        <w:separator/>
      </w:r>
    </w:p>
  </w:footnote>
  <w:footnote w:type="continuationSeparator" w:id="0">
    <w:p w14:paraId="5C03D9F5" w14:textId="77777777" w:rsidR="00EA3E8D" w:rsidRDefault="00EA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3A"/>
    <w:rsid w:val="000B3FCB"/>
    <w:rsid w:val="00113998"/>
    <w:rsid w:val="003605A2"/>
    <w:rsid w:val="0040103A"/>
    <w:rsid w:val="00493A1F"/>
    <w:rsid w:val="004C18BA"/>
    <w:rsid w:val="00527F55"/>
    <w:rsid w:val="00540966"/>
    <w:rsid w:val="00561923"/>
    <w:rsid w:val="005716A6"/>
    <w:rsid w:val="005B72F2"/>
    <w:rsid w:val="005E7913"/>
    <w:rsid w:val="005F156D"/>
    <w:rsid w:val="00611D6D"/>
    <w:rsid w:val="0067038B"/>
    <w:rsid w:val="006E6D52"/>
    <w:rsid w:val="0087111A"/>
    <w:rsid w:val="00924A06"/>
    <w:rsid w:val="0093444E"/>
    <w:rsid w:val="0094073E"/>
    <w:rsid w:val="00972F70"/>
    <w:rsid w:val="009B2554"/>
    <w:rsid w:val="00A40E52"/>
    <w:rsid w:val="00AF3CF1"/>
    <w:rsid w:val="00B67444"/>
    <w:rsid w:val="00BA7616"/>
    <w:rsid w:val="00BA768A"/>
    <w:rsid w:val="00C55AD3"/>
    <w:rsid w:val="00CB78B5"/>
    <w:rsid w:val="00CD0BFD"/>
    <w:rsid w:val="00D25FF1"/>
    <w:rsid w:val="00D31717"/>
    <w:rsid w:val="00DA17B4"/>
    <w:rsid w:val="00DF479C"/>
    <w:rsid w:val="00EA3E8D"/>
    <w:rsid w:val="00F03B18"/>
    <w:rsid w:val="00F067F1"/>
    <w:rsid w:val="00F22284"/>
    <w:rsid w:val="00F72BB4"/>
    <w:rsid w:val="00F7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782DC6"/>
  <w15:docId w15:val="{45AB2CB4-EA5E-4F81-9111-39B61B05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EC52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EC52B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C55AD3"/>
    <w:rPr>
      <w:rFonts w:ascii="Arial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5ED73830D77498B7F776B5393DFFF" ma:contentTypeVersion="0" ma:contentTypeDescription="Create a new document." ma:contentTypeScope="" ma:versionID="67dae20cd5e3f63367ee5de19ada1f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B5EEF-F05C-4AFF-B2AE-13408A528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D74F0-79D5-4BD4-92A6-42F25733FF6B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0ABB33-FC77-41CF-AB0D-2F0638D08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Ivana Medarić</cp:lastModifiedBy>
  <cp:revision>23</cp:revision>
  <cp:lastPrinted>2014-01-14T17:40:00Z</cp:lastPrinted>
  <dcterms:created xsi:type="dcterms:W3CDTF">2026-04-22T09:14:00Z</dcterms:created>
  <dcterms:modified xsi:type="dcterms:W3CDTF">2026-04-29T12:21:00Z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0x0101007505ED73830D77498B7F776B5393DFFF</vt:lpwstr>
  </property>
</Properties>
</file>