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06F11" w14:textId="78A7CFA9" w:rsidR="005902D4" w:rsidRPr="00E45979" w:rsidRDefault="005902D4" w:rsidP="00F14BE0">
      <w:pPr>
        <w:spacing w:before="120" w:after="120"/>
      </w:pPr>
      <w:bookmarkStart w:id="0" w:name="_Hlk48739514"/>
    </w:p>
    <w:p w14:paraId="4561937A" w14:textId="77777777" w:rsidR="005902D4" w:rsidRPr="00E45979" w:rsidRDefault="005902D4" w:rsidP="005902D4">
      <w:pPr>
        <w:jc w:val="center"/>
      </w:pPr>
      <w:r w:rsidRPr="00E45979">
        <w:rPr>
          <w:noProof/>
        </w:rPr>
        <w:drawing>
          <wp:inline distT="0" distB="0" distL="0" distR="0" wp14:anchorId="64DF776A" wp14:editId="6BF50A2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5979">
        <w:fldChar w:fldCharType="begin"/>
      </w:r>
      <w:r w:rsidRPr="00E45979">
        <w:instrText xml:space="preserve"> INCLUDEPICTURE "http://www.inet.hr/~box/images/grb-rh.gif" \* MERGEFORMATINET </w:instrText>
      </w:r>
      <w:r w:rsidRPr="00E45979">
        <w:fldChar w:fldCharType="end"/>
      </w:r>
    </w:p>
    <w:p w14:paraId="4B6380EB" w14:textId="77777777" w:rsidR="005902D4" w:rsidRPr="00E45979" w:rsidRDefault="005902D4" w:rsidP="005902D4">
      <w:pPr>
        <w:spacing w:before="60" w:after="1680"/>
        <w:jc w:val="center"/>
      </w:pPr>
      <w:r w:rsidRPr="00E45979">
        <w:t>VLADA REPUBLIKE HRVATSKE</w:t>
      </w:r>
    </w:p>
    <w:p w14:paraId="435589CB" w14:textId="77777777" w:rsidR="005902D4" w:rsidRPr="00E45979" w:rsidRDefault="005902D4" w:rsidP="005902D4">
      <w:pPr>
        <w:jc w:val="both"/>
      </w:pPr>
    </w:p>
    <w:p w14:paraId="43940318" w14:textId="0F03D123" w:rsidR="005902D4" w:rsidRPr="00E45979" w:rsidRDefault="005902D4" w:rsidP="005902D4">
      <w:pPr>
        <w:jc w:val="right"/>
      </w:pPr>
      <w:r w:rsidRPr="00E45979">
        <w:t>Zagreb,</w:t>
      </w:r>
      <w:r w:rsidR="003D4425" w:rsidRPr="00E45979">
        <w:t xml:space="preserve"> </w:t>
      </w:r>
      <w:r w:rsidR="004E4F6F">
        <w:t xml:space="preserve">17. veljače </w:t>
      </w:r>
      <w:bookmarkStart w:id="1" w:name="_GoBack"/>
      <w:bookmarkEnd w:id="1"/>
      <w:r w:rsidR="008B1001" w:rsidRPr="00E45979">
        <w:t>202</w:t>
      </w:r>
      <w:r w:rsidR="00667EF6">
        <w:t>6</w:t>
      </w:r>
      <w:r w:rsidRPr="00E45979">
        <w:t>.</w:t>
      </w:r>
    </w:p>
    <w:p w14:paraId="20477B19" w14:textId="77777777" w:rsidR="005902D4" w:rsidRPr="00E45979" w:rsidRDefault="005902D4" w:rsidP="005902D4">
      <w:pPr>
        <w:jc w:val="right"/>
      </w:pPr>
    </w:p>
    <w:p w14:paraId="714A3D94" w14:textId="77777777" w:rsidR="00045040" w:rsidRPr="00E45979" w:rsidRDefault="00045040" w:rsidP="005902D4">
      <w:pPr>
        <w:jc w:val="right"/>
      </w:pPr>
    </w:p>
    <w:p w14:paraId="48294C41" w14:textId="77777777" w:rsidR="00045040" w:rsidRPr="00E45979" w:rsidRDefault="00045040" w:rsidP="005902D4">
      <w:pPr>
        <w:jc w:val="right"/>
      </w:pPr>
    </w:p>
    <w:p w14:paraId="735F2C42" w14:textId="77777777" w:rsidR="00045040" w:rsidRPr="00E45979" w:rsidRDefault="00045040" w:rsidP="005902D4">
      <w:pPr>
        <w:jc w:val="right"/>
      </w:pPr>
    </w:p>
    <w:p w14:paraId="2531C73B" w14:textId="77777777" w:rsidR="00045040" w:rsidRPr="00E45979" w:rsidRDefault="00045040" w:rsidP="005902D4">
      <w:pPr>
        <w:jc w:val="right"/>
      </w:pPr>
    </w:p>
    <w:p w14:paraId="01B4E19A" w14:textId="77777777" w:rsidR="00045040" w:rsidRPr="00E45979" w:rsidRDefault="00045040" w:rsidP="005902D4">
      <w:pPr>
        <w:jc w:val="right"/>
      </w:pPr>
    </w:p>
    <w:p w14:paraId="133F8925" w14:textId="77777777" w:rsidR="00045040" w:rsidRPr="00E45979" w:rsidRDefault="00045040" w:rsidP="005902D4">
      <w:pPr>
        <w:jc w:val="right"/>
      </w:pPr>
    </w:p>
    <w:p w14:paraId="077D0CC4" w14:textId="77777777" w:rsidR="00045040" w:rsidRPr="00E45979" w:rsidRDefault="00045040" w:rsidP="005902D4">
      <w:pPr>
        <w:jc w:val="right"/>
      </w:pPr>
    </w:p>
    <w:p w14:paraId="635F67C9" w14:textId="77777777" w:rsidR="005902D4" w:rsidRPr="00E45979" w:rsidRDefault="005902D4" w:rsidP="005902D4">
      <w:pPr>
        <w:jc w:val="right"/>
      </w:pPr>
    </w:p>
    <w:p w14:paraId="5E1D66C7" w14:textId="77777777" w:rsidR="005902D4" w:rsidRPr="00E45979" w:rsidRDefault="005902D4" w:rsidP="005902D4">
      <w:pPr>
        <w:jc w:val="right"/>
      </w:pPr>
    </w:p>
    <w:p w14:paraId="28FCDB8D" w14:textId="77777777" w:rsidR="005902D4" w:rsidRPr="00E45979" w:rsidRDefault="005902D4" w:rsidP="005902D4">
      <w:pPr>
        <w:jc w:val="both"/>
      </w:pPr>
      <w:r w:rsidRPr="00E45979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1"/>
      </w:tblGrid>
      <w:tr w:rsidR="00E45979" w:rsidRPr="00E45979" w14:paraId="558128B2" w14:textId="77777777" w:rsidTr="0098255C">
        <w:tc>
          <w:tcPr>
            <w:tcW w:w="1951" w:type="dxa"/>
          </w:tcPr>
          <w:p w14:paraId="077F8259" w14:textId="1D47339E" w:rsidR="005902D4" w:rsidRPr="00E45979" w:rsidRDefault="005902D4" w:rsidP="0098255C">
            <w:pPr>
              <w:spacing w:line="360" w:lineRule="auto"/>
              <w:jc w:val="right"/>
            </w:pPr>
            <w:r w:rsidRPr="00E45979">
              <w:rPr>
                <w:b/>
                <w:smallCaps/>
              </w:rPr>
              <w:t>Predlagatelj</w:t>
            </w:r>
            <w:r w:rsidRPr="00E45979">
              <w:rPr>
                <w:b/>
              </w:rPr>
              <w:t>:</w:t>
            </w:r>
          </w:p>
        </w:tc>
        <w:tc>
          <w:tcPr>
            <w:tcW w:w="7229" w:type="dxa"/>
          </w:tcPr>
          <w:p w14:paraId="41B846CE" w14:textId="77777777" w:rsidR="005902D4" w:rsidRPr="00E45979" w:rsidRDefault="005902D4" w:rsidP="0098255C">
            <w:pPr>
              <w:spacing w:line="360" w:lineRule="auto"/>
            </w:pPr>
            <w:r w:rsidRPr="00E45979">
              <w:t>Ministarstvo regionalnoga razvoja i fondova Europske unije</w:t>
            </w:r>
          </w:p>
        </w:tc>
      </w:tr>
    </w:tbl>
    <w:p w14:paraId="57032907" w14:textId="77777777" w:rsidR="005902D4" w:rsidRPr="00E45979" w:rsidRDefault="005902D4" w:rsidP="005902D4">
      <w:pPr>
        <w:jc w:val="both"/>
      </w:pPr>
      <w:r w:rsidRPr="00E45979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1"/>
      </w:tblGrid>
      <w:tr w:rsidR="00E45979" w:rsidRPr="00E45979" w14:paraId="7C6B33E5" w14:textId="77777777" w:rsidTr="0098255C">
        <w:tc>
          <w:tcPr>
            <w:tcW w:w="1951" w:type="dxa"/>
          </w:tcPr>
          <w:p w14:paraId="2F49CEC1" w14:textId="77777777" w:rsidR="005902D4" w:rsidRPr="00E45979" w:rsidRDefault="005902D4" w:rsidP="0098255C">
            <w:pPr>
              <w:spacing w:line="360" w:lineRule="auto"/>
              <w:jc w:val="right"/>
            </w:pPr>
            <w:r w:rsidRPr="00E45979">
              <w:rPr>
                <w:b/>
                <w:smallCaps/>
              </w:rPr>
              <w:t>Predmet</w:t>
            </w:r>
            <w:r w:rsidRPr="00E45979">
              <w:rPr>
                <w:b/>
              </w:rPr>
              <w:t>:</w:t>
            </w:r>
          </w:p>
        </w:tc>
        <w:tc>
          <w:tcPr>
            <w:tcW w:w="7229" w:type="dxa"/>
          </w:tcPr>
          <w:p w14:paraId="3D8D9A74" w14:textId="3C886FEF" w:rsidR="005902D4" w:rsidRPr="00E45979" w:rsidRDefault="002461AE" w:rsidP="00F7020F">
            <w:pPr>
              <w:spacing w:line="360" w:lineRule="auto"/>
              <w:jc w:val="both"/>
            </w:pPr>
            <w:r w:rsidRPr="00E45979">
              <w:t xml:space="preserve">Prijedlog uredbe </w:t>
            </w:r>
            <w:bookmarkStart w:id="2" w:name="_Hlk97546297"/>
            <w:r w:rsidRPr="00E45979">
              <w:t>o izmjen</w:t>
            </w:r>
            <w:r w:rsidR="009235A2" w:rsidRPr="00E45979">
              <w:t>ama</w:t>
            </w:r>
            <w:r w:rsidRPr="00E45979">
              <w:t xml:space="preserve"> i dopunama Uredbe o tijelima u sustavu upravljanja i kontrole za provedbu programa iz područja konkurentnosti i kohezije za financijsko razdoblje 2021. – 2027.</w:t>
            </w:r>
            <w:bookmarkEnd w:id="2"/>
          </w:p>
        </w:tc>
      </w:tr>
    </w:tbl>
    <w:p w14:paraId="37B2DDA4" w14:textId="77777777" w:rsidR="005902D4" w:rsidRPr="00E45979" w:rsidRDefault="005902D4" w:rsidP="005902D4">
      <w:pPr>
        <w:jc w:val="both"/>
      </w:pPr>
      <w:r w:rsidRPr="00E45979">
        <w:t>__________________________________________________________________________</w:t>
      </w:r>
    </w:p>
    <w:p w14:paraId="63EDA362" w14:textId="77777777" w:rsidR="005902D4" w:rsidRPr="00E45979" w:rsidRDefault="005902D4" w:rsidP="005902D4">
      <w:pPr>
        <w:jc w:val="both"/>
      </w:pPr>
    </w:p>
    <w:p w14:paraId="2EA1D965" w14:textId="77777777" w:rsidR="005902D4" w:rsidRPr="00E45979" w:rsidRDefault="005902D4" w:rsidP="005902D4">
      <w:pPr>
        <w:jc w:val="both"/>
      </w:pPr>
    </w:p>
    <w:p w14:paraId="121DB5A9" w14:textId="77777777" w:rsidR="005902D4" w:rsidRPr="00E45979" w:rsidRDefault="005902D4" w:rsidP="005902D4">
      <w:pPr>
        <w:jc w:val="both"/>
      </w:pPr>
    </w:p>
    <w:p w14:paraId="18CED031" w14:textId="77777777" w:rsidR="005902D4" w:rsidRPr="00E45979" w:rsidRDefault="005902D4" w:rsidP="005902D4">
      <w:pPr>
        <w:jc w:val="both"/>
      </w:pPr>
    </w:p>
    <w:p w14:paraId="51159954" w14:textId="77777777" w:rsidR="005902D4" w:rsidRPr="00E45979" w:rsidRDefault="005902D4" w:rsidP="005902D4">
      <w:pPr>
        <w:jc w:val="both"/>
      </w:pPr>
    </w:p>
    <w:p w14:paraId="44A807D4" w14:textId="77777777" w:rsidR="005902D4" w:rsidRPr="00E45979" w:rsidRDefault="005902D4" w:rsidP="005902D4">
      <w:pPr>
        <w:pStyle w:val="Header"/>
      </w:pPr>
    </w:p>
    <w:p w14:paraId="7D412176" w14:textId="77777777" w:rsidR="00E00FF3" w:rsidRPr="00E45979" w:rsidRDefault="00E00FF3" w:rsidP="005902D4">
      <w:pPr>
        <w:pStyle w:val="Header"/>
      </w:pPr>
    </w:p>
    <w:p w14:paraId="46AD96B7" w14:textId="77777777" w:rsidR="00E00FF3" w:rsidRPr="00E45979" w:rsidRDefault="00E00FF3" w:rsidP="005902D4">
      <w:pPr>
        <w:pStyle w:val="Header"/>
      </w:pPr>
    </w:p>
    <w:p w14:paraId="0C7BC539" w14:textId="77777777" w:rsidR="00E00FF3" w:rsidRPr="00E45979" w:rsidRDefault="00E00FF3" w:rsidP="005902D4">
      <w:pPr>
        <w:pStyle w:val="Header"/>
      </w:pPr>
    </w:p>
    <w:p w14:paraId="0349CDEA" w14:textId="77777777" w:rsidR="00E00FF3" w:rsidRPr="00E45979" w:rsidRDefault="00E00FF3" w:rsidP="005902D4">
      <w:pPr>
        <w:pStyle w:val="Header"/>
      </w:pPr>
    </w:p>
    <w:p w14:paraId="416D31F2" w14:textId="77777777" w:rsidR="005902D4" w:rsidRPr="00E45979" w:rsidRDefault="005902D4" w:rsidP="005902D4"/>
    <w:p w14:paraId="1521E3A4" w14:textId="77777777" w:rsidR="00ED21E2" w:rsidRPr="00E45979" w:rsidRDefault="00ED21E2" w:rsidP="005902D4"/>
    <w:p w14:paraId="5026C313" w14:textId="77777777" w:rsidR="00ED21E2" w:rsidRPr="00E45979" w:rsidRDefault="00ED21E2" w:rsidP="005902D4"/>
    <w:p w14:paraId="4D6FD28A" w14:textId="77777777" w:rsidR="00ED21E2" w:rsidRPr="00E45979" w:rsidRDefault="00ED21E2" w:rsidP="005902D4"/>
    <w:p w14:paraId="55ECDF75" w14:textId="77777777" w:rsidR="00ED21E2" w:rsidRPr="00E45979" w:rsidRDefault="00ED21E2" w:rsidP="005902D4"/>
    <w:p w14:paraId="7B4577D9" w14:textId="77777777" w:rsidR="005902D4" w:rsidRPr="00E45979" w:rsidRDefault="005902D4" w:rsidP="005902D4"/>
    <w:p w14:paraId="319BC1DB" w14:textId="22451A4D" w:rsidR="005902D4" w:rsidRPr="00E45979" w:rsidRDefault="005902D4" w:rsidP="00BC2BF7">
      <w:pPr>
        <w:pStyle w:val="Footer"/>
        <w:pBdr>
          <w:top w:val="single" w:sz="4" w:space="1" w:color="404040" w:themeColor="text1" w:themeTint="BF"/>
        </w:pBdr>
        <w:jc w:val="center"/>
        <w:rPr>
          <w:spacing w:val="20"/>
        </w:rPr>
      </w:pPr>
      <w:r w:rsidRPr="00E45979">
        <w:rPr>
          <w:spacing w:val="20"/>
        </w:rPr>
        <w:t>Banski dvori | Trg Sv. Marka 2  | 10000 Zagreb | tel. 01 4569 222 | vlada.gov.hr</w:t>
      </w:r>
      <w:bookmarkEnd w:id="0"/>
    </w:p>
    <w:p w14:paraId="5F416884" w14:textId="77777777" w:rsidR="002461AE" w:rsidRPr="00E45979" w:rsidRDefault="002461AE" w:rsidP="00BC2BF7">
      <w:pPr>
        <w:pStyle w:val="Footer"/>
        <w:pBdr>
          <w:top w:val="single" w:sz="4" w:space="1" w:color="404040" w:themeColor="text1" w:themeTint="BF"/>
        </w:pBdr>
        <w:jc w:val="center"/>
        <w:rPr>
          <w:spacing w:val="20"/>
        </w:rPr>
      </w:pPr>
    </w:p>
    <w:p w14:paraId="283FF3F1" w14:textId="77777777" w:rsidR="002461AE" w:rsidRPr="00E45979" w:rsidRDefault="002461AE" w:rsidP="002461AE">
      <w:pPr>
        <w:jc w:val="right"/>
      </w:pPr>
      <w:r w:rsidRPr="00E45979">
        <w:tab/>
        <w:t>PRIJEDLOG</w:t>
      </w:r>
    </w:p>
    <w:p w14:paraId="387E1D7F" w14:textId="77777777" w:rsidR="002461AE" w:rsidRPr="00E45979" w:rsidRDefault="002461AE" w:rsidP="002461AE"/>
    <w:p w14:paraId="593E6CC6" w14:textId="33F321A2" w:rsidR="002461AE" w:rsidRPr="00E45979" w:rsidRDefault="002461AE" w:rsidP="00AA1A34">
      <w:pPr>
        <w:ind w:firstLine="1418"/>
        <w:jc w:val="both"/>
      </w:pPr>
      <w:r w:rsidRPr="00E45979">
        <w:t xml:space="preserve">Na temelju članka 7. stavka 3. Zakona o institucionalnom okviru za korištenje fondova Europske unije u Republici Hrvatskoj </w:t>
      </w:r>
      <w:bookmarkStart w:id="3" w:name="_Hlk148360404"/>
      <w:r w:rsidRPr="00E45979">
        <w:t>(</w:t>
      </w:r>
      <w:r w:rsidR="00927338">
        <w:rPr>
          <w:rFonts w:ascii="Minion Pro" w:hAnsi="Minion Pro"/>
          <w:shd w:val="clear" w:color="auto" w:fill="FFFFFF"/>
        </w:rPr>
        <w:t>„</w:t>
      </w:r>
      <w:r w:rsidRPr="00E45979">
        <w:t>Narodne novine</w:t>
      </w:r>
      <w:r w:rsidR="00927338">
        <w:rPr>
          <w:rFonts w:ascii="Minion Pro" w:hAnsi="Minion Pro"/>
          <w:shd w:val="clear" w:color="auto" w:fill="FFFFFF"/>
        </w:rPr>
        <w:t>“</w:t>
      </w:r>
      <w:r w:rsidR="00286E4A">
        <w:rPr>
          <w:rFonts w:ascii="Minion Pro" w:hAnsi="Minion Pro"/>
          <w:shd w:val="clear" w:color="auto" w:fill="FFFFFF"/>
        </w:rPr>
        <w:t>,</w:t>
      </w:r>
      <w:r w:rsidRPr="00E45979">
        <w:t xml:space="preserve"> br</w:t>
      </w:r>
      <w:r w:rsidR="00927338">
        <w:t>.</w:t>
      </w:r>
      <w:r w:rsidRPr="00E45979">
        <w:t xml:space="preserve"> </w:t>
      </w:r>
      <w:bookmarkEnd w:id="3"/>
      <w:r w:rsidRPr="00E45979">
        <w:t>116/21</w:t>
      </w:r>
      <w:r w:rsidR="009235A2" w:rsidRPr="00E45979">
        <w:t>. i 31/25.</w:t>
      </w:r>
      <w:r w:rsidRPr="00E45979">
        <w:t>), Vlada Republike Hrvatske je na sjednici održanoj ___________ donijela</w:t>
      </w:r>
    </w:p>
    <w:p w14:paraId="4ADFC763" w14:textId="77777777" w:rsidR="002461AE" w:rsidRPr="00E45979" w:rsidRDefault="002461AE" w:rsidP="002461AE"/>
    <w:p w14:paraId="05F10A8B" w14:textId="77777777" w:rsidR="002461AE" w:rsidRPr="00E45979" w:rsidRDefault="002461AE" w:rsidP="002461AE"/>
    <w:p w14:paraId="0B2E275A" w14:textId="77777777" w:rsidR="002461AE" w:rsidRPr="00E45979" w:rsidRDefault="002461AE" w:rsidP="002461AE">
      <w:pPr>
        <w:jc w:val="center"/>
        <w:rPr>
          <w:b/>
          <w:bCs/>
          <w:sz w:val="28"/>
          <w:szCs w:val="28"/>
        </w:rPr>
      </w:pPr>
    </w:p>
    <w:p w14:paraId="04A86BA9" w14:textId="218B63E5" w:rsidR="002461AE" w:rsidRDefault="002461AE" w:rsidP="002461AE">
      <w:pPr>
        <w:jc w:val="center"/>
        <w:rPr>
          <w:b/>
          <w:bCs/>
        </w:rPr>
      </w:pPr>
      <w:r w:rsidRPr="00E45979">
        <w:rPr>
          <w:b/>
          <w:bCs/>
        </w:rPr>
        <w:t>U</w:t>
      </w:r>
      <w:r w:rsidR="00927338">
        <w:rPr>
          <w:b/>
          <w:bCs/>
        </w:rPr>
        <w:t xml:space="preserve"> </w:t>
      </w:r>
      <w:r w:rsidRPr="00E45979">
        <w:rPr>
          <w:b/>
          <w:bCs/>
        </w:rPr>
        <w:t>R</w:t>
      </w:r>
      <w:r w:rsidR="00927338">
        <w:rPr>
          <w:b/>
          <w:bCs/>
        </w:rPr>
        <w:t xml:space="preserve"> </w:t>
      </w:r>
      <w:r w:rsidRPr="00E45979">
        <w:rPr>
          <w:b/>
          <w:bCs/>
        </w:rPr>
        <w:t>E</w:t>
      </w:r>
      <w:r w:rsidR="00927338">
        <w:rPr>
          <w:b/>
          <w:bCs/>
        </w:rPr>
        <w:t xml:space="preserve"> </w:t>
      </w:r>
      <w:r w:rsidRPr="00E45979">
        <w:rPr>
          <w:b/>
          <w:bCs/>
        </w:rPr>
        <w:t>D</w:t>
      </w:r>
      <w:r w:rsidR="00927338">
        <w:rPr>
          <w:b/>
          <w:bCs/>
        </w:rPr>
        <w:t xml:space="preserve"> </w:t>
      </w:r>
      <w:r w:rsidRPr="00E45979">
        <w:rPr>
          <w:b/>
          <w:bCs/>
        </w:rPr>
        <w:t>B</w:t>
      </w:r>
      <w:r w:rsidR="00927338">
        <w:rPr>
          <w:b/>
          <w:bCs/>
        </w:rPr>
        <w:t xml:space="preserve"> </w:t>
      </w:r>
      <w:r w:rsidRPr="00E45979">
        <w:rPr>
          <w:b/>
          <w:bCs/>
        </w:rPr>
        <w:t>U</w:t>
      </w:r>
    </w:p>
    <w:p w14:paraId="7B84130B" w14:textId="77777777" w:rsidR="00927338" w:rsidRPr="00E45979" w:rsidRDefault="00927338" w:rsidP="002461AE">
      <w:pPr>
        <w:jc w:val="center"/>
        <w:rPr>
          <w:b/>
          <w:bCs/>
        </w:rPr>
      </w:pPr>
    </w:p>
    <w:p w14:paraId="4C36DC34" w14:textId="53D5498B" w:rsidR="002461AE" w:rsidRPr="00E45979" w:rsidRDefault="002461AE" w:rsidP="002461AE">
      <w:pPr>
        <w:jc w:val="center"/>
        <w:rPr>
          <w:b/>
          <w:bCs/>
        </w:rPr>
      </w:pPr>
      <w:r w:rsidRPr="00E45979">
        <w:rPr>
          <w:b/>
          <w:bCs/>
        </w:rPr>
        <w:t>o izmjen</w:t>
      </w:r>
      <w:r w:rsidR="009235A2" w:rsidRPr="00E45979">
        <w:rPr>
          <w:b/>
          <w:bCs/>
        </w:rPr>
        <w:t>ama</w:t>
      </w:r>
      <w:r w:rsidRPr="00E45979">
        <w:rPr>
          <w:b/>
          <w:bCs/>
        </w:rPr>
        <w:t xml:space="preserve"> i dopunama Uredbe o tijelima u sustavu upravljanja i kontrole za provedbu programa iz područja konkurentnosti i kohezije za financijsko razdoblje 2021. – 2027.</w:t>
      </w:r>
    </w:p>
    <w:p w14:paraId="6FAA9E5D" w14:textId="77777777" w:rsidR="002461AE" w:rsidRPr="00E45979" w:rsidRDefault="002461AE" w:rsidP="002461AE">
      <w:pPr>
        <w:jc w:val="center"/>
      </w:pPr>
    </w:p>
    <w:p w14:paraId="3560091B" w14:textId="07965F82" w:rsidR="009235A2" w:rsidRPr="00927338" w:rsidRDefault="009235A2" w:rsidP="00577E87">
      <w:pPr>
        <w:shd w:val="clear" w:color="auto" w:fill="FFFFFF"/>
        <w:spacing w:before="34" w:after="48"/>
        <w:jc w:val="center"/>
        <w:textAlignment w:val="baseline"/>
        <w:rPr>
          <w:b/>
        </w:rPr>
      </w:pPr>
      <w:r w:rsidRPr="00927338">
        <w:rPr>
          <w:b/>
        </w:rPr>
        <w:t>Članak 1.</w:t>
      </w:r>
    </w:p>
    <w:p w14:paraId="12712626" w14:textId="77777777" w:rsidR="009235A2" w:rsidRPr="00E45979" w:rsidRDefault="009235A2" w:rsidP="009235A2">
      <w:pPr>
        <w:shd w:val="clear" w:color="auto" w:fill="FFFFFF"/>
        <w:spacing w:before="34" w:after="48"/>
        <w:jc w:val="center"/>
        <w:textAlignment w:val="baseline"/>
      </w:pPr>
    </w:p>
    <w:p w14:paraId="6400B180" w14:textId="6CB347D1" w:rsidR="001338FD" w:rsidRPr="00E45979" w:rsidRDefault="009235A2" w:rsidP="007C5A69">
      <w:pPr>
        <w:shd w:val="clear" w:color="auto" w:fill="FFFFFF"/>
        <w:ind w:firstLine="1418"/>
        <w:jc w:val="both"/>
        <w:textAlignment w:val="baseline"/>
      </w:pPr>
      <w:r w:rsidRPr="00E45979">
        <w:t>U Uredbi o tijelima u sustavu upravljanja i kontrole za provedbu programa iz područja konkurentnosti i kohezije za financijsko razdoblje 2021. – 2027. (</w:t>
      </w:r>
      <w:r w:rsidR="00927338">
        <w:rPr>
          <w:rFonts w:ascii="Minion Pro" w:hAnsi="Minion Pro"/>
          <w:shd w:val="clear" w:color="auto" w:fill="FFFFFF"/>
        </w:rPr>
        <w:t>„</w:t>
      </w:r>
      <w:r w:rsidRPr="00E45979">
        <w:t>Narodne novine</w:t>
      </w:r>
      <w:r w:rsidR="00927338">
        <w:rPr>
          <w:rFonts w:ascii="Minion Pro" w:hAnsi="Minion Pro"/>
          <w:shd w:val="clear" w:color="auto" w:fill="FFFFFF"/>
        </w:rPr>
        <w:t>“</w:t>
      </w:r>
      <w:r w:rsidRPr="00E45979">
        <w:t>, br</w:t>
      </w:r>
      <w:r w:rsidR="00927338">
        <w:t>.</w:t>
      </w:r>
      <w:r w:rsidRPr="00E45979">
        <w:t xml:space="preserve"> 96/22. i 35/24.)</w:t>
      </w:r>
      <w:r w:rsidR="00EA6770" w:rsidRPr="00E45979">
        <w:t xml:space="preserve">, </w:t>
      </w:r>
      <w:r w:rsidR="001338FD" w:rsidRPr="00E45979">
        <w:t xml:space="preserve">u članku 8. stavku 1. točki 8. iza riječi: </w:t>
      </w:r>
      <w:r w:rsidR="00927338">
        <w:rPr>
          <w:rFonts w:ascii="Minion Pro" w:hAnsi="Minion Pro"/>
          <w:shd w:val="clear" w:color="auto" w:fill="FFFFFF"/>
        </w:rPr>
        <w:t>„</w:t>
      </w:r>
      <w:r w:rsidR="001338FD" w:rsidRPr="00E45979">
        <w:t>Uredbe (EU)</w:t>
      </w:r>
      <w:r w:rsidR="00577E87" w:rsidRPr="00E45979">
        <w:t xml:space="preserve"> </w:t>
      </w:r>
      <w:r w:rsidR="001338FD" w:rsidRPr="00E45979">
        <w:t>2021/1060</w:t>
      </w:r>
      <w:r w:rsidR="00927338">
        <w:rPr>
          <w:rFonts w:ascii="Minion Pro" w:hAnsi="Minion Pro"/>
          <w:shd w:val="clear" w:color="auto" w:fill="FFFFFF"/>
        </w:rPr>
        <w:t>“</w:t>
      </w:r>
      <w:r w:rsidR="001338FD" w:rsidRPr="00E45979">
        <w:t xml:space="preserve"> dodaju se riječi: </w:t>
      </w:r>
      <w:r w:rsidR="00927338">
        <w:rPr>
          <w:rFonts w:ascii="Minion Pro" w:hAnsi="Minion Pro"/>
          <w:shd w:val="clear" w:color="auto" w:fill="FFFFFF"/>
        </w:rPr>
        <w:t>„</w:t>
      </w:r>
      <w:r w:rsidR="006377C4" w:rsidRPr="00E45979">
        <w:t>ako nije drugačije</w:t>
      </w:r>
      <w:r w:rsidR="001338FD" w:rsidRPr="00E45979">
        <w:t xml:space="preserve"> prethodno definirano pisanim sporazumom s Upravljačkim tijelom</w:t>
      </w:r>
      <w:r w:rsidR="00927338">
        <w:rPr>
          <w:rFonts w:ascii="Minion Pro" w:hAnsi="Minion Pro"/>
          <w:shd w:val="clear" w:color="auto" w:fill="FFFFFF"/>
        </w:rPr>
        <w:t>“</w:t>
      </w:r>
      <w:r w:rsidR="001338FD" w:rsidRPr="00E45979">
        <w:t>.</w:t>
      </w:r>
    </w:p>
    <w:p w14:paraId="4EF0A796" w14:textId="77777777" w:rsidR="001338FD" w:rsidRPr="00E45979" w:rsidRDefault="001338FD" w:rsidP="007C5A69">
      <w:pPr>
        <w:shd w:val="clear" w:color="auto" w:fill="FFFFFF"/>
        <w:ind w:firstLine="408"/>
        <w:jc w:val="both"/>
        <w:textAlignment w:val="baseline"/>
      </w:pPr>
    </w:p>
    <w:p w14:paraId="2D318E6D" w14:textId="1EB85DF4" w:rsidR="00577E87" w:rsidRPr="007C5A69" w:rsidRDefault="00577E87" w:rsidP="00D530A8">
      <w:pPr>
        <w:shd w:val="clear" w:color="auto" w:fill="FFFFFF"/>
        <w:jc w:val="center"/>
        <w:textAlignment w:val="baseline"/>
        <w:rPr>
          <w:b/>
        </w:rPr>
      </w:pPr>
      <w:r w:rsidRPr="007C5A69">
        <w:rPr>
          <w:b/>
        </w:rPr>
        <w:t>Članak 2.</w:t>
      </w:r>
    </w:p>
    <w:p w14:paraId="5BDCD57A" w14:textId="77777777" w:rsidR="00577E87" w:rsidRPr="00E45979" w:rsidRDefault="00577E87" w:rsidP="007C5A69">
      <w:pPr>
        <w:shd w:val="clear" w:color="auto" w:fill="FFFFFF"/>
        <w:ind w:firstLine="408"/>
        <w:jc w:val="center"/>
        <w:textAlignment w:val="baseline"/>
      </w:pPr>
    </w:p>
    <w:p w14:paraId="2697F28F" w14:textId="4453FF93" w:rsidR="00CD485B" w:rsidRPr="00E45979" w:rsidRDefault="001E787A" w:rsidP="00076B6F">
      <w:pPr>
        <w:shd w:val="clear" w:color="auto" w:fill="FFFFFF"/>
        <w:ind w:firstLine="1418"/>
        <w:jc w:val="both"/>
        <w:textAlignment w:val="baseline"/>
      </w:pPr>
      <w:r w:rsidRPr="00E45979">
        <w:t>U članku 9. stavku 1.</w:t>
      </w:r>
      <w:r w:rsidR="00CD485B" w:rsidRPr="00E45979">
        <w:t xml:space="preserve"> točki 19. točka na kraju rečenice briše se.</w:t>
      </w:r>
    </w:p>
    <w:p w14:paraId="265465A7" w14:textId="6F899A1D" w:rsidR="00CD485B" w:rsidRPr="00E45979" w:rsidRDefault="00CD485B" w:rsidP="00076B6F">
      <w:pPr>
        <w:shd w:val="clear" w:color="auto" w:fill="FFFFFF"/>
        <w:ind w:firstLine="1418"/>
        <w:jc w:val="both"/>
        <w:textAlignment w:val="baseline"/>
      </w:pPr>
    </w:p>
    <w:p w14:paraId="09F6994E" w14:textId="77777777" w:rsidR="00D530A8" w:rsidRDefault="00CD485B" w:rsidP="00076B6F">
      <w:pPr>
        <w:shd w:val="clear" w:color="auto" w:fill="FFFFFF"/>
        <w:ind w:firstLine="1418"/>
        <w:jc w:val="both"/>
        <w:textAlignment w:val="baseline"/>
      </w:pPr>
      <w:r w:rsidRPr="00E45979">
        <w:t>I</w:t>
      </w:r>
      <w:r w:rsidR="001E787A" w:rsidRPr="00E45979">
        <w:t xml:space="preserve">za točke 19. </w:t>
      </w:r>
      <w:r w:rsidR="00D530A8">
        <w:t>dodaje se točka 20. koja glasi:</w:t>
      </w:r>
    </w:p>
    <w:p w14:paraId="019465B8" w14:textId="77777777" w:rsidR="00D530A8" w:rsidRDefault="00D530A8" w:rsidP="00076B6F">
      <w:pPr>
        <w:shd w:val="clear" w:color="auto" w:fill="FFFFFF"/>
        <w:ind w:firstLine="1418"/>
        <w:jc w:val="both"/>
        <w:textAlignment w:val="baseline"/>
      </w:pPr>
    </w:p>
    <w:p w14:paraId="7A5421DB" w14:textId="6AB0D4B6" w:rsidR="001E787A" w:rsidRPr="00E45979" w:rsidRDefault="00927338" w:rsidP="00D530A8">
      <w:pPr>
        <w:shd w:val="clear" w:color="auto" w:fill="FFFFFF"/>
        <w:jc w:val="both"/>
        <w:textAlignment w:val="baseline"/>
      </w:pPr>
      <w:r>
        <w:rPr>
          <w:rFonts w:ascii="Minion Pro" w:hAnsi="Minion Pro"/>
          <w:shd w:val="clear" w:color="auto" w:fill="FFFFFF"/>
        </w:rPr>
        <w:t>„</w:t>
      </w:r>
      <w:r w:rsidR="00D530A8">
        <w:rPr>
          <w:rFonts w:ascii="Minion Pro" w:hAnsi="Minion Pro"/>
          <w:shd w:val="clear" w:color="auto" w:fill="FFFFFF"/>
        </w:rPr>
        <w:t xml:space="preserve">20. </w:t>
      </w:r>
      <w:r w:rsidR="001E787A" w:rsidRPr="00E45979">
        <w:t xml:space="preserve">po završetku postupka odabira operacija pripremaju nacrte ugovora o dodjeli bespovratnih sredstava te osiguravaju da je korisniku dostavljen dokument iz članka 73. stavka </w:t>
      </w:r>
      <w:r w:rsidR="00052740">
        <w:t>3</w:t>
      </w:r>
      <w:r w:rsidR="001E787A" w:rsidRPr="00E45979">
        <w:t>. Uredbe (EU) 2021/1060, ako je to prethodno definirano pisanim sporazumom s Upravljačkim tijelom</w:t>
      </w:r>
      <w:r w:rsidR="00CD485B" w:rsidRPr="00E45979">
        <w:t>.</w:t>
      </w:r>
      <w:r>
        <w:rPr>
          <w:rFonts w:ascii="Minion Pro" w:hAnsi="Minion Pro"/>
          <w:shd w:val="clear" w:color="auto" w:fill="FFFFFF"/>
        </w:rPr>
        <w:t>“</w:t>
      </w:r>
      <w:r w:rsidR="001E787A" w:rsidRPr="00E45979">
        <w:t>.</w:t>
      </w:r>
    </w:p>
    <w:p w14:paraId="5F582714" w14:textId="77777777" w:rsidR="000455A2" w:rsidRPr="00E45979" w:rsidRDefault="000455A2" w:rsidP="00076B6F">
      <w:pPr>
        <w:shd w:val="clear" w:color="auto" w:fill="FFFFFF"/>
        <w:ind w:firstLine="1418"/>
        <w:jc w:val="both"/>
        <w:textAlignment w:val="baseline"/>
      </w:pPr>
    </w:p>
    <w:p w14:paraId="61B5A3EF" w14:textId="77777777" w:rsidR="00D530A8" w:rsidRDefault="00CD485B" w:rsidP="00076B6F">
      <w:pPr>
        <w:shd w:val="clear" w:color="auto" w:fill="FFFFFF"/>
        <w:ind w:firstLine="1418"/>
        <w:jc w:val="both"/>
        <w:textAlignment w:val="baseline"/>
      </w:pPr>
      <w:r w:rsidRPr="00E45979">
        <w:t xml:space="preserve">Stavak 2. mijenja se i glasi: </w:t>
      </w:r>
    </w:p>
    <w:p w14:paraId="186C1F6B" w14:textId="77777777" w:rsidR="00D530A8" w:rsidRDefault="00D530A8" w:rsidP="00076B6F">
      <w:pPr>
        <w:shd w:val="clear" w:color="auto" w:fill="FFFFFF"/>
        <w:ind w:firstLine="1418"/>
        <w:jc w:val="both"/>
        <w:textAlignment w:val="baseline"/>
      </w:pPr>
    </w:p>
    <w:p w14:paraId="2F2A84EB" w14:textId="34D6FF88" w:rsidR="00EA6770" w:rsidRPr="00E45979" w:rsidRDefault="00927338" w:rsidP="00D530A8">
      <w:pPr>
        <w:shd w:val="clear" w:color="auto" w:fill="FFFFFF"/>
        <w:jc w:val="both"/>
        <w:textAlignment w:val="baseline"/>
      </w:pPr>
      <w:r>
        <w:rPr>
          <w:rFonts w:ascii="Minion Pro" w:hAnsi="Minion Pro"/>
          <w:shd w:val="clear" w:color="auto" w:fill="FFFFFF"/>
        </w:rPr>
        <w:t>„</w:t>
      </w:r>
      <w:r w:rsidR="00D530A8">
        <w:rPr>
          <w:rFonts w:ascii="Minion Pro" w:hAnsi="Minion Pro"/>
          <w:shd w:val="clear" w:color="auto" w:fill="FFFFFF"/>
        </w:rPr>
        <w:t xml:space="preserve">(2) </w:t>
      </w:r>
      <w:r w:rsidR="000455A2" w:rsidRPr="00E45979">
        <w:t>Izuzev funkcija iz stavka 1. ovog</w:t>
      </w:r>
      <w:r w:rsidR="00D530A8">
        <w:t>a</w:t>
      </w:r>
      <w:r w:rsidR="000455A2" w:rsidRPr="00E45979">
        <w:t xml:space="preserve"> članka </w:t>
      </w:r>
      <w:r w:rsidR="00C5601E" w:rsidRPr="00E45979">
        <w:t xml:space="preserve">Fond za zaštitu okoliša i energetsku učinkovitost, </w:t>
      </w:r>
      <w:r w:rsidR="00EA6770" w:rsidRPr="00E45979">
        <w:t>Središnja agencija za financiranje i ugovaranje programa i projekata Europske unije</w:t>
      </w:r>
      <w:r w:rsidR="004E0500" w:rsidRPr="00E45979">
        <w:t xml:space="preserve">, </w:t>
      </w:r>
      <w:r w:rsidR="00EA6770" w:rsidRPr="00E45979">
        <w:t>Hrvatske vode</w:t>
      </w:r>
      <w:r w:rsidR="004E0500" w:rsidRPr="00E45979">
        <w:t xml:space="preserve"> i</w:t>
      </w:r>
      <w:r w:rsidR="000455A2" w:rsidRPr="00E45979">
        <w:t xml:space="preserve"> Hrvatska agencija za malo gospodarstvo, inovacije i investicije</w:t>
      </w:r>
      <w:r w:rsidR="00D530A8">
        <w:t>,</w:t>
      </w:r>
      <w:r w:rsidR="000455A2" w:rsidRPr="00E45979">
        <w:t xml:space="preserve"> </w:t>
      </w:r>
      <w:r w:rsidR="00531B13" w:rsidRPr="00E45979">
        <w:t xml:space="preserve">u </w:t>
      </w:r>
      <w:r w:rsidR="000455A2" w:rsidRPr="00E45979">
        <w:t>okviru specifičnog cilja iz svoje nadležnosti</w:t>
      </w:r>
      <w:r w:rsidR="00D530A8">
        <w:t>,</w:t>
      </w:r>
      <w:r w:rsidR="000455A2" w:rsidRPr="00E45979">
        <w:t xml:space="preserve"> odabiru operacije u skladu s člankom 73. stavkom 2. Uredbe (EU) 2021/1060, ako je to prethodno definirano pisanim sporazumom s Upravljačkim tijelom.</w:t>
      </w:r>
      <w:r>
        <w:rPr>
          <w:rFonts w:ascii="Minion Pro" w:hAnsi="Minion Pro"/>
          <w:shd w:val="clear" w:color="auto" w:fill="FFFFFF"/>
        </w:rPr>
        <w:t>“</w:t>
      </w:r>
      <w:r w:rsidR="008D186B" w:rsidRPr="00E45979">
        <w:t>.</w:t>
      </w:r>
    </w:p>
    <w:p w14:paraId="1A1C57B8" w14:textId="77777777" w:rsidR="004B52E4" w:rsidRPr="00E45979" w:rsidRDefault="004B52E4" w:rsidP="007C5A69">
      <w:pPr>
        <w:shd w:val="clear" w:color="auto" w:fill="FFFFFF"/>
        <w:textAlignment w:val="baseline"/>
      </w:pPr>
    </w:p>
    <w:p w14:paraId="631D800A" w14:textId="11CA44BB" w:rsidR="00EA6770" w:rsidRDefault="00EA6770" w:rsidP="00D713D6">
      <w:pPr>
        <w:shd w:val="clear" w:color="auto" w:fill="FFFFFF"/>
        <w:spacing w:after="48"/>
        <w:jc w:val="center"/>
        <w:textAlignment w:val="baseline"/>
        <w:rPr>
          <w:b/>
        </w:rPr>
      </w:pPr>
      <w:r w:rsidRPr="00D713D6">
        <w:rPr>
          <w:b/>
        </w:rPr>
        <w:t xml:space="preserve">Članak </w:t>
      </w:r>
      <w:r w:rsidR="00D003A9" w:rsidRPr="00D713D6">
        <w:rPr>
          <w:b/>
        </w:rPr>
        <w:t>3</w:t>
      </w:r>
      <w:r w:rsidRPr="00D713D6">
        <w:rPr>
          <w:b/>
        </w:rPr>
        <w:t>.</w:t>
      </w:r>
    </w:p>
    <w:p w14:paraId="02E4C650" w14:textId="77777777" w:rsidR="00D713D6" w:rsidRPr="00D713D6" w:rsidRDefault="00D713D6" w:rsidP="00D713D6">
      <w:pPr>
        <w:shd w:val="clear" w:color="auto" w:fill="FFFFFF"/>
        <w:spacing w:after="48"/>
        <w:jc w:val="center"/>
        <w:textAlignment w:val="baseline"/>
        <w:rPr>
          <w:b/>
        </w:rPr>
      </w:pPr>
    </w:p>
    <w:p w14:paraId="13B4D77E" w14:textId="0805D733" w:rsidR="00EA6770" w:rsidRPr="00E45979" w:rsidRDefault="00EA6770" w:rsidP="00D713D6">
      <w:pPr>
        <w:shd w:val="clear" w:color="auto" w:fill="FFFFFF"/>
        <w:spacing w:after="48"/>
        <w:ind w:firstLine="1418"/>
        <w:jc w:val="both"/>
        <w:textAlignment w:val="baseline"/>
      </w:pPr>
      <w:r w:rsidRPr="00E45979">
        <w:t>U članku 10. stavak 2. briše se.</w:t>
      </w:r>
    </w:p>
    <w:p w14:paraId="5FE960E2" w14:textId="77777777" w:rsidR="00EA6770" w:rsidRPr="00E45979" w:rsidRDefault="00EA6770" w:rsidP="009235A2">
      <w:pPr>
        <w:shd w:val="clear" w:color="auto" w:fill="FFFFFF"/>
        <w:spacing w:after="48"/>
        <w:ind w:firstLine="408"/>
        <w:jc w:val="both"/>
        <w:textAlignment w:val="baseline"/>
      </w:pPr>
    </w:p>
    <w:p w14:paraId="28A89999" w14:textId="4022D790" w:rsidR="00EA6770" w:rsidRPr="00E45979" w:rsidRDefault="00EA6770" w:rsidP="00D713D6">
      <w:pPr>
        <w:shd w:val="clear" w:color="auto" w:fill="FFFFFF"/>
        <w:spacing w:after="48"/>
        <w:ind w:firstLine="1418"/>
        <w:jc w:val="both"/>
        <w:textAlignment w:val="baseline"/>
      </w:pPr>
      <w:r w:rsidRPr="00E45979">
        <w:t>Dosadašnji stavci 3. i 4. postaju stavci 2. i 3.</w:t>
      </w:r>
    </w:p>
    <w:p w14:paraId="45C6F9DD" w14:textId="1FF84D0B" w:rsidR="00EA6770" w:rsidRDefault="00EA6770" w:rsidP="009235A2">
      <w:pPr>
        <w:shd w:val="clear" w:color="auto" w:fill="FFFFFF"/>
        <w:spacing w:after="48"/>
        <w:ind w:firstLine="408"/>
        <w:jc w:val="both"/>
        <w:textAlignment w:val="baseline"/>
      </w:pPr>
    </w:p>
    <w:p w14:paraId="13B05B3E" w14:textId="151B0E7F" w:rsidR="00D713D6" w:rsidRDefault="00D713D6" w:rsidP="009235A2">
      <w:pPr>
        <w:shd w:val="clear" w:color="auto" w:fill="FFFFFF"/>
        <w:spacing w:after="48"/>
        <w:ind w:firstLine="408"/>
        <w:jc w:val="both"/>
        <w:textAlignment w:val="baseline"/>
      </w:pPr>
    </w:p>
    <w:p w14:paraId="4A07D3EF" w14:textId="6E76EE2E" w:rsidR="00D713D6" w:rsidRDefault="00D713D6" w:rsidP="009235A2">
      <w:pPr>
        <w:shd w:val="clear" w:color="auto" w:fill="FFFFFF"/>
        <w:spacing w:after="48"/>
        <w:ind w:firstLine="408"/>
        <w:jc w:val="both"/>
        <w:textAlignment w:val="baseline"/>
      </w:pPr>
    </w:p>
    <w:p w14:paraId="639C4914" w14:textId="77777777" w:rsidR="00D713D6" w:rsidRPr="00E45979" w:rsidRDefault="00D713D6" w:rsidP="009235A2">
      <w:pPr>
        <w:shd w:val="clear" w:color="auto" w:fill="FFFFFF"/>
        <w:spacing w:after="48"/>
        <w:ind w:firstLine="408"/>
        <w:jc w:val="both"/>
        <w:textAlignment w:val="baseline"/>
      </w:pPr>
    </w:p>
    <w:p w14:paraId="0323AB18" w14:textId="0411C782" w:rsidR="00EA6770" w:rsidRPr="00D713D6" w:rsidRDefault="00EA6770" w:rsidP="00D713D6">
      <w:pPr>
        <w:shd w:val="clear" w:color="auto" w:fill="FFFFFF"/>
        <w:spacing w:after="48"/>
        <w:jc w:val="center"/>
        <w:textAlignment w:val="baseline"/>
        <w:rPr>
          <w:b/>
        </w:rPr>
      </w:pPr>
      <w:r w:rsidRPr="00D713D6">
        <w:rPr>
          <w:b/>
        </w:rPr>
        <w:lastRenderedPageBreak/>
        <w:t xml:space="preserve">Članak </w:t>
      </w:r>
      <w:r w:rsidR="00D003A9" w:rsidRPr="00D713D6">
        <w:rPr>
          <w:b/>
        </w:rPr>
        <w:t>4</w:t>
      </w:r>
      <w:r w:rsidRPr="00D713D6">
        <w:rPr>
          <w:b/>
        </w:rPr>
        <w:t>.</w:t>
      </w:r>
    </w:p>
    <w:p w14:paraId="3A095395" w14:textId="77777777" w:rsidR="00EA6770" w:rsidRPr="00E45979" w:rsidRDefault="00EA6770" w:rsidP="009235A2">
      <w:pPr>
        <w:shd w:val="clear" w:color="auto" w:fill="FFFFFF"/>
        <w:spacing w:after="48"/>
        <w:ind w:firstLine="408"/>
        <w:jc w:val="both"/>
        <w:textAlignment w:val="baseline"/>
      </w:pPr>
    </w:p>
    <w:p w14:paraId="67736D4A" w14:textId="5D3565F8" w:rsidR="009235A2" w:rsidRPr="00E45979" w:rsidRDefault="00EA6770" w:rsidP="00894472">
      <w:pPr>
        <w:shd w:val="clear" w:color="auto" w:fill="FFFFFF"/>
        <w:spacing w:after="48"/>
        <w:ind w:firstLine="1418"/>
        <w:jc w:val="both"/>
        <w:textAlignment w:val="baseline"/>
      </w:pPr>
      <w:r w:rsidRPr="00E45979">
        <w:t>U</w:t>
      </w:r>
      <w:r w:rsidR="009235A2" w:rsidRPr="00E45979">
        <w:t xml:space="preserve"> članku 11. stavku 3. iza riječi: </w:t>
      </w:r>
      <w:r w:rsidR="00927338">
        <w:rPr>
          <w:rFonts w:ascii="Minion Pro" w:hAnsi="Minion Pro"/>
          <w:shd w:val="clear" w:color="auto" w:fill="FFFFFF"/>
        </w:rPr>
        <w:t>„</w:t>
      </w:r>
      <w:r w:rsidR="009235A2" w:rsidRPr="00E45979">
        <w:t>Fond za zaštitu okoliša i energetsku učinkovitost</w:t>
      </w:r>
      <w:r w:rsidR="00927338">
        <w:t>“</w:t>
      </w:r>
      <w:r w:rsidR="009235A2" w:rsidRPr="00E45979">
        <w:t xml:space="preserve"> </w:t>
      </w:r>
      <w:r w:rsidR="00844CCC">
        <w:t xml:space="preserve">stavlja se zarez i </w:t>
      </w:r>
      <w:r w:rsidR="009235A2" w:rsidRPr="00E45979">
        <w:t>d</w:t>
      </w:r>
      <w:r w:rsidR="000432F3" w:rsidRPr="00E45979">
        <w:t>od</w:t>
      </w:r>
      <w:r w:rsidR="009235A2" w:rsidRPr="00E45979">
        <w:t>aj</w:t>
      </w:r>
      <w:r w:rsidR="00640923" w:rsidRPr="00E45979">
        <w:t>u</w:t>
      </w:r>
      <w:r w:rsidR="009235A2" w:rsidRPr="00E45979">
        <w:t xml:space="preserve"> riječ</w:t>
      </w:r>
      <w:r w:rsidR="00640923" w:rsidRPr="00E45979">
        <w:t>i</w:t>
      </w:r>
      <w:r w:rsidR="009235A2" w:rsidRPr="00E45979">
        <w:t xml:space="preserve">: </w:t>
      </w:r>
      <w:r w:rsidR="00927338">
        <w:t>„</w:t>
      </w:r>
      <w:r w:rsidR="009235A2" w:rsidRPr="00E45979">
        <w:t>S</w:t>
      </w:r>
      <w:r w:rsidRPr="00E45979">
        <w:t>redišnja agencija za financiranje i ugovaranje programa i projekata Europske unije</w:t>
      </w:r>
      <w:r w:rsidR="00927338">
        <w:rPr>
          <w:rFonts w:ascii="Minion Pro" w:hAnsi="Minion Pro"/>
          <w:shd w:val="clear" w:color="auto" w:fill="FFFFFF"/>
        </w:rPr>
        <w:t>“</w:t>
      </w:r>
      <w:r w:rsidR="00E81028" w:rsidRPr="00E45979">
        <w:t>.</w:t>
      </w:r>
    </w:p>
    <w:p w14:paraId="523492DD" w14:textId="77777777" w:rsidR="009235A2" w:rsidRPr="00E45979" w:rsidRDefault="009235A2" w:rsidP="00894472">
      <w:pPr>
        <w:shd w:val="clear" w:color="auto" w:fill="FFFFFF"/>
        <w:spacing w:after="48"/>
        <w:ind w:firstLine="1418"/>
        <w:jc w:val="both"/>
        <w:textAlignment w:val="baseline"/>
      </w:pPr>
    </w:p>
    <w:p w14:paraId="45F3001A" w14:textId="77777777" w:rsidR="009235A2" w:rsidRPr="00E45979" w:rsidRDefault="009235A2" w:rsidP="00894472">
      <w:pPr>
        <w:shd w:val="clear" w:color="auto" w:fill="FFFFFF"/>
        <w:spacing w:after="48"/>
        <w:ind w:firstLine="1418"/>
        <w:jc w:val="both"/>
        <w:textAlignment w:val="baseline"/>
      </w:pPr>
      <w:r w:rsidRPr="00E45979">
        <w:t>Stavak 4. briše se.</w:t>
      </w:r>
    </w:p>
    <w:p w14:paraId="1657BACB" w14:textId="77777777" w:rsidR="009235A2" w:rsidRPr="00E45979" w:rsidRDefault="009235A2" w:rsidP="00894472">
      <w:pPr>
        <w:shd w:val="clear" w:color="auto" w:fill="FFFFFF"/>
        <w:spacing w:after="48"/>
        <w:ind w:firstLine="1418"/>
        <w:jc w:val="both"/>
        <w:textAlignment w:val="baseline"/>
      </w:pPr>
    </w:p>
    <w:p w14:paraId="3EA5ACF4" w14:textId="77777777" w:rsidR="009235A2" w:rsidRPr="00E45979" w:rsidRDefault="009235A2" w:rsidP="00894472">
      <w:pPr>
        <w:shd w:val="clear" w:color="auto" w:fill="FFFFFF"/>
        <w:spacing w:after="48"/>
        <w:ind w:firstLine="1418"/>
        <w:jc w:val="both"/>
        <w:textAlignment w:val="baseline"/>
      </w:pPr>
      <w:r w:rsidRPr="00E45979">
        <w:t xml:space="preserve">Dosadašnji stavak 5. postaje stavak 4. </w:t>
      </w:r>
    </w:p>
    <w:p w14:paraId="242F5AB7" w14:textId="77777777" w:rsidR="00DB6E49" w:rsidRPr="00E45979" w:rsidRDefault="00DB6E49" w:rsidP="00332E65">
      <w:pPr>
        <w:shd w:val="clear" w:color="auto" w:fill="FFFFFF"/>
        <w:spacing w:after="48"/>
        <w:jc w:val="both"/>
        <w:textAlignment w:val="baseline"/>
        <w:rPr>
          <w:shd w:val="clear" w:color="auto" w:fill="FFFFFF"/>
        </w:rPr>
      </w:pPr>
    </w:p>
    <w:p w14:paraId="3F01D694" w14:textId="09C8C655" w:rsidR="00FA409A" w:rsidRPr="00D713D6" w:rsidRDefault="00FA409A" w:rsidP="00D713D6">
      <w:pPr>
        <w:shd w:val="clear" w:color="auto" w:fill="FFFFFF"/>
        <w:spacing w:after="48"/>
        <w:jc w:val="center"/>
        <w:textAlignment w:val="baseline"/>
        <w:rPr>
          <w:b/>
        </w:rPr>
      </w:pPr>
      <w:r w:rsidRPr="00D713D6">
        <w:rPr>
          <w:b/>
        </w:rPr>
        <w:t xml:space="preserve">Članak </w:t>
      </w:r>
      <w:r w:rsidR="00D003A9" w:rsidRPr="00D713D6">
        <w:rPr>
          <w:b/>
        </w:rPr>
        <w:t>5</w:t>
      </w:r>
      <w:r w:rsidRPr="00D713D6">
        <w:rPr>
          <w:b/>
        </w:rPr>
        <w:t>.</w:t>
      </w:r>
    </w:p>
    <w:p w14:paraId="07517BB0" w14:textId="77777777" w:rsidR="00DB6E49" w:rsidRPr="00E45979" w:rsidRDefault="00DB6E49" w:rsidP="00FA409A">
      <w:pPr>
        <w:shd w:val="clear" w:color="auto" w:fill="FFFFFF"/>
        <w:spacing w:after="48"/>
        <w:ind w:firstLine="408"/>
        <w:jc w:val="center"/>
        <w:textAlignment w:val="baseline"/>
      </w:pPr>
    </w:p>
    <w:p w14:paraId="75147759" w14:textId="631F0EE2" w:rsidR="00B26733" w:rsidRPr="00E45979" w:rsidRDefault="00FA409A" w:rsidP="004A7F1A">
      <w:pPr>
        <w:shd w:val="clear" w:color="auto" w:fill="FFFFFF"/>
        <w:spacing w:after="48"/>
        <w:ind w:firstLine="1418"/>
        <w:jc w:val="both"/>
        <w:textAlignment w:val="baseline"/>
        <w:rPr>
          <w:shd w:val="clear" w:color="auto" w:fill="FFFFFF"/>
        </w:rPr>
      </w:pPr>
      <w:r w:rsidRPr="00E45979">
        <w:rPr>
          <w:shd w:val="clear" w:color="auto" w:fill="FFFFFF"/>
        </w:rPr>
        <w:t xml:space="preserve">Prilog </w:t>
      </w:r>
      <w:r w:rsidR="00927338">
        <w:rPr>
          <w:shd w:val="clear" w:color="auto" w:fill="FFFFFF"/>
        </w:rPr>
        <w:t>„</w:t>
      </w:r>
      <w:r w:rsidRPr="00E45979">
        <w:rPr>
          <w:shd w:val="clear" w:color="auto" w:fill="FFFFFF"/>
        </w:rPr>
        <w:t>Prikaz posredničkih tijela nadležnih prema izabranim specifičnim ciljevima</w:t>
      </w:r>
      <w:r w:rsidR="00927338">
        <w:rPr>
          <w:rFonts w:ascii="Minion Pro" w:hAnsi="Minion Pro"/>
          <w:shd w:val="clear" w:color="auto" w:fill="FFFFFF"/>
        </w:rPr>
        <w:t>“</w:t>
      </w:r>
      <w:r w:rsidRPr="00E45979">
        <w:rPr>
          <w:shd w:val="clear" w:color="auto" w:fill="FFFFFF"/>
        </w:rPr>
        <w:t xml:space="preserve"> </w:t>
      </w:r>
      <w:r w:rsidR="00C812DC">
        <w:rPr>
          <w:shd w:val="clear" w:color="auto" w:fill="FFFFFF"/>
        </w:rPr>
        <w:t xml:space="preserve">zamjenjuje se novim Prilogom </w:t>
      </w:r>
      <w:r w:rsidR="00C812DC" w:rsidRPr="00C812DC">
        <w:rPr>
          <w:shd w:val="clear" w:color="auto" w:fill="FFFFFF"/>
        </w:rPr>
        <w:t>„Prikaz posredničkih tijela nadležnih prema izabranim specifičnim ciljevima“</w:t>
      </w:r>
      <w:r w:rsidR="00C812DC">
        <w:rPr>
          <w:shd w:val="clear" w:color="auto" w:fill="FFFFFF"/>
        </w:rPr>
        <w:t>, koji je sastavni dio ove Uredbe.</w:t>
      </w:r>
    </w:p>
    <w:p w14:paraId="2EA8036A" w14:textId="77777777" w:rsidR="00B26733" w:rsidRDefault="00B26733" w:rsidP="00806CF8">
      <w:pPr>
        <w:spacing w:after="200" w:line="276" w:lineRule="auto"/>
        <w:rPr>
          <w:rFonts w:eastAsia="Calibri"/>
          <w:bCs/>
          <w:lang w:eastAsia="en-US"/>
        </w:rPr>
      </w:pPr>
    </w:p>
    <w:p w14:paraId="53129ECB" w14:textId="77777777" w:rsidR="00F27C31" w:rsidRPr="00C812DC" w:rsidRDefault="00F27C31" w:rsidP="00F27C31">
      <w:pPr>
        <w:shd w:val="clear" w:color="auto" w:fill="FFFFFF"/>
        <w:spacing w:before="103" w:after="48"/>
        <w:jc w:val="center"/>
        <w:textAlignment w:val="baseline"/>
        <w:rPr>
          <w:b/>
        </w:rPr>
      </w:pPr>
      <w:r w:rsidRPr="00C812DC">
        <w:rPr>
          <w:b/>
        </w:rPr>
        <w:t>Članak 6.</w:t>
      </w:r>
    </w:p>
    <w:p w14:paraId="0C62A31F" w14:textId="77777777" w:rsidR="00F27C31" w:rsidRPr="00E45979" w:rsidRDefault="00F27C31" w:rsidP="00F27C31">
      <w:pPr>
        <w:shd w:val="clear" w:color="auto" w:fill="FFFFFF"/>
        <w:spacing w:before="103" w:after="48"/>
        <w:jc w:val="center"/>
        <w:textAlignment w:val="baseline"/>
      </w:pPr>
    </w:p>
    <w:p w14:paraId="3F1899C7" w14:textId="77777777" w:rsidR="00F27C31" w:rsidRPr="00E45979" w:rsidRDefault="00F27C31" w:rsidP="00F27C31">
      <w:pPr>
        <w:shd w:val="clear" w:color="auto" w:fill="FFFFFF"/>
        <w:spacing w:after="48"/>
        <w:ind w:firstLine="1418"/>
        <w:jc w:val="both"/>
        <w:textAlignment w:val="baseline"/>
      </w:pPr>
      <w:r w:rsidRPr="00E45979">
        <w:t xml:space="preserve">Ova Uredba stupa na snagu osmoga dana od dana objave u </w:t>
      </w:r>
      <w:r>
        <w:t>„</w:t>
      </w:r>
      <w:r w:rsidRPr="00E45979">
        <w:t>Narodnim novinama</w:t>
      </w:r>
      <w:r>
        <w:t>“</w:t>
      </w:r>
      <w:r w:rsidRPr="00E45979">
        <w:t>.</w:t>
      </w:r>
    </w:p>
    <w:p w14:paraId="2DD04601" w14:textId="77777777" w:rsidR="00F27C31" w:rsidRPr="00E45979" w:rsidRDefault="00F27C31" w:rsidP="00F27C31"/>
    <w:p w14:paraId="2A1A5E9E" w14:textId="77777777" w:rsidR="00F27C31" w:rsidRPr="00E45979" w:rsidRDefault="00F27C31" w:rsidP="00F27C31"/>
    <w:p w14:paraId="50ACAD76" w14:textId="77777777" w:rsidR="00F27C31" w:rsidRPr="00E45979" w:rsidRDefault="00F27C31" w:rsidP="00F27C31">
      <w:r w:rsidRPr="00E45979">
        <w:t xml:space="preserve">Klasa: </w:t>
      </w:r>
    </w:p>
    <w:p w14:paraId="0B876E73" w14:textId="77777777" w:rsidR="00F27C31" w:rsidRPr="00E45979" w:rsidRDefault="00F27C31" w:rsidP="00F27C31">
      <w:r w:rsidRPr="00E45979">
        <w:t xml:space="preserve">Urbroj: </w:t>
      </w:r>
    </w:p>
    <w:p w14:paraId="65A4D870" w14:textId="77777777" w:rsidR="00F27C31" w:rsidRPr="00E45979" w:rsidRDefault="00F27C31" w:rsidP="00F27C31">
      <w:r w:rsidRPr="00E45979">
        <w:t>Zagreb,</w:t>
      </w:r>
    </w:p>
    <w:p w14:paraId="00103667" w14:textId="77777777" w:rsidR="00F27C31" w:rsidRPr="00E45979" w:rsidRDefault="00F27C31" w:rsidP="00F27C31">
      <w:pPr>
        <w:ind w:left="6372"/>
        <w:rPr>
          <w:b/>
          <w:bCs/>
        </w:rPr>
      </w:pPr>
    </w:p>
    <w:p w14:paraId="0903CE9C" w14:textId="77777777" w:rsidR="00F27C31" w:rsidRPr="00E45979" w:rsidRDefault="00F27C31" w:rsidP="00F27C31">
      <w:pPr>
        <w:ind w:left="6372"/>
        <w:rPr>
          <w:b/>
          <w:bCs/>
        </w:rPr>
      </w:pPr>
    </w:p>
    <w:p w14:paraId="7219EB32" w14:textId="77777777" w:rsidR="00F27C31" w:rsidRPr="00E45979" w:rsidRDefault="00F27C31" w:rsidP="00F27C31">
      <w:pPr>
        <w:ind w:left="6372"/>
        <w:rPr>
          <w:b/>
          <w:bCs/>
        </w:rPr>
      </w:pPr>
    </w:p>
    <w:p w14:paraId="6760D152" w14:textId="77777777" w:rsidR="00F27C31" w:rsidRPr="00E45979" w:rsidRDefault="00F27C31" w:rsidP="00F27C31">
      <w:pPr>
        <w:ind w:left="6372" w:firstLine="708"/>
        <w:jc w:val="both"/>
        <w:rPr>
          <w:rFonts w:eastAsia="Calibri"/>
        </w:rPr>
      </w:pPr>
      <w:r w:rsidRPr="00E45979">
        <w:rPr>
          <w:rFonts w:eastAsia="Calibri"/>
        </w:rPr>
        <w:t>PREDSJEDNIK</w:t>
      </w:r>
    </w:p>
    <w:p w14:paraId="084B1DAB" w14:textId="77777777" w:rsidR="00F27C31" w:rsidRPr="00E45979" w:rsidRDefault="00F27C31" w:rsidP="00F27C31">
      <w:pPr>
        <w:jc w:val="both"/>
        <w:rPr>
          <w:rFonts w:eastAsia="Calibri"/>
        </w:rPr>
      </w:pPr>
    </w:p>
    <w:p w14:paraId="44BDEBA8" w14:textId="77777777" w:rsidR="00F27C31" w:rsidRPr="00E45979" w:rsidRDefault="00F27C31" w:rsidP="00F27C31">
      <w:pPr>
        <w:jc w:val="both"/>
        <w:rPr>
          <w:rFonts w:eastAsia="Calibri"/>
        </w:rPr>
      </w:pPr>
    </w:p>
    <w:p w14:paraId="45067142" w14:textId="77777777" w:rsidR="00F27C31" w:rsidRPr="00E45979" w:rsidRDefault="00F27C31" w:rsidP="00F27C31">
      <w:pPr>
        <w:jc w:val="right"/>
        <w:rPr>
          <w:rFonts w:eastAsia="Calibri"/>
        </w:rPr>
      </w:pPr>
      <w:r w:rsidRPr="00E45979">
        <w:rPr>
          <w:rFonts w:eastAsia="Calibri"/>
        </w:rPr>
        <w:t>mr. sc. Andrej Plenković</w:t>
      </w:r>
    </w:p>
    <w:p w14:paraId="42585DC8" w14:textId="77777777" w:rsidR="00F27C31" w:rsidRDefault="00F27C31" w:rsidP="00806CF8">
      <w:pPr>
        <w:spacing w:after="200" w:line="276" w:lineRule="auto"/>
        <w:rPr>
          <w:rFonts w:eastAsia="Calibri"/>
          <w:bCs/>
          <w:lang w:eastAsia="en-US"/>
        </w:rPr>
      </w:pPr>
    </w:p>
    <w:p w14:paraId="7F764983" w14:textId="77777777" w:rsidR="00F27C31" w:rsidRDefault="00F27C31" w:rsidP="00806CF8">
      <w:pPr>
        <w:spacing w:after="200" w:line="276" w:lineRule="auto"/>
        <w:rPr>
          <w:rFonts w:eastAsia="Calibri"/>
          <w:bCs/>
          <w:lang w:eastAsia="en-US"/>
        </w:rPr>
      </w:pPr>
    </w:p>
    <w:p w14:paraId="2A7F84A3" w14:textId="77777777" w:rsidR="00F27C31" w:rsidRDefault="00F27C31" w:rsidP="00806CF8">
      <w:pPr>
        <w:spacing w:after="200" w:line="276" w:lineRule="auto"/>
        <w:rPr>
          <w:rFonts w:eastAsia="Calibri"/>
          <w:bCs/>
          <w:lang w:eastAsia="en-US"/>
        </w:rPr>
      </w:pPr>
    </w:p>
    <w:p w14:paraId="7E5A5DE5" w14:textId="77777777" w:rsidR="00F27C31" w:rsidRDefault="00F27C31" w:rsidP="00806CF8">
      <w:pPr>
        <w:spacing w:after="200" w:line="276" w:lineRule="auto"/>
        <w:rPr>
          <w:rFonts w:eastAsia="Calibri"/>
          <w:bCs/>
          <w:lang w:eastAsia="en-US"/>
        </w:rPr>
      </w:pPr>
    </w:p>
    <w:p w14:paraId="4CA70C33" w14:textId="77777777" w:rsidR="00F27C31" w:rsidRDefault="00F27C31" w:rsidP="00806CF8">
      <w:pPr>
        <w:spacing w:after="200" w:line="276" w:lineRule="auto"/>
        <w:rPr>
          <w:rFonts w:eastAsia="Calibri"/>
          <w:bCs/>
          <w:lang w:eastAsia="en-US"/>
        </w:rPr>
      </w:pPr>
    </w:p>
    <w:p w14:paraId="765E7620" w14:textId="77777777" w:rsidR="00F27C31" w:rsidRDefault="00F27C31" w:rsidP="00806CF8">
      <w:pPr>
        <w:spacing w:after="200" w:line="276" w:lineRule="auto"/>
        <w:rPr>
          <w:rFonts w:eastAsia="Calibri"/>
          <w:bCs/>
          <w:lang w:eastAsia="en-US"/>
        </w:rPr>
      </w:pPr>
    </w:p>
    <w:p w14:paraId="48426779" w14:textId="77777777" w:rsidR="00F27C31" w:rsidRDefault="00F27C31" w:rsidP="00806CF8">
      <w:pPr>
        <w:spacing w:after="200" w:line="276" w:lineRule="auto"/>
        <w:rPr>
          <w:rFonts w:eastAsia="Calibri"/>
          <w:bCs/>
          <w:lang w:eastAsia="en-US"/>
        </w:rPr>
      </w:pPr>
    </w:p>
    <w:p w14:paraId="2C9CB219" w14:textId="77777777" w:rsidR="00F27C31" w:rsidRDefault="00F27C31" w:rsidP="00806CF8">
      <w:pPr>
        <w:spacing w:after="200" w:line="276" w:lineRule="auto"/>
        <w:rPr>
          <w:rFonts w:eastAsia="Calibri"/>
          <w:bCs/>
          <w:lang w:eastAsia="en-US"/>
        </w:rPr>
      </w:pPr>
    </w:p>
    <w:p w14:paraId="69535F43" w14:textId="77777777" w:rsidR="00F27C31" w:rsidRPr="00E45979" w:rsidRDefault="00F27C31" w:rsidP="00806CF8">
      <w:pPr>
        <w:spacing w:after="200" w:line="276" w:lineRule="auto"/>
        <w:rPr>
          <w:rFonts w:eastAsia="Calibri"/>
          <w:bCs/>
          <w:lang w:eastAsia="en-US"/>
        </w:rPr>
      </w:pPr>
    </w:p>
    <w:p w14:paraId="3681F5BD" w14:textId="2D339356" w:rsidR="00FA409A" w:rsidRPr="00E45979" w:rsidRDefault="00FA409A" w:rsidP="002E04C8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E45979">
        <w:rPr>
          <w:rFonts w:eastAsia="Calibri"/>
          <w:bCs/>
          <w:lang w:eastAsia="en-US"/>
        </w:rPr>
        <w:lastRenderedPageBreak/>
        <w:t>PRILOG</w:t>
      </w:r>
    </w:p>
    <w:p w14:paraId="32BD372B" w14:textId="77777777" w:rsidR="00FA409A" w:rsidRPr="00E45979" w:rsidRDefault="00FA409A" w:rsidP="00FA409A">
      <w:pPr>
        <w:spacing w:after="200" w:line="276" w:lineRule="auto"/>
        <w:jc w:val="center"/>
        <w:rPr>
          <w:rFonts w:eastAsia="Calibri"/>
          <w:lang w:eastAsia="en-US"/>
        </w:rPr>
      </w:pPr>
      <w:r w:rsidRPr="00E45979">
        <w:rPr>
          <w:rFonts w:eastAsia="Calibri"/>
          <w:lang w:eastAsia="en-US"/>
        </w:rPr>
        <w:t>PRIKAZ POSREDNIČKIH TIJELA NADLEŽNIH</w:t>
      </w:r>
    </w:p>
    <w:p w14:paraId="1FFA287E" w14:textId="77777777" w:rsidR="00FA409A" w:rsidRPr="00E45979" w:rsidRDefault="00FA409A" w:rsidP="00FA409A">
      <w:pPr>
        <w:spacing w:after="200" w:line="276" w:lineRule="auto"/>
        <w:jc w:val="center"/>
        <w:rPr>
          <w:rFonts w:eastAsia="Calibri"/>
          <w:lang w:eastAsia="en-US"/>
        </w:rPr>
      </w:pPr>
      <w:r w:rsidRPr="00E45979">
        <w:rPr>
          <w:rFonts w:eastAsia="Calibri"/>
          <w:lang w:eastAsia="en-US"/>
        </w:rPr>
        <w:t>PREMA IZABRANIM SPECIFIČNIM CILJEVIMA</w:t>
      </w:r>
    </w:p>
    <w:p w14:paraId="259730F3" w14:textId="77777777" w:rsidR="00B26733" w:rsidRPr="00E45979" w:rsidRDefault="00B26733" w:rsidP="00652ACB">
      <w:pPr>
        <w:shd w:val="clear" w:color="auto" w:fill="FFFFFF"/>
        <w:spacing w:after="48"/>
        <w:jc w:val="both"/>
        <w:textAlignment w:val="baseline"/>
        <w:rPr>
          <w:shd w:val="clear" w:color="auto" w:fill="FFFFFF"/>
        </w:rPr>
      </w:pPr>
    </w:p>
    <w:p w14:paraId="20F5C322" w14:textId="31D6CFBF" w:rsidR="00FA409A" w:rsidRDefault="00FA409A" w:rsidP="009235A2">
      <w:pPr>
        <w:shd w:val="clear" w:color="auto" w:fill="FFFFFF"/>
        <w:spacing w:after="48"/>
        <w:ind w:firstLine="408"/>
        <w:jc w:val="both"/>
        <w:textAlignment w:val="baseline"/>
        <w:rPr>
          <w:shd w:val="clear" w:color="auto" w:fill="FFFFFF"/>
        </w:rPr>
      </w:pPr>
    </w:p>
    <w:p w14:paraId="18EC93E0" w14:textId="77777777" w:rsidR="00542E9E" w:rsidRPr="00E45979" w:rsidRDefault="00542E9E" w:rsidP="009235A2">
      <w:pPr>
        <w:shd w:val="clear" w:color="auto" w:fill="FFFFFF"/>
        <w:spacing w:after="48"/>
        <w:ind w:firstLine="408"/>
        <w:jc w:val="both"/>
        <w:textAlignment w:val="baseline"/>
        <w:rPr>
          <w:shd w:val="clear" w:color="auto" w:fill="FFFFFF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1432"/>
        <w:gridCol w:w="2904"/>
        <w:gridCol w:w="1631"/>
        <w:gridCol w:w="1559"/>
      </w:tblGrid>
      <w:tr w:rsidR="00E45979" w:rsidRPr="00E45979" w14:paraId="33A9177E" w14:textId="77777777" w:rsidTr="00223649">
        <w:tc>
          <w:tcPr>
            <w:tcW w:w="9209" w:type="dxa"/>
            <w:gridSpan w:val="5"/>
          </w:tcPr>
          <w:p w14:paraId="17BCA4B7" w14:textId="77777777" w:rsidR="00FA409A" w:rsidRPr="00E45979" w:rsidRDefault="00FA409A" w:rsidP="00FA409A">
            <w:pPr>
              <w:spacing w:after="200" w:line="276" w:lineRule="auto"/>
              <w:jc w:val="center"/>
              <w:rPr>
                <w:rFonts w:eastAsia="Calibri"/>
                <w:b/>
                <w:bCs/>
              </w:rPr>
            </w:pPr>
            <w:r w:rsidRPr="00E45979">
              <w:rPr>
                <w:rFonts w:eastAsia="Calibri"/>
                <w:b/>
                <w:lang w:eastAsia="en-US"/>
              </w:rPr>
              <w:br/>
            </w:r>
            <w:r w:rsidRPr="00E45979">
              <w:rPr>
                <w:rFonts w:eastAsia="Calibri"/>
                <w:b/>
                <w:bCs/>
              </w:rPr>
              <w:t>Program iz područja konkurentnosti i kohezije za financijsko razdoblje 2021. – 2027.</w:t>
            </w:r>
          </w:p>
          <w:p w14:paraId="3B07C1F8" w14:textId="77777777" w:rsidR="00FA409A" w:rsidRPr="00E45979" w:rsidRDefault="00FA409A" w:rsidP="00FA409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45979" w:rsidRPr="00E45979" w14:paraId="33A31ECC" w14:textId="77777777" w:rsidTr="00223649">
        <w:trPr>
          <w:trHeight w:val="1014"/>
        </w:trPr>
        <w:tc>
          <w:tcPr>
            <w:tcW w:w="9209" w:type="dxa"/>
            <w:gridSpan w:val="5"/>
          </w:tcPr>
          <w:p w14:paraId="78F712CA" w14:textId="77777777" w:rsidR="00FA409A" w:rsidRPr="00E45979" w:rsidRDefault="00FA409A" w:rsidP="00FA409A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45979">
              <w:rPr>
                <w:rFonts w:eastAsia="Calibri"/>
                <w:b/>
                <w:lang w:eastAsia="en-US"/>
              </w:rPr>
              <w:t>Cilj politike 1</w:t>
            </w:r>
          </w:p>
          <w:p w14:paraId="3998BD4E" w14:textId="77777777" w:rsidR="00FA409A" w:rsidRPr="00E45979" w:rsidRDefault="00FA409A" w:rsidP="00FA409A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45979">
              <w:rPr>
                <w:rFonts w:eastAsia="Calibri"/>
                <w:b/>
                <w:lang w:eastAsia="en-US"/>
              </w:rPr>
              <w:t>Konkurentnija i pametnija Europa promicanjem inovativne i pametne gospodarske preobrazbe i regionalne povezanosti IKT-a</w:t>
            </w:r>
          </w:p>
        </w:tc>
      </w:tr>
      <w:tr w:rsidR="00E45979" w:rsidRPr="00E45979" w14:paraId="75CCC2B6" w14:textId="77777777" w:rsidTr="00223649">
        <w:trPr>
          <w:trHeight w:val="1356"/>
        </w:trPr>
        <w:tc>
          <w:tcPr>
            <w:tcW w:w="1683" w:type="dxa"/>
          </w:tcPr>
          <w:p w14:paraId="13E13A33" w14:textId="77777777" w:rsidR="00FA409A" w:rsidRPr="00E45979" w:rsidRDefault="00FA409A" w:rsidP="00FA409A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  <w:p w14:paraId="428271F2" w14:textId="77777777" w:rsidR="00FA409A" w:rsidRPr="00E45979" w:rsidRDefault="00FA409A" w:rsidP="00FA409A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  <w:p w14:paraId="215A2C54" w14:textId="77777777" w:rsidR="00FA409A" w:rsidRPr="00E45979" w:rsidRDefault="00FA409A" w:rsidP="00FA409A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Prioritet</w:t>
            </w:r>
          </w:p>
        </w:tc>
        <w:tc>
          <w:tcPr>
            <w:tcW w:w="143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635D12" w14:textId="77777777" w:rsidR="00FA409A" w:rsidRPr="00E45979" w:rsidRDefault="00FA409A" w:rsidP="00FA409A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Oznaka</w:t>
            </w:r>
            <w:r w:rsidRPr="00E45979">
              <w:rPr>
                <w:rFonts w:eastAsia="Calibri"/>
                <w:lang w:eastAsia="en-US"/>
              </w:rPr>
              <w:br/>
              <w:t>specifičnog cilja (OSC)</w:t>
            </w:r>
          </w:p>
        </w:tc>
        <w:tc>
          <w:tcPr>
            <w:tcW w:w="290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F64B1D" w14:textId="77777777" w:rsidR="00FA409A" w:rsidRPr="002C3DDE" w:rsidRDefault="00FA409A" w:rsidP="00FA409A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>Naziv specifičnog cilja</w:t>
            </w:r>
          </w:p>
        </w:tc>
        <w:tc>
          <w:tcPr>
            <w:tcW w:w="163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AC6DA0" w14:textId="77777777" w:rsidR="00FA409A" w:rsidRPr="002C3DDE" w:rsidRDefault="00FA409A" w:rsidP="00FA409A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>Posredničko tijelo razine 1</w:t>
            </w:r>
          </w:p>
        </w:tc>
        <w:tc>
          <w:tcPr>
            <w:tcW w:w="155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F68802" w14:textId="77777777" w:rsidR="00FA409A" w:rsidRPr="00E45979" w:rsidRDefault="00FA409A" w:rsidP="00FA409A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Posredničko tijelo razine 2</w:t>
            </w:r>
          </w:p>
        </w:tc>
      </w:tr>
      <w:tr w:rsidR="00E45979" w:rsidRPr="00E45979" w14:paraId="5257C982" w14:textId="77777777" w:rsidTr="00223649">
        <w:tc>
          <w:tcPr>
            <w:tcW w:w="1683" w:type="dxa"/>
            <w:vMerge w:val="restart"/>
          </w:tcPr>
          <w:p w14:paraId="4B56C869" w14:textId="77777777" w:rsidR="00FA409A" w:rsidRPr="00E45979" w:rsidRDefault="00FA409A" w:rsidP="00FA409A">
            <w:pPr>
              <w:spacing w:after="200" w:line="276" w:lineRule="auto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E45979">
              <w:rPr>
                <w:rFonts w:eastAsia="Calibri"/>
                <w:bdr w:val="none" w:sz="0" w:space="0" w:color="auto" w:frame="1"/>
                <w:lang w:eastAsia="en-US"/>
              </w:rPr>
              <w:t>1. Jačanje gospodarstva ulaganjem u istraživanje i inovacije, podupiranjem poslovne konkurentnosti, digitalizacije i razvojem vještina za pametnu specijalizaciju</w:t>
            </w:r>
          </w:p>
        </w:tc>
        <w:tc>
          <w:tcPr>
            <w:tcW w:w="143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534D91" w14:textId="77777777" w:rsidR="00FA409A" w:rsidRPr="00E45979" w:rsidRDefault="00FA409A" w:rsidP="00FA409A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bdr w:val="none" w:sz="0" w:space="0" w:color="auto" w:frame="1"/>
                <w:lang w:eastAsia="en-US"/>
              </w:rPr>
              <w:t>1(i)</w:t>
            </w:r>
          </w:p>
        </w:tc>
        <w:tc>
          <w:tcPr>
            <w:tcW w:w="290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D3A352" w14:textId="77777777" w:rsidR="00FA409A" w:rsidRPr="002C3DDE" w:rsidRDefault="00FA409A" w:rsidP="00FA409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>Razvoj i jačanje istraživačkih i inovacijskih kapaciteta, te primjena naprednih tehnologija</w:t>
            </w:r>
          </w:p>
          <w:p w14:paraId="432D4CFE" w14:textId="77777777" w:rsidR="00FA409A" w:rsidRPr="002C3DDE" w:rsidRDefault="00FA409A" w:rsidP="00FA409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EF7BB3" w14:textId="6DB03FB0" w:rsidR="00FA409A" w:rsidRPr="002C3DDE" w:rsidRDefault="00FA409A" w:rsidP="00FA409A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>Ministarstvo znanosti</w:t>
            </w:r>
            <w:r w:rsidR="00805878" w:rsidRPr="002C3DDE">
              <w:rPr>
                <w:rFonts w:eastAsia="Calibri"/>
                <w:lang w:eastAsia="en-US"/>
              </w:rPr>
              <w:t>,</w:t>
            </w:r>
            <w:r w:rsidR="00AE24CE">
              <w:rPr>
                <w:rFonts w:eastAsia="Calibri"/>
                <w:lang w:eastAsia="en-US"/>
              </w:rPr>
              <w:t xml:space="preserve"> </w:t>
            </w:r>
            <w:r w:rsidRPr="002C3DDE">
              <w:rPr>
                <w:rFonts w:eastAsia="Calibri"/>
                <w:lang w:eastAsia="en-US"/>
              </w:rPr>
              <w:t>obrazovanja</w:t>
            </w:r>
            <w:r w:rsidR="00805878" w:rsidRPr="002C3DDE">
              <w:rPr>
                <w:rFonts w:eastAsia="Calibri"/>
                <w:lang w:eastAsia="en-US"/>
              </w:rPr>
              <w:t xml:space="preserve"> i mladih</w:t>
            </w:r>
          </w:p>
          <w:p w14:paraId="08A41F68" w14:textId="77777777" w:rsidR="004F69E5" w:rsidRPr="002C3DDE" w:rsidRDefault="00FA409A" w:rsidP="00FA409A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 xml:space="preserve">Ministarstvo gospodarstva </w:t>
            </w:r>
          </w:p>
          <w:p w14:paraId="7B4FC3D7" w14:textId="42711E4C" w:rsidR="00FA409A" w:rsidRPr="002C3DDE" w:rsidRDefault="00FA409A" w:rsidP="00FA409A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 xml:space="preserve">Ministarstvo regionalnoga razvoja i fondova Europske unije </w:t>
            </w:r>
          </w:p>
        </w:tc>
        <w:tc>
          <w:tcPr>
            <w:tcW w:w="155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18F622" w14:textId="77777777" w:rsidR="00FA409A" w:rsidRPr="00E45979" w:rsidRDefault="00FA409A" w:rsidP="00FA409A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Središnja agencija za financiranje i ugovaranje programa i projekata Europske unije</w:t>
            </w:r>
          </w:p>
          <w:p w14:paraId="5EA746E6" w14:textId="2B9B13EB" w:rsidR="00FA409A" w:rsidRPr="00E45979" w:rsidRDefault="00AE24CE" w:rsidP="00FA409A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Hrvatska agencija za malo </w:t>
            </w:r>
            <w:r w:rsidR="00FA409A" w:rsidRPr="00E45979">
              <w:rPr>
                <w:rFonts w:eastAsia="Calibri"/>
                <w:lang w:eastAsia="en-US"/>
              </w:rPr>
              <w:t>gospodarstvo, inovacije i investicije</w:t>
            </w:r>
          </w:p>
        </w:tc>
      </w:tr>
      <w:tr w:rsidR="00E45979" w:rsidRPr="00E45979" w14:paraId="279A952D" w14:textId="77777777" w:rsidTr="00223649">
        <w:tc>
          <w:tcPr>
            <w:tcW w:w="1683" w:type="dxa"/>
            <w:vMerge/>
          </w:tcPr>
          <w:p w14:paraId="0CDA65E8" w14:textId="77777777" w:rsidR="00FA409A" w:rsidRPr="00E45979" w:rsidRDefault="00FA409A" w:rsidP="00FA409A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</w:p>
        </w:tc>
        <w:tc>
          <w:tcPr>
            <w:tcW w:w="143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843B6A" w14:textId="77777777" w:rsidR="00FA409A" w:rsidRPr="00E45979" w:rsidRDefault="00FA409A" w:rsidP="00FA409A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E45979">
              <w:rPr>
                <w:rFonts w:eastAsia="Calibri"/>
                <w:bdr w:val="none" w:sz="0" w:space="0" w:color="auto" w:frame="1"/>
                <w:lang w:eastAsia="en-US"/>
              </w:rPr>
              <w:t>1(ii)</w:t>
            </w:r>
          </w:p>
        </w:tc>
        <w:tc>
          <w:tcPr>
            <w:tcW w:w="290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E82BF2" w14:textId="77777777" w:rsidR="00FA409A" w:rsidRPr="002C3DDE" w:rsidRDefault="00FA409A" w:rsidP="00FA409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>Iskorištavanje koristi digitalizacije za građane, poduzeća, istraživačke organizacije i tijela javne vlasti</w:t>
            </w:r>
          </w:p>
          <w:p w14:paraId="3DEAC5F8" w14:textId="77777777" w:rsidR="00FA409A" w:rsidRPr="002C3DDE" w:rsidRDefault="00FA409A" w:rsidP="00FA409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B999E0" w14:textId="77777777" w:rsidR="00FA409A" w:rsidRPr="002C3DDE" w:rsidRDefault="00FA409A" w:rsidP="00FA409A">
            <w:pPr>
              <w:spacing w:after="200" w:line="276" w:lineRule="auto"/>
              <w:jc w:val="both"/>
              <w:rPr>
                <w:lang w:eastAsia="en-US"/>
              </w:rPr>
            </w:pPr>
            <w:r w:rsidRPr="002C3DDE">
              <w:rPr>
                <w:lang w:eastAsia="en-US"/>
              </w:rPr>
              <w:lastRenderedPageBreak/>
              <w:t>Ministarstvo regionalnoga razvoja i fondova Europske unije</w:t>
            </w:r>
          </w:p>
          <w:p w14:paraId="55511DF6" w14:textId="65E45CA4" w:rsidR="00FA409A" w:rsidRPr="002C3DDE" w:rsidRDefault="00AE24CE" w:rsidP="00FA409A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lastRenderedPageBreak/>
              <w:t>Ministarstvo gospodarstva</w:t>
            </w:r>
            <w:r w:rsidR="00FA409A" w:rsidRPr="002C3DDE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F73C50" w14:textId="77777777" w:rsidR="00FA409A" w:rsidRPr="00E45979" w:rsidRDefault="00FA409A" w:rsidP="00FA409A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lastRenderedPageBreak/>
              <w:t xml:space="preserve">Središnja agencija za financiranje i ugovaranje programa i projekata </w:t>
            </w:r>
            <w:r w:rsidRPr="00E45979">
              <w:rPr>
                <w:rFonts w:eastAsia="Calibri"/>
                <w:lang w:eastAsia="en-US"/>
              </w:rPr>
              <w:lastRenderedPageBreak/>
              <w:t>Europske unije</w:t>
            </w:r>
          </w:p>
          <w:p w14:paraId="5ED189A6" w14:textId="77777777" w:rsidR="00FA409A" w:rsidRPr="00E45979" w:rsidRDefault="00FA409A" w:rsidP="00FA409A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Hrvatska agencija za malo gospodarstvo, inovacije i investicije</w:t>
            </w:r>
          </w:p>
        </w:tc>
      </w:tr>
      <w:tr w:rsidR="00E45979" w:rsidRPr="00E45979" w14:paraId="70F7EA21" w14:textId="77777777" w:rsidTr="00223649">
        <w:tc>
          <w:tcPr>
            <w:tcW w:w="1683" w:type="dxa"/>
            <w:vMerge/>
          </w:tcPr>
          <w:p w14:paraId="70599A17" w14:textId="77777777" w:rsidR="00FA409A" w:rsidRPr="00E45979" w:rsidRDefault="00FA409A" w:rsidP="00FA409A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</w:p>
        </w:tc>
        <w:tc>
          <w:tcPr>
            <w:tcW w:w="143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94DC8" w14:textId="77777777" w:rsidR="00FA409A" w:rsidRPr="00E45979" w:rsidRDefault="00FA409A" w:rsidP="00FA409A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bdr w:val="none" w:sz="0" w:space="0" w:color="auto" w:frame="1"/>
                <w:lang w:eastAsia="en-US"/>
              </w:rPr>
              <w:t>1(iii)</w:t>
            </w:r>
          </w:p>
        </w:tc>
        <w:tc>
          <w:tcPr>
            <w:tcW w:w="290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A9BB03" w14:textId="77777777" w:rsidR="00FA409A" w:rsidRPr="002C3DDE" w:rsidRDefault="00FA409A" w:rsidP="00FA409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>Jačanje održivog rasta i konkurentnosti MSP-ova i otvaranje radnih mjesta u njima, među ostalim i kroz produktivna ulaganja</w:t>
            </w:r>
          </w:p>
          <w:p w14:paraId="2A783543" w14:textId="77777777" w:rsidR="00FA409A" w:rsidRPr="002C3DDE" w:rsidRDefault="00FA409A" w:rsidP="00FA409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14:paraId="60A016A4" w14:textId="77777777" w:rsidR="00FA409A" w:rsidRPr="002C3DDE" w:rsidRDefault="00FA409A" w:rsidP="00FA409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A7535" w14:textId="19651740" w:rsidR="00FA409A" w:rsidRPr="002C3DDE" w:rsidRDefault="00FA409A" w:rsidP="00FA409A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 xml:space="preserve">Ministarstvo gospodarstva </w:t>
            </w:r>
          </w:p>
        </w:tc>
        <w:tc>
          <w:tcPr>
            <w:tcW w:w="155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6F1E3D" w14:textId="77777777" w:rsidR="00FA409A" w:rsidRDefault="00FA409A" w:rsidP="00FA409A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Hrvatska agencija za malo gospodarstvo, inovacije i investicije</w:t>
            </w:r>
          </w:p>
          <w:p w14:paraId="1A545344" w14:textId="3F19381A" w:rsidR="00A118A5" w:rsidRPr="00E45979" w:rsidRDefault="00A118A5" w:rsidP="00FA409A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Središnja </w:t>
            </w:r>
            <w:r w:rsidRPr="00E45979">
              <w:rPr>
                <w:rFonts w:eastAsia="Calibri"/>
                <w:lang w:eastAsia="en-US"/>
              </w:rPr>
              <w:t>agencija za financiranje i ugovaranje programa i projekata Europske unije</w:t>
            </w:r>
          </w:p>
          <w:p w14:paraId="78E7D589" w14:textId="77777777" w:rsidR="00FA409A" w:rsidRPr="00E45979" w:rsidRDefault="00FA409A" w:rsidP="00FA409A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E45979" w:rsidRPr="00E45979" w14:paraId="7EE164F3" w14:textId="77777777" w:rsidTr="00223649">
        <w:tc>
          <w:tcPr>
            <w:tcW w:w="1683" w:type="dxa"/>
            <w:vMerge/>
            <w:tcBorders>
              <w:bottom w:val="single" w:sz="4" w:space="0" w:color="auto"/>
            </w:tcBorders>
          </w:tcPr>
          <w:p w14:paraId="71DDF83C" w14:textId="77777777" w:rsidR="00FA409A" w:rsidRPr="00E45979" w:rsidRDefault="00FA409A" w:rsidP="00FA409A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890690" w14:textId="77777777" w:rsidR="00FA409A" w:rsidRPr="00E45979" w:rsidRDefault="00FA409A" w:rsidP="00FA409A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E45979">
              <w:rPr>
                <w:rFonts w:eastAsia="Calibri"/>
                <w:bdr w:val="none" w:sz="0" w:space="0" w:color="auto" w:frame="1"/>
                <w:lang w:eastAsia="en-US"/>
              </w:rPr>
              <w:t>1(iv)</w:t>
            </w:r>
          </w:p>
        </w:tc>
        <w:tc>
          <w:tcPr>
            <w:tcW w:w="2904" w:type="dxa"/>
            <w:tcBorders>
              <w:bottom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CDAA64" w14:textId="77777777" w:rsidR="00FA409A" w:rsidRPr="002C3DDE" w:rsidRDefault="00FA409A" w:rsidP="00FA409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>Razvoj vještina za pametnu specijalizaciju, industrijsku tranziciju i poduzetništvo</w:t>
            </w:r>
          </w:p>
          <w:p w14:paraId="270E7D58" w14:textId="77777777" w:rsidR="00FA409A" w:rsidRPr="002C3DDE" w:rsidRDefault="00FA409A" w:rsidP="00FA409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EB6997" w14:textId="4F8DE633" w:rsidR="00FA409A" w:rsidRPr="002C3DDE" w:rsidRDefault="00FA409A" w:rsidP="00FA409A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>Ministarstvo znanosti</w:t>
            </w:r>
            <w:r w:rsidR="00805878" w:rsidRPr="002C3DDE">
              <w:rPr>
                <w:rFonts w:eastAsia="Calibri"/>
                <w:lang w:eastAsia="en-US"/>
              </w:rPr>
              <w:t xml:space="preserve">, </w:t>
            </w:r>
            <w:r w:rsidRPr="002C3DDE">
              <w:rPr>
                <w:rFonts w:eastAsia="Calibri"/>
                <w:lang w:eastAsia="en-US"/>
              </w:rPr>
              <w:t>obrazovanja</w:t>
            </w:r>
            <w:r w:rsidR="00805878" w:rsidRPr="002C3DDE">
              <w:rPr>
                <w:rFonts w:eastAsia="Calibri"/>
                <w:lang w:eastAsia="en-US"/>
              </w:rPr>
              <w:t xml:space="preserve"> i mladih</w:t>
            </w:r>
          </w:p>
          <w:p w14:paraId="6F3EC7C7" w14:textId="5639A979" w:rsidR="00FA409A" w:rsidRPr="002C3DDE" w:rsidRDefault="00FA409A" w:rsidP="00FA409A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 xml:space="preserve">Ministarstvo gospodarstva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94B9DC" w14:textId="77777777" w:rsidR="00FA409A" w:rsidRPr="00E45979" w:rsidRDefault="00FA409A" w:rsidP="00FA409A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Hrvatska agencija za malo gospodarstvo, inovacije i investicije</w:t>
            </w:r>
          </w:p>
          <w:p w14:paraId="56831C4C" w14:textId="1FFD5285" w:rsidR="00C72FD8" w:rsidRPr="00E45979" w:rsidRDefault="00C72FD8" w:rsidP="00FA409A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Središnja agencija za financiranje i ugovaranje programa i projekata Europske unije</w:t>
            </w:r>
          </w:p>
        </w:tc>
      </w:tr>
      <w:tr w:rsidR="00E45979" w:rsidRPr="00E45979" w14:paraId="51B3C121" w14:textId="77777777" w:rsidTr="00223649">
        <w:tc>
          <w:tcPr>
            <w:tcW w:w="1683" w:type="dxa"/>
            <w:tcBorders>
              <w:bottom w:val="single" w:sz="4" w:space="0" w:color="auto"/>
            </w:tcBorders>
          </w:tcPr>
          <w:p w14:paraId="27EABA36" w14:textId="77777777" w:rsidR="00FA409A" w:rsidRPr="00E45979" w:rsidRDefault="00FA409A" w:rsidP="00FA409A">
            <w:pPr>
              <w:spacing w:after="200" w:line="276" w:lineRule="auto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E45979">
              <w:rPr>
                <w:rFonts w:eastAsia="Calibri"/>
                <w:bdr w:val="none" w:sz="0" w:space="0" w:color="auto" w:frame="1"/>
                <w:lang w:eastAsia="en-US"/>
              </w:rPr>
              <w:lastRenderedPageBreak/>
              <w:t>2. Jačanje digitalne povezanosti</w:t>
            </w:r>
          </w:p>
          <w:p w14:paraId="72F66DE0" w14:textId="77777777" w:rsidR="00FA409A" w:rsidRPr="00E45979" w:rsidRDefault="00FA409A" w:rsidP="00FA409A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E2166B" w14:textId="77777777" w:rsidR="00FA409A" w:rsidRPr="00E45979" w:rsidRDefault="00FA409A" w:rsidP="00FA409A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E45979">
              <w:rPr>
                <w:rFonts w:eastAsia="Calibri"/>
                <w:bdr w:val="none" w:sz="0" w:space="0" w:color="auto" w:frame="1"/>
                <w:lang w:eastAsia="en-US"/>
              </w:rPr>
              <w:t>1(v)</w:t>
            </w:r>
          </w:p>
        </w:tc>
        <w:tc>
          <w:tcPr>
            <w:tcW w:w="2904" w:type="dxa"/>
            <w:tcBorders>
              <w:bottom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830460" w14:textId="77777777" w:rsidR="00FA409A" w:rsidRPr="002C3DDE" w:rsidRDefault="00FA409A" w:rsidP="00FA409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>Jačanje digitalne povezanosti</w:t>
            </w:r>
          </w:p>
          <w:p w14:paraId="4B4BBA4E" w14:textId="77777777" w:rsidR="00FA409A" w:rsidRPr="002C3DDE" w:rsidRDefault="00FA409A" w:rsidP="00FA409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371D9A" w14:textId="77777777" w:rsidR="00FA409A" w:rsidRPr="002C3DDE" w:rsidRDefault="00FA409A" w:rsidP="00FA409A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2C3DDE">
              <w:rPr>
                <w:rFonts w:eastAsia="Calibri"/>
                <w:bdr w:val="none" w:sz="0" w:space="0" w:color="auto" w:frame="1"/>
                <w:lang w:eastAsia="en-US"/>
              </w:rPr>
              <w:t>Ministarstvo regionalnoga razvoja i fondova Europske unije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77598F" w14:textId="77777777" w:rsidR="00FA409A" w:rsidRPr="00E45979" w:rsidRDefault="00FA409A" w:rsidP="00FA409A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Središnja agencija za financiranje i ugovaranje programa i projekata Europske unije</w:t>
            </w:r>
          </w:p>
        </w:tc>
      </w:tr>
      <w:tr w:rsidR="008E56B4" w:rsidRPr="00E45979" w14:paraId="4F19D8AC" w14:textId="77777777" w:rsidTr="00DB7F34">
        <w:tc>
          <w:tcPr>
            <w:tcW w:w="1683" w:type="dxa"/>
            <w:tcBorders>
              <w:right w:val="single" w:sz="4" w:space="0" w:color="auto"/>
            </w:tcBorders>
          </w:tcPr>
          <w:p w14:paraId="23EFE83D" w14:textId="398AEC83" w:rsidR="008E56B4" w:rsidRPr="00E45979" w:rsidRDefault="008E56B4" w:rsidP="008E56B4">
            <w:pPr>
              <w:spacing w:after="200" w:line="276" w:lineRule="auto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E45979">
              <w:rPr>
                <w:rFonts w:eastAsia="Calibri"/>
                <w:bdr w:val="none" w:sz="0" w:space="0" w:color="auto" w:frame="1"/>
                <w:lang w:eastAsia="en-US"/>
              </w:rPr>
              <w:t>7. Potpora ulaganjima koj</w:t>
            </w:r>
            <w:r w:rsidR="00672BDD">
              <w:rPr>
                <w:rFonts w:eastAsia="Calibri"/>
                <w:bdr w:val="none" w:sz="0" w:space="0" w:color="auto" w:frame="1"/>
                <w:lang w:eastAsia="en-US"/>
              </w:rPr>
              <w:t>a</w:t>
            </w:r>
            <w:r w:rsidRPr="00E45979">
              <w:rPr>
                <w:rFonts w:eastAsia="Calibri"/>
                <w:bdr w:val="none" w:sz="0" w:space="0" w:color="auto" w:frame="1"/>
                <w:lang w:eastAsia="en-US"/>
              </w:rPr>
              <w:t xml:space="preserve"> doprinose razvoju i proizvodnji STEP tehnologija</w:t>
            </w:r>
          </w:p>
        </w:tc>
        <w:tc>
          <w:tcPr>
            <w:tcW w:w="1432" w:type="dxa"/>
            <w:tcBorders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AD2721" w14:textId="22B0F69A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E45979">
              <w:rPr>
                <w:rFonts w:eastAsia="Calibri"/>
                <w:bdr w:val="none" w:sz="0" w:space="0" w:color="auto" w:frame="1"/>
                <w:lang w:eastAsia="en-US"/>
              </w:rPr>
              <w:t>1 (vi)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C2F4F5" w14:textId="79F1396C" w:rsidR="008E56B4" w:rsidRPr="002C3DDE" w:rsidRDefault="008E56B4" w:rsidP="008E56B4">
            <w:pPr>
              <w:spacing w:after="200" w:line="276" w:lineRule="auto"/>
              <w:rPr>
                <w:rFonts w:eastAsia="Calibri"/>
                <w:lang w:eastAsia="en-US"/>
              </w:rPr>
            </w:pPr>
            <w:bookmarkStart w:id="4" w:name="_Hlk220917523"/>
            <w:r w:rsidRPr="002C3DDE">
              <w:rPr>
                <w:rFonts w:eastAsia="Calibri"/>
                <w:lang w:eastAsia="en-US"/>
              </w:rPr>
              <w:t>Potpora ulaganjima koja doprinose ciljevima Platforme za strateške tehnologije za Europu (STEP) iz članka 2. Uredbe (EU) 2024/795 Europskog parlamenta i Vijeća (EFRR)</w:t>
            </w:r>
            <w:bookmarkEnd w:id="4"/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34EF61" w14:textId="45CE5BEF" w:rsidR="008E56B4" w:rsidRPr="002C3DDE" w:rsidRDefault="008E56B4" w:rsidP="008E56B4">
            <w:pPr>
              <w:spacing w:after="200" w:line="276" w:lineRule="auto"/>
              <w:jc w:val="both"/>
              <w:rPr>
                <w:lang w:eastAsia="en-US"/>
              </w:rPr>
            </w:pPr>
            <w:r w:rsidRPr="002C3DDE">
              <w:rPr>
                <w:lang w:eastAsia="en-US"/>
              </w:rPr>
              <w:t>Ministarstvo gospodarstva</w:t>
            </w:r>
          </w:p>
          <w:p w14:paraId="27D01B8E" w14:textId="77777777" w:rsidR="008E56B4" w:rsidRPr="002C3DDE" w:rsidRDefault="008E56B4" w:rsidP="008E56B4">
            <w:pPr>
              <w:spacing w:after="200" w:line="276" w:lineRule="auto"/>
              <w:jc w:val="both"/>
              <w:rPr>
                <w:lang w:eastAsia="en-US"/>
              </w:rPr>
            </w:pPr>
            <w:r w:rsidRPr="002C3DDE">
              <w:rPr>
                <w:lang w:eastAsia="en-US"/>
              </w:rPr>
              <w:t>Ministarstvo regionalnoga razvoja i fondova Europske unije</w:t>
            </w:r>
          </w:p>
          <w:p w14:paraId="383C17EC" w14:textId="77777777" w:rsidR="008E56B4" w:rsidRPr="002C3DDE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BDDCB7" w14:textId="77777777" w:rsidR="008E56B4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Središnja agencija za financiranje i ugovaranje programa i projekata Europske unije</w:t>
            </w:r>
          </w:p>
          <w:p w14:paraId="746E860F" w14:textId="0FC95949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Hrvatska agencija za malo gospodarstvo, inovacije i investicije</w:t>
            </w:r>
          </w:p>
        </w:tc>
      </w:tr>
      <w:tr w:rsidR="008E56B4" w:rsidRPr="00E45979" w14:paraId="333F0E0A" w14:textId="77777777" w:rsidTr="00223649">
        <w:trPr>
          <w:trHeight w:val="1435"/>
        </w:trPr>
        <w:tc>
          <w:tcPr>
            <w:tcW w:w="9209" w:type="dxa"/>
            <w:gridSpan w:val="5"/>
            <w:tcBorders>
              <w:bottom w:val="single" w:sz="4" w:space="0" w:color="auto"/>
            </w:tcBorders>
          </w:tcPr>
          <w:p w14:paraId="7804E454" w14:textId="77777777" w:rsidR="008E56B4" w:rsidRPr="002C3DDE" w:rsidRDefault="008E56B4" w:rsidP="008E56B4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2C3DDE">
              <w:rPr>
                <w:rFonts w:eastAsia="Calibri"/>
                <w:b/>
                <w:lang w:eastAsia="en-US"/>
              </w:rPr>
              <w:t>Cilj politike 2</w:t>
            </w:r>
          </w:p>
          <w:p w14:paraId="6EB86672" w14:textId="77777777" w:rsidR="008E56B4" w:rsidRPr="002C3DDE" w:rsidRDefault="008E56B4" w:rsidP="008E56B4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C3DDE">
              <w:rPr>
                <w:rFonts w:eastAsia="Calibri"/>
                <w:b/>
                <w:bCs/>
                <w:lang w:eastAsia="en-US"/>
              </w:rPr>
              <w:t>Zelenija, otporna Europa s niskom razinom emisija ugljika koja prelazi na gospodarstvo s nultom neto stopom emisija ugljika promicanjem prijelaza na čistu i pravednu energiju, zelenih i plavih ulaganja, kružnoga gospodarstva, prilagodbe klimatskim promjenama i ublažavanja klimatskih promjena, upravljanja rizikom i njegova sprječavanja te održive gradske mobilnosti</w:t>
            </w:r>
          </w:p>
        </w:tc>
      </w:tr>
      <w:tr w:rsidR="008E56B4" w:rsidRPr="00E45979" w14:paraId="438F0BD5" w14:textId="77777777" w:rsidTr="00223649">
        <w:trPr>
          <w:trHeight w:val="1356"/>
        </w:trPr>
        <w:tc>
          <w:tcPr>
            <w:tcW w:w="1683" w:type="dxa"/>
          </w:tcPr>
          <w:p w14:paraId="150A5B65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  <w:p w14:paraId="4960E94A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  <w:p w14:paraId="25E28D2F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Prioritet</w:t>
            </w:r>
          </w:p>
        </w:tc>
        <w:tc>
          <w:tcPr>
            <w:tcW w:w="143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4EFA9E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Oznaka</w:t>
            </w:r>
            <w:r w:rsidRPr="00E45979">
              <w:rPr>
                <w:rFonts w:eastAsia="Calibri"/>
                <w:lang w:eastAsia="en-US"/>
              </w:rPr>
              <w:br/>
              <w:t>specifičnog cilja (OSC)</w:t>
            </w:r>
          </w:p>
        </w:tc>
        <w:tc>
          <w:tcPr>
            <w:tcW w:w="290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F18898" w14:textId="77777777" w:rsidR="008E56B4" w:rsidRPr="002C3DDE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>Naziv specifičnog cilja</w:t>
            </w:r>
          </w:p>
        </w:tc>
        <w:tc>
          <w:tcPr>
            <w:tcW w:w="163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11F92D" w14:textId="77777777" w:rsidR="008E56B4" w:rsidRPr="002C3DDE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>Posredničko tijelo razine 1</w:t>
            </w:r>
          </w:p>
        </w:tc>
        <w:tc>
          <w:tcPr>
            <w:tcW w:w="155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90F18A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Posredničko tijelo razine 2</w:t>
            </w:r>
          </w:p>
        </w:tc>
      </w:tr>
      <w:tr w:rsidR="008E56B4" w:rsidRPr="00E45979" w14:paraId="1B5378DE" w14:textId="77777777" w:rsidTr="00223649">
        <w:trPr>
          <w:trHeight w:val="1404"/>
        </w:trPr>
        <w:tc>
          <w:tcPr>
            <w:tcW w:w="1683" w:type="dxa"/>
            <w:vMerge w:val="restart"/>
            <w:tcBorders>
              <w:right w:val="single" w:sz="4" w:space="0" w:color="auto"/>
            </w:tcBorders>
          </w:tcPr>
          <w:p w14:paraId="61C5B5E8" w14:textId="77777777" w:rsidR="008E56B4" w:rsidRPr="00E45979" w:rsidRDefault="008E56B4" w:rsidP="008E56B4">
            <w:pPr>
              <w:spacing w:after="200" w:line="276" w:lineRule="auto"/>
              <w:rPr>
                <w:rFonts w:eastAsia="Calibri"/>
                <w:bdr w:val="none" w:sz="0" w:space="0" w:color="auto" w:frame="1"/>
                <w:lang w:eastAsia="en-US"/>
              </w:rPr>
            </w:pPr>
          </w:p>
          <w:p w14:paraId="78E062B7" w14:textId="4E509A1A" w:rsidR="008E56B4" w:rsidRPr="00E45979" w:rsidRDefault="008E56B4" w:rsidP="008E56B4">
            <w:pPr>
              <w:spacing w:after="200" w:line="276" w:lineRule="auto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E45979">
              <w:rPr>
                <w:rFonts w:eastAsia="Calibri"/>
                <w:bdr w:val="none" w:sz="0" w:space="0" w:color="auto" w:frame="1"/>
                <w:lang w:eastAsia="en-US"/>
              </w:rPr>
              <w:t xml:space="preserve">3. Promicanje energetske učinkovitosti i obnovljivih </w:t>
            </w:r>
            <w:r w:rsidRPr="00E45979">
              <w:rPr>
                <w:rFonts w:eastAsia="Calibri"/>
                <w:bdr w:val="none" w:sz="0" w:space="0" w:color="auto" w:frame="1"/>
                <w:lang w:eastAsia="en-US"/>
              </w:rPr>
              <w:lastRenderedPageBreak/>
              <w:t>izvora energije, prilagodbe na klimatske promjene, sprječavanje rizika, zaštita okoliša i održivosti resursa</w:t>
            </w:r>
          </w:p>
          <w:p w14:paraId="5337F3BA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</w:p>
          <w:p w14:paraId="248DFA1E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</w:p>
          <w:p w14:paraId="75C118AD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</w:p>
          <w:p w14:paraId="0BDCA581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</w:p>
          <w:p w14:paraId="2AC5F4B2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</w:p>
          <w:p w14:paraId="0749184D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</w:p>
          <w:p w14:paraId="1A35E7F7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</w:p>
          <w:p w14:paraId="2110A5BB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</w:p>
          <w:p w14:paraId="16B2B6DA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</w:p>
          <w:p w14:paraId="611D7A59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EB882A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E45979">
              <w:rPr>
                <w:rFonts w:eastAsia="Calibri"/>
                <w:bdr w:val="none" w:sz="0" w:space="0" w:color="auto" w:frame="1"/>
                <w:lang w:eastAsia="en-US"/>
              </w:rPr>
              <w:lastRenderedPageBreak/>
              <w:t>2(i)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60D3994F" w14:textId="77777777" w:rsidR="008E56B4" w:rsidRPr="002C3DDE" w:rsidRDefault="008E56B4" w:rsidP="008E56B4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>Promicanje energetske učinkovitosti i smanjenje emisija stakleničkih plinova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AD54AD" w14:textId="7D275BC6" w:rsidR="008E56B4" w:rsidRPr="002C3DDE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 xml:space="preserve">Ministarstvo gospodarstva </w:t>
            </w:r>
          </w:p>
          <w:p w14:paraId="049636AF" w14:textId="77777777" w:rsidR="008E56B4" w:rsidRPr="002C3DDE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 xml:space="preserve">Ministarstvo prostornoga uređenja, </w:t>
            </w:r>
            <w:r w:rsidRPr="002C3DDE">
              <w:rPr>
                <w:rFonts w:eastAsia="Calibri"/>
                <w:lang w:eastAsia="en-US"/>
              </w:rPr>
              <w:lastRenderedPageBreak/>
              <w:t>graditeljstva i državne imovine</w:t>
            </w:r>
          </w:p>
          <w:p w14:paraId="11BC9624" w14:textId="77777777" w:rsidR="008E56B4" w:rsidRPr="002C3DDE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>Ministarstvo regionalnoga razvoja i fondova Europske unije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D8B042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lastRenderedPageBreak/>
              <w:t xml:space="preserve">Središnja agencija za financiranje i ugovaranje programa i projekata </w:t>
            </w:r>
            <w:r w:rsidRPr="00E45979">
              <w:rPr>
                <w:rFonts w:eastAsia="Calibri"/>
                <w:lang w:eastAsia="en-US"/>
              </w:rPr>
              <w:lastRenderedPageBreak/>
              <w:t>Europske unije</w:t>
            </w:r>
          </w:p>
          <w:p w14:paraId="2A9B869D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Hrvatska agencija za malo gospodarstvo, inovacije i investicije</w:t>
            </w:r>
          </w:p>
          <w:p w14:paraId="35EE8AE6" w14:textId="7A438853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Fond za zaštitu okoliša i energetsku učinkovitost</w:t>
            </w:r>
          </w:p>
        </w:tc>
      </w:tr>
      <w:tr w:rsidR="008E56B4" w:rsidRPr="00E45979" w14:paraId="2CA1ADB0" w14:textId="77777777" w:rsidTr="00223649">
        <w:trPr>
          <w:trHeight w:val="1491"/>
        </w:trPr>
        <w:tc>
          <w:tcPr>
            <w:tcW w:w="1683" w:type="dxa"/>
            <w:vMerge/>
            <w:tcBorders>
              <w:right w:val="single" w:sz="4" w:space="0" w:color="auto"/>
            </w:tcBorders>
          </w:tcPr>
          <w:p w14:paraId="6C5091EC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FAEA31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E45979">
              <w:rPr>
                <w:rFonts w:eastAsia="Calibri"/>
                <w:bdr w:val="none" w:sz="0" w:space="0" w:color="auto" w:frame="1"/>
                <w:lang w:eastAsia="en-US"/>
              </w:rPr>
              <w:t>2(ii)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59F74386" w14:textId="77777777" w:rsidR="008E56B4" w:rsidRPr="002C3DDE" w:rsidRDefault="008E56B4" w:rsidP="008E56B4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>Promicanje obnovljive energije u skladu s Direktivom (EU) 2018/2001, uključujući kriterije održivosti utvrđene u njoj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E650D4" w14:textId="69F8AC72" w:rsidR="008E56B4" w:rsidRPr="002C3DDE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 xml:space="preserve">Ministarstvo gospodarstva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B7DD77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Središnja agencija za financiranje i ugovaranje programa i projekata Europske unije</w:t>
            </w:r>
          </w:p>
          <w:p w14:paraId="774DDF27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Hrvatska agencija za malo gospodarstvo, inovacije i investicije</w:t>
            </w:r>
          </w:p>
          <w:p w14:paraId="33B7C8DE" w14:textId="0176D980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Fond za zaštitu okoliša i energetsku učinkovitost</w:t>
            </w:r>
          </w:p>
        </w:tc>
      </w:tr>
      <w:tr w:rsidR="008E56B4" w:rsidRPr="00E45979" w14:paraId="25B1731D" w14:textId="77777777" w:rsidTr="00223649">
        <w:trPr>
          <w:trHeight w:val="1465"/>
        </w:trPr>
        <w:tc>
          <w:tcPr>
            <w:tcW w:w="1683" w:type="dxa"/>
            <w:vMerge/>
            <w:tcBorders>
              <w:right w:val="single" w:sz="4" w:space="0" w:color="auto"/>
            </w:tcBorders>
          </w:tcPr>
          <w:p w14:paraId="519105E3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9BC435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E45979">
              <w:rPr>
                <w:rFonts w:eastAsia="Calibri"/>
                <w:bdr w:val="none" w:sz="0" w:space="0" w:color="auto" w:frame="1"/>
                <w:lang w:eastAsia="en-US"/>
              </w:rPr>
              <w:t>2(iii)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49C310ED" w14:textId="77777777" w:rsidR="008E56B4" w:rsidRPr="002C3DDE" w:rsidRDefault="008E56B4" w:rsidP="008E56B4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>Razvoj pametnih energetskih sustava, mreža i skladištenja izvan transeuropske energetske mreže ( TEN-E)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6D2E9C" w14:textId="03FC7273" w:rsidR="008E56B4" w:rsidRPr="002C3DDE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 xml:space="preserve">Ministarstvo gospodarstva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A200B3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Središnja agencija za financiranje i ugovaranje programa i projekata Europske unije</w:t>
            </w:r>
          </w:p>
          <w:p w14:paraId="10018755" w14:textId="4782C091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lastRenderedPageBreak/>
              <w:t>Fond za zaštitu okoliša i energetsku učinkovitost</w:t>
            </w:r>
          </w:p>
        </w:tc>
      </w:tr>
      <w:tr w:rsidR="008E56B4" w:rsidRPr="00E45979" w14:paraId="527942C3" w14:textId="77777777" w:rsidTr="00223649">
        <w:trPr>
          <w:trHeight w:val="1886"/>
        </w:trPr>
        <w:tc>
          <w:tcPr>
            <w:tcW w:w="1683" w:type="dxa"/>
            <w:vMerge/>
            <w:tcBorders>
              <w:right w:val="single" w:sz="4" w:space="0" w:color="auto"/>
            </w:tcBorders>
          </w:tcPr>
          <w:p w14:paraId="2399F1F5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E41659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E45979">
              <w:rPr>
                <w:rFonts w:eastAsia="Calibri"/>
                <w:bdr w:val="none" w:sz="0" w:space="0" w:color="auto" w:frame="1"/>
                <w:lang w:eastAsia="en-US"/>
              </w:rPr>
              <w:t>2(iv)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403A4613" w14:textId="77777777" w:rsidR="008E56B4" w:rsidRPr="002C3DDE" w:rsidRDefault="008E56B4" w:rsidP="008E56B4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>Promicanje prilagodbe klimatskim promjenama i, sprječavanje rizika od katastrofa te otpornosti, uzimajući u obzir pristupe temeljene na eko-sustavima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47CAFF" w14:textId="77777777" w:rsidR="008E56B4" w:rsidRPr="002C3DDE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>Ministarstvo zaštite okoliša i zelene tranzicije</w:t>
            </w:r>
          </w:p>
          <w:p w14:paraId="702B3C8A" w14:textId="77777777" w:rsidR="008E56B4" w:rsidRPr="002C3DDE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2C3DDE">
              <w:rPr>
                <w:lang w:eastAsia="en-US"/>
              </w:rPr>
              <w:t>Ministarstvo regionalnoga razvoja i fondova Europske unije</w:t>
            </w:r>
            <w:r w:rsidRPr="002C3DD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BE7324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Središnja agencija za financiranje i ugovaranje programa i projekata Europske unije</w:t>
            </w:r>
          </w:p>
          <w:p w14:paraId="0A9C04CE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Fond za zaštitu okoliša i energetsku učinkovitost</w:t>
            </w:r>
          </w:p>
          <w:p w14:paraId="36541368" w14:textId="4151CE9D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Hrvatske vode</w:t>
            </w:r>
          </w:p>
        </w:tc>
      </w:tr>
      <w:tr w:rsidR="008E56B4" w:rsidRPr="00E45979" w14:paraId="22E838B3" w14:textId="77777777" w:rsidTr="00223649">
        <w:trPr>
          <w:trHeight w:val="1207"/>
        </w:trPr>
        <w:tc>
          <w:tcPr>
            <w:tcW w:w="1683" w:type="dxa"/>
            <w:vMerge/>
            <w:tcBorders>
              <w:right w:val="single" w:sz="4" w:space="0" w:color="auto"/>
            </w:tcBorders>
          </w:tcPr>
          <w:p w14:paraId="110325B5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</w:p>
        </w:tc>
        <w:tc>
          <w:tcPr>
            <w:tcW w:w="1432" w:type="dxa"/>
            <w:tcBorders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CA55B0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E45979">
              <w:rPr>
                <w:rFonts w:eastAsia="Calibri"/>
                <w:bdr w:val="none" w:sz="0" w:space="0" w:color="auto" w:frame="1"/>
                <w:lang w:eastAsia="en-US"/>
              </w:rPr>
              <w:t>2(v)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2D461EF9" w14:textId="77777777" w:rsidR="008E56B4" w:rsidRPr="002C3DDE" w:rsidRDefault="008E56B4" w:rsidP="008E56B4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>Promicanje pristupa vodi i održivog upravljanja vodama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1F0EB8" w14:textId="771A7569" w:rsidR="008E56B4" w:rsidRPr="002C3DDE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 xml:space="preserve">Ministarstvo zaštite okoliša i zelene tranzicije </w:t>
            </w:r>
          </w:p>
          <w:p w14:paraId="2084A800" w14:textId="37767F45" w:rsidR="008E56B4" w:rsidRPr="002C3DDE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018BFE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Središnja agencija za financiranje i ugovaranje programa i projekata Europske unije</w:t>
            </w:r>
          </w:p>
          <w:p w14:paraId="1C2DC4EB" w14:textId="056FE8FB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Hrvatske vode</w:t>
            </w:r>
          </w:p>
        </w:tc>
      </w:tr>
      <w:tr w:rsidR="008E56B4" w:rsidRPr="00E45979" w14:paraId="6D88BA9D" w14:textId="77777777" w:rsidTr="00223649">
        <w:trPr>
          <w:trHeight w:val="1044"/>
        </w:trPr>
        <w:tc>
          <w:tcPr>
            <w:tcW w:w="1683" w:type="dxa"/>
            <w:vMerge/>
            <w:tcBorders>
              <w:right w:val="single" w:sz="4" w:space="0" w:color="auto"/>
            </w:tcBorders>
          </w:tcPr>
          <w:p w14:paraId="41D3EFE3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</w:p>
        </w:tc>
        <w:tc>
          <w:tcPr>
            <w:tcW w:w="1432" w:type="dxa"/>
            <w:tcBorders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A6AE87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E45979">
              <w:rPr>
                <w:rFonts w:eastAsia="Calibri"/>
                <w:bdr w:val="none" w:sz="0" w:space="0" w:color="auto" w:frame="1"/>
                <w:lang w:eastAsia="en-US"/>
              </w:rPr>
              <w:t>2(vi)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678273CA" w14:textId="77777777" w:rsidR="008E56B4" w:rsidRPr="002C3DDE" w:rsidRDefault="008E56B4" w:rsidP="008E56B4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>Promicanje prijelaza na kružno i resursno učinkovito gospodarstvo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A10B3D" w14:textId="4D172F56" w:rsidR="008E56B4" w:rsidRPr="002C3DDE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 xml:space="preserve">Ministarstvo zaštite okoliša i zelene tranzicije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9D4F9D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Središnja agencija za financiranje i ugovaranje programa i projekata Europske unije</w:t>
            </w:r>
          </w:p>
          <w:p w14:paraId="4738EA7E" w14:textId="5E043331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 xml:space="preserve">Fond za zaštitu okoliša </w:t>
            </w:r>
            <w:r w:rsidRPr="00E45979">
              <w:rPr>
                <w:rFonts w:eastAsia="Calibri"/>
                <w:lang w:eastAsia="en-US"/>
              </w:rPr>
              <w:lastRenderedPageBreak/>
              <w:t>i energetsku učinkovitost</w:t>
            </w:r>
          </w:p>
        </w:tc>
      </w:tr>
      <w:tr w:rsidR="008E56B4" w:rsidRPr="00E45979" w14:paraId="4A8D64C3" w14:textId="77777777" w:rsidTr="00223649">
        <w:trPr>
          <w:trHeight w:val="1210"/>
        </w:trPr>
        <w:tc>
          <w:tcPr>
            <w:tcW w:w="16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16C06E2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</w:p>
        </w:tc>
        <w:tc>
          <w:tcPr>
            <w:tcW w:w="1432" w:type="dxa"/>
            <w:tcBorders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50CAAB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E45979">
              <w:rPr>
                <w:rFonts w:eastAsia="Calibri"/>
                <w:bdr w:val="none" w:sz="0" w:space="0" w:color="auto" w:frame="1"/>
                <w:lang w:eastAsia="en-US"/>
              </w:rPr>
              <w:t>2(vii)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7BCF4B" w14:textId="77777777" w:rsidR="008E56B4" w:rsidRPr="002C3DDE" w:rsidRDefault="008E56B4" w:rsidP="008E56B4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>Jačanje zaštite i očuvanja prirode, bioraznolikosti i zelene infrastrukture, među ostalim i u urbanim područjima te smanjenje svih oblika onečišćenja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67246C" w14:textId="77777777" w:rsidR="008E56B4" w:rsidRPr="002C3DDE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>Ministarstvo zaštite okoliša i zelene tranzicije</w:t>
            </w:r>
          </w:p>
          <w:p w14:paraId="1ECC73E6" w14:textId="0D7FC931" w:rsidR="008E56B4" w:rsidRPr="002C3DDE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  <w:p w14:paraId="2486F794" w14:textId="77777777" w:rsidR="008E56B4" w:rsidRPr="002C3DDE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>Ministarstvo prostornoga uređenja, graditeljstva i državne imovine</w:t>
            </w:r>
          </w:p>
          <w:p w14:paraId="68D4A501" w14:textId="77777777" w:rsidR="008E56B4" w:rsidRPr="002C3DDE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>Ministarstvo regionalnoga razvoja i fondova Europske unije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D04DEA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Središnja agencija za financiranje i ugovaranje programa i projekata Europske unije</w:t>
            </w:r>
          </w:p>
          <w:p w14:paraId="40CB1910" w14:textId="0E49FDA0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Fond za zaštitu okoliša i energetsku učinkovitost</w:t>
            </w:r>
          </w:p>
        </w:tc>
      </w:tr>
      <w:tr w:rsidR="008E56B4" w:rsidRPr="00E45979" w14:paraId="1BB451E1" w14:textId="77777777" w:rsidTr="00223649">
        <w:tc>
          <w:tcPr>
            <w:tcW w:w="1683" w:type="dxa"/>
            <w:tcBorders>
              <w:right w:val="single" w:sz="4" w:space="0" w:color="auto"/>
            </w:tcBorders>
          </w:tcPr>
          <w:p w14:paraId="2D5F6089" w14:textId="37ED21EC" w:rsidR="008E56B4" w:rsidRPr="00E45979" w:rsidRDefault="008E56B4" w:rsidP="008E56B4">
            <w:pPr>
              <w:spacing w:after="200" w:line="276" w:lineRule="auto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E45979">
              <w:rPr>
                <w:rFonts w:eastAsia="Calibri"/>
                <w:bdr w:val="none" w:sz="0" w:space="0" w:color="auto" w:frame="1"/>
                <w:lang w:eastAsia="en-US"/>
              </w:rPr>
              <w:t xml:space="preserve">4. Razvoj održive multimodalne urbane </w:t>
            </w:r>
            <w:r w:rsidR="002C3DDE">
              <w:rPr>
                <w:rFonts w:eastAsia="Calibri"/>
                <w:bdr w:val="none" w:sz="0" w:space="0" w:color="auto" w:frame="1"/>
                <w:lang w:eastAsia="en-US"/>
              </w:rPr>
              <w:t>m</w:t>
            </w:r>
            <w:r w:rsidRPr="00325462">
              <w:rPr>
                <w:rFonts w:eastAsia="Calibri"/>
                <w:bdr w:val="none" w:sz="0" w:space="0" w:color="auto" w:frame="1"/>
                <w:lang w:eastAsia="en-US"/>
              </w:rPr>
              <w:t>obilnosti</w:t>
            </w:r>
            <w:r w:rsidRPr="00E45979">
              <w:rPr>
                <w:rFonts w:eastAsia="Calibri"/>
                <w:bdr w:val="none" w:sz="0" w:space="0" w:color="auto" w:frame="1"/>
                <w:lang w:eastAsia="en-US"/>
              </w:rPr>
              <w:t>, kao dio prijelaza na niskougljično gospodarstvo</w:t>
            </w:r>
          </w:p>
        </w:tc>
        <w:tc>
          <w:tcPr>
            <w:tcW w:w="1432" w:type="dxa"/>
            <w:tcBorders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073D7D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E45979">
              <w:rPr>
                <w:rFonts w:eastAsia="Calibri"/>
                <w:bdr w:val="none" w:sz="0" w:space="0" w:color="auto" w:frame="1"/>
                <w:lang w:eastAsia="en-US"/>
              </w:rPr>
              <w:t>2(viii)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13CEB676" w14:textId="77777777" w:rsidR="008E56B4" w:rsidRPr="002C3DDE" w:rsidRDefault="008E56B4" w:rsidP="008E56B4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>Promicanje održive multimodalne gradske mobilnosti kao dijela prijelaza na gospodarstvo s nultom neto stopom emisije ugljika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3A7C5E" w14:textId="77777777" w:rsidR="008E56B4" w:rsidRPr="002C3DDE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2C3DDE">
              <w:rPr>
                <w:rFonts w:eastAsia="Calibri"/>
                <w:bdr w:val="none" w:sz="0" w:space="0" w:color="auto" w:frame="1"/>
                <w:lang w:eastAsia="en-US"/>
              </w:rPr>
              <w:t>Ministarstvo mora, prometa i infrastrukture</w:t>
            </w:r>
          </w:p>
          <w:p w14:paraId="6AC2287E" w14:textId="7A561332" w:rsidR="008E56B4" w:rsidRPr="002C3DDE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 xml:space="preserve">Ministarstvo gospodarstva </w:t>
            </w:r>
          </w:p>
          <w:p w14:paraId="35985DD7" w14:textId="77777777" w:rsidR="008E56B4" w:rsidRPr="002C3DDE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2C3DDE">
              <w:rPr>
                <w:rFonts w:eastAsia="Calibri"/>
                <w:bdr w:val="none" w:sz="0" w:space="0" w:color="auto" w:frame="1"/>
                <w:lang w:eastAsia="en-US"/>
              </w:rPr>
              <w:t>Ministarstvo regionalnoga razvoja i fondova Europske unije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97D184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Središnja agencija za financiranje i ugovaranje programa i projekata Europske unije</w:t>
            </w:r>
          </w:p>
          <w:p w14:paraId="3154C272" w14:textId="2C4D667B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Fond za zaštitu okoliša i energetsku učinkovitost</w:t>
            </w:r>
          </w:p>
        </w:tc>
      </w:tr>
      <w:tr w:rsidR="008E56B4" w:rsidRPr="00E45979" w14:paraId="1A7F52AF" w14:textId="77777777" w:rsidTr="00223649">
        <w:trPr>
          <w:trHeight w:val="788"/>
        </w:trPr>
        <w:tc>
          <w:tcPr>
            <w:tcW w:w="9209" w:type="dxa"/>
            <w:gridSpan w:val="5"/>
          </w:tcPr>
          <w:p w14:paraId="6FB5DCA2" w14:textId="37EECA13" w:rsidR="008E56B4" w:rsidRPr="002C3DDE" w:rsidRDefault="008E56B4" w:rsidP="008E56B4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C3DDE">
              <w:rPr>
                <w:rFonts w:eastAsia="Calibri"/>
                <w:b/>
                <w:bCs/>
                <w:lang w:eastAsia="en-US"/>
              </w:rPr>
              <w:t>Cilj politike 3</w:t>
            </w:r>
          </w:p>
          <w:p w14:paraId="2EDE2006" w14:textId="77777777" w:rsidR="008E56B4" w:rsidRPr="002C3DDE" w:rsidRDefault="008E56B4" w:rsidP="008E56B4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C3DDE">
              <w:rPr>
                <w:rFonts w:eastAsia="Calibri"/>
                <w:b/>
                <w:bCs/>
                <w:lang w:eastAsia="en-US"/>
              </w:rPr>
              <w:t>Povezanija Europa jačanjem mobilnosti</w:t>
            </w:r>
          </w:p>
        </w:tc>
      </w:tr>
      <w:tr w:rsidR="008E56B4" w:rsidRPr="00E45979" w14:paraId="209BE7C3" w14:textId="77777777" w:rsidTr="00223649">
        <w:trPr>
          <w:trHeight w:val="1356"/>
        </w:trPr>
        <w:tc>
          <w:tcPr>
            <w:tcW w:w="1683" w:type="dxa"/>
          </w:tcPr>
          <w:p w14:paraId="2193C883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  <w:p w14:paraId="3D800143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  <w:p w14:paraId="72BD3F9A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Prioritet</w:t>
            </w:r>
          </w:p>
        </w:tc>
        <w:tc>
          <w:tcPr>
            <w:tcW w:w="143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3DF619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Oznaka</w:t>
            </w:r>
            <w:r w:rsidRPr="00E45979">
              <w:rPr>
                <w:rFonts w:eastAsia="Calibri"/>
                <w:lang w:eastAsia="en-US"/>
              </w:rPr>
              <w:br/>
              <w:t>specifičnog cilja (OSC)</w:t>
            </w:r>
          </w:p>
        </w:tc>
        <w:tc>
          <w:tcPr>
            <w:tcW w:w="290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17005D" w14:textId="77777777" w:rsidR="008E56B4" w:rsidRPr="002C3DDE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>Naziv specifičnog cilja</w:t>
            </w:r>
          </w:p>
        </w:tc>
        <w:tc>
          <w:tcPr>
            <w:tcW w:w="163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75BD1D" w14:textId="77777777" w:rsidR="008E56B4" w:rsidRPr="002C3DDE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>Posredničko tijelo razine 1</w:t>
            </w:r>
          </w:p>
        </w:tc>
        <w:tc>
          <w:tcPr>
            <w:tcW w:w="155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E4C664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Posredničko tijelo razine 2</w:t>
            </w:r>
          </w:p>
        </w:tc>
      </w:tr>
      <w:tr w:rsidR="008E56B4" w:rsidRPr="00E45979" w14:paraId="7849698D" w14:textId="77777777" w:rsidTr="00223649">
        <w:trPr>
          <w:trHeight w:val="1356"/>
        </w:trPr>
        <w:tc>
          <w:tcPr>
            <w:tcW w:w="1683" w:type="dxa"/>
            <w:vMerge w:val="restart"/>
          </w:tcPr>
          <w:p w14:paraId="1816D9DE" w14:textId="77777777" w:rsidR="008E56B4" w:rsidRPr="00E45979" w:rsidRDefault="008E56B4" w:rsidP="008E56B4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bdr w:val="none" w:sz="0" w:space="0" w:color="auto" w:frame="1"/>
                <w:lang w:eastAsia="en-US"/>
              </w:rPr>
              <w:t>5. Razvoj održive, pametne i sigurne mobilnosti</w:t>
            </w:r>
          </w:p>
        </w:tc>
        <w:tc>
          <w:tcPr>
            <w:tcW w:w="143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B0CBB3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E45979">
              <w:rPr>
                <w:rFonts w:eastAsia="Calibri"/>
                <w:bCs/>
                <w:lang w:eastAsia="en-US"/>
              </w:rPr>
              <w:t>3(i)</w:t>
            </w:r>
          </w:p>
        </w:tc>
        <w:tc>
          <w:tcPr>
            <w:tcW w:w="2904" w:type="dxa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7C8378C0" w14:textId="77777777" w:rsidR="008E56B4" w:rsidRPr="002C3DDE" w:rsidRDefault="008E56B4" w:rsidP="008E56B4">
            <w:pPr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2C3DDE">
              <w:rPr>
                <w:rFonts w:eastAsia="Calibri"/>
                <w:bCs/>
                <w:lang w:eastAsia="en-US"/>
              </w:rPr>
              <w:t>Razvoj pametne, sigurne, održive i intermodalne mreže TEN-T koja je otporna na klimatske promjene</w:t>
            </w:r>
          </w:p>
        </w:tc>
        <w:tc>
          <w:tcPr>
            <w:tcW w:w="163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BC5F13" w14:textId="77777777" w:rsidR="008E56B4" w:rsidRPr="002C3DDE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bdr w:val="none" w:sz="0" w:space="0" w:color="auto" w:frame="1"/>
                <w:lang w:eastAsia="en-US"/>
              </w:rPr>
              <w:t>Ministarstvo mora, prometa i infrastrukture</w:t>
            </w:r>
          </w:p>
        </w:tc>
        <w:tc>
          <w:tcPr>
            <w:tcW w:w="155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984987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Središnja agencija za financiranje i ugovaranje programa i projekata Europske unije</w:t>
            </w:r>
          </w:p>
        </w:tc>
      </w:tr>
      <w:tr w:rsidR="008E56B4" w:rsidRPr="00E45979" w14:paraId="2F852F46" w14:textId="77777777" w:rsidTr="00223649">
        <w:trPr>
          <w:trHeight w:val="1356"/>
        </w:trPr>
        <w:tc>
          <w:tcPr>
            <w:tcW w:w="1683" w:type="dxa"/>
            <w:vMerge/>
          </w:tcPr>
          <w:p w14:paraId="33633831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3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6F6DEC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E45979">
              <w:rPr>
                <w:rFonts w:eastAsia="Calibri"/>
                <w:bCs/>
                <w:lang w:eastAsia="en-US"/>
              </w:rPr>
              <w:t>3(ii)</w:t>
            </w:r>
          </w:p>
        </w:tc>
        <w:tc>
          <w:tcPr>
            <w:tcW w:w="290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D89A1A" w14:textId="77777777" w:rsidR="008E56B4" w:rsidRPr="002C3DDE" w:rsidRDefault="008E56B4" w:rsidP="008E56B4">
            <w:pPr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2C3DDE">
              <w:rPr>
                <w:rFonts w:eastAsia="Calibri"/>
                <w:bCs/>
                <w:lang w:eastAsia="en-US"/>
              </w:rPr>
              <w:t>Razvoj i jačanje održive, pametne i intermodalne nacionalne, regionalne i lokalne mobilnosti koja je otporna na klimatske promjene, među ostalim i poboljšanje pristupa mreži TEN-T i prekograničnoj mobilnosti</w:t>
            </w:r>
          </w:p>
        </w:tc>
        <w:tc>
          <w:tcPr>
            <w:tcW w:w="163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9CA719" w14:textId="77777777" w:rsidR="008E56B4" w:rsidRPr="002C3DDE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bdr w:val="none" w:sz="0" w:space="0" w:color="auto" w:frame="1"/>
                <w:lang w:eastAsia="en-US"/>
              </w:rPr>
              <w:t>Ministarstvo mora, prometa i infrastrukture</w:t>
            </w:r>
          </w:p>
        </w:tc>
        <w:tc>
          <w:tcPr>
            <w:tcW w:w="155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C32C3E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Središnja agencija za financiranje i ugovaranje programa i projekata Europske unije</w:t>
            </w:r>
          </w:p>
        </w:tc>
      </w:tr>
      <w:tr w:rsidR="008E56B4" w:rsidRPr="00E45979" w14:paraId="5E08DDC4" w14:textId="77777777" w:rsidTr="00223649">
        <w:trPr>
          <w:trHeight w:val="788"/>
        </w:trPr>
        <w:tc>
          <w:tcPr>
            <w:tcW w:w="9209" w:type="dxa"/>
            <w:gridSpan w:val="5"/>
          </w:tcPr>
          <w:p w14:paraId="237367B9" w14:textId="77777777" w:rsidR="008E56B4" w:rsidRPr="002C3DDE" w:rsidRDefault="008E56B4" w:rsidP="008E56B4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C3DDE">
              <w:rPr>
                <w:rFonts w:eastAsia="Calibri"/>
                <w:b/>
                <w:bCs/>
                <w:lang w:eastAsia="en-US"/>
              </w:rPr>
              <w:t>Cilj politike 4</w:t>
            </w:r>
          </w:p>
          <w:p w14:paraId="1D5EEF23" w14:textId="77777777" w:rsidR="008E56B4" w:rsidRPr="002C3DDE" w:rsidRDefault="008E56B4" w:rsidP="008E56B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b/>
                <w:bCs/>
                <w:lang w:eastAsia="en-US"/>
              </w:rPr>
              <w:t>Uključivija Europa s istaknutijom socijalnom komponentom provedbom europskog stupa socijalnih prava</w:t>
            </w:r>
          </w:p>
        </w:tc>
      </w:tr>
      <w:tr w:rsidR="008E56B4" w:rsidRPr="00E45979" w14:paraId="2083BC2E" w14:textId="77777777" w:rsidTr="00223649">
        <w:trPr>
          <w:trHeight w:val="1356"/>
        </w:trPr>
        <w:tc>
          <w:tcPr>
            <w:tcW w:w="1683" w:type="dxa"/>
          </w:tcPr>
          <w:p w14:paraId="1530900F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  <w:p w14:paraId="0313397D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  <w:p w14:paraId="13912011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Prioritet</w:t>
            </w:r>
          </w:p>
        </w:tc>
        <w:tc>
          <w:tcPr>
            <w:tcW w:w="143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87F3BC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Oznaka</w:t>
            </w:r>
            <w:r w:rsidRPr="00E45979">
              <w:rPr>
                <w:rFonts w:eastAsia="Calibri"/>
                <w:lang w:eastAsia="en-US"/>
              </w:rPr>
              <w:br/>
              <w:t>specifičnog cilja (OSC)</w:t>
            </w:r>
          </w:p>
        </w:tc>
        <w:tc>
          <w:tcPr>
            <w:tcW w:w="2904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9E4FB0" w14:textId="77777777" w:rsidR="008E56B4" w:rsidRPr="002C3DDE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>Naziv specifičnog cilja</w:t>
            </w:r>
          </w:p>
        </w:tc>
        <w:tc>
          <w:tcPr>
            <w:tcW w:w="163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63C4FE" w14:textId="77777777" w:rsidR="008E56B4" w:rsidRPr="002C3DDE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>Posredničko tijelo razine 1</w:t>
            </w:r>
          </w:p>
        </w:tc>
        <w:tc>
          <w:tcPr>
            <w:tcW w:w="155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8904A4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Posredničko tijelo razine 2</w:t>
            </w:r>
          </w:p>
        </w:tc>
      </w:tr>
      <w:tr w:rsidR="008E56B4" w:rsidRPr="00E45979" w14:paraId="2E06AF46" w14:textId="77777777" w:rsidTr="00223649">
        <w:tc>
          <w:tcPr>
            <w:tcW w:w="1683" w:type="dxa"/>
            <w:vMerge w:val="restart"/>
            <w:tcBorders>
              <w:right w:val="single" w:sz="4" w:space="0" w:color="auto"/>
            </w:tcBorders>
          </w:tcPr>
          <w:p w14:paraId="78D6F7D1" w14:textId="77777777" w:rsidR="008E56B4" w:rsidRPr="00E45979" w:rsidRDefault="008E56B4" w:rsidP="008E56B4">
            <w:pPr>
              <w:spacing w:after="200" w:line="276" w:lineRule="auto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E45979">
              <w:rPr>
                <w:rFonts w:eastAsia="Calibri"/>
                <w:bdr w:val="none" w:sz="0" w:space="0" w:color="auto" w:frame="1"/>
                <w:lang w:eastAsia="en-US"/>
              </w:rPr>
              <w:t xml:space="preserve">6. Jačanje zdravstvenog sustava promicanjem socijalnog uključivanja, obrazovanja i </w:t>
            </w:r>
            <w:r w:rsidRPr="00E45979">
              <w:rPr>
                <w:rFonts w:eastAsia="Calibri"/>
                <w:bdr w:val="none" w:sz="0" w:space="0" w:color="auto" w:frame="1"/>
                <w:lang w:eastAsia="en-US"/>
              </w:rPr>
              <w:lastRenderedPageBreak/>
              <w:t>cjeloživotnog učenja</w:t>
            </w:r>
          </w:p>
        </w:tc>
        <w:tc>
          <w:tcPr>
            <w:tcW w:w="1432" w:type="dxa"/>
            <w:tcBorders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EDF539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E45979">
              <w:rPr>
                <w:rFonts w:eastAsia="Calibri"/>
                <w:bdr w:val="none" w:sz="0" w:space="0" w:color="auto" w:frame="1"/>
                <w:lang w:eastAsia="en-US"/>
              </w:rPr>
              <w:lastRenderedPageBreak/>
              <w:t>4(ii)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E585EA" w14:textId="77777777" w:rsidR="008E56B4" w:rsidRPr="002C3DDE" w:rsidRDefault="008E56B4" w:rsidP="008E56B4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 xml:space="preserve">Poboljšanje jednakog pristupa uključivim i kvalitetnim uslugama obrazovanja, osposobljavanja i cjeloživotnog učenja kroz razvoj dostupne infrastrukture, jačanjem otpornosti obrazovanja i </w:t>
            </w:r>
            <w:r w:rsidRPr="002C3DDE">
              <w:rPr>
                <w:rFonts w:eastAsia="Calibri"/>
                <w:lang w:eastAsia="en-US"/>
              </w:rPr>
              <w:lastRenderedPageBreak/>
              <w:t>osposobljavanje na daljinu i na internetu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4F45AA" w14:textId="5F0FED70" w:rsidR="008E56B4" w:rsidRPr="002C3DDE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lastRenderedPageBreak/>
              <w:t>Ministarstvo znanosti</w:t>
            </w:r>
            <w:r w:rsidR="00805878" w:rsidRPr="002C3DDE">
              <w:rPr>
                <w:rFonts w:eastAsia="Calibri"/>
                <w:lang w:eastAsia="en-US"/>
              </w:rPr>
              <w:t xml:space="preserve">, </w:t>
            </w:r>
            <w:r w:rsidRPr="002C3DDE">
              <w:rPr>
                <w:rFonts w:eastAsia="Calibri"/>
                <w:lang w:eastAsia="en-US"/>
              </w:rPr>
              <w:t>obrazovanja</w:t>
            </w:r>
            <w:r w:rsidR="00805878" w:rsidRPr="002C3DDE">
              <w:rPr>
                <w:rFonts w:eastAsia="Calibri"/>
                <w:lang w:eastAsia="en-US"/>
              </w:rPr>
              <w:t xml:space="preserve"> i mladih</w:t>
            </w:r>
          </w:p>
          <w:p w14:paraId="24305490" w14:textId="77777777" w:rsidR="008E56B4" w:rsidRPr="002C3DDE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 xml:space="preserve">Ministarstvo regionalnoga razvoja i </w:t>
            </w:r>
            <w:r w:rsidRPr="002C3DDE">
              <w:rPr>
                <w:rFonts w:eastAsia="Calibri"/>
                <w:lang w:eastAsia="en-US"/>
              </w:rPr>
              <w:lastRenderedPageBreak/>
              <w:t>fondova Europske unije</w:t>
            </w:r>
          </w:p>
          <w:p w14:paraId="6D28EEED" w14:textId="77777777" w:rsidR="008E56B4" w:rsidRPr="002C3DDE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62F966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lastRenderedPageBreak/>
              <w:t>Središnja agencija za financiranje i ugovaranje programa i projekata Europske unije</w:t>
            </w:r>
          </w:p>
        </w:tc>
      </w:tr>
      <w:tr w:rsidR="008E56B4" w:rsidRPr="00E45979" w14:paraId="2B317450" w14:textId="77777777" w:rsidTr="00223649">
        <w:tc>
          <w:tcPr>
            <w:tcW w:w="1683" w:type="dxa"/>
            <w:vMerge/>
            <w:tcBorders>
              <w:right w:val="single" w:sz="4" w:space="0" w:color="auto"/>
            </w:tcBorders>
          </w:tcPr>
          <w:p w14:paraId="517ED583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D1EE91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E45979">
              <w:rPr>
                <w:rFonts w:eastAsia="Calibri"/>
                <w:bdr w:val="none" w:sz="0" w:space="0" w:color="auto" w:frame="1"/>
                <w:lang w:eastAsia="en-US"/>
              </w:rPr>
              <w:t>4(iii)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B9DA56" w14:textId="77777777" w:rsidR="008E56B4" w:rsidRPr="002C3DDE" w:rsidRDefault="008E56B4" w:rsidP="008E56B4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C3DDE">
              <w:rPr>
                <w:rFonts w:eastAsia="Calibri"/>
                <w:lang w:eastAsia="en-US"/>
              </w:rPr>
              <w:t>Promicanje socioekonomskog uključenja marginaliziranih zajednica, kućanstava s niskim dohotkom i skupina u nepovoljnom položaju, uključujući osobe s posebnim potrebama, kroz integrirane akcije, uključujući stanovanje i socijalne usluge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F9EEC8" w14:textId="77777777" w:rsidR="008E56B4" w:rsidRPr="002C3DDE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</w:p>
          <w:p w14:paraId="704A4AD1" w14:textId="77777777" w:rsidR="008E56B4" w:rsidRPr="002C3DDE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2C3DDE">
              <w:rPr>
                <w:lang w:eastAsia="en-US"/>
              </w:rPr>
              <w:t xml:space="preserve">Ministarstvo regionalnoga razvoja i fondova Europske unije </w:t>
            </w:r>
            <w:r w:rsidRPr="002C3DDE">
              <w:rPr>
                <w:rFonts w:eastAsia="Calibri"/>
                <w:lang w:eastAsia="en-US"/>
              </w:rPr>
              <w:t xml:space="preserve"> </w:t>
            </w:r>
            <w:r w:rsidRPr="002C3DDE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251DCC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Središnja agencija za financiranje i ugovaranje programa i projekata Europske unije</w:t>
            </w:r>
          </w:p>
          <w:p w14:paraId="43F50E46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8E56B4" w:rsidRPr="00E45979" w14:paraId="7EE65280" w14:textId="77777777" w:rsidTr="00223649">
        <w:tc>
          <w:tcPr>
            <w:tcW w:w="1683" w:type="dxa"/>
            <w:vMerge/>
            <w:tcBorders>
              <w:right w:val="single" w:sz="4" w:space="0" w:color="auto"/>
            </w:tcBorders>
          </w:tcPr>
          <w:p w14:paraId="2347F595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A52AC6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E45979">
              <w:rPr>
                <w:rFonts w:eastAsia="Calibri"/>
                <w:bdr w:val="none" w:sz="0" w:space="0" w:color="auto" w:frame="1"/>
                <w:lang w:eastAsia="en-US"/>
              </w:rPr>
              <w:t>4(v)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66B902" w14:textId="77777777" w:rsidR="008E56B4" w:rsidRPr="00E45979" w:rsidRDefault="008E56B4" w:rsidP="008E56B4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Osiguravanje jednakog pristupa zdravstvenoj skrbi i poticanje otpornosti zdravstvenih sustava, uključujući primarnu skrb, i promicanje prijelaza s institucionalne skrbi na skrb unutar obitelji i zajednice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D45BB6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E45979">
              <w:rPr>
                <w:lang w:eastAsia="en-US"/>
              </w:rPr>
              <w:t xml:space="preserve">Ministarstvo regionalnoga razvoja i fondova Europske unije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CF5B18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Središnja agencija za financiranje i ugovaranje programa i projekata Europske unije</w:t>
            </w:r>
          </w:p>
        </w:tc>
      </w:tr>
      <w:tr w:rsidR="008E56B4" w:rsidRPr="00E45979" w14:paraId="01AC413F" w14:textId="77777777" w:rsidTr="00223649">
        <w:tc>
          <w:tcPr>
            <w:tcW w:w="1683" w:type="dxa"/>
            <w:vMerge/>
            <w:tcBorders>
              <w:right w:val="single" w:sz="4" w:space="0" w:color="auto"/>
            </w:tcBorders>
          </w:tcPr>
          <w:p w14:paraId="64F7EDD6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6C15F8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E45979">
              <w:rPr>
                <w:rFonts w:eastAsia="Calibri"/>
                <w:bdr w:val="none" w:sz="0" w:space="0" w:color="auto" w:frame="1"/>
                <w:lang w:eastAsia="en-US"/>
              </w:rPr>
              <w:t>4(vi)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937BCC" w14:textId="77777777" w:rsidR="008E56B4" w:rsidRPr="00E45979" w:rsidRDefault="008E56B4" w:rsidP="008E56B4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Jačanje uloge kulture i održivog turizma u gospodarskom razvoju, socijalnoj uključenosti i socijalnim inovacijama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011D7E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bdr w:val="none" w:sz="0" w:space="0" w:color="auto" w:frame="1"/>
                <w:lang w:eastAsia="en-US"/>
              </w:rPr>
            </w:pPr>
            <w:r w:rsidRPr="00E45979">
              <w:rPr>
                <w:lang w:eastAsia="en-US"/>
              </w:rPr>
              <w:t xml:space="preserve">Ministarstvo regionalnoga razvoja i fondova Europske unije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D5698D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Središnja agencija za financiranje i ugovaranje programa i projekata Europske unije</w:t>
            </w:r>
          </w:p>
          <w:p w14:paraId="3B3F2CF3" w14:textId="77777777" w:rsidR="008E56B4" w:rsidRPr="00E45979" w:rsidRDefault="008E56B4" w:rsidP="008E56B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E45979">
              <w:rPr>
                <w:rFonts w:eastAsia="Calibri"/>
                <w:lang w:eastAsia="en-US"/>
              </w:rPr>
              <w:t>Hrvatska agencija za malo gospodarstvo, inovacije i investicije</w:t>
            </w:r>
          </w:p>
        </w:tc>
      </w:tr>
    </w:tbl>
    <w:p w14:paraId="1C8EB383" w14:textId="77777777" w:rsidR="00E1734E" w:rsidRPr="00E45979" w:rsidRDefault="00E1734E" w:rsidP="00E1734E">
      <w:pPr>
        <w:shd w:val="clear" w:color="auto" w:fill="FFFFFF"/>
        <w:spacing w:after="48"/>
        <w:jc w:val="both"/>
        <w:textAlignment w:val="baseline"/>
      </w:pPr>
    </w:p>
    <w:p w14:paraId="4B8E020E" w14:textId="3E7A6CA6" w:rsidR="002D4568" w:rsidRPr="00E45979" w:rsidRDefault="002D4568">
      <w:pPr>
        <w:rPr>
          <w:rFonts w:eastAsia="Calibri"/>
          <w:b/>
          <w:bCs/>
        </w:rPr>
      </w:pPr>
    </w:p>
    <w:p w14:paraId="5D60E515" w14:textId="6D009CD8" w:rsidR="00FA1A81" w:rsidRPr="00E45979" w:rsidRDefault="00FA1A81" w:rsidP="00FA1A81">
      <w:pPr>
        <w:spacing w:after="200" w:line="276" w:lineRule="auto"/>
        <w:jc w:val="center"/>
        <w:rPr>
          <w:rFonts w:eastAsia="Calibri"/>
          <w:b/>
          <w:bCs/>
        </w:rPr>
      </w:pPr>
      <w:r w:rsidRPr="00E45979">
        <w:rPr>
          <w:rFonts w:eastAsia="Calibri"/>
          <w:b/>
          <w:bCs/>
        </w:rPr>
        <w:t>Obrazloženje</w:t>
      </w:r>
    </w:p>
    <w:p w14:paraId="0911ED8C" w14:textId="750236E7" w:rsidR="00FA1A81" w:rsidRPr="00E45979" w:rsidRDefault="00FA1A81" w:rsidP="008D46F8">
      <w:pPr>
        <w:spacing w:after="200" w:line="276" w:lineRule="auto"/>
        <w:jc w:val="both"/>
        <w:rPr>
          <w:rFonts w:eastAsia="Calibri"/>
        </w:rPr>
      </w:pPr>
      <w:bookmarkStart w:id="5" w:name="_Hlk92107177"/>
      <w:r w:rsidRPr="00E45979">
        <w:rPr>
          <w:rFonts w:eastAsia="Calibri"/>
        </w:rPr>
        <w:t>Zakonom o institucionalnom okviru za korištenje fondova Europske unije u Republici Hrvatskoj (</w:t>
      </w:r>
      <w:r w:rsidR="00927338">
        <w:rPr>
          <w:rFonts w:eastAsia="Calibri"/>
        </w:rPr>
        <w:t>„</w:t>
      </w:r>
      <w:r w:rsidRPr="00E45979">
        <w:rPr>
          <w:rFonts w:eastAsia="Calibri"/>
        </w:rPr>
        <w:t>Narodne novine</w:t>
      </w:r>
      <w:r w:rsidR="00927338">
        <w:rPr>
          <w:rFonts w:eastAsia="Calibri"/>
        </w:rPr>
        <w:t>“</w:t>
      </w:r>
      <w:r w:rsidRPr="00E45979">
        <w:rPr>
          <w:rFonts w:eastAsia="Calibri"/>
        </w:rPr>
        <w:t>, br</w:t>
      </w:r>
      <w:r w:rsidR="00705A17" w:rsidRPr="00E45979">
        <w:rPr>
          <w:rFonts w:eastAsia="Calibri"/>
        </w:rPr>
        <w:t>oj</w:t>
      </w:r>
      <w:r w:rsidRPr="00E45979">
        <w:rPr>
          <w:rFonts w:eastAsia="Calibri"/>
        </w:rPr>
        <w:t xml:space="preserve"> 116/21.</w:t>
      </w:r>
      <w:r w:rsidR="00705A17" w:rsidRPr="00E45979">
        <w:t xml:space="preserve"> </w:t>
      </w:r>
      <w:r w:rsidR="00705A17" w:rsidRPr="00E45979">
        <w:rPr>
          <w:rFonts w:eastAsia="Calibri"/>
        </w:rPr>
        <w:t xml:space="preserve">i 31/25., </w:t>
      </w:r>
      <w:r w:rsidRPr="00E45979">
        <w:rPr>
          <w:rFonts w:eastAsia="Calibri"/>
        </w:rPr>
        <w:t xml:space="preserve"> u daljnjem tekstu: Zakon)</w:t>
      </w:r>
      <w:r w:rsidRPr="00E45979">
        <w:rPr>
          <w:rFonts w:eastAsia="Calibri"/>
          <w:lang w:eastAsia="en-US"/>
        </w:rPr>
        <w:t xml:space="preserve"> </w:t>
      </w:r>
      <w:r w:rsidRPr="00E45979">
        <w:rPr>
          <w:rFonts w:eastAsia="Calibri"/>
        </w:rPr>
        <w:t xml:space="preserve">uspostavljen je institucionalni okvir za korištenje fondova Europske unije u okviru podijeljenog upravljanja počevši od financijskog razdoblja 2021. – 2027. Spomenuti institucionalni okvir, </w:t>
      </w:r>
      <w:r w:rsidR="00705A17" w:rsidRPr="00E45979">
        <w:rPr>
          <w:rFonts w:eastAsia="Calibri"/>
        </w:rPr>
        <w:t>između</w:t>
      </w:r>
      <w:r w:rsidRPr="00E45979">
        <w:rPr>
          <w:rFonts w:eastAsia="Calibri"/>
        </w:rPr>
        <w:t xml:space="preserve"> ostalog, obuhvaća i programska tijela u Sustavu upravljanja i kontrole za provedbu programa iz područja konkurentnosti i kohezije za financijsko razdoblje 2021. – 2027. (u daljnjem tekstu: Sustav)</w:t>
      </w:r>
      <w:r w:rsidR="00705A17" w:rsidRPr="00E45979">
        <w:rPr>
          <w:rFonts w:eastAsia="Calibri"/>
        </w:rPr>
        <w:t xml:space="preserve">. Također, </w:t>
      </w:r>
      <w:r w:rsidRPr="00E45979">
        <w:rPr>
          <w:rFonts w:eastAsia="Calibri"/>
        </w:rPr>
        <w:t>Zakonom je propisano da programsko tijelo</w:t>
      </w:r>
      <w:r w:rsidRPr="00E45979">
        <w:rPr>
          <w:rFonts w:eastAsia="Calibri"/>
          <w:lang w:eastAsia="en-US"/>
        </w:rPr>
        <w:t xml:space="preserve"> </w:t>
      </w:r>
      <w:r w:rsidRPr="00E45979">
        <w:rPr>
          <w:rFonts w:eastAsia="Calibri"/>
        </w:rPr>
        <w:t>nadležno za upravljanje i kontrolu pojedinim programom, u skladu s mjerodavnim pravnim propisima Europske unije za pojedino financijsko razdoblje, može delegirati dio svojih funkcija na jedno ili više tijela, pri čemu navedeno programsko tijelo zadržava cjelokupnu odgovornost za upravljanje programom i obnašanje svih funkcija upravljačkih tijela. Vlada Republike Hrvatske uredbama će odrediti navedena tijela te razraditi njihove međusobne odnose, funkcije i odgovornosti u okviru pojedinog sustava upravljanja i kontrole.</w:t>
      </w:r>
    </w:p>
    <w:p w14:paraId="6DCC35A2" w14:textId="195FC170" w:rsidR="004B6B61" w:rsidRPr="002C3DDE" w:rsidRDefault="00050ECD" w:rsidP="008B4EC4">
      <w:pPr>
        <w:spacing w:after="200" w:line="276" w:lineRule="auto"/>
        <w:jc w:val="both"/>
        <w:rPr>
          <w:rFonts w:eastAsia="Calibri"/>
        </w:rPr>
      </w:pPr>
      <w:r w:rsidRPr="002C3DDE">
        <w:rPr>
          <w:rFonts w:eastAsia="Calibri"/>
        </w:rPr>
        <w:t>Kroz predložene izmjene</w:t>
      </w:r>
      <w:r w:rsidR="002858AD" w:rsidRPr="002C3DDE">
        <w:rPr>
          <w:rFonts w:eastAsia="Calibri"/>
        </w:rPr>
        <w:t xml:space="preserve"> i dopune</w:t>
      </w:r>
      <w:r w:rsidRPr="002C3DDE">
        <w:rPr>
          <w:rFonts w:eastAsia="Calibri"/>
        </w:rPr>
        <w:t xml:space="preserve"> </w:t>
      </w:r>
      <w:r w:rsidR="00221AB9" w:rsidRPr="002C3DDE">
        <w:rPr>
          <w:rFonts w:eastAsia="Calibri"/>
        </w:rPr>
        <w:t>U</w:t>
      </w:r>
      <w:r w:rsidRPr="002C3DDE">
        <w:rPr>
          <w:rFonts w:eastAsia="Calibri"/>
        </w:rPr>
        <w:t xml:space="preserve">redbe, a temeljem iskustva iz dosadašnje provedbe Programa konkurentnost i kohezija 2021. - 2027. </w:t>
      </w:r>
      <w:r w:rsidR="0089037D" w:rsidRPr="002C3DDE">
        <w:rPr>
          <w:rFonts w:eastAsia="Calibri"/>
        </w:rPr>
        <w:t xml:space="preserve">(u daljnjem tekstu: Program) </w:t>
      </w:r>
      <w:r w:rsidRPr="002C3DDE">
        <w:rPr>
          <w:rFonts w:eastAsia="Calibri"/>
        </w:rPr>
        <w:t xml:space="preserve">cilj je </w:t>
      </w:r>
      <w:r w:rsidR="003538AA" w:rsidRPr="002C3DDE">
        <w:rPr>
          <w:rFonts w:eastAsia="Calibri"/>
        </w:rPr>
        <w:t>optimizirati postupanje tijela</w:t>
      </w:r>
      <w:r w:rsidR="008B4EC4" w:rsidRPr="002C3DDE">
        <w:rPr>
          <w:rFonts w:eastAsia="Calibri"/>
        </w:rPr>
        <w:t xml:space="preserve"> Sustava Programa </w:t>
      </w:r>
      <w:r w:rsidR="004B6B61" w:rsidRPr="002C3DDE">
        <w:rPr>
          <w:rFonts w:eastAsia="Calibri"/>
        </w:rPr>
        <w:t xml:space="preserve">u dijelu aktivnosti </w:t>
      </w:r>
      <w:r w:rsidR="004F72F7" w:rsidRPr="002C3DDE">
        <w:rPr>
          <w:rFonts w:eastAsia="Calibri"/>
        </w:rPr>
        <w:t>vezan</w:t>
      </w:r>
      <w:r w:rsidR="00C92C3F" w:rsidRPr="002C3DDE">
        <w:rPr>
          <w:rFonts w:eastAsia="Calibri"/>
        </w:rPr>
        <w:t>ih</w:t>
      </w:r>
      <w:r w:rsidR="004F72F7" w:rsidRPr="002C3DDE">
        <w:rPr>
          <w:rFonts w:eastAsia="Calibri"/>
        </w:rPr>
        <w:t xml:space="preserve"> za odabir </w:t>
      </w:r>
      <w:r w:rsidR="00B64D46" w:rsidRPr="002C3DDE">
        <w:rPr>
          <w:rFonts w:eastAsia="Calibri"/>
        </w:rPr>
        <w:t>projektnih prijedloga i</w:t>
      </w:r>
      <w:r w:rsidR="008B4EC4" w:rsidRPr="002C3DDE">
        <w:rPr>
          <w:rFonts w:eastAsia="Calibri"/>
        </w:rPr>
        <w:t xml:space="preserve"> pripremanj</w:t>
      </w:r>
      <w:r w:rsidR="004F72F7" w:rsidRPr="002C3DDE">
        <w:rPr>
          <w:rFonts w:eastAsia="Calibri"/>
        </w:rPr>
        <w:t>e</w:t>
      </w:r>
      <w:r w:rsidR="008B4EC4" w:rsidRPr="002C3DDE">
        <w:rPr>
          <w:rFonts w:eastAsia="Calibri"/>
        </w:rPr>
        <w:t xml:space="preserve"> ugovora o dodjeli bespovratnih sredstava</w:t>
      </w:r>
      <w:r w:rsidR="00B64D46" w:rsidRPr="002C3DDE">
        <w:rPr>
          <w:rFonts w:eastAsia="Calibri"/>
        </w:rPr>
        <w:t xml:space="preserve">. </w:t>
      </w:r>
      <w:r w:rsidR="004F72F7" w:rsidRPr="002C3DDE">
        <w:rPr>
          <w:rFonts w:eastAsia="Calibri"/>
        </w:rPr>
        <w:t xml:space="preserve">Međusobna prava </w:t>
      </w:r>
      <w:r w:rsidR="0089037D" w:rsidRPr="002C3DDE">
        <w:rPr>
          <w:rFonts w:eastAsia="Calibri"/>
        </w:rPr>
        <w:t>i</w:t>
      </w:r>
      <w:r w:rsidR="004F72F7" w:rsidRPr="002C3DDE">
        <w:rPr>
          <w:rFonts w:eastAsia="Calibri"/>
        </w:rPr>
        <w:t xml:space="preserve"> obveze uređivat će se sukladno</w:t>
      </w:r>
      <w:r w:rsidR="00B64D46" w:rsidRPr="002C3DDE">
        <w:rPr>
          <w:rFonts w:eastAsia="Calibri"/>
        </w:rPr>
        <w:t xml:space="preserve"> kapacitetima </w:t>
      </w:r>
      <w:r w:rsidR="00B76748" w:rsidRPr="002C3DDE">
        <w:rPr>
          <w:rFonts w:eastAsia="Calibri"/>
        </w:rPr>
        <w:t>i specifičnim dostupnim kompetencijama posredničkog tijela razine 1 i posredničkog tijela razine 2</w:t>
      </w:r>
      <w:r w:rsidR="00993594" w:rsidRPr="002C3DDE">
        <w:rPr>
          <w:rFonts w:eastAsia="Calibri"/>
        </w:rPr>
        <w:t xml:space="preserve"> i to</w:t>
      </w:r>
      <w:r w:rsidR="00C1351D" w:rsidRPr="002C3DDE">
        <w:rPr>
          <w:rFonts w:eastAsia="Calibri"/>
        </w:rPr>
        <w:t xml:space="preserve"> pisanim putem, odnosno sklapanjem sporazuma s upravljačkim tijelom kao tijelom koje je o</w:t>
      </w:r>
      <w:r w:rsidR="00805878" w:rsidRPr="002C3DDE">
        <w:rPr>
          <w:rFonts w:eastAsia="Calibri"/>
        </w:rPr>
        <w:t>d</w:t>
      </w:r>
      <w:r w:rsidR="00C1351D" w:rsidRPr="002C3DDE">
        <w:rPr>
          <w:rFonts w:eastAsia="Calibri"/>
        </w:rPr>
        <w:t xml:space="preserve">govorno za provedbu </w:t>
      </w:r>
      <w:r w:rsidR="0089037D" w:rsidRPr="002C3DDE">
        <w:rPr>
          <w:rFonts w:eastAsia="Calibri"/>
        </w:rPr>
        <w:t>P</w:t>
      </w:r>
      <w:r w:rsidR="00C1351D" w:rsidRPr="002C3DDE">
        <w:rPr>
          <w:rFonts w:eastAsia="Calibri"/>
        </w:rPr>
        <w:t>rograma.</w:t>
      </w:r>
      <w:r w:rsidR="003538AA" w:rsidRPr="002C3DDE">
        <w:rPr>
          <w:rFonts w:eastAsia="Calibri"/>
        </w:rPr>
        <w:t xml:space="preserve"> Na opisani način, ostaje se u zadanim okvirima </w:t>
      </w:r>
      <w:r w:rsidR="00221AB9" w:rsidRPr="002C3DDE">
        <w:rPr>
          <w:rFonts w:eastAsia="Calibri"/>
        </w:rPr>
        <w:t xml:space="preserve">(Uredbom) </w:t>
      </w:r>
      <w:r w:rsidR="003538AA" w:rsidRPr="002C3DDE">
        <w:rPr>
          <w:rFonts w:eastAsia="Calibri"/>
        </w:rPr>
        <w:t>propisanih uloga, odgovornosti i aktivnosti svakog pojedinog tijela Sustava Programa, ali se omogućava da se za svaki specifični cilj, skupinu poziva</w:t>
      </w:r>
      <w:r w:rsidR="000B505C" w:rsidRPr="002C3DDE">
        <w:rPr>
          <w:rFonts w:eastAsia="Calibri"/>
        </w:rPr>
        <w:t>,</w:t>
      </w:r>
      <w:r w:rsidR="003538AA" w:rsidRPr="002C3DDE">
        <w:rPr>
          <w:rFonts w:eastAsia="Calibri"/>
        </w:rPr>
        <w:t xml:space="preserve"> ili pak </w:t>
      </w:r>
      <w:r w:rsidR="000B505C" w:rsidRPr="002C3DDE">
        <w:rPr>
          <w:rFonts w:eastAsia="Calibri"/>
        </w:rPr>
        <w:t xml:space="preserve">(pojedini) </w:t>
      </w:r>
      <w:r w:rsidR="003538AA" w:rsidRPr="002C3DDE">
        <w:rPr>
          <w:rFonts w:eastAsia="Calibri"/>
        </w:rPr>
        <w:t>poziv procijeni koje bi tijelo moglo optimalno provesti referent</w:t>
      </w:r>
      <w:r w:rsidR="00325462" w:rsidRPr="002C3DDE">
        <w:rPr>
          <w:rFonts w:eastAsia="Calibri"/>
        </w:rPr>
        <w:t>n</w:t>
      </w:r>
      <w:r w:rsidR="003538AA" w:rsidRPr="002C3DDE">
        <w:rPr>
          <w:rFonts w:eastAsia="Calibri"/>
        </w:rPr>
        <w:t xml:space="preserve">e aktivnosti. Takvo postupanje ne utječe na prijavitelje u postupcima dodjele bespovratnih sredstava ili korisnike tih sredstava, s obzirom da se ne odnosi na </w:t>
      </w:r>
      <w:r w:rsidR="00221AB9" w:rsidRPr="002C3DDE">
        <w:rPr>
          <w:rFonts w:eastAsia="Calibri"/>
        </w:rPr>
        <w:t xml:space="preserve">njihove </w:t>
      </w:r>
      <w:r w:rsidR="003538AA" w:rsidRPr="002C3DDE">
        <w:rPr>
          <w:rFonts w:eastAsia="Calibri"/>
        </w:rPr>
        <w:t xml:space="preserve">obveze u provedbi projekata, </w:t>
      </w:r>
      <w:r w:rsidR="000B505C" w:rsidRPr="002C3DDE">
        <w:rPr>
          <w:rFonts w:eastAsia="Calibri"/>
        </w:rPr>
        <w:t>odnosno</w:t>
      </w:r>
      <w:r w:rsidR="001762B9" w:rsidRPr="002C3DDE">
        <w:rPr>
          <w:rFonts w:eastAsia="Calibri"/>
        </w:rPr>
        <w:t xml:space="preserve"> na opisani način</w:t>
      </w:r>
      <w:r w:rsidR="00C92C3F" w:rsidRPr="002C3DDE">
        <w:rPr>
          <w:rFonts w:eastAsia="Calibri"/>
        </w:rPr>
        <w:t xml:space="preserve"> im se </w:t>
      </w:r>
      <w:r w:rsidR="000B505C" w:rsidRPr="002C3DDE">
        <w:rPr>
          <w:rFonts w:eastAsia="Calibri"/>
        </w:rPr>
        <w:t>ne nameću nove i/ili</w:t>
      </w:r>
      <w:r w:rsidR="003538AA" w:rsidRPr="002C3DDE">
        <w:rPr>
          <w:rFonts w:eastAsia="Calibri"/>
        </w:rPr>
        <w:t xml:space="preserve"> dodatne obveze</w:t>
      </w:r>
      <w:r w:rsidR="00221AB9" w:rsidRPr="002C3DDE">
        <w:rPr>
          <w:rFonts w:eastAsia="Calibri"/>
        </w:rPr>
        <w:t>.</w:t>
      </w:r>
    </w:p>
    <w:p w14:paraId="536A2871" w14:textId="1483B169" w:rsidR="001E2FA5" w:rsidRDefault="001E2FA5" w:rsidP="008B4EC4">
      <w:pPr>
        <w:spacing w:after="200" w:line="276" w:lineRule="auto"/>
        <w:jc w:val="both"/>
        <w:rPr>
          <w:rFonts w:eastAsia="Calibri"/>
        </w:rPr>
      </w:pPr>
      <w:r w:rsidRPr="002C3DDE">
        <w:rPr>
          <w:rFonts w:eastAsia="Calibri"/>
        </w:rPr>
        <w:t xml:space="preserve">Nadalje, kako bi se iskoristila specifična znanja i iskustva </w:t>
      </w:r>
      <w:r w:rsidR="00472DBA" w:rsidRPr="002C3DDE">
        <w:rPr>
          <w:rFonts w:eastAsia="Calibri"/>
        </w:rPr>
        <w:t xml:space="preserve">u provedbi programa iz </w:t>
      </w:r>
      <w:r w:rsidR="00BA19A8" w:rsidRPr="002C3DDE">
        <w:rPr>
          <w:rFonts w:eastAsia="Calibri"/>
        </w:rPr>
        <w:t>njihove</w:t>
      </w:r>
      <w:r w:rsidR="00466020" w:rsidRPr="002C3DDE">
        <w:rPr>
          <w:rFonts w:eastAsia="Calibri"/>
        </w:rPr>
        <w:t xml:space="preserve"> nadležnosti predlaže se uključivanje Fonda za zaštitu okoliša i energetsku učinkovitost te Hrvatskih voda </w:t>
      </w:r>
      <w:r w:rsidR="00DB63DC" w:rsidRPr="002C3DDE">
        <w:rPr>
          <w:rFonts w:eastAsia="Calibri"/>
        </w:rPr>
        <w:t>u ulozi</w:t>
      </w:r>
      <w:r w:rsidR="00466020" w:rsidRPr="002C3DDE">
        <w:rPr>
          <w:rFonts w:eastAsia="Calibri"/>
        </w:rPr>
        <w:t xml:space="preserve"> posredničkih tijela razine 2 u specifičnim ciljevima </w:t>
      </w:r>
      <w:r w:rsidR="002D482E" w:rsidRPr="002C3DDE">
        <w:rPr>
          <w:rFonts w:eastAsia="Calibri"/>
        </w:rPr>
        <w:t>povezanim</w:t>
      </w:r>
      <w:r w:rsidR="00DB63DC" w:rsidRPr="002C3DDE">
        <w:rPr>
          <w:rFonts w:eastAsia="Calibri"/>
        </w:rPr>
        <w:t>a</w:t>
      </w:r>
      <w:r w:rsidR="002D482E" w:rsidRPr="002C3DDE">
        <w:rPr>
          <w:rFonts w:eastAsia="Calibri"/>
        </w:rPr>
        <w:t xml:space="preserve"> </w:t>
      </w:r>
      <w:r w:rsidR="00DB63DC" w:rsidRPr="002C3DDE">
        <w:rPr>
          <w:rFonts w:eastAsia="Calibri"/>
        </w:rPr>
        <w:t>s</w:t>
      </w:r>
      <w:r w:rsidR="00050A78" w:rsidRPr="002C3DDE">
        <w:rPr>
          <w:rFonts w:eastAsia="Calibri"/>
        </w:rPr>
        <w:t xml:space="preserve"> područjima </w:t>
      </w:r>
      <w:r w:rsidR="002D482E" w:rsidRPr="002C3DDE">
        <w:rPr>
          <w:rFonts w:eastAsia="Calibri"/>
        </w:rPr>
        <w:t>u kojima provode i nacionalne programe</w:t>
      </w:r>
      <w:r w:rsidR="00D54AC6" w:rsidRPr="002C3DDE">
        <w:rPr>
          <w:rFonts w:eastAsia="Calibri"/>
        </w:rPr>
        <w:t xml:space="preserve">. </w:t>
      </w:r>
      <w:r w:rsidRPr="002C3DDE">
        <w:rPr>
          <w:rFonts w:eastAsia="Calibri"/>
        </w:rPr>
        <w:t>Riječ je o tijelima s prethodnim iskustvom u provedbi fondova Europske unije koja, po potrebi, mogu svojim kapacitetima</w:t>
      </w:r>
      <w:r w:rsidRPr="00E45979">
        <w:rPr>
          <w:rFonts w:eastAsia="Calibri"/>
        </w:rPr>
        <w:t xml:space="preserve"> doprinijeti povlačenju sredstava Europske unije. </w:t>
      </w:r>
    </w:p>
    <w:p w14:paraId="5102C650" w14:textId="7F6CABDC" w:rsidR="00C1351D" w:rsidRPr="00E45979" w:rsidRDefault="00C1351D" w:rsidP="008B4EC4">
      <w:pPr>
        <w:spacing w:after="200" w:line="276" w:lineRule="auto"/>
        <w:jc w:val="both"/>
        <w:rPr>
          <w:rFonts w:eastAsia="Calibri"/>
        </w:rPr>
      </w:pPr>
      <w:r>
        <w:rPr>
          <w:rFonts w:eastAsia="Calibri"/>
        </w:rPr>
        <w:t xml:space="preserve">S obzirom da je tijekom </w:t>
      </w:r>
      <w:r w:rsidR="00001F89">
        <w:rPr>
          <w:rFonts w:eastAsia="Calibri"/>
        </w:rPr>
        <w:t>provedbe Programa</w:t>
      </w:r>
      <w:r>
        <w:rPr>
          <w:rFonts w:eastAsia="Calibri"/>
        </w:rPr>
        <w:t xml:space="preserve"> utvrđeno da Ministarstvo regionalnoga razvoja i fondova Europske unije neće sudjelovati u provedbi Prioriteta </w:t>
      </w:r>
      <w:r w:rsidRPr="00C1351D">
        <w:rPr>
          <w:rFonts w:eastAsia="Calibri"/>
        </w:rPr>
        <w:t>3. Promicanje energetske učinkovitosti i obnovljivih izvora energije, prilagodbe na klimatske promjene, sprječavanje rizika, zaštita okoliša i održivosti resursa</w:t>
      </w:r>
      <w:r w:rsidR="00B06335">
        <w:rPr>
          <w:rFonts w:eastAsia="Calibri"/>
        </w:rPr>
        <w:t>,</w:t>
      </w:r>
      <w:r>
        <w:rPr>
          <w:rFonts w:eastAsia="Calibri"/>
        </w:rPr>
        <w:t xml:space="preserve"> specifičnog cilja 2(v) </w:t>
      </w:r>
      <w:r w:rsidR="00F27C31" w:rsidRPr="002C3DDE">
        <w:rPr>
          <w:rFonts w:eastAsia="Calibri"/>
          <w:lang w:eastAsia="en-US"/>
        </w:rPr>
        <w:t>Promicanje pristupa vodi i održivog upravljanja vodama</w:t>
      </w:r>
      <w:r>
        <w:rPr>
          <w:rFonts w:eastAsia="Calibri"/>
        </w:rPr>
        <w:t xml:space="preserve">, predlaže se u odnosu na navedeni prioritet, odnosno specifični cilj u ulozi posredničkog tijela razine 1 definirati samo </w:t>
      </w:r>
      <w:r w:rsidRPr="00C1351D">
        <w:rPr>
          <w:rFonts w:eastAsia="Calibri"/>
        </w:rPr>
        <w:t>Ministarstvo zaštite okoliša i zelene tranzicije</w:t>
      </w:r>
      <w:r>
        <w:rPr>
          <w:rFonts w:eastAsia="Calibri"/>
        </w:rPr>
        <w:t xml:space="preserve">. </w:t>
      </w:r>
      <w:r w:rsidR="008D650E">
        <w:rPr>
          <w:rFonts w:eastAsia="Calibri"/>
        </w:rPr>
        <w:t xml:space="preserve">Vezano za provedbu Prioriteta 1. </w:t>
      </w:r>
      <w:r w:rsidR="008D650E" w:rsidRPr="00E45979">
        <w:rPr>
          <w:rFonts w:eastAsia="Calibri"/>
          <w:bdr w:val="none" w:sz="0" w:space="0" w:color="auto" w:frame="1"/>
          <w:lang w:eastAsia="en-US"/>
        </w:rPr>
        <w:t>Jačanje gospodarstva ulaganjem u istraživanje i inovacije, podupiranjem poslovne konkurentnosti, digitalizacije i razvojem vještina za pametnu specijalizaciju</w:t>
      </w:r>
      <w:r w:rsidR="008D650E">
        <w:rPr>
          <w:rFonts w:eastAsia="Calibri"/>
          <w:bdr w:val="none" w:sz="0" w:space="0" w:color="auto" w:frame="1"/>
          <w:lang w:eastAsia="en-US"/>
        </w:rPr>
        <w:t xml:space="preserve">, specifičnog cilja 1(iii) </w:t>
      </w:r>
      <w:r w:rsidR="008D650E" w:rsidRPr="008D650E">
        <w:rPr>
          <w:rFonts w:eastAsia="Calibri"/>
          <w:bdr w:val="none" w:sz="0" w:space="0" w:color="auto" w:frame="1"/>
          <w:lang w:eastAsia="en-US"/>
        </w:rPr>
        <w:t xml:space="preserve">Jačanje održivog rasta i konkurentnosti MSP-ova i </w:t>
      </w:r>
      <w:r w:rsidR="008D650E" w:rsidRPr="008D650E">
        <w:rPr>
          <w:rFonts w:eastAsia="Calibri"/>
          <w:bdr w:val="none" w:sz="0" w:space="0" w:color="auto" w:frame="1"/>
          <w:lang w:eastAsia="en-US"/>
        </w:rPr>
        <w:lastRenderedPageBreak/>
        <w:t>otvaranje radnih mjesta u njima, među ostalim i kroz produktivna ulaganja</w:t>
      </w:r>
      <w:r w:rsidR="008D650E">
        <w:rPr>
          <w:rFonts w:eastAsia="Calibri"/>
          <w:bdr w:val="none" w:sz="0" w:space="0" w:color="auto" w:frame="1"/>
          <w:lang w:eastAsia="en-US"/>
        </w:rPr>
        <w:t>, predlaže se dodavanje Središnje agencije za financiranje i ugovaranje programa i projekata Europske unije kao posredničkog tijela razine 2 s obzirom na planirane pozive.</w:t>
      </w:r>
    </w:p>
    <w:p w14:paraId="78D03325" w14:textId="16D08D75" w:rsidR="00115D8B" w:rsidRDefault="008B4EC4" w:rsidP="00115D8B">
      <w:pPr>
        <w:spacing w:after="200" w:line="276" w:lineRule="auto"/>
        <w:jc w:val="both"/>
        <w:rPr>
          <w:rFonts w:eastAsia="Calibri"/>
        </w:rPr>
      </w:pPr>
      <w:r w:rsidRPr="00E45979">
        <w:rPr>
          <w:rFonts w:eastAsia="Calibri"/>
        </w:rPr>
        <w:t>Naposljetku, predloženim izmjenama odnosno dopunama usklađuje se lista prioriteta Programa s izmjenama regulatornog okvira Europske unije, kao i Programa. Tako se utvrđuju nadležna tijela Sustava u provedbi Prioriteta 7. Potpora ulaganjima koji doprinose razvoju i proizvodnji STEP tehnologija, specifičnog cilja 1 (vi) Potpora ulaganjima koja doprinose ciljevima Platforme za strateške tehnologije za Europu (STEP) iz članka 2. Uredbe (EU)</w:t>
      </w:r>
      <w:r w:rsidR="00115D8B" w:rsidRPr="00E45979">
        <w:rPr>
          <w:rFonts w:eastAsia="Calibri"/>
        </w:rPr>
        <w:t xml:space="preserve"> 2024/795 Europskog parlamenta i Vijeća (EFRR), sve u skladu s citiranom Uredbom Europske unije te izmjenama Programa koje su stupile na snagu. Kao nadležna tijela za predmetni prioritet određuju se </w:t>
      </w:r>
      <w:r w:rsidR="00C1351D">
        <w:rPr>
          <w:rFonts w:eastAsia="Calibri"/>
        </w:rPr>
        <w:t xml:space="preserve">Ministarstvo gospodarstva, </w:t>
      </w:r>
      <w:r w:rsidR="00115D8B" w:rsidRPr="00E45979">
        <w:rPr>
          <w:rFonts w:eastAsia="Calibri"/>
        </w:rPr>
        <w:t>Ministarstvo regionalnoga razvoja i fondova Europske unije</w:t>
      </w:r>
      <w:r w:rsidR="00C1351D">
        <w:rPr>
          <w:rFonts w:eastAsia="Calibri"/>
        </w:rPr>
        <w:t>, Središnja agencija za financiranje i ugovaranje programa i projekata Europske unije</w:t>
      </w:r>
      <w:r w:rsidR="00115D8B" w:rsidRPr="00E45979">
        <w:rPr>
          <w:rFonts w:eastAsia="Calibri"/>
        </w:rPr>
        <w:t xml:space="preserve"> i Hrvatska agencija za malo gospodarstvo, inovacije i investicije.</w:t>
      </w:r>
      <w:r w:rsidR="0050036F">
        <w:rPr>
          <w:rFonts w:eastAsia="Calibri"/>
        </w:rPr>
        <w:t xml:space="preserve"> </w:t>
      </w:r>
    </w:p>
    <w:p w14:paraId="643C5CCC" w14:textId="070A219E" w:rsidR="0050036F" w:rsidRPr="00E45979" w:rsidRDefault="0050036F" w:rsidP="00115D8B">
      <w:pPr>
        <w:spacing w:after="200" w:line="276" w:lineRule="auto"/>
        <w:jc w:val="both"/>
        <w:rPr>
          <w:rFonts w:eastAsia="Calibri"/>
        </w:rPr>
      </w:pPr>
      <w:r>
        <w:rPr>
          <w:rFonts w:eastAsia="Calibri"/>
        </w:rPr>
        <w:t>Institucije koje obavljaju ulogu posredničkog tijela razine 1 i posredničkog tijela razine 2 u okviru pojedinog prioriteta</w:t>
      </w:r>
      <w:r w:rsidR="00B06335">
        <w:rPr>
          <w:rFonts w:eastAsia="Calibri"/>
        </w:rPr>
        <w:t xml:space="preserve"> i</w:t>
      </w:r>
      <w:r>
        <w:rPr>
          <w:rFonts w:eastAsia="Calibri"/>
        </w:rPr>
        <w:t xml:space="preserve"> specifičnog cilja Programa</w:t>
      </w:r>
      <w:r w:rsidRPr="0050036F">
        <w:rPr>
          <w:rFonts w:eastAsia="Calibri"/>
        </w:rPr>
        <w:t xml:space="preserve"> </w:t>
      </w:r>
      <w:r>
        <w:rPr>
          <w:rFonts w:eastAsia="Calibri"/>
        </w:rPr>
        <w:t>utvrđuju se u</w:t>
      </w:r>
      <w:r w:rsidRPr="0050036F">
        <w:rPr>
          <w:rFonts w:eastAsia="Calibri"/>
        </w:rPr>
        <w:t xml:space="preserve"> tabličnom prikazu posredničkih tijela nadležnih prema izabranim specifičnim ciljevima.</w:t>
      </w:r>
      <w:r>
        <w:rPr>
          <w:rFonts w:eastAsia="Calibri"/>
        </w:rPr>
        <w:t xml:space="preserve"> S tim u vezi,  kako bi se osigurala preglednost i jednostavnija primjena propisa, predlaže se nomotehnički pristup</w:t>
      </w:r>
      <w:r w:rsidR="00B06335">
        <w:rPr>
          <w:rFonts w:eastAsia="Calibri"/>
        </w:rPr>
        <w:t>iti izmjenama i dopunama</w:t>
      </w:r>
      <w:r>
        <w:rPr>
          <w:rFonts w:eastAsia="Calibri"/>
        </w:rPr>
        <w:t xml:space="preserve"> na način da se predmetni tablični</w:t>
      </w:r>
      <w:r w:rsidR="0031787B">
        <w:rPr>
          <w:rFonts w:eastAsia="Calibri"/>
        </w:rPr>
        <w:t xml:space="preserve"> prikaz</w:t>
      </w:r>
      <w:r>
        <w:rPr>
          <w:rFonts w:eastAsia="Calibri"/>
        </w:rPr>
        <w:t xml:space="preserve"> izmijeni u cijelosti. </w:t>
      </w:r>
      <w:r w:rsidR="00B06335">
        <w:rPr>
          <w:rFonts w:eastAsia="Calibri"/>
        </w:rPr>
        <w:t xml:space="preserve">S obzirom na navedeno, </w:t>
      </w:r>
      <w:r w:rsidR="0031787B">
        <w:rPr>
          <w:rFonts w:eastAsia="Calibri"/>
        </w:rPr>
        <w:t>koristi se</w:t>
      </w:r>
      <w:r>
        <w:rPr>
          <w:rFonts w:eastAsia="Calibri"/>
        </w:rPr>
        <w:t xml:space="preserve"> prilika</w:t>
      </w:r>
      <w:r w:rsidR="009D705A">
        <w:rPr>
          <w:rFonts w:eastAsia="Calibri"/>
        </w:rPr>
        <w:t xml:space="preserve"> i </w:t>
      </w:r>
      <w:r>
        <w:rPr>
          <w:rFonts w:eastAsia="Calibri"/>
        </w:rPr>
        <w:t>tehnički uskladiti nazive ministarstava sa Zakonom o ustrojstvu i djelokrugu tijela državne uprave (</w:t>
      </w:r>
      <w:r w:rsidR="00927338">
        <w:rPr>
          <w:rFonts w:ascii="Minion Pro" w:hAnsi="Minion Pro"/>
          <w:shd w:val="clear" w:color="auto" w:fill="FFFFFF"/>
        </w:rPr>
        <w:t>„</w:t>
      </w:r>
      <w:r w:rsidRPr="00E45979">
        <w:t>Narodne novine</w:t>
      </w:r>
      <w:r w:rsidR="00927338">
        <w:rPr>
          <w:rFonts w:ascii="Minion Pro" w:hAnsi="Minion Pro"/>
          <w:shd w:val="clear" w:color="auto" w:fill="FFFFFF"/>
        </w:rPr>
        <w:t>“</w:t>
      </w:r>
      <w:r w:rsidR="003538AA">
        <w:rPr>
          <w:rFonts w:ascii="Minion Pro" w:hAnsi="Minion Pro"/>
          <w:shd w:val="clear" w:color="auto" w:fill="FFFFFF"/>
        </w:rPr>
        <w:t>,</w:t>
      </w:r>
      <w:r w:rsidRPr="00E45979">
        <w:t xml:space="preserve"> broj</w:t>
      </w:r>
      <w:r>
        <w:rPr>
          <w:rFonts w:eastAsia="Calibri"/>
        </w:rPr>
        <w:t xml:space="preserve"> 85/20., 21/23. i 57/24.)</w:t>
      </w:r>
      <w:r w:rsidR="0031787B">
        <w:rPr>
          <w:rFonts w:eastAsia="Calibri"/>
        </w:rPr>
        <w:t xml:space="preserve">. </w:t>
      </w:r>
    </w:p>
    <w:p w14:paraId="2C414A7A" w14:textId="6646FA5D" w:rsidR="00DB6324" w:rsidRPr="00E45979" w:rsidRDefault="00DB6324" w:rsidP="008B4EC4">
      <w:pPr>
        <w:spacing w:after="200" w:line="276" w:lineRule="auto"/>
        <w:jc w:val="both"/>
        <w:rPr>
          <w:rFonts w:eastAsia="Calibri"/>
        </w:rPr>
      </w:pPr>
    </w:p>
    <w:bookmarkEnd w:id="5"/>
    <w:p w14:paraId="01E2C208" w14:textId="77777777" w:rsidR="00FA1A81" w:rsidRPr="00E45979" w:rsidRDefault="00FA1A81" w:rsidP="00B26733">
      <w:pPr>
        <w:ind w:left="4956" w:firstLine="708"/>
        <w:rPr>
          <w:b/>
          <w:bCs/>
        </w:rPr>
      </w:pPr>
    </w:p>
    <w:sectPr w:rsidR="00FA1A81" w:rsidRPr="00E45979" w:rsidSect="00164513">
      <w:footerReference w:type="default" r:id="rId13"/>
      <w:pgSz w:w="11906" w:h="16838" w:code="9"/>
      <w:pgMar w:top="1134" w:right="1418" w:bottom="1247" w:left="1418" w:header="113" w:footer="709" w:gutter="0"/>
      <w:paperSrc w:firs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6AD81" w14:textId="77777777" w:rsidR="00BB3A57" w:rsidRDefault="00BB3A57" w:rsidP="00785FA3">
      <w:r>
        <w:separator/>
      </w:r>
    </w:p>
  </w:endnote>
  <w:endnote w:type="continuationSeparator" w:id="0">
    <w:p w14:paraId="6252EE7D" w14:textId="77777777" w:rsidR="00BB3A57" w:rsidRDefault="00BB3A57" w:rsidP="0078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7DE31" w14:textId="0E30CBCA" w:rsidR="00961373" w:rsidRDefault="0096137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4E4F6F">
      <w:rPr>
        <w:noProof/>
      </w:rPr>
      <w:t>1</w:t>
    </w:r>
    <w:r>
      <w:fldChar w:fldCharType="end"/>
    </w:r>
  </w:p>
  <w:p w14:paraId="30B3EDAC" w14:textId="77777777" w:rsidR="00961373" w:rsidRDefault="009613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58021" w14:textId="77777777" w:rsidR="00BB3A57" w:rsidRDefault="00BB3A57" w:rsidP="00785FA3">
      <w:r>
        <w:separator/>
      </w:r>
    </w:p>
  </w:footnote>
  <w:footnote w:type="continuationSeparator" w:id="0">
    <w:p w14:paraId="1A42088E" w14:textId="77777777" w:rsidR="00BB3A57" w:rsidRDefault="00BB3A57" w:rsidP="00785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1C11"/>
    <w:multiLevelType w:val="hybridMultilevel"/>
    <w:tmpl w:val="0C78A2FA"/>
    <w:lvl w:ilvl="0" w:tplc="9BB8667C">
      <w:start w:val="8"/>
      <w:numFmt w:val="bullet"/>
      <w:lvlText w:val="-"/>
      <w:lvlJc w:val="left"/>
      <w:pPr>
        <w:ind w:left="355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 w15:restartNumberingAfterBreak="0">
    <w:nsid w:val="05CD36DA"/>
    <w:multiLevelType w:val="hybridMultilevel"/>
    <w:tmpl w:val="E3586A08"/>
    <w:lvl w:ilvl="0" w:tplc="53E28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D580D"/>
    <w:multiLevelType w:val="hybridMultilevel"/>
    <w:tmpl w:val="43322D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C5BB4"/>
    <w:multiLevelType w:val="hybridMultilevel"/>
    <w:tmpl w:val="238E646E"/>
    <w:lvl w:ilvl="0" w:tplc="9BB8667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575E7"/>
    <w:multiLevelType w:val="hybridMultilevel"/>
    <w:tmpl w:val="EBAA6DB8"/>
    <w:lvl w:ilvl="0" w:tplc="9BB8667C">
      <w:start w:val="8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5D511F"/>
    <w:multiLevelType w:val="hybridMultilevel"/>
    <w:tmpl w:val="15549A26"/>
    <w:lvl w:ilvl="0" w:tplc="BC023F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63EC5"/>
    <w:multiLevelType w:val="hybridMultilevel"/>
    <w:tmpl w:val="11D0CAAE"/>
    <w:lvl w:ilvl="0" w:tplc="C95C4A34">
      <w:start w:val="1"/>
      <w:numFmt w:val="decimal"/>
      <w:lvlText w:val="%1."/>
      <w:lvlJc w:val="left"/>
      <w:pPr>
        <w:ind w:left="510" w:hanging="360"/>
      </w:pPr>
    </w:lvl>
    <w:lvl w:ilvl="1" w:tplc="041A0019">
      <w:start w:val="1"/>
      <w:numFmt w:val="lowerLetter"/>
      <w:lvlText w:val="%2."/>
      <w:lvlJc w:val="left"/>
      <w:pPr>
        <w:ind w:left="1230" w:hanging="360"/>
      </w:pPr>
    </w:lvl>
    <w:lvl w:ilvl="2" w:tplc="041A001B">
      <w:start w:val="1"/>
      <w:numFmt w:val="lowerRoman"/>
      <w:lvlText w:val="%3."/>
      <w:lvlJc w:val="right"/>
      <w:pPr>
        <w:ind w:left="1950" w:hanging="180"/>
      </w:pPr>
    </w:lvl>
    <w:lvl w:ilvl="3" w:tplc="041A000F">
      <w:start w:val="1"/>
      <w:numFmt w:val="decimal"/>
      <w:lvlText w:val="%4."/>
      <w:lvlJc w:val="left"/>
      <w:pPr>
        <w:ind w:left="2670" w:hanging="360"/>
      </w:pPr>
    </w:lvl>
    <w:lvl w:ilvl="4" w:tplc="041A0019">
      <w:start w:val="1"/>
      <w:numFmt w:val="lowerLetter"/>
      <w:lvlText w:val="%5."/>
      <w:lvlJc w:val="left"/>
      <w:pPr>
        <w:ind w:left="3390" w:hanging="360"/>
      </w:pPr>
    </w:lvl>
    <w:lvl w:ilvl="5" w:tplc="041A001B">
      <w:start w:val="1"/>
      <w:numFmt w:val="lowerRoman"/>
      <w:lvlText w:val="%6."/>
      <w:lvlJc w:val="right"/>
      <w:pPr>
        <w:ind w:left="4110" w:hanging="180"/>
      </w:pPr>
    </w:lvl>
    <w:lvl w:ilvl="6" w:tplc="041A000F">
      <w:start w:val="1"/>
      <w:numFmt w:val="decimal"/>
      <w:lvlText w:val="%7."/>
      <w:lvlJc w:val="left"/>
      <w:pPr>
        <w:ind w:left="4830" w:hanging="360"/>
      </w:pPr>
    </w:lvl>
    <w:lvl w:ilvl="7" w:tplc="041A0019">
      <w:start w:val="1"/>
      <w:numFmt w:val="lowerLetter"/>
      <w:lvlText w:val="%8."/>
      <w:lvlJc w:val="left"/>
      <w:pPr>
        <w:ind w:left="5550" w:hanging="360"/>
      </w:pPr>
    </w:lvl>
    <w:lvl w:ilvl="8" w:tplc="041A001B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1F39786C"/>
    <w:multiLevelType w:val="hybridMultilevel"/>
    <w:tmpl w:val="15085B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5763D"/>
    <w:multiLevelType w:val="hybridMultilevel"/>
    <w:tmpl w:val="217CD368"/>
    <w:lvl w:ilvl="0" w:tplc="3FD0A3C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A7F20"/>
    <w:multiLevelType w:val="hybridMultilevel"/>
    <w:tmpl w:val="909EA5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67FBE"/>
    <w:multiLevelType w:val="hybridMultilevel"/>
    <w:tmpl w:val="D3529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40132"/>
    <w:multiLevelType w:val="hybridMultilevel"/>
    <w:tmpl w:val="00D43DC6"/>
    <w:lvl w:ilvl="0" w:tplc="041A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84E82"/>
    <w:multiLevelType w:val="hybridMultilevel"/>
    <w:tmpl w:val="5A562C28"/>
    <w:lvl w:ilvl="0" w:tplc="BC4C4E76">
      <w:start w:val="8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65D72DC"/>
    <w:multiLevelType w:val="hybridMultilevel"/>
    <w:tmpl w:val="4AAC3BE0"/>
    <w:lvl w:ilvl="0" w:tplc="12EC3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93AD6"/>
    <w:multiLevelType w:val="hybridMultilevel"/>
    <w:tmpl w:val="C186E82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32361"/>
    <w:multiLevelType w:val="hybridMultilevel"/>
    <w:tmpl w:val="5AFCD886"/>
    <w:lvl w:ilvl="0" w:tplc="B6347260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B510A65"/>
    <w:multiLevelType w:val="hybridMultilevel"/>
    <w:tmpl w:val="226CF7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A1DB5"/>
    <w:multiLevelType w:val="multilevel"/>
    <w:tmpl w:val="5E7EA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B2C4393"/>
    <w:multiLevelType w:val="hybridMultilevel"/>
    <w:tmpl w:val="F1A61B6A"/>
    <w:lvl w:ilvl="0" w:tplc="041A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C6CAB"/>
    <w:multiLevelType w:val="hybridMultilevel"/>
    <w:tmpl w:val="58366B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C5139"/>
    <w:multiLevelType w:val="hybridMultilevel"/>
    <w:tmpl w:val="68EED1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3217B"/>
    <w:multiLevelType w:val="multilevel"/>
    <w:tmpl w:val="534E44D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4E1A046D"/>
    <w:multiLevelType w:val="hybridMultilevel"/>
    <w:tmpl w:val="E1E4A8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D60E3"/>
    <w:multiLevelType w:val="hybridMultilevel"/>
    <w:tmpl w:val="3034CB8C"/>
    <w:lvl w:ilvl="0" w:tplc="780493B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D0A0E"/>
    <w:multiLevelType w:val="hybridMultilevel"/>
    <w:tmpl w:val="F35E16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01303"/>
    <w:multiLevelType w:val="hybridMultilevel"/>
    <w:tmpl w:val="7366ACEE"/>
    <w:lvl w:ilvl="0" w:tplc="25DCF3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650E6"/>
    <w:multiLevelType w:val="hybridMultilevel"/>
    <w:tmpl w:val="58E2416A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5EA22E90"/>
    <w:multiLevelType w:val="multilevel"/>
    <w:tmpl w:val="93106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2D96601"/>
    <w:multiLevelType w:val="hybridMultilevel"/>
    <w:tmpl w:val="18E08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F626D"/>
    <w:multiLevelType w:val="multilevel"/>
    <w:tmpl w:val="CF522CC0"/>
    <w:lvl w:ilvl="0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0" w15:restartNumberingAfterBreak="0">
    <w:nsid w:val="66FE7D74"/>
    <w:multiLevelType w:val="hybridMultilevel"/>
    <w:tmpl w:val="2194A2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B23B5"/>
    <w:multiLevelType w:val="hybridMultilevel"/>
    <w:tmpl w:val="859E80F4"/>
    <w:lvl w:ilvl="0" w:tplc="C874B2E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81537"/>
    <w:multiLevelType w:val="multilevel"/>
    <w:tmpl w:val="40428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3931C2C"/>
    <w:multiLevelType w:val="hybridMultilevel"/>
    <w:tmpl w:val="0ED69EE0"/>
    <w:lvl w:ilvl="0" w:tplc="9BB8667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A6A59"/>
    <w:multiLevelType w:val="hybridMultilevel"/>
    <w:tmpl w:val="6EB486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C39C0"/>
    <w:multiLevelType w:val="hybridMultilevel"/>
    <w:tmpl w:val="F47E46C4"/>
    <w:lvl w:ilvl="0" w:tplc="924E559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62F81"/>
    <w:multiLevelType w:val="hybridMultilevel"/>
    <w:tmpl w:val="549C7A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17A75"/>
    <w:multiLevelType w:val="hybridMultilevel"/>
    <w:tmpl w:val="91304D26"/>
    <w:lvl w:ilvl="0" w:tplc="041A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29"/>
  </w:num>
  <w:num w:numId="4">
    <w:abstractNumId w:val="18"/>
  </w:num>
  <w:num w:numId="5">
    <w:abstractNumId w:val="11"/>
  </w:num>
  <w:num w:numId="6">
    <w:abstractNumId w:val="37"/>
  </w:num>
  <w:num w:numId="7">
    <w:abstractNumId w:val="13"/>
  </w:num>
  <w:num w:numId="8">
    <w:abstractNumId w:val="14"/>
  </w:num>
  <w:num w:numId="9">
    <w:abstractNumId w:val="7"/>
  </w:num>
  <w:num w:numId="10">
    <w:abstractNumId w:val="32"/>
  </w:num>
  <w:num w:numId="11">
    <w:abstractNumId w:val="1"/>
  </w:num>
  <w:num w:numId="12">
    <w:abstractNumId w:val="21"/>
  </w:num>
  <w:num w:numId="13">
    <w:abstractNumId w:val="16"/>
  </w:num>
  <w:num w:numId="14">
    <w:abstractNumId w:val="2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2"/>
  </w:num>
  <w:num w:numId="18">
    <w:abstractNumId w:val="19"/>
  </w:num>
  <w:num w:numId="19">
    <w:abstractNumId w:val="24"/>
  </w:num>
  <w:num w:numId="20">
    <w:abstractNumId w:val="28"/>
  </w:num>
  <w:num w:numId="21">
    <w:abstractNumId w:val="2"/>
  </w:num>
  <w:num w:numId="22">
    <w:abstractNumId w:val="10"/>
  </w:num>
  <w:num w:numId="23">
    <w:abstractNumId w:val="36"/>
  </w:num>
  <w:num w:numId="24">
    <w:abstractNumId w:val="30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0"/>
  </w:num>
  <w:num w:numId="28">
    <w:abstractNumId w:val="35"/>
  </w:num>
  <w:num w:numId="29">
    <w:abstractNumId w:val="15"/>
  </w:num>
  <w:num w:numId="30">
    <w:abstractNumId w:val="20"/>
  </w:num>
  <w:num w:numId="31">
    <w:abstractNumId w:val="34"/>
  </w:num>
  <w:num w:numId="32">
    <w:abstractNumId w:val="33"/>
  </w:num>
  <w:num w:numId="33">
    <w:abstractNumId w:val="3"/>
  </w:num>
  <w:num w:numId="34">
    <w:abstractNumId w:val="4"/>
  </w:num>
  <w:num w:numId="35">
    <w:abstractNumId w:val="26"/>
  </w:num>
  <w:num w:numId="36">
    <w:abstractNumId w:val="8"/>
  </w:num>
  <w:num w:numId="37">
    <w:abstractNumId w:val="23"/>
  </w:num>
  <w:num w:numId="38">
    <w:abstractNumId w:val="31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88"/>
    <w:rsid w:val="00001F89"/>
    <w:rsid w:val="000049EF"/>
    <w:rsid w:val="00006690"/>
    <w:rsid w:val="0000707C"/>
    <w:rsid w:val="000078BE"/>
    <w:rsid w:val="00010F9C"/>
    <w:rsid w:val="000120A7"/>
    <w:rsid w:val="00017434"/>
    <w:rsid w:val="0002040C"/>
    <w:rsid w:val="00020BC6"/>
    <w:rsid w:val="00027914"/>
    <w:rsid w:val="00027B71"/>
    <w:rsid w:val="00031E54"/>
    <w:rsid w:val="00032E45"/>
    <w:rsid w:val="000342CA"/>
    <w:rsid w:val="00037B48"/>
    <w:rsid w:val="00037E92"/>
    <w:rsid w:val="000432F3"/>
    <w:rsid w:val="000436EA"/>
    <w:rsid w:val="0004385B"/>
    <w:rsid w:val="0004404F"/>
    <w:rsid w:val="00045040"/>
    <w:rsid w:val="000455A2"/>
    <w:rsid w:val="00050A78"/>
    <w:rsid w:val="00050ECD"/>
    <w:rsid w:val="00052740"/>
    <w:rsid w:val="00052F5D"/>
    <w:rsid w:val="00053678"/>
    <w:rsid w:val="00054D52"/>
    <w:rsid w:val="00056A13"/>
    <w:rsid w:val="00056DC2"/>
    <w:rsid w:val="00070286"/>
    <w:rsid w:val="0007300C"/>
    <w:rsid w:val="00075012"/>
    <w:rsid w:val="00076B6F"/>
    <w:rsid w:val="00080307"/>
    <w:rsid w:val="0008356E"/>
    <w:rsid w:val="00093C22"/>
    <w:rsid w:val="000953D6"/>
    <w:rsid w:val="000955CC"/>
    <w:rsid w:val="00095DBF"/>
    <w:rsid w:val="000A0355"/>
    <w:rsid w:val="000A1EC7"/>
    <w:rsid w:val="000A27B6"/>
    <w:rsid w:val="000B505C"/>
    <w:rsid w:val="000B712E"/>
    <w:rsid w:val="000B7854"/>
    <w:rsid w:val="000C0486"/>
    <w:rsid w:val="000C22D8"/>
    <w:rsid w:val="000C7EF4"/>
    <w:rsid w:val="000D3243"/>
    <w:rsid w:val="000D40BF"/>
    <w:rsid w:val="000D6019"/>
    <w:rsid w:val="000D6649"/>
    <w:rsid w:val="000E01CC"/>
    <w:rsid w:val="000E3B6D"/>
    <w:rsid w:val="000E407B"/>
    <w:rsid w:val="000E4DAD"/>
    <w:rsid w:val="000F0609"/>
    <w:rsid w:val="000F3189"/>
    <w:rsid w:val="000F3807"/>
    <w:rsid w:val="000F7098"/>
    <w:rsid w:val="000F7623"/>
    <w:rsid w:val="00104104"/>
    <w:rsid w:val="00104B25"/>
    <w:rsid w:val="00107B14"/>
    <w:rsid w:val="00115D8B"/>
    <w:rsid w:val="00123A76"/>
    <w:rsid w:val="00124798"/>
    <w:rsid w:val="00125284"/>
    <w:rsid w:val="00132798"/>
    <w:rsid w:val="00132F6B"/>
    <w:rsid w:val="001338FD"/>
    <w:rsid w:val="0013518D"/>
    <w:rsid w:val="00136189"/>
    <w:rsid w:val="00137268"/>
    <w:rsid w:val="00147EB7"/>
    <w:rsid w:val="0015071E"/>
    <w:rsid w:val="00163DFA"/>
    <w:rsid w:val="00164513"/>
    <w:rsid w:val="00166E83"/>
    <w:rsid w:val="001675CD"/>
    <w:rsid w:val="0017019E"/>
    <w:rsid w:val="001762B9"/>
    <w:rsid w:val="00180B10"/>
    <w:rsid w:val="001826CC"/>
    <w:rsid w:val="0018324B"/>
    <w:rsid w:val="0019114D"/>
    <w:rsid w:val="00191942"/>
    <w:rsid w:val="001934D8"/>
    <w:rsid w:val="00194E35"/>
    <w:rsid w:val="00195DD7"/>
    <w:rsid w:val="0019616F"/>
    <w:rsid w:val="00197AA8"/>
    <w:rsid w:val="001A2AFC"/>
    <w:rsid w:val="001A2D72"/>
    <w:rsid w:val="001A3A49"/>
    <w:rsid w:val="001A3C2E"/>
    <w:rsid w:val="001B1072"/>
    <w:rsid w:val="001B23FA"/>
    <w:rsid w:val="001B3C3E"/>
    <w:rsid w:val="001B4CA6"/>
    <w:rsid w:val="001B58B4"/>
    <w:rsid w:val="001B6222"/>
    <w:rsid w:val="001B6DAE"/>
    <w:rsid w:val="001C1893"/>
    <w:rsid w:val="001C2B7B"/>
    <w:rsid w:val="001D4363"/>
    <w:rsid w:val="001E205F"/>
    <w:rsid w:val="001E2FA5"/>
    <w:rsid w:val="001E39AE"/>
    <w:rsid w:val="001E4377"/>
    <w:rsid w:val="001E787A"/>
    <w:rsid w:val="0020012D"/>
    <w:rsid w:val="002025DD"/>
    <w:rsid w:val="00204056"/>
    <w:rsid w:val="0020510A"/>
    <w:rsid w:val="00206738"/>
    <w:rsid w:val="0020676A"/>
    <w:rsid w:val="00206823"/>
    <w:rsid w:val="002079B9"/>
    <w:rsid w:val="002218D1"/>
    <w:rsid w:val="00221AB5"/>
    <w:rsid w:val="00221AB9"/>
    <w:rsid w:val="00231E9C"/>
    <w:rsid w:val="00234137"/>
    <w:rsid w:val="00234AFA"/>
    <w:rsid w:val="002374D0"/>
    <w:rsid w:val="00242074"/>
    <w:rsid w:val="00243A9D"/>
    <w:rsid w:val="002461AE"/>
    <w:rsid w:val="0025076F"/>
    <w:rsid w:val="00250F39"/>
    <w:rsid w:val="002521F6"/>
    <w:rsid w:val="002527FD"/>
    <w:rsid w:val="00255FF1"/>
    <w:rsid w:val="00256F2B"/>
    <w:rsid w:val="0027014E"/>
    <w:rsid w:val="002705C5"/>
    <w:rsid w:val="00275FD4"/>
    <w:rsid w:val="00277948"/>
    <w:rsid w:val="00280609"/>
    <w:rsid w:val="002808A7"/>
    <w:rsid w:val="002858AD"/>
    <w:rsid w:val="00285BEF"/>
    <w:rsid w:val="00286E4A"/>
    <w:rsid w:val="00294FFE"/>
    <w:rsid w:val="00295CB6"/>
    <w:rsid w:val="002968A5"/>
    <w:rsid w:val="002A22A1"/>
    <w:rsid w:val="002A3C41"/>
    <w:rsid w:val="002A46C0"/>
    <w:rsid w:val="002A554D"/>
    <w:rsid w:val="002A6EE2"/>
    <w:rsid w:val="002B0C71"/>
    <w:rsid w:val="002B447D"/>
    <w:rsid w:val="002B49F7"/>
    <w:rsid w:val="002B70B0"/>
    <w:rsid w:val="002C0453"/>
    <w:rsid w:val="002C23DA"/>
    <w:rsid w:val="002C23E9"/>
    <w:rsid w:val="002C3DDE"/>
    <w:rsid w:val="002C5E97"/>
    <w:rsid w:val="002C5EB4"/>
    <w:rsid w:val="002C76DB"/>
    <w:rsid w:val="002D028A"/>
    <w:rsid w:val="002D0913"/>
    <w:rsid w:val="002D2821"/>
    <w:rsid w:val="002D3B73"/>
    <w:rsid w:val="002D3FB6"/>
    <w:rsid w:val="002D4568"/>
    <w:rsid w:val="002D463B"/>
    <w:rsid w:val="002D482E"/>
    <w:rsid w:val="002D4D13"/>
    <w:rsid w:val="002D5317"/>
    <w:rsid w:val="002D54B1"/>
    <w:rsid w:val="002D6D00"/>
    <w:rsid w:val="002D79CA"/>
    <w:rsid w:val="002E04C8"/>
    <w:rsid w:val="002E3D31"/>
    <w:rsid w:val="002E4A47"/>
    <w:rsid w:val="002E796E"/>
    <w:rsid w:val="002F0A29"/>
    <w:rsid w:val="002F7E78"/>
    <w:rsid w:val="00300380"/>
    <w:rsid w:val="0030352F"/>
    <w:rsid w:val="00307B6D"/>
    <w:rsid w:val="0031787B"/>
    <w:rsid w:val="00317ED6"/>
    <w:rsid w:val="00324493"/>
    <w:rsid w:val="00325462"/>
    <w:rsid w:val="00330382"/>
    <w:rsid w:val="0033192A"/>
    <w:rsid w:val="00331D5F"/>
    <w:rsid w:val="00332E65"/>
    <w:rsid w:val="00335052"/>
    <w:rsid w:val="00342174"/>
    <w:rsid w:val="00345F6B"/>
    <w:rsid w:val="003531E0"/>
    <w:rsid w:val="003538AA"/>
    <w:rsid w:val="00355FE3"/>
    <w:rsid w:val="00356728"/>
    <w:rsid w:val="00364F65"/>
    <w:rsid w:val="0036582F"/>
    <w:rsid w:val="003661A2"/>
    <w:rsid w:val="0036649B"/>
    <w:rsid w:val="00366C32"/>
    <w:rsid w:val="00371738"/>
    <w:rsid w:val="003751BD"/>
    <w:rsid w:val="00375B32"/>
    <w:rsid w:val="0038027A"/>
    <w:rsid w:val="0038137A"/>
    <w:rsid w:val="00383FB5"/>
    <w:rsid w:val="00385682"/>
    <w:rsid w:val="00385BB9"/>
    <w:rsid w:val="00387C8B"/>
    <w:rsid w:val="003906EE"/>
    <w:rsid w:val="00390930"/>
    <w:rsid w:val="0039221B"/>
    <w:rsid w:val="00395F1A"/>
    <w:rsid w:val="003967E0"/>
    <w:rsid w:val="00396F2F"/>
    <w:rsid w:val="003A0173"/>
    <w:rsid w:val="003A234C"/>
    <w:rsid w:val="003B11D5"/>
    <w:rsid w:val="003B2763"/>
    <w:rsid w:val="003B3CD8"/>
    <w:rsid w:val="003B5376"/>
    <w:rsid w:val="003B5656"/>
    <w:rsid w:val="003C5763"/>
    <w:rsid w:val="003C761E"/>
    <w:rsid w:val="003C7F4A"/>
    <w:rsid w:val="003D0B72"/>
    <w:rsid w:val="003D4425"/>
    <w:rsid w:val="003D7297"/>
    <w:rsid w:val="003E33AB"/>
    <w:rsid w:val="003E53C0"/>
    <w:rsid w:val="003F1EC9"/>
    <w:rsid w:val="003F222F"/>
    <w:rsid w:val="003F3516"/>
    <w:rsid w:val="003F3676"/>
    <w:rsid w:val="003F370E"/>
    <w:rsid w:val="003F3874"/>
    <w:rsid w:val="003F440C"/>
    <w:rsid w:val="003F4DD5"/>
    <w:rsid w:val="004037B4"/>
    <w:rsid w:val="00415313"/>
    <w:rsid w:val="004229C6"/>
    <w:rsid w:val="00424BD4"/>
    <w:rsid w:val="004251A3"/>
    <w:rsid w:val="004263E5"/>
    <w:rsid w:val="00432305"/>
    <w:rsid w:val="004358DA"/>
    <w:rsid w:val="004437ED"/>
    <w:rsid w:val="004451FE"/>
    <w:rsid w:val="00447F1C"/>
    <w:rsid w:val="00456987"/>
    <w:rsid w:val="00456B7F"/>
    <w:rsid w:val="004614B1"/>
    <w:rsid w:val="0046356D"/>
    <w:rsid w:val="00465A02"/>
    <w:rsid w:val="00465EA5"/>
    <w:rsid w:val="00466020"/>
    <w:rsid w:val="00466BDB"/>
    <w:rsid w:val="004708F1"/>
    <w:rsid w:val="00472DBA"/>
    <w:rsid w:val="004755D6"/>
    <w:rsid w:val="00475FD5"/>
    <w:rsid w:val="004874AA"/>
    <w:rsid w:val="00496C41"/>
    <w:rsid w:val="004A1A4A"/>
    <w:rsid w:val="004A5D96"/>
    <w:rsid w:val="004A6EE2"/>
    <w:rsid w:val="004A7F1A"/>
    <w:rsid w:val="004B03A9"/>
    <w:rsid w:val="004B0637"/>
    <w:rsid w:val="004B1963"/>
    <w:rsid w:val="004B52E4"/>
    <w:rsid w:val="004B6B61"/>
    <w:rsid w:val="004C2347"/>
    <w:rsid w:val="004C5B8B"/>
    <w:rsid w:val="004C7A08"/>
    <w:rsid w:val="004C7AD5"/>
    <w:rsid w:val="004E0500"/>
    <w:rsid w:val="004E4F6F"/>
    <w:rsid w:val="004F01F1"/>
    <w:rsid w:val="004F11C1"/>
    <w:rsid w:val="004F37DB"/>
    <w:rsid w:val="004F69E5"/>
    <w:rsid w:val="004F72F7"/>
    <w:rsid w:val="0050036F"/>
    <w:rsid w:val="00506824"/>
    <w:rsid w:val="00511C97"/>
    <w:rsid w:val="00515EE3"/>
    <w:rsid w:val="00520874"/>
    <w:rsid w:val="00524DD6"/>
    <w:rsid w:val="0052619D"/>
    <w:rsid w:val="00526872"/>
    <w:rsid w:val="00527FD0"/>
    <w:rsid w:val="00531B13"/>
    <w:rsid w:val="00537B1B"/>
    <w:rsid w:val="00542E9E"/>
    <w:rsid w:val="00543D28"/>
    <w:rsid w:val="00550CFE"/>
    <w:rsid w:val="00550E5A"/>
    <w:rsid w:val="0055340C"/>
    <w:rsid w:val="00557DF7"/>
    <w:rsid w:val="005637AA"/>
    <w:rsid w:val="00567B31"/>
    <w:rsid w:val="00571FEE"/>
    <w:rsid w:val="00575BC4"/>
    <w:rsid w:val="00577E87"/>
    <w:rsid w:val="00584B9D"/>
    <w:rsid w:val="005870E3"/>
    <w:rsid w:val="005902D4"/>
    <w:rsid w:val="00591929"/>
    <w:rsid w:val="00591E90"/>
    <w:rsid w:val="005930F6"/>
    <w:rsid w:val="00593B21"/>
    <w:rsid w:val="00594091"/>
    <w:rsid w:val="00595564"/>
    <w:rsid w:val="00595912"/>
    <w:rsid w:val="005A5D19"/>
    <w:rsid w:val="005A676D"/>
    <w:rsid w:val="005B015B"/>
    <w:rsid w:val="005B0892"/>
    <w:rsid w:val="005B10F3"/>
    <w:rsid w:val="005B149D"/>
    <w:rsid w:val="005B6476"/>
    <w:rsid w:val="005D05D9"/>
    <w:rsid w:val="005D3E47"/>
    <w:rsid w:val="005E3FEA"/>
    <w:rsid w:val="005E57A1"/>
    <w:rsid w:val="005E79F6"/>
    <w:rsid w:val="00602870"/>
    <w:rsid w:val="00606709"/>
    <w:rsid w:val="0061164B"/>
    <w:rsid w:val="00611E0D"/>
    <w:rsid w:val="00616AE1"/>
    <w:rsid w:val="0061728C"/>
    <w:rsid w:val="00620297"/>
    <w:rsid w:val="00623586"/>
    <w:rsid w:val="00623D49"/>
    <w:rsid w:val="00626FC0"/>
    <w:rsid w:val="006336D5"/>
    <w:rsid w:val="00634C0A"/>
    <w:rsid w:val="00635C1F"/>
    <w:rsid w:val="006377C0"/>
    <w:rsid w:val="006377C4"/>
    <w:rsid w:val="006403B8"/>
    <w:rsid w:val="00640923"/>
    <w:rsid w:val="00643E17"/>
    <w:rsid w:val="0064737F"/>
    <w:rsid w:val="00652ACB"/>
    <w:rsid w:val="00654FCD"/>
    <w:rsid w:val="0065582E"/>
    <w:rsid w:val="00663DA6"/>
    <w:rsid w:val="00663E0F"/>
    <w:rsid w:val="00667EF6"/>
    <w:rsid w:val="00672BDD"/>
    <w:rsid w:val="006826D4"/>
    <w:rsid w:val="00685810"/>
    <w:rsid w:val="00686E3B"/>
    <w:rsid w:val="00690092"/>
    <w:rsid w:val="00693759"/>
    <w:rsid w:val="006A271F"/>
    <w:rsid w:val="006A2863"/>
    <w:rsid w:val="006A28AF"/>
    <w:rsid w:val="006A498D"/>
    <w:rsid w:val="006B6CF1"/>
    <w:rsid w:val="006B7AA4"/>
    <w:rsid w:val="006C2B8D"/>
    <w:rsid w:val="006C3ECD"/>
    <w:rsid w:val="006C4EBD"/>
    <w:rsid w:val="006C5696"/>
    <w:rsid w:val="006D1EE2"/>
    <w:rsid w:val="006D2ADC"/>
    <w:rsid w:val="006D3215"/>
    <w:rsid w:val="006E22E5"/>
    <w:rsid w:val="006E2EF9"/>
    <w:rsid w:val="006E781E"/>
    <w:rsid w:val="006F2477"/>
    <w:rsid w:val="006F45BD"/>
    <w:rsid w:val="006F711B"/>
    <w:rsid w:val="007003C6"/>
    <w:rsid w:val="007005D1"/>
    <w:rsid w:val="0070223D"/>
    <w:rsid w:val="0070460C"/>
    <w:rsid w:val="00705A17"/>
    <w:rsid w:val="0071195B"/>
    <w:rsid w:val="00714949"/>
    <w:rsid w:val="007151C6"/>
    <w:rsid w:val="007159A3"/>
    <w:rsid w:val="00716049"/>
    <w:rsid w:val="007162CB"/>
    <w:rsid w:val="00716C60"/>
    <w:rsid w:val="00720765"/>
    <w:rsid w:val="00723AB2"/>
    <w:rsid w:val="00723F92"/>
    <w:rsid w:val="007322D0"/>
    <w:rsid w:val="0073729F"/>
    <w:rsid w:val="007372E8"/>
    <w:rsid w:val="00741DC0"/>
    <w:rsid w:val="007431CF"/>
    <w:rsid w:val="00745A27"/>
    <w:rsid w:val="00751E5D"/>
    <w:rsid w:val="007532DB"/>
    <w:rsid w:val="00757B84"/>
    <w:rsid w:val="00763C66"/>
    <w:rsid w:val="00765616"/>
    <w:rsid w:val="00767533"/>
    <w:rsid w:val="007675E8"/>
    <w:rsid w:val="00771BF2"/>
    <w:rsid w:val="00773EF9"/>
    <w:rsid w:val="00774560"/>
    <w:rsid w:val="00775679"/>
    <w:rsid w:val="00782240"/>
    <w:rsid w:val="007822B8"/>
    <w:rsid w:val="0078524C"/>
    <w:rsid w:val="00785FA3"/>
    <w:rsid w:val="00791415"/>
    <w:rsid w:val="00797108"/>
    <w:rsid w:val="007A4821"/>
    <w:rsid w:val="007B01F4"/>
    <w:rsid w:val="007B7FE3"/>
    <w:rsid w:val="007C5A69"/>
    <w:rsid w:val="007D0447"/>
    <w:rsid w:val="007D05DF"/>
    <w:rsid w:val="007D1906"/>
    <w:rsid w:val="007D1C27"/>
    <w:rsid w:val="007D295A"/>
    <w:rsid w:val="007D40CA"/>
    <w:rsid w:val="007D6A2F"/>
    <w:rsid w:val="007D74AC"/>
    <w:rsid w:val="007E2540"/>
    <w:rsid w:val="007F043B"/>
    <w:rsid w:val="007F2C75"/>
    <w:rsid w:val="007F55F4"/>
    <w:rsid w:val="007F6629"/>
    <w:rsid w:val="007F669E"/>
    <w:rsid w:val="007F77BD"/>
    <w:rsid w:val="0080544E"/>
    <w:rsid w:val="00805878"/>
    <w:rsid w:val="00806CF8"/>
    <w:rsid w:val="008138DE"/>
    <w:rsid w:val="00813A00"/>
    <w:rsid w:val="00813CBA"/>
    <w:rsid w:val="008234DA"/>
    <w:rsid w:val="0082357C"/>
    <w:rsid w:val="00827620"/>
    <w:rsid w:val="00827839"/>
    <w:rsid w:val="008302FE"/>
    <w:rsid w:val="008312A4"/>
    <w:rsid w:val="00842DD7"/>
    <w:rsid w:val="00844CCC"/>
    <w:rsid w:val="008464D5"/>
    <w:rsid w:val="00852669"/>
    <w:rsid w:val="00870C45"/>
    <w:rsid w:val="0087715E"/>
    <w:rsid w:val="00881514"/>
    <w:rsid w:val="00886688"/>
    <w:rsid w:val="0089037D"/>
    <w:rsid w:val="0089133E"/>
    <w:rsid w:val="00894472"/>
    <w:rsid w:val="0089614C"/>
    <w:rsid w:val="008A237A"/>
    <w:rsid w:val="008B1001"/>
    <w:rsid w:val="008B121F"/>
    <w:rsid w:val="008B3126"/>
    <w:rsid w:val="008B4EC4"/>
    <w:rsid w:val="008B586B"/>
    <w:rsid w:val="008C5BB4"/>
    <w:rsid w:val="008C6BB3"/>
    <w:rsid w:val="008C6C55"/>
    <w:rsid w:val="008D186B"/>
    <w:rsid w:val="008D2F9A"/>
    <w:rsid w:val="008D46F8"/>
    <w:rsid w:val="008D4BAD"/>
    <w:rsid w:val="008D51FE"/>
    <w:rsid w:val="008D650E"/>
    <w:rsid w:val="008E56B4"/>
    <w:rsid w:val="008F10E3"/>
    <w:rsid w:val="008F4696"/>
    <w:rsid w:val="008F5DC0"/>
    <w:rsid w:val="008F7D6A"/>
    <w:rsid w:val="00905CAD"/>
    <w:rsid w:val="00911FAF"/>
    <w:rsid w:val="00912EBA"/>
    <w:rsid w:val="00913457"/>
    <w:rsid w:val="009171D8"/>
    <w:rsid w:val="00917C4C"/>
    <w:rsid w:val="00922046"/>
    <w:rsid w:val="00922DA3"/>
    <w:rsid w:val="009235A2"/>
    <w:rsid w:val="00926C59"/>
    <w:rsid w:val="00927338"/>
    <w:rsid w:val="009333B4"/>
    <w:rsid w:val="00934884"/>
    <w:rsid w:val="00936000"/>
    <w:rsid w:val="00944518"/>
    <w:rsid w:val="00944E1B"/>
    <w:rsid w:val="00952108"/>
    <w:rsid w:val="00953687"/>
    <w:rsid w:val="00955FCD"/>
    <w:rsid w:val="00961373"/>
    <w:rsid w:val="00966990"/>
    <w:rsid w:val="009677E5"/>
    <w:rsid w:val="00970EC1"/>
    <w:rsid w:val="0097293E"/>
    <w:rsid w:val="009750B7"/>
    <w:rsid w:val="00975683"/>
    <w:rsid w:val="0098255C"/>
    <w:rsid w:val="00983BC7"/>
    <w:rsid w:val="00984F68"/>
    <w:rsid w:val="00987E22"/>
    <w:rsid w:val="00990992"/>
    <w:rsid w:val="00993594"/>
    <w:rsid w:val="009966A1"/>
    <w:rsid w:val="00997EEB"/>
    <w:rsid w:val="009A0226"/>
    <w:rsid w:val="009A030B"/>
    <w:rsid w:val="009A05D2"/>
    <w:rsid w:val="009A2CA7"/>
    <w:rsid w:val="009A4498"/>
    <w:rsid w:val="009A4E1A"/>
    <w:rsid w:val="009B1686"/>
    <w:rsid w:val="009C32EE"/>
    <w:rsid w:val="009C3873"/>
    <w:rsid w:val="009D017F"/>
    <w:rsid w:val="009D0B54"/>
    <w:rsid w:val="009D4B05"/>
    <w:rsid w:val="009D59E5"/>
    <w:rsid w:val="009D705A"/>
    <w:rsid w:val="009D794A"/>
    <w:rsid w:val="009E0130"/>
    <w:rsid w:val="009E1AF8"/>
    <w:rsid w:val="009E2D0D"/>
    <w:rsid w:val="009E49D1"/>
    <w:rsid w:val="009E583F"/>
    <w:rsid w:val="009F3DCA"/>
    <w:rsid w:val="009F6541"/>
    <w:rsid w:val="00A00125"/>
    <w:rsid w:val="00A05E2B"/>
    <w:rsid w:val="00A118A5"/>
    <w:rsid w:val="00A12B38"/>
    <w:rsid w:val="00A20721"/>
    <w:rsid w:val="00A23141"/>
    <w:rsid w:val="00A24866"/>
    <w:rsid w:val="00A27E04"/>
    <w:rsid w:val="00A36E4C"/>
    <w:rsid w:val="00A42CBA"/>
    <w:rsid w:val="00A455A0"/>
    <w:rsid w:val="00A50CBF"/>
    <w:rsid w:val="00A50CD5"/>
    <w:rsid w:val="00A519BA"/>
    <w:rsid w:val="00A5374E"/>
    <w:rsid w:val="00A53D9F"/>
    <w:rsid w:val="00A56A34"/>
    <w:rsid w:val="00A56FB7"/>
    <w:rsid w:val="00A57649"/>
    <w:rsid w:val="00A64175"/>
    <w:rsid w:val="00A70527"/>
    <w:rsid w:val="00A708EA"/>
    <w:rsid w:val="00A70F4D"/>
    <w:rsid w:val="00A764FB"/>
    <w:rsid w:val="00A7697F"/>
    <w:rsid w:val="00A85441"/>
    <w:rsid w:val="00A86A94"/>
    <w:rsid w:val="00A875C5"/>
    <w:rsid w:val="00A94B03"/>
    <w:rsid w:val="00A957A4"/>
    <w:rsid w:val="00AA1017"/>
    <w:rsid w:val="00AA188C"/>
    <w:rsid w:val="00AA1A34"/>
    <w:rsid w:val="00AA442B"/>
    <w:rsid w:val="00AA4527"/>
    <w:rsid w:val="00AA5C33"/>
    <w:rsid w:val="00AB26F2"/>
    <w:rsid w:val="00AB2BBD"/>
    <w:rsid w:val="00AD2E48"/>
    <w:rsid w:val="00AE0EB5"/>
    <w:rsid w:val="00AE24CE"/>
    <w:rsid w:val="00AE2ED0"/>
    <w:rsid w:val="00AE4AAD"/>
    <w:rsid w:val="00AF0A3E"/>
    <w:rsid w:val="00AF1328"/>
    <w:rsid w:val="00AF5DE6"/>
    <w:rsid w:val="00B05392"/>
    <w:rsid w:val="00B06335"/>
    <w:rsid w:val="00B06712"/>
    <w:rsid w:val="00B10A01"/>
    <w:rsid w:val="00B1223A"/>
    <w:rsid w:val="00B123DD"/>
    <w:rsid w:val="00B16CE9"/>
    <w:rsid w:val="00B20EBE"/>
    <w:rsid w:val="00B26733"/>
    <w:rsid w:val="00B316D1"/>
    <w:rsid w:val="00B34B15"/>
    <w:rsid w:val="00B3510C"/>
    <w:rsid w:val="00B37EF6"/>
    <w:rsid w:val="00B405A2"/>
    <w:rsid w:val="00B44777"/>
    <w:rsid w:val="00B45934"/>
    <w:rsid w:val="00B45F0F"/>
    <w:rsid w:val="00B468E9"/>
    <w:rsid w:val="00B51961"/>
    <w:rsid w:val="00B53F51"/>
    <w:rsid w:val="00B57174"/>
    <w:rsid w:val="00B60A02"/>
    <w:rsid w:val="00B635EA"/>
    <w:rsid w:val="00B64D46"/>
    <w:rsid w:val="00B65A47"/>
    <w:rsid w:val="00B76748"/>
    <w:rsid w:val="00B8058F"/>
    <w:rsid w:val="00B82237"/>
    <w:rsid w:val="00B84141"/>
    <w:rsid w:val="00B85A76"/>
    <w:rsid w:val="00B86494"/>
    <w:rsid w:val="00B90EB5"/>
    <w:rsid w:val="00B9152D"/>
    <w:rsid w:val="00B92A6D"/>
    <w:rsid w:val="00B93FE4"/>
    <w:rsid w:val="00B96444"/>
    <w:rsid w:val="00B965B9"/>
    <w:rsid w:val="00BA19A8"/>
    <w:rsid w:val="00BA56E0"/>
    <w:rsid w:val="00BB1DAA"/>
    <w:rsid w:val="00BB3A57"/>
    <w:rsid w:val="00BC2BF7"/>
    <w:rsid w:val="00BC32FD"/>
    <w:rsid w:val="00BC443D"/>
    <w:rsid w:val="00BC6F44"/>
    <w:rsid w:val="00BC767D"/>
    <w:rsid w:val="00BD005A"/>
    <w:rsid w:val="00BD08CA"/>
    <w:rsid w:val="00BD205E"/>
    <w:rsid w:val="00BD230A"/>
    <w:rsid w:val="00BD2F62"/>
    <w:rsid w:val="00BD66CD"/>
    <w:rsid w:val="00BE08F9"/>
    <w:rsid w:val="00BE18F7"/>
    <w:rsid w:val="00BE1EAB"/>
    <w:rsid w:val="00BE7659"/>
    <w:rsid w:val="00BF0F0E"/>
    <w:rsid w:val="00BF1F09"/>
    <w:rsid w:val="00BF7BE7"/>
    <w:rsid w:val="00BF7EE2"/>
    <w:rsid w:val="00C00387"/>
    <w:rsid w:val="00C01F6F"/>
    <w:rsid w:val="00C03276"/>
    <w:rsid w:val="00C05711"/>
    <w:rsid w:val="00C06E22"/>
    <w:rsid w:val="00C10311"/>
    <w:rsid w:val="00C10B0A"/>
    <w:rsid w:val="00C1351D"/>
    <w:rsid w:val="00C13F19"/>
    <w:rsid w:val="00C16907"/>
    <w:rsid w:val="00C22288"/>
    <w:rsid w:val="00C22D3E"/>
    <w:rsid w:val="00C24E8B"/>
    <w:rsid w:val="00C340EB"/>
    <w:rsid w:val="00C3504C"/>
    <w:rsid w:val="00C40939"/>
    <w:rsid w:val="00C40BFF"/>
    <w:rsid w:val="00C42CA2"/>
    <w:rsid w:val="00C462AE"/>
    <w:rsid w:val="00C54CBB"/>
    <w:rsid w:val="00C5601E"/>
    <w:rsid w:val="00C56F13"/>
    <w:rsid w:val="00C57A81"/>
    <w:rsid w:val="00C64313"/>
    <w:rsid w:val="00C6634C"/>
    <w:rsid w:val="00C72FD8"/>
    <w:rsid w:val="00C7525D"/>
    <w:rsid w:val="00C75C3F"/>
    <w:rsid w:val="00C76547"/>
    <w:rsid w:val="00C812DC"/>
    <w:rsid w:val="00C82100"/>
    <w:rsid w:val="00C8413B"/>
    <w:rsid w:val="00C87A42"/>
    <w:rsid w:val="00C91E32"/>
    <w:rsid w:val="00C92C3F"/>
    <w:rsid w:val="00C9320F"/>
    <w:rsid w:val="00CA4B89"/>
    <w:rsid w:val="00CA50F7"/>
    <w:rsid w:val="00CA5146"/>
    <w:rsid w:val="00CA6B7E"/>
    <w:rsid w:val="00CA7EA3"/>
    <w:rsid w:val="00CB4302"/>
    <w:rsid w:val="00CC13A8"/>
    <w:rsid w:val="00CC2AE4"/>
    <w:rsid w:val="00CD0C6C"/>
    <w:rsid w:val="00CD1C08"/>
    <w:rsid w:val="00CD485B"/>
    <w:rsid w:val="00CE1E77"/>
    <w:rsid w:val="00CE33C1"/>
    <w:rsid w:val="00CE3B20"/>
    <w:rsid w:val="00CE4B48"/>
    <w:rsid w:val="00CE6617"/>
    <w:rsid w:val="00CF30CE"/>
    <w:rsid w:val="00CF5EA9"/>
    <w:rsid w:val="00CF7B39"/>
    <w:rsid w:val="00D003A9"/>
    <w:rsid w:val="00D040D9"/>
    <w:rsid w:val="00D04CD1"/>
    <w:rsid w:val="00D1117A"/>
    <w:rsid w:val="00D15F81"/>
    <w:rsid w:val="00D24F41"/>
    <w:rsid w:val="00D331B0"/>
    <w:rsid w:val="00D336E7"/>
    <w:rsid w:val="00D338FD"/>
    <w:rsid w:val="00D36664"/>
    <w:rsid w:val="00D37355"/>
    <w:rsid w:val="00D43C9D"/>
    <w:rsid w:val="00D530A8"/>
    <w:rsid w:val="00D53AEB"/>
    <w:rsid w:val="00D54AC6"/>
    <w:rsid w:val="00D60045"/>
    <w:rsid w:val="00D61930"/>
    <w:rsid w:val="00D63BE5"/>
    <w:rsid w:val="00D6412E"/>
    <w:rsid w:val="00D64749"/>
    <w:rsid w:val="00D674CF"/>
    <w:rsid w:val="00D713D6"/>
    <w:rsid w:val="00D8016F"/>
    <w:rsid w:val="00D80840"/>
    <w:rsid w:val="00D81792"/>
    <w:rsid w:val="00D82840"/>
    <w:rsid w:val="00D82EA2"/>
    <w:rsid w:val="00D8467A"/>
    <w:rsid w:val="00D860E6"/>
    <w:rsid w:val="00D868DD"/>
    <w:rsid w:val="00D868E6"/>
    <w:rsid w:val="00D86B15"/>
    <w:rsid w:val="00D95E00"/>
    <w:rsid w:val="00D965A6"/>
    <w:rsid w:val="00D9732E"/>
    <w:rsid w:val="00DA1070"/>
    <w:rsid w:val="00DA2636"/>
    <w:rsid w:val="00DA44D0"/>
    <w:rsid w:val="00DB3AFE"/>
    <w:rsid w:val="00DB6324"/>
    <w:rsid w:val="00DB63DC"/>
    <w:rsid w:val="00DB6E49"/>
    <w:rsid w:val="00DB7455"/>
    <w:rsid w:val="00DC1F13"/>
    <w:rsid w:val="00DC5045"/>
    <w:rsid w:val="00DC56CB"/>
    <w:rsid w:val="00DC7724"/>
    <w:rsid w:val="00DD02EA"/>
    <w:rsid w:val="00DD4C96"/>
    <w:rsid w:val="00DD6C29"/>
    <w:rsid w:val="00DD7209"/>
    <w:rsid w:val="00DE293D"/>
    <w:rsid w:val="00DE6588"/>
    <w:rsid w:val="00DE71B0"/>
    <w:rsid w:val="00DF0165"/>
    <w:rsid w:val="00DF2DF1"/>
    <w:rsid w:val="00DF458B"/>
    <w:rsid w:val="00DF53D7"/>
    <w:rsid w:val="00DF5709"/>
    <w:rsid w:val="00DF69D8"/>
    <w:rsid w:val="00E00FF3"/>
    <w:rsid w:val="00E032D1"/>
    <w:rsid w:val="00E050A6"/>
    <w:rsid w:val="00E11FA2"/>
    <w:rsid w:val="00E120D7"/>
    <w:rsid w:val="00E12CDB"/>
    <w:rsid w:val="00E12FE2"/>
    <w:rsid w:val="00E1734E"/>
    <w:rsid w:val="00E247DE"/>
    <w:rsid w:val="00E24FE2"/>
    <w:rsid w:val="00E32622"/>
    <w:rsid w:val="00E33CC4"/>
    <w:rsid w:val="00E363FF"/>
    <w:rsid w:val="00E40C5C"/>
    <w:rsid w:val="00E418A9"/>
    <w:rsid w:val="00E43797"/>
    <w:rsid w:val="00E44097"/>
    <w:rsid w:val="00E4447B"/>
    <w:rsid w:val="00E45979"/>
    <w:rsid w:val="00E471B0"/>
    <w:rsid w:val="00E5034D"/>
    <w:rsid w:val="00E52ADB"/>
    <w:rsid w:val="00E54A19"/>
    <w:rsid w:val="00E601A4"/>
    <w:rsid w:val="00E60565"/>
    <w:rsid w:val="00E61196"/>
    <w:rsid w:val="00E62782"/>
    <w:rsid w:val="00E64A88"/>
    <w:rsid w:val="00E65F50"/>
    <w:rsid w:val="00E65F8C"/>
    <w:rsid w:val="00E66B2C"/>
    <w:rsid w:val="00E67DE4"/>
    <w:rsid w:val="00E710A6"/>
    <w:rsid w:val="00E72CD4"/>
    <w:rsid w:val="00E7525A"/>
    <w:rsid w:val="00E75B5B"/>
    <w:rsid w:val="00E77F23"/>
    <w:rsid w:val="00E803B7"/>
    <w:rsid w:val="00E81028"/>
    <w:rsid w:val="00E8747A"/>
    <w:rsid w:val="00E90689"/>
    <w:rsid w:val="00E92AE6"/>
    <w:rsid w:val="00E94410"/>
    <w:rsid w:val="00E97D9F"/>
    <w:rsid w:val="00EA30B4"/>
    <w:rsid w:val="00EA6770"/>
    <w:rsid w:val="00EB2CEC"/>
    <w:rsid w:val="00EB32A2"/>
    <w:rsid w:val="00EB3FF6"/>
    <w:rsid w:val="00EB6220"/>
    <w:rsid w:val="00EB62E4"/>
    <w:rsid w:val="00EC2AEA"/>
    <w:rsid w:val="00EC6F83"/>
    <w:rsid w:val="00EC7161"/>
    <w:rsid w:val="00ED0EA7"/>
    <w:rsid w:val="00ED18AE"/>
    <w:rsid w:val="00ED1D9E"/>
    <w:rsid w:val="00ED21E2"/>
    <w:rsid w:val="00ED41B5"/>
    <w:rsid w:val="00ED5386"/>
    <w:rsid w:val="00EE0B03"/>
    <w:rsid w:val="00EF637A"/>
    <w:rsid w:val="00EF683D"/>
    <w:rsid w:val="00EF6F9D"/>
    <w:rsid w:val="00EF7F66"/>
    <w:rsid w:val="00F01736"/>
    <w:rsid w:val="00F017B9"/>
    <w:rsid w:val="00F0480A"/>
    <w:rsid w:val="00F07083"/>
    <w:rsid w:val="00F14998"/>
    <w:rsid w:val="00F14BE0"/>
    <w:rsid w:val="00F27937"/>
    <w:rsid w:val="00F27C31"/>
    <w:rsid w:val="00F356F6"/>
    <w:rsid w:val="00F377B8"/>
    <w:rsid w:val="00F379D2"/>
    <w:rsid w:val="00F4149A"/>
    <w:rsid w:val="00F44B00"/>
    <w:rsid w:val="00F51ABD"/>
    <w:rsid w:val="00F54768"/>
    <w:rsid w:val="00F616DA"/>
    <w:rsid w:val="00F625CD"/>
    <w:rsid w:val="00F640A9"/>
    <w:rsid w:val="00F664F5"/>
    <w:rsid w:val="00F7020F"/>
    <w:rsid w:val="00F70A1A"/>
    <w:rsid w:val="00F75409"/>
    <w:rsid w:val="00F777C2"/>
    <w:rsid w:val="00F80918"/>
    <w:rsid w:val="00F81C58"/>
    <w:rsid w:val="00F82C32"/>
    <w:rsid w:val="00F83F02"/>
    <w:rsid w:val="00F86199"/>
    <w:rsid w:val="00F8794F"/>
    <w:rsid w:val="00F90A34"/>
    <w:rsid w:val="00F91975"/>
    <w:rsid w:val="00F94646"/>
    <w:rsid w:val="00F95939"/>
    <w:rsid w:val="00F95C3D"/>
    <w:rsid w:val="00F97D6C"/>
    <w:rsid w:val="00FA1A81"/>
    <w:rsid w:val="00FA378A"/>
    <w:rsid w:val="00FA409A"/>
    <w:rsid w:val="00FA655B"/>
    <w:rsid w:val="00FA785D"/>
    <w:rsid w:val="00FB265C"/>
    <w:rsid w:val="00FB3507"/>
    <w:rsid w:val="00FB75C6"/>
    <w:rsid w:val="00FC11B1"/>
    <w:rsid w:val="00FC2D21"/>
    <w:rsid w:val="00FC3CC8"/>
    <w:rsid w:val="00FC5A56"/>
    <w:rsid w:val="00FD148A"/>
    <w:rsid w:val="00FE1507"/>
    <w:rsid w:val="00FE178E"/>
    <w:rsid w:val="00FE6FA9"/>
    <w:rsid w:val="00FE768E"/>
    <w:rsid w:val="00FE7848"/>
    <w:rsid w:val="00FF04B3"/>
    <w:rsid w:val="00FF18B8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21C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61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785FA3"/>
    <w:pPr>
      <w:spacing w:before="100" w:beforeAutospacing="1" w:after="100" w:afterAutospacing="1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B10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136A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136A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136A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136A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13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B136A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9"/>
    <w:rsid w:val="00785FA3"/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785FA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qFormat/>
    <w:rsid w:val="00785FA3"/>
    <w:rPr>
      <w:rFonts w:ascii="Calibri" w:eastAsia="Calibri" w:hAnsi="Calibri"/>
      <w:sz w:val="22"/>
      <w:szCs w:val="22"/>
      <w:lang w:eastAsia="en-US"/>
    </w:rPr>
  </w:style>
  <w:style w:type="paragraph" w:customStyle="1" w:styleId="box454437">
    <w:name w:val="box_454437"/>
    <w:basedOn w:val="Normal"/>
    <w:rsid w:val="00785FA3"/>
    <w:pPr>
      <w:spacing w:before="100" w:beforeAutospacing="1" w:after="225"/>
    </w:pPr>
  </w:style>
  <w:style w:type="paragraph" w:customStyle="1" w:styleId="box454270">
    <w:name w:val="box_454270"/>
    <w:basedOn w:val="Normal"/>
    <w:rsid w:val="00785FA3"/>
    <w:pPr>
      <w:spacing w:before="100" w:beforeAutospacing="1" w:after="225"/>
    </w:pPr>
  </w:style>
  <w:style w:type="paragraph" w:customStyle="1" w:styleId="TNR12">
    <w:name w:val="TNR 12"/>
    <w:basedOn w:val="Normal"/>
    <w:link w:val="TNR12Char"/>
    <w:qFormat/>
    <w:rsid w:val="00785FA3"/>
    <w:pPr>
      <w:spacing w:line="259" w:lineRule="auto"/>
    </w:pPr>
    <w:rPr>
      <w:rFonts w:eastAsia="Calibri"/>
      <w:lang w:eastAsia="en-US"/>
    </w:rPr>
  </w:style>
  <w:style w:type="character" w:customStyle="1" w:styleId="TNR12Char">
    <w:name w:val="TNR 12 Char"/>
    <w:link w:val="TNR12"/>
    <w:rsid w:val="00785FA3"/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785FA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ld">
    <w:name w:val="bold"/>
    <w:rsid w:val="00785FA3"/>
  </w:style>
  <w:style w:type="character" w:styleId="CommentReference">
    <w:name w:val="annotation reference"/>
    <w:uiPriority w:val="99"/>
    <w:semiHidden/>
    <w:unhideWhenUsed/>
    <w:rsid w:val="00785F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F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5FA3"/>
  </w:style>
  <w:style w:type="character" w:styleId="Emphasis">
    <w:name w:val="Emphasis"/>
    <w:uiPriority w:val="20"/>
    <w:qFormat/>
    <w:rsid w:val="00785FA3"/>
    <w:rPr>
      <w:b/>
      <w:bCs/>
      <w:i w:val="0"/>
      <w:iCs w:val="0"/>
    </w:rPr>
  </w:style>
  <w:style w:type="character" w:customStyle="1" w:styleId="st1">
    <w:name w:val="st1"/>
    <w:rsid w:val="00785FA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FA3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785FA3"/>
    <w:rPr>
      <w:rFonts w:ascii="Calibri" w:eastAsia="Calibri" w:hAnsi="Calibri"/>
      <w:b/>
      <w:bCs/>
      <w:lang w:eastAsia="en-US"/>
    </w:rPr>
  </w:style>
  <w:style w:type="character" w:styleId="Hyperlink">
    <w:name w:val="Hyperlink"/>
    <w:uiPriority w:val="99"/>
    <w:semiHidden/>
    <w:unhideWhenUsed/>
    <w:rsid w:val="00785FA3"/>
    <w:rPr>
      <w:color w:val="0563C1"/>
      <w:u w:val="single"/>
    </w:rPr>
  </w:style>
  <w:style w:type="paragraph" w:customStyle="1" w:styleId="xmsonormal">
    <w:name w:val="x_msonormal"/>
    <w:basedOn w:val="Normal"/>
    <w:rsid w:val="00852669"/>
    <w:rPr>
      <w:rFonts w:ascii="Calibri" w:eastAsiaTheme="minorHAnsi" w:hAnsi="Calibri" w:cs="Calibri"/>
      <w:sz w:val="22"/>
      <w:szCs w:val="22"/>
    </w:rPr>
  </w:style>
  <w:style w:type="paragraph" w:customStyle="1" w:styleId="xmsonormal0">
    <w:name w:val="xmsonormal"/>
    <w:basedOn w:val="Normal"/>
    <w:rsid w:val="00E12CDB"/>
    <w:rPr>
      <w:rFonts w:ascii="Calibri" w:eastAsiaTheme="minorHAnsi" w:hAnsi="Calibri" w:cs="Calibri"/>
      <w:sz w:val="22"/>
      <w:szCs w:val="22"/>
    </w:rPr>
  </w:style>
  <w:style w:type="character" w:customStyle="1" w:styleId="NoneA">
    <w:name w:val="None A"/>
    <w:rsid w:val="00663DA6"/>
  </w:style>
  <w:style w:type="paragraph" w:customStyle="1" w:styleId="BodyA">
    <w:name w:val="Body A"/>
    <w:rsid w:val="00663DA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663DA6"/>
  </w:style>
  <w:style w:type="paragraph" w:customStyle="1" w:styleId="BodyB">
    <w:name w:val="Body B"/>
    <w:rsid w:val="00663DA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Style2">
    <w:name w:val="Table Style 2"/>
    <w:rsid w:val="00663DA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3Char">
    <w:name w:val="Heading 3 Char"/>
    <w:basedOn w:val="DefaultParagraphFont"/>
    <w:link w:val="Heading3"/>
    <w:uiPriority w:val="9"/>
    <w:rsid w:val="008B1001"/>
    <w:rPr>
      <w:b/>
      <w:bCs/>
      <w:sz w:val="27"/>
      <w:szCs w:val="27"/>
    </w:rPr>
  </w:style>
  <w:style w:type="paragraph" w:customStyle="1" w:styleId="msonormal0">
    <w:name w:val="msonormal"/>
    <w:basedOn w:val="Normal"/>
    <w:rsid w:val="008B1001"/>
    <w:pPr>
      <w:spacing w:before="100" w:beforeAutospacing="1" w:after="100" w:afterAutospacing="1"/>
    </w:pPr>
  </w:style>
  <w:style w:type="character" w:customStyle="1" w:styleId="pocetak-clanka">
    <w:name w:val="pocetak-clanka"/>
    <w:basedOn w:val="DefaultParagraphFont"/>
    <w:rsid w:val="008B1001"/>
  </w:style>
  <w:style w:type="paragraph" w:customStyle="1" w:styleId="box462252">
    <w:name w:val="box_462252"/>
    <w:basedOn w:val="Normal"/>
    <w:rsid w:val="008B1001"/>
    <w:pPr>
      <w:spacing w:before="100" w:beforeAutospacing="1" w:after="100" w:afterAutospacing="1"/>
    </w:pPr>
  </w:style>
  <w:style w:type="character" w:customStyle="1" w:styleId="broj-clanka">
    <w:name w:val="broj-clanka"/>
    <w:basedOn w:val="DefaultParagraphFont"/>
    <w:rsid w:val="008B1001"/>
  </w:style>
  <w:style w:type="character" w:customStyle="1" w:styleId="kurziv">
    <w:name w:val="kurziv"/>
    <w:basedOn w:val="DefaultParagraphFont"/>
    <w:rsid w:val="008B1001"/>
  </w:style>
  <w:style w:type="character" w:customStyle="1" w:styleId="none0">
    <w:name w:val="none"/>
    <w:basedOn w:val="DefaultParagraphFont"/>
    <w:rsid w:val="008B1001"/>
  </w:style>
  <w:style w:type="paragraph" w:styleId="Revision">
    <w:name w:val="Revision"/>
    <w:hidden/>
    <w:uiPriority w:val="99"/>
    <w:semiHidden/>
    <w:rsid w:val="008B100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x459192">
    <w:name w:val="box_459192"/>
    <w:basedOn w:val="Normal"/>
    <w:rsid w:val="006377C0"/>
    <w:pPr>
      <w:spacing w:before="100" w:beforeAutospacing="1" w:after="225"/>
    </w:pPr>
  </w:style>
  <w:style w:type="paragraph" w:styleId="NormalWeb">
    <w:name w:val="Normal (Web)"/>
    <w:basedOn w:val="Normal"/>
    <w:uiPriority w:val="99"/>
    <w:semiHidden/>
    <w:unhideWhenUsed/>
    <w:rsid w:val="002C23E9"/>
    <w:rPr>
      <w:rFonts w:ascii="Calibri" w:eastAsiaTheme="minorHAnsi" w:hAnsi="Calibri" w:cs="Calibri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F7020F"/>
  </w:style>
  <w:style w:type="table" w:customStyle="1" w:styleId="TableGrid1">
    <w:name w:val="Table Grid1"/>
    <w:basedOn w:val="TableNormal"/>
    <w:next w:val="TableGrid"/>
    <w:uiPriority w:val="39"/>
    <w:rsid w:val="00F7020F"/>
    <w:rPr>
      <w:rFonts w:asciiTheme="minorHAnsi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F7020F"/>
  </w:style>
  <w:style w:type="paragraph" w:customStyle="1" w:styleId="box465255">
    <w:name w:val="box_465255"/>
    <w:basedOn w:val="Normal"/>
    <w:rsid w:val="00F7020F"/>
    <w:pPr>
      <w:spacing w:before="100" w:beforeAutospacing="1" w:after="100" w:afterAutospacing="1"/>
    </w:pPr>
  </w:style>
  <w:style w:type="paragraph" w:customStyle="1" w:styleId="box466797">
    <w:name w:val="box_466797"/>
    <w:basedOn w:val="Normal"/>
    <w:rsid w:val="00F7020F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246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461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61A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AZJMDCZ6QSYZ-1849078857-52386</_dlc_DocId>
    <_dlc_DocIdUrl xmlns="a494813a-d0d8-4dad-94cb-0d196f36ba15">
      <Url>https://ekoordinacije.vlada.hr/koordinacija-gospodarstvo/_layouts/15/DocIdRedir.aspx?ID=AZJMDCZ6QSYZ-1849078857-52386</Url>
      <Description>AZJMDCZ6QSYZ-1849078857-52386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8F925-DA9E-4741-9938-A8FEE77D4E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9255EF-E514-483E-9042-312C748D2ED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23A34F1-E6AA-4794-9A35-E25721B82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A0BCF1-A928-4AA6-BCF2-2A5B5875B11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B6BF177-23EC-4135-92D2-0A6FF553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2618</Words>
  <Characters>14925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2026-02-09T10:14:00Z</dcterms:created>
  <dcterms:modified xsi:type="dcterms:W3CDTF">2026-02-10T11:49:00Z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96de35a5-fa14-4a3e-9e1e-efb9b07dc3fe</vt:lpwstr>
  </property>
</Properties>
</file>