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4689F" w14:textId="77777777" w:rsidR="00C80B94" w:rsidRPr="00947458" w:rsidRDefault="00C80B94" w:rsidP="00C80B94">
      <w:pPr>
        <w:spacing w:line="240" w:lineRule="auto"/>
        <w:jc w:val="center"/>
        <w:rPr>
          <w:rFonts w:eastAsia="Times New Roman"/>
          <w:szCs w:val="24"/>
        </w:rPr>
      </w:pPr>
      <w:r w:rsidRPr="00947458">
        <w:rPr>
          <w:rFonts w:eastAsia="Times New Roman"/>
          <w:noProof/>
          <w:szCs w:val="24"/>
        </w:rPr>
        <w:drawing>
          <wp:inline distT="0" distB="0" distL="0" distR="0" wp14:anchorId="1234534A" wp14:editId="7C6BE6F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458">
        <w:rPr>
          <w:rFonts w:eastAsia="Times New Roman"/>
          <w:szCs w:val="24"/>
        </w:rPr>
        <w:fldChar w:fldCharType="begin"/>
      </w:r>
      <w:r w:rsidRPr="00947458">
        <w:rPr>
          <w:rFonts w:eastAsia="Times New Roman"/>
          <w:szCs w:val="24"/>
        </w:rPr>
        <w:instrText xml:space="preserve"> INCLUDEPICTURE "http://www.inet.hr/~box/images/grb-rh.gif" \* MERGEFORMATINET </w:instrText>
      </w:r>
      <w:r w:rsidRPr="00947458">
        <w:rPr>
          <w:rFonts w:eastAsia="Times New Roman"/>
          <w:szCs w:val="24"/>
        </w:rPr>
        <w:fldChar w:fldCharType="end"/>
      </w:r>
    </w:p>
    <w:p w14:paraId="471E88DB" w14:textId="77777777" w:rsidR="00C80B94" w:rsidRPr="00947458" w:rsidRDefault="00C80B94" w:rsidP="00C80B94">
      <w:pPr>
        <w:spacing w:before="60" w:after="1680" w:line="240" w:lineRule="auto"/>
        <w:jc w:val="center"/>
        <w:rPr>
          <w:rFonts w:eastAsia="Times New Roman"/>
          <w:sz w:val="28"/>
          <w:szCs w:val="24"/>
        </w:rPr>
      </w:pPr>
      <w:r w:rsidRPr="00947458">
        <w:rPr>
          <w:rFonts w:eastAsia="Times New Roman"/>
          <w:sz w:val="28"/>
          <w:szCs w:val="24"/>
        </w:rPr>
        <w:t>VLADA REPUBLIKE HRVATSKE</w:t>
      </w:r>
    </w:p>
    <w:p w14:paraId="79752561" w14:textId="77777777" w:rsidR="00C80B94" w:rsidRPr="00947458" w:rsidRDefault="00C80B94" w:rsidP="00C80B94">
      <w:pPr>
        <w:spacing w:line="240" w:lineRule="auto"/>
        <w:jc w:val="left"/>
        <w:rPr>
          <w:rFonts w:eastAsia="Times New Roman"/>
          <w:szCs w:val="24"/>
        </w:rPr>
      </w:pPr>
    </w:p>
    <w:p w14:paraId="1E27E2B1" w14:textId="4CF1A489" w:rsidR="00C80B94" w:rsidRPr="00947458" w:rsidRDefault="00C80B94" w:rsidP="00C80B94">
      <w:pPr>
        <w:spacing w:after="2400" w:line="240" w:lineRule="auto"/>
        <w:jc w:val="right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 xml:space="preserve">Zagreb, </w:t>
      </w:r>
      <w:r w:rsidR="006A233D" w:rsidRPr="00947458">
        <w:rPr>
          <w:rFonts w:eastAsia="Times New Roman"/>
          <w:szCs w:val="24"/>
        </w:rPr>
        <w:t>26. veljače</w:t>
      </w:r>
      <w:r w:rsidRPr="00947458">
        <w:rPr>
          <w:rFonts w:eastAsia="Times New Roman"/>
          <w:szCs w:val="24"/>
        </w:rPr>
        <w:t xml:space="preserve"> 2026.</w:t>
      </w:r>
    </w:p>
    <w:p w14:paraId="7B305BDE" w14:textId="77777777" w:rsidR="00C80B94" w:rsidRPr="00947458" w:rsidRDefault="00C80B94" w:rsidP="00C80B94">
      <w:pPr>
        <w:spacing w:line="360" w:lineRule="auto"/>
        <w:jc w:val="left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>__________________________________________________________________________</w:t>
      </w:r>
    </w:p>
    <w:p w14:paraId="09413D00" w14:textId="77777777" w:rsidR="00C80B94" w:rsidRPr="00947458" w:rsidRDefault="00C80B94" w:rsidP="00C80B94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eastAsia="Times New Roman"/>
          <w:b/>
          <w:smallCaps/>
          <w:szCs w:val="24"/>
        </w:rPr>
        <w:sectPr w:rsidR="00C80B94" w:rsidRPr="00947458" w:rsidSect="00C80B94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80B94" w:rsidRPr="00947458" w14:paraId="514574CB" w14:textId="77777777" w:rsidTr="00234602">
        <w:tc>
          <w:tcPr>
            <w:tcW w:w="1951" w:type="dxa"/>
          </w:tcPr>
          <w:p w14:paraId="26CDEB77" w14:textId="77777777" w:rsidR="00C80B94" w:rsidRPr="00947458" w:rsidRDefault="00C80B94" w:rsidP="00C80B94">
            <w:pPr>
              <w:spacing w:line="360" w:lineRule="auto"/>
              <w:jc w:val="right"/>
              <w:rPr>
                <w:szCs w:val="24"/>
              </w:rPr>
            </w:pPr>
            <w:r w:rsidRPr="00947458">
              <w:rPr>
                <w:b/>
                <w:smallCaps/>
                <w:szCs w:val="24"/>
              </w:rPr>
              <w:t>Predlagatelj</w:t>
            </w:r>
            <w:r w:rsidRPr="00947458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44CEEC21" w14:textId="6DC30C14" w:rsidR="00C80B94" w:rsidRPr="00947458" w:rsidRDefault="006A233D" w:rsidP="00C80B94">
            <w:pPr>
              <w:spacing w:line="360" w:lineRule="auto"/>
              <w:jc w:val="left"/>
              <w:rPr>
                <w:szCs w:val="24"/>
              </w:rPr>
            </w:pPr>
            <w:r w:rsidRPr="00947458">
              <w:rPr>
                <w:szCs w:val="24"/>
              </w:rPr>
              <w:t>Ministarstvo unutarnjih poslova</w:t>
            </w:r>
          </w:p>
        </w:tc>
      </w:tr>
    </w:tbl>
    <w:p w14:paraId="709E8289" w14:textId="77777777" w:rsidR="00C80B94" w:rsidRPr="00947458" w:rsidRDefault="00C80B94" w:rsidP="00C80B94">
      <w:pPr>
        <w:spacing w:line="360" w:lineRule="auto"/>
        <w:jc w:val="left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>__________________________________________________________________________</w:t>
      </w:r>
    </w:p>
    <w:p w14:paraId="0C02A61A" w14:textId="77777777" w:rsidR="00C80B94" w:rsidRPr="00947458" w:rsidRDefault="00C80B94" w:rsidP="00C80B94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eastAsia="Times New Roman"/>
          <w:b/>
          <w:smallCaps/>
          <w:szCs w:val="24"/>
        </w:rPr>
        <w:sectPr w:rsidR="00C80B94" w:rsidRPr="0094745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80B94" w:rsidRPr="00947458" w14:paraId="69626BEC" w14:textId="77777777" w:rsidTr="00234602">
        <w:tc>
          <w:tcPr>
            <w:tcW w:w="1951" w:type="dxa"/>
          </w:tcPr>
          <w:p w14:paraId="5CAAEF50" w14:textId="77777777" w:rsidR="00C80B94" w:rsidRPr="00947458" w:rsidRDefault="00C80B94" w:rsidP="00C80B94">
            <w:pPr>
              <w:spacing w:line="360" w:lineRule="auto"/>
              <w:jc w:val="right"/>
              <w:rPr>
                <w:szCs w:val="24"/>
              </w:rPr>
            </w:pPr>
            <w:r w:rsidRPr="00947458">
              <w:rPr>
                <w:b/>
                <w:smallCaps/>
                <w:szCs w:val="24"/>
              </w:rPr>
              <w:t>Predmet</w:t>
            </w:r>
            <w:r w:rsidRPr="00947458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24ABAEEC" w14:textId="378E6389" w:rsidR="00C80B94" w:rsidRPr="00947458" w:rsidRDefault="006A233D" w:rsidP="00C80B94">
            <w:pPr>
              <w:spacing w:line="360" w:lineRule="auto"/>
              <w:jc w:val="left"/>
              <w:rPr>
                <w:szCs w:val="24"/>
              </w:rPr>
            </w:pPr>
            <w:r w:rsidRPr="00947458">
              <w:rPr>
                <w:szCs w:val="24"/>
              </w:rPr>
              <w:t xml:space="preserve">Prijedlog </w:t>
            </w:r>
            <w:r w:rsidR="00947458">
              <w:rPr>
                <w:szCs w:val="24"/>
              </w:rPr>
              <w:t>i</w:t>
            </w:r>
            <w:r w:rsidRPr="00947458">
              <w:rPr>
                <w:szCs w:val="24"/>
              </w:rPr>
              <w:t>zvješća o provedbi Plana protuminskog djelovanja i utrošenim financijskim sredstvima za 2025. godinu</w:t>
            </w:r>
          </w:p>
        </w:tc>
      </w:tr>
    </w:tbl>
    <w:p w14:paraId="7FD334EA" w14:textId="77777777" w:rsidR="00C80B94" w:rsidRPr="00947458" w:rsidRDefault="00C80B94" w:rsidP="00C80B94">
      <w:pPr>
        <w:tabs>
          <w:tab w:val="left" w:pos="1843"/>
        </w:tabs>
        <w:spacing w:line="360" w:lineRule="auto"/>
        <w:ind w:left="1843" w:hanging="1843"/>
        <w:jc w:val="left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>__________________________________________________________________________</w:t>
      </w:r>
    </w:p>
    <w:p w14:paraId="64A202B2" w14:textId="77777777" w:rsidR="00C80B94" w:rsidRPr="00947458" w:rsidRDefault="00C80B94" w:rsidP="00C80B94">
      <w:pPr>
        <w:spacing w:line="240" w:lineRule="auto"/>
        <w:jc w:val="left"/>
        <w:rPr>
          <w:rFonts w:eastAsia="Times New Roman"/>
          <w:szCs w:val="24"/>
        </w:rPr>
      </w:pPr>
    </w:p>
    <w:p w14:paraId="364E5316" w14:textId="77777777" w:rsidR="00C80B94" w:rsidRPr="00947458" w:rsidRDefault="00C80B94" w:rsidP="00C80B94">
      <w:pPr>
        <w:spacing w:line="240" w:lineRule="auto"/>
        <w:jc w:val="left"/>
        <w:rPr>
          <w:rFonts w:eastAsia="Times New Roman"/>
          <w:szCs w:val="24"/>
        </w:rPr>
      </w:pPr>
    </w:p>
    <w:p w14:paraId="75D64676" w14:textId="77777777" w:rsidR="00C80B94" w:rsidRPr="00947458" w:rsidRDefault="00C80B94" w:rsidP="00C80B94">
      <w:pPr>
        <w:spacing w:line="240" w:lineRule="auto"/>
        <w:jc w:val="left"/>
        <w:rPr>
          <w:rFonts w:eastAsia="Times New Roman"/>
          <w:szCs w:val="24"/>
        </w:rPr>
      </w:pPr>
    </w:p>
    <w:p w14:paraId="385A040B" w14:textId="77777777" w:rsidR="00C80B94" w:rsidRPr="00947458" w:rsidRDefault="00C80B94" w:rsidP="00C80B94">
      <w:pPr>
        <w:spacing w:line="240" w:lineRule="auto"/>
        <w:jc w:val="left"/>
        <w:rPr>
          <w:rFonts w:eastAsia="Times New Roman"/>
          <w:szCs w:val="24"/>
        </w:rPr>
      </w:pPr>
    </w:p>
    <w:p w14:paraId="7059F87A" w14:textId="77777777" w:rsidR="00C80B94" w:rsidRPr="00947458" w:rsidRDefault="00C80B94" w:rsidP="00C80B94">
      <w:pPr>
        <w:spacing w:line="240" w:lineRule="auto"/>
        <w:jc w:val="left"/>
        <w:rPr>
          <w:rFonts w:eastAsia="Times New Roman"/>
          <w:szCs w:val="24"/>
        </w:rPr>
      </w:pPr>
    </w:p>
    <w:p w14:paraId="469E6265" w14:textId="77777777" w:rsidR="00C80B94" w:rsidRPr="00947458" w:rsidRDefault="00C80B94" w:rsidP="00C80B94">
      <w:pPr>
        <w:spacing w:line="240" w:lineRule="auto"/>
        <w:jc w:val="left"/>
        <w:rPr>
          <w:rFonts w:eastAsia="Times New Roman"/>
          <w:szCs w:val="24"/>
        </w:rPr>
      </w:pPr>
    </w:p>
    <w:p w14:paraId="4531A31E" w14:textId="77777777" w:rsidR="00C80B94" w:rsidRPr="00947458" w:rsidRDefault="00C80B94" w:rsidP="00C80B94">
      <w:pPr>
        <w:spacing w:line="240" w:lineRule="auto"/>
        <w:jc w:val="left"/>
        <w:rPr>
          <w:rFonts w:eastAsia="Times New Roman"/>
          <w:szCs w:val="24"/>
        </w:rPr>
      </w:pPr>
    </w:p>
    <w:p w14:paraId="1C4B9B5B" w14:textId="77777777" w:rsidR="00C80B94" w:rsidRPr="00947458" w:rsidRDefault="00C80B94" w:rsidP="00C80B94">
      <w:pPr>
        <w:spacing w:line="240" w:lineRule="auto"/>
        <w:jc w:val="left"/>
        <w:rPr>
          <w:rFonts w:eastAsia="Times New Roman"/>
          <w:szCs w:val="24"/>
        </w:rPr>
        <w:sectPr w:rsidR="00C80B94" w:rsidRPr="0094745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B93A34A" w14:textId="77777777" w:rsidR="00EF36E9" w:rsidRPr="00947458" w:rsidRDefault="00DB3751" w:rsidP="00F059F1">
      <w:pPr>
        <w:pBdr>
          <w:bottom w:val="single" w:sz="12" w:space="1" w:color="auto"/>
        </w:pBdr>
        <w:jc w:val="center"/>
        <w:rPr>
          <w:b/>
          <w:szCs w:val="24"/>
        </w:rPr>
      </w:pPr>
      <w:r w:rsidRPr="00947458">
        <w:rPr>
          <w:b/>
          <w:szCs w:val="24"/>
        </w:rPr>
        <w:lastRenderedPageBreak/>
        <w:t>VLADA REPUBLIKE HRVATSKE</w:t>
      </w:r>
    </w:p>
    <w:p w14:paraId="09EC0E53" w14:textId="77777777" w:rsidR="00DB3751" w:rsidRPr="00947458" w:rsidRDefault="00DB3751" w:rsidP="004057F4">
      <w:pPr>
        <w:jc w:val="center"/>
        <w:rPr>
          <w:b/>
          <w:szCs w:val="24"/>
        </w:rPr>
      </w:pPr>
    </w:p>
    <w:p w14:paraId="3FEE41B8" w14:textId="77777777" w:rsidR="00DB3751" w:rsidRPr="00947458" w:rsidRDefault="00DB3751" w:rsidP="004057F4">
      <w:pPr>
        <w:jc w:val="center"/>
        <w:rPr>
          <w:b/>
          <w:szCs w:val="24"/>
        </w:rPr>
      </w:pPr>
    </w:p>
    <w:p w14:paraId="325C1932" w14:textId="5CB8C552" w:rsidR="00EF36E9" w:rsidRPr="00947458" w:rsidRDefault="00976C70" w:rsidP="00976C70">
      <w:pPr>
        <w:jc w:val="right"/>
        <w:rPr>
          <w:b/>
          <w:szCs w:val="24"/>
        </w:rPr>
      </w:pPr>
      <w:r>
        <w:rPr>
          <w:b/>
          <w:szCs w:val="24"/>
        </w:rPr>
        <w:t>Prijedlog</w:t>
      </w:r>
    </w:p>
    <w:p w14:paraId="123F557B" w14:textId="77777777" w:rsidR="00EF36E9" w:rsidRPr="00947458" w:rsidRDefault="00EF36E9" w:rsidP="00834A0D">
      <w:pPr>
        <w:jc w:val="center"/>
        <w:rPr>
          <w:b/>
          <w:szCs w:val="24"/>
        </w:rPr>
      </w:pPr>
    </w:p>
    <w:p w14:paraId="22BEF9A5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137BFDFE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16CBC4F4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224F89A7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60608A4E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72A6CCD7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040D53A3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0E4E4DB0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6D0718A0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44489B19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3072FA5B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45FB3A98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5203A246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70753516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5B828F24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3ABA458D" w14:textId="77777777" w:rsidR="004057F4" w:rsidRPr="00947458" w:rsidRDefault="004057F4" w:rsidP="00F059F1">
      <w:pPr>
        <w:jc w:val="center"/>
        <w:rPr>
          <w:b/>
          <w:szCs w:val="24"/>
        </w:rPr>
      </w:pPr>
    </w:p>
    <w:p w14:paraId="170AF42A" w14:textId="77777777" w:rsidR="004057F4" w:rsidRPr="00947458" w:rsidRDefault="004057F4" w:rsidP="00F059F1">
      <w:pPr>
        <w:jc w:val="center"/>
        <w:rPr>
          <w:b/>
          <w:szCs w:val="24"/>
        </w:rPr>
      </w:pPr>
    </w:p>
    <w:p w14:paraId="1A459CBE" w14:textId="77777777" w:rsidR="00EF36E9" w:rsidRPr="00947458" w:rsidRDefault="00EF36E9" w:rsidP="00F059F1">
      <w:pPr>
        <w:jc w:val="center"/>
        <w:rPr>
          <w:b/>
          <w:szCs w:val="24"/>
        </w:rPr>
      </w:pPr>
    </w:p>
    <w:p w14:paraId="7B9AE250" w14:textId="77777777" w:rsidR="00F059F1" w:rsidRPr="00947458" w:rsidRDefault="00F059F1" w:rsidP="00F059F1">
      <w:pPr>
        <w:jc w:val="center"/>
        <w:rPr>
          <w:b/>
          <w:szCs w:val="24"/>
        </w:rPr>
      </w:pPr>
      <w:r w:rsidRPr="00947458">
        <w:rPr>
          <w:b/>
          <w:szCs w:val="24"/>
        </w:rPr>
        <w:t>IZVJEŠĆE O PROVEDBI PLANA PROTUMINSKOG DJELOVANJA I UTROŠENIM FINANCIJSKIM SREDSTVIMA ZA 202</w:t>
      </w:r>
      <w:r w:rsidR="007D56FF" w:rsidRPr="00947458">
        <w:rPr>
          <w:b/>
          <w:szCs w:val="24"/>
        </w:rPr>
        <w:t>5</w:t>
      </w:r>
      <w:r w:rsidRPr="00947458">
        <w:rPr>
          <w:b/>
          <w:szCs w:val="24"/>
        </w:rPr>
        <w:t>. GODINU</w:t>
      </w:r>
    </w:p>
    <w:p w14:paraId="7FE9073A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29C73921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5AE7609B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79720E4B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279B5A58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0DE5A8A1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3E82E6FB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3EE3F164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49B06ABC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0FFB8D3C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4065EF98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21A567EC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61908A12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010DBD5E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0726770C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69B1CE2A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653F1F8C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41AA30CD" w14:textId="77777777" w:rsidR="00DB3751" w:rsidRPr="00947458" w:rsidRDefault="00DB3751" w:rsidP="00F059F1">
      <w:pPr>
        <w:jc w:val="center"/>
        <w:rPr>
          <w:b/>
          <w:szCs w:val="24"/>
        </w:rPr>
      </w:pPr>
    </w:p>
    <w:p w14:paraId="391EF460" w14:textId="77777777" w:rsidR="00DB3751" w:rsidRPr="00947458" w:rsidRDefault="00DB3751" w:rsidP="00F059F1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7391E0C9" w14:textId="77777777" w:rsidR="004057F4" w:rsidRPr="00947458" w:rsidRDefault="004057F4" w:rsidP="00F059F1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3E697E06" w14:textId="77777777" w:rsidR="004057F4" w:rsidRPr="00947458" w:rsidRDefault="004057F4" w:rsidP="00F059F1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70148185" w14:textId="77777777" w:rsidR="004057F4" w:rsidRPr="00947458" w:rsidRDefault="004057F4" w:rsidP="00F059F1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5DB9C73F" w14:textId="77777777" w:rsidR="00C80B94" w:rsidRPr="00947458" w:rsidRDefault="00C80B94" w:rsidP="00F059F1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3B1DA683" w14:textId="77777777" w:rsidR="004057F4" w:rsidRPr="00947458" w:rsidRDefault="004057F4" w:rsidP="00F059F1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7B89B545" w14:textId="77777777" w:rsidR="004057F4" w:rsidRPr="00947458" w:rsidRDefault="00DB3751" w:rsidP="00F059F1">
      <w:pPr>
        <w:jc w:val="center"/>
        <w:rPr>
          <w:b/>
          <w:szCs w:val="24"/>
        </w:rPr>
        <w:sectPr w:rsidR="004057F4" w:rsidRPr="00947458" w:rsidSect="00C80B94">
          <w:headerReference w:type="default" r:id="rId15"/>
          <w:footnotePr>
            <w:numFmt w:val="chicago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947458">
        <w:rPr>
          <w:b/>
          <w:szCs w:val="24"/>
        </w:rPr>
        <w:t xml:space="preserve">Zagreb, </w:t>
      </w:r>
      <w:r w:rsidR="00284DF8" w:rsidRPr="00947458">
        <w:rPr>
          <w:b/>
          <w:szCs w:val="24"/>
        </w:rPr>
        <w:t>veljača</w:t>
      </w:r>
      <w:r w:rsidR="004057F4" w:rsidRPr="00947458">
        <w:rPr>
          <w:b/>
          <w:szCs w:val="24"/>
        </w:rPr>
        <w:t xml:space="preserve"> </w:t>
      </w:r>
      <w:r w:rsidRPr="00947458">
        <w:rPr>
          <w:b/>
          <w:szCs w:val="24"/>
        </w:rPr>
        <w:t>202</w:t>
      </w:r>
      <w:r w:rsidR="007D56FF" w:rsidRPr="00947458">
        <w:rPr>
          <w:b/>
          <w:szCs w:val="24"/>
        </w:rPr>
        <w:t>6</w:t>
      </w:r>
      <w:r w:rsidRPr="00947458">
        <w:rPr>
          <w:b/>
          <w:szCs w:val="24"/>
        </w:rPr>
        <w:t>.</w:t>
      </w:r>
    </w:p>
    <w:p w14:paraId="6CFC156B" w14:textId="77777777" w:rsidR="00F059F1" w:rsidRPr="00947458" w:rsidRDefault="00DB3751" w:rsidP="00DC46FA">
      <w:pPr>
        <w:pStyle w:val="Razina1"/>
      </w:pPr>
      <w:bookmarkStart w:id="0" w:name="_Toc73447651"/>
      <w:r w:rsidRPr="00947458">
        <w:lastRenderedPageBreak/>
        <w:t>U</w:t>
      </w:r>
      <w:r w:rsidR="00F059F1" w:rsidRPr="00947458">
        <w:t>vod</w:t>
      </w:r>
      <w:bookmarkEnd w:id="0"/>
    </w:p>
    <w:p w14:paraId="1DCEA5BB" w14:textId="77777777" w:rsidR="00F059F1" w:rsidRPr="00947458" w:rsidRDefault="00F059F1" w:rsidP="00F059F1">
      <w:pPr>
        <w:rPr>
          <w:szCs w:val="24"/>
        </w:rPr>
      </w:pPr>
      <w:r w:rsidRPr="00947458">
        <w:rPr>
          <w:szCs w:val="24"/>
        </w:rPr>
        <w:t>Izvješće o provedbi Plana protuminskog djelovanja i utrošenim financijskim sredstvima za 202</w:t>
      </w:r>
      <w:r w:rsidR="007D56FF" w:rsidRPr="00947458">
        <w:rPr>
          <w:szCs w:val="24"/>
        </w:rPr>
        <w:t>5</w:t>
      </w:r>
      <w:r w:rsidRPr="00947458">
        <w:rPr>
          <w:szCs w:val="24"/>
        </w:rPr>
        <w:t>. godinu (u daljnjem tekstu: Izvješće) je dokument kojem je svrha izvijestiti Hrvatski sabor i javnost o aktivnostima i ciljevima koji su realizirani na području protuminskog djelovanja u 202</w:t>
      </w:r>
      <w:r w:rsidR="007D56FF" w:rsidRPr="00947458">
        <w:rPr>
          <w:szCs w:val="24"/>
        </w:rPr>
        <w:t>5</w:t>
      </w:r>
      <w:r w:rsidRPr="00947458">
        <w:rPr>
          <w:szCs w:val="24"/>
        </w:rPr>
        <w:t>. godini,</w:t>
      </w:r>
      <w:r w:rsidR="00B34D08" w:rsidRPr="00947458">
        <w:rPr>
          <w:szCs w:val="24"/>
        </w:rPr>
        <w:t xml:space="preserve"> kao i financijskim sredstvima </w:t>
      </w:r>
      <w:r w:rsidRPr="00947458">
        <w:rPr>
          <w:szCs w:val="24"/>
        </w:rPr>
        <w:t>koja su osigurana i utrošena za tu namjenu.</w:t>
      </w:r>
    </w:p>
    <w:p w14:paraId="1BB8B427" w14:textId="77777777" w:rsidR="00F059F1" w:rsidRPr="00947458" w:rsidRDefault="00F059F1" w:rsidP="00F059F1">
      <w:pPr>
        <w:rPr>
          <w:szCs w:val="24"/>
        </w:rPr>
      </w:pPr>
    </w:p>
    <w:p w14:paraId="17E3FF02" w14:textId="77777777" w:rsidR="00F059F1" w:rsidRPr="00947458" w:rsidRDefault="00F059F1" w:rsidP="00F059F1">
      <w:pPr>
        <w:rPr>
          <w:szCs w:val="24"/>
        </w:rPr>
      </w:pPr>
      <w:r w:rsidRPr="00947458">
        <w:rPr>
          <w:szCs w:val="24"/>
        </w:rPr>
        <w:t>Sukladno Zakonu o protuminskom djelovanju</w:t>
      </w:r>
      <w:r w:rsidR="00CB299B" w:rsidRPr="00947458">
        <w:rPr>
          <w:szCs w:val="24"/>
        </w:rPr>
        <w:t xml:space="preserve"> </w:t>
      </w:r>
      <w:r w:rsidRPr="00947458">
        <w:rPr>
          <w:szCs w:val="24"/>
        </w:rPr>
        <w:t>(</w:t>
      </w:r>
      <w:r w:rsidR="00FF3329" w:rsidRPr="00947458">
        <w:rPr>
          <w:szCs w:val="24"/>
        </w:rPr>
        <w:t>„</w:t>
      </w:r>
      <w:r w:rsidRPr="00947458">
        <w:rPr>
          <w:szCs w:val="24"/>
        </w:rPr>
        <w:t>Nar</w:t>
      </w:r>
      <w:r w:rsidR="00065FE3" w:rsidRPr="00947458">
        <w:rPr>
          <w:szCs w:val="24"/>
        </w:rPr>
        <w:t>odne novine</w:t>
      </w:r>
      <w:r w:rsidR="00FF3329" w:rsidRPr="00947458">
        <w:rPr>
          <w:szCs w:val="24"/>
        </w:rPr>
        <w:t>“,</w:t>
      </w:r>
      <w:r w:rsidR="00065FE3" w:rsidRPr="00947458">
        <w:rPr>
          <w:szCs w:val="24"/>
        </w:rPr>
        <w:t xml:space="preserve"> br. 110/15., 118/18.,</w:t>
      </w:r>
      <w:r w:rsidRPr="00947458">
        <w:rPr>
          <w:szCs w:val="24"/>
        </w:rPr>
        <w:t xml:space="preserve"> 98/19</w:t>
      </w:r>
      <w:r w:rsidR="00065FE3" w:rsidRPr="00947458">
        <w:rPr>
          <w:szCs w:val="24"/>
        </w:rPr>
        <w:t>.</w:t>
      </w:r>
      <w:r w:rsidR="00531093" w:rsidRPr="00947458">
        <w:rPr>
          <w:szCs w:val="24"/>
        </w:rPr>
        <w:t xml:space="preserve">, </w:t>
      </w:r>
      <w:r w:rsidR="00065FE3" w:rsidRPr="00947458">
        <w:rPr>
          <w:szCs w:val="24"/>
        </w:rPr>
        <w:t>114/22.</w:t>
      </w:r>
      <w:r w:rsidR="00531093" w:rsidRPr="00947458">
        <w:rPr>
          <w:szCs w:val="24"/>
        </w:rPr>
        <w:t xml:space="preserve"> i 59/23.</w:t>
      </w:r>
      <w:r w:rsidR="00CB299B" w:rsidRPr="00947458">
        <w:rPr>
          <w:szCs w:val="24"/>
        </w:rPr>
        <w:t>, u daljnjem tekstu: Zakon</w:t>
      </w:r>
      <w:r w:rsidRPr="00947458">
        <w:rPr>
          <w:szCs w:val="24"/>
        </w:rPr>
        <w:t>)</w:t>
      </w:r>
      <w:r w:rsidR="00E10A09" w:rsidRPr="00947458">
        <w:rPr>
          <w:szCs w:val="24"/>
        </w:rPr>
        <w:t>,</w:t>
      </w:r>
      <w:r w:rsidRPr="00947458">
        <w:rPr>
          <w:szCs w:val="24"/>
        </w:rPr>
        <w:t xml:space="preserve"> Vlada Republike Hrvatske donosi Plan protuminskog djelovanja te </w:t>
      </w:r>
      <w:r w:rsidR="007C0BB3" w:rsidRPr="00947458">
        <w:rPr>
          <w:szCs w:val="24"/>
        </w:rPr>
        <w:t xml:space="preserve">podnosi </w:t>
      </w:r>
      <w:r w:rsidRPr="00947458">
        <w:rPr>
          <w:szCs w:val="24"/>
        </w:rPr>
        <w:t>Hrvatskom</w:t>
      </w:r>
      <w:r w:rsidR="00284DF8" w:rsidRPr="00947458">
        <w:rPr>
          <w:szCs w:val="24"/>
        </w:rPr>
        <w:t>e</w:t>
      </w:r>
      <w:r w:rsidR="004C320A" w:rsidRPr="00947458">
        <w:rPr>
          <w:szCs w:val="24"/>
        </w:rPr>
        <w:t xml:space="preserve"> saboru</w:t>
      </w:r>
      <w:r w:rsidRPr="00947458">
        <w:rPr>
          <w:szCs w:val="24"/>
        </w:rPr>
        <w:t xml:space="preserve"> Izvješće.</w:t>
      </w:r>
    </w:p>
    <w:p w14:paraId="20BAA41B" w14:textId="77777777" w:rsidR="003F20B2" w:rsidRPr="00947458" w:rsidRDefault="003F20B2" w:rsidP="00F059F1">
      <w:pPr>
        <w:rPr>
          <w:szCs w:val="24"/>
        </w:rPr>
      </w:pPr>
    </w:p>
    <w:p w14:paraId="33365203" w14:textId="06F2AA18" w:rsidR="007C0BB3" w:rsidRPr="00947458" w:rsidRDefault="002D1F5A" w:rsidP="00F059F1">
      <w:pPr>
        <w:rPr>
          <w:szCs w:val="24"/>
        </w:rPr>
      </w:pPr>
      <w:r w:rsidRPr="00947458">
        <w:rPr>
          <w:szCs w:val="24"/>
        </w:rPr>
        <w:t>Kao rezultat provedbe</w:t>
      </w:r>
      <w:r w:rsidR="007C0BB3" w:rsidRPr="00947458">
        <w:rPr>
          <w:szCs w:val="24"/>
        </w:rPr>
        <w:t xml:space="preserve"> Nacionaln</w:t>
      </w:r>
      <w:r w:rsidRPr="00947458">
        <w:rPr>
          <w:szCs w:val="24"/>
        </w:rPr>
        <w:t>og</w:t>
      </w:r>
      <w:r w:rsidR="007C0BB3" w:rsidRPr="00947458">
        <w:rPr>
          <w:szCs w:val="24"/>
        </w:rPr>
        <w:t xml:space="preserve"> program</w:t>
      </w:r>
      <w:r w:rsidRPr="00947458">
        <w:rPr>
          <w:szCs w:val="24"/>
        </w:rPr>
        <w:t>a</w:t>
      </w:r>
      <w:r w:rsidR="007C0BB3" w:rsidRPr="00947458">
        <w:rPr>
          <w:szCs w:val="24"/>
        </w:rPr>
        <w:t xml:space="preserve"> protuminskog djelovanja Republike Hrvatske do 2026. godine</w:t>
      </w:r>
      <w:r w:rsidR="00C368FA" w:rsidRPr="00947458">
        <w:rPr>
          <w:szCs w:val="24"/>
        </w:rPr>
        <w:t xml:space="preserve"> (</w:t>
      </w:r>
      <w:r w:rsidR="003A0A0D" w:rsidRPr="00947458">
        <w:t>„Narodne novine“, br</w:t>
      </w:r>
      <w:r w:rsidR="00E710AF" w:rsidRPr="00947458">
        <w:t>oj</w:t>
      </w:r>
      <w:r w:rsidR="003A0A0D" w:rsidRPr="00947458">
        <w:t xml:space="preserve"> 21/23.</w:t>
      </w:r>
      <w:r w:rsidR="00E710AF" w:rsidRPr="00947458">
        <w:t>;</w:t>
      </w:r>
      <w:r w:rsidR="00DB3751" w:rsidRPr="00947458">
        <w:t xml:space="preserve"> </w:t>
      </w:r>
      <w:r w:rsidR="00C368FA" w:rsidRPr="00947458">
        <w:rPr>
          <w:szCs w:val="24"/>
        </w:rPr>
        <w:t>u daljnjem tekstu: Nacionalni program)</w:t>
      </w:r>
      <w:r w:rsidR="007C0BB3" w:rsidRPr="00947458">
        <w:rPr>
          <w:szCs w:val="24"/>
        </w:rPr>
        <w:t xml:space="preserve">, Republika Hrvatska </w:t>
      </w:r>
      <w:r w:rsidR="006D0F44" w:rsidRPr="00947458">
        <w:rPr>
          <w:szCs w:val="24"/>
        </w:rPr>
        <w:t>će biti</w:t>
      </w:r>
      <w:r w:rsidR="007C0BB3" w:rsidRPr="00947458">
        <w:rPr>
          <w:szCs w:val="24"/>
        </w:rPr>
        <w:t xml:space="preserve"> bez minske opasnosti do </w:t>
      </w:r>
      <w:r w:rsidRPr="00947458">
        <w:rPr>
          <w:szCs w:val="24"/>
        </w:rPr>
        <w:t xml:space="preserve">1. ožujka </w:t>
      </w:r>
      <w:r w:rsidR="007C0BB3" w:rsidRPr="00947458">
        <w:rPr>
          <w:szCs w:val="24"/>
        </w:rPr>
        <w:t>2026.</w:t>
      </w:r>
      <w:r w:rsidR="00555AB8" w:rsidRPr="00947458">
        <w:rPr>
          <w:szCs w:val="24"/>
        </w:rPr>
        <w:t xml:space="preserve">, a čime će se </w:t>
      </w:r>
      <w:r w:rsidR="007C0BB3" w:rsidRPr="00947458">
        <w:rPr>
          <w:szCs w:val="24"/>
        </w:rPr>
        <w:t>izvrš</w:t>
      </w:r>
      <w:r w:rsidR="00555AB8" w:rsidRPr="00947458">
        <w:rPr>
          <w:szCs w:val="24"/>
        </w:rPr>
        <w:t>iti</w:t>
      </w:r>
      <w:r w:rsidR="00F70696" w:rsidRPr="00947458">
        <w:rPr>
          <w:szCs w:val="24"/>
        </w:rPr>
        <w:t xml:space="preserve"> </w:t>
      </w:r>
      <w:r w:rsidR="007C0BB3" w:rsidRPr="00947458">
        <w:rPr>
          <w:szCs w:val="24"/>
        </w:rPr>
        <w:t xml:space="preserve">obveze Republike Hrvatske </w:t>
      </w:r>
      <w:r w:rsidR="00555AB8" w:rsidRPr="00947458">
        <w:rPr>
          <w:szCs w:val="24"/>
        </w:rPr>
        <w:t xml:space="preserve">vezane uz </w:t>
      </w:r>
      <w:r w:rsidR="0020162E" w:rsidRPr="00947458">
        <w:rPr>
          <w:szCs w:val="24"/>
        </w:rPr>
        <w:t>isključenje minski sumnjivog</w:t>
      </w:r>
      <w:r w:rsidR="00555AB8" w:rsidRPr="00947458">
        <w:rPr>
          <w:szCs w:val="24"/>
        </w:rPr>
        <w:t xml:space="preserve"> područja proizašle iz me</w:t>
      </w:r>
      <w:r w:rsidR="006012D2" w:rsidRPr="00947458">
        <w:rPr>
          <w:szCs w:val="24"/>
        </w:rPr>
        <w:t>đ</w:t>
      </w:r>
      <w:r w:rsidR="00555AB8" w:rsidRPr="00947458">
        <w:rPr>
          <w:szCs w:val="24"/>
        </w:rPr>
        <w:t>unarodno ratificiranih ugovora</w:t>
      </w:r>
      <w:r w:rsidR="007C0BB3" w:rsidRPr="00947458">
        <w:rPr>
          <w:szCs w:val="24"/>
        </w:rPr>
        <w:t xml:space="preserve">, posebice </w:t>
      </w:r>
      <w:r w:rsidR="00555AB8" w:rsidRPr="00947458">
        <w:rPr>
          <w:szCs w:val="24"/>
        </w:rPr>
        <w:t>naglašavajući obveze iz članka 5. Konvencije</w:t>
      </w:r>
      <w:r w:rsidR="007C0BB3" w:rsidRPr="00947458">
        <w:rPr>
          <w:szCs w:val="24"/>
        </w:rPr>
        <w:t xml:space="preserve"> o zabrani uporabe, stvaranja zaliha, proizvodnje i prijenosa protupješačkih mina i o njihovom uništenju (</w:t>
      </w:r>
      <w:r w:rsidR="004007B2">
        <w:rPr>
          <w:szCs w:val="24"/>
        </w:rPr>
        <w:t xml:space="preserve">u daljnjem tekstu: </w:t>
      </w:r>
      <w:r w:rsidR="007C0BB3" w:rsidRPr="00947458">
        <w:rPr>
          <w:szCs w:val="24"/>
        </w:rPr>
        <w:t>Ottawska konvencija)</w:t>
      </w:r>
      <w:r w:rsidR="00555AB8" w:rsidRPr="00947458">
        <w:rPr>
          <w:szCs w:val="24"/>
        </w:rPr>
        <w:t>.</w:t>
      </w:r>
    </w:p>
    <w:p w14:paraId="45F50B64" w14:textId="77777777" w:rsidR="00F059F1" w:rsidRPr="00947458" w:rsidRDefault="00F059F1" w:rsidP="00DC46FA">
      <w:pPr>
        <w:pStyle w:val="Razina1"/>
      </w:pPr>
      <w:r w:rsidRPr="00947458">
        <w:t>STANJE MINSKI SUMNJIVIH PODRUČJA NA KRAJU 202</w:t>
      </w:r>
      <w:r w:rsidR="00B4514B" w:rsidRPr="00947458">
        <w:t>5</w:t>
      </w:r>
      <w:r w:rsidRPr="00947458">
        <w:t>. godine</w:t>
      </w:r>
    </w:p>
    <w:p w14:paraId="64C2CE0C" w14:textId="77777777" w:rsidR="00F059F1" w:rsidRPr="00947458" w:rsidRDefault="00F1763D" w:rsidP="00F059F1">
      <w:pPr>
        <w:rPr>
          <w:szCs w:val="24"/>
        </w:rPr>
      </w:pPr>
      <w:r w:rsidRPr="00947458">
        <w:rPr>
          <w:szCs w:val="24"/>
        </w:rPr>
        <w:t>Na kraju 202</w:t>
      </w:r>
      <w:r w:rsidR="007D56FF" w:rsidRPr="00947458">
        <w:rPr>
          <w:szCs w:val="24"/>
        </w:rPr>
        <w:t>5</w:t>
      </w:r>
      <w:r w:rsidRPr="00947458">
        <w:rPr>
          <w:szCs w:val="24"/>
        </w:rPr>
        <w:t xml:space="preserve">. godine </w:t>
      </w:r>
      <w:r w:rsidR="00DB3751" w:rsidRPr="00947458">
        <w:rPr>
          <w:szCs w:val="24"/>
        </w:rPr>
        <w:t>ukupna površina minski sumnjivog područja (u daljnjem tekstu:</w:t>
      </w:r>
      <w:r w:rsidRPr="00947458">
        <w:rPr>
          <w:szCs w:val="24"/>
        </w:rPr>
        <w:t xml:space="preserve"> MSP</w:t>
      </w:r>
      <w:r w:rsidR="00DB3751" w:rsidRPr="00947458">
        <w:rPr>
          <w:szCs w:val="24"/>
        </w:rPr>
        <w:t>)</w:t>
      </w:r>
      <w:r w:rsidRPr="00947458">
        <w:rPr>
          <w:szCs w:val="24"/>
        </w:rPr>
        <w:t xml:space="preserve"> u Republici Hrvatskoj </w:t>
      </w:r>
      <w:r w:rsidR="00DB3751" w:rsidRPr="00947458">
        <w:rPr>
          <w:szCs w:val="24"/>
        </w:rPr>
        <w:t>je</w:t>
      </w:r>
      <w:r w:rsidRPr="00947458">
        <w:rPr>
          <w:szCs w:val="24"/>
        </w:rPr>
        <w:t xml:space="preserve"> </w:t>
      </w:r>
      <w:r w:rsidR="007D56FF" w:rsidRPr="00947458">
        <w:rPr>
          <w:szCs w:val="24"/>
        </w:rPr>
        <w:t>1</w:t>
      </w:r>
      <w:r w:rsidRPr="00947458">
        <w:rPr>
          <w:szCs w:val="24"/>
        </w:rPr>
        <w:t>,</w:t>
      </w:r>
      <w:r w:rsidR="007D56FF" w:rsidRPr="00947458">
        <w:rPr>
          <w:szCs w:val="24"/>
        </w:rPr>
        <w:t>9</w:t>
      </w:r>
      <w:r w:rsidRPr="00947458">
        <w:rPr>
          <w:szCs w:val="24"/>
        </w:rPr>
        <w:t xml:space="preserve">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 xml:space="preserve"> </w:t>
      </w:r>
      <w:r w:rsidR="00DB3751" w:rsidRPr="00947458">
        <w:rPr>
          <w:szCs w:val="24"/>
        </w:rPr>
        <w:t xml:space="preserve">i </w:t>
      </w:r>
      <w:r w:rsidRPr="00947458">
        <w:rPr>
          <w:szCs w:val="24"/>
        </w:rPr>
        <w:t>obilježen</w:t>
      </w:r>
      <w:r w:rsidR="00DB3751" w:rsidRPr="00947458">
        <w:rPr>
          <w:szCs w:val="24"/>
        </w:rPr>
        <w:t>a</w:t>
      </w:r>
      <w:r w:rsidRPr="00947458">
        <w:rPr>
          <w:szCs w:val="24"/>
        </w:rPr>
        <w:t xml:space="preserve"> je s</w:t>
      </w:r>
      <w:r w:rsidR="00284DF8" w:rsidRPr="00947458">
        <w:rPr>
          <w:szCs w:val="24"/>
        </w:rPr>
        <w:t>a</w:t>
      </w:r>
      <w:r w:rsidRPr="00947458">
        <w:rPr>
          <w:szCs w:val="24"/>
        </w:rPr>
        <w:t xml:space="preserve"> </w:t>
      </w:r>
      <w:r w:rsidR="007D56FF" w:rsidRPr="00947458">
        <w:rPr>
          <w:szCs w:val="24"/>
        </w:rPr>
        <w:t>19</w:t>
      </w:r>
      <w:r w:rsidR="00B4514B" w:rsidRPr="00947458">
        <w:rPr>
          <w:szCs w:val="24"/>
        </w:rPr>
        <w:t>4</w:t>
      </w:r>
      <w:r w:rsidR="007D56FF" w:rsidRPr="00947458">
        <w:rPr>
          <w:szCs w:val="24"/>
        </w:rPr>
        <w:t xml:space="preserve"> oznake</w:t>
      </w:r>
      <w:r w:rsidRPr="00947458">
        <w:rPr>
          <w:szCs w:val="24"/>
        </w:rPr>
        <w:t xml:space="preserve"> koje ukazuju na minsku opasnost i mogući pronalazak </w:t>
      </w:r>
      <w:r w:rsidR="00901E6F" w:rsidRPr="00947458">
        <w:rPr>
          <w:szCs w:val="24"/>
        </w:rPr>
        <w:t xml:space="preserve">neeksplodiranih ubojnih sredstava </w:t>
      </w:r>
      <w:r w:rsidR="00901E6F" w:rsidRPr="00947458">
        <w:t>(u daljnjem tekstu: NUS)</w:t>
      </w:r>
      <w:r w:rsidRPr="00947458">
        <w:rPr>
          <w:szCs w:val="24"/>
        </w:rPr>
        <w:t xml:space="preserve">. </w:t>
      </w:r>
      <w:r w:rsidR="00F059F1" w:rsidRPr="00947458">
        <w:rPr>
          <w:szCs w:val="24"/>
        </w:rPr>
        <w:t xml:space="preserve">U odnosu </w:t>
      </w:r>
      <w:r w:rsidR="00847F0C" w:rsidRPr="00947458">
        <w:rPr>
          <w:szCs w:val="24"/>
        </w:rPr>
        <w:t xml:space="preserve">na </w:t>
      </w:r>
      <w:r w:rsidR="00F059F1" w:rsidRPr="00947458">
        <w:rPr>
          <w:szCs w:val="24"/>
        </w:rPr>
        <w:t>202</w:t>
      </w:r>
      <w:r w:rsidR="007D56FF" w:rsidRPr="00947458">
        <w:rPr>
          <w:szCs w:val="24"/>
        </w:rPr>
        <w:t>4</w:t>
      </w:r>
      <w:r w:rsidR="002D1F5A" w:rsidRPr="00947458">
        <w:rPr>
          <w:szCs w:val="24"/>
        </w:rPr>
        <w:t>. godinu MSP je smanjen za 4</w:t>
      </w:r>
      <w:r w:rsidR="007D56FF" w:rsidRPr="00947458">
        <w:rPr>
          <w:szCs w:val="24"/>
        </w:rPr>
        <w:t>7</w:t>
      </w:r>
      <w:r w:rsidR="002D1F5A" w:rsidRPr="00947458">
        <w:rPr>
          <w:szCs w:val="24"/>
        </w:rPr>
        <w:t>,</w:t>
      </w:r>
      <w:r w:rsidR="007D56FF" w:rsidRPr="00947458">
        <w:rPr>
          <w:szCs w:val="24"/>
        </w:rPr>
        <w:t>4</w:t>
      </w:r>
      <w:r w:rsidR="00F059F1" w:rsidRPr="00947458">
        <w:rPr>
          <w:szCs w:val="24"/>
        </w:rPr>
        <w:t xml:space="preserve"> km</w:t>
      </w:r>
      <w:r w:rsidR="00F059F1" w:rsidRPr="00947458">
        <w:rPr>
          <w:szCs w:val="24"/>
          <w:vertAlign w:val="superscript"/>
        </w:rPr>
        <w:t>2</w:t>
      </w:r>
      <w:r w:rsidR="00847F0C" w:rsidRPr="00947458">
        <w:rPr>
          <w:szCs w:val="24"/>
        </w:rPr>
        <w:t xml:space="preserve"> </w:t>
      </w:r>
      <w:r w:rsidR="00791406" w:rsidRPr="00947458">
        <w:rPr>
          <w:szCs w:val="24"/>
        </w:rPr>
        <w:t xml:space="preserve">i to na način da je iz MSP-a </w:t>
      </w:r>
      <w:r w:rsidR="002D1F5A" w:rsidRPr="00947458">
        <w:rPr>
          <w:szCs w:val="24"/>
        </w:rPr>
        <w:t>isključeno 4</w:t>
      </w:r>
      <w:r w:rsidR="007D56FF" w:rsidRPr="00947458">
        <w:rPr>
          <w:szCs w:val="24"/>
        </w:rPr>
        <w:t>7</w:t>
      </w:r>
      <w:r w:rsidR="002D1F5A" w:rsidRPr="00947458">
        <w:rPr>
          <w:szCs w:val="24"/>
        </w:rPr>
        <w:t>,</w:t>
      </w:r>
      <w:r w:rsidR="007D56FF" w:rsidRPr="00947458">
        <w:rPr>
          <w:szCs w:val="24"/>
        </w:rPr>
        <w:t>7</w:t>
      </w:r>
      <w:r w:rsidR="00847F0C" w:rsidRPr="00947458">
        <w:rPr>
          <w:szCs w:val="24"/>
        </w:rPr>
        <w:t xml:space="preserve"> km</w:t>
      </w:r>
      <w:r w:rsidR="00847F0C" w:rsidRPr="00947458">
        <w:rPr>
          <w:szCs w:val="24"/>
          <w:vertAlign w:val="superscript"/>
        </w:rPr>
        <w:t>2</w:t>
      </w:r>
      <w:r w:rsidR="00791406" w:rsidRPr="00947458">
        <w:rPr>
          <w:szCs w:val="24"/>
        </w:rPr>
        <w:t>, a proglašeno minski sumnjivim</w:t>
      </w:r>
      <w:r w:rsidR="00BE160D" w:rsidRPr="00947458">
        <w:rPr>
          <w:rStyle w:val="FootnoteReference"/>
          <w:szCs w:val="24"/>
        </w:rPr>
        <w:footnoteReference w:id="1"/>
      </w:r>
      <w:r w:rsidR="00ED09D7" w:rsidRPr="00947458">
        <w:rPr>
          <w:szCs w:val="24"/>
        </w:rPr>
        <w:t xml:space="preserve"> (u daljnjem tekstu: uključeno)</w:t>
      </w:r>
      <w:r w:rsidR="00753B63" w:rsidRPr="00947458">
        <w:rPr>
          <w:szCs w:val="24"/>
        </w:rPr>
        <w:t xml:space="preserve"> 0,3 km</w:t>
      </w:r>
      <w:r w:rsidR="00753B63" w:rsidRPr="00947458">
        <w:rPr>
          <w:szCs w:val="24"/>
          <w:vertAlign w:val="superscript"/>
        </w:rPr>
        <w:t>2</w:t>
      </w:r>
      <w:r w:rsidR="00F059F1" w:rsidRPr="00947458">
        <w:rPr>
          <w:szCs w:val="24"/>
        </w:rPr>
        <w:t>.</w:t>
      </w:r>
    </w:p>
    <w:p w14:paraId="20679095" w14:textId="77777777" w:rsidR="000B0E09" w:rsidRPr="00947458" w:rsidRDefault="000B0E09" w:rsidP="00F059F1">
      <w:pPr>
        <w:rPr>
          <w:szCs w:val="24"/>
        </w:rPr>
      </w:pPr>
    </w:p>
    <w:p w14:paraId="40225F06" w14:textId="62969F83" w:rsidR="000B0E09" w:rsidRPr="00947458" w:rsidRDefault="000B0E09" w:rsidP="000B0E09">
      <w:pPr>
        <w:rPr>
          <w:szCs w:val="24"/>
        </w:rPr>
      </w:pPr>
      <w:r w:rsidRPr="00947458">
        <w:rPr>
          <w:szCs w:val="24"/>
        </w:rPr>
        <w:t xml:space="preserve">MSP obuhvaća </w:t>
      </w:r>
      <w:r w:rsidR="007D56FF" w:rsidRPr="00947458">
        <w:rPr>
          <w:szCs w:val="24"/>
        </w:rPr>
        <w:t>1</w:t>
      </w:r>
      <w:r w:rsidRPr="00947458">
        <w:rPr>
          <w:szCs w:val="24"/>
        </w:rPr>
        <w:t>,</w:t>
      </w:r>
      <w:r w:rsidR="007D56FF" w:rsidRPr="00947458">
        <w:rPr>
          <w:szCs w:val="24"/>
        </w:rPr>
        <w:t>9</w:t>
      </w:r>
      <w:r w:rsidRPr="00947458">
        <w:rPr>
          <w:szCs w:val="24"/>
        </w:rPr>
        <w:t xml:space="preserve">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 xml:space="preserve"> područja zagađenih </w:t>
      </w:r>
      <w:r w:rsidR="00901E6F" w:rsidRPr="00947458">
        <w:rPr>
          <w:szCs w:val="24"/>
        </w:rPr>
        <w:t xml:space="preserve">minsko-eksplozivnim sredstvima </w:t>
      </w:r>
      <w:r w:rsidR="00901E6F" w:rsidRPr="00947458">
        <w:t>(u daljnjem tekstu: MES)</w:t>
      </w:r>
      <w:r w:rsidRPr="00947458">
        <w:rPr>
          <w:szCs w:val="24"/>
        </w:rPr>
        <w:t xml:space="preserve"> na području </w:t>
      </w:r>
      <w:r w:rsidR="0002716D">
        <w:rPr>
          <w:szCs w:val="24"/>
        </w:rPr>
        <w:t>dviju</w:t>
      </w:r>
      <w:r w:rsidRPr="00947458">
        <w:rPr>
          <w:szCs w:val="24"/>
        </w:rPr>
        <w:t xml:space="preserve"> jedinic</w:t>
      </w:r>
      <w:r w:rsidR="0002716D">
        <w:rPr>
          <w:szCs w:val="24"/>
        </w:rPr>
        <w:t>a</w:t>
      </w:r>
      <w:r w:rsidRPr="00947458">
        <w:rPr>
          <w:szCs w:val="24"/>
        </w:rPr>
        <w:t xml:space="preserve"> lokalne samouprave</w:t>
      </w:r>
      <w:r w:rsidR="007D56FF" w:rsidRPr="00947458">
        <w:rPr>
          <w:szCs w:val="24"/>
        </w:rPr>
        <w:t xml:space="preserve"> (Donji Lapac i Otočac)</w:t>
      </w:r>
      <w:r w:rsidRPr="00947458">
        <w:rPr>
          <w:szCs w:val="24"/>
        </w:rPr>
        <w:t xml:space="preserve"> u </w:t>
      </w:r>
      <w:r w:rsidR="007D56FF" w:rsidRPr="00947458">
        <w:rPr>
          <w:szCs w:val="24"/>
        </w:rPr>
        <w:t>Ličko-senjskoj županiji</w:t>
      </w:r>
      <w:r w:rsidRPr="00947458">
        <w:rPr>
          <w:szCs w:val="24"/>
        </w:rPr>
        <w:t>.</w:t>
      </w:r>
    </w:p>
    <w:p w14:paraId="01A43A2E" w14:textId="77777777" w:rsidR="00F059F1" w:rsidRPr="00947458" w:rsidRDefault="00F059F1" w:rsidP="00DC46FA">
      <w:pPr>
        <w:pStyle w:val="Razina1"/>
      </w:pPr>
      <w:r w:rsidRPr="00947458">
        <w:t>REALIZACIJA TEMELJNIH CILJEVA PLANA</w:t>
      </w:r>
    </w:p>
    <w:p w14:paraId="1458B7C0" w14:textId="77777777" w:rsidR="000D1685" w:rsidRPr="00947458" w:rsidRDefault="000D1685" w:rsidP="000D1685">
      <w:r w:rsidRPr="00947458">
        <w:t>Sukladno odobrenim financijskim sredstvima, kao i strateškim ciljevima utvrđenim u Nacionalnom programu, u 202</w:t>
      </w:r>
      <w:r w:rsidR="007D56FF" w:rsidRPr="00947458">
        <w:t>5</w:t>
      </w:r>
      <w:r w:rsidRPr="00947458">
        <w:t>. godini protuminskim djelovanjem planirano je ostvarenje sljedećih ciljeva:</w:t>
      </w:r>
    </w:p>
    <w:p w14:paraId="2A8E0DB4" w14:textId="77777777" w:rsidR="00177618" w:rsidRPr="00947458" w:rsidRDefault="00177618" w:rsidP="000D1685"/>
    <w:p w14:paraId="26B08646" w14:textId="77777777" w:rsidR="000D1685" w:rsidRPr="00947458" w:rsidRDefault="000D1685" w:rsidP="00177618">
      <w:pPr>
        <w:keepNext/>
        <w:numPr>
          <w:ilvl w:val="0"/>
          <w:numId w:val="11"/>
        </w:numPr>
        <w:ind w:left="357" w:hanging="357"/>
        <w:rPr>
          <w:b/>
        </w:rPr>
      </w:pPr>
      <w:r w:rsidRPr="00947458">
        <w:rPr>
          <w:b/>
        </w:rPr>
        <w:lastRenderedPageBreak/>
        <w:t>CILJ 1</w:t>
      </w:r>
    </w:p>
    <w:p w14:paraId="5D1BFF63" w14:textId="77777777" w:rsidR="000D1685" w:rsidRPr="00947458" w:rsidRDefault="007D56FF" w:rsidP="000D1685">
      <w:pPr>
        <w:rPr>
          <w:b/>
        </w:rPr>
      </w:pPr>
      <w:r w:rsidRPr="00947458">
        <w:rPr>
          <w:b/>
        </w:rPr>
        <w:t>Obavljanje poslova izviđanja i razminiranja na svim preostalim područjima zagađenim MES-om u Republici Hrvatskoj (47,2 km</w:t>
      </w:r>
      <w:r w:rsidRPr="00947458">
        <w:rPr>
          <w:b/>
          <w:vertAlign w:val="superscript"/>
        </w:rPr>
        <w:t>2</w:t>
      </w:r>
      <w:r w:rsidRPr="00947458">
        <w:rPr>
          <w:b/>
        </w:rPr>
        <w:t>)</w:t>
      </w:r>
    </w:p>
    <w:p w14:paraId="162153E5" w14:textId="77777777" w:rsidR="007D56FF" w:rsidRPr="00947458" w:rsidRDefault="007D56FF" w:rsidP="000D1685"/>
    <w:p w14:paraId="179C2899" w14:textId="77777777" w:rsidR="000D1685" w:rsidRPr="00947458" w:rsidRDefault="000D1685" w:rsidP="000D1685">
      <w:pPr>
        <w:numPr>
          <w:ilvl w:val="0"/>
          <w:numId w:val="11"/>
        </w:numPr>
        <w:rPr>
          <w:b/>
        </w:rPr>
      </w:pPr>
      <w:r w:rsidRPr="00947458">
        <w:rPr>
          <w:b/>
        </w:rPr>
        <w:t>CILJ 2</w:t>
      </w:r>
    </w:p>
    <w:p w14:paraId="5CCE3618" w14:textId="77777777" w:rsidR="000D1685" w:rsidRPr="00947458" w:rsidRDefault="007D56FF" w:rsidP="000D1685">
      <w:pPr>
        <w:rPr>
          <w:b/>
        </w:rPr>
      </w:pPr>
      <w:r w:rsidRPr="00947458">
        <w:rPr>
          <w:b/>
        </w:rPr>
        <w:t>Obavljanje poslova razminiranja na područjima zagađenim isključivo NUS-om (2,1 km</w:t>
      </w:r>
      <w:r w:rsidRPr="00947458">
        <w:rPr>
          <w:b/>
          <w:vertAlign w:val="superscript"/>
        </w:rPr>
        <w:t>2</w:t>
      </w:r>
      <w:r w:rsidRPr="00947458">
        <w:rPr>
          <w:b/>
        </w:rPr>
        <w:t>)</w:t>
      </w:r>
    </w:p>
    <w:p w14:paraId="6DFE1F9E" w14:textId="77777777" w:rsidR="000D1685" w:rsidRPr="00947458" w:rsidRDefault="000D1685" w:rsidP="000D1685"/>
    <w:p w14:paraId="490FD5A0" w14:textId="77777777" w:rsidR="000D1685" w:rsidRPr="00947458" w:rsidRDefault="000D1685" w:rsidP="000D1685">
      <w:pPr>
        <w:numPr>
          <w:ilvl w:val="0"/>
          <w:numId w:val="11"/>
        </w:numPr>
        <w:rPr>
          <w:b/>
        </w:rPr>
      </w:pPr>
      <w:r w:rsidRPr="00947458">
        <w:rPr>
          <w:b/>
        </w:rPr>
        <w:t>CILJ 3</w:t>
      </w:r>
    </w:p>
    <w:p w14:paraId="7F83443F" w14:textId="77777777" w:rsidR="000D1685" w:rsidRPr="00947458" w:rsidRDefault="000D1685" w:rsidP="000D1685">
      <w:pPr>
        <w:rPr>
          <w:b/>
        </w:rPr>
      </w:pPr>
      <w:r w:rsidRPr="00947458">
        <w:rPr>
          <w:b/>
        </w:rPr>
        <w:t>Informiranje i edukacija stanovništva o opasnostima od MES-a, NUS-a i njihovih dijelova</w:t>
      </w:r>
    </w:p>
    <w:p w14:paraId="69DE1F05" w14:textId="77777777" w:rsidR="000D1685" w:rsidRPr="00947458" w:rsidRDefault="000D1685" w:rsidP="00F059F1">
      <w:pPr>
        <w:spacing w:line="240" w:lineRule="auto"/>
        <w:rPr>
          <w:szCs w:val="24"/>
        </w:rPr>
      </w:pPr>
    </w:p>
    <w:p w14:paraId="0958DFA8" w14:textId="77777777" w:rsidR="00F059F1" w:rsidRPr="00947458" w:rsidRDefault="00F059F1" w:rsidP="00F059F1">
      <w:pPr>
        <w:spacing w:line="240" w:lineRule="auto"/>
        <w:rPr>
          <w:szCs w:val="24"/>
        </w:rPr>
      </w:pPr>
      <w:r w:rsidRPr="00947458">
        <w:rPr>
          <w:szCs w:val="24"/>
        </w:rPr>
        <w:t>U ciljeve nije uključeno razminiranje vojnih lokacija i/ili građevina za koje je nadležno Ministarstvo obrane</w:t>
      </w:r>
      <w:r w:rsidR="00052617" w:rsidRPr="00947458">
        <w:rPr>
          <w:szCs w:val="24"/>
        </w:rPr>
        <w:t xml:space="preserve"> (u daljnjem tekstu: MORH)</w:t>
      </w:r>
      <w:r w:rsidR="006724AF" w:rsidRPr="00947458">
        <w:rPr>
          <w:szCs w:val="24"/>
        </w:rPr>
        <w:t xml:space="preserve"> na temelju članka</w:t>
      </w:r>
      <w:r w:rsidRPr="00947458">
        <w:rPr>
          <w:szCs w:val="24"/>
        </w:rPr>
        <w:t xml:space="preserve"> 3. Zakona. M</w:t>
      </w:r>
      <w:r w:rsidR="00052617" w:rsidRPr="00947458">
        <w:rPr>
          <w:szCs w:val="24"/>
        </w:rPr>
        <w:t>ORH</w:t>
      </w:r>
      <w:r w:rsidRPr="00947458">
        <w:rPr>
          <w:szCs w:val="24"/>
        </w:rPr>
        <w:t xml:space="preserve"> </w:t>
      </w:r>
      <w:r w:rsidR="006368E1" w:rsidRPr="00947458">
        <w:rPr>
          <w:szCs w:val="24"/>
        </w:rPr>
        <w:t xml:space="preserve">dostavlja </w:t>
      </w:r>
      <w:r w:rsidRPr="00947458">
        <w:rPr>
          <w:szCs w:val="24"/>
        </w:rPr>
        <w:t>M</w:t>
      </w:r>
      <w:r w:rsidR="008014CF" w:rsidRPr="00947458">
        <w:rPr>
          <w:szCs w:val="24"/>
        </w:rPr>
        <w:t>inistarstvu unutarnjih poslova (u daljnjem tekstu: M</w:t>
      </w:r>
      <w:r w:rsidRPr="00947458">
        <w:rPr>
          <w:szCs w:val="24"/>
        </w:rPr>
        <w:t>UP</w:t>
      </w:r>
      <w:r w:rsidR="008014CF" w:rsidRPr="00947458">
        <w:rPr>
          <w:szCs w:val="24"/>
        </w:rPr>
        <w:t>)</w:t>
      </w:r>
      <w:r w:rsidRPr="00947458">
        <w:rPr>
          <w:szCs w:val="24"/>
        </w:rPr>
        <w:t xml:space="preserve"> Izvješće o razminiranju vojnih lokacija i/ili građevina</w:t>
      </w:r>
      <w:r w:rsidR="00065FE3" w:rsidRPr="00947458">
        <w:rPr>
          <w:szCs w:val="24"/>
        </w:rPr>
        <w:t xml:space="preserve"> u 202</w:t>
      </w:r>
      <w:r w:rsidR="007D56FF" w:rsidRPr="00947458">
        <w:rPr>
          <w:szCs w:val="24"/>
        </w:rPr>
        <w:t>5</w:t>
      </w:r>
      <w:r w:rsidR="00065FE3" w:rsidRPr="00947458">
        <w:rPr>
          <w:szCs w:val="24"/>
        </w:rPr>
        <w:t>. godini</w:t>
      </w:r>
      <w:r w:rsidRPr="00947458">
        <w:rPr>
          <w:szCs w:val="24"/>
        </w:rPr>
        <w:t xml:space="preserve"> koje je prilog ovom Izvješću.</w:t>
      </w:r>
    </w:p>
    <w:p w14:paraId="3188E588" w14:textId="77777777" w:rsidR="00F059F1" w:rsidRPr="00947458" w:rsidRDefault="00B5564C" w:rsidP="00C80B94">
      <w:pPr>
        <w:pStyle w:val="Razina2"/>
        <w:numPr>
          <w:ilvl w:val="1"/>
          <w:numId w:val="13"/>
        </w:numPr>
        <w:tabs>
          <w:tab w:val="clear" w:pos="510"/>
        </w:tabs>
        <w:ind w:left="709" w:hanging="709"/>
      </w:pPr>
      <w:r w:rsidRPr="00947458">
        <w:t>Obavljanje poslova izviđanja i razminiranja na svim preostalim područjima zagađenim MES-om u Republici Hrvatskoj (47,2 km</w:t>
      </w:r>
      <w:r w:rsidRPr="00947458">
        <w:rPr>
          <w:vertAlign w:val="superscript"/>
        </w:rPr>
        <w:t>2</w:t>
      </w:r>
      <w:r w:rsidRPr="00947458">
        <w:t>)</w:t>
      </w:r>
      <w:r w:rsidR="00F059F1" w:rsidRPr="00947458">
        <w:t xml:space="preserve"> </w:t>
      </w:r>
      <w:r w:rsidR="00F059F1" w:rsidRPr="00947458">
        <w:rPr>
          <w:i/>
        </w:rPr>
        <w:t>(CILJ 1)</w:t>
      </w:r>
    </w:p>
    <w:p w14:paraId="6BDA6067" w14:textId="77777777" w:rsidR="0085410C" w:rsidRPr="00947458" w:rsidRDefault="0085410C" w:rsidP="00F059F1">
      <w:pPr>
        <w:spacing w:line="240" w:lineRule="auto"/>
        <w:rPr>
          <w:szCs w:val="24"/>
        </w:rPr>
      </w:pPr>
      <w:r w:rsidRPr="00947458">
        <w:rPr>
          <w:szCs w:val="24"/>
        </w:rPr>
        <w:t>U 2025. godini završeni su poslovi izviđanja i razminiranja na svim preostalim područjima zagađenim MES-om u Republici Hrvatskoj, površine 47,5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 xml:space="preserve"> (</w:t>
      </w:r>
      <w:r w:rsidR="003B15E2" w:rsidRPr="00947458">
        <w:rPr>
          <w:szCs w:val="24"/>
        </w:rPr>
        <w:t>47,2 km</w:t>
      </w:r>
      <w:r w:rsidR="003B15E2" w:rsidRPr="00947458">
        <w:rPr>
          <w:szCs w:val="24"/>
          <w:vertAlign w:val="superscript"/>
        </w:rPr>
        <w:t>2</w:t>
      </w:r>
      <w:r w:rsidR="003B15E2" w:rsidRPr="00947458">
        <w:rPr>
          <w:szCs w:val="24"/>
        </w:rPr>
        <w:t xml:space="preserve"> MSP-a iz 2024. godine </w:t>
      </w:r>
      <w:r w:rsidRPr="00947458">
        <w:rPr>
          <w:szCs w:val="24"/>
        </w:rPr>
        <w:t>zajedno s 0,3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 xml:space="preserve"> u MSP uključenog područja u 2025. godini).</w:t>
      </w:r>
    </w:p>
    <w:p w14:paraId="33B152FE" w14:textId="77777777" w:rsidR="009C306B" w:rsidRPr="00947458" w:rsidRDefault="009C306B" w:rsidP="00F059F1">
      <w:pPr>
        <w:spacing w:line="240" w:lineRule="auto"/>
        <w:rPr>
          <w:szCs w:val="24"/>
        </w:rPr>
      </w:pPr>
    </w:p>
    <w:p w14:paraId="34C9B29D" w14:textId="77777777" w:rsidR="00E518A6" w:rsidRPr="00947458" w:rsidRDefault="0085410C" w:rsidP="00F059F1">
      <w:pPr>
        <w:spacing w:line="240" w:lineRule="auto"/>
        <w:rPr>
          <w:szCs w:val="24"/>
        </w:rPr>
      </w:pPr>
      <w:r w:rsidRPr="00947458">
        <w:rPr>
          <w:szCs w:val="24"/>
        </w:rPr>
        <w:t>K</w:t>
      </w:r>
      <w:r w:rsidR="00F059F1" w:rsidRPr="00947458">
        <w:rPr>
          <w:szCs w:val="24"/>
        </w:rPr>
        <w:t>ao rezultat izvršenih poslova razminiranja te općeg i tehničkog izvida, iz MSP-a isključeno</w:t>
      </w:r>
      <w:r w:rsidR="003B15E2" w:rsidRPr="00947458">
        <w:rPr>
          <w:szCs w:val="24"/>
        </w:rPr>
        <w:t xml:space="preserve"> je</w:t>
      </w:r>
      <w:r w:rsidR="00F059F1" w:rsidRPr="00947458">
        <w:rPr>
          <w:szCs w:val="24"/>
        </w:rPr>
        <w:t xml:space="preserve"> </w:t>
      </w:r>
      <w:r w:rsidR="002D1F5A" w:rsidRPr="00947458">
        <w:rPr>
          <w:szCs w:val="24"/>
        </w:rPr>
        <w:t>4</w:t>
      </w:r>
      <w:r w:rsidRPr="00947458">
        <w:rPr>
          <w:szCs w:val="24"/>
        </w:rPr>
        <w:t>5</w:t>
      </w:r>
      <w:r w:rsidR="002D1F5A" w:rsidRPr="00947458">
        <w:rPr>
          <w:szCs w:val="24"/>
        </w:rPr>
        <w:t>,</w:t>
      </w:r>
      <w:r w:rsidRPr="00947458">
        <w:rPr>
          <w:szCs w:val="24"/>
        </w:rPr>
        <w:t>6</w:t>
      </w:r>
      <w:r w:rsidR="00F059F1" w:rsidRPr="00947458">
        <w:rPr>
          <w:szCs w:val="24"/>
        </w:rPr>
        <w:t xml:space="preserve"> km</w:t>
      </w:r>
      <w:r w:rsidR="00F059F1" w:rsidRPr="00947458">
        <w:rPr>
          <w:szCs w:val="24"/>
          <w:vertAlign w:val="superscript"/>
        </w:rPr>
        <w:t>2</w:t>
      </w:r>
      <w:r w:rsidRPr="00947458">
        <w:rPr>
          <w:szCs w:val="24"/>
        </w:rPr>
        <w:t xml:space="preserve"> područja zagađenih MES-om,</w:t>
      </w:r>
      <w:r w:rsidR="00F059F1" w:rsidRPr="00947458">
        <w:rPr>
          <w:szCs w:val="24"/>
        </w:rPr>
        <w:t xml:space="preserve"> od čega je poslovima razminiranja isključeno</w:t>
      </w:r>
      <w:r w:rsidR="00FD202F" w:rsidRPr="00947458">
        <w:rPr>
          <w:rStyle w:val="FootnoteReference"/>
          <w:szCs w:val="24"/>
        </w:rPr>
        <w:footnoteReference w:id="2"/>
      </w:r>
      <w:r w:rsidR="00F059F1" w:rsidRPr="00947458">
        <w:rPr>
          <w:szCs w:val="24"/>
        </w:rPr>
        <w:t xml:space="preserve"> </w:t>
      </w:r>
      <w:r w:rsidR="002D1F5A" w:rsidRPr="00947458">
        <w:rPr>
          <w:szCs w:val="24"/>
        </w:rPr>
        <w:t>4</w:t>
      </w:r>
      <w:r w:rsidR="003B15E2" w:rsidRPr="00947458">
        <w:rPr>
          <w:szCs w:val="24"/>
        </w:rPr>
        <w:t>1</w:t>
      </w:r>
      <w:r w:rsidR="00F059F1" w:rsidRPr="00947458">
        <w:rPr>
          <w:szCs w:val="24"/>
        </w:rPr>
        <w:t>,</w:t>
      </w:r>
      <w:r w:rsidR="003B15E2" w:rsidRPr="00947458">
        <w:rPr>
          <w:szCs w:val="24"/>
        </w:rPr>
        <w:t>5</w:t>
      </w:r>
      <w:r w:rsidR="00F059F1" w:rsidRPr="00947458">
        <w:rPr>
          <w:szCs w:val="24"/>
        </w:rPr>
        <w:t xml:space="preserve"> km</w:t>
      </w:r>
      <w:r w:rsidR="00F059F1" w:rsidRPr="00947458">
        <w:rPr>
          <w:szCs w:val="24"/>
          <w:vertAlign w:val="superscript"/>
        </w:rPr>
        <w:t>2</w:t>
      </w:r>
      <w:r w:rsidR="00F059F1" w:rsidRPr="00947458">
        <w:rPr>
          <w:szCs w:val="24"/>
        </w:rPr>
        <w:t>, a provođenjem tehničkog i općeg izvida dodat</w:t>
      </w:r>
      <w:r w:rsidR="002D1F5A" w:rsidRPr="00947458">
        <w:rPr>
          <w:szCs w:val="24"/>
        </w:rPr>
        <w:t xml:space="preserve">nih </w:t>
      </w:r>
      <w:r w:rsidR="003B15E2" w:rsidRPr="00947458">
        <w:rPr>
          <w:szCs w:val="24"/>
        </w:rPr>
        <w:t>4</w:t>
      </w:r>
      <w:r w:rsidR="002D1F5A" w:rsidRPr="00947458">
        <w:rPr>
          <w:szCs w:val="24"/>
        </w:rPr>
        <w:t>,</w:t>
      </w:r>
      <w:r w:rsidR="003B15E2" w:rsidRPr="00947458">
        <w:rPr>
          <w:szCs w:val="24"/>
        </w:rPr>
        <w:t>1</w:t>
      </w:r>
      <w:r w:rsidR="00F059F1" w:rsidRPr="00947458">
        <w:rPr>
          <w:szCs w:val="24"/>
        </w:rPr>
        <w:t xml:space="preserve"> km</w:t>
      </w:r>
      <w:r w:rsidR="00F059F1" w:rsidRPr="00947458">
        <w:rPr>
          <w:szCs w:val="24"/>
          <w:vertAlign w:val="superscript"/>
        </w:rPr>
        <w:t>2</w:t>
      </w:r>
      <w:r w:rsidR="00F059F1" w:rsidRPr="00947458">
        <w:rPr>
          <w:szCs w:val="24"/>
        </w:rPr>
        <w:t>.</w:t>
      </w:r>
    </w:p>
    <w:p w14:paraId="38D610CB" w14:textId="77777777" w:rsidR="009C306B" w:rsidRPr="00947458" w:rsidRDefault="009C306B" w:rsidP="00F059F1">
      <w:pPr>
        <w:spacing w:line="240" w:lineRule="auto"/>
        <w:rPr>
          <w:szCs w:val="24"/>
        </w:rPr>
      </w:pPr>
    </w:p>
    <w:p w14:paraId="074F1AD5" w14:textId="77777777" w:rsidR="00BA4917" w:rsidRPr="00947458" w:rsidRDefault="00BA4917" w:rsidP="00F059F1">
      <w:pPr>
        <w:spacing w:line="240" w:lineRule="auto"/>
        <w:rPr>
          <w:szCs w:val="24"/>
        </w:rPr>
      </w:pPr>
      <w:r w:rsidRPr="00947458">
        <w:rPr>
          <w:szCs w:val="24"/>
        </w:rPr>
        <w:t>Na preostalih 1,9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 xml:space="preserve"> MSP-a zagađenim MES-om završeni</w:t>
      </w:r>
      <w:r w:rsidR="006012D2" w:rsidRPr="00947458">
        <w:rPr>
          <w:szCs w:val="24"/>
        </w:rPr>
        <w:t xml:space="preserve"> su poslovi razminiranja</w:t>
      </w:r>
      <w:r w:rsidRPr="00947458">
        <w:rPr>
          <w:szCs w:val="24"/>
        </w:rPr>
        <w:t xml:space="preserve"> te je preostalo izdavanje potvrda o isključenju po</w:t>
      </w:r>
      <w:r w:rsidR="00D80849" w:rsidRPr="00947458">
        <w:rPr>
          <w:szCs w:val="24"/>
        </w:rPr>
        <w:t>dručja</w:t>
      </w:r>
      <w:r w:rsidRPr="00947458">
        <w:rPr>
          <w:szCs w:val="24"/>
        </w:rPr>
        <w:t xml:space="preserve"> iz MSP-a.</w:t>
      </w:r>
    </w:p>
    <w:p w14:paraId="00C5241E" w14:textId="77777777" w:rsidR="00A12B13" w:rsidRPr="00947458" w:rsidRDefault="00A12B13" w:rsidP="00F059F1">
      <w:pPr>
        <w:pStyle w:val="Listabullet"/>
        <w:numPr>
          <w:ilvl w:val="0"/>
          <w:numId w:val="0"/>
        </w:numPr>
        <w:spacing w:after="0" w:line="240" w:lineRule="auto"/>
      </w:pPr>
    </w:p>
    <w:p w14:paraId="260731FF" w14:textId="77777777" w:rsidR="00020257" w:rsidRPr="00947458" w:rsidRDefault="00373139" w:rsidP="007232BE">
      <w:pPr>
        <w:pStyle w:val="Normal3"/>
        <w:rPr>
          <w:b/>
          <w:i/>
        </w:rPr>
      </w:pPr>
      <w:r w:rsidRPr="00947458">
        <w:rPr>
          <w:b/>
          <w:i/>
        </w:rPr>
        <w:t>Poslovi razminiranja</w:t>
      </w:r>
    </w:p>
    <w:p w14:paraId="7D15C5B9" w14:textId="77777777" w:rsidR="00373139" w:rsidRPr="00947458" w:rsidRDefault="00373139" w:rsidP="00373139"/>
    <w:p w14:paraId="474F377D" w14:textId="77777777" w:rsidR="00373139" w:rsidRPr="00947458" w:rsidRDefault="00373139" w:rsidP="00373139">
      <w:r w:rsidRPr="00947458">
        <w:t>S ciljem isključenja područja iz MSP-a, u 202</w:t>
      </w:r>
      <w:r w:rsidR="00933495" w:rsidRPr="00947458">
        <w:t>5</w:t>
      </w:r>
      <w:r w:rsidRPr="00947458">
        <w:t xml:space="preserve">. godini obavljani su poslovi razminiranja </w:t>
      </w:r>
      <w:r w:rsidR="00786DF8" w:rsidRPr="00947458">
        <w:t xml:space="preserve">na </w:t>
      </w:r>
      <w:r w:rsidR="007277DE" w:rsidRPr="00947458">
        <w:t>temelj</w:t>
      </w:r>
      <w:r w:rsidR="00786DF8" w:rsidRPr="00947458">
        <w:t>u</w:t>
      </w:r>
      <w:r w:rsidR="00F152B4" w:rsidRPr="00947458">
        <w:t xml:space="preserve"> </w:t>
      </w:r>
      <w:r w:rsidR="00933495" w:rsidRPr="00947458">
        <w:t>73</w:t>
      </w:r>
      <w:r w:rsidR="0093121E" w:rsidRPr="00947458">
        <w:t xml:space="preserve"> idejn</w:t>
      </w:r>
      <w:r w:rsidR="00933495" w:rsidRPr="00947458">
        <w:t>a</w:t>
      </w:r>
      <w:r w:rsidR="00F152B4" w:rsidRPr="00947458">
        <w:t xml:space="preserve"> plana razminiranja na području </w:t>
      </w:r>
      <w:r w:rsidR="00933495" w:rsidRPr="00947458">
        <w:t>Ličko-senjske, Sisačko-moslavačke i Splitsko-dalmatinske</w:t>
      </w:r>
      <w:r w:rsidR="002D1F5A" w:rsidRPr="00947458">
        <w:t xml:space="preserve"> županije</w:t>
      </w:r>
      <w:r w:rsidR="007277DE" w:rsidRPr="00947458">
        <w:t>.</w:t>
      </w:r>
    </w:p>
    <w:p w14:paraId="4510A095" w14:textId="77777777" w:rsidR="00373139" w:rsidRPr="00947458" w:rsidRDefault="00373139" w:rsidP="00373139"/>
    <w:p w14:paraId="29ED5CBB" w14:textId="77777777" w:rsidR="00046F04" w:rsidRPr="00947458" w:rsidRDefault="000D1685" w:rsidP="00046F04">
      <w:pPr>
        <w:spacing w:line="240" w:lineRule="auto"/>
        <w:rPr>
          <w:szCs w:val="24"/>
        </w:rPr>
      </w:pPr>
      <w:r w:rsidRPr="00947458">
        <w:rPr>
          <w:szCs w:val="24"/>
        </w:rPr>
        <w:t>Dodatno, z</w:t>
      </w:r>
      <w:r w:rsidR="00046F04" w:rsidRPr="00947458">
        <w:rPr>
          <w:szCs w:val="24"/>
        </w:rPr>
        <w:t xml:space="preserve">avršeni su i </w:t>
      </w:r>
      <w:r w:rsidR="002D1F5A" w:rsidRPr="00947458">
        <w:rPr>
          <w:szCs w:val="24"/>
        </w:rPr>
        <w:t xml:space="preserve">planirani </w:t>
      </w:r>
      <w:r w:rsidR="00046F04" w:rsidRPr="00947458">
        <w:rPr>
          <w:szCs w:val="24"/>
        </w:rPr>
        <w:t xml:space="preserve">poslovi razminiranja </w:t>
      </w:r>
      <w:r w:rsidR="002D1F5A" w:rsidRPr="00947458">
        <w:rPr>
          <w:szCs w:val="24"/>
        </w:rPr>
        <w:t xml:space="preserve">na </w:t>
      </w:r>
      <w:r w:rsidR="0049191F" w:rsidRPr="00947458">
        <w:rPr>
          <w:szCs w:val="24"/>
        </w:rPr>
        <w:t>v</w:t>
      </w:r>
      <w:r w:rsidR="002D1F5A" w:rsidRPr="00947458">
        <w:rPr>
          <w:szCs w:val="24"/>
        </w:rPr>
        <w:t>ojnom poligonu „Eugen Kvaternik“ na površini od</w:t>
      </w:r>
      <w:r w:rsidR="00046F04" w:rsidRPr="00947458">
        <w:rPr>
          <w:szCs w:val="24"/>
        </w:rPr>
        <w:t xml:space="preserve"> </w:t>
      </w:r>
      <w:r w:rsidR="009C306B" w:rsidRPr="00947458">
        <w:rPr>
          <w:szCs w:val="24"/>
        </w:rPr>
        <w:t>4</w:t>
      </w:r>
      <w:r w:rsidR="00046F04" w:rsidRPr="00947458">
        <w:rPr>
          <w:szCs w:val="24"/>
        </w:rPr>
        <w:t>,</w:t>
      </w:r>
      <w:r w:rsidR="009C306B" w:rsidRPr="00947458">
        <w:rPr>
          <w:szCs w:val="24"/>
        </w:rPr>
        <w:t>1</w:t>
      </w:r>
      <w:r w:rsidR="00046F04" w:rsidRPr="00947458">
        <w:rPr>
          <w:szCs w:val="24"/>
        </w:rPr>
        <w:t xml:space="preserve"> km</w:t>
      </w:r>
      <w:r w:rsidR="00046F04" w:rsidRPr="00947458">
        <w:rPr>
          <w:szCs w:val="24"/>
          <w:vertAlign w:val="superscript"/>
        </w:rPr>
        <w:t>2</w:t>
      </w:r>
      <w:r w:rsidR="002D1F5A" w:rsidRPr="00947458">
        <w:rPr>
          <w:szCs w:val="24"/>
        </w:rPr>
        <w:t>, za koje su</w:t>
      </w:r>
      <w:r w:rsidR="00046F04" w:rsidRPr="00947458">
        <w:rPr>
          <w:szCs w:val="24"/>
        </w:rPr>
        <w:t xml:space="preserve"> </w:t>
      </w:r>
      <w:r w:rsidR="002D1F5A" w:rsidRPr="00947458">
        <w:rPr>
          <w:szCs w:val="24"/>
        </w:rPr>
        <w:t>f</w:t>
      </w:r>
      <w:r w:rsidR="00046F04" w:rsidRPr="00947458">
        <w:rPr>
          <w:szCs w:val="24"/>
        </w:rPr>
        <w:t>inancijska sredstva osigurana u Državnom proračunu na poziciji naknade za korištenje općekorisnih funkcija šuma (OKFŠ).</w:t>
      </w:r>
      <w:r w:rsidR="00803838" w:rsidRPr="00947458">
        <w:rPr>
          <w:szCs w:val="24"/>
        </w:rPr>
        <w:t xml:space="preserve"> Pri obavljanju poslova razminiranja </w:t>
      </w:r>
      <w:r w:rsidR="00620E09" w:rsidRPr="00947458">
        <w:rPr>
          <w:szCs w:val="24"/>
        </w:rPr>
        <w:t xml:space="preserve">na </w:t>
      </w:r>
      <w:r w:rsidR="0049191F" w:rsidRPr="00947458">
        <w:rPr>
          <w:szCs w:val="24"/>
        </w:rPr>
        <w:t>v</w:t>
      </w:r>
      <w:r w:rsidR="00620E09" w:rsidRPr="00947458">
        <w:rPr>
          <w:szCs w:val="24"/>
        </w:rPr>
        <w:t>ojnom poli</w:t>
      </w:r>
      <w:r w:rsidR="009C306B" w:rsidRPr="00947458">
        <w:rPr>
          <w:szCs w:val="24"/>
        </w:rPr>
        <w:t>gonu „Eugen Kvaternik“ pronađeno je i uništeno</w:t>
      </w:r>
      <w:r w:rsidR="00620E09" w:rsidRPr="00947458">
        <w:rPr>
          <w:szCs w:val="24"/>
        </w:rPr>
        <w:t xml:space="preserve"> </w:t>
      </w:r>
      <w:r w:rsidR="009C306B" w:rsidRPr="00947458">
        <w:rPr>
          <w:szCs w:val="24"/>
        </w:rPr>
        <w:t>66</w:t>
      </w:r>
      <w:r w:rsidR="00620E09" w:rsidRPr="00947458">
        <w:rPr>
          <w:szCs w:val="24"/>
        </w:rPr>
        <w:t xml:space="preserve"> protupješačk</w:t>
      </w:r>
      <w:r w:rsidR="009C306B" w:rsidRPr="00947458">
        <w:rPr>
          <w:szCs w:val="24"/>
        </w:rPr>
        <w:t>ih mina i</w:t>
      </w:r>
      <w:r w:rsidR="00620E09" w:rsidRPr="00947458">
        <w:rPr>
          <w:szCs w:val="24"/>
        </w:rPr>
        <w:t xml:space="preserve"> </w:t>
      </w:r>
      <w:r w:rsidR="009C306B" w:rsidRPr="00947458">
        <w:rPr>
          <w:szCs w:val="24"/>
        </w:rPr>
        <w:t>162</w:t>
      </w:r>
      <w:r w:rsidR="00620E09" w:rsidRPr="00947458">
        <w:rPr>
          <w:szCs w:val="24"/>
        </w:rPr>
        <w:t xml:space="preserve"> komada NUS-a.</w:t>
      </w:r>
    </w:p>
    <w:p w14:paraId="120B3B4B" w14:textId="77777777" w:rsidR="00046F04" w:rsidRPr="00947458" w:rsidRDefault="00046F04" w:rsidP="00373139">
      <w:pPr>
        <w:spacing w:line="240" w:lineRule="auto"/>
        <w:rPr>
          <w:szCs w:val="24"/>
        </w:rPr>
      </w:pPr>
    </w:p>
    <w:p w14:paraId="53EE590D" w14:textId="77777777" w:rsidR="00933495" w:rsidRPr="00947458" w:rsidRDefault="00933495" w:rsidP="00933495">
      <w:pPr>
        <w:spacing w:line="240" w:lineRule="auto"/>
        <w:rPr>
          <w:szCs w:val="24"/>
        </w:rPr>
      </w:pPr>
      <w:r w:rsidRPr="00947458">
        <w:rPr>
          <w:szCs w:val="24"/>
        </w:rPr>
        <w:t xml:space="preserve">Prilikom obavljanja svih poslova razminiranja na područjima zagađenim MES-om u 2025. godini pronađeno je i uništeno 1.869 protupješačkih i 208 protuoklopnih mina te 408 komada NUS-a. </w:t>
      </w:r>
    </w:p>
    <w:p w14:paraId="79DB3963" w14:textId="77777777" w:rsidR="00933495" w:rsidRPr="00947458" w:rsidRDefault="00933495" w:rsidP="009E2D88">
      <w:pPr>
        <w:spacing w:line="240" w:lineRule="auto"/>
        <w:rPr>
          <w:szCs w:val="24"/>
        </w:rPr>
      </w:pPr>
    </w:p>
    <w:p w14:paraId="6A3579DB" w14:textId="77777777" w:rsidR="009E2D88" w:rsidRPr="00947458" w:rsidRDefault="009E2D88" w:rsidP="009E2D88">
      <w:pPr>
        <w:spacing w:line="240" w:lineRule="auto"/>
        <w:rPr>
          <w:szCs w:val="24"/>
        </w:rPr>
      </w:pPr>
      <w:r w:rsidRPr="00947458">
        <w:rPr>
          <w:szCs w:val="24"/>
        </w:rPr>
        <w:t>Od ukupno pronađenog MES-a najviše je protupješačkih mina tipa PMR-2A (692 komada), PMA-1 (191 komad) i TMRP-6 (179 komada).</w:t>
      </w:r>
    </w:p>
    <w:p w14:paraId="2090C02B" w14:textId="77777777" w:rsidR="009E2D88" w:rsidRPr="00947458" w:rsidRDefault="009E2D88" w:rsidP="009E2D88">
      <w:pPr>
        <w:spacing w:line="240" w:lineRule="auto"/>
        <w:rPr>
          <w:szCs w:val="24"/>
        </w:rPr>
      </w:pPr>
    </w:p>
    <w:p w14:paraId="6C2903E4" w14:textId="77777777" w:rsidR="00373139" w:rsidRPr="00947458" w:rsidRDefault="005A2A53" w:rsidP="00373139">
      <w:pPr>
        <w:spacing w:line="240" w:lineRule="auto"/>
        <w:rPr>
          <w:szCs w:val="24"/>
        </w:rPr>
      </w:pPr>
      <w:r w:rsidRPr="00947458">
        <w:rPr>
          <w:szCs w:val="24"/>
        </w:rPr>
        <w:t>Stručni nadzor</w:t>
      </w:r>
      <w:r w:rsidR="00373139" w:rsidRPr="00947458">
        <w:rPr>
          <w:szCs w:val="24"/>
        </w:rPr>
        <w:t xml:space="preserve"> u tijeku obavljanj</w:t>
      </w:r>
      <w:r w:rsidRPr="00947458">
        <w:rPr>
          <w:szCs w:val="24"/>
        </w:rPr>
        <w:t>a poslova razminiranja obavljan</w:t>
      </w:r>
      <w:r w:rsidR="00373139" w:rsidRPr="00947458">
        <w:rPr>
          <w:szCs w:val="24"/>
        </w:rPr>
        <w:t xml:space="preserve"> je na svim područjima gdje su se obavljali poslovi razminiranja te je kontrolnim uzorcima u 202</w:t>
      </w:r>
      <w:r w:rsidR="009E2D88" w:rsidRPr="00947458">
        <w:rPr>
          <w:szCs w:val="24"/>
        </w:rPr>
        <w:t>5</w:t>
      </w:r>
      <w:r w:rsidR="00373139" w:rsidRPr="00947458">
        <w:rPr>
          <w:szCs w:val="24"/>
        </w:rPr>
        <w:t>. godini pregledano 2.</w:t>
      </w:r>
      <w:r w:rsidR="009E2D88" w:rsidRPr="00947458">
        <w:rPr>
          <w:szCs w:val="24"/>
        </w:rPr>
        <w:t>269</w:t>
      </w:r>
      <w:r w:rsidR="00373139" w:rsidRPr="00947458">
        <w:rPr>
          <w:szCs w:val="24"/>
        </w:rPr>
        <w:t>.</w:t>
      </w:r>
      <w:r w:rsidR="00EB598F" w:rsidRPr="00947458">
        <w:rPr>
          <w:szCs w:val="24"/>
        </w:rPr>
        <w:t>8</w:t>
      </w:r>
      <w:r w:rsidR="009E2D88" w:rsidRPr="00947458">
        <w:rPr>
          <w:szCs w:val="24"/>
        </w:rPr>
        <w:t>38</w:t>
      </w:r>
      <w:r w:rsidR="00373139" w:rsidRPr="00947458">
        <w:rPr>
          <w:szCs w:val="24"/>
        </w:rPr>
        <w:t xml:space="preserve"> m</w:t>
      </w:r>
      <w:r w:rsidR="00373139" w:rsidRPr="00947458">
        <w:rPr>
          <w:szCs w:val="24"/>
          <w:vertAlign w:val="superscript"/>
        </w:rPr>
        <w:t>2</w:t>
      </w:r>
      <w:r w:rsidR="00064441" w:rsidRPr="00947458">
        <w:rPr>
          <w:szCs w:val="24"/>
        </w:rPr>
        <w:t xml:space="preserve">. </w:t>
      </w:r>
      <w:r w:rsidR="00046F04" w:rsidRPr="00947458">
        <w:rPr>
          <w:szCs w:val="24"/>
        </w:rPr>
        <w:t>P</w:t>
      </w:r>
      <w:r w:rsidR="00373139" w:rsidRPr="00947458">
        <w:rPr>
          <w:szCs w:val="24"/>
        </w:rPr>
        <w:t>roveden</w:t>
      </w:r>
      <w:r w:rsidR="00EB598F" w:rsidRPr="00947458">
        <w:rPr>
          <w:szCs w:val="24"/>
        </w:rPr>
        <w:t>o</w:t>
      </w:r>
      <w:r w:rsidR="00373139" w:rsidRPr="00947458">
        <w:rPr>
          <w:szCs w:val="24"/>
        </w:rPr>
        <w:t xml:space="preserve"> je</w:t>
      </w:r>
      <w:r w:rsidR="00046F04" w:rsidRPr="00947458">
        <w:rPr>
          <w:szCs w:val="24"/>
        </w:rPr>
        <w:t xml:space="preserve"> i</w:t>
      </w:r>
      <w:r w:rsidR="00373139" w:rsidRPr="00947458">
        <w:rPr>
          <w:szCs w:val="24"/>
        </w:rPr>
        <w:t xml:space="preserve"> 1</w:t>
      </w:r>
      <w:r w:rsidR="009E2D88" w:rsidRPr="00947458">
        <w:rPr>
          <w:szCs w:val="24"/>
        </w:rPr>
        <w:t>4</w:t>
      </w:r>
      <w:r w:rsidR="00EB598F" w:rsidRPr="00947458">
        <w:rPr>
          <w:szCs w:val="24"/>
        </w:rPr>
        <w:t>0 završnih</w:t>
      </w:r>
      <w:r w:rsidR="00373139" w:rsidRPr="00947458">
        <w:rPr>
          <w:szCs w:val="24"/>
        </w:rPr>
        <w:t xml:space="preserve"> kontrola kvalitete</w:t>
      </w:r>
      <w:r w:rsidR="004C320A" w:rsidRPr="00947458">
        <w:rPr>
          <w:szCs w:val="24"/>
        </w:rPr>
        <w:t xml:space="preserve"> nad obavljenim poslovima razminiranja</w:t>
      </w:r>
      <w:r w:rsidR="00373139" w:rsidRPr="00947458">
        <w:rPr>
          <w:szCs w:val="24"/>
        </w:rPr>
        <w:t xml:space="preserve"> prilikom kojih je </w:t>
      </w:r>
      <w:r w:rsidR="000B5273" w:rsidRPr="00947458">
        <w:rPr>
          <w:szCs w:val="24"/>
        </w:rPr>
        <w:t xml:space="preserve">kontrolnim uzorcima pregledano </w:t>
      </w:r>
      <w:r w:rsidR="00DF5271" w:rsidRPr="00947458">
        <w:rPr>
          <w:szCs w:val="24"/>
        </w:rPr>
        <w:t>4</w:t>
      </w:r>
      <w:r w:rsidR="009E2D88" w:rsidRPr="00947458">
        <w:rPr>
          <w:szCs w:val="24"/>
        </w:rPr>
        <w:t>9</w:t>
      </w:r>
      <w:r w:rsidR="00EB598F" w:rsidRPr="00947458">
        <w:rPr>
          <w:szCs w:val="24"/>
        </w:rPr>
        <w:t>7</w:t>
      </w:r>
      <w:r w:rsidR="00373139" w:rsidRPr="00947458">
        <w:rPr>
          <w:szCs w:val="24"/>
        </w:rPr>
        <w:t>.</w:t>
      </w:r>
      <w:r w:rsidR="009E2D88" w:rsidRPr="00947458">
        <w:rPr>
          <w:szCs w:val="24"/>
        </w:rPr>
        <w:t>771</w:t>
      </w:r>
      <w:r w:rsidR="00373139" w:rsidRPr="00947458">
        <w:rPr>
          <w:szCs w:val="24"/>
        </w:rPr>
        <w:t xml:space="preserve"> m</w:t>
      </w:r>
      <w:r w:rsidR="00373139" w:rsidRPr="00947458">
        <w:rPr>
          <w:szCs w:val="24"/>
          <w:vertAlign w:val="superscript"/>
        </w:rPr>
        <w:t>2</w:t>
      </w:r>
      <w:r w:rsidR="00373139" w:rsidRPr="00947458">
        <w:rPr>
          <w:szCs w:val="24"/>
        </w:rPr>
        <w:t>.</w:t>
      </w:r>
    </w:p>
    <w:p w14:paraId="7C872C99" w14:textId="77777777" w:rsidR="0018154A" w:rsidRPr="00947458" w:rsidRDefault="0018154A" w:rsidP="00373139">
      <w:pPr>
        <w:spacing w:line="240" w:lineRule="auto"/>
        <w:rPr>
          <w:szCs w:val="24"/>
        </w:rPr>
      </w:pPr>
    </w:p>
    <w:p w14:paraId="68C6E3A3" w14:textId="77777777" w:rsidR="0018154A" w:rsidRPr="00947458" w:rsidRDefault="00C93955" w:rsidP="00373139">
      <w:pPr>
        <w:spacing w:line="240" w:lineRule="auto"/>
        <w:rPr>
          <w:szCs w:val="24"/>
        </w:rPr>
      </w:pPr>
      <w:r w:rsidRPr="00947458">
        <w:t>Na t</w:t>
      </w:r>
      <w:r w:rsidR="0018154A" w:rsidRPr="00947458">
        <w:t>emelj</w:t>
      </w:r>
      <w:r w:rsidRPr="00947458">
        <w:t>u</w:t>
      </w:r>
      <w:r w:rsidR="0018154A" w:rsidRPr="00947458">
        <w:t xml:space="preserve"> naknadnih pronalazaka, u 2025. godini obavljeno je 7 kontrolnih pregleda na površini 11.844 m</w:t>
      </w:r>
      <w:r w:rsidR="0018154A" w:rsidRPr="00947458">
        <w:rPr>
          <w:vertAlign w:val="superscript"/>
        </w:rPr>
        <w:t>2</w:t>
      </w:r>
      <w:r w:rsidR="0018154A" w:rsidRPr="00947458">
        <w:t>.</w:t>
      </w:r>
    </w:p>
    <w:p w14:paraId="3117E05F" w14:textId="77777777" w:rsidR="00373139" w:rsidRPr="00947458" w:rsidRDefault="00373139" w:rsidP="00373139">
      <w:pPr>
        <w:spacing w:line="240" w:lineRule="auto"/>
        <w:rPr>
          <w:szCs w:val="24"/>
        </w:rPr>
      </w:pPr>
    </w:p>
    <w:p w14:paraId="7C077586" w14:textId="77777777" w:rsidR="00373139" w:rsidRPr="00947458" w:rsidRDefault="00373139" w:rsidP="007232BE">
      <w:pPr>
        <w:pStyle w:val="Normal3"/>
        <w:rPr>
          <w:b/>
          <w:i/>
        </w:rPr>
      </w:pPr>
      <w:bookmarkStart w:id="1" w:name="_Toc73447662"/>
      <w:r w:rsidRPr="00947458">
        <w:rPr>
          <w:b/>
          <w:i/>
        </w:rPr>
        <w:t>Poslovi tehničkog izvida</w:t>
      </w:r>
      <w:bookmarkEnd w:id="1"/>
    </w:p>
    <w:p w14:paraId="45348DCA" w14:textId="77777777" w:rsidR="00373139" w:rsidRPr="00947458" w:rsidRDefault="00373139" w:rsidP="007731CF"/>
    <w:p w14:paraId="0C305ED2" w14:textId="77777777" w:rsidR="006532C4" w:rsidRPr="00947458" w:rsidRDefault="00373139" w:rsidP="00373139">
      <w:pPr>
        <w:spacing w:line="240" w:lineRule="auto"/>
        <w:rPr>
          <w:szCs w:val="24"/>
        </w:rPr>
      </w:pPr>
      <w:r w:rsidRPr="00947458">
        <w:rPr>
          <w:szCs w:val="24"/>
        </w:rPr>
        <w:t>U 202</w:t>
      </w:r>
      <w:r w:rsidR="009E2D88" w:rsidRPr="00947458">
        <w:rPr>
          <w:szCs w:val="24"/>
        </w:rPr>
        <w:t>5</w:t>
      </w:r>
      <w:r w:rsidRPr="00947458">
        <w:rPr>
          <w:szCs w:val="24"/>
        </w:rPr>
        <w:t xml:space="preserve">. godini obavljeni su poslovi tehničkog izvida na područjima površine </w:t>
      </w:r>
      <w:r w:rsidR="009E2D88" w:rsidRPr="00947458">
        <w:rPr>
          <w:szCs w:val="24"/>
        </w:rPr>
        <w:t>2</w:t>
      </w:r>
      <w:r w:rsidRPr="00947458">
        <w:rPr>
          <w:szCs w:val="24"/>
        </w:rPr>
        <w:t>,</w:t>
      </w:r>
      <w:r w:rsidR="008D0BB0" w:rsidRPr="00947458">
        <w:rPr>
          <w:szCs w:val="24"/>
        </w:rPr>
        <w:t>2</w:t>
      </w:r>
      <w:r w:rsidRPr="00947458">
        <w:rPr>
          <w:szCs w:val="24"/>
        </w:rPr>
        <w:t xml:space="preserve"> km</w:t>
      </w:r>
      <w:r w:rsidRPr="00947458">
        <w:rPr>
          <w:szCs w:val="24"/>
          <w:vertAlign w:val="superscript"/>
        </w:rPr>
        <w:t>2</w:t>
      </w:r>
      <w:r w:rsidR="002D1F5A" w:rsidRPr="00947458">
        <w:rPr>
          <w:szCs w:val="24"/>
        </w:rPr>
        <w:t xml:space="preserve"> </w:t>
      </w:r>
      <w:r w:rsidR="006532C4" w:rsidRPr="00947458">
        <w:rPr>
          <w:szCs w:val="24"/>
        </w:rPr>
        <w:t xml:space="preserve">koja su </w:t>
      </w:r>
      <w:r w:rsidR="00C93955" w:rsidRPr="00947458">
        <w:rPr>
          <w:szCs w:val="24"/>
        </w:rPr>
        <w:t xml:space="preserve">na </w:t>
      </w:r>
      <w:r w:rsidR="006532C4" w:rsidRPr="00947458">
        <w:rPr>
          <w:szCs w:val="24"/>
        </w:rPr>
        <w:t>temelj</w:t>
      </w:r>
      <w:r w:rsidR="00C93955" w:rsidRPr="00947458">
        <w:rPr>
          <w:szCs w:val="24"/>
        </w:rPr>
        <w:t>u</w:t>
      </w:r>
      <w:r w:rsidR="006532C4" w:rsidRPr="00947458">
        <w:rPr>
          <w:szCs w:val="24"/>
        </w:rPr>
        <w:t xml:space="preserve"> izdanih 11 potvrda isključene iz MSP-a.</w:t>
      </w:r>
    </w:p>
    <w:p w14:paraId="36B24900" w14:textId="77777777" w:rsidR="006532C4" w:rsidRPr="00947458" w:rsidRDefault="006532C4" w:rsidP="00373139">
      <w:pPr>
        <w:spacing w:line="240" w:lineRule="auto"/>
        <w:rPr>
          <w:szCs w:val="24"/>
        </w:rPr>
      </w:pPr>
    </w:p>
    <w:p w14:paraId="70A74D01" w14:textId="77777777" w:rsidR="00373139" w:rsidRPr="00947458" w:rsidRDefault="006532C4" w:rsidP="00373139">
      <w:pPr>
        <w:spacing w:line="240" w:lineRule="auto"/>
        <w:rPr>
          <w:szCs w:val="24"/>
        </w:rPr>
      </w:pPr>
      <w:r w:rsidRPr="00947458">
        <w:rPr>
          <w:szCs w:val="24"/>
        </w:rPr>
        <w:t xml:space="preserve">Poslovi tehničkog izvida obavljani su </w:t>
      </w:r>
      <w:r w:rsidR="002D1F5A" w:rsidRPr="00947458">
        <w:rPr>
          <w:szCs w:val="24"/>
        </w:rPr>
        <w:t>u Karlovačkoj (Općina</w:t>
      </w:r>
      <w:r w:rsidR="00373139" w:rsidRPr="00947458">
        <w:rPr>
          <w:szCs w:val="24"/>
        </w:rPr>
        <w:t xml:space="preserve"> </w:t>
      </w:r>
      <w:r w:rsidR="009E2D88" w:rsidRPr="00947458">
        <w:rPr>
          <w:szCs w:val="24"/>
        </w:rPr>
        <w:t>Cetingrad</w:t>
      </w:r>
      <w:r w:rsidR="00373139" w:rsidRPr="00947458">
        <w:rPr>
          <w:szCs w:val="24"/>
        </w:rPr>
        <w:t>), Ličko-senjskoj (</w:t>
      </w:r>
      <w:r w:rsidR="001A58AF" w:rsidRPr="00947458">
        <w:rPr>
          <w:szCs w:val="24"/>
        </w:rPr>
        <w:t>G</w:t>
      </w:r>
      <w:r w:rsidR="00373139" w:rsidRPr="00947458">
        <w:rPr>
          <w:szCs w:val="24"/>
        </w:rPr>
        <w:t>rad Gospić</w:t>
      </w:r>
      <w:r w:rsidR="002D1F5A" w:rsidRPr="00947458">
        <w:rPr>
          <w:szCs w:val="24"/>
        </w:rPr>
        <w:t xml:space="preserve"> te općine Otočac, Udbina</w:t>
      </w:r>
      <w:r w:rsidR="009E2D88" w:rsidRPr="00947458">
        <w:rPr>
          <w:szCs w:val="24"/>
        </w:rPr>
        <w:t xml:space="preserve"> i Vrhovine</w:t>
      </w:r>
      <w:r w:rsidR="00373139" w:rsidRPr="00947458">
        <w:rPr>
          <w:szCs w:val="24"/>
        </w:rPr>
        <w:t>)</w:t>
      </w:r>
      <w:r w:rsidR="008D0BB0" w:rsidRPr="00947458">
        <w:rPr>
          <w:szCs w:val="24"/>
        </w:rPr>
        <w:t xml:space="preserve">, </w:t>
      </w:r>
      <w:r w:rsidR="00373139" w:rsidRPr="00947458">
        <w:rPr>
          <w:szCs w:val="24"/>
        </w:rPr>
        <w:t>Sisačko-moslavačkoj (</w:t>
      </w:r>
      <w:r w:rsidR="009E2D88" w:rsidRPr="00947458">
        <w:rPr>
          <w:szCs w:val="24"/>
        </w:rPr>
        <w:t>općine Dvor i</w:t>
      </w:r>
      <w:r w:rsidR="001A58AF" w:rsidRPr="00947458">
        <w:rPr>
          <w:szCs w:val="24"/>
        </w:rPr>
        <w:t xml:space="preserve"> </w:t>
      </w:r>
      <w:r w:rsidR="002D1F5A" w:rsidRPr="00947458">
        <w:rPr>
          <w:szCs w:val="24"/>
        </w:rPr>
        <w:t>S</w:t>
      </w:r>
      <w:r w:rsidR="009E2D88" w:rsidRPr="00947458">
        <w:rPr>
          <w:szCs w:val="24"/>
        </w:rPr>
        <w:t>unja</w:t>
      </w:r>
      <w:r w:rsidR="00373139" w:rsidRPr="00947458">
        <w:rPr>
          <w:szCs w:val="24"/>
        </w:rPr>
        <w:t>)</w:t>
      </w:r>
      <w:r w:rsidR="008D0BB0" w:rsidRPr="00947458">
        <w:rPr>
          <w:szCs w:val="24"/>
        </w:rPr>
        <w:t xml:space="preserve"> i </w:t>
      </w:r>
      <w:r w:rsidR="009E2D88" w:rsidRPr="00947458">
        <w:rPr>
          <w:szCs w:val="24"/>
        </w:rPr>
        <w:t>Šibensko-kninskoj</w:t>
      </w:r>
      <w:r w:rsidR="008D0BB0" w:rsidRPr="00947458">
        <w:rPr>
          <w:szCs w:val="24"/>
        </w:rPr>
        <w:t xml:space="preserve"> </w:t>
      </w:r>
      <w:r w:rsidR="0049191F" w:rsidRPr="00947458">
        <w:rPr>
          <w:szCs w:val="24"/>
        </w:rPr>
        <w:t xml:space="preserve">županiji </w:t>
      </w:r>
      <w:r w:rsidR="008D0BB0" w:rsidRPr="00947458">
        <w:rPr>
          <w:szCs w:val="24"/>
        </w:rPr>
        <w:t>(</w:t>
      </w:r>
      <w:r w:rsidRPr="00947458">
        <w:rPr>
          <w:szCs w:val="24"/>
        </w:rPr>
        <w:t>Grad Drniš</w:t>
      </w:r>
      <w:r w:rsidR="008D0BB0" w:rsidRPr="00947458">
        <w:rPr>
          <w:szCs w:val="24"/>
        </w:rPr>
        <w:t>)</w:t>
      </w:r>
      <w:r w:rsidR="007A5759" w:rsidRPr="00947458">
        <w:rPr>
          <w:szCs w:val="24"/>
        </w:rPr>
        <w:t>.</w:t>
      </w:r>
    </w:p>
    <w:p w14:paraId="5D420E8E" w14:textId="77777777" w:rsidR="00373139" w:rsidRPr="00947458" w:rsidRDefault="00373139" w:rsidP="00373139">
      <w:pPr>
        <w:rPr>
          <w:szCs w:val="24"/>
        </w:rPr>
      </w:pPr>
    </w:p>
    <w:p w14:paraId="4A354CB4" w14:textId="77777777" w:rsidR="00373139" w:rsidRPr="00947458" w:rsidRDefault="00373139" w:rsidP="007232BE">
      <w:pPr>
        <w:pStyle w:val="Normal3"/>
        <w:rPr>
          <w:b/>
          <w:i/>
        </w:rPr>
      </w:pPr>
      <w:bookmarkStart w:id="2" w:name="_Toc73447663"/>
      <w:r w:rsidRPr="00947458">
        <w:rPr>
          <w:b/>
          <w:i/>
        </w:rPr>
        <w:t>Poslovi općeg izvida</w:t>
      </w:r>
      <w:bookmarkEnd w:id="2"/>
      <w:r w:rsidRPr="00947458">
        <w:rPr>
          <w:b/>
          <w:i/>
        </w:rPr>
        <w:t xml:space="preserve"> </w:t>
      </w:r>
      <w:r w:rsidR="00F355BE" w:rsidRPr="00947458">
        <w:rPr>
          <w:b/>
          <w:i/>
        </w:rPr>
        <w:t>-</w:t>
      </w:r>
      <w:r w:rsidRPr="00947458">
        <w:rPr>
          <w:b/>
          <w:i/>
        </w:rPr>
        <w:t xml:space="preserve"> analize MSP-a</w:t>
      </w:r>
    </w:p>
    <w:p w14:paraId="79CC7D8A" w14:textId="77777777" w:rsidR="00373139" w:rsidRPr="00947458" w:rsidRDefault="00373139" w:rsidP="00373139">
      <w:pPr>
        <w:rPr>
          <w:szCs w:val="24"/>
        </w:rPr>
      </w:pPr>
    </w:p>
    <w:p w14:paraId="34F90368" w14:textId="77777777" w:rsidR="00373139" w:rsidRPr="00947458" w:rsidRDefault="00373139" w:rsidP="00373139">
      <w:pPr>
        <w:rPr>
          <w:szCs w:val="24"/>
        </w:rPr>
      </w:pPr>
      <w:r w:rsidRPr="00947458">
        <w:rPr>
          <w:szCs w:val="24"/>
        </w:rPr>
        <w:t>Tijekom 202</w:t>
      </w:r>
      <w:r w:rsidR="006532C4" w:rsidRPr="00947458">
        <w:rPr>
          <w:szCs w:val="24"/>
        </w:rPr>
        <w:t>5</w:t>
      </w:r>
      <w:r w:rsidRPr="00947458">
        <w:rPr>
          <w:szCs w:val="24"/>
        </w:rPr>
        <w:t xml:space="preserve">. godine, pirotehničari Ravnateljstva civilne zaštite MUP-a obavili su poslove općeg izvida </w:t>
      </w:r>
      <w:r w:rsidR="00D327C3" w:rsidRPr="00947458">
        <w:rPr>
          <w:szCs w:val="24"/>
        </w:rPr>
        <w:t>-</w:t>
      </w:r>
      <w:r w:rsidRPr="00947458">
        <w:rPr>
          <w:szCs w:val="24"/>
        </w:rPr>
        <w:t xml:space="preserve"> analize MSP-a na područjima površine </w:t>
      </w:r>
      <w:r w:rsidR="006532C4" w:rsidRPr="00947458">
        <w:rPr>
          <w:szCs w:val="24"/>
        </w:rPr>
        <w:t>2</w:t>
      </w:r>
      <w:r w:rsidR="008D0BB0" w:rsidRPr="00947458">
        <w:rPr>
          <w:szCs w:val="24"/>
        </w:rPr>
        <w:t>,</w:t>
      </w:r>
      <w:r w:rsidR="006532C4" w:rsidRPr="00947458">
        <w:rPr>
          <w:szCs w:val="24"/>
        </w:rPr>
        <w:t>1</w:t>
      </w:r>
      <w:r w:rsidRPr="00947458">
        <w:rPr>
          <w:szCs w:val="24"/>
        </w:rPr>
        <w:t xml:space="preserve">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 xml:space="preserve"> u </w:t>
      </w:r>
      <w:r w:rsidR="00E10F13" w:rsidRPr="00947458">
        <w:rPr>
          <w:szCs w:val="24"/>
        </w:rPr>
        <w:t>Ličko-senjskoj, Sisačko-moslavačkoj i Šibensko-kninskoj županiji</w:t>
      </w:r>
      <w:r w:rsidRPr="00947458">
        <w:rPr>
          <w:szCs w:val="24"/>
        </w:rPr>
        <w:t>.</w:t>
      </w:r>
    </w:p>
    <w:p w14:paraId="50047264" w14:textId="77777777" w:rsidR="00373139" w:rsidRPr="00947458" w:rsidRDefault="00373139" w:rsidP="00373139">
      <w:pPr>
        <w:rPr>
          <w:szCs w:val="24"/>
        </w:rPr>
      </w:pPr>
    </w:p>
    <w:p w14:paraId="55A5365A" w14:textId="77777777" w:rsidR="00373139" w:rsidRPr="00947458" w:rsidRDefault="00786DF8" w:rsidP="00373139">
      <w:pPr>
        <w:rPr>
          <w:szCs w:val="24"/>
        </w:rPr>
      </w:pPr>
      <w:r w:rsidRPr="00947458">
        <w:rPr>
          <w:szCs w:val="24"/>
        </w:rPr>
        <w:t>Na t</w:t>
      </w:r>
      <w:r w:rsidR="00373139" w:rsidRPr="00947458">
        <w:rPr>
          <w:szCs w:val="24"/>
        </w:rPr>
        <w:t>emelj</w:t>
      </w:r>
      <w:r w:rsidRPr="00947458">
        <w:rPr>
          <w:szCs w:val="24"/>
        </w:rPr>
        <w:t>u</w:t>
      </w:r>
      <w:r w:rsidR="00373139" w:rsidRPr="00947458">
        <w:rPr>
          <w:szCs w:val="24"/>
        </w:rPr>
        <w:t xml:space="preserve"> </w:t>
      </w:r>
      <w:r w:rsidR="00E10F13" w:rsidRPr="00947458">
        <w:rPr>
          <w:szCs w:val="24"/>
        </w:rPr>
        <w:t>13</w:t>
      </w:r>
      <w:r w:rsidR="002D1F5A" w:rsidRPr="00947458">
        <w:rPr>
          <w:szCs w:val="24"/>
        </w:rPr>
        <w:t xml:space="preserve"> općih</w:t>
      </w:r>
      <w:r w:rsidR="00373139" w:rsidRPr="00947458">
        <w:rPr>
          <w:szCs w:val="24"/>
        </w:rPr>
        <w:t xml:space="preserve"> izvida </w:t>
      </w:r>
      <w:r w:rsidR="00D327C3" w:rsidRPr="00947458">
        <w:rPr>
          <w:szCs w:val="24"/>
        </w:rPr>
        <w:t>-</w:t>
      </w:r>
      <w:r w:rsidR="00373139" w:rsidRPr="00947458">
        <w:rPr>
          <w:szCs w:val="24"/>
        </w:rPr>
        <w:t xml:space="preserve"> analiz</w:t>
      </w:r>
      <w:r w:rsidR="002D1F5A" w:rsidRPr="00947458">
        <w:rPr>
          <w:szCs w:val="24"/>
        </w:rPr>
        <w:t>a</w:t>
      </w:r>
      <w:r w:rsidR="00E10F13" w:rsidRPr="00947458">
        <w:rPr>
          <w:szCs w:val="24"/>
        </w:rPr>
        <w:t xml:space="preserve"> MSP-a, izdano je 5</w:t>
      </w:r>
      <w:r w:rsidR="00373139" w:rsidRPr="00947458">
        <w:rPr>
          <w:szCs w:val="24"/>
        </w:rPr>
        <w:t xml:space="preserve"> potvrda k</w:t>
      </w:r>
      <w:r w:rsidR="000D1685" w:rsidRPr="00947458">
        <w:rPr>
          <w:szCs w:val="24"/>
        </w:rPr>
        <w:t xml:space="preserve">ojima je iz MSP-a isključena </w:t>
      </w:r>
      <w:r w:rsidR="00373139" w:rsidRPr="00947458">
        <w:rPr>
          <w:szCs w:val="24"/>
        </w:rPr>
        <w:t xml:space="preserve">površina od </w:t>
      </w:r>
      <w:r w:rsidR="00E10F13" w:rsidRPr="00947458">
        <w:rPr>
          <w:szCs w:val="24"/>
        </w:rPr>
        <w:t>1,8</w:t>
      </w:r>
      <w:r w:rsidR="00373139" w:rsidRPr="00947458">
        <w:rPr>
          <w:szCs w:val="24"/>
        </w:rPr>
        <w:t xml:space="preserve"> km</w:t>
      </w:r>
      <w:r w:rsidR="00373139" w:rsidRPr="00947458">
        <w:rPr>
          <w:szCs w:val="24"/>
          <w:vertAlign w:val="superscript"/>
        </w:rPr>
        <w:t>2</w:t>
      </w:r>
      <w:r w:rsidR="00373139" w:rsidRPr="00947458">
        <w:rPr>
          <w:szCs w:val="24"/>
        </w:rPr>
        <w:t xml:space="preserve">, dok </w:t>
      </w:r>
      <w:r w:rsidR="001A58AF" w:rsidRPr="00947458">
        <w:rPr>
          <w:szCs w:val="24"/>
        </w:rPr>
        <w:t>je</w:t>
      </w:r>
      <w:r w:rsidR="00373139" w:rsidRPr="00947458">
        <w:rPr>
          <w:szCs w:val="24"/>
        </w:rPr>
        <w:t xml:space="preserve"> </w:t>
      </w:r>
      <w:r w:rsidRPr="00947458">
        <w:rPr>
          <w:szCs w:val="24"/>
        </w:rPr>
        <w:t xml:space="preserve">na </w:t>
      </w:r>
      <w:r w:rsidR="00373139" w:rsidRPr="00947458">
        <w:rPr>
          <w:szCs w:val="24"/>
        </w:rPr>
        <w:t>temelj</w:t>
      </w:r>
      <w:r w:rsidRPr="00947458">
        <w:rPr>
          <w:szCs w:val="24"/>
        </w:rPr>
        <w:t>u</w:t>
      </w:r>
      <w:r w:rsidR="00373139" w:rsidRPr="00947458">
        <w:rPr>
          <w:szCs w:val="24"/>
        </w:rPr>
        <w:t xml:space="preserve"> novih saznanja o minskoj zagađenosti izdan</w:t>
      </w:r>
      <w:r w:rsidR="002D1F5A" w:rsidRPr="00947458">
        <w:rPr>
          <w:szCs w:val="24"/>
        </w:rPr>
        <w:t>o 8</w:t>
      </w:r>
      <w:r w:rsidR="007F7DB2" w:rsidRPr="00947458">
        <w:rPr>
          <w:szCs w:val="24"/>
        </w:rPr>
        <w:t xml:space="preserve"> obavijesti da je u MSP uključena</w:t>
      </w:r>
      <w:r w:rsidR="00373139" w:rsidRPr="00947458">
        <w:rPr>
          <w:szCs w:val="24"/>
        </w:rPr>
        <w:t xml:space="preserve"> površina od 0,</w:t>
      </w:r>
      <w:r w:rsidR="00E10F13" w:rsidRPr="00947458">
        <w:rPr>
          <w:szCs w:val="24"/>
        </w:rPr>
        <w:t>3</w:t>
      </w:r>
      <w:r w:rsidR="00373139" w:rsidRPr="00947458">
        <w:rPr>
          <w:szCs w:val="24"/>
        </w:rPr>
        <w:t xml:space="preserve"> km</w:t>
      </w:r>
      <w:r w:rsidR="00373139" w:rsidRPr="00947458">
        <w:rPr>
          <w:szCs w:val="24"/>
          <w:vertAlign w:val="superscript"/>
        </w:rPr>
        <w:t>2</w:t>
      </w:r>
      <w:r w:rsidR="001F3962" w:rsidRPr="00947458">
        <w:rPr>
          <w:szCs w:val="24"/>
        </w:rPr>
        <w:t>, koja je nakon obavljanja poslova razminiranja i isključena iz MSP-a u 2025. godini.</w:t>
      </w:r>
    </w:p>
    <w:p w14:paraId="3E22F43C" w14:textId="77777777" w:rsidR="002D1F5A" w:rsidRPr="00947458" w:rsidRDefault="002D1F5A" w:rsidP="001F535F">
      <w:pPr>
        <w:spacing w:line="240" w:lineRule="auto"/>
      </w:pPr>
      <w:bookmarkStart w:id="3" w:name="_Toc73447658"/>
    </w:p>
    <w:p w14:paraId="5E007DF5" w14:textId="77777777" w:rsidR="003A3EC3" w:rsidRPr="00947458" w:rsidRDefault="007943D3" w:rsidP="007943D3">
      <w:pPr>
        <w:rPr>
          <w:szCs w:val="24"/>
        </w:rPr>
      </w:pPr>
      <w:r w:rsidRPr="00947458">
        <w:rPr>
          <w:szCs w:val="24"/>
        </w:rPr>
        <w:t>U 2025. godini nastavljeno je provođenje obilježavanja, kontinuirano praćenje i održavanje sustava obilježenosti MSP-a. Na temelju provedenih aktivnosti, na dan 31. prosinca 2025. MSP je obilježen s</w:t>
      </w:r>
      <w:r w:rsidR="007A5759" w:rsidRPr="00947458">
        <w:rPr>
          <w:szCs w:val="24"/>
        </w:rPr>
        <w:t>a</w:t>
      </w:r>
      <w:r w:rsidRPr="00947458">
        <w:rPr>
          <w:szCs w:val="24"/>
        </w:rPr>
        <w:t xml:space="preserve"> 194 oznake minske opasnosti.</w:t>
      </w:r>
    </w:p>
    <w:p w14:paraId="53ED09E0" w14:textId="77777777" w:rsidR="00D76E27" w:rsidRPr="00947458" w:rsidRDefault="00D76E27" w:rsidP="007A5759">
      <w:pPr>
        <w:pStyle w:val="Razina2"/>
        <w:tabs>
          <w:tab w:val="clear" w:pos="510"/>
        </w:tabs>
        <w:ind w:left="709" w:hanging="709"/>
      </w:pPr>
      <w:bookmarkStart w:id="4" w:name="_Toc73447664"/>
      <w:bookmarkEnd w:id="3"/>
      <w:r w:rsidRPr="00947458">
        <w:t>Obavljanje poslova razminiranja na područjima zagađenim isključivo NUS-om (2,1 km</w:t>
      </w:r>
      <w:r w:rsidRPr="00947458">
        <w:rPr>
          <w:vertAlign w:val="superscript"/>
        </w:rPr>
        <w:t>2</w:t>
      </w:r>
      <w:r w:rsidRPr="00947458">
        <w:t>)</w:t>
      </w:r>
      <w:r w:rsidR="007A5759" w:rsidRPr="00947458">
        <w:t xml:space="preserve"> </w:t>
      </w:r>
      <w:r w:rsidR="007A5759" w:rsidRPr="00947458">
        <w:rPr>
          <w:i/>
        </w:rPr>
        <w:t>(CILJ 2)</w:t>
      </w:r>
    </w:p>
    <w:p w14:paraId="47A0C977" w14:textId="77777777" w:rsidR="00D76E27" w:rsidRPr="00947458" w:rsidRDefault="00D76E27" w:rsidP="00D76E27">
      <w:r w:rsidRPr="00947458">
        <w:rPr>
          <w:lang w:eastAsia="en-US"/>
        </w:rPr>
        <w:t>Područja koja su zagađen</w:t>
      </w:r>
      <w:r w:rsidR="006012D2" w:rsidRPr="00947458">
        <w:rPr>
          <w:lang w:eastAsia="en-US"/>
        </w:rPr>
        <w:t>a</w:t>
      </w:r>
      <w:r w:rsidRPr="00947458">
        <w:rPr>
          <w:lang w:eastAsia="en-US"/>
        </w:rPr>
        <w:t xml:space="preserve"> isključivo NUS-om površine 2,1 km</w:t>
      </w:r>
      <w:r w:rsidRPr="00947458">
        <w:rPr>
          <w:vertAlign w:val="superscript"/>
          <w:lang w:eastAsia="en-US"/>
        </w:rPr>
        <w:t>2</w:t>
      </w:r>
      <w:r w:rsidRPr="00947458">
        <w:rPr>
          <w:lang w:eastAsia="en-US"/>
        </w:rPr>
        <w:t xml:space="preserve"> </w:t>
      </w:r>
      <w:r w:rsidR="00933495" w:rsidRPr="00947458">
        <w:rPr>
          <w:lang w:eastAsia="en-US"/>
        </w:rPr>
        <w:t xml:space="preserve">u Karlovačkoj, Ličko-senjskoj i Sisačko-moslavačkoj županiji </w:t>
      </w:r>
      <w:r w:rsidRPr="00947458">
        <w:rPr>
          <w:lang w:eastAsia="en-US"/>
        </w:rPr>
        <w:t>u potpunosti su razminirana u 2025. godini te isključena iz MSP-a.</w:t>
      </w:r>
      <w:r w:rsidR="00933495" w:rsidRPr="00947458">
        <w:rPr>
          <w:lang w:eastAsia="en-US"/>
        </w:rPr>
        <w:t xml:space="preserve"> Razminiranje tih područja obavljalo se prema posebnim idejnim planovima u kojima su bile definirane specifične metode i postupci razminiranja sukladno Pravilniku</w:t>
      </w:r>
      <w:r w:rsidR="00933495" w:rsidRPr="00947458">
        <w:t xml:space="preserve"> o načinu obavljanja poslova razminiranja, kontrole kvalitete, općeg i tehničkog izvida i obilježavanja minski sumnjivog područja („Narodne novine“, br</w:t>
      </w:r>
      <w:r w:rsidR="009F7792" w:rsidRPr="00947458">
        <w:t>oj</w:t>
      </w:r>
      <w:r w:rsidR="00933495" w:rsidRPr="00947458">
        <w:t xml:space="preserve"> 108/24.).</w:t>
      </w:r>
    </w:p>
    <w:p w14:paraId="7E5DB411" w14:textId="77777777" w:rsidR="007943D3" w:rsidRPr="00947458" w:rsidRDefault="007943D3" w:rsidP="00D76E27"/>
    <w:p w14:paraId="6BD1E835" w14:textId="77777777" w:rsidR="007943D3" w:rsidRPr="00947458" w:rsidRDefault="007943D3" w:rsidP="007943D3">
      <w:pPr>
        <w:spacing w:line="240" w:lineRule="auto"/>
        <w:rPr>
          <w:szCs w:val="24"/>
        </w:rPr>
      </w:pPr>
      <w:r w:rsidRPr="00947458">
        <w:rPr>
          <w:szCs w:val="24"/>
        </w:rPr>
        <w:t>Prilikom obavljanja poslova razminiranja na područjima zagađenim isključivo NUS-om u 2025. godini pronađene su i uništene 2 protupješačke mine te 38.328 komada NUS-a</w:t>
      </w:r>
      <w:r w:rsidR="001F3962" w:rsidRPr="00947458">
        <w:rPr>
          <w:szCs w:val="24"/>
        </w:rPr>
        <w:t>, od čega 2.</w:t>
      </w:r>
      <w:r w:rsidR="00ED0764" w:rsidRPr="00947458">
        <w:rPr>
          <w:szCs w:val="24"/>
        </w:rPr>
        <w:t>744</w:t>
      </w:r>
      <w:r w:rsidR="001F3962" w:rsidRPr="00947458">
        <w:rPr>
          <w:szCs w:val="24"/>
        </w:rPr>
        <w:t xml:space="preserve"> srednjeg i velikog kalibra</w:t>
      </w:r>
      <w:r w:rsidRPr="00947458">
        <w:rPr>
          <w:szCs w:val="24"/>
        </w:rPr>
        <w:t xml:space="preserve">. </w:t>
      </w:r>
    </w:p>
    <w:p w14:paraId="6EC63927" w14:textId="77777777" w:rsidR="00F059F1" w:rsidRPr="00947458" w:rsidRDefault="00EA1B30" w:rsidP="005B1255">
      <w:pPr>
        <w:pStyle w:val="Razina2"/>
      </w:pPr>
      <w:bookmarkStart w:id="5" w:name="_Toc73447665"/>
      <w:bookmarkEnd w:id="4"/>
      <w:r w:rsidRPr="00947458">
        <w:lastRenderedPageBreak/>
        <w:t>I</w:t>
      </w:r>
      <w:r w:rsidR="00F059F1" w:rsidRPr="00947458">
        <w:t>nformiranj</w:t>
      </w:r>
      <w:r w:rsidRPr="00947458">
        <w:t>e</w:t>
      </w:r>
      <w:r w:rsidR="00F059F1" w:rsidRPr="00947458">
        <w:t xml:space="preserve"> i edukacij</w:t>
      </w:r>
      <w:r w:rsidRPr="00947458">
        <w:t>a</w:t>
      </w:r>
      <w:r w:rsidR="00F059F1" w:rsidRPr="00947458">
        <w:t xml:space="preserve"> stanovništva o opasnostima od MES-a, NUS-a i njihovih dijelova</w:t>
      </w:r>
      <w:bookmarkEnd w:id="5"/>
      <w:r w:rsidR="00F059F1" w:rsidRPr="00947458">
        <w:t xml:space="preserve"> </w:t>
      </w:r>
      <w:r w:rsidR="00411DCF" w:rsidRPr="00947458">
        <w:rPr>
          <w:i/>
        </w:rPr>
        <w:t>(CILJ 3</w:t>
      </w:r>
      <w:r w:rsidR="00F059F1" w:rsidRPr="00947458">
        <w:rPr>
          <w:i/>
        </w:rPr>
        <w:t>)</w:t>
      </w:r>
    </w:p>
    <w:p w14:paraId="458B8FC5" w14:textId="29081132" w:rsidR="006E11CB" w:rsidRPr="00947458" w:rsidRDefault="00F059F1" w:rsidP="00E741AD">
      <w:pPr>
        <w:rPr>
          <w:szCs w:val="24"/>
        </w:rPr>
      </w:pPr>
      <w:r w:rsidRPr="00947458">
        <w:rPr>
          <w:szCs w:val="24"/>
        </w:rPr>
        <w:t>Tijekom 202</w:t>
      </w:r>
      <w:r w:rsidR="007943D3" w:rsidRPr="00947458">
        <w:rPr>
          <w:szCs w:val="24"/>
        </w:rPr>
        <w:t>5</w:t>
      </w:r>
      <w:r w:rsidRPr="00947458">
        <w:rPr>
          <w:szCs w:val="24"/>
        </w:rPr>
        <w:t xml:space="preserve">. godine </w:t>
      </w:r>
      <w:r w:rsidR="00526E71" w:rsidRPr="00947458">
        <w:rPr>
          <w:szCs w:val="24"/>
        </w:rPr>
        <w:t>službenici Ravnateljstva civilne zaštite</w:t>
      </w:r>
      <w:r w:rsidR="00052617" w:rsidRPr="00947458">
        <w:rPr>
          <w:szCs w:val="24"/>
        </w:rPr>
        <w:t xml:space="preserve"> M</w:t>
      </w:r>
      <w:r w:rsidR="008014CF" w:rsidRPr="00947458">
        <w:rPr>
          <w:szCs w:val="24"/>
        </w:rPr>
        <w:t>UP-a</w:t>
      </w:r>
      <w:r w:rsidR="005D416B" w:rsidRPr="00947458">
        <w:rPr>
          <w:szCs w:val="24"/>
        </w:rPr>
        <w:t xml:space="preserve"> održali su</w:t>
      </w:r>
      <w:r w:rsidR="00526E71" w:rsidRPr="00947458">
        <w:rPr>
          <w:szCs w:val="24"/>
        </w:rPr>
        <w:t xml:space="preserve"> </w:t>
      </w:r>
      <w:r w:rsidR="00F04380" w:rsidRPr="00947458">
        <w:rPr>
          <w:szCs w:val="24"/>
        </w:rPr>
        <w:t>85</w:t>
      </w:r>
      <w:r w:rsidRPr="00947458">
        <w:rPr>
          <w:szCs w:val="24"/>
        </w:rPr>
        <w:t xml:space="preserve"> edukacij</w:t>
      </w:r>
      <w:r w:rsidR="007943D3" w:rsidRPr="00947458">
        <w:rPr>
          <w:szCs w:val="24"/>
        </w:rPr>
        <w:t>a</w:t>
      </w:r>
      <w:r w:rsidR="006E11CB" w:rsidRPr="00947458">
        <w:rPr>
          <w:szCs w:val="24"/>
        </w:rPr>
        <w:t xml:space="preserve"> o opasnostima od MES-a i NUS-a </w:t>
      </w:r>
      <w:r w:rsidR="007943D3" w:rsidRPr="00947458">
        <w:rPr>
          <w:szCs w:val="24"/>
        </w:rPr>
        <w:t>kojima je obuhvaćeno</w:t>
      </w:r>
      <w:r w:rsidRPr="00947458">
        <w:rPr>
          <w:szCs w:val="24"/>
        </w:rPr>
        <w:t xml:space="preserve"> </w:t>
      </w:r>
      <w:r w:rsidR="007943D3" w:rsidRPr="00947458">
        <w:rPr>
          <w:szCs w:val="24"/>
        </w:rPr>
        <w:t>2</w:t>
      </w:r>
      <w:r w:rsidRPr="00947458">
        <w:rPr>
          <w:szCs w:val="24"/>
        </w:rPr>
        <w:t>.</w:t>
      </w:r>
      <w:r w:rsidR="00F04380" w:rsidRPr="00947458">
        <w:rPr>
          <w:szCs w:val="24"/>
        </w:rPr>
        <w:t>740</w:t>
      </w:r>
      <w:r w:rsidRPr="00947458">
        <w:rPr>
          <w:szCs w:val="24"/>
        </w:rPr>
        <w:t xml:space="preserve"> </w:t>
      </w:r>
      <w:r w:rsidR="007943D3" w:rsidRPr="00947458">
        <w:rPr>
          <w:szCs w:val="24"/>
        </w:rPr>
        <w:t>osoba</w:t>
      </w:r>
      <w:r w:rsidR="00526E71" w:rsidRPr="00947458">
        <w:rPr>
          <w:szCs w:val="24"/>
        </w:rPr>
        <w:t xml:space="preserve"> raznih dobnih skupina</w:t>
      </w:r>
      <w:r w:rsidR="006E11CB" w:rsidRPr="00947458">
        <w:rPr>
          <w:szCs w:val="24"/>
        </w:rPr>
        <w:t>, a najveći udio čine djeca predškolskog i školskog uzrasta</w:t>
      </w:r>
      <w:r w:rsidRPr="00947458">
        <w:rPr>
          <w:szCs w:val="24"/>
        </w:rPr>
        <w:t>.</w:t>
      </w:r>
      <w:r w:rsidR="006E11CB" w:rsidRPr="00947458">
        <w:rPr>
          <w:szCs w:val="24"/>
        </w:rPr>
        <w:t xml:space="preserve"> Edukacije su održane na području </w:t>
      </w:r>
      <w:r w:rsidR="004007B2">
        <w:rPr>
          <w:szCs w:val="24"/>
        </w:rPr>
        <w:t xml:space="preserve">četiriju </w:t>
      </w:r>
      <w:r w:rsidR="007943D3" w:rsidRPr="00947458">
        <w:rPr>
          <w:szCs w:val="24"/>
        </w:rPr>
        <w:t>županij</w:t>
      </w:r>
      <w:r w:rsidR="004007B2">
        <w:rPr>
          <w:szCs w:val="24"/>
        </w:rPr>
        <w:t>a</w:t>
      </w:r>
      <w:r w:rsidR="007943D3" w:rsidRPr="00947458">
        <w:rPr>
          <w:szCs w:val="24"/>
        </w:rPr>
        <w:t>, u 30</w:t>
      </w:r>
      <w:r w:rsidR="006E11CB" w:rsidRPr="00947458">
        <w:rPr>
          <w:szCs w:val="24"/>
        </w:rPr>
        <w:t xml:space="preserve"> gradova i općina. Najviše edukacija održano je u odgojno-obrazovnim ustanovama (vrtićima i školama), a manji dio na javnim događanjima (tematskim sajmovima, izložbama i sličnim manifestacijama). Neke edukacije održane su u suradnji sa službenicima nadležnih policijskih uprava (odjeli prevencije i protueksplozijski odjeli), kao i s Hrvatskom gorskom službom spašavanja, javnim vatrogasnim postrojbama i dobrovoljnim vatrogasnim društvima.</w:t>
      </w:r>
    </w:p>
    <w:p w14:paraId="1617431F" w14:textId="77777777" w:rsidR="006E11CB" w:rsidRPr="00947458" w:rsidRDefault="006E11CB" w:rsidP="00E741AD">
      <w:pPr>
        <w:rPr>
          <w:szCs w:val="24"/>
        </w:rPr>
      </w:pPr>
    </w:p>
    <w:p w14:paraId="1576CBD7" w14:textId="77777777" w:rsidR="00F04380" w:rsidRPr="00947458" w:rsidRDefault="00F059F1" w:rsidP="00F059F1">
      <w:pPr>
        <w:rPr>
          <w:szCs w:val="24"/>
        </w:rPr>
      </w:pPr>
      <w:r w:rsidRPr="00947458">
        <w:rPr>
          <w:szCs w:val="24"/>
        </w:rPr>
        <w:t>U 202</w:t>
      </w:r>
      <w:r w:rsidR="007943D3" w:rsidRPr="00947458">
        <w:rPr>
          <w:szCs w:val="24"/>
        </w:rPr>
        <w:t>5</w:t>
      </w:r>
      <w:r w:rsidRPr="00947458">
        <w:rPr>
          <w:szCs w:val="24"/>
        </w:rPr>
        <w:t>. godini, Ravnateljstvo civilne zaštite MUP-a izdalo je</w:t>
      </w:r>
      <w:r w:rsidR="00791406" w:rsidRPr="00947458">
        <w:rPr>
          <w:szCs w:val="24"/>
        </w:rPr>
        <w:t xml:space="preserve">, </w:t>
      </w:r>
      <w:r w:rsidR="00786DF8" w:rsidRPr="00947458">
        <w:rPr>
          <w:szCs w:val="24"/>
        </w:rPr>
        <w:t xml:space="preserve">na </w:t>
      </w:r>
      <w:r w:rsidR="00791406" w:rsidRPr="00947458">
        <w:rPr>
          <w:szCs w:val="24"/>
        </w:rPr>
        <w:t>temelj</w:t>
      </w:r>
      <w:r w:rsidR="00786DF8" w:rsidRPr="00947458">
        <w:rPr>
          <w:szCs w:val="24"/>
        </w:rPr>
        <w:t>u</w:t>
      </w:r>
      <w:r w:rsidR="00791406" w:rsidRPr="00947458">
        <w:rPr>
          <w:szCs w:val="24"/>
        </w:rPr>
        <w:t xml:space="preserve"> zahtjeva stranaka,</w:t>
      </w:r>
      <w:r w:rsidR="002D1F5A" w:rsidRPr="00947458">
        <w:rPr>
          <w:szCs w:val="24"/>
        </w:rPr>
        <w:t xml:space="preserve"> </w:t>
      </w:r>
      <w:r w:rsidR="007943D3" w:rsidRPr="00947458">
        <w:rPr>
          <w:szCs w:val="24"/>
        </w:rPr>
        <w:t>384</w:t>
      </w:r>
      <w:r w:rsidRPr="00947458">
        <w:rPr>
          <w:szCs w:val="24"/>
        </w:rPr>
        <w:t xml:space="preserve"> uvida u stanje miniranosti.</w:t>
      </w:r>
    </w:p>
    <w:p w14:paraId="0976A6D7" w14:textId="77777777" w:rsidR="005D13F6" w:rsidRPr="00947458" w:rsidRDefault="005D13F6" w:rsidP="005D13F6"/>
    <w:p w14:paraId="27EB2E45" w14:textId="77777777" w:rsidR="00F04380" w:rsidRPr="00947458" w:rsidRDefault="005D13F6" w:rsidP="00383E9D">
      <w:pPr>
        <w:tabs>
          <w:tab w:val="left" w:pos="709"/>
        </w:tabs>
        <w:rPr>
          <w:b/>
        </w:rPr>
      </w:pPr>
      <w:r w:rsidRPr="00947458">
        <w:rPr>
          <w:b/>
        </w:rPr>
        <w:t>3.4.</w:t>
      </w:r>
      <w:r w:rsidRPr="00947458">
        <w:rPr>
          <w:b/>
        </w:rPr>
        <w:tab/>
      </w:r>
      <w:r w:rsidR="00F04380" w:rsidRPr="00947458">
        <w:rPr>
          <w:b/>
        </w:rPr>
        <w:t>Minske nesreće</w:t>
      </w:r>
    </w:p>
    <w:p w14:paraId="045ACE55" w14:textId="77777777" w:rsidR="005D13F6" w:rsidRPr="00947458" w:rsidRDefault="005D13F6" w:rsidP="00F04380">
      <w:pPr>
        <w:rPr>
          <w:szCs w:val="24"/>
        </w:rPr>
      </w:pPr>
    </w:p>
    <w:p w14:paraId="2AAA4E60" w14:textId="77777777" w:rsidR="00F04380" w:rsidRPr="00947458" w:rsidRDefault="00F04380" w:rsidP="00F04380">
      <w:pPr>
        <w:rPr>
          <w:szCs w:val="24"/>
        </w:rPr>
      </w:pPr>
      <w:r w:rsidRPr="00947458">
        <w:rPr>
          <w:szCs w:val="24"/>
        </w:rPr>
        <w:t>U 2025. godini dogodile su se dvije minske nesreće u Karlovačkoj i Ličko-senjskoj županiji u kojima je smrtno stradala jedna osoba, a jedna je lakše ozlijeđena.</w:t>
      </w:r>
    </w:p>
    <w:p w14:paraId="628D74E4" w14:textId="77777777" w:rsidR="00F04380" w:rsidRPr="00947458" w:rsidRDefault="00F04380" w:rsidP="00F04380">
      <w:pPr>
        <w:rPr>
          <w:szCs w:val="24"/>
        </w:rPr>
      </w:pPr>
    </w:p>
    <w:p w14:paraId="67CA3B9F" w14:textId="77777777" w:rsidR="00F04380" w:rsidRPr="00947458" w:rsidRDefault="00F04380" w:rsidP="00F04380">
      <w:pPr>
        <w:rPr>
          <w:szCs w:val="24"/>
        </w:rPr>
      </w:pPr>
      <w:r w:rsidRPr="00947458">
        <w:rPr>
          <w:szCs w:val="24"/>
        </w:rPr>
        <w:t>Dana 26. svibnja 2025., u blizini naselja Široka Kula u Ličko-senjskoj županiji, prilikom rada stroja unutar radilišta tijekom</w:t>
      </w:r>
      <w:r w:rsidR="006012D2" w:rsidRPr="00947458">
        <w:rPr>
          <w:szCs w:val="24"/>
        </w:rPr>
        <w:t xml:space="preserve"> provedbe poslova</w:t>
      </w:r>
      <w:r w:rsidRPr="00947458">
        <w:rPr>
          <w:szCs w:val="24"/>
        </w:rPr>
        <w:t xml:space="preserve"> razminiranja, došlo je do aktiviranja i detonacije protupješačke rasprskavajuće odskočne mine PROM-1, uslijed koje su od krhotina mine nastale lakše tjelesne ozljede operatera stroja pravne osobe ovlaštene za obavljanje poslova razminiranja.</w:t>
      </w:r>
    </w:p>
    <w:p w14:paraId="545E3913" w14:textId="77777777" w:rsidR="00A624AD" w:rsidRPr="00947458" w:rsidRDefault="00A624AD" w:rsidP="00F04380">
      <w:pPr>
        <w:rPr>
          <w:szCs w:val="24"/>
        </w:rPr>
      </w:pPr>
    </w:p>
    <w:p w14:paraId="3DC06079" w14:textId="77777777" w:rsidR="00A624AD" w:rsidRPr="00947458" w:rsidRDefault="00F04380" w:rsidP="00F04380">
      <w:pPr>
        <w:rPr>
          <w:szCs w:val="24"/>
        </w:rPr>
      </w:pPr>
      <w:r w:rsidRPr="00947458">
        <w:rPr>
          <w:szCs w:val="24"/>
        </w:rPr>
        <w:t xml:space="preserve">Dana 26. lipnja 2025., </w:t>
      </w:r>
      <w:r w:rsidR="00A624AD" w:rsidRPr="00947458">
        <w:rPr>
          <w:szCs w:val="24"/>
        </w:rPr>
        <w:t>p</w:t>
      </w:r>
      <w:r w:rsidRPr="00947458">
        <w:rPr>
          <w:szCs w:val="24"/>
        </w:rPr>
        <w:t xml:space="preserve">rilikom </w:t>
      </w:r>
      <w:r w:rsidR="00A624AD" w:rsidRPr="00947458">
        <w:rPr>
          <w:szCs w:val="24"/>
        </w:rPr>
        <w:t xml:space="preserve">razminiranja područja zagađenog isključivo NUS-om </w:t>
      </w:r>
      <w:r w:rsidR="00383E9D" w:rsidRPr="00947458">
        <w:rPr>
          <w:szCs w:val="24"/>
        </w:rPr>
        <w:t>v</w:t>
      </w:r>
      <w:r w:rsidR="00A624AD" w:rsidRPr="00947458">
        <w:rPr>
          <w:szCs w:val="24"/>
        </w:rPr>
        <w:t>ojnog skladišnog kompleksa „Oštarije“ u Karlovačkoj županiji,</w:t>
      </w:r>
      <w:r w:rsidRPr="00947458">
        <w:rPr>
          <w:szCs w:val="24"/>
        </w:rPr>
        <w:t xml:space="preserve"> uslijed detonacije </w:t>
      </w:r>
      <w:r w:rsidR="00A624AD" w:rsidRPr="00947458">
        <w:rPr>
          <w:szCs w:val="24"/>
        </w:rPr>
        <w:t>NUS-a</w:t>
      </w:r>
      <w:r w:rsidRPr="00947458">
        <w:rPr>
          <w:szCs w:val="24"/>
        </w:rPr>
        <w:t xml:space="preserve"> smrtno </w:t>
      </w:r>
      <w:r w:rsidR="00A624AD" w:rsidRPr="00947458">
        <w:rPr>
          <w:szCs w:val="24"/>
        </w:rPr>
        <w:t xml:space="preserve">je </w:t>
      </w:r>
      <w:r w:rsidRPr="00947458">
        <w:rPr>
          <w:szCs w:val="24"/>
        </w:rPr>
        <w:t>strada</w:t>
      </w:r>
      <w:r w:rsidR="00A624AD" w:rsidRPr="00947458">
        <w:rPr>
          <w:szCs w:val="24"/>
        </w:rPr>
        <w:t>o pirotehničar pravne osobe ovlaštene za obavljanje poslova razminiranja.</w:t>
      </w:r>
    </w:p>
    <w:p w14:paraId="1841E23E" w14:textId="77777777" w:rsidR="00F059F1" w:rsidRPr="00947458" w:rsidRDefault="00F059F1" w:rsidP="00DC46FA">
      <w:pPr>
        <w:pStyle w:val="Razina1"/>
      </w:pPr>
      <w:bookmarkStart w:id="6" w:name="_Toc73447666"/>
      <w:r w:rsidRPr="00947458">
        <w:t>Pripremanje i vođenje projekata financiranih sredstvima Europske unije</w:t>
      </w:r>
      <w:bookmarkEnd w:id="6"/>
    </w:p>
    <w:p w14:paraId="329127A9" w14:textId="77777777" w:rsidR="00B424B2" w:rsidRPr="00947458" w:rsidRDefault="00B424B2" w:rsidP="00AB3A4A">
      <w:pPr>
        <w:rPr>
          <w:b/>
        </w:rPr>
      </w:pPr>
      <w:r w:rsidRPr="00947458">
        <w:rPr>
          <w:b/>
        </w:rPr>
        <w:t>Europski fond za regionalni razvoj</w:t>
      </w:r>
      <w:r w:rsidR="002D1F5A" w:rsidRPr="00947458">
        <w:rPr>
          <w:b/>
        </w:rPr>
        <w:t xml:space="preserve"> </w:t>
      </w:r>
      <w:r w:rsidR="00626428" w:rsidRPr="00947458">
        <w:rPr>
          <w:b/>
        </w:rPr>
        <w:t>-</w:t>
      </w:r>
      <w:r w:rsidR="002D1F5A" w:rsidRPr="00947458">
        <w:rPr>
          <w:b/>
        </w:rPr>
        <w:t xml:space="preserve"> Program Konkurentnost i kohezija 2021</w:t>
      </w:r>
      <w:r w:rsidR="00626428" w:rsidRPr="00947458">
        <w:rPr>
          <w:b/>
        </w:rPr>
        <w:t xml:space="preserve">. </w:t>
      </w:r>
      <w:r w:rsidR="003F0390" w:rsidRPr="00947458">
        <w:rPr>
          <w:b/>
        </w:rPr>
        <w:t>-</w:t>
      </w:r>
      <w:r w:rsidR="00626428" w:rsidRPr="00947458">
        <w:rPr>
          <w:b/>
        </w:rPr>
        <w:t xml:space="preserve"> </w:t>
      </w:r>
      <w:r w:rsidR="002D1F5A" w:rsidRPr="00947458">
        <w:rPr>
          <w:b/>
        </w:rPr>
        <w:t>2027</w:t>
      </w:r>
      <w:r w:rsidR="00626428" w:rsidRPr="00947458">
        <w:rPr>
          <w:b/>
        </w:rPr>
        <w:t>.</w:t>
      </w:r>
      <w:r w:rsidRPr="00947458">
        <w:rPr>
          <w:b/>
        </w:rPr>
        <w:t xml:space="preserve"> </w:t>
      </w:r>
      <w:r w:rsidR="00626428" w:rsidRPr="00947458">
        <w:rPr>
          <w:b/>
        </w:rPr>
        <w:t>-</w:t>
      </w:r>
      <w:r w:rsidRPr="00947458">
        <w:rPr>
          <w:b/>
        </w:rPr>
        <w:t xml:space="preserve"> Razminiranje višegodišnji okvir 2021.</w:t>
      </w:r>
      <w:r w:rsidR="00626428" w:rsidRPr="00947458">
        <w:rPr>
          <w:b/>
        </w:rPr>
        <w:t xml:space="preserve"> </w:t>
      </w:r>
      <w:r w:rsidRPr="00947458">
        <w:rPr>
          <w:b/>
        </w:rPr>
        <w:t>-</w:t>
      </w:r>
      <w:r w:rsidR="00626428" w:rsidRPr="00947458">
        <w:rPr>
          <w:b/>
        </w:rPr>
        <w:t xml:space="preserve"> </w:t>
      </w:r>
      <w:r w:rsidRPr="00947458">
        <w:rPr>
          <w:b/>
        </w:rPr>
        <w:t>2027.</w:t>
      </w:r>
    </w:p>
    <w:p w14:paraId="05AB4EA6" w14:textId="77777777" w:rsidR="00AB3A4A" w:rsidRPr="00947458" w:rsidRDefault="00AB3A4A" w:rsidP="00AB3A4A"/>
    <w:p w14:paraId="17F4D806" w14:textId="77777777" w:rsidR="00A624AD" w:rsidRPr="00947458" w:rsidRDefault="00A624AD" w:rsidP="00A624AD">
      <w:r w:rsidRPr="00947458">
        <w:t>U okviru aktivnosti Razminiranje višegodišnji okvir 2021.</w:t>
      </w:r>
      <w:r w:rsidR="003F0390" w:rsidRPr="00947458">
        <w:t xml:space="preserve"> </w:t>
      </w:r>
      <w:r w:rsidRPr="00947458">
        <w:t>-</w:t>
      </w:r>
      <w:r w:rsidR="003F0390" w:rsidRPr="00947458">
        <w:t xml:space="preserve"> </w:t>
      </w:r>
      <w:r w:rsidRPr="00947458">
        <w:t>2027., posebnog cilja „Promicanje prilagodbe klimatskim promjenama i sprječavanja rizika od katastrofa te otpornosti, uzimajući u obzir pristupe utemeljene na ekosustavima“, od 2022. godine provode se dva projekta „Razminiranje šuma i šumskog zemljišta u Republici Hrvatskoj“ CROSS i CROSS II, u okviru kojih je ugovoreno 102,1 milijun eura bespovratnih EU sredstava namijenjenih razminiranju, odnosno ukupno 129,3 milijuna eura, uključujući i nacionalno sufinanciranje.</w:t>
      </w:r>
    </w:p>
    <w:p w14:paraId="27102DFB" w14:textId="77777777" w:rsidR="00A624AD" w:rsidRPr="00947458" w:rsidRDefault="00A624AD" w:rsidP="00A624AD"/>
    <w:p w14:paraId="32C0BAD2" w14:textId="77777777" w:rsidR="00B424B2" w:rsidRPr="00947458" w:rsidRDefault="00A624AD" w:rsidP="00A624AD">
      <w:pPr>
        <w:rPr>
          <w:szCs w:val="24"/>
        </w:rPr>
      </w:pPr>
      <w:r w:rsidRPr="00947458">
        <w:t xml:space="preserve">Projektima „Croatian Safe Steps </w:t>
      </w:r>
      <w:r w:rsidR="003F0390" w:rsidRPr="00947458">
        <w:t>-</w:t>
      </w:r>
      <w:r w:rsidRPr="00947458">
        <w:t xml:space="preserve"> CROSS“ i „Croatian Safe Steps </w:t>
      </w:r>
      <w:r w:rsidR="003F0390" w:rsidRPr="00947458">
        <w:t>-</w:t>
      </w:r>
      <w:r w:rsidRPr="00947458">
        <w:t xml:space="preserve"> CROSS II“ iz navedenog je izvora ugovoreno razminiranje 83,35 km</w:t>
      </w:r>
      <w:r w:rsidRPr="00947458">
        <w:rPr>
          <w:vertAlign w:val="superscript"/>
        </w:rPr>
        <w:t>2</w:t>
      </w:r>
      <w:r w:rsidRPr="00947458">
        <w:t xml:space="preserve"> šuma i šumskog zemljišta od MES-a i NUS-a.</w:t>
      </w:r>
    </w:p>
    <w:p w14:paraId="26CBCC74" w14:textId="77777777" w:rsidR="00B424B2" w:rsidRPr="00947458" w:rsidRDefault="00B424B2" w:rsidP="00232783">
      <w:pPr>
        <w:pStyle w:val="Razina2"/>
        <w:numPr>
          <w:ilvl w:val="1"/>
          <w:numId w:val="31"/>
        </w:numPr>
        <w:tabs>
          <w:tab w:val="clear" w:pos="510"/>
        </w:tabs>
        <w:ind w:left="709" w:hanging="709"/>
      </w:pPr>
      <w:r w:rsidRPr="00947458">
        <w:lastRenderedPageBreak/>
        <w:t xml:space="preserve">Projekt </w:t>
      </w:r>
      <w:r w:rsidR="002D1F5A" w:rsidRPr="00947458">
        <w:t xml:space="preserve">Croatian Safe Steps - </w:t>
      </w:r>
      <w:r w:rsidRPr="00947458">
        <w:t>CROSS</w:t>
      </w:r>
    </w:p>
    <w:p w14:paraId="736F4086" w14:textId="77777777" w:rsidR="002D1F5A" w:rsidRPr="00947458" w:rsidRDefault="002D1F5A" w:rsidP="002D1F5A">
      <w:pPr>
        <w:rPr>
          <w:szCs w:val="24"/>
        </w:rPr>
      </w:pPr>
      <w:r w:rsidRPr="00947458">
        <w:rPr>
          <w:szCs w:val="24"/>
        </w:rPr>
        <w:t>CROSS je prvi projekt iz Programa Konkurentnost i kohezija u Republici Hrvatskoj čiji je cilj bio razminiranje ukupno 34,5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 xml:space="preserve"> šuma i šumskog zemljišta na području 5 županija (Karlovačka, Ličko-senjska, Sisačko-moslavačka, Splitsko-dalmatinska i Šibensko-kninska). </w:t>
      </w:r>
    </w:p>
    <w:p w14:paraId="0E0B5256" w14:textId="77777777" w:rsidR="002D1F5A" w:rsidRPr="00947458" w:rsidRDefault="002D1F5A" w:rsidP="002D1F5A">
      <w:pPr>
        <w:rPr>
          <w:szCs w:val="24"/>
        </w:rPr>
      </w:pPr>
    </w:p>
    <w:p w14:paraId="6362783E" w14:textId="77777777" w:rsidR="00A624AD" w:rsidRPr="00947458" w:rsidRDefault="00A624AD" w:rsidP="00A624AD">
      <w:r w:rsidRPr="00947458">
        <w:t xml:space="preserve">Ukupni prihvatljivi troškovi projekta CROSS iznosili su 52.234.936,54 eura, od čega su ukupna EU bespovratna sredstva iznosila 32.281.190,78 eura, odnosno 61,8 %. </w:t>
      </w:r>
    </w:p>
    <w:p w14:paraId="53ABDBE8" w14:textId="77777777" w:rsidR="00A624AD" w:rsidRPr="00947458" w:rsidRDefault="00A624AD" w:rsidP="00A624AD"/>
    <w:p w14:paraId="03203704" w14:textId="77777777" w:rsidR="00A624AD" w:rsidRPr="00947458" w:rsidRDefault="00A624AD" w:rsidP="00A624AD">
      <w:r w:rsidRPr="00947458">
        <w:t>Ukupni iznos odobrenih troškova, prema podnesenim zahtjevima za nadoknadom sredstava iznosi 51.978.240,42</w:t>
      </w:r>
      <w:r w:rsidR="006012D2" w:rsidRPr="00947458">
        <w:t xml:space="preserve"> </w:t>
      </w:r>
      <w:r w:rsidRPr="00947458">
        <w:t>eura</w:t>
      </w:r>
      <w:r w:rsidR="00177618" w:rsidRPr="00947458">
        <w:t>, bez neprihvatljivih troškova</w:t>
      </w:r>
      <w:r w:rsidRPr="00947458">
        <w:t xml:space="preserve">. </w:t>
      </w:r>
    </w:p>
    <w:p w14:paraId="05EB3EDE" w14:textId="77777777" w:rsidR="00A624AD" w:rsidRPr="00947458" w:rsidRDefault="00A624AD" w:rsidP="00A624AD"/>
    <w:p w14:paraId="2CD776C9" w14:textId="77777777" w:rsidR="00A624AD" w:rsidRPr="00947458" w:rsidRDefault="00A624AD" w:rsidP="00A624AD">
      <w:r w:rsidRPr="00947458">
        <w:t>Realizacijom glavne projektne aktivnosti razminirano je 34,59 km</w:t>
      </w:r>
      <w:r w:rsidRPr="00947458">
        <w:rPr>
          <w:vertAlign w:val="superscript"/>
        </w:rPr>
        <w:t>2</w:t>
      </w:r>
      <w:r w:rsidRPr="00947458">
        <w:t xml:space="preserve"> MSP-a. Sve projektne aktivnosti d</w:t>
      </w:r>
      <w:r w:rsidR="00D80849" w:rsidRPr="00947458">
        <w:t>ovršene su do 31. prosinca 2024.</w:t>
      </w:r>
      <w:r w:rsidRPr="00947458">
        <w:t>, a u siječnju 2025. godine MUP je podnio završno izvješće o provedi projekta u okviru završnog zahtjeva za nadoknadom sredstava, koje je odobreno u cijelosti.</w:t>
      </w:r>
    </w:p>
    <w:p w14:paraId="60F4C6F6" w14:textId="77777777" w:rsidR="0020162E" w:rsidRPr="00947458" w:rsidRDefault="0020162E" w:rsidP="00A624AD"/>
    <w:p w14:paraId="2981C70A" w14:textId="1A9B045A" w:rsidR="0020162E" w:rsidRPr="00947458" w:rsidRDefault="0020162E" w:rsidP="0020162E">
      <w:r w:rsidRPr="00947458">
        <w:t>Tijekom veljače i ožujka 2025. godine od strane Središnje agencije za financiranje i ugovaranje programa i projekata Europske unije (SAFU) izvršena je provjera na licu mjesta</w:t>
      </w:r>
      <w:r w:rsidR="0002716D">
        <w:t xml:space="preserve"> </w:t>
      </w:r>
      <w:r w:rsidRPr="00947458">
        <w:t>kao terenska kontrola projekta, kojom je provjerena usklađenost projekta s ugovorom, ispravnost dokumentacije, stanje projektnih aktivnosti (lokacija, pokazatelji), računovodstveno praćenje izdataka, te provedba mjera informiranja i vidljivosti, a ista j</w:t>
      </w:r>
      <w:r w:rsidR="001F3962" w:rsidRPr="00947458">
        <w:t>e dovršena krajem ožujka - bez primjedbi</w:t>
      </w:r>
      <w:r w:rsidRPr="00947458">
        <w:t>.</w:t>
      </w:r>
    </w:p>
    <w:p w14:paraId="72BD8992" w14:textId="77777777" w:rsidR="0020162E" w:rsidRPr="00947458" w:rsidRDefault="0020162E" w:rsidP="0020162E"/>
    <w:p w14:paraId="6C53960E" w14:textId="5AB06F12" w:rsidR="0020162E" w:rsidRPr="00947458" w:rsidRDefault="0020162E" w:rsidP="0020162E">
      <w:r w:rsidRPr="00947458">
        <w:t>Također je Ugovor o dodjeli bespovratnih sredstava za projekt CROSS</w:t>
      </w:r>
      <w:r w:rsidR="004007B2">
        <w:t>,</w:t>
      </w:r>
      <w:r w:rsidRPr="00947458">
        <w:t xml:space="preserve"> tj. troškovi prijavljeni u okviru </w:t>
      </w:r>
      <w:r w:rsidR="004007B2">
        <w:t>prvog</w:t>
      </w:r>
      <w:r w:rsidRPr="00947458">
        <w:t xml:space="preserve"> zahtjeva za nadoknadom sredstava</w:t>
      </w:r>
      <w:r w:rsidR="004007B2">
        <w:t>,</w:t>
      </w:r>
      <w:r w:rsidRPr="00947458">
        <w:t xml:space="preserve"> odabran kao uzorak za provedbu revizije od strane Agencij</w:t>
      </w:r>
      <w:r w:rsidR="004007B2">
        <w:t>e</w:t>
      </w:r>
      <w:r w:rsidRPr="00947458">
        <w:t xml:space="preserve"> za reviziju sustava provedbe programa Europske unije</w:t>
      </w:r>
      <w:r w:rsidR="004007B2">
        <w:t xml:space="preserve"> (ARPA)</w:t>
      </w:r>
      <w:r w:rsidRPr="00947458">
        <w:t>.</w:t>
      </w:r>
    </w:p>
    <w:p w14:paraId="5DB08634" w14:textId="77777777" w:rsidR="00CE7551" w:rsidRPr="00947458" w:rsidRDefault="00CE7551" w:rsidP="00232783">
      <w:pPr>
        <w:pStyle w:val="Razina2"/>
        <w:tabs>
          <w:tab w:val="clear" w:pos="510"/>
        </w:tabs>
        <w:ind w:left="709" w:hanging="709"/>
      </w:pPr>
      <w:r w:rsidRPr="00947458">
        <w:t xml:space="preserve">Projekt </w:t>
      </w:r>
      <w:r w:rsidR="002D1F5A" w:rsidRPr="00947458">
        <w:t xml:space="preserve">Croatian Safe Steps - </w:t>
      </w:r>
      <w:r w:rsidRPr="00947458">
        <w:t>CROSS II</w:t>
      </w:r>
    </w:p>
    <w:p w14:paraId="5819611D" w14:textId="77777777" w:rsidR="002D1F5A" w:rsidRPr="00947458" w:rsidRDefault="002D1F5A" w:rsidP="002D1F5A">
      <w:pPr>
        <w:rPr>
          <w:szCs w:val="24"/>
        </w:rPr>
      </w:pPr>
      <w:r w:rsidRPr="00947458">
        <w:rPr>
          <w:szCs w:val="24"/>
        </w:rPr>
        <w:t>CROSS II</w:t>
      </w:r>
      <w:r w:rsidR="00D55EAC" w:rsidRPr="00947458">
        <w:rPr>
          <w:szCs w:val="24"/>
        </w:rPr>
        <w:t xml:space="preserve"> </w:t>
      </w:r>
      <w:r w:rsidRPr="00947458">
        <w:rPr>
          <w:szCs w:val="24"/>
        </w:rPr>
        <w:t xml:space="preserve">je drugi projekt iz Programa Konkurentnost i kohezija u Republici Hrvatskoj čiji </w:t>
      </w:r>
      <w:r w:rsidR="00AB3A4A" w:rsidRPr="00947458">
        <w:rPr>
          <w:szCs w:val="24"/>
        </w:rPr>
        <w:t xml:space="preserve">je cilj </w:t>
      </w:r>
      <w:r w:rsidRPr="00947458">
        <w:rPr>
          <w:szCs w:val="24"/>
        </w:rPr>
        <w:t>razminiranje ukupno 48,</w:t>
      </w:r>
      <w:r w:rsidR="00AB3A4A" w:rsidRPr="00947458">
        <w:rPr>
          <w:szCs w:val="24"/>
        </w:rPr>
        <w:t>7</w:t>
      </w:r>
      <w:r w:rsidRPr="00947458">
        <w:rPr>
          <w:szCs w:val="24"/>
        </w:rPr>
        <w:t xml:space="preserve">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 xml:space="preserve"> šuma i šumskog zemljišta na području 4 županije (Karlovačka, Ličko-senjska, Sisačko-moslavačka i Splitsko-dalmatinska). </w:t>
      </w:r>
    </w:p>
    <w:p w14:paraId="60AF88C6" w14:textId="77777777" w:rsidR="002D1F5A" w:rsidRPr="00947458" w:rsidRDefault="002D1F5A" w:rsidP="002D1F5A">
      <w:pPr>
        <w:rPr>
          <w:szCs w:val="24"/>
        </w:rPr>
      </w:pPr>
    </w:p>
    <w:p w14:paraId="491EFBB5" w14:textId="2BA857E5" w:rsidR="0041685A" w:rsidRPr="00947458" w:rsidRDefault="002D1F5A" w:rsidP="0041685A">
      <w:r w:rsidRPr="00947458">
        <w:rPr>
          <w:szCs w:val="24"/>
        </w:rPr>
        <w:t xml:space="preserve">Ugovor o dodjeli bespovratnih sredstava potpisan je 28. listopada 2024. </w:t>
      </w:r>
      <w:r w:rsidR="0041685A" w:rsidRPr="00947458">
        <w:t>Ukupni prihvatljivi troškovi projekta CROSS II iznose 77.138.476,61 eura, od čega ukupna EU bespovratna sredstva iznose</w:t>
      </w:r>
      <w:r w:rsidR="0002716D">
        <w:t xml:space="preserve"> </w:t>
      </w:r>
      <w:r w:rsidR="0041685A" w:rsidRPr="00947458">
        <w:t>69.833.462,87 eura, odnosno 90,53 %. Ukupni iznos odobrenih troškova iznosi 69.155.707,44 eura</w:t>
      </w:r>
      <w:r w:rsidR="00177618" w:rsidRPr="00947458">
        <w:t>, bez neprihvatljivih troškova</w:t>
      </w:r>
      <w:r w:rsidR="0041685A" w:rsidRPr="00947458">
        <w:t>. Realizacijom glavne projektne aktivnosti u prosincu 2025. godine razminirano je 48,76 km</w:t>
      </w:r>
      <w:r w:rsidR="0041685A" w:rsidRPr="00947458">
        <w:rPr>
          <w:vertAlign w:val="superscript"/>
        </w:rPr>
        <w:t>2</w:t>
      </w:r>
      <w:r w:rsidR="0041685A" w:rsidRPr="00947458">
        <w:t xml:space="preserve"> MSP-a. </w:t>
      </w:r>
    </w:p>
    <w:p w14:paraId="44AB182F" w14:textId="77777777" w:rsidR="0041685A" w:rsidRPr="00947458" w:rsidRDefault="0041685A" w:rsidP="0041685A"/>
    <w:p w14:paraId="72CB9D36" w14:textId="77777777" w:rsidR="00CE7551" w:rsidRPr="00947458" w:rsidRDefault="0041685A" w:rsidP="0041685A">
      <w:r w:rsidRPr="00947458">
        <w:t xml:space="preserve">U travnju i studenom 2025. u Splitu i Sisku održana su dva medijska promidžbena događaja </w:t>
      </w:r>
      <w:r w:rsidR="00E648D0" w:rsidRPr="00947458">
        <w:t>p</w:t>
      </w:r>
      <w:r w:rsidRPr="00947458">
        <w:t xml:space="preserve">rojekta, </w:t>
      </w:r>
      <w:r w:rsidR="00ED09D7" w:rsidRPr="00947458">
        <w:t xml:space="preserve">na kojima je nazočilo oko 200 uzvanika te </w:t>
      </w:r>
      <w:r w:rsidRPr="00947458">
        <w:t>kojima je ujedno obilježeno cjelokupno rješavanje minskog problema Splitsko-dalmatinske, odnosno Sisačko moslavačke županije.</w:t>
      </w:r>
    </w:p>
    <w:p w14:paraId="085B0E2B" w14:textId="77777777" w:rsidR="00E648D0" w:rsidRPr="00947458" w:rsidRDefault="00E648D0" w:rsidP="0041685A"/>
    <w:p w14:paraId="283B2A51" w14:textId="77777777" w:rsidR="00E648D0" w:rsidRPr="00947458" w:rsidRDefault="00E648D0" w:rsidP="0041685A"/>
    <w:p w14:paraId="00D31CBA" w14:textId="77777777" w:rsidR="00E648D0" w:rsidRPr="00947458" w:rsidRDefault="00E648D0" w:rsidP="0041685A"/>
    <w:p w14:paraId="3E01C0FF" w14:textId="77777777" w:rsidR="00E648D0" w:rsidRPr="00947458" w:rsidRDefault="00E648D0" w:rsidP="0041685A"/>
    <w:p w14:paraId="6455BDAB" w14:textId="77777777" w:rsidR="00E648D0" w:rsidRPr="00947458" w:rsidRDefault="00E648D0" w:rsidP="0041685A"/>
    <w:p w14:paraId="485A35EB" w14:textId="77777777" w:rsidR="00F059F1" w:rsidRPr="00947458" w:rsidRDefault="00F059F1" w:rsidP="00DC46FA">
      <w:pPr>
        <w:pStyle w:val="Razina1"/>
      </w:pPr>
      <w:bookmarkStart w:id="7" w:name="_Toc73447678"/>
      <w:r w:rsidRPr="00947458">
        <w:lastRenderedPageBreak/>
        <w:t>Suradnja s međunarodnim subjektima u humanitarnom razminiranju</w:t>
      </w:r>
      <w:bookmarkEnd w:id="7"/>
    </w:p>
    <w:p w14:paraId="47D34852" w14:textId="77777777" w:rsidR="00F059F1" w:rsidRPr="00947458" w:rsidRDefault="00F059F1" w:rsidP="00E648D0">
      <w:pPr>
        <w:pStyle w:val="Razina2"/>
        <w:numPr>
          <w:ilvl w:val="1"/>
          <w:numId w:val="12"/>
        </w:numPr>
        <w:tabs>
          <w:tab w:val="clear" w:pos="510"/>
        </w:tabs>
        <w:ind w:left="709" w:hanging="709"/>
      </w:pPr>
      <w:bookmarkStart w:id="8" w:name="_Toc73447679"/>
      <w:r w:rsidRPr="00947458">
        <w:t>Nacionalna izvješća prema međunarodnim konvencijama</w:t>
      </w:r>
      <w:bookmarkEnd w:id="8"/>
    </w:p>
    <w:p w14:paraId="0F8A445D" w14:textId="77777777" w:rsidR="00F059F1" w:rsidRPr="00947458" w:rsidRDefault="00F059F1" w:rsidP="00F059F1">
      <w:pPr>
        <w:rPr>
          <w:szCs w:val="24"/>
        </w:rPr>
      </w:pPr>
      <w:r w:rsidRPr="00947458">
        <w:rPr>
          <w:szCs w:val="24"/>
        </w:rPr>
        <w:t>MUP je izradio sljedeće prijedloge nacionalnih godišnjih izvješća za 202</w:t>
      </w:r>
      <w:r w:rsidR="0041685A" w:rsidRPr="00947458">
        <w:rPr>
          <w:szCs w:val="24"/>
        </w:rPr>
        <w:t>4</w:t>
      </w:r>
      <w:r w:rsidRPr="00947458">
        <w:rPr>
          <w:szCs w:val="24"/>
        </w:rPr>
        <w:t>. godinu prema međunarodnim konvencijama iz područja kontrole konvencionalnog oružja (protuminskog djelovanja):</w:t>
      </w:r>
    </w:p>
    <w:p w14:paraId="466D5DB4" w14:textId="77777777" w:rsidR="00F059F1" w:rsidRPr="00947458" w:rsidRDefault="00F059F1" w:rsidP="00F059F1">
      <w:pPr>
        <w:rPr>
          <w:szCs w:val="24"/>
        </w:rPr>
      </w:pPr>
    </w:p>
    <w:p w14:paraId="6CB0ABE3" w14:textId="7CEBF193" w:rsidR="00F059F1" w:rsidRPr="00947458" w:rsidRDefault="00F059F1" w:rsidP="00F059F1">
      <w:pPr>
        <w:numPr>
          <w:ilvl w:val="0"/>
          <w:numId w:val="11"/>
        </w:numPr>
        <w:rPr>
          <w:szCs w:val="24"/>
        </w:rPr>
      </w:pPr>
      <w:r w:rsidRPr="00947458">
        <w:rPr>
          <w:szCs w:val="24"/>
        </w:rPr>
        <w:t>Izvješće sukladno Konvenciji o zabrani uporabe, stvaranja zaliha, proizvodnje i prijenosa protupješačkih mina i o njihovom uništenju (APLC</w:t>
      </w:r>
      <w:r w:rsidR="000D1685" w:rsidRPr="00947458">
        <w:rPr>
          <w:szCs w:val="24"/>
        </w:rPr>
        <w:t>, Ottawska</w:t>
      </w:r>
      <w:r w:rsidR="004007B2">
        <w:rPr>
          <w:szCs w:val="24"/>
        </w:rPr>
        <w:t xml:space="preserve"> konvencija</w:t>
      </w:r>
      <w:r w:rsidRPr="00947458">
        <w:rPr>
          <w:szCs w:val="24"/>
        </w:rPr>
        <w:t>)</w:t>
      </w:r>
    </w:p>
    <w:p w14:paraId="50BF1A13" w14:textId="77777777" w:rsidR="00F059F1" w:rsidRPr="00947458" w:rsidRDefault="00F059F1" w:rsidP="00F059F1">
      <w:pPr>
        <w:numPr>
          <w:ilvl w:val="0"/>
          <w:numId w:val="11"/>
        </w:numPr>
        <w:rPr>
          <w:szCs w:val="24"/>
        </w:rPr>
      </w:pPr>
      <w:r w:rsidRPr="00947458">
        <w:rPr>
          <w:szCs w:val="24"/>
        </w:rPr>
        <w:t>Izvješće sukladno Konvenciji o kazetnom streljivu (CCM)</w:t>
      </w:r>
    </w:p>
    <w:p w14:paraId="4E58396C" w14:textId="77777777" w:rsidR="00F059F1" w:rsidRPr="00947458" w:rsidRDefault="000D1685" w:rsidP="00F059F1">
      <w:pPr>
        <w:numPr>
          <w:ilvl w:val="0"/>
          <w:numId w:val="11"/>
        </w:numPr>
        <w:rPr>
          <w:szCs w:val="24"/>
        </w:rPr>
      </w:pPr>
      <w:r w:rsidRPr="00947458">
        <w:rPr>
          <w:szCs w:val="24"/>
        </w:rPr>
        <w:t>Izvješća</w:t>
      </w:r>
      <w:r w:rsidR="00F059F1" w:rsidRPr="00947458">
        <w:rPr>
          <w:szCs w:val="24"/>
        </w:rPr>
        <w:t xml:space="preserve"> sukladno Konvenciji o zabrani ili ograničenju uporabe određenog konvencionalnog oružja koje se smatra izuzetno opasnim (izaziva velike traumatske učinke) ili je neselektivnog djelovanja </w:t>
      </w:r>
      <w:r w:rsidR="00D20EC4" w:rsidRPr="00947458">
        <w:rPr>
          <w:szCs w:val="24"/>
        </w:rPr>
        <w:t>-</w:t>
      </w:r>
      <w:r w:rsidR="00F059F1" w:rsidRPr="00947458">
        <w:rPr>
          <w:szCs w:val="24"/>
        </w:rPr>
        <w:t xml:space="preserve"> I</w:t>
      </w:r>
      <w:r w:rsidRPr="00947458">
        <w:rPr>
          <w:szCs w:val="24"/>
        </w:rPr>
        <w:t>zvješće prema I</w:t>
      </w:r>
      <w:r w:rsidR="00F059F1" w:rsidRPr="00947458">
        <w:rPr>
          <w:szCs w:val="24"/>
        </w:rPr>
        <w:t>zmijenjen</w:t>
      </w:r>
      <w:r w:rsidRPr="00947458">
        <w:rPr>
          <w:szCs w:val="24"/>
        </w:rPr>
        <w:t>om</w:t>
      </w:r>
      <w:r w:rsidR="00F059F1" w:rsidRPr="00947458">
        <w:rPr>
          <w:szCs w:val="24"/>
        </w:rPr>
        <w:t xml:space="preserve"> Protokol</w:t>
      </w:r>
      <w:r w:rsidRPr="00947458">
        <w:rPr>
          <w:szCs w:val="24"/>
        </w:rPr>
        <w:t>u</w:t>
      </w:r>
      <w:r w:rsidR="00F059F1" w:rsidRPr="00947458">
        <w:rPr>
          <w:szCs w:val="24"/>
        </w:rPr>
        <w:t xml:space="preserve"> II</w:t>
      </w:r>
      <w:r w:rsidRPr="00947458">
        <w:rPr>
          <w:szCs w:val="24"/>
        </w:rPr>
        <w:t xml:space="preserve">, Izvješće prema </w:t>
      </w:r>
      <w:r w:rsidR="00F059F1" w:rsidRPr="00947458">
        <w:rPr>
          <w:szCs w:val="24"/>
        </w:rPr>
        <w:t>Protokol</w:t>
      </w:r>
      <w:r w:rsidRPr="00947458">
        <w:rPr>
          <w:szCs w:val="24"/>
        </w:rPr>
        <w:t>u</w:t>
      </w:r>
      <w:r w:rsidR="00F059F1" w:rsidRPr="00947458">
        <w:rPr>
          <w:szCs w:val="24"/>
        </w:rPr>
        <w:t xml:space="preserve"> V </w:t>
      </w:r>
      <w:r w:rsidRPr="00947458">
        <w:rPr>
          <w:szCs w:val="24"/>
        </w:rPr>
        <w:t>i Izvješće o Sukladnosti</w:t>
      </w:r>
      <w:r w:rsidR="00F059F1" w:rsidRPr="00947458">
        <w:rPr>
          <w:szCs w:val="24"/>
        </w:rPr>
        <w:t xml:space="preserve"> (CCW)</w:t>
      </w:r>
      <w:r w:rsidR="00D20EC4" w:rsidRPr="00947458">
        <w:rPr>
          <w:szCs w:val="24"/>
        </w:rPr>
        <w:t>.</w:t>
      </w:r>
    </w:p>
    <w:p w14:paraId="299FBB01" w14:textId="77777777" w:rsidR="00F059F1" w:rsidRPr="00947458" w:rsidRDefault="00F059F1" w:rsidP="00F059F1">
      <w:pPr>
        <w:pStyle w:val="Listabullet"/>
        <w:numPr>
          <w:ilvl w:val="0"/>
          <w:numId w:val="0"/>
        </w:numPr>
        <w:spacing w:after="0"/>
        <w:ind w:left="357" w:hanging="357"/>
        <w:rPr>
          <w:rFonts w:cs="Times New Roman"/>
        </w:rPr>
      </w:pPr>
    </w:p>
    <w:p w14:paraId="6FD5D5E0" w14:textId="77777777" w:rsidR="00F059F1" w:rsidRPr="00947458" w:rsidRDefault="00F059F1" w:rsidP="00F059F1">
      <w:pPr>
        <w:pStyle w:val="Listabullet"/>
        <w:numPr>
          <w:ilvl w:val="0"/>
          <w:numId w:val="0"/>
        </w:numPr>
        <w:spacing w:after="0"/>
        <w:rPr>
          <w:rFonts w:cs="Times New Roman"/>
        </w:rPr>
      </w:pPr>
      <w:r w:rsidRPr="00947458">
        <w:rPr>
          <w:rFonts w:cs="Times New Roman"/>
        </w:rPr>
        <w:t xml:space="preserve">Izvješća su </w:t>
      </w:r>
      <w:r w:rsidR="008D49FC" w:rsidRPr="00947458">
        <w:rPr>
          <w:rFonts w:cs="Times New Roman"/>
        </w:rPr>
        <w:t xml:space="preserve">u predviđenim rokovima </w:t>
      </w:r>
      <w:r w:rsidRPr="00947458">
        <w:rPr>
          <w:rFonts w:cs="Times New Roman"/>
        </w:rPr>
        <w:t>podn</w:t>
      </w:r>
      <w:r w:rsidR="003657DE" w:rsidRPr="00947458">
        <w:rPr>
          <w:rFonts w:cs="Times New Roman"/>
        </w:rPr>
        <w:t>e</w:t>
      </w:r>
      <w:r w:rsidRPr="00947458">
        <w:rPr>
          <w:rFonts w:cs="Times New Roman"/>
        </w:rPr>
        <w:t>sena tijelima konvencija putem Stalne misije Republike Hrvatske pri Uredu Ujedinjenih naroda i ostalim međunarodnim organizacijama u Ženevi.</w:t>
      </w:r>
    </w:p>
    <w:p w14:paraId="797ADB45" w14:textId="77777777" w:rsidR="0041685A" w:rsidRPr="00947458" w:rsidRDefault="0041685A" w:rsidP="00F059F1">
      <w:pPr>
        <w:pStyle w:val="Listabullet"/>
        <w:numPr>
          <w:ilvl w:val="0"/>
          <w:numId w:val="0"/>
        </w:numPr>
        <w:spacing w:after="0"/>
        <w:rPr>
          <w:rFonts w:cs="Times New Roman"/>
        </w:rPr>
      </w:pPr>
    </w:p>
    <w:p w14:paraId="793AF1A8" w14:textId="77777777" w:rsidR="0041685A" w:rsidRPr="00947458" w:rsidRDefault="0041685A" w:rsidP="00F059F1">
      <w:pPr>
        <w:pStyle w:val="Listabullet"/>
        <w:numPr>
          <w:ilvl w:val="0"/>
          <w:numId w:val="0"/>
        </w:numPr>
        <w:spacing w:after="0"/>
        <w:rPr>
          <w:rFonts w:cs="Times New Roman"/>
        </w:rPr>
      </w:pPr>
      <w:r w:rsidRPr="00947458">
        <w:t xml:space="preserve">Ujedno su u roku dostavljena </w:t>
      </w:r>
      <w:r w:rsidR="00E648D0" w:rsidRPr="00947458">
        <w:t>g</w:t>
      </w:r>
      <w:r w:rsidRPr="00947458">
        <w:t>odišnja izvješća o aktivnostima protumins</w:t>
      </w:r>
      <w:r w:rsidR="00786269" w:rsidRPr="00947458">
        <w:t xml:space="preserve">kog djelovanja Republike </w:t>
      </w:r>
      <w:r w:rsidRPr="00947458">
        <w:t>H</w:t>
      </w:r>
      <w:r w:rsidR="00786269" w:rsidRPr="00947458">
        <w:t>rvatske</w:t>
      </w:r>
      <w:r w:rsidRPr="00947458">
        <w:t xml:space="preserve"> prema organizacijama Međunarodne kampanje za zabranu mina (ICBL) i Koalicije za kazetnu municiju (CMC)</w:t>
      </w:r>
      <w:r w:rsidR="00E648D0" w:rsidRPr="00947458">
        <w:t>,</w:t>
      </w:r>
      <w:r w:rsidRPr="00947458">
        <w:t xml:space="preserve"> kao i svim drugim relevantnim međunarodnim dionicima.</w:t>
      </w:r>
    </w:p>
    <w:p w14:paraId="6555A327" w14:textId="77777777" w:rsidR="00F059F1" w:rsidRPr="00947458" w:rsidRDefault="0041685A" w:rsidP="00E648D0">
      <w:pPr>
        <w:pStyle w:val="Razina2"/>
        <w:tabs>
          <w:tab w:val="clear" w:pos="510"/>
        </w:tabs>
        <w:ind w:left="709" w:hanging="709"/>
      </w:pPr>
      <w:r w:rsidRPr="00947458">
        <w:t>Suradnja s međunarodnim subjektima u protuminskom djelovanju</w:t>
      </w:r>
    </w:p>
    <w:p w14:paraId="21610961" w14:textId="77777777" w:rsidR="0041685A" w:rsidRPr="00947458" w:rsidRDefault="0041685A" w:rsidP="0041685A">
      <w:r w:rsidRPr="00947458">
        <w:t xml:space="preserve">MUP je, u suradnji s partnerima, u 2025. godini nastavio suradnju s relevantnim međunarodnim dionicima u protuminskom djelovanju, poglavito partnerima s kojima već postoje potpisani </w:t>
      </w:r>
      <w:r w:rsidR="001F3962" w:rsidRPr="00947458">
        <w:t>memorandumi/i</w:t>
      </w:r>
      <w:r w:rsidRPr="00947458">
        <w:t>zjave o suradnji. Na taj su se način dodatno pozicionirale stečene kompetencije u protuminskom djelovanju u smislu hrvatskog izvoznog proizvoda.</w:t>
      </w:r>
    </w:p>
    <w:p w14:paraId="22B18B88" w14:textId="77777777" w:rsidR="0041685A" w:rsidRPr="00947458" w:rsidRDefault="0041685A" w:rsidP="0041685A"/>
    <w:p w14:paraId="1042AA37" w14:textId="77777777" w:rsidR="0041685A" w:rsidRPr="00947458" w:rsidRDefault="0041685A" w:rsidP="0041685A">
      <w:pPr>
        <w:numPr>
          <w:ilvl w:val="0"/>
          <w:numId w:val="11"/>
        </w:numPr>
        <w:rPr>
          <w:szCs w:val="24"/>
        </w:rPr>
      </w:pPr>
      <w:r w:rsidRPr="00947458">
        <w:t>MUP je zaprimio zahtjev Stalne misije R</w:t>
      </w:r>
      <w:r w:rsidR="00786269" w:rsidRPr="00947458">
        <w:t xml:space="preserve">epublike </w:t>
      </w:r>
      <w:r w:rsidRPr="00947458">
        <w:t>H</w:t>
      </w:r>
      <w:r w:rsidR="00786269" w:rsidRPr="00947458">
        <w:t>rvatske</w:t>
      </w:r>
      <w:r w:rsidRPr="00947458">
        <w:t xml:space="preserve"> pri UN-u i drugim međunarodnim organizacijama u Ženevi za izmjene i dopune nacrta </w:t>
      </w:r>
      <w:r w:rsidRPr="00947458">
        <w:rPr>
          <w:i/>
          <w:iCs/>
        </w:rPr>
        <w:t>Rezolucije o utjecaju mina na ljudska prava</w:t>
      </w:r>
      <w:r w:rsidRPr="00947458">
        <w:t xml:space="preserve">, te dostavio 5. veljače 2025. predmetno mišljenje i dopune, pri čemu je navedena Rezolucija usvojena 4. travnja 2025. Nastavno na prethodno, 17. prosinca 2025. MUP je dostavio dodatna pojašnjenja, </w:t>
      </w:r>
      <w:r w:rsidR="00C93955" w:rsidRPr="00947458">
        <w:t xml:space="preserve">na </w:t>
      </w:r>
      <w:r w:rsidRPr="00947458">
        <w:t>temelj</w:t>
      </w:r>
      <w:r w:rsidR="00C93955" w:rsidRPr="00947458">
        <w:t>u</w:t>
      </w:r>
      <w:r w:rsidRPr="00947458">
        <w:t xml:space="preserve"> zahtjeva MVEP-a, a sukladno traženju Ureda visokog povjerenika UN-a za ljudska prava u kontekstu provedbe rezolucije Vijeća za ljudska prava „</w:t>
      </w:r>
      <w:r w:rsidRPr="00947458">
        <w:rPr>
          <w:iCs/>
        </w:rPr>
        <w:t>Utjecaj protupješačkih mina na uživanje svih ljudskih prava</w:t>
      </w:r>
      <w:r w:rsidRPr="00947458">
        <w:t>“ (A/HRC/RES/58/22).</w:t>
      </w:r>
    </w:p>
    <w:p w14:paraId="6888B03B" w14:textId="5202133F" w:rsidR="0099240F" w:rsidRPr="00947458" w:rsidRDefault="0041685A" w:rsidP="0041685A">
      <w:pPr>
        <w:numPr>
          <w:ilvl w:val="0"/>
          <w:numId w:val="11"/>
        </w:numPr>
        <w:rPr>
          <w:szCs w:val="24"/>
        </w:rPr>
      </w:pPr>
      <w:r w:rsidRPr="00947458">
        <w:t>Početkom travnja, u organizaciji MUP-a i HCR</w:t>
      </w:r>
      <w:r w:rsidR="00966EA5">
        <w:t xml:space="preserve"> </w:t>
      </w:r>
      <w:r w:rsidRPr="00947458">
        <w:t>-</w:t>
      </w:r>
      <w:r w:rsidR="00966EA5">
        <w:t xml:space="preserve"> </w:t>
      </w:r>
      <w:r w:rsidRPr="00947458">
        <w:t>Centra za testiranje, razvoj i obuku, pod visokim pokroviteljstvom predsjednika Hrvatskog</w:t>
      </w:r>
      <w:r w:rsidR="00810A1B" w:rsidRPr="00947458">
        <w:t>a</w:t>
      </w:r>
      <w:r w:rsidRPr="00947458">
        <w:t xml:space="preserve"> sabora, održan je 21. međunarodni simpozij </w:t>
      </w:r>
      <w:r w:rsidR="00786269" w:rsidRPr="00947458">
        <w:t>„</w:t>
      </w:r>
      <w:r w:rsidRPr="00947458">
        <w:rPr>
          <w:iCs/>
        </w:rPr>
        <w:t>Protuminsko djelovanje 2025.</w:t>
      </w:r>
      <w:r w:rsidR="00786269" w:rsidRPr="00947458">
        <w:rPr>
          <w:iCs/>
        </w:rPr>
        <w:t>“</w:t>
      </w:r>
      <w:r w:rsidRPr="00947458">
        <w:rPr>
          <w:i/>
          <w:iCs/>
        </w:rPr>
        <w:t>,</w:t>
      </w:r>
      <w:r w:rsidR="001F3962" w:rsidRPr="00947458">
        <w:t xml:space="preserve"> koji je okupio više od</w:t>
      </w:r>
      <w:r w:rsidRPr="00947458">
        <w:t xml:space="preserve"> 200 sudionika iz 32 zemlje s ciljem razmjene iskustava, rasprave o izazovima i prezentacije najnovijih tehnologija i metoda u području protuminskog djelovanja.</w:t>
      </w:r>
    </w:p>
    <w:p w14:paraId="5EDDC6BC" w14:textId="77777777" w:rsidR="0079013E" w:rsidRPr="00947458" w:rsidRDefault="0041685A" w:rsidP="00DC46FA">
      <w:pPr>
        <w:pStyle w:val="Razina2"/>
        <w:tabs>
          <w:tab w:val="clear" w:pos="510"/>
        </w:tabs>
        <w:ind w:left="709" w:hanging="709"/>
      </w:pPr>
      <w:r w:rsidRPr="00947458">
        <w:lastRenderedPageBreak/>
        <w:t>Ključni bilateralni sastanci i povezane aktivnosti</w:t>
      </w:r>
    </w:p>
    <w:p w14:paraId="7D1E0B6F" w14:textId="77777777" w:rsidR="007D561A" w:rsidRPr="00947458" w:rsidRDefault="0041685A" w:rsidP="003A3EC3">
      <w:pPr>
        <w:rPr>
          <w:b/>
          <w:i/>
        </w:rPr>
      </w:pPr>
      <w:r w:rsidRPr="00947458">
        <w:rPr>
          <w:b/>
          <w:i/>
        </w:rPr>
        <w:t>Ukrajina</w:t>
      </w:r>
    </w:p>
    <w:p w14:paraId="04A9AC2C" w14:textId="77777777" w:rsidR="003A3EC3" w:rsidRPr="00947458" w:rsidRDefault="003A3EC3" w:rsidP="003A3EC3"/>
    <w:p w14:paraId="7C3EB76C" w14:textId="77777777" w:rsidR="007D561A" w:rsidRPr="00947458" w:rsidRDefault="00DC46FA" w:rsidP="007D561A">
      <w:pPr>
        <w:numPr>
          <w:ilvl w:val="0"/>
          <w:numId w:val="11"/>
        </w:numPr>
        <w:rPr>
          <w:szCs w:val="24"/>
        </w:rPr>
      </w:pPr>
      <w:r w:rsidRPr="00947458">
        <w:t>r</w:t>
      </w:r>
      <w:r w:rsidR="007D561A" w:rsidRPr="00947458">
        <w:t>ad u Savjetodavnom odboru (predstavnik MUP-a kao potpredsjednik) Centra za protuminsko djelovanje Ukrajine</w:t>
      </w:r>
    </w:p>
    <w:p w14:paraId="0D0FA738" w14:textId="77777777" w:rsidR="0041685A" w:rsidRPr="00947458" w:rsidRDefault="00DC46FA" w:rsidP="000D1685">
      <w:pPr>
        <w:numPr>
          <w:ilvl w:val="0"/>
          <w:numId w:val="11"/>
        </w:numPr>
      </w:pPr>
      <w:r w:rsidRPr="00947458">
        <w:t>s</w:t>
      </w:r>
      <w:r w:rsidR="007D561A" w:rsidRPr="00947458">
        <w:t>udjelovanje predstavnika MUP-a, u svojstvu potpredsjednika Centra za protuminsko djelovanje Ukrajine, na Konferenciji o protuminskom djelovanju Ukrajine u Japanu, te na Forumu o razminiranju u Ukrajini (Kijev), kao panelist uz predstavljanje institucionalnog i tržišnog modela humanitarnog razminiranja u Hrvatskoj</w:t>
      </w:r>
      <w:r w:rsidRPr="00947458">
        <w:t>.</w:t>
      </w:r>
    </w:p>
    <w:p w14:paraId="2C8EC1EC" w14:textId="77777777" w:rsidR="003A3EC3" w:rsidRPr="00947458" w:rsidRDefault="003A3EC3" w:rsidP="003A3EC3"/>
    <w:p w14:paraId="7BB24582" w14:textId="77777777" w:rsidR="0041685A" w:rsidRPr="00947458" w:rsidRDefault="0041685A" w:rsidP="003A3EC3">
      <w:pPr>
        <w:rPr>
          <w:b/>
          <w:i/>
        </w:rPr>
      </w:pPr>
      <w:r w:rsidRPr="00947458">
        <w:rPr>
          <w:b/>
          <w:i/>
        </w:rPr>
        <w:t>Republika Azerbajdžan</w:t>
      </w:r>
    </w:p>
    <w:p w14:paraId="01219713" w14:textId="77777777" w:rsidR="003A3EC3" w:rsidRPr="00947458" w:rsidRDefault="003A3EC3" w:rsidP="003A3EC3"/>
    <w:p w14:paraId="00AD5759" w14:textId="77777777" w:rsidR="007D561A" w:rsidRPr="00947458" w:rsidRDefault="00DC46FA" w:rsidP="001A2610">
      <w:pPr>
        <w:numPr>
          <w:ilvl w:val="0"/>
          <w:numId w:val="11"/>
        </w:numPr>
      </w:pPr>
      <w:r w:rsidRPr="00947458">
        <w:t>o</w:t>
      </w:r>
      <w:r w:rsidR="007D561A" w:rsidRPr="00947458">
        <w:t>držan sastanak</w:t>
      </w:r>
      <w:r w:rsidR="00786269" w:rsidRPr="00947458">
        <w:t xml:space="preserve"> predstavnika</w:t>
      </w:r>
      <w:r w:rsidR="007D561A" w:rsidRPr="00947458">
        <w:t xml:space="preserve"> MUP</w:t>
      </w:r>
      <w:r w:rsidR="00786269" w:rsidRPr="00947458">
        <w:t>-a,</w:t>
      </w:r>
      <w:r w:rsidR="007D561A" w:rsidRPr="00947458">
        <w:t xml:space="preserve"> Ravnateljstva civilne zaštite s delegacijom Republike Azerbajdžana na temu nastavka pružanju pomoći u razminiranju Azerbajdžana, uz inicijativu za posjet hrvatskih tvrtki za razminiranje Azerbajdžanu</w:t>
      </w:r>
    </w:p>
    <w:p w14:paraId="14FCA197" w14:textId="77777777" w:rsidR="007D561A" w:rsidRPr="00947458" w:rsidRDefault="00DC46FA" w:rsidP="001A2610">
      <w:pPr>
        <w:numPr>
          <w:ilvl w:val="0"/>
          <w:numId w:val="11"/>
        </w:numPr>
      </w:pPr>
      <w:r w:rsidRPr="00947458">
        <w:t>s</w:t>
      </w:r>
      <w:r w:rsidR="007D561A" w:rsidRPr="00947458">
        <w:t>udjelovanje delegacije MUP</w:t>
      </w:r>
      <w:r w:rsidR="00786269" w:rsidRPr="00947458">
        <w:t>-a,</w:t>
      </w:r>
      <w:r w:rsidR="007D561A" w:rsidRPr="00947458">
        <w:t xml:space="preserve"> Ravnateljstva civilne zaštite na konferenciji </w:t>
      </w:r>
      <w:r w:rsidR="00786269" w:rsidRPr="00947458">
        <w:t>„</w:t>
      </w:r>
      <w:r w:rsidR="007D561A" w:rsidRPr="00947458">
        <w:t>30 godina uspostave diplomatskih odnosa između Azerbajdžana i Hrvatske”, prilikom čega je predstavljena suradnja u protuminskom djelovanju kao i daljnji planovi suradnje.</w:t>
      </w:r>
    </w:p>
    <w:p w14:paraId="3ACFDBEF" w14:textId="77777777" w:rsidR="003A3EC3" w:rsidRPr="00947458" w:rsidRDefault="003A3EC3" w:rsidP="003A3EC3"/>
    <w:p w14:paraId="5335223F" w14:textId="77777777" w:rsidR="007D561A" w:rsidRPr="00947458" w:rsidRDefault="0041685A" w:rsidP="003A3EC3">
      <w:pPr>
        <w:rPr>
          <w:b/>
          <w:i/>
        </w:rPr>
      </w:pPr>
      <w:r w:rsidRPr="00947458">
        <w:rPr>
          <w:b/>
          <w:i/>
        </w:rPr>
        <w:t>Republika Armenija</w:t>
      </w:r>
    </w:p>
    <w:p w14:paraId="386FB8E2" w14:textId="77777777" w:rsidR="003A3EC3" w:rsidRPr="00947458" w:rsidRDefault="003A3EC3" w:rsidP="003A3EC3"/>
    <w:p w14:paraId="31148274" w14:textId="34A93A7F" w:rsidR="007D561A" w:rsidRPr="00947458" w:rsidRDefault="00DC46FA" w:rsidP="007D561A">
      <w:pPr>
        <w:numPr>
          <w:ilvl w:val="0"/>
          <w:numId w:val="11"/>
        </w:numPr>
        <w:rPr>
          <w:szCs w:val="24"/>
        </w:rPr>
      </w:pPr>
      <w:r w:rsidRPr="00947458">
        <w:t>o</w:t>
      </w:r>
      <w:r w:rsidR="007D561A" w:rsidRPr="00947458">
        <w:t xml:space="preserve">držan sastanak </w:t>
      </w:r>
      <w:r w:rsidR="00786269" w:rsidRPr="00947458">
        <w:t xml:space="preserve">predstavnika </w:t>
      </w:r>
      <w:r w:rsidR="007D561A" w:rsidRPr="00947458">
        <w:t>MUP</w:t>
      </w:r>
      <w:r w:rsidR="00786269" w:rsidRPr="00947458">
        <w:t>-a,</w:t>
      </w:r>
      <w:r w:rsidR="007D561A" w:rsidRPr="00947458">
        <w:t xml:space="preserve"> Ravnateljstva civilne zaštite s delegacijom Veleposlanstva Republike Armenije</w:t>
      </w:r>
      <w:r w:rsidR="00966EA5">
        <w:t>,</w:t>
      </w:r>
      <w:r w:rsidR="007D561A" w:rsidRPr="00947458">
        <w:t xml:space="preserve"> pri čemu se razgovaralo o mogućnosti suradnje na području humanitarnog razminiranja</w:t>
      </w:r>
    </w:p>
    <w:p w14:paraId="7ADD797F" w14:textId="77777777" w:rsidR="007D561A" w:rsidRPr="00947458" w:rsidRDefault="00DC46FA" w:rsidP="000D1685">
      <w:pPr>
        <w:numPr>
          <w:ilvl w:val="0"/>
          <w:numId w:val="11"/>
        </w:numPr>
        <w:rPr>
          <w:szCs w:val="24"/>
        </w:rPr>
      </w:pPr>
      <w:r w:rsidRPr="00947458">
        <w:t>n</w:t>
      </w:r>
      <w:r w:rsidR="00C93955" w:rsidRPr="00947458">
        <w:t>a t</w:t>
      </w:r>
      <w:r w:rsidR="007D561A" w:rsidRPr="00947458">
        <w:t>emelj</w:t>
      </w:r>
      <w:r w:rsidR="00C93955" w:rsidRPr="00947458">
        <w:t>u</w:t>
      </w:r>
      <w:r w:rsidR="007D561A" w:rsidRPr="00947458">
        <w:t xml:space="preserve"> zahtjeva MVEP-a u kontekstu „Team Europe“ inicijative dostavljen je detaljan pregled MUP-a o mogućnostima suradnje na području humanitarnog razminiranja u Armeniji.</w:t>
      </w:r>
    </w:p>
    <w:p w14:paraId="1D8B09C8" w14:textId="77777777" w:rsidR="003A3EC3" w:rsidRPr="00947458" w:rsidRDefault="003A3EC3" w:rsidP="003A3EC3"/>
    <w:p w14:paraId="7A02EEE2" w14:textId="77777777" w:rsidR="007D561A" w:rsidRPr="00947458" w:rsidRDefault="0041685A" w:rsidP="003A3EC3">
      <w:pPr>
        <w:rPr>
          <w:b/>
          <w:i/>
        </w:rPr>
      </w:pPr>
      <w:r w:rsidRPr="00947458">
        <w:rPr>
          <w:b/>
          <w:i/>
        </w:rPr>
        <w:t>Ujedinjeni narodi</w:t>
      </w:r>
      <w:r w:rsidR="007D561A" w:rsidRPr="00947458">
        <w:rPr>
          <w:b/>
          <w:i/>
        </w:rPr>
        <w:t xml:space="preserve"> </w:t>
      </w:r>
      <w:r w:rsidR="00DC46FA" w:rsidRPr="00947458">
        <w:rPr>
          <w:b/>
          <w:i/>
        </w:rPr>
        <w:t>-</w:t>
      </w:r>
      <w:r w:rsidR="007D561A" w:rsidRPr="00947458">
        <w:rPr>
          <w:b/>
          <w:i/>
        </w:rPr>
        <w:t xml:space="preserve"> Ottawska konvencija</w:t>
      </w:r>
    </w:p>
    <w:p w14:paraId="5D933AE7" w14:textId="77777777" w:rsidR="003A3EC3" w:rsidRPr="00947458" w:rsidRDefault="003A3EC3" w:rsidP="003A3EC3"/>
    <w:p w14:paraId="744791D9" w14:textId="77777777" w:rsidR="007D561A" w:rsidRPr="00947458" w:rsidRDefault="00DC46FA" w:rsidP="001A2610">
      <w:pPr>
        <w:numPr>
          <w:ilvl w:val="0"/>
          <w:numId w:val="11"/>
        </w:numPr>
      </w:pPr>
      <w:r w:rsidRPr="00947458">
        <w:t>o</w:t>
      </w:r>
      <w:r w:rsidR="001F3962" w:rsidRPr="00947458">
        <w:t>držan s</w:t>
      </w:r>
      <w:r w:rsidR="007D561A" w:rsidRPr="00947458">
        <w:t>astanak delegacije MUP-a s predstavnikom implementacijske jedinice Konvencije (ISU), prilikom čega su razmijenjene informacije o napretku Republike Hrvatske u pogledu ispunjenja članka 5. Konvencije, te usklađenosti prema Akcijskom planu iz An</w:t>
      </w:r>
      <w:r w:rsidRPr="00947458">
        <w:t>gkor Wat - Siem Reapa, Kambodže</w:t>
      </w:r>
    </w:p>
    <w:p w14:paraId="78B31B2E" w14:textId="77777777" w:rsidR="007D561A" w:rsidRPr="00947458" w:rsidRDefault="007D561A" w:rsidP="007D561A">
      <w:pPr>
        <w:numPr>
          <w:ilvl w:val="0"/>
          <w:numId w:val="11"/>
        </w:numPr>
      </w:pPr>
      <w:r w:rsidRPr="00947458">
        <w:t xml:space="preserve">MUP </w:t>
      </w:r>
      <w:r w:rsidR="001F3962" w:rsidRPr="00947458">
        <w:t xml:space="preserve">je </w:t>
      </w:r>
      <w:r w:rsidRPr="00947458">
        <w:t>u roku dostavio Izvješće o usklađenosti R</w:t>
      </w:r>
      <w:r w:rsidR="00786269" w:rsidRPr="00947458">
        <w:t xml:space="preserve">epublike </w:t>
      </w:r>
      <w:r w:rsidRPr="00947458">
        <w:t>H</w:t>
      </w:r>
      <w:r w:rsidR="00786269" w:rsidRPr="00947458">
        <w:t>rvatske</w:t>
      </w:r>
      <w:r w:rsidRPr="00947458">
        <w:t xml:space="preserve"> na temu sustava provedbe humanitarnog razminiranja s petogodišnjim Akcijskim planom iz </w:t>
      </w:r>
      <w:r w:rsidRPr="00947458">
        <w:rPr>
          <w:i/>
          <w:iCs/>
        </w:rPr>
        <w:t>Siem Reap-Angkora 2025.</w:t>
      </w:r>
      <w:r w:rsidR="00DC46FA" w:rsidRPr="00947458">
        <w:rPr>
          <w:i/>
          <w:iCs/>
        </w:rPr>
        <w:t xml:space="preserve"> </w:t>
      </w:r>
      <w:r w:rsidRPr="00947458">
        <w:rPr>
          <w:i/>
          <w:iCs/>
        </w:rPr>
        <w:t>-</w:t>
      </w:r>
      <w:r w:rsidR="00DC46FA" w:rsidRPr="00947458">
        <w:rPr>
          <w:i/>
          <w:iCs/>
        </w:rPr>
        <w:t xml:space="preserve"> </w:t>
      </w:r>
      <w:r w:rsidRPr="00947458">
        <w:rPr>
          <w:i/>
          <w:iCs/>
        </w:rPr>
        <w:t>2029.</w:t>
      </w:r>
    </w:p>
    <w:p w14:paraId="0A269C8A" w14:textId="77777777" w:rsidR="007D561A" w:rsidRPr="00947458" w:rsidRDefault="007D561A" w:rsidP="007D561A">
      <w:pPr>
        <w:numPr>
          <w:ilvl w:val="0"/>
          <w:numId w:val="11"/>
        </w:numPr>
      </w:pPr>
      <w:r w:rsidRPr="00947458">
        <w:t xml:space="preserve">MUP </w:t>
      </w:r>
      <w:r w:rsidR="001F3962" w:rsidRPr="00947458">
        <w:t xml:space="preserve">je </w:t>
      </w:r>
      <w:r w:rsidRPr="00947458">
        <w:t>u roku dostavio Izvješće o usklađenosti R</w:t>
      </w:r>
      <w:r w:rsidR="00786269" w:rsidRPr="00947458">
        <w:t xml:space="preserve">epublike </w:t>
      </w:r>
      <w:r w:rsidRPr="00947458">
        <w:t>H</w:t>
      </w:r>
      <w:r w:rsidR="00786269" w:rsidRPr="00947458">
        <w:t>rvatske</w:t>
      </w:r>
      <w:r w:rsidRPr="00947458">
        <w:t xml:space="preserve"> na temu sustava potpore minskim žrtvama s petogodišnjim Akcijskim planom iz </w:t>
      </w:r>
      <w:r w:rsidRPr="00947458">
        <w:rPr>
          <w:i/>
          <w:iCs/>
        </w:rPr>
        <w:t>Siem Reap-Angkora 2025.</w:t>
      </w:r>
      <w:r w:rsidR="00DC46FA" w:rsidRPr="00947458">
        <w:rPr>
          <w:i/>
          <w:iCs/>
        </w:rPr>
        <w:t xml:space="preserve"> </w:t>
      </w:r>
      <w:r w:rsidRPr="00947458">
        <w:rPr>
          <w:i/>
          <w:iCs/>
        </w:rPr>
        <w:t>-</w:t>
      </w:r>
      <w:r w:rsidR="00DC46FA" w:rsidRPr="00947458">
        <w:rPr>
          <w:i/>
          <w:iCs/>
        </w:rPr>
        <w:t xml:space="preserve"> </w:t>
      </w:r>
      <w:r w:rsidRPr="00947458">
        <w:rPr>
          <w:i/>
          <w:iCs/>
        </w:rPr>
        <w:t>2029.</w:t>
      </w:r>
    </w:p>
    <w:p w14:paraId="0650121C" w14:textId="77777777" w:rsidR="0041685A" w:rsidRPr="00947458" w:rsidRDefault="00DC46FA" w:rsidP="000D1685">
      <w:pPr>
        <w:numPr>
          <w:ilvl w:val="0"/>
          <w:numId w:val="11"/>
        </w:numPr>
      </w:pPr>
      <w:r w:rsidRPr="00947458">
        <w:t>p</w:t>
      </w:r>
      <w:r w:rsidR="007D561A" w:rsidRPr="00947458">
        <w:t xml:space="preserve">redstavnici MUP-a sudjelovali su na </w:t>
      </w:r>
      <w:r w:rsidR="007D561A" w:rsidRPr="00947458">
        <w:rPr>
          <w:iCs/>
        </w:rPr>
        <w:t>22. sastanku država članica Konvencije</w:t>
      </w:r>
      <w:r w:rsidR="007D561A" w:rsidRPr="00947458">
        <w:t xml:space="preserve"> uz sudjelovanje predstavnika 166 država stranaka te brojnih drugih međunarodnih dionika. Delegacija MUP-a izvijestila je o napretku i specifičnim recentnim aktivnostima hrvatskog protuminskog sustava vezano za tematsko područje pomoći minskim žrtvama i edukacije o opasnostima od mina i drugih eksplozivnih ostataka rata te je sukladno Nacionalnom programu najavila kako će biti ispunjena najvažnija obveza iz članka 5., odnosno isključenja svih minski sumnjivih površina.</w:t>
      </w:r>
    </w:p>
    <w:p w14:paraId="48D36395" w14:textId="77777777" w:rsidR="005840E6" w:rsidRPr="00947458" w:rsidRDefault="005840E6" w:rsidP="00DC46FA">
      <w:pPr>
        <w:pStyle w:val="Razina2"/>
        <w:tabs>
          <w:tab w:val="clear" w:pos="510"/>
        </w:tabs>
        <w:ind w:left="709" w:hanging="709"/>
      </w:pPr>
      <w:r w:rsidRPr="00947458">
        <w:lastRenderedPageBreak/>
        <w:t>Ostale aktivnosti</w:t>
      </w:r>
    </w:p>
    <w:p w14:paraId="70A039CC" w14:textId="77777777" w:rsidR="007D561A" w:rsidRPr="00947458" w:rsidRDefault="007D561A" w:rsidP="007D561A">
      <w:r w:rsidRPr="00947458">
        <w:t>MUP je u 2025. godini nastavio uspješnu suradnju s veleposlanstvima i diplomatsko-konzularnim predstavništvima u Republici Hrvatskoj, međunarodnim i regionalnim organizacijama, nevladinim organizacijama te pojedincima u okviru protuminskog djelovanja radi promoviranja hrvatskog sustava protuminskog djelovanja s naglaskom na pružanje pomoći odnosno hrvatskih iskustava i znanja.</w:t>
      </w:r>
    </w:p>
    <w:p w14:paraId="4DD62BD0" w14:textId="77777777" w:rsidR="007D561A" w:rsidRPr="00947458" w:rsidRDefault="007D561A" w:rsidP="007D561A"/>
    <w:p w14:paraId="2C5BA933" w14:textId="77777777" w:rsidR="007D561A" w:rsidRPr="00947458" w:rsidRDefault="007D561A" w:rsidP="007D561A">
      <w:pPr>
        <w:numPr>
          <w:ilvl w:val="0"/>
          <w:numId w:val="11"/>
        </w:numPr>
        <w:rPr>
          <w:szCs w:val="24"/>
        </w:rPr>
      </w:pPr>
      <w:r w:rsidRPr="00947458">
        <w:t>predstavnik MUP-a sudjelovao je u radu Savjetodavnog odbora organizacije „</w:t>
      </w:r>
      <w:r w:rsidRPr="00947458">
        <w:rPr>
          <w:iCs/>
        </w:rPr>
        <w:t>ITF Enhancing Human Security“,</w:t>
      </w:r>
      <w:r w:rsidRPr="00947458">
        <w:rPr>
          <w:i/>
          <w:iCs/>
        </w:rPr>
        <w:t xml:space="preserve"> </w:t>
      </w:r>
      <w:r w:rsidRPr="00947458">
        <w:t>Ljubljana, Slovenija, kroz redovite sjednice</w:t>
      </w:r>
    </w:p>
    <w:p w14:paraId="5376CCD0" w14:textId="77777777" w:rsidR="000D1685" w:rsidRPr="00947458" w:rsidRDefault="007D561A" w:rsidP="007D561A">
      <w:pPr>
        <w:numPr>
          <w:ilvl w:val="0"/>
          <w:numId w:val="11"/>
        </w:numPr>
        <w:rPr>
          <w:szCs w:val="24"/>
        </w:rPr>
      </w:pPr>
      <w:r w:rsidRPr="00947458">
        <w:t xml:space="preserve">predstavnik MUP-a sudjelovao je u radu </w:t>
      </w:r>
      <w:r w:rsidRPr="00947458">
        <w:rPr>
          <w:iCs/>
        </w:rPr>
        <w:t>Revizijskog odbora međunarodnih standarda protuminskog djelovanja (IMAS RB)</w:t>
      </w:r>
      <w:r w:rsidRPr="00947458">
        <w:t xml:space="preserve">, Ženeva, Švicarska </w:t>
      </w:r>
      <w:r w:rsidR="00DC46FA" w:rsidRPr="00947458">
        <w:t>Konfederacija.</w:t>
      </w:r>
    </w:p>
    <w:p w14:paraId="0F9C25C0" w14:textId="77777777" w:rsidR="00F059F1" w:rsidRPr="00947458" w:rsidRDefault="00F059F1" w:rsidP="00DC46FA">
      <w:pPr>
        <w:pStyle w:val="Razina1"/>
      </w:pPr>
      <w:bookmarkStart w:id="9" w:name="_Toc73447684"/>
      <w:r w:rsidRPr="00947458">
        <w:t>Provođenje inspekcijskih nadzora</w:t>
      </w:r>
      <w:bookmarkEnd w:id="9"/>
    </w:p>
    <w:p w14:paraId="7460F696" w14:textId="77777777" w:rsidR="00BE160D" w:rsidRPr="00947458" w:rsidRDefault="00F059F1" w:rsidP="00F059F1">
      <w:pPr>
        <w:spacing w:line="240" w:lineRule="auto"/>
        <w:rPr>
          <w:szCs w:val="24"/>
        </w:rPr>
      </w:pPr>
      <w:r w:rsidRPr="00947458">
        <w:rPr>
          <w:szCs w:val="24"/>
        </w:rPr>
        <w:t xml:space="preserve">Temeljna zadaća inspekcijskih nadzora je preventivno djelovanje radi osiguravanja uvjeta za obavljanje poslova razminiranja na siguran način za izvršitelje poslova, ali i s potrebnom razinom kvalitete koja će, nakon što se razminirane površine isključe iz </w:t>
      </w:r>
      <w:r w:rsidR="00F81A5F" w:rsidRPr="00947458">
        <w:rPr>
          <w:szCs w:val="24"/>
        </w:rPr>
        <w:t>MSP-a</w:t>
      </w:r>
      <w:r w:rsidRPr="00947458">
        <w:rPr>
          <w:szCs w:val="24"/>
        </w:rPr>
        <w:t>, garantirati korisnicima sigurno korištenje razminiranog prostora.</w:t>
      </w:r>
    </w:p>
    <w:p w14:paraId="46E0CF67" w14:textId="77777777" w:rsidR="00F059F1" w:rsidRPr="00947458" w:rsidRDefault="00F059F1" w:rsidP="00F059F1">
      <w:pPr>
        <w:spacing w:line="240" w:lineRule="auto"/>
        <w:rPr>
          <w:szCs w:val="24"/>
        </w:rPr>
      </w:pPr>
    </w:p>
    <w:p w14:paraId="39818673" w14:textId="77777777" w:rsidR="00B16F2E" w:rsidRPr="00947458" w:rsidRDefault="00F059F1" w:rsidP="00F059F1">
      <w:pPr>
        <w:spacing w:line="240" w:lineRule="auto"/>
        <w:rPr>
          <w:szCs w:val="24"/>
        </w:rPr>
      </w:pPr>
      <w:r w:rsidRPr="00947458">
        <w:rPr>
          <w:szCs w:val="24"/>
        </w:rPr>
        <w:t>Sukladno tome</w:t>
      </w:r>
      <w:r w:rsidR="006816BF" w:rsidRPr="00947458">
        <w:rPr>
          <w:szCs w:val="24"/>
        </w:rPr>
        <w:t>,</w:t>
      </w:r>
      <w:r w:rsidR="00BE160D" w:rsidRPr="00947458">
        <w:rPr>
          <w:szCs w:val="24"/>
        </w:rPr>
        <w:t xml:space="preserve"> Inspekcija za protuminsko djelovanje</w:t>
      </w:r>
      <w:r w:rsidR="008D5595" w:rsidRPr="00947458">
        <w:rPr>
          <w:szCs w:val="24"/>
        </w:rPr>
        <w:t xml:space="preserve"> (</w:t>
      </w:r>
      <w:r w:rsidR="002E0F93" w:rsidRPr="00947458">
        <w:rPr>
          <w:szCs w:val="24"/>
        </w:rPr>
        <w:t>u daljnjem tekstu:</w:t>
      </w:r>
      <w:r w:rsidR="008D5595" w:rsidRPr="00947458">
        <w:rPr>
          <w:szCs w:val="24"/>
        </w:rPr>
        <w:t xml:space="preserve"> </w:t>
      </w:r>
      <w:r w:rsidR="00B16F2E" w:rsidRPr="00947458">
        <w:rPr>
          <w:szCs w:val="24"/>
        </w:rPr>
        <w:t>Inspekcija) provela je ukupno 15</w:t>
      </w:r>
      <w:r w:rsidR="006C4E9E" w:rsidRPr="00947458">
        <w:rPr>
          <w:szCs w:val="24"/>
        </w:rPr>
        <w:t>1 inspekcijski nadzor, od toga 11</w:t>
      </w:r>
      <w:r w:rsidR="00B16F2E" w:rsidRPr="00947458">
        <w:rPr>
          <w:szCs w:val="24"/>
        </w:rPr>
        <w:t>0</w:t>
      </w:r>
      <w:r w:rsidR="008D5595" w:rsidRPr="00947458">
        <w:rPr>
          <w:szCs w:val="24"/>
        </w:rPr>
        <w:t xml:space="preserve"> na radilištima razminiranja</w:t>
      </w:r>
      <w:r w:rsidR="006C4E9E" w:rsidRPr="00947458">
        <w:rPr>
          <w:szCs w:val="24"/>
        </w:rPr>
        <w:t xml:space="preserve"> i </w:t>
      </w:r>
      <w:r w:rsidR="00B16F2E" w:rsidRPr="00947458">
        <w:rPr>
          <w:szCs w:val="24"/>
        </w:rPr>
        <w:t>4</w:t>
      </w:r>
      <w:r w:rsidR="006C4E9E" w:rsidRPr="00947458">
        <w:rPr>
          <w:szCs w:val="24"/>
        </w:rPr>
        <w:t>1</w:t>
      </w:r>
      <w:r w:rsidR="00B16F2E" w:rsidRPr="00947458">
        <w:rPr>
          <w:szCs w:val="24"/>
        </w:rPr>
        <w:t xml:space="preserve"> nad radom ovlaštenih pravnih osoba u njihovim sjedištima.</w:t>
      </w:r>
      <w:r w:rsidR="008D5595" w:rsidRPr="00947458">
        <w:rPr>
          <w:szCs w:val="24"/>
        </w:rPr>
        <w:t xml:space="preserve"> </w:t>
      </w:r>
    </w:p>
    <w:p w14:paraId="390FB010" w14:textId="77777777" w:rsidR="00B16F2E" w:rsidRPr="00947458" w:rsidRDefault="00B16F2E" w:rsidP="00F059F1">
      <w:pPr>
        <w:spacing w:line="240" w:lineRule="auto"/>
        <w:rPr>
          <w:szCs w:val="24"/>
        </w:rPr>
      </w:pPr>
    </w:p>
    <w:p w14:paraId="29E217D3" w14:textId="72EF5B58" w:rsidR="006C4E9E" w:rsidRPr="00947458" w:rsidRDefault="00B16F2E" w:rsidP="00F059F1">
      <w:pPr>
        <w:spacing w:line="240" w:lineRule="auto"/>
        <w:rPr>
          <w:szCs w:val="24"/>
        </w:rPr>
      </w:pPr>
      <w:r w:rsidRPr="00947458">
        <w:rPr>
          <w:szCs w:val="24"/>
        </w:rPr>
        <w:t xml:space="preserve">Sukladno odredbama Prekršajnog zakona i Zakona o protuminskom djelovanju, a </w:t>
      </w:r>
      <w:r w:rsidR="00D55EAC" w:rsidRPr="00947458">
        <w:rPr>
          <w:szCs w:val="24"/>
        </w:rPr>
        <w:t xml:space="preserve">na </w:t>
      </w:r>
      <w:r w:rsidRPr="00947458">
        <w:rPr>
          <w:szCs w:val="24"/>
        </w:rPr>
        <w:t>temelj</w:t>
      </w:r>
      <w:r w:rsidR="00D55EAC" w:rsidRPr="00947458">
        <w:rPr>
          <w:szCs w:val="24"/>
        </w:rPr>
        <w:t>u</w:t>
      </w:r>
      <w:r w:rsidRPr="00947458">
        <w:rPr>
          <w:szCs w:val="24"/>
        </w:rPr>
        <w:t xml:space="preserve"> utvrđenih nepravilnosti, od strane Inspekcije izdano je </w:t>
      </w:r>
      <w:r w:rsidR="006C4E9E" w:rsidRPr="00947458">
        <w:rPr>
          <w:szCs w:val="24"/>
        </w:rPr>
        <w:t>11</w:t>
      </w:r>
      <w:r w:rsidRPr="00947458">
        <w:rPr>
          <w:szCs w:val="24"/>
        </w:rPr>
        <w:t xml:space="preserve"> prekršajnih naloga</w:t>
      </w:r>
      <w:r w:rsidR="003D1837" w:rsidRPr="00947458">
        <w:rPr>
          <w:szCs w:val="24"/>
        </w:rPr>
        <w:t xml:space="preserve"> te</w:t>
      </w:r>
      <w:r w:rsidRPr="00947458">
        <w:rPr>
          <w:szCs w:val="24"/>
        </w:rPr>
        <w:t xml:space="preserve"> </w:t>
      </w:r>
      <w:r w:rsidR="006C4E9E" w:rsidRPr="00947458">
        <w:rPr>
          <w:szCs w:val="24"/>
        </w:rPr>
        <w:t>izrečena jedna</w:t>
      </w:r>
      <w:r w:rsidR="003D1837" w:rsidRPr="00947458">
        <w:rPr>
          <w:szCs w:val="24"/>
        </w:rPr>
        <w:t xml:space="preserve"> upravn</w:t>
      </w:r>
      <w:r w:rsidR="006C4E9E" w:rsidRPr="00947458">
        <w:rPr>
          <w:szCs w:val="24"/>
        </w:rPr>
        <w:t>a</w:t>
      </w:r>
      <w:r w:rsidR="003D1837" w:rsidRPr="00947458">
        <w:rPr>
          <w:szCs w:val="24"/>
        </w:rPr>
        <w:t xml:space="preserve"> mjera</w:t>
      </w:r>
      <w:r w:rsidR="006C4E9E" w:rsidRPr="00947458">
        <w:rPr>
          <w:szCs w:val="24"/>
        </w:rPr>
        <w:t xml:space="preserve">, a podnesene su </w:t>
      </w:r>
      <w:r w:rsidR="00966EA5">
        <w:rPr>
          <w:szCs w:val="24"/>
        </w:rPr>
        <w:t>četiri</w:t>
      </w:r>
      <w:r w:rsidR="006C4E9E" w:rsidRPr="00947458">
        <w:rPr>
          <w:szCs w:val="24"/>
        </w:rPr>
        <w:t xml:space="preserve"> žalbe protiv sudski</w:t>
      </w:r>
      <w:r w:rsidR="006012D2" w:rsidRPr="00947458">
        <w:rPr>
          <w:szCs w:val="24"/>
        </w:rPr>
        <w:t>h</w:t>
      </w:r>
      <w:r w:rsidR="006C4E9E" w:rsidRPr="00947458">
        <w:rPr>
          <w:szCs w:val="24"/>
        </w:rPr>
        <w:t xml:space="preserve"> odluka.</w:t>
      </w:r>
    </w:p>
    <w:p w14:paraId="61B8D477" w14:textId="77777777" w:rsidR="00050814" w:rsidRPr="00947458" w:rsidRDefault="006C4E9E" w:rsidP="00F059F1">
      <w:pPr>
        <w:spacing w:line="240" w:lineRule="auto"/>
        <w:rPr>
          <w:szCs w:val="24"/>
        </w:rPr>
      </w:pPr>
      <w:r w:rsidRPr="00947458">
        <w:rPr>
          <w:szCs w:val="24"/>
        </w:rPr>
        <w:t xml:space="preserve"> </w:t>
      </w:r>
    </w:p>
    <w:p w14:paraId="0ABBB8C5" w14:textId="77777777" w:rsidR="008D5595" w:rsidRPr="00947458" w:rsidRDefault="00B16F2E" w:rsidP="00F059F1">
      <w:pPr>
        <w:spacing w:line="240" w:lineRule="auto"/>
        <w:rPr>
          <w:szCs w:val="24"/>
        </w:rPr>
      </w:pPr>
      <w:r w:rsidRPr="00947458">
        <w:rPr>
          <w:szCs w:val="24"/>
        </w:rPr>
        <w:t xml:space="preserve">Nadalje, rješavajući u upravnim stvarima, </w:t>
      </w:r>
      <w:r w:rsidR="003D1837" w:rsidRPr="00947458">
        <w:rPr>
          <w:szCs w:val="24"/>
        </w:rPr>
        <w:t>Inspekcija je izdala</w:t>
      </w:r>
      <w:r w:rsidR="006C4E9E" w:rsidRPr="00947458">
        <w:rPr>
          <w:szCs w:val="24"/>
        </w:rPr>
        <w:t xml:space="preserve"> 11</w:t>
      </w:r>
      <w:r w:rsidRPr="00947458">
        <w:rPr>
          <w:szCs w:val="24"/>
        </w:rPr>
        <w:t xml:space="preserve"> iskaz</w:t>
      </w:r>
      <w:r w:rsidR="006C4E9E" w:rsidRPr="00947458">
        <w:rPr>
          <w:szCs w:val="24"/>
        </w:rPr>
        <w:t>nica protuminskog djelovanja, 10 potvrda i</w:t>
      </w:r>
      <w:r w:rsidRPr="00947458">
        <w:rPr>
          <w:szCs w:val="24"/>
        </w:rPr>
        <w:t xml:space="preserve"> </w:t>
      </w:r>
      <w:r w:rsidR="006C4E9E" w:rsidRPr="00947458">
        <w:rPr>
          <w:szCs w:val="24"/>
        </w:rPr>
        <w:t>56</w:t>
      </w:r>
      <w:r w:rsidRPr="00947458">
        <w:rPr>
          <w:szCs w:val="24"/>
        </w:rPr>
        <w:t xml:space="preserve"> rješenja o ukidanju iskaznica protuminskog djelovanja</w:t>
      </w:r>
      <w:r w:rsidR="006C4E9E" w:rsidRPr="00947458">
        <w:rPr>
          <w:szCs w:val="24"/>
        </w:rPr>
        <w:t>.</w:t>
      </w:r>
      <w:r w:rsidRPr="00947458">
        <w:rPr>
          <w:szCs w:val="24"/>
        </w:rPr>
        <w:t xml:space="preserve"> </w:t>
      </w:r>
      <w:r w:rsidR="006C4E9E" w:rsidRPr="00947458">
        <w:rPr>
          <w:szCs w:val="24"/>
        </w:rPr>
        <w:t>Ukinut</w:t>
      </w:r>
      <w:r w:rsidR="00786269" w:rsidRPr="00947458">
        <w:rPr>
          <w:szCs w:val="24"/>
        </w:rPr>
        <w:t>a</w:t>
      </w:r>
      <w:r w:rsidR="006C4E9E" w:rsidRPr="00947458">
        <w:rPr>
          <w:szCs w:val="24"/>
        </w:rPr>
        <w:t xml:space="preserve"> </w:t>
      </w:r>
      <w:r w:rsidR="00786269" w:rsidRPr="00947458">
        <w:rPr>
          <w:szCs w:val="24"/>
        </w:rPr>
        <w:t>su</w:t>
      </w:r>
      <w:r w:rsidR="006C4E9E" w:rsidRPr="00947458">
        <w:rPr>
          <w:szCs w:val="24"/>
        </w:rPr>
        <w:t xml:space="preserve"> 4 odobrenja</w:t>
      </w:r>
      <w:r w:rsidRPr="00947458">
        <w:rPr>
          <w:szCs w:val="24"/>
        </w:rPr>
        <w:t xml:space="preserve"> za </w:t>
      </w:r>
      <w:r w:rsidR="006C4E9E" w:rsidRPr="00947458">
        <w:rPr>
          <w:szCs w:val="24"/>
        </w:rPr>
        <w:t xml:space="preserve">rad pravnim osobama ovlaštenim za </w:t>
      </w:r>
      <w:r w:rsidRPr="00947458">
        <w:rPr>
          <w:szCs w:val="24"/>
        </w:rPr>
        <w:t>obavljanje poslova razminiranja</w:t>
      </w:r>
      <w:r w:rsidR="006C4E9E" w:rsidRPr="00947458">
        <w:rPr>
          <w:szCs w:val="24"/>
        </w:rPr>
        <w:t xml:space="preserve"> te su analizirana 54 zaprimljena izvedbena plana razminiranja</w:t>
      </w:r>
      <w:r w:rsidRPr="00947458">
        <w:rPr>
          <w:szCs w:val="24"/>
        </w:rPr>
        <w:t xml:space="preserve">. </w:t>
      </w:r>
    </w:p>
    <w:p w14:paraId="5EAC0161" w14:textId="77777777" w:rsidR="00F059F1" w:rsidRPr="00947458" w:rsidRDefault="00F059F1" w:rsidP="00DC46FA">
      <w:pPr>
        <w:pStyle w:val="Razina1"/>
      </w:pPr>
      <w:bookmarkStart w:id="10" w:name="_Toc73447685"/>
      <w:r w:rsidRPr="00947458">
        <w:t>Financiranje plana</w:t>
      </w:r>
      <w:bookmarkEnd w:id="10"/>
    </w:p>
    <w:p w14:paraId="07BDDFB3" w14:textId="77777777" w:rsidR="000D1685" w:rsidRPr="00947458" w:rsidRDefault="00F059F1" w:rsidP="00F059F1">
      <w:pPr>
        <w:spacing w:line="240" w:lineRule="auto"/>
        <w:rPr>
          <w:szCs w:val="24"/>
        </w:rPr>
      </w:pPr>
      <w:r w:rsidRPr="00947458">
        <w:rPr>
          <w:rFonts w:cs="Arial"/>
          <w:szCs w:val="24"/>
        </w:rPr>
        <w:t xml:space="preserve">Za provedbu Plana </w:t>
      </w:r>
      <w:r w:rsidRPr="00947458">
        <w:rPr>
          <w:rFonts w:cs="Arial"/>
          <w:bCs/>
          <w:szCs w:val="24"/>
        </w:rPr>
        <w:t>u 202</w:t>
      </w:r>
      <w:r w:rsidR="006C4E9E" w:rsidRPr="00947458">
        <w:rPr>
          <w:rFonts w:cs="Arial"/>
          <w:bCs/>
          <w:szCs w:val="24"/>
        </w:rPr>
        <w:t>5</w:t>
      </w:r>
      <w:r w:rsidRPr="00947458">
        <w:rPr>
          <w:rFonts w:cs="Arial"/>
          <w:bCs/>
          <w:szCs w:val="24"/>
        </w:rPr>
        <w:t>. godini</w:t>
      </w:r>
      <w:r w:rsidRPr="00947458">
        <w:rPr>
          <w:rFonts w:cs="Arial"/>
          <w:szCs w:val="24"/>
        </w:rPr>
        <w:t xml:space="preserve"> u okviru Razdjela 040, Glave 05 M</w:t>
      </w:r>
      <w:r w:rsidR="008014CF" w:rsidRPr="00947458">
        <w:rPr>
          <w:rFonts w:cs="Arial"/>
          <w:szCs w:val="24"/>
        </w:rPr>
        <w:t>UP-a</w:t>
      </w:r>
      <w:r w:rsidRPr="00947458">
        <w:rPr>
          <w:rFonts w:cs="Arial"/>
          <w:bCs/>
          <w:szCs w:val="24"/>
        </w:rPr>
        <w:t xml:space="preserve">, programa </w:t>
      </w:r>
      <w:r w:rsidRPr="00947458">
        <w:rPr>
          <w:rFonts w:cs="Arial"/>
          <w:szCs w:val="24"/>
        </w:rPr>
        <w:t xml:space="preserve">2604 Protuminsko djelovanje planirano je ukupno </w:t>
      </w:r>
      <w:r w:rsidR="003A3EC3" w:rsidRPr="00947458">
        <w:rPr>
          <w:rFonts w:cs="Arial"/>
          <w:szCs w:val="24"/>
        </w:rPr>
        <w:t>9</w:t>
      </w:r>
      <w:r w:rsidR="00A27B36" w:rsidRPr="00947458">
        <w:rPr>
          <w:rFonts w:cs="Arial"/>
          <w:szCs w:val="24"/>
        </w:rPr>
        <w:t>3</w:t>
      </w:r>
      <w:r w:rsidR="002E0F93" w:rsidRPr="00947458">
        <w:rPr>
          <w:rFonts w:cs="Arial"/>
          <w:szCs w:val="24"/>
        </w:rPr>
        <w:t>.</w:t>
      </w:r>
      <w:r w:rsidR="003A3EC3" w:rsidRPr="00947458">
        <w:rPr>
          <w:rFonts w:cs="Arial"/>
          <w:szCs w:val="24"/>
        </w:rPr>
        <w:t>912</w:t>
      </w:r>
      <w:r w:rsidR="002A2282" w:rsidRPr="00947458">
        <w:rPr>
          <w:rFonts w:cs="Arial"/>
          <w:szCs w:val="24"/>
        </w:rPr>
        <w:t>.</w:t>
      </w:r>
      <w:r w:rsidR="003A3EC3" w:rsidRPr="00947458">
        <w:rPr>
          <w:rFonts w:cs="Arial"/>
          <w:szCs w:val="24"/>
        </w:rPr>
        <w:t>0</w:t>
      </w:r>
      <w:r w:rsidR="0041445C" w:rsidRPr="00947458">
        <w:rPr>
          <w:rFonts w:cs="Arial"/>
          <w:szCs w:val="24"/>
        </w:rPr>
        <w:t>00</w:t>
      </w:r>
      <w:r w:rsidR="002E0F93" w:rsidRPr="00947458">
        <w:rPr>
          <w:rFonts w:cs="Arial"/>
          <w:szCs w:val="24"/>
        </w:rPr>
        <w:t>,00 eura</w:t>
      </w:r>
      <w:r w:rsidR="0084560A" w:rsidRPr="00947458">
        <w:rPr>
          <w:rFonts w:cs="Arial"/>
          <w:bCs/>
          <w:szCs w:val="24"/>
        </w:rPr>
        <w:t xml:space="preserve">, a </w:t>
      </w:r>
      <w:r w:rsidR="00052617" w:rsidRPr="00947458">
        <w:rPr>
          <w:rFonts w:cs="Arial"/>
          <w:bCs/>
          <w:szCs w:val="24"/>
        </w:rPr>
        <w:t>utrošeno</w:t>
      </w:r>
      <w:r w:rsidR="0084560A" w:rsidRPr="00947458">
        <w:rPr>
          <w:rFonts w:cs="Arial"/>
          <w:bCs/>
          <w:szCs w:val="24"/>
        </w:rPr>
        <w:t xml:space="preserve"> je </w:t>
      </w:r>
      <w:r w:rsidR="003A3EC3" w:rsidRPr="00947458">
        <w:rPr>
          <w:rFonts w:cs="Arial"/>
          <w:bCs/>
          <w:szCs w:val="24"/>
        </w:rPr>
        <w:t>89</w:t>
      </w:r>
      <w:r w:rsidR="002E0F93" w:rsidRPr="00947458">
        <w:rPr>
          <w:rFonts w:cs="Arial"/>
          <w:bCs/>
          <w:szCs w:val="24"/>
        </w:rPr>
        <w:t>.</w:t>
      </w:r>
      <w:r w:rsidR="00700A05" w:rsidRPr="00947458">
        <w:rPr>
          <w:rFonts w:cs="Arial"/>
          <w:bCs/>
          <w:szCs w:val="24"/>
        </w:rPr>
        <w:t>959.</w:t>
      </w:r>
      <w:r w:rsidR="00A82031" w:rsidRPr="00947458">
        <w:rPr>
          <w:rFonts w:cs="Arial"/>
          <w:bCs/>
          <w:szCs w:val="24"/>
        </w:rPr>
        <w:t>143</w:t>
      </w:r>
      <w:r w:rsidR="002E0F93" w:rsidRPr="00947458">
        <w:rPr>
          <w:rFonts w:cs="Arial"/>
          <w:bCs/>
          <w:szCs w:val="24"/>
        </w:rPr>
        <w:t>,</w:t>
      </w:r>
      <w:r w:rsidR="00A82031" w:rsidRPr="00947458">
        <w:rPr>
          <w:rFonts w:cs="Arial"/>
          <w:bCs/>
          <w:szCs w:val="24"/>
        </w:rPr>
        <w:t>10</w:t>
      </w:r>
      <w:r w:rsidR="002E0F93" w:rsidRPr="00947458">
        <w:rPr>
          <w:rFonts w:cs="Arial"/>
          <w:bCs/>
          <w:szCs w:val="24"/>
        </w:rPr>
        <w:t xml:space="preserve"> eura</w:t>
      </w:r>
      <w:r w:rsidRPr="00947458">
        <w:rPr>
          <w:szCs w:val="24"/>
        </w:rPr>
        <w:t xml:space="preserve">. </w:t>
      </w:r>
    </w:p>
    <w:p w14:paraId="1A3B9A5D" w14:textId="77777777" w:rsidR="00786269" w:rsidRPr="00947458" w:rsidRDefault="00786269" w:rsidP="00F059F1">
      <w:pPr>
        <w:spacing w:line="240" w:lineRule="auto"/>
        <w:rPr>
          <w:szCs w:val="24"/>
        </w:rPr>
      </w:pPr>
    </w:p>
    <w:p w14:paraId="7B9DAE6F" w14:textId="77777777" w:rsidR="00786269" w:rsidRPr="00947458" w:rsidRDefault="00786269" w:rsidP="00F059F1">
      <w:pPr>
        <w:spacing w:line="240" w:lineRule="auto"/>
        <w:rPr>
          <w:szCs w:val="24"/>
        </w:rPr>
      </w:pPr>
    </w:p>
    <w:p w14:paraId="6B39D18E" w14:textId="77777777" w:rsidR="00786269" w:rsidRPr="00947458" w:rsidRDefault="00786269" w:rsidP="00F059F1">
      <w:pPr>
        <w:spacing w:line="240" w:lineRule="auto"/>
        <w:rPr>
          <w:szCs w:val="24"/>
        </w:rPr>
      </w:pPr>
    </w:p>
    <w:p w14:paraId="242930E5" w14:textId="77777777" w:rsidR="00786269" w:rsidRPr="00947458" w:rsidRDefault="00786269" w:rsidP="00F059F1">
      <w:pPr>
        <w:spacing w:line="240" w:lineRule="auto"/>
        <w:rPr>
          <w:szCs w:val="24"/>
        </w:rPr>
      </w:pPr>
    </w:p>
    <w:p w14:paraId="5B4581DA" w14:textId="77777777" w:rsidR="00786269" w:rsidRPr="00947458" w:rsidRDefault="00786269" w:rsidP="00F059F1">
      <w:pPr>
        <w:spacing w:line="240" w:lineRule="auto"/>
        <w:rPr>
          <w:szCs w:val="24"/>
        </w:rPr>
      </w:pPr>
    </w:p>
    <w:p w14:paraId="14937F09" w14:textId="77777777" w:rsidR="00786269" w:rsidRPr="00947458" w:rsidRDefault="00786269" w:rsidP="00F059F1">
      <w:pPr>
        <w:spacing w:line="240" w:lineRule="auto"/>
        <w:rPr>
          <w:szCs w:val="24"/>
        </w:rPr>
      </w:pPr>
    </w:p>
    <w:p w14:paraId="797D32E4" w14:textId="77777777" w:rsidR="00753B63" w:rsidRPr="00947458" w:rsidRDefault="00753B63" w:rsidP="00F059F1">
      <w:pPr>
        <w:spacing w:line="240" w:lineRule="auto"/>
        <w:rPr>
          <w:szCs w:val="24"/>
        </w:rPr>
      </w:pPr>
    </w:p>
    <w:p w14:paraId="53163EA0" w14:textId="77777777" w:rsidR="00DD0BC9" w:rsidRPr="00947458" w:rsidRDefault="00DD0BC9" w:rsidP="00F059F1">
      <w:pPr>
        <w:spacing w:line="240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2"/>
        <w:gridCol w:w="504"/>
        <w:gridCol w:w="4744"/>
        <w:gridCol w:w="1426"/>
        <w:gridCol w:w="1334"/>
      </w:tblGrid>
      <w:tr w:rsidR="004057F4" w:rsidRPr="00947458" w14:paraId="5BDE8AD8" w14:textId="77777777" w:rsidTr="00120EB9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76D6C40" w14:textId="77777777" w:rsidR="00F059F1" w:rsidRPr="00947458" w:rsidRDefault="00F059F1" w:rsidP="0035304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bookmarkStart w:id="11" w:name="RANGE!A1"/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lastRenderedPageBreak/>
              <w:t xml:space="preserve">040 Ministarstvo unutarnjih poslova </w:t>
            </w:r>
            <w:bookmarkEnd w:id="11"/>
          </w:p>
        </w:tc>
      </w:tr>
      <w:tr w:rsidR="004057F4" w:rsidRPr="00947458" w14:paraId="2FB3A735" w14:textId="77777777" w:rsidTr="00120EB9">
        <w:trPr>
          <w:trHeight w:val="300"/>
        </w:trPr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3817822" w14:textId="77777777" w:rsidR="00F059F1" w:rsidRPr="00947458" w:rsidRDefault="00F059F1" w:rsidP="0035304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bookmarkStart w:id="12" w:name="_Hlk485995135" w:colFirst="0" w:colLast="2"/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Aktivnost</w:t>
            </w:r>
          </w:p>
        </w:tc>
        <w:tc>
          <w:tcPr>
            <w:tcW w:w="28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8EA66E7" w14:textId="77777777" w:rsidR="00F059F1" w:rsidRPr="00947458" w:rsidRDefault="00F059F1" w:rsidP="0035304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14:paraId="737A6862" w14:textId="77777777" w:rsidR="00F059F1" w:rsidRPr="00947458" w:rsidRDefault="00F059F1" w:rsidP="00353041">
            <w:pPr>
              <w:pStyle w:val="tablicaheader"/>
              <w:spacing w:line="240" w:lineRule="auto"/>
              <w:rPr>
                <w:rFonts w:eastAsia="Times New Roman" w:cs="Arial"/>
                <w:bCs/>
                <w:szCs w:val="18"/>
              </w:rPr>
            </w:pPr>
            <w:r w:rsidRPr="00947458">
              <w:rPr>
                <w:rFonts w:eastAsia="Times New Roman" w:cs="Arial"/>
                <w:bCs/>
                <w:szCs w:val="18"/>
              </w:rPr>
              <w:t>Planirano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A0367D8" w14:textId="77777777" w:rsidR="00F059F1" w:rsidRPr="00947458" w:rsidRDefault="00F059F1" w:rsidP="00353041">
            <w:pPr>
              <w:pStyle w:val="tablicaheader"/>
              <w:spacing w:line="240" w:lineRule="auto"/>
              <w:rPr>
                <w:rFonts w:eastAsia="Times New Roman" w:cs="Arial"/>
                <w:bCs/>
                <w:szCs w:val="18"/>
              </w:rPr>
            </w:pPr>
            <w:r w:rsidRPr="00947458">
              <w:rPr>
                <w:rFonts w:eastAsia="Times New Roman" w:cs="Arial"/>
                <w:bCs/>
                <w:szCs w:val="18"/>
              </w:rPr>
              <w:t>Realizirano</w:t>
            </w:r>
          </w:p>
        </w:tc>
      </w:tr>
      <w:tr w:rsidR="004057F4" w:rsidRPr="00947458" w14:paraId="360FC047" w14:textId="77777777" w:rsidTr="00120EB9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258A6" w14:textId="77777777" w:rsidR="00F059F1" w:rsidRPr="00947458" w:rsidRDefault="00F059F1" w:rsidP="00353041">
            <w:pPr>
              <w:spacing w:line="240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8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9B37" w14:textId="77777777" w:rsidR="00F059F1" w:rsidRPr="00947458" w:rsidRDefault="00F059F1" w:rsidP="00353041">
            <w:pPr>
              <w:spacing w:line="240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15E26EB1" w14:textId="77777777" w:rsidR="00F059F1" w:rsidRPr="00947458" w:rsidRDefault="00DC46FA" w:rsidP="0035304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947458">
              <w:rPr>
                <w:rFonts w:eastAsia="Times New Roman" w:cs="Arial"/>
                <w:b/>
                <w:bCs/>
                <w:sz w:val="16"/>
                <w:szCs w:val="16"/>
              </w:rPr>
              <w:t>EUR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ABD2A62" w14:textId="77777777" w:rsidR="00F059F1" w:rsidRPr="00947458" w:rsidRDefault="00DC46FA" w:rsidP="0035304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947458">
              <w:rPr>
                <w:rFonts w:eastAsia="Times New Roman" w:cs="Arial"/>
                <w:b/>
                <w:bCs/>
                <w:sz w:val="16"/>
                <w:szCs w:val="16"/>
              </w:rPr>
              <w:t>EUR</w:t>
            </w:r>
          </w:p>
        </w:tc>
      </w:tr>
      <w:tr w:rsidR="004057F4" w:rsidRPr="00947458" w14:paraId="57AB578F" w14:textId="77777777" w:rsidTr="00120EB9">
        <w:trPr>
          <w:trHeight w:val="30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55032FF" w14:textId="77777777" w:rsidR="00F059F1" w:rsidRPr="00947458" w:rsidRDefault="00F059F1" w:rsidP="00353041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2604</w:t>
            </w:r>
          </w:p>
        </w:tc>
        <w:tc>
          <w:tcPr>
            <w:tcW w:w="28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0C113E3" w14:textId="77777777" w:rsidR="00F059F1" w:rsidRPr="00947458" w:rsidRDefault="00F059F1" w:rsidP="00353041">
            <w:pPr>
              <w:spacing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Protuminsko djelovanje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14:paraId="4A24CE98" w14:textId="77777777" w:rsidR="00F059F1" w:rsidRPr="00947458" w:rsidRDefault="003A3EC3" w:rsidP="0041445C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93.912.000</w:t>
            </w:r>
            <w:r w:rsidR="002E0F93" w:rsidRPr="00947458">
              <w:rPr>
                <w:rFonts w:eastAsia="Times New Roman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11682FA" w14:textId="77777777" w:rsidR="00F059F1" w:rsidRPr="00947458" w:rsidRDefault="003A3EC3" w:rsidP="00A82031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89.9</w:t>
            </w:r>
            <w:r w:rsidR="00A82031" w:rsidRPr="00947458">
              <w:rPr>
                <w:rFonts w:eastAsia="Times New Roman" w:cs="Arial"/>
                <w:b/>
                <w:bCs/>
                <w:sz w:val="18"/>
                <w:szCs w:val="18"/>
              </w:rPr>
              <w:t>5</w:t>
            </w: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9.</w:t>
            </w:r>
            <w:r w:rsidR="00A82031" w:rsidRPr="00947458">
              <w:rPr>
                <w:rFonts w:eastAsia="Times New Roman" w:cs="Arial"/>
                <w:b/>
                <w:bCs/>
                <w:sz w:val="18"/>
                <w:szCs w:val="18"/>
              </w:rPr>
              <w:t>143</w:t>
            </w: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,</w:t>
            </w:r>
            <w:r w:rsidR="00A82031" w:rsidRPr="00947458">
              <w:rPr>
                <w:rFonts w:eastAsia="Times New Roman" w:cs="Arial"/>
                <w:b/>
                <w:bCs/>
                <w:sz w:val="18"/>
                <w:szCs w:val="18"/>
              </w:rPr>
              <w:t>10</w:t>
            </w:r>
          </w:p>
        </w:tc>
      </w:tr>
      <w:tr w:rsidR="004057F4" w:rsidRPr="00947458" w14:paraId="410B2071" w14:textId="77777777" w:rsidTr="00120EB9">
        <w:trPr>
          <w:trHeight w:val="30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ADF44" w14:textId="77777777" w:rsidR="00F059F1" w:rsidRPr="00947458" w:rsidRDefault="00F059F1" w:rsidP="00353041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A672007</w:t>
            </w:r>
          </w:p>
        </w:tc>
        <w:tc>
          <w:tcPr>
            <w:tcW w:w="289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2299" w14:textId="77777777" w:rsidR="00F059F1" w:rsidRPr="00947458" w:rsidRDefault="00F059F1" w:rsidP="00353041">
            <w:pPr>
              <w:spacing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RAZMINIRANJE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01AD3" w14:textId="77777777" w:rsidR="00F059F1" w:rsidRPr="00947458" w:rsidRDefault="000D1685" w:rsidP="003A3EC3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3</w:t>
            </w:r>
            <w:r w:rsidR="003A3EC3" w:rsidRPr="00947458">
              <w:rPr>
                <w:rFonts w:eastAsia="Times New Roman" w:cs="Arial"/>
                <w:b/>
                <w:bCs/>
                <w:sz w:val="18"/>
                <w:szCs w:val="18"/>
              </w:rPr>
              <w:t>5</w:t>
            </w:r>
            <w:r w:rsidR="002E0F93" w:rsidRPr="00947458">
              <w:rPr>
                <w:rFonts w:eastAsia="Times New Roman" w:cs="Arial"/>
                <w:b/>
                <w:bCs/>
                <w:sz w:val="18"/>
                <w:szCs w:val="18"/>
              </w:rPr>
              <w:t>.</w:t>
            </w:r>
            <w:r w:rsidR="003A3EC3" w:rsidRPr="00947458">
              <w:rPr>
                <w:rFonts w:eastAsia="Times New Roman" w:cs="Arial"/>
                <w:b/>
                <w:bCs/>
                <w:sz w:val="18"/>
                <w:szCs w:val="18"/>
              </w:rPr>
              <w:t>945</w:t>
            </w:r>
            <w:r w:rsidR="002E0F93" w:rsidRPr="00947458">
              <w:rPr>
                <w:rFonts w:eastAsia="Times New Roman" w:cs="Arial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20949" w14:textId="77777777" w:rsidR="00F059F1" w:rsidRPr="00947458" w:rsidRDefault="000D1685" w:rsidP="003A3EC3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3</w:t>
            </w:r>
            <w:r w:rsidR="002E0F93" w:rsidRPr="00947458">
              <w:rPr>
                <w:rFonts w:eastAsia="Times New Roman" w:cs="Arial"/>
                <w:b/>
                <w:bCs/>
                <w:sz w:val="18"/>
                <w:szCs w:val="18"/>
              </w:rPr>
              <w:t>2.</w:t>
            </w:r>
            <w:r w:rsidR="003A3EC3" w:rsidRPr="00947458">
              <w:rPr>
                <w:rFonts w:eastAsia="Times New Roman" w:cs="Arial"/>
                <w:b/>
                <w:bCs/>
                <w:sz w:val="18"/>
                <w:szCs w:val="18"/>
              </w:rPr>
              <w:t>736</w:t>
            </w:r>
            <w:r w:rsidR="002E0F93" w:rsidRPr="00947458">
              <w:rPr>
                <w:rFonts w:eastAsia="Times New Roman" w:cs="Arial"/>
                <w:b/>
                <w:bCs/>
                <w:sz w:val="18"/>
                <w:szCs w:val="18"/>
              </w:rPr>
              <w:t>.</w:t>
            </w:r>
            <w:r w:rsidR="003A3EC3" w:rsidRPr="00947458">
              <w:rPr>
                <w:rFonts w:eastAsia="Times New Roman" w:cs="Arial"/>
                <w:b/>
                <w:bCs/>
                <w:sz w:val="18"/>
                <w:szCs w:val="18"/>
              </w:rPr>
              <w:t>929</w:t>
            </w:r>
            <w:r w:rsidR="002E0F93" w:rsidRPr="00947458">
              <w:rPr>
                <w:rFonts w:eastAsia="Times New Roman" w:cs="Arial"/>
                <w:b/>
                <w:bCs/>
                <w:sz w:val="18"/>
                <w:szCs w:val="18"/>
              </w:rPr>
              <w:t>,</w:t>
            </w:r>
            <w:r w:rsidR="003A3EC3" w:rsidRPr="00947458">
              <w:rPr>
                <w:rFonts w:eastAsia="Times New Roman" w:cs="Arial"/>
                <w:b/>
                <w:bCs/>
                <w:sz w:val="18"/>
                <w:szCs w:val="18"/>
              </w:rPr>
              <w:t>4</w:t>
            </w:r>
            <w:r w:rsidR="000904B7" w:rsidRPr="00947458">
              <w:rPr>
                <w:rFonts w:eastAsia="Times New Roman" w:cs="Arial"/>
                <w:b/>
                <w:bCs/>
                <w:sz w:val="18"/>
                <w:szCs w:val="18"/>
              </w:rPr>
              <w:t>8</w:t>
            </w:r>
          </w:p>
        </w:tc>
      </w:tr>
      <w:tr w:rsidR="004057F4" w:rsidRPr="00947458" w14:paraId="340FAE5B" w14:textId="77777777" w:rsidTr="003A3EC3">
        <w:trPr>
          <w:trHeight w:val="300"/>
        </w:trPr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870AE" w14:textId="77777777" w:rsidR="00F059F1" w:rsidRPr="00947458" w:rsidRDefault="00F059F1" w:rsidP="00353041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37B70E" w14:textId="77777777" w:rsidR="00F059F1" w:rsidRPr="00947458" w:rsidRDefault="00F059F1" w:rsidP="00353041">
            <w:pPr>
              <w:spacing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11</w:t>
            </w:r>
          </w:p>
        </w:tc>
        <w:tc>
          <w:tcPr>
            <w:tcW w:w="2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6764085" w14:textId="77777777" w:rsidR="00F059F1" w:rsidRPr="00947458" w:rsidRDefault="00F059F1" w:rsidP="00353041">
            <w:pPr>
              <w:spacing w:line="240" w:lineRule="auto"/>
              <w:jc w:val="left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Opći prihodi i primici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5FD24" w14:textId="77777777" w:rsidR="00F059F1" w:rsidRPr="00947458" w:rsidRDefault="002E0F93" w:rsidP="003A3EC3">
            <w:pPr>
              <w:spacing w:line="240" w:lineRule="auto"/>
              <w:jc w:val="right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2</w:t>
            </w:r>
            <w:r w:rsidR="003A3EC3" w:rsidRPr="00947458">
              <w:rPr>
                <w:rFonts w:eastAsia="Times New Roman" w:cs="Arial"/>
                <w:bCs/>
                <w:sz w:val="18"/>
                <w:szCs w:val="18"/>
              </w:rPr>
              <w:t>4</w:t>
            </w:r>
            <w:r w:rsidRPr="00947458">
              <w:rPr>
                <w:rFonts w:eastAsia="Times New Roman" w:cs="Arial"/>
                <w:bCs/>
                <w:sz w:val="18"/>
                <w:szCs w:val="18"/>
              </w:rPr>
              <w:t>.</w:t>
            </w:r>
            <w:r w:rsidR="003A3EC3" w:rsidRPr="00947458">
              <w:rPr>
                <w:rFonts w:eastAsia="Times New Roman" w:cs="Arial"/>
                <w:bCs/>
                <w:sz w:val="18"/>
                <w:szCs w:val="18"/>
              </w:rPr>
              <w:t>945</w:t>
            </w:r>
            <w:r w:rsidRPr="00947458">
              <w:rPr>
                <w:rFonts w:eastAsia="Times New Roman" w:cs="Arial"/>
                <w:bCs/>
                <w:sz w:val="18"/>
                <w:szCs w:val="18"/>
              </w:rPr>
              <w:t>.000,00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D2B38" w14:textId="77777777" w:rsidR="00F059F1" w:rsidRPr="00947458" w:rsidRDefault="002E0F93" w:rsidP="003A3EC3">
            <w:pPr>
              <w:spacing w:line="240" w:lineRule="auto"/>
              <w:jc w:val="right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2</w:t>
            </w:r>
            <w:r w:rsidR="003A3EC3" w:rsidRPr="00947458">
              <w:rPr>
                <w:rFonts w:eastAsia="Times New Roman" w:cs="Arial"/>
                <w:bCs/>
                <w:sz w:val="18"/>
                <w:szCs w:val="18"/>
              </w:rPr>
              <w:t>4</w:t>
            </w:r>
            <w:r w:rsidRPr="00947458">
              <w:rPr>
                <w:rFonts w:eastAsia="Times New Roman" w:cs="Arial"/>
                <w:bCs/>
                <w:sz w:val="18"/>
                <w:szCs w:val="18"/>
              </w:rPr>
              <w:t>.</w:t>
            </w:r>
            <w:r w:rsidR="003A3EC3" w:rsidRPr="00947458">
              <w:rPr>
                <w:rFonts w:eastAsia="Times New Roman" w:cs="Arial"/>
                <w:bCs/>
                <w:sz w:val="18"/>
                <w:szCs w:val="18"/>
              </w:rPr>
              <w:t>944</w:t>
            </w:r>
            <w:r w:rsidRPr="00947458">
              <w:rPr>
                <w:rFonts w:eastAsia="Times New Roman" w:cs="Arial"/>
                <w:bCs/>
                <w:sz w:val="18"/>
                <w:szCs w:val="18"/>
              </w:rPr>
              <w:t>.</w:t>
            </w:r>
            <w:r w:rsidR="003A3EC3" w:rsidRPr="00947458">
              <w:rPr>
                <w:rFonts w:eastAsia="Times New Roman" w:cs="Arial"/>
                <w:bCs/>
                <w:sz w:val="18"/>
                <w:szCs w:val="18"/>
              </w:rPr>
              <w:t>929</w:t>
            </w:r>
            <w:r w:rsidRPr="00947458">
              <w:rPr>
                <w:rFonts w:eastAsia="Times New Roman" w:cs="Arial"/>
                <w:bCs/>
                <w:sz w:val="18"/>
                <w:szCs w:val="18"/>
              </w:rPr>
              <w:t>,</w:t>
            </w:r>
            <w:r w:rsidR="003A3EC3" w:rsidRPr="00947458">
              <w:rPr>
                <w:rFonts w:eastAsia="Times New Roman" w:cs="Arial"/>
                <w:bCs/>
                <w:sz w:val="18"/>
                <w:szCs w:val="18"/>
              </w:rPr>
              <w:t>23</w:t>
            </w:r>
          </w:p>
        </w:tc>
      </w:tr>
      <w:tr w:rsidR="004057F4" w:rsidRPr="00947458" w14:paraId="77B9F794" w14:textId="77777777" w:rsidTr="003A3EC3">
        <w:trPr>
          <w:trHeight w:val="300"/>
        </w:trPr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09693" w14:textId="77777777" w:rsidR="00F059F1" w:rsidRPr="00947458" w:rsidRDefault="00F059F1" w:rsidP="00353041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BD7B1E" w14:textId="77777777" w:rsidR="00F059F1" w:rsidRPr="00947458" w:rsidRDefault="00F059F1" w:rsidP="00353041">
            <w:pPr>
              <w:spacing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43</w:t>
            </w:r>
          </w:p>
        </w:tc>
        <w:tc>
          <w:tcPr>
            <w:tcW w:w="2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8EF16" w14:textId="77777777" w:rsidR="00F059F1" w:rsidRPr="00947458" w:rsidRDefault="00F059F1" w:rsidP="00353041">
            <w:pPr>
              <w:spacing w:line="240" w:lineRule="auto"/>
              <w:jc w:val="left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 xml:space="preserve">Ostali prihodi za posebne namjene </w:t>
            </w:r>
            <w:r w:rsidR="00201EE2" w:rsidRPr="00947458">
              <w:rPr>
                <w:rFonts w:eastAsia="Times New Roman" w:cs="Arial"/>
                <w:bCs/>
                <w:sz w:val="18"/>
                <w:szCs w:val="18"/>
              </w:rPr>
              <w:t>–</w:t>
            </w:r>
            <w:r w:rsidRPr="00947458">
              <w:rPr>
                <w:rFonts w:eastAsia="Times New Roman" w:cs="Arial"/>
                <w:bCs/>
                <w:sz w:val="18"/>
                <w:szCs w:val="18"/>
              </w:rPr>
              <w:t xml:space="preserve"> OKFŠ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8F9E2" w14:textId="77777777" w:rsidR="00F059F1" w:rsidRPr="00947458" w:rsidRDefault="003A3EC3" w:rsidP="000D1685">
            <w:pPr>
              <w:spacing w:line="240" w:lineRule="auto"/>
              <w:jc w:val="right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11</w:t>
            </w:r>
            <w:r w:rsidR="002E0F93" w:rsidRPr="00947458">
              <w:rPr>
                <w:rFonts w:eastAsia="Times New Roman" w:cs="Arial"/>
                <w:bCs/>
                <w:sz w:val="18"/>
                <w:szCs w:val="18"/>
              </w:rPr>
              <w:t>.</w:t>
            </w:r>
            <w:r w:rsidR="000D1685" w:rsidRPr="00947458">
              <w:rPr>
                <w:rFonts w:eastAsia="Times New Roman" w:cs="Arial"/>
                <w:bCs/>
                <w:sz w:val="18"/>
                <w:szCs w:val="18"/>
              </w:rPr>
              <w:t>000</w:t>
            </w:r>
            <w:r w:rsidR="002E0F93" w:rsidRPr="00947458">
              <w:rPr>
                <w:rFonts w:eastAsia="Times New Roman" w:cs="Arial"/>
                <w:bCs/>
                <w:sz w:val="18"/>
                <w:szCs w:val="18"/>
              </w:rPr>
              <w:t>.000,00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7133E" w14:textId="77777777" w:rsidR="00F059F1" w:rsidRPr="00947458" w:rsidRDefault="003A3EC3" w:rsidP="003A3EC3">
            <w:pPr>
              <w:spacing w:line="240" w:lineRule="auto"/>
              <w:jc w:val="right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7</w:t>
            </w:r>
            <w:r w:rsidR="000D1685" w:rsidRPr="00947458">
              <w:rPr>
                <w:rFonts w:eastAsia="Times New Roman" w:cs="Arial"/>
                <w:bCs/>
                <w:sz w:val="18"/>
                <w:szCs w:val="18"/>
              </w:rPr>
              <w:t>.</w:t>
            </w:r>
            <w:r w:rsidRPr="00947458">
              <w:rPr>
                <w:rFonts w:eastAsia="Times New Roman" w:cs="Arial"/>
                <w:bCs/>
                <w:sz w:val="18"/>
                <w:szCs w:val="18"/>
              </w:rPr>
              <w:t>792</w:t>
            </w:r>
            <w:r w:rsidR="00FE5974" w:rsidRPr="00947458">
              <w:rPr>
                <w:rFonts w:eastAsia="Times New Roman" w:cs="Arial"/>
                <w:bCs/>
                <w:sz w:val="18"/>
                <w:szCs w:val="18"/>
              </w:rPr>
              <w:t>.</w:t>
            </w:r>
            <w:r w:rsidRPr="00947458">
              <w:rPr>
                <w:rFonts w:eastAsia="Times New Roman" w:cs="Arial"/>
                <w:bCs/>
                <w:sz w:val="18"/>
                <w:szCs w:val="18"/>
              </w:rPr>
              <w:t>000,2</w:t>
            </w:r>
            <w:r w:rsidR="000D1685" w:rsidRPr="00947458">
              <w:rPr>
                <w:rFonts w:eastAsia="Times New Roman" w:cs="Arial"/>
                <w:bCs/>
                <w:sz w:val="18"/>
                <w:szCs w:val="18"/>
              </w:rPr>
              <w:t>5</w:t>
            </w:r>
          </w:p>
        </w:tc>
      </w:tr>
      <w:tr w:rsidR="004057F4" w:rsidRPr="00947458" w14:paraId="084A6736" w14:textId="77777777" w:rsidTr="003A3EC3">
        <w:trPr>
          <w:trHeight w:val="297"/>
        </w:trPr>
        <w:tc>
          <w:tcPr>
            <w:tcW w:w="5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5BE29A" w14:textId="77777777" w:rsidR="00DD0BC9" w:rsidRPr="00947458" w:rsidRDefault="00DD0BC9" w:rsidP="007C0BB3">
            <w:pPr>
              <w:spacing w:before="4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K879024</w:t>
            </w:r>
          </w:p>
        </w:tc>
        <w:tc>
          <w:tcPr>
            <w:tcW w:w="289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0EEE9" w14:textId="77777777" w:rsidR="00DD0BC9" w:rsidRPr="00947458" w:rsidRDefault="00DD0BC9" w:rsidP="003A3EC3">
            <w:pPr>
              <w:spacing w:line="240" w:lineRule="auto"/>
              <w:jc w:val="left"/>
              <w:rPr>
                <w:rFonts w:eastAsia="Times New Roman" w:cs="Arial"/>
                <w:b/>
                <w:bCs/>
                <w:i/>
                <w:sz w:val="18"/>
                <w:szCs w:val="18"/>
              </w:rPr>
            </w:pP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RAZMINIRANJE VIŠEGODIŠNJI OKVIR 2021.-2027.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A26A0" w14:textId="77777777" w:rsidR="00DD0BC9" w:rsidRPr="00947458" w:rsidRDefault="003A3EC3" w:rsidP="003A3EC3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57</w:t>
            </w:r>
            <w:r w:rsidR="00DD0BC9" w:rsidRPr="00947458">
              <w:rPr>
                <w:rFonts w:eastAsia="Times New Roman" w:cs="Arial"/>
                <w:b/>
                <w:bCs/>
                <w:sz w:val="18"/>
                <w:szCs w:val="18"/>
              </w:rPr>
              <w:t>.</w:t>
            </w:r>
            <w:r w:rsidR="0041445C" w:rsidRPr="00947458">
              <w:rPr>
                <w:rFonts w:eastAsia="Times New Roman" w:cs="Arial"/>
                <w:b/>
                <w:bCs/>
                <w:sz w:val="18"/>
                <w:szCs w:val="18"/>
              </w:rPr>
              <w:t>9</w:t>
            </w: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67</w:t>
            </w:r>
            <w:r w:rsidR="00DD0BC9" w:rsidRPr="00947458">
              <w:rPr>
                <w:rFonts w:eastAsia="Times New Roman" w:cs="Arial"/>
                <w:b/>
                <w:bCs/>
                <w:sz w:val="18"/>
                <w:szCs w:val="18"/>
              </w:rPr>
              <w:t>.</w:t>
            </w:r>
            <w:r w:rsidR="00104992" w:rsidRPr="00947458">
              <w:rPr>
                <w:rFonts w:eastAsia="Times New Roman" w:cs="Arial"/>
                <w:b/>
                <w:bCs/>
                <w:sz w:val="18"/>
                <w:szCs w:val="18"/>
              </w:rPr>
              <w:t>000</w:t>
            </w:r>
            <w:r w:rsidR="00DD0BC9" w:rsidRPr="00947458">
              <w:rPr>
                <w:rFonts w:eastAsia="Times New Roman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BAFE" w14:textId="77777777" w:rsidR="00DD0BC9" w:rsidRPr="00947458" w:rsidRDefault="003A3EC3" w:rsidP="00A82031">
            <w:pPr>
              <w:spacing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57</w:t>
            </w:r>
            <w:r w:rsidR="00DD0BC9" w:rsidRPr="00947458">
              <w:rPr>
                <w:rFonts w:eastAsia="Times New Roman" w:cs="Arial"/>
                <w:b/>
                <w:bCs/>
                <w:sz w:val="18"/>
                <w:szCs w:val="18"/>
              </w:rPr>
              <w:t>.</w:t>
            </w: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2</w:t>
            </w:r>
            <w:r w:rsidR="00A82031" w:rsidRPr="00947458">
              <w:rPr>
                <w:rFonts w:eastAsia="Times New Roman" w:cs="Arial"/>
                <w:b/>
                <w:bCs/>
                <w:sz w:val="18"/>
                <w:szCs w:val="18"/>
              </w:rPr>
              <w:t>2</w:t>
            </w:r>
            <w:r w:rsidRPr="00947458">
              <w:rPr>
                <w:rFonts w:eastAsia="Times New Roman" w:cs="Arial"/>
                <w:b/>
                <w:bCs/>
                <w:sz w:val="18"/>
                <w:szCs w:val="18"/>
              </w:rPr>
              <w:t>2</w:t>
            </w:r>
            <w:r w:rsidR="00DD0BC9" w:rsidRPr="00947458">
              <w:rPr>
                <w:rFonts w:eastAsia="Times New Roman" w:cs="Arial"/>
                <w:b/>
                <w:bCs/>
                <w:sz w:val="18"/>
                <w:szCs w:val="18"/>
              </w:rPr>
              <w:t>.</w:t>
            </w:r>
            <w:r w:rsidR="00A82031" w:rsidRPr="00947458">
              <w:rPr>
                <w:rFonts w:eastAsia="Times New Roman" w:cs="Arial"/>
                <w:b/>
                <w:bCs/>
                <w:sz w:val="18"/>
                <w:szCs w:val="18"/>
              </w:rPr>
              <w:t>213,62</w:t>
            </w:r>
          </w:p>
        </w:tc>
      </w:tr>
      <w:tr w:rsidR="004057F4" w:rsidRPr="00947458" w14:paraId="73644C0E" w14:textId="77777777" w:rsidTr="003A3EC3">
        <w:trPr>
          <w:trHeight w:val="300"/>
        </w:trPr>
        <w:tc>
          <w:tcPr>
            <w:tcW w:w="58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663A4A" w14:textId="77777777" w:rsidR="00DD0BC9" w:rsidRPr="00947458" w:rsidRDefault="00DD0BC9" w:rsidP="007C0BB3">
            <w:pPr>
              <w:spacing w:line="240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70126" w14:textId="77777777" w:rsidR="00DD0BC9" w:rsidRPr="00947458" w:rsidRDefault="00DD0BC9" w:rsidP="007C0BB3">
            <w:pPr>
              <w:spacing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12</w:t>
            </w:r>
          </w:p>
        </w:tc>
        <w:tc>
          <w:tcPr>
            <w:tcW w:w="2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053E798" w14:textId="77777777" w:rsidR="00DD0BC9" w:rsidRPr="00947458" w:rsidRDefault="00DD0BC9" w:rsidP="007C0BB3">
            <w:pPr>
              <w:spacing w:line="240" w:lineRule="auto"/>
              <w:jc w:val="left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Sredstva učešća pomoći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956C" w14:textId="77777777" w:rsidR="00DD0BC9" w:rsidRPr="00947458" w:rsidRDefault="00DD0BC9" w:rsidP="00CE74B3">
            <w:pPr>
              <w:spacing w:line="240" w:lineRule="auto"/>
              <w:jc w:val="right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0,00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3CF5" w14:textId="77777777" w:rsidR="00DD0BC9" w:rsidRPr="00947458" w:rsidRDefault="003A3EC3" w:rsidP="003A3EC3">
            <w:pPr>
              <w:spacing w:line="240" w:lineRule="auto"/>
              <w:jc w:val="right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0</w:t>
            </w:r>
            <w:r w:rsidR="00DD0BC9" w:rsidRPr="00947458">
              <w:rPr>
                <w:rFonts w:eastAsia="Times New Roman" w:cs="Arial"/>
                <w:bCs/>
                <w:sz w:val="18"/>
                <w:szCs w:val="18"/>
              </w:rPr>
              <w:t>,</w:t>
            </w:r>
            <w:r w:rsidRPr="00947458">
              <w:rPr>
                <w:rFonts w:eastAsia="Times New Roman" w:cs="Arial"/>
                <w:bCs/>
                <w:sz w:val="18"/>
                <w:szCs w:val="18"/>
              </w:rPr>
              <w:t>00</w:t>
            </w:r>
          </w:p>
        </w:tc>
      </w:tr>
      <w:tr w:rsidR="004057F4" w:rsidRPr="00947458" w14:paraId="3361257B" w14:textId="77777777" w:rsidTr="003A3EC3">
        <w:trPr>
          <w:trHeight w:val="300"/>
        </w:trPr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B91B" w14:textId="77777777" w:rsidR="00DD0BC9" w:rsidRPr="00947458" w:rsidRDefault="00DD0BC9" w:rsidP="007C0BB3">
            <w:pPr>
              <w:spacing w:line="240" w:lineRule="auto"/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8431D" w14:textId="77777777" w:rsidR="00DD0BC9" w:rsidRPr="00947458" w:rsidRDefault="00DD0BC9" w:rsidP="007C0BB3">
            <w:pPr>
              <w:spacing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563</w:t>
            </w:r>
          </w:p>
        </w:tc>
        <w:tc>
          <w:tcPr>
            <w:tcW w:w="261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35E24" w14:textId="77777777" w:rsidR="00DD0BC9" w:rsidRPr="00947458" w:rsidRDefault="00DD0BC9" w:rsidP="007C0BB3">
            <w:pPr>
              <w:spacing w:line="240" w:lineRule="auto"/>
              <w:jc w:val="left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Europski fond za regionalni razvoj (EFRR)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642C" w14:textId="77777777" w:rsidR="00DD0BC9" w:rsidRPr="00947458" w:rsidRDefault="003A3EC3" w:rsidP="003A3EC3">
            <w:pPr>
              <w:spacing w:line="240" w:lineRule="auto"/>
              <w:jc w:val="right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57</w:t>
            </w:r>
            <w:r w:rsidR="00DD0BC9" w:rsidRPr="00947458">
              <w:rPr>
                <w:rFonts w:eastAsia="Times New Roman" w:cs="Arial"/>
                <w:bCs/>
                <w:sz w:val="18"/>
                <w:szCs w:val="18"/>
              </w:rPr>
              <w:t>.</w:t>
            </w:r>
            <w:r w:rsidR="00CE74B3" w:rsidRPr="00947458">
              <w:rPr>
                <w:rFonts w:eastAsia="Times New Roman" w:cs="Arial"/>
                <w:bCs/>
                <w:sz w:val="18"/>
                <w:szCs w:val="18"/>
              </w:rPr>
              <w:t>9</w:t>
            </w:r>
            <w:r w:rsidRPr="00947458">
              <w:rPr>
                <w:rFonts w:eastAsia="Times New Roman" w:cs="Arial"/>
                <w:bCs/>
                <w:sz w:val="18"/>
                <w:szCs w:val="18"/>
              </w:rPr>
              <w:t>67</w:t>
            </w:r>
            <w:r w:rsidR="00DD0BC9" w:rsidRPr="00947458">
              <w:rPr>
                <w:rFonts w:eastAsia="Times New Roman" w:cs="Arial"/>
                <w:bCs/>
                <w:sz w:val="18"/>
                <w:szCs w:val="18"/>
              </w:rPr>
              <w:t>.000,00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9E57" w14:textId="77777777" w:rsidR="00DD0BC9" w:rsidRPr="00947458" w:rsidRDefault="003A3EC3" w:rsidP="00A82031">
            <w:pPr>
              <w:spacing w:line="240" w:lineRule="auto"/>
              <w:jc w:val="right"/>
              <w:rPr>
                <w:rFonts w:eastAsia="Times New Roman" w:cs="Arial"/>
                <w:bCs/>
                <w:sz w:val="18"/>
                <w:szCs w:val="18"/>
              </w:rPr>
            </w:pPr>
            <w:r w:rsidRPr="00947458">
              <w:rPr>
                <w:rFonts w:eastAsia="Times New Roman" w:cs="Arial"/>
                <w:bCs/>
                <w:sz w:val="18"/>
                <w:szCs w:val="18"/>
              </w:rPr>
              <w:t>57</w:t>
            </w:r>
            <w:r w:rsidR="00DD0BC9" w:rsidRPr="00947458">
              <w:rPr>
                <w:rFonts w:eastAsia="Times New Roman" w:cs="Arial"/>
                <w:bCs/>
                <w:sz w:val="18"/>
                <w:szCs w:val="18"/>
              </w:rPr>
              <w:t>.</w:t>
            </w:r>
            <w:r w:rsidRPr="00947458">
              <w:rPr>
                <w:rFonts w:eastAsia="Times New Roman" w:cs="Arial"/>
                <w:bCs/>
                <w:sz w:val="18"/>
                <w:szCs w:val="18"/>
              </w:rPr>
              <w:t>2</w:t>
            </w:r>
            <w:r w:rsidR="00A82031" w:rsidRPr="00947458">
              <w:rPr>
                <w:rFonts w:eastAsia="Times New Roman" w:cs="Arial"/>
                <w:bCs/>
                <w:sz w:val="18"/>
                <w:szCs w:val="18"/>
              </w:rPr>
              <w:t>22</w:t>
            </w:r>
            <w:r w:rsidR="00DD0BC9" w:rsidRPr="00947458">
              <w:rPr>
                <w:rFonts w:eastAsia="Times New Roman" w:cs="Arial"/>
                <w:bCs/>
                <w:sz w:val="18"/>
                <w:szCs w:val="18"/>
              </w:rPr>
              <w:t>.</w:t>
            </w:r>
            <w:r w:rsidR="00A82031" w:rsidRPr="00947458">
              <w:rPr>
                <w:rFonts w:eastAsia="Times New Roman" w:cs="Arial"/>
                <w:bCs/>
                <w:sz w:val="18"/>
                <w:szCs w:val="18"/>
              </w:rPr>
              <w:t>213</w:t>
            </w:r>
            <w:r w:rsidR="00DD0BC9" w:rsidRPr="00947458">
              <w:rPr>
                <w:rFonts w:eastAsia="Times New Roman" w:cs="Arial"/>
                <w:bCs/>
                <w:sz w:val="18"/>
                <w:szCs w:val="18"/>
              </w:rPr>
              <w:t>,</w:t>
            </w:r>
            <w:r w:rsidR="00A82031" w:rsidRPr="00947458">
              <w:rPr>
                <w:rFonts w:eastAsia="Times New Roman" w:cs="Arial"/>
                <w:bCs/>
                <w:sz w:val="18"/>
                <w:szCs w:val="18"/>
              </w:rPr>
              <w:t>62</w:t>
            </w:r>
          </w:p>
        </w:tc>
      </w:tr>
    </w:tbl>
    <w:bookmarkEnd w:id="12"/>
    <w:p w14:paraId="30E7AA2A" w14:textId="77777777" w:rsidR="00F059F1" w:rsidRPr="00947458" w:rsidRDefault="00E62AB9" w:rsidP="00DC46FA">
      <w:pPr>
        <w:pStyle w:val="tablicacaption"/>
        <w:jc w:val="left"/>
      </w:pPr>
      <w:r w:rsidRPr="00947458">
        <w:t xml:space="preserve">Tablica </w:t>
      </w:r>
      <w:r w:rsidR="00962358" w:rsidRPr="00947458">
        <w:t>7</w:t>
      </w:r>
      <w:r w:rsidR="00F059F1" w:rsidRPr="00947458">
        <w:t>-1. Pregled planiranih i realiziranih financijskih sredstava za protuminsko djelovanje za 202</w:t>
      </w:r>
      <w:r w:rsidR="003A3EC3" w:rsidRPr="00947458">
        <w:t>5</w:t>
      </w:r>
      <w:r w:rsidR="00F059F1" w:rsidRPr="00947458">
        <w:t>. godinu</w:t>
      </w:r>
    </w:p>
    <w:p w14:paraId="4277D5DD" w14:textId="77777777" w:rsidR="00F059F1" w:rsidRPr="00947458" w:rsidRDefault="00F059F1" w:rsidP="00DC46FA">
      <w:pPr>
        <w:pStyle w:val="tablicacaption"/>
        <w:spacing w:before="0" w:line="240" w:lineRule="auto"/>
        <w:jc w:val="both"/>
        <w:rPr>
          <w:i w:val="0"/>
        </w:rPr>
      </w:pPr>
    </w:p>
    <w:p w14:paraId="0A545981" w14:textId="77777777" w:rsidR="00D3089C" w:rsidRPr="00947458" w:rsidRDefault="00D3089C" w:rsidP="00F059F1">
      <w:pPr>
        <w:spacing w:line="240" w:lineRule="auto"/>
        <w:rPr>
          <w:szCs w:val="24"/>
        </w:rPr>
      </w:pPr>
    </w:p>
    <w:p w14:paraId="60FA51A6" w14:textId="77777777" w:rsidR="00CF01C5" w:rsidRPr="00947458" w:rsidRDefault="00F059F1" w:rsidP="00F059F1">
      <w:pPr>
        <w:spacing w:line="240" w:lineRule="auto"/>
        <w:rPr>
          <w:szCs w:val="24"/>
        </w:rPr>
      </w:pPr>
      <w:r w:rsidRPr="00947458">
        <w:rPr>
          <w:szCs w:val="24"/>
        </w:rPr>
        <w:t>Nastavljen je uspješan trend u pogledu osigura</w:t>
      </w:r>
      <w:r w:rsidR="006012D2" w:rsidRPr="00947458">
        <w:rPr>
          <w:szCs w:val="24"/>
        </w:rPr>
        <w:t>va</w:t>
      </w:r>
      <w:r w:rsidRPr="00947458">
        <w:rPr>
          <w:szCs w:val="24"/>
        </w:rPr>
        <w:t>nja sredstava za razminiranje iz fon</w:t>
      </w:r>
      <w:r w:rsidR="00DD0BC9" w:rsidRPr="00947458">
        <w:rPr>
          <w:szCs w:val="24"/>
        </w:rPr>
        <w:t xml:space="preserve">dova Europske unije, </w:t>
      </w:r>
      <w:r w:rsidR="00717922" w:rsidRPr="00947458">
        <w:rPr>
          <w:szCs w:val="24"/>
        </w:rPr>
        <w:t>te je</w:t>
      </w:r>
      <w:r w:rsidR="00DD0BC9" w:rsidRPr="00947458">
        <w:rPr>
          <w:szCs w:val="24"/>
        </w:rPr>
        <w:t xml:space="preserve"> </w:t>
      </w:r>
      <w:r w:rsidR="003A3EC3" w:rsidRPr="00947458">
        <w:rPr>
          <w:szCs w:val="24"/>
        </w:rPr>
        <w:t>6</w:t>
      </w:r>
      <w:r w:rsidR="000904B7" w:rsidRPr="00947458">
        <w:rPr>
          <w:szCs w:val="24"/>
        </w:rPr>
        <w:t>3,</w:t>
      </w:r>
      <w:r w:rsidR="003A3EC3" w:rsidRPr="00947458">
        <w:rPr>
          <w:szCs w:val="24"/>
        </w:rPr>
        <w:t>6</w:t>
      </w:r>
      <w:r w:rsidR="00962CD3" w:rsidRPr="00947458">
        <w:rPr>
          <w:szCs w:val="24"/>
        </w:rPr>
        <w:t xml:space="preserve"> </w:t>
      </w:r>
      <w:r w:rsidRPr="00947458">
        <w:rPr>
          <w:szCs w:val="24"/>
        </w:rPr>
        <w:t>% ukupno utrošenih financijskih sredstava</w:t>
      </w:r>
      <w:r w:rsidR="003A3EC3" w:rsidRPr="00947458">
        <w:rPr>
          <w:szCs w:val="24"/>
        </w:rPr>
        <w:t xml:space="preserve"> u 2025</w:t>
      </w:r>
      <w:r w:rsidR="00122161" w:rsidRPr="00947458">
        <w:rPr>
          <w:szCs w:val="24"/>
        </w:rPr>
        <w:t>. godini</w:t>
      </w:r>
      <w:r w:rsidR="00717922" w:rsidRPr="00947458">
        <w:rPr>
          <w:szCs w:val="24"/>
        </w:rPr>
        <w:t xml:space="preserve"> </w:t>
      </w:r>
      <w:r w:rsidR="000D1685" w:rsidRPr="00947458">
        <w:rPr>
          <w:szCs w:val="24"/>
        </w:rPr>
        <w:t>financirano</w:t>
      </w:r>
      <w:r w:rsidR="00717922" w:rsidRPr="00947458">
        <w:rPr>
          <w:szCs w:val="24"/>
        </w:rPr>
        <w:t xml:space="preserve"> iz EU fondova</w:t>
      </w:r>
      <w:r w:rsidRPr="00947458">
        <w:rPr>
          <w:szCs w:val="24"/>
        </w:rPr>
        <w:t>.</w:t>
      </w:r>
    </w:p>
    <w:p w14:paraId="7E1B3873" w14:textId="77777777" w:rsidR="00F059F1" w:rsidRPr="00947458" w:rsidRDefault="00F059F1" w:rsidP="00DC46FA">
      <w:pPr>
        <w:pStyle w:val="Razina1"/>
      </w:pPr>
      <w:bookmarkStart w:id="13" w:name="_Toc73447686"/>
      <w:r w:rsidRPr="00947458">
        <w:t>Zaključak</w:t>
      </w:r>
      <w:bookmarkEnd w:id="13"/>
    </w:p>
    <w:p w14:paraId="75518A3C" w14:textId="42F8545A" w:rsidR="00F1763D" w:rsidRPr="00947458" w:rsidRDefault="00F1763D" w:rsidP="00F1763D">
      <w:pPr>
        <w:rPr>
          <w:szCs w:val="24"/>
        </w:rPr>
      </w:pPr>
      <w:r w:rsidRPr="00947458">
        <w:rPr>
          <w:szCs w:val="24"/>
        </w:rPr>
        <w:t>Na kraju 202</w:t>
      </w:r>
      <w:r w:rsidR="0018154A" w:rsidRPr="00947458">
        <w:rPr>
          <w:szCs w:val="24"/>
        </w:rPr>
        <w:t>5</w:t>
      </w:r>
      <w:r w:rsidRPr="00947458">
        <w:rPr>
          <w:szCs w:val="24"/>
        </w:rPr>
        <w:t xml:space="preserve">. godine </w:t>
      </w:r>
      <w:r w:rsidR="0018154A" w:rsidRPr="00947458">
        <w:rPr>
          <w:szCs w:val="24"/>
        </w:rPr>
        <w:t>površina MSP-a Republike Hrvatske iznosi</w:t>
      </w:r>
      <w:r w:rsidRPr="00947458">
        <w:rPr>
          <w:szCs w:val="24"/>
        </w:rPr>
        <w:t xml:space="preserve"> </w:t>
      </w:r>
      <w:r w:rsidR="0018154A" w:rsidRPr="00947458">
        <w:rPr>
          <w:szCs w:val="24"/>
        </w:rPr>
        <w:t>1</w:t>
      </w:r>
      <w:r w:rsidRPr="00947458">
        <w:rPr>
          <w:szCs w:val="24"/>
        </w:rPr>
        <w:t>,</w:t>
      </w:r>
      <w:r w:rsidR="0018154A" w:rsidRPr="00947458">
        <w:rPr>
          <w:szCs w:val="24"/>
        </w:rPr>
        <w:t>9</w:t>
      </w:r>
      <w:r w:rsidRPr="00947458">
        <w:rPr>
          <w:szCs w:val="24"/>
        </w:rPr>
        <w:t xml:space="preserve">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 xml:space="preserve"> </w:t>
      </w:r>
      <w:r w:rsidR="0018154A" w:rsidRPr="00947458">
        <w:rPr>
          <w:szCs w:val="24"/>
        </w:rPr>
        <w:t xml:space="preserve">unutar </w:t>
      </w:r>
      <w:r w:rsidR="0002716D">
        <w:rPr>
          <w:szCs w:val="24"/>
        </w:rPr>
        <w:t>dviju</w:t>
      </w:r>
      <w:r w:rsidR="0018154A" w:rsidRPr="00947458">
        <w:rPr>
          <w:szCs w:val="24"/>
        </w:rPr>
        <w:t xml:space="preserve"> jedinic</w:t>
      </w:r>
      <w:r w:rsidR="0002716D">
        <w:rPr>
          <w:szCs w:val="24"/>
        </w:rPr>
        <w:t>a</w:t>
      </w:r>
      <w:r w:rsidR="0018154A" w:rsidRPr="00947458">
        <w:rPr>
          <w:szCs w:val="24"/>
        </w:rPr>
        <w:t xml:space="preserve"> lokalne samouprave (Donji Lapac i Otočac) u Ličko-senjskoj županiji, a MSP je </w:t>
      </w:r>
      <w:r w:rsidRPr="00947458">
        <w:rPr>
          <w:szCs w:val="24"/>
        </w:rPr>
        <w:t>obilježen s</w:t>
      </w:r>
      <w:r w:rsidR="00786269" w:rsidRPr="00947458">
        <w:rPr>
          <w:szCs w:val="24"/>
        </w:rPr>
        <w:t>a</w:t>
      </w:r>
      <w:r w:rsidRPr="00947458">
        <w:rPr>
          <w:szCs w:val="24"/>
        </w:rPr>
        <w:t xml:space="preserve"> </w:t>
      </w:r>
      <w:r w:rsidR="0018154A" w:rsidRPr="00947458">
        <w:rPr>
          <w:szCs w:val="24"/>
        </w:rPr>
        <w:t>194 oznake</w:t>
      </w:r>
      <w:r w:rsidRPr="00947458">
        <w:rPr>
          <w:szCs w:val="24"/>
        </w:rPr>
        <w:t xml:space="preserve"> </w:t>
      </w:r>
      <w:r w:rsidR="0018154A" w:rsidRPr="00947458">
        <w:rPr>
          <w:szCs w:val="24"/>
        </w:rPr>
        <w:t>minske opasnosti</w:t>
      </w:r>
      <w:r w:rsidR="00BA4917" w:rsidRPr="00947458">
        <w:rPr>
          <w:szCs w:val="24"/>
        </w:rPr>
        <w:t>.</w:t>
      </w:r>
    </w:p>
    <w:p w14:paraId="543126BE" w14:textId="77777777" w:rsidR="00BA4917" w:rsidRPr="00947458" w:rsidRDefault="00BA4917" w:rsidP="00F1763D">
      <w:pPr>
        <w:rPr>
          <w:szCs w:val="24"/>
        </w:rPr>
      </w:pPr>
    </w:p>
    <w:p w14:paraId="7CA8261B" w14:textId="77777777" w:rsidR="00BA4917" w:rsidRPr="00947458" w:rsidRDefault="00BA4917" w:rsidP="00BA4917">
      <w:pPr>
        <w:spacing w:line="240" w:lineRule="auto"/>
        <w:rPr>
          <w:szCs w:val="24"/>
        </w:rPr>
      </w:pPr>
      <w:r w:rsidRPr="00947458">
        <w:rPr>
          <w:szCs w:val="24"/>
        </w:rPr>
        <w:t xml:space="preserve">Kao rezultat izvršenih poslova razminiranja te općeg i tehničkog izvida, iz MSP-a </w:t>
      </w:r>
      <w:r w:rsidR="006012D2" w:rsidRPr="00947458">
        <w:rPr>
          <w:szCs w:val="24"/>
        </w:rPr>
        <w:t xml:space="preserve">je </w:t>
      </w:r>
      <w:r w:rsidRPr="00947458">
        <w:rPr>
          <w:szCs w:val="24"/>
        </w:rPr>
        <w:t>isključeno 45,6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 xml:space="preserve"> područja zagađenih MES-om i 2,1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 xml:space="preserve"> područja zagađenih isključivo NUS-om, od čega je poslovima razminiranja isključeno 43,6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>, a provođenjem tehničkog i općeg izvida dodatnih 4,1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>.</w:t>
      </w:r>
    </w:p>
    <w:p w14:paraId="59CAC6E7" w14:textId="77777777" w:rsidR="00BA4917" w:rsidRPr="00947458" w:rsidRDefault="00BA4917" w:rsidP="00BA4917">
      <w:pPr>
        <w:spacing w:line="240" w:lineRule="auto"/>
        <w:rPr>
          <w:szCs w:val="24"/>
        </w:rPr>
      </w:pPr>
    </w:p>
    <w:p w14:paraId="533D77BD" w14:textId="77777777" w:rsidR="00BA4917" w:rsidRPr="00947458" w:rsidRDefault="00BA4917" w:rsidP="00BA4917">
      <w:pPr>
        <w:rPr>
          <w:szCs w:val="24"/>
        </w:rPr>
      </w:pPr>
      <w:r w:rsidRPr="00947458">
        <w:rPr>
          <w:szCs w:val="24"/>
        </w:rPr>
        <w:t>Na preostalih 1,9 km</w:t>
      </w:r>
      <w:r w:rsidRPr="00947458">
        <w:rPr>
          <w:szCs w:val="24"/>
          <w:vertAlign w:val="superscript"/>
        </w:rPr>
        <w:t>2</w:t>
      </w:r>
      <w:r w:rsidRPr="00947458">
        <w:rPr>
          <w:szCs w:val="24"/>
        </w:rPr>
        <w:t xml:space="preserve"> MSP-a završeni su poslovi razminiranja te je preostalo izdavanj</w:t>
      </w:r>
      <w:r w:rsidR="00D80849" w:rsidRPr="00947458">
        <w:rPr>
          <w:szCs w:val="24"/>
        </w:rPr>
        <w:t>e potvrda o isključenju područja</w:t>
      </w:r>
      <w:r w:rsidRPr="00947458">
        <w:rPr>
          <w:szCs w:val="24"/>
        </w:rPr>
        <w:t xml:space="preserve"> iz MSP-a.</w:t>
      </w:r>
    </w:p>
    <w:p w14:paraId="7827761B" w14:textId="77777777" w:rsidR="00BA4917" w:rsidRPr="00947458" w:rsidRDefault="00BA4917" w:rsidP="00F059F1">
      <w:pPr>
        <w:spacing w:line="240" w:lineRule="auto"/>
        <w:rPr>
          <w:rFonts w:cs="Arial"/>
          <w:szCs w:val="24"/>
        </w:rPr>
      </w:pPr>
    </w:p>
    <w:p w14:paraId="1CEAF1F5" w14:textId="2D47CA04" w:rsidR="00BA4917" w:rsidRPr="00947458" w:rsidRDefault="00BA4917" w:rsidP="00BA4917">
      <w:pPr>
        <w:spacing w:line="240" w:lineRule="auto"/>
        <w:rPr>
          <w:szCs w:val="24"/>
        </w:rPr>
      </w:pPr>
      <w:r w:rsidRPr="00947458">
        <w:rPr>
          <w:szCs w:val="24"/>
        </w:rPr>
        <w:t>Prilikom obavljanja svih poslova razminiranja na područjima zagađenim MES-om u 2025. godini pronađeno je i uništeno 1.869 protupješačkih i 208 protuoklopnih mina te 408 komada NUS-a, a na područjima zagađenim isključivo NUS-om pronađene su i uništene 2 protupješačke mine te 38.328 komada NUS-a</w:t>
      </w:r>
      <w:r w:rsidR="001F3962" w:rsidRPr="00947458">
        <w:rPr>
          <w:szCs w:val="24"/>
        </w:rPr>
        <w:t>, od čega 2.</w:t>
      </w:r>
      <w:r w:rsidR="00ED0764" w:rsidRPr="00947458">
        <w:rPr>
          <w:szCs w:val="24"/>
        </w:rPr>
        <w:t>744</w:t>
      </w:r>
      <w:r w:rsidR="001F3962" w:rsidRPr="00947458">
        <w:rPr>
          <w:szCs w:val="24"/>
        </w:rPr>
        <w:t xml:space="preserve"> srednjeg i velikog kalibra.</w:t>
      </w:r>
    </w:p>
    <w:p w14:paraId="7C50F920" w14:textId="77777777" w:rsidR="00C5256D" w:rsidRPr="00947458" w:rsidRDefault="00C5256D" w:rsidP="00C5256D">
      <w:pPr>
        <w:spacing w:line="240" w:lineRule="auto"/>
        <w:rPr>
          <w:szCs w:val="24"/>
        </w:rPr>
      </w:pPr>
    </w:p>
    <w:p w14:paraId="49723883" w14:textId="4BC8DC68" w:rsidR="00F059F1" w:rsidRPr="00947458" w:rsidRDefault="00B83198" w:rsidP="00F059F1">
      <w:pPr>
        <w:spacing w:line="240" w:lineRule="auto"/>
        <w:rPr>
          <w:szCs w:val="24"/>
        </w:rPr>
      </w:pPr>
      <w:r w:rsidRPr="00947458">
        <w:rPr>
          <w:szCs w:val="24"/>
        </w:rPr>
        <w:t>Z</w:t>
      </w:r>
      <w:r w:rsidR="00F059F1" w:rsidRPr="00947458">
        <w:rPr>
          <w:szCs w:val="24"/>
        </w:rPr>
        <w:t>a poslove protuminskog djel</w:t>
      </w:r>
      <w:r w:rsidR="003657DE" w:rsidRPr="00947458">
        <w:rPr>
          <w:szCs w:val="24"/>
        </w:rPr>
        <w:t>o</w:t>
      </w:r>
      <w:r w:rsidR="00F059F1" w:rsidRPr="00947458">
        <w:rPr>
          <w:szCs w:val="24"/>
        </w:rPr>
        <w:t>vanja u 202</w:t>
      </w:r>
      <w:r w:rsidR="00BA4917" w:rsidRPr="00947458">
        <w:rPr>
          <w:szCs w:val="24"/>
        </w:rPr>
        <w:t>5</w:t>
      </w:r>
      <w:r w:rsidR="00F059F1" w:rsidRPr="00947458">
        <w:rPr>
          <w:szCs w:val="24"/>
        </w:rPr>
        <w:t xml:space="preserve">. godini </w:t>
      </w:r>
      <w:r w:rsidRPr="00947458">
        <w:rPr>
          <w:szCs w:val="24"/>
        </w:rPr>
        <w:t>utrošeno je</w:t>
      </w:r>
      <w:r w:rsidR="00F059F1" w:rsidRPr="00947458">
        <w:rPr>
          <w:szCs w:val="24"/>
        </w:rPr>
        <w:t xml:space="preserve"> </w:t>
      </w:r>
      <w:r w:rsidR="00BA4917" w:rsidRPr="00947458">
        <w:rPr>
          <w:rFonts w:cs="Arial"/>
          <w:bCs/>
          <w:szCs w:val="24"/>
        </w:rPr>
        <w:t>89.</w:t>
      </w:r>
      <w:r w:rsidR="00700A05" w:rsidRPr="00947458">
        <w:rPr>
          <w:rFonts w:cs="Arial"/>
          <w:bCs/>
          <w:szCs w:val="24"/>
        </w:rPr>
        <w:t>959</w:t>
      </w:r>
      <w:r w:rsidR="00BA4917" w:rsidRPr="00947458">
        <w:rPr>
          <w:rFonts w:cs="Arial"/>
          <w:bCs/>
          <w:szCs w:val="24"/>
        </w:rPr>
        <w:t>.</w:t>
      </w:r>
      <w:r w:rsidR="00A82031" w:rsidRPr="00947458">
        <w:rPr>
          <w:rFonts w:cs="Arial"/>
          <w:bCs/>
          <w:szCs w:val="24"/>
        </w:rPr>
        <w:t>143</w:t>
      </w:r>
      <w:r w:rsidR="00BA4917" w:rsidRPr="00947458">
        <w:rPr>
          <w:rFonts w:cs="Arial"/>
          <w:bCs/>
          <w:szCs w:val="24"/>
        </w:rPr>
        <w:t>,</w:t>
      </w:r>
      <w:r w:rsidR="00A82031" w:rsidRPr="00947458">
        <w:rPr>
          <w:rFonts w:cs="Arial"/>
          <w:bCs/>
          <w:szCs w:val="24"/>
        </w:rPr>
        <w:t>10</w:t>
      </w:r>
      <w:r w:rsidR="00BA4917" w:rsidRPr="00947458">
        <w:rPr>
          <w:rFonts w:cs="Arial"/>
          <w:bCs/>
          <w:szCs w:val="24"/>
        </w:rPr>
        <w:t xml:space="preserve"> </w:t>
      </w:r>
      <w:r w:rsidR="00AA26A6" w:rsidRPr="00947458">
        <w:rPr>
          <w:rFonts w:cs="Arial"/>
          <w:bCs/>
          <w:szCs w:val="24"/>
        </w:rPr>
        <w:t>eura</w:t>
      </w:r>
      <w:r w:rsidR="00ED09D7" w:rsidRPr="00947458">
        <w:rPr>
          <w:rFonts w:cs="Arial"/>
          <w:bCs/>
          <w:szCs w:val="24"/>
        </w:rPr>
        <w:t>, a</w:t>
      </w:r>
      <w:r w:rsidR="00F059F1" w:rsidRPr="00947458">
        <w:rPr>
          <w:szCs w:val="24"/>
        </w:rPr>
        <w:t xml:space="preserve"> </w:t>
      </w:r>
      <w:r w:rsidRPr="00947458">
        <w:rPr>
          <w:szCs w:val="24"/>
        </w:rPr>
        <w:t>n</w:t>
      </w:r>
      <w:r w:rsidR="00F059F1" w:rsidRPr="00947458">
        <w:rPr>
          <w:szCs w:val="24"/>
        </w:rPr>
        <w:t>astavljen</w:t>
      </w:r>
      <w:r w:rsidR="00ED09D7" w:rsidRPr="00947458">
        <w:rPr>
          <w:szCs w:val="24"/>
        </w:rPr>
        <w:t xml:space="preserve"> je i</w:t>
      </w:r>
      <w:r w:rsidR="00F059F1" w:rsidRPr="00947458">
        <w:rPr>
          <w:szCs w:val="24"/>
        </w:rPr>
        <w:t xml:space="preserve"> uspješan trend u pogledu osigura</w:t>
      </w:r>
      <w:r w:rsidR="006012D2" w:rsidRPr="00947458">
        <w:rPr>
          <w:szCs w:val="24"/>
        </w:rPr>
        <w:t>va</w:t>
      </w:r>
      <w:r w:rsidR="00F059F1" w:rsidRPr="00947458">
        <w:rPr>
          <w:szCs w:val="24"/>
        </w:rPr>
        <w:t xml:space="preserve">nja </w:t>
      </w:r>
      <w:r w:rsidR="00ED09D7" w:rsidRPr="00947458">
        <w:rPr>
          <w:szCs w:val="24"/>
        </w:rPr>
        <w:t xml:space="preserve">bespovratnih </w:t>
      </w:r>
      <w:r w:rsidR="00F059F1" w:rsidRPr="00947458">
        <w:rPr>
          <w:szCs w:val="24"/>
        </w:rPr>
        <w:t>sredstava za razminiranje</w:t>
      </w:r>
      <w:r w:rsidRPr="00947458">
        <w:rPr>
          <w:szCs w:val="24"/>
        </w:rPr>
        <w:t xml:space="preserve"> iz fondova Europske unije</w:t>
      </w:r>
      <w:r w:rsidR="0002716D">
        <w:rPr>
          <w:szCs w:val="24"/>
        </w:rPr>
        <w:t>,</w:t>
      </w:r>
      <w:r w:rsidR="00BA4917" w:rsidRPr="00947458">
        <w:rPr>
          <w:szCs w:val="24"/>
        </w:rPr>
        <w:t xml:space="preserve"> </w:t>
      </w:r>
      <w:r w:rsidR="006012D2" w:rsidRPr="00947458">
        <w:rPr>
          <w:szCs w:val="24"/>
        </w:rPr>
        <w:t>pri čemu</w:t>
      </w:r>
      <w:r w:rsidR="00BA4917" w:rsidRPr="00947458">
        <w:rPr>
          <w:szCs w:val="24"/>
        </w:rPr>
        <w:t xml:space="preserve"> je 63,6 % ukupno utrošenih financijskih sredstava u 2025. godini financirano iz </w:t>
      </w:r>
      <w:r w:rsidR="00ED09D7" w:rsidRPr="00947458">
        <w:rPr>
          <w:szCs w:val="24"/>
        </w:rPr>
        <w:t>navedenog izvora</w:t>
      </w:r>
      <w:r w:rsidR="00AB3A4A" w:rsidRPr="00947458">
        <w:rPr>
          <w:szCs w:val="24"/>
        </w:rPr>
        <w:t>.</w:t>
      </w:r>
      <w:r w:rsidR="00F059F1" w:rsidRPr="00947458">
        <w:rPr>
          <w:szCs w:val="24"/>
        </w:rPr>
        <w:t xml:space="preserve"> Financijska sredstva s pozicije naknade za korištenje općekorisnih funkcija šuma (OKFŠ), osigurana od strane </w:t>
      </w:r>
      <w:r w:rsidR="0020162E" w:rsidRPr="00947458">
        <w:rPr>
          <w:szCs w:val="24"/>
        </w:rPr>
        <w:t>M</w:t>
      </w:r>
      <w:r w:rsidR="00F059F1" w:rsidRPr="00947458">
        <w:rPr>
          <w:szCs w:val="24"/>
        </w:rPr>
        <w:t>inistarstva</w:t>
      </w:r>
      <w:r w:rsidR="0020162E" w:rsidRPr="00947458">
        <w:rPr>
          <w:szCs w:val="24"/>
        </w:rPr>
        <w:t xml:space="preserve"> poljoprivrede, šumarstva i ribarstva</w:t>
      </w:r>
      <w:r w:rsidR="00F059F1" w:rsidRPr="00947458">
        <w:rPr>
          <w:szCs w:val="24"/>
        </w:rPr>
        <w:t>, realizirana su u c</w:t>
      </w:r>
      <w:r w:rsidR="003657DE" w:rsidRPr="00947458">
        <w:rPr>
          <w:szCs w:val="24"/>
        </w:rPr>
        <w:t>i</w:t>
      </w:r>
      <w:r w:rsidR="00F059F1" w:rsidRPr="00947458">
        <w:rPr>
          <w:szCs w:val="24"/>
        </w:rPr>
        <w:t>jelosti.</w:t>
      </w:r>
    </w:p>
    <w:p w14:paraId="3DEEC50B" w14:textId="77777777" w:rsidR="00F059F1" w:rsidRPr="00947458" w:rsidRDefault="00F059F1" w:rsidP="00F059F1">
      <w:pPr>
        <w:spacing w:line="240" w:lineRule="auto"/>
        <w:rPr>
          <w:szCs w:val="24"/>
        </w:rPr>
      </w:pPr>
    </w:p>
    <w:p w14:paraId="0C0A0D78" w14:textId="77777777" w:rsidR="00F059F1" w:rsidRPr="00947458" w:rsidRDefault="00F059F1" w:rsidP="00F059F1">
      <w:pPr>
        <w:spacing w:line="240" w:lineRule="auto"/>
        <w:rPr>
          <w:szCs w:val="24"/>
        </w:rPr>
      </w:pPr>
      <w:r w:rsidRPr="00947458">
        <w:rPr>
          <w:szCs w:val="24"/>
        </w:rPr>
        <w:t>Tijekom 202</w:t>
      </w:r>
      <w:r w:rsidR="00BA4917" w:rsidRPr="00947458">
        <w:rPr>
          <w:szCs w:val="24"/>
        </w:rPr>
        <w:t>5</w:t>
      </w:r>
      <w:r w:rsidRPr="00947458">
        <w:rPr>
          <w:szCs w:val="24"/>
        </w:rPr>
        <w:t>. godine održa</w:t>
      </w:r>
      <w:r w:rsidR="00F36DAB" w:rsidRPr="00947458">
        <w:rPr>
          <w:szCs w:val="24"/>
        </w:rPr>
        <w:t>n</w:t>
      </w:r>
      <w:r w:rsidR="00BA4917" w:rsidRPr="00947458">
        <w:rPr>
          <w:szCs w:val="24"/>
        </w:rPr>
        <w:t>o</w:t>
      </w:r>
      <w:r w:rsidR="00D84B1F" w:rsidRPr="00947458">
        <w:rPr>
          <w:szCs w:val="24"/>
        </w:rPr>
        <w:t xml:space="preserve"> je</w:t>
      </w:r>
      <w:r w:rsidRPr="00947458">
        <w:rPr>
          <w:szCs w:val="24"/>
        </w:rPr>
        <w:t xml:space="preserve"> ukupno </w:t>
      </w:r>
      <w:r w:rsidR="00BA4917" w:rsidRPr="00947458">
        <w:rPr>
          <w:szCs w:val="24"/>
        </w:rPr>
        <w:t>85</w:t>
      </w:r>
      <w:r w:rsidR="00D84B1F" w:rsidRPr="00947458">
        <w:rPr>
          <w:szCs w:val="24"/>
        </w:rPr>
        <w:t xml:space="preserve"> edukacija</w:t>
      </w:r>
      <w:r w:rsidRPr="00947458">
        <w:rPr>
          <w:szCs w:val="24"/>
        </w:rPr>
        <w:t xml:space="preserve"> o minskoj opasnosti kojima</w:t>
      </w:r>
      <w:r w:rsidR="00544246" w:rsidRPr="00947458">
        <w:rPr>
          <w:szCs w:val="24"/>
        </w:rPr>
        <w:t xml:space="preserve"> </w:t>
      </w:r>
      <w:r w:rsidR="006012D2" w:rsidRPr="00947458">
        <w:rPr>
          <w:szCs w:val="24"/>
        </w:rPr>
        <w:t>je</w:t>
      </w:r>
      <w:r w:rsidR="00544246" w:rsidRPr="00947458">
        <w:rPr>
          <w:szCs w:val="24"/>
        </w:rPr>
        <w:t xml:space="preserve"> obuhvaćeno</w:t>
      </w:r>
      <w:r w:rsidRPr="00947458">
        <w:rPr>
          <w:szCs w:val="24"/>
        </w:rPr>
        <w:t xml:space="preserve"> </w:t>
      </w:r>
      <w:r w:rsidR="00BA4917" w:rsidRPr="00947458">
        <w:rPr>
          <w:szCs w:val="24"/>
        </w:rPr>
        <w:t>2.740</w:t>
      </w:r>
      <w:r w:rsidR="00544246" w:rsidRPr="00947458">
        <w:rPr>
          <w:szCs w:val="24"/>
        </w:rPr>
        <w:t xml:space="preserve"> osoba</w:t>
      </w:r>
      <w:r w:rsidRPr="00947458">
        <w:rPr>
          <w:szCs w:val="24"/>
        </w:rPr>
        <w:t xml:space="preserve"> raznih dobnih skupina.</w:t>
      </w:r>
    </w:p>
    <w:p w14:paraId="78B3593B" w14:textId="77777777" w:rsidR="00810ECF" w:rsidRPr="00947458" w:rsidRDefault="00810ECF" w:rsidP="00F059F1">
      <w:pPr>
        <w:spacing w:line="240" w:lineRule="auto"/>
        <w:rPr>
          <w:szCs w:val="24"/>
        </w:rPr>
      </w:pPr>
    </w:p>
    <w:p w14:paraId="137325D2" w14:textId="77777777" w:rsidR="00810ECF" w:rsidRPr="00947458" w:rsidRDefault="00544246" w:rsidP="00F059F1">
      <w:pPr>
        <w:spacing w:line="240" w:lineRule="auto"/>
        <w:rPr>
          <w:szCs w:val="24"/>
        </w:rPr>
      </w:pPr>
      <w:r w:rsidRPr="00947458">
        <w:lastRenderedPageBreak/>
        <w:t>MUP je, u suradnji s partnerima, u 2025. godini nastavio suradnju s relevantnim međunarodnim dionicima u protuminskom djelovanju, poglavito partnerima s</w:t>
      </w:r>
      <w:r w:rsidR="001F3962" w:rsidRPr="00947458">
        <w:t xml:space="preserve"> kojima već postoje potpisani memorandumi/i</w:t>
      </w:r>
      <w:r w:rsidRPr="00947458">
        <w:t>zjave o suradnji. Na taj su se način dodatno pozicionirale stečene kompetencije u protuminskom djelovanju u smislu hrvatskog izvoznog proizvoda.</w:t>
      </w:r>
    </w:p>
    <w:p w14:paraId="437EA6A8" w14:textId="77777777" w:rsidR="00F059F1" w:rsidRPr="00947458" w:rsidRDefault="00F059F1" w:rsidP="00DC46FA">
      <w:pPr>
        <w:pStyle w:val="Razina1"/>
      </w:pPr>
      <w:bookmarkStart w:id="14" w:name="_Toc73447687"/>
      <w:r w:rsidRPr="00947458">
        <w:t>Prilo</w:t>
      </w:r>
      <w:bookmarkEnd w:id="14"/>
      <w:r w:rsidRPr="00947458">
        <w:t>G</w:t>
      </w:r>
    </w:p>
    <w:p w14:paraId="6CCC4BCD" w14:textId="77777777" w:rsidR="00F059F1" w:rsidRPr="00947458" w:rsidRDefault="00F059F1" w:rsidP="005B1255">
      <w:pPr>
        <w:pStyle w:val="Razina2"/>
        <w:numPr>
          <w:ilvl w:val="1"/>
          <w:numId w:val="10"/>
        </w:numPr>
      </w:pPr>
      <w:bookmarkStart w:id="15" w:name="_Toc73447688"/>
      <w:r w:rsidRPr="00947458">
        <w:t>Izvješće o provedbi Plana razminiranja</w:t>
      </w:r>
      <w:r w:rsidR="005B1255" w:rsidRPr="00947458">
        <w:t xml:space="preserve"> </w:t>
      </w:r>
      <w:r w:rsidRPr="00947458">
        <w:t xml:space="preserve">vojnih lokacija i/ili građevina </w:t>
      </w:r>
      <w:r w:rsidR="00B35F64" w:rsidRPr="00947458">
        <w:t>te</w:t>
      </w:r>
      <w:r w:rsidR="00C5046F" w:rsidRPr="00947458">
        <w:t xml:space="preserve"> utrošenim financijskim sredstvima </w:t>
      </w:r>
      <w:r w:rsidRPr="00947458">
        <w:t>za 202</w:t>
      </w:r>
      <w:r w:rsidR="00544246" w:rsidRPr="00947458">
        <w:t>5</w:t>
      </w:r>
      <w:r w:rsidRPr="00947458">
        <w:t>. godin</w:t>
      </w:r>
      <w:bookmarkEnd w:id="15"/>
      <w:r w:rsidRPr="00947458">
        <w:t>u</w:t>
      </w:r>
    </w:p>
    <w:p w14:paraId="7484F054" w14:textId="77777777" w:rsidR="005B1255" w:rsidRPr="00947458" w:rsidRDefault="00E62AB9" w:rsidP="005B1255">
      <w:pPr>
        <w:pStyle w:val="BodyText"/>
        <w:rPr>
          <w:rFonts w:ascii="Times New Roman" w:eastAsia="Calibri" w:hAnsi="Times New Roman" w:cs="Times New Roman"/>
          <w:szCs w:val="22"/>
          <w:lang w:eastAsia="hr-HR"/>
        </w:rPr>
      </w:pPr>
      <w:r w:rsidRPr="00947458">
        <w:br w:type="page"/>
      </w:r>
      <w:r w:rsidR="005B1255" w:rsidRPr="00947458">
        <w:rPr>
          <w:rFonts w:ascii="Times New Roman" w:eastAsia="Calibri" w:hAnsi="Times New Roman" w:cs="Times New Roman"/>
          <w:szCs w:val="22"/>
          <w:lang w:eastAsia="hr-HR"/>
        </w:rPr>
        <w:lastRenderedPageBreak/>
        <w:t>PRILOG</w:t>
      </w:r>
      <w:r w:rsidR="006D0F44" w:rsidRPr="00947458">
        <w:rPr>
          <w:rFonts w:ascii="Times New Roman" w:eastAsia="Calibri" w:hAnsi="Times New Roman" w:cs="Times New Roman"/>
          <w:szCs w:val="22"/>
          <w:lang w:eastAsia="hr-HR"/>
        </w:rPr>
        <w:t>:</w:t>
      </w:r>
    </w:p>
    <w:p w14:paraId="2B04C645" w14:textId="77777777" w:rsidR="005B1255" w:rsidRPr="00947458" w:rsidRDefault="005B1255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7137135D" w14:textId="77777777" w:rsidR="006D0F44" w:rsidRPr="00947458" w:rsidRDefault="006D0F44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68EECFDE" w14:textId="77777777" w:rsidR="005B1255" w:rsidRPr="00947458" w:rsidRDefault="005B1255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2CA965DF" w14:textId="77777777" w:rsidR="005B1255" w:rsidRPr="00947458" w:rsidRDefault="005B1255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79B5D6E7" w14:textId="77777777" w:rsidR="005B1255" w:rsidRPr="00947458" w:rsidRDefault="005B1255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50025347" w14:textId="77777777" w:rsidR="005B1255" w:rsidRPr="00947458" w:rsidRDefault="005B1255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0441B246" w14:textId="77777777" w:rsidR="005B1255" w:rsidRPr="00947458" w:rsidRDefault="005B1255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6760D4FC" w14:textId="77777777" w:rsidR="005B1255" w:rsidRPr="00947458" w:rsidRDefault="005B1255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08D7B22C" w14:textId="77777777" w:rsidR="005B1255" w:rsidRPr="00947458" w:rsidRDefault="005B1255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55DB07AB" w14:textId="77777777" w:rsidR="005B1255" w:rsidRPr="00947458" w:rsidRDefault="005B1255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4EC2021D" w14:textId="77777777" w:rsidR="005B1255" w:rsidRPr="00947458" w:rsidRDefault="005B1255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03D7E7F5" w14:textId="77777777" w:rsidR="005B1255" w:rsidRPr="00947458" w:rsidRDefault="005B1255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0CEA582E" w14:textId="77777777" w:rsidR="005A6A40" w:rsidRPr="00947458" w:rsidRDefault="005A6A40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15459CB4" w14:textId="77777777" w:rsidR="005B1255" w:rsidRPr="00947458" w:rsidRDefault="005B1255" w:rsidP="005A6A40">
      <w:pPr>
        <w:pStyle w:val="BodyText"/>
        <w:jc w:val="center"/>
        <w:rPr>
          <w:rFonts w:ascii="Times New Roman" w:eastAsia="Calibri" w:hAnsi="Times New Roman" w:cs="Times New Roman"/>
          <w:b/>
          <w:szCs w:val="22"/>
          <w:lang w:eastAsia="hr-HR"/>
        </w:rPr>
      </w:pPr>
    </w:p>
    <w:p w14:paraId="2A995D83" w14:textId="77777777" w:rsidR="00B35F64" w:rsidRPr="00947458" w:rsidRDefault="005B1255" w:rsidP="009402FD">
      <w:pPr>
        <w:pStyle w:val="BodyText"/>
        <w:spacing w:after="0"/>
        <w:jc w:val="center"/>
        <w:rPr>
          <w:rFonts w:ascii="Times New Roman" w:hAnsi="Times New Roman" w:cs="Times New Roman"/>
          <w:b/>
          <w:bCs/>
        </w:rPr>
      </w:pPr>
      <w:r w:rsidRPr="00947458">
        <w:rPr>
          <w:rFonts w:ascii="Times New Roman" w:hAnsi="Times New Roman" w:cs="Times New Roman"/>
          <w:b/>
          <w:bCs/>
        </w:rPr>
        <w:t xml:space="preserve">IZVJEŠĆE O PROVEDBI PLANA RAZMINIRANJA </w:t>
      </w:r>
      <w:r w:rsidR="00B35F64" w:rsidRPr="00947458">
        <w:rPr>
          <w:rFonts w:ascii="Times New Roman" w:hAnsi="Times New Roman" w:cs="Times New Roman"/>
          <w:b/>
          <w:bCs/>
        </w:rPr>
        <w:t>VOJNIH</w:t>
      </w:r>
      <w:r w:rsidR="00DC46FA" w:rsidRPr="00947458">
        <w:rPr>
          <w:rFonts w:ascii="Times New Roman" w:hAnsi="Times New Roman" w:cs="Times New Roman"/>
          <w:b/>
          <w:bCs/>
        </w:rPr>
        <w:t xml:space="preserve"> </w:t>
      </w:r>
      <w:r w:rsidR="009402FD" w:rsidRPr="00947458">
        <w:rPr>
          <w:rFonts w:ascii="Times New Roman" w:hAnsi="Times New Roman" w:cs="Times New Roman"/>
          <w:b/>
          <w:bCs/>
        </w:rPr>
        <w:t>LOKACIJA I</w:t>
      </w:r>
      <w:r w:rsidR="006D0F44" w:rsidRPr="00947458">
        <w:rPr>
          <w:rFonts w:ascii="Times New Roman" w:hAnsi="Times New Roman" w:cs="Times New Roman"/>
          <w:b/>
          <w:bCs/>
        </w:rPr>
        <w:t>/ILI</w:t>
      </w:r>
      <w:r w:rsidRPr="00947458">
        <w:rPr>
          <w:rFonts w:ascii="Times New Roman" w:hAnsi="Times New Roman" w:cs="Times New Roman"/>
          <w:b/>
          <w:bCs/>
        </w:rPr>
        <w:t xml:space="preserve"> GRAĐEVINA </w:t>
      </w:r>
      <w:r w:rsidR="009402FD" w:rsidRPr="00947458">
        <w:rPr>
          <w:rFonts w:ascii="Times New Roman" w:hAnsi="Times New Roman" w:cs="Times New Roman"/>
          <w:b/>
          <w:bCs/>
        </w:rPr>
        <w:t>TE</w:t>
      </w:r>
      <w:r w:rsidR="00B35F64" w:rsidRPr="00947458">
        <w:rPr>
          <w:rFonts w:ascii="Times New Roman" w:hAnsi="Times New Roman" w:cs="Times New Roman"/>
          <w:b/>
          <w:bCs/>
        </w:rPr>
        <w:t xml:space="preserve"> UTROŠENIM</w:t>
      </w:r>
      <w:r w:rsidR="00DC46FA" w:rsidRPr="00947458">
        <w:rPr>
          <w:rFonts w:ascii="Times New Roman" w:hAnsi="Times New Roman" w:cs="Times New Roman"/>
          <w:b/>
          <w:bCs/>
        </w:rPr>
        <w:t xml:space="preserve"> </w:t>
      </w:r>
      <w:r w:rsidR="00B35F64" w:rsidRPr="00947458">
        <w:rPr>
          <w:rFonts w:ascii="Times New Roman" w:hAnsi="Times New Roman" w:cs="Times New Roman"/>
          <w:b/>
          <w:bCs/>
        </w:rPr>
        <w:t>FINANCIJSKIM SREDSTVIMA</w:t>
      </w:r>
    </w:p>
    <w:p w14:paraId="58A5464D" w14:textId="77777777" w:rsidR="005B1255" w:rsidRPr="00947458" w:rsidRDefault="005B1255" w:rsidP="009402FD">
      <w:pPr>
        <w:pStyle w:val="BodyText"/>
        <w:spacing w:after="0"/>
        <w:jc w:val="center"/>
        <w:rPr>
          <w:rFonts w:ascii="Times New Roman" w:hAnsi="Times New Roman" w:cs="Times New Roman"/>
          <w:b/>
          <w:bCs/>
        </w:rPr>
      </w:pPr>
      <w:r w:rsidRPr="00947458">
        <w:rPr>
          <w:rFonts w:ascii="Times New Roman" w:hAnsi="Times New Roman" w:cs="Times New Roman"/>
          <w:b/>
          <w:bCs/>
        </w:rPr>
        <w:t>ZA 202</w:t>
      </w:r>
      <w:r w:rsidR="00544246" w:rsidRPr="00947458">
        <w:rPr>
          <w:rFonts w:ascii="Times New Roman" w:hAnsi="Times New Roman" w:cs="Times New Roman"/>
          <w:b/>
          <w:bCs/>
        </w:rPr>
        <w:t>5.</w:t>
      </w:r>
      <w:r w:rsidR="00B35F64" w:rsidRPr="00947458">
        <w:rPr>
          <w:rFonts w:ascii="Times New Roman" w:hAnsi="Times New Roman" w:cs="Times New Roman"/>
          <w:b/>
          <w:bCs/>
        </w:rPr>
        <w:t xml:space="preserve"> GODINU</w:t>
      </w:r>
    </w:p>
    <w:p w14:paraId="5786DE66" w14:textId="77777777" w:rsidR="00D55EAC" w:rsidRPr="00947458" w:rsidRDefault="00D55EAC" w:rsidP="009402FD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0ED481" w14:textId="77777777" w:rsidR="00D55EAC" w:rsidRPr="00947458" w:rsidRDefault="00D55EAC" w:rsidP="009402FD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FB56D2" w14:textId="77777777" w:rsidR="00D55EAC" w:rsidRPr="00947458" w:rsidRDefault="00D55EAC" w:rsidP="009402FD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3E76CE" w14:textId="77777777" w:rsidR="005B1255" w:rsidRPr="00947458" w:rsidRDefault="005B1255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4F607F5F" w14:textId="77777777" w:rsidR="005B1255" w:rsidRPr="00947458" w:rsidRDefault="005B1255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440344BD" w14:textId="77777777" w:rsidR="005B1255" w:rsidRPr="00947458" w:rsidRDefault="005B1255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4C70EFB6" w14:textId="77777777" w:rsidR="005B1255" w:rsidRPr="00947458" w:rsidRDefault="005B1255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23A8E5EC" w14:textId="77777777" w:rsidR="005B1255" w:rsidRPr="00947458" w:rsidRDefault="005B1255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2189492E" w14:textId="77777777" w:rsidR="005B1255" w:rsidRPr="00947458" w:rsidRDefault="005B1255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2AC93743" w14:textId="77777777" w:rsidR="005B1255" w:rsidRPr="00947458" w:rsidRDefault="005B1255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0459DF1C" w14:textId="77777777" w:rsidR="005B1255" w:rsidRPr="00947458" w:rsidRDefault="005B1255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06D0D984" w14:textId="77777777" w:rsidR="005B1255" w:rsidRPr="00947458" w:rsidRDefault="005B1255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1535541A" w14:textId="77777777" w:rsidR="005B1255" w:rsidRPr="00947458" w:rsidRDefault="005B1255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39E8374C" w14:textId="77777777" w:rsidR="005B1255" w:rsidRPr="00947458" w:rsidRDefault="005B1255" w:rsidP="005A6A4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1C9E2DE3" w14:textId="77777777" w:rsidR="005B1255" w:rsidRPr="00947458" w:rsidRDefault="005B1255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7B5317AE" w14:textId="77777777" w:rsidR="005B1255" w:rsidRPr="00947458" w:rsidRDefault="005B1255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3DC07395" w14:textId="77777777" w:rsidR="00DC46FA" w:rsidRPr="00947458" w:rsidRDefault="00DC46FA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1B1F0142" w14:textId="77777777" w:rsidR="00DC46FA" w:rsidRPr="00947458" w:rsidRDefault="00DC46FA" w:rsidP="005B125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14:paraId="0F800A8F" w14:textId="77777777" w:rsidR="009068A5" w:rsidRPr="00947458" w:rsidRDefault="005A6A40" w:rsidP="009068A5">
      <w:pPr>
        <w:pStyle w:val="ListParagraph"/>
        <w:numPr>
          <w:ilvl w:val="0"/>
          <w:numId w:val="26"/>
        </w:numPr>
        <w:spacing w:before="240" w:after="240"/>
        <w:ind w:left="709" w:hanging="709"/>
        <w:rPr>
          <w:rFonts w:ascii="Times New Roman" w:hAnsi="Times New Roman" w:cs="Times New Roman"/>
          <w:b/>
        </w:rPr>
      </w:pPr>
      <w:r w:rsidRPr="00947458">
        <w:rPr>
          <w:b/>
          <w:bCs/>
        </w:rPr>
        <w:br w:type="page"/>
      </w:r>
      <w:r w:rsidR="009068A5" w:rsidRPr="00947458">
        <w:rPr>
          <w:rFonts w:ascii="Times New Roman" w:hAnsi="Times New Roman" w:cs="Times New Roman"/>
          <w:b/>
        </w:rPr>
        <w:lastRenderedPageBreak/>
        <w:t>UVOD</w:t>
      </w:r>
    </w:p>
    <w:p w14:paraId="3E21D1A9" w14:textId="77777777" w:rsidR="009068A5" w:rsidRPr="00947458" w:rsidRDefault="009068A5" w:rsidP="009068A5">
      <w:pPr>
        <w:spacing w:line="240" w:lineRule="auto"/>
        <w:rPr>
          <w:rFonts w:eastAsia="Times New Roman"/>
          <w:kern w:val="22"/>
          <w:szCs w:val="20"/>
          <w:lang w:eastAsia="en-US"/>
        </w:rPr>
      </w:pPr>
      <w:r w:rsidRPr="00947458">
        <w:rPr>
          <w:rFonts w:eastAsia="Times New Roman"/>
          <w:kern w:val="22"/>
          <w:szCs w:val="20"/>
          <w:lang w:eastAsia="en-US"/>
        </w:rPr>
        <w:t>Razminiranje perspektivnih vojnih lokacija i građevina u 2025. provodila je inženjerijska postrojba Hrvatske kopnene vojske u skladu sa Zakonom o protuminskom djelovanju („Narodne novine“, br. 110/15., 118/18., 98/19., 114/22. i 59/23.)</w:t>
      </w:r>
      <w:r w:rsidR="00A27630" w:rsidRPr="00947458">
        <w:rPr>
          <w:rFonts w:eastAsia="Times New Roman"/>
          <w:kern w:val="22"/>
          <w:szCs w:val="20"/>
          <w:lang w:eastAsia="en-US"/>
        </w:rPr>
        <w:t>,</w:t>
      </w:r>
      <w:r w:rsidRPr="00947458">
        <w:rPr>
          <w:rFonts w:eastAsia="Times New Roman"/>
          <w:kern w:val="22"/>
          <w:szCs w:val="20"/>
          <w:lang w:eastAsia="en-US"/>
        </w:rPr>
        <w:t xml:space="preserve"> koji uređuje razminiranje vojnih lokacija i građevina, a na temelju Plana razminiranja vojnih lokacija i</w:t>
      </w:r>
      <w:r w:rsidR="00A27630" w:rsidRPr="00947458">
        <w:rPr>
          <w:rFonts w:eastAsia="Times New Roman"/>
          <w:kern w:val="22"/>
          <w:szCs w:val="20"/>
          <w:lang w:eastAsia="en-US"/>
        </w:rPr>
        <w:t>/ili</w:t>
      </w:r>
      <w:r w:rsidRPr="00947458">
        <w:rPr>
          <w:rFonts w:eastAsia="Times New Roman"/>
          <w:kern w:val="22"/>
          <w:szCs w:val="20"/>
          <w:lang w:eastAsia="en-US"/>
        </w:rPr>
        <w:t xml:space="preserve"> građevina u 2025.</w:t>
      </w:r>
    </w:p>
    <w:p w14:paraId="327525B3" w14:textId="77777777" w:rsidR="009068A5" w:rsidRPr="00947458" w:rsidRDefault="009068A5" w:rsidP="009068A5">
      <w:pPr>
        <w:spacing w:line="240" w:lineRule="auto"/>
        <w:rPr>
          <w:rFonts w:eastAsia="Times New Roman"/>
          <w:b/>
          <w:bCs/>
          <w:szCs w:val="24"/>
          <w:lang w:eastAsia="en-US"/>
        </w:rPr>
      </w:pPr>
    </w:p>
    <w:p w14:paraId="53340DAE" w14:textId="77777777" w:rsidR="009068A5" w:rsidRPr="00947458" w:rsidRDefault="009068A5" w:rsidP="0079538E">
      <w:pPr>
        <w:numPr>
          <w:ilvl w:val="0"/>
          <w:numId w:val="26"/>
        </w:numPr>
        <w:spacing w:before="240" w:after="240" w:line="240" w:lineRule="auto"/>
        <w:ind w:left="709" w:hanging="709"/>
        <w:rPr>
          <w:rFonts w:eastAsia="Times New Roman"/>
          <w:b/>
          <w:spacing w:val="-8"/>
          <w:szCs w:val="24"/>
        </w:rPr>
      </w:pPr>
      <w:r w:rsidRPr="00947458">
        <w:rPr>
          <w:rFonts w:eastAsia="Times New Roman"/>
          <w:b/>
          <w:spacing w:val="-8"/>
          <w:szCs w:val="24"/>
        </w:rPr>
        <w:t>PREGLED IZVRŠENJA ZADAĆA RADOVA RAZMINIRANJA PERSPEKTIVNIH VOJNIH LOKACIJA I GRAĐEVINA U 2025.</w:t>
      </w:r>
    </w:p>
    <w:p w14:paraId="0EFDBB42" w14:textId="77777777" w:rsidR="009068A5" w:rsidRPr="00947458" w:rsidRDefault="009068A5" w:rsidP="00A27630">
      <w:pPr>
        <w:spacing w:after="120" w:line="240" w:lineRule="auto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>Razminiranje u 2025. godini provodilo se na obje planirane vojne lokacije, u postaji obalnog motrenja (POM) „Tovar“, Mali Lošinj i na vojnom poligonu „33. inženjerijske brigade H</w:t>
      </w:r>
      <w:r w:rsidR="0079538E" w:rsidRPr="00947458">
        <w:rPr>
          <w:rFonts w:eastAsia="Times New Roman"/>
          <w:szCs w:val="24"/>
        </w:rPr>
        <w:t>rvatske vojske</w:t>
      </w:r>
      <w:r w:rsidRPr="00947458">
        <w:rPr>
          <w:rFonts w:eastAsia="Times New Roman"/>
          <w:szCs w:val="24"/>
        </w:rPr>
        <w:t xml:space="preserve">“ Karlovac te na jednoj neplaniranoj lokaciji, na području radarske postaje „Kozjak“ Split, gdje je proveden opći izvid i prikupljanje podataka nakon pronađene protupješačke mine PMA-2 početkom 2025. godine. </w:t>
      </w:r>
    </w:p>
    <w:p w14:paraId="37058DCC" w14:textId="77777777" w:rsidR="009068A5" w:rsidRPr="00947458" w:rsidRDefault="009068A5" w:rsidP="009068A5">
      <w:pPr>
        <w:spacing w:after="120" w:line="240" w:lineRule="auto"/>
        <w:ind w:firstLine="709"/>
        <w:rPr>
          <w:rFonts w:eastAsia="Times New Roman"/>
          <w:szCs w:val="24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270"/>
        <w:gridCol w:w="1410"/>
        <w:gridCol w:w="1411"/>
        <w:gridCol w:w="1410"/>
        <w:gridCol w:w="1411"/>
      </w:tblGrid>
      <w:tr w:rsidR="00A27630" w:rsidRPr="00947458" w14:paraId="22830AC2" w14:textId="77777777" w:rsidTr="009068A5">
        <w:trPr>
          <w:trHeight w:val="255"/>
          <w:jc w:val="right"/>
        </w:trPr>
        <w:tc>
          <w:tcPr>
            <w:tcW w:w="2267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6B1D9523" w14:textId="77777777" w:rsidR="009068A5" w:rsidRPr="00947458" w:rsidRDefault="009068A5" w:rsidP="009068A5">
            <w:pPr>
              <w:spacing w:line="240" w:lineRule="auto"/>
              <w:ind w:left="-107" w:right="-80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Vrsta objekta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68EF4B3C" w14:textId="77777777" w:rsidR="009068A5" w:rsidRPr="00947458" w:rsidRDefault="009068A5" w:rsidP="009068A5">
            <w:pPr>
              <w:spacing w:line="240" w:lineRule="auto"/>
              <w:ind w:left="-95" w:right="-93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Broj zadaća / projekata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3F262FD0" w14:textId="77777777" w:rsidR="009068A5" w:rsidRPr="00947458" w:rsidRDefault="009068A5" w:rsidP="009068A5">
            <w:pPr>
              <w:spacing w:line="240" w:lineRule="auto"/>
              <w:ind w:left="-61" w:right="-92"/>
              <w:jc w:val="center"/>
              <w:rPr>
                <w:rFonts w:eastAsia="Times New Roman"/>
                <w:bCs/>
                <w:sz w:val="20"/>
                <w:szCs w:val="24"/>
              </w:rPr>
            </w:pPr>
            <w:r w:rsidRPr="00947458">
              <w:rPr>
                <w:rFonts w:eastAsia="Times New Roman"/>
                <w:bCs/>
                <w:sz w:val="20"/>
                <w:szCs w:val="24"/>
              </w:rPr>
              <w:t>Vrijeme provedbe</w:t>
            </w:r>
            <w:r w:rsidRPr="00947458">
              <w:rPr>
                <w:rFonts w:eastAsia="Times New Roman"/>
                <w:bCs/>
                <w:sz w:val="20"/>
                <w:szCs w:val="24"/>
              </w:rPr>
              <w:br/>
              <w:t>[r/d]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3705116F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4"/>
              </w:rPr>
            </w:pPr>
            <w:r w:rsidRPr="00947458">
              <w:rPr>
                <w:rFonts w:eastAsia="Times New Roman"/>
                <w:bCs/>
                <w:sz w:val="20"/>
                <w:szCs w:val="24"/>
              </w:rPr>
              <w:t>Rad ljudi</w:t>
            </w:r>
            <w:r w:rsidRPr="00947458">
              <w:rPr>
                <w:rFonts w:eastAsia="Times New Roman"/>
                <w:bCs/>
                <w:sz w:val="20"/>
                <w:szCs w:val="24"/>
              </w:rPr>
              <w:br/>
              <w:t>[č/h]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87AA51E" w14:textId="77777777" w:rsidR="009068A5" w:rsidRPr="00947458" w:rsidRDefault="009068A5" w:rsidP="009068A5">
            <w:pPr>
              <w:spacing w:line="240" w:lineRule="auto"/>
              <w:ind w:left="-101" w:right="-103"/>
              <w:jc w:val="center"/>
              <w:rPr>
                <w:rFonts w:eastAsia="Times New Roman"/>
                <w:bCs/>
                <w:sz w:val="20"/>
                <w:szCs w:val="24"/>
              </w:rPr>
            </w:pPr>
            <w:r w:rsidRPr="00947458">
              <w:rPr>
                <w:rFonts w:eastAsia="Times New Roman"/>
                <w:bCs/>
                <w:sz w:val="20"/>
                <w:szCs w:val="24"/>
              </w:rPr>
              <w:t>Rad strojeva</w:t>
            </w:r>
            <w:r w:rsidRPr="00947458">
              <w:rPr>
                <w:rFonts w:eastAsia="Times New Roman"/>
                <w:bCs/>
                <w:sz w:val="20"/>
                <w:szCs w:val="24"/>
              </w:rPr>
              <w:br/>
              <w:t>[m/h]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741D48E9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4"/>
              </w:rPr>
            </w:pPr>
            <w:r w:rsidRPr="00947458">
              <w:rPr>
                <w:rFonts w:eastAsia="Times New Roman"/>
                <w:bCs/>
                <w:sz w:val="20"/>
                <w:szCs w:val="24"/>
              </w:rPr>
              <w:t>Rad vozila</w:t>
            </w:r>
            <w:r w:rsidRPr="00947458">
              <w:rPr>
                <w:rFonts w:eastAsia="Times New Roman"/>
                <w:bCs/>
                <w:sz w:val="20"/>
                <w:szCs w:val="24"/>
              </w:rPr>
              <w:br/>
              <w:t>[km]</w:t>
            </w:r>
          </w:p>
        </w:tc>
      </w:tr>
      <w:tr w:rsidR="00A27630" w:rsidRPr="00947458" w14:paraId="22C5CCF2" w14:textId="77777777" w:rsidTr="003E7B7F">
        <w:trPr>
          <w:trHeight w:val="340"/>
          <w:jc w:val="right"/>
        </w:trPr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406E8C" w14:textId="77777777" w:rsidR="009068A5" w:rsidRPr="00947458" w:rsidRDefault="009068A5" w:rsidP="0079538E">
            <w:pPr>
              <w:spacing w:line="240" w:lineRule="auto"/>
              <w:ind w:left="-93" w:right="-93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 xml:space="preserve">POM </w:t>
            </w:r>
            <w:r w:rsidR="0079538E" w:rsidRPr="00947458">
              <w:rPr>
                <w:rFonts w:eastAsia="Times New Roman"/>
                <w:sz w:val="20"/>
                <w:szCs w:val="24"/>
              </w:rPr>
              <w:t>„</w:t>
            </w:r>
            <w:r w:rsidRPr="00947458">
              <w:rPr>
                <w:rFonts w:eastAsia="Times New Roman"/>
                <w:sz w:val="20"/>
                <w:szCs w:val="24"/>
              </w:rPr>
              <w:t>Tovar</w:t>
            </w:r>
            <w:r w:rsidR="0079538E" w:rsidRPr="00947458">
              <w:rPr>
                <w:rFonts w:eastAsia="Times New Roman"/>
                <w:sz w:val="20"/>
                <w:szCs w:val="24"/>
              </w:rPr>
              <w:t>“</w:t>
            </w:r>
            <w:r w:rsidRPr="00947458">
              <w:rPr>
                <w:rFonts w:eastAsia="Times New Roman"/>
                <w:sz w:val="20"/>
                <w:szCs w:val="24"/>
              </w:rPr>
              <w:t xml:space="preserve"> Mali Lošinj</w:t>
            </w: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DDC1EE" w14:textId="77777777" w:rsidR="009068A5" w:rsidRPr="00947458" w:rsidRDefault="009068A5" w:rsidP="009068A5">
            <w:pPr>
              <w:spacing w:line="240" w:lineRule="auto"/>
              <w:ind w:left="-95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1/1</w:t>
            </w:r>
          </w:p>
        </w:tc>
        <w:tc>
          <w:tcPr>
            <w:tcW w:w="1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865B5D5" w14:textId="77777777" w:rsidR="009068A5" w:rsidRPr="00947458" w:rsidRDefault="009068A5" w:rsidP="009068A5">
            <w:pPr>
              <w:spacing w:line="240" w:lineRule="auto"/>
              <w:ind w:left="-95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163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0FD7548" w14:textId="77777777" w:rsidR="009068A5" w:rsidRPr="00947458" w:rsidRDefault="009068A5" w:rsidP="0079538E">
            <w:pPr>
              <w:spacing w:line="240" w:lineRule="auto"/>
              <w:ind w:left="-95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39</w:t>
            </w:r>
            <w:r w:rsidR="0079538E" w:rsidRPr="00947458">
              <w:rPr>
                <w:rFonts w:eastAsia="Times New Roman"/>
                <w:sz w:val="20"/>
                <w:szCs w:val="24"/>
              </w:rPr>
              <w:t>.</w:t>
            </w:r>
            <w:r w:rsidRPr="00947458">
              <w:rPr>
                <w:rFonts w:eastAsia="Times New Roman"/>
                <w:sz w:val="20"/>
                <w:szCs w:val="24"/>
              </w:rPr>
              <w:t>120</w:t>
            </w:r>
          </w:p>
        </w:tc>
        <w:tc>
          <w:tcPr>
            <w:tcW w:w="1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689413D" w14:textId="77777777" w:rsidR="009068A5" w:rsidRPr="00947458" w:rsidRDefault="009068A5" w:rsidP="009068A5">
            <w:pPr>
              <w:spacing w:line="240" w:lineRule="auto"/>
              <w:ind w:left="-95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225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A98CB8E" w14:textId="77777777" w:rsidR="009068A5" w:rsidRPr="00947458" w:rsidRDefault="009068A5" w:rsidP="0079538E">
            <w:pPr>
              <w:spacing w:line="240" w:lineRule="auto"/>
              <w:ind w:left="-95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14</w:t>
            </w:r>
            <w:r w:rsidR="0079538E" w:rsidRPr="00947458">
              <w:rPr>
                <w:rFonts w:eastAsia="Times New Roman"/>
                <w:sz w:val="20"/>
                <w:szCs w:val="24"/>
              </w:rPr>
              <w:t>.</w:t>
            </w:r>
            <w:r w:rsidRPr="00947458">
              <w:rPr>
                <w:rFonts w:eastAsia="Times New Roman"/>
                <w:sz w:val="20"/>
                <w:szCs w:val="24"/>
              </w:rPr>
              <w:t>463</w:t>
            </w:r>
          </w:p>
        </w:tc>
      </w:tr>
      <w:tr w:rsidR="00A27630" w:rsidRPr="00947458" w14:paraId="34019957" w14:textId="77777777" w:rsidTr="003E7B7F">
        <w:trPr>
          <w:trHeight w:val="340"/>
          <w:jc w:val="right"/>
        </w:trPr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95428E6" w14:textId="77777777" w:rsidR="009068A5" w:rsidRPr="00947458" w:rsidRDefault="009068A5" w:rsidP="0079538E">
            <w:pPr>
              <w:spacing w:line="240" w:lineRule="auto"/>
              <w:ind w:left="-93" w:right="-93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 xml:space="preserve">v/p </w:t>
            </w:r>
            <w:r w:rsidR="0079538E" w:rsidRPr="00947458">
              <w:rPr>
                <w:rFonts w:eastAsia="Times New Roman"/>
                <w:sz w:val="20"/>
                <w:szCs w:val="24"/>
              </w:rPr>
              <w:t>„</w:t>
            </w:r>
            <w:r w:rsidRPr="00947458">
              <w:rPr>
                <w:rFonts w:eastAsia="Times New Roman"/>
                <w:sz w:val="20"/>
                <w:szCs w:val="24"/>
              </w:rPr>
              <w:t>33. inženjerijske brigade HV</w:t>
            </w:r>
            <w:r w:rsidR="0079538E" w:rsidRPr="00947458">
              <w:rPr>
                <w:rFonts w:eastAsia="Times New Roman"/>
                <w:sz w:val="20"/>
                <w:szCs w:val="24"/>
              </w:rPr>
              <w:t>“</w:t>
            </w:r>
            <w:r w:rsidRPr="00947458">
              <w:rPr>
                <w:rFonts w:eastAsia="Times New Roman"/>
                <w:sz w:val="20"/>
                <w:szCs w:val="24"/>
              </w:rPr>
              <w:t xml:space="preserve"> Karlovac</w:t>
            </w: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CB1AFE2" w14:textId="77777777" w:rsidR="009068A5" w:rsidRPr="00947458" w:rsidRDefault="009068A5" w:rsidP="009068A5">
            <w:pPr>
              <w:spacing w:line="240" w:lineRule="auto"/>
              <w:ind w:left="-95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4/4</w:t>
            </w:r>
          </w:p>
        </w:tc>
        <w:tc>
          <w:tcPr>
            <w:tcW w:w="1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7B55102" w14:textId="77777777" w:rsidR="009068A5" w:rsidRPr="00947458" w:rsidRDefault="009068A5" w:rsidP="009068A5">
            <w:pPr>
              <w:spacing w:line="240" w:lineRule="auto"/>
              <w:ind w:left="-95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92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1F1A6BF" w14:textId="77777777" w:rsidR="009068A5" w:rsidRPr="00947458" w:rsidRDefault="009068A5" w:rsidP="0079538E">
            <w:pPr>
              <w:spacing w:line="240" w:lineRule="auto"/>
              <w:ind w:left="-95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20</w:t>
            </w:r>
            <w:r w:rsidR="0079538E" w:rsidRPr="00947458">
              <w:rPr>
                <w:rFonts w:eastAsia="Times New Roman"/>
                <w:sz w:val="20"/>
                <w:szCs w:val="24"/>
              </w:rPr>
              <w:t>.</w:t>
            </w:r>
            <w:r w:rsidRPr="00947458">
              <w:rPr>
                <w:rFonts w:eastAsia="Times New Roman"/>
                <w:sz w:val="20"/>
                <w:szCs w:val="24"/>
              </w:rPr>
              <w:t>824</w:t>
            </w:r>
          </w:p>
        </w:tc>
        <w:tc>
          <w:tcPr>
            <w:tcW w:w="1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E96D23E" w14:textId="77777777" w:rsidR="009068A5" w:rsidRPr="00947458" w:rsidRDefault="009068A5" w:rsidP="009068A5">
            <w:pPr>
              <w:spacing w:line="240" w:lineRule="auto"/>
              <w:ind w:left="-95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35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B0C5ABB" w14:textId="77777777" w:rsidR="009068A5" w:rsidRPr="00947458" w:rsidRDefault="009068A5" w:rsidP="0079538E">
            <w:pPr>
              <w:spacing w:line="240" w:lineRule="auto"/>
              <w:ind w:left="-95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1</w:t>
            </w:r>
            <w:r w:rsidR="0079538E" w:rsidRPr="00947458">
              <w:rPr>
                <w:rFonts w:eastAsia="Times New Roman"/>
                <w:sz w:val="20"/>
                <w:szCs w:val="24"/>
              </w:rPr>
              <w:t>.</w:t>
            </w:r>
            <w:r w:rsidRPr="00947458">
              <w:rPr>
                <w:rFonts w:eastAsia="Times New Roman"/>
                <w:sz w:val="20"/>
                <w:szCs w:val="24"/>
              </w:rPr>
              <w:t>076</w:t>
            </w:r>
          </w:p>
        </w:tc>
      </w:tr>
      <w:tr w:rsidR="00A27630" w:rsidRPr="00947458" w14:paraId="5388D196" w14:textId="77777777" w:rsidTr="003E7B7F">
        <w:trPr>
          <w:trHeight w:val="282"/>
          <w:jc w:val="right"/>
        </w:trPr>
        <w:tc>
          <w:tcPr>
            <w:tcW w:w="2267" w:type="dxa"/>
            <w:shd w:val="clear" w:color="auto" w:fill="auto"/>
            <w:noWrap/>
            <w:vAlign w:val="center"/>
            <w:hideMark/>
          </w:tcPr>
          <w:p w14:paraId="3C647D8A" w14:textId="77777777" w:rsidR="009068A5" w:rsidRPr="00947458" w:rsidRDefault="009068A5" w:rsidP="009068A5">
            <w:pPr>
              <w:spacing w:line="240" w:lineRule="auto"/>
              <w:ind w:left="-93" w:right="-93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947458">
              <w:rPr>
                <w:rFonts w:eastAsia="Times New Roman"/>
                <w:b/>
                <w:sz w:val="20"/>
                <w:szCs w:val="24"/>
              </w:rPr>
              <w:t>UKUPNO: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630F64A" w14:textId="77777777" w:rsidR="009068A5" w:rsidRPr="00947458" w:rsidRDefault="009068A5" w:rsidP="009068A5">
            <w:pPr>
              <w:spacing w:line="240" w:lineRule="auto"/>
              <w:ind w:left="-95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947458">
              <w:rPr>
                <w:rFonts w:eastAsia="Times New Roman"/>
                <w:b/>
                <w:sz w:val="20"/>
                <w:szCs w:val="24"/>
              </w:rPr>
              <w:t>5/5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4F6568F2" w14:textId="77777777" w:rsidR="009068A5" w:rsidRPr="00947458" w:rsidRDefault="009068A5" w:rsidP="009068A5">
            <w:pPr>
              <w:spacing w:line="240" w:lineRule="auto"/>
              <w:ind w:left="-95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947458">
              <w:rPr>
                <w:rFonts w:eastAsia="Times New Roman"/>
                <w:b/>
                <w:sz w:val="20"/>
                <w:szCs w:val="24"/>
              </w:rPr>
              <w:t>255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0077F3B2" w14:textId="77777777" w:rsidR="009068A5" w:rsidRPr="00947458" w:rsidRDefault="009068A5" w:rsidP="0079538E">
            <w:pPr>
              <w:spacing w:line="240" w:lineRule="auto"/>
              <w:ind w:left="-95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947458">
              <w:rPr>
                <w:rFonts w:eastAsia="Times New Roman"/>
                <w:b/>
                <w:sz w:val="20"/>
                <w:szCs w:val="24"/>
              </w:rPr>
              <w:t>59</w:t>
            </w:r>
            <w:r w:rsidR="0079538E" w:rsidRPr="00947458">
              <w:rPr>
                <w:rFonts w:eastAsia="Times New Roman"/>
                <w:b/>
                <w:sz w:val="20"/>
                <w:szCs w:val="24"/>
              </w:rPr>
              <w:t>.</w:t>
            </w:r>
            <w:r w:rsidRPr="00947458">
              <w:rPr>
                <w:rFonts w:eastAsia="Times New Roman"/>
                <w:b/>
                <w:sz w:val="20"/>
                <w:szCs w:val="24"/>
              </w:rPr>
              <w:t>944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4CC96BC" w14:textId="77777777" w:rsidR="009068A5" w:rsidRPr="00947458" w:rsidRDefault="009068A5" w:rsidP="009068A5">
            <w:pPr>
              <w:spacing w:line="240" w:lineRule="auto"/>
              <w:ind w:left="-95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947458">
              <w:rPr>
                <w:rFonts w:eastAsia="Times New Roman"/>
                <w:b/>
                <w:sz w:val="20"/>
                <w:szCs w:val="24"/>
              </w:rPr>
              <w:t>260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07BF5E14" w14:textId="77777777" w:rsidR="009068A5" w:rsidRPr="00947458" w:rsidRDefault="009068A5" w:rsidP="0079538E">
            <w:pPr>
              <w:spacing w:line="240" w:lineRule="auto"/>
              <w:ind w:left="-95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947458">
              <w:rPr>
                <w:rFonts w:eastAsia="Times New Roman"/>
                <w:b/>
                <w:sz w:val="20"/>
                <w:szCs w:val="24"/>
              </w:rPr>
              <w:t>15</w:t>
            </w:r>
            <w:r w:rsidR="0079538E" w:rsidRPr="00947458">
              <w:rPr>
                <w:rFonts w:eastAsia="Times New Roman"/>
                <w:b/>
                <w:sz w:val="20"/>
                <w:szCs w:val="24"/>
              </w:rPr>
              <w:t>.</w:t>
            </w:r>
            <w:r w:rsidRPr="00947458">
              <w:rPr>
                <w:rFonts w:eastAsia="Times New Roman"/>
                <w:b/>
                <w:sz w:val="20"/>
                <w:szCs w:val="24"/>
              </w:rPr>
              <w:t>539</w:t>
            </w:r>
          </w:p>
        </w:tc>
      </w:tr>
    </w:tbl>
    <w:p w14:paraId="42DD3F0C" w14:textId="77777777" w:rsidR="009068A5" w:rsidRPr="00947458" w:rsidRDefault="009068A5" w:rsidP="0079538E">
      <w:pPr>
        <w:spacing w:before="240" w:after="120" w:line="240" w:lineRule="auto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 xml:space="preserve">U provedbi prikazanih zadaća ukupno je tretirano </w:t>
      </w:r>
      <w:r w:rsidRPr="00947458">
        <w:rPr>
          <w:rFonts w:eastAsia="Times New Roman"/>
          <w:bCs/>
          <w:szCs w:val="24"/>
        </w:rPr>
        <w:t>577</w:t>
      </w:r>
      <w:r w:rsidR="0079538E" w:rsidRPr="00947458">
        <w:rPr>
          <w:rFonts w:eastAsia="Times New Roman"/>
          <w:bCs/>
          <w:szCs w:val="24"/>
        </w:rPr>
        <w:t>.</w:t>
      </w:r>
      <w:r w:rsidRPr="00947458">
        <w:rPr>
          <w:rFonts w:eastAsia="Times New Roman"/>
          <w:bCs/>
          <w:szCs w:val="24"/>
        </w:rPr>
        <w:t>741 m</w:t>
      </w:r>
      <w:r w:rsidRPr="00947458">
        <w:rPr>
          <w:rFonts w:eastAsia="Times New Roman"/>
          <w:szCs w:val="24"/>
          <w:vertAlign w:val="superscript"/>
        </w:rPr>
        <w:t>2</w:t>
      </w:r>
      <w:r w:rsidRPr="00947458">
        <w:rPr>
          <w:rFonts w:eastAsia="Times New Roman"/>
          <w:szCs w:val="24"/>
        </w:rPr>
        <w:t>, a razminirano je 536</w:t>
      </w:r>
      <w:r w:rsidR="0079538E" w:rsidRPr="00947458">
        <w:rPr>
          <w:rFonts w:eastAsia="Times New Roman"/>
          <w:szCs w:val="24"/>
        </w:rPr>
        <w:t>.</w:t>
      </w:r>
      <w:r w:rsidRPr="00947458">
        <w:rPr>
          <w:rFonts w:eastAsia="Times New Roman"/>
          <w:szCs w:val="24"/>
        </w:rPr>
        <w:t>694 m</w:t>
      </w:r>
      <w:r w:rsidRPr="00947458">
        <w:rPr>
          <w:rFonts w:eastAsia="Times New Roman"/>
          <w:szCs w:val="24"/>
          <w:vertAlign w:val="superscript"/>
        </w:rPr>
        <w:t>2</w:t>
      </w:r>
      <w:r w:rsidR="0079538E" w:rsidRPr="00947458">
        <w:rPr>
          <w:rFonts w:eastAsia="Times New Roman"/>
          <w:szCs w:val="24"/>
        </w:rPr>
        <w:t>. Pri</w:t>
      </w:r>
      <w:r w:rsidRPr="00947458">
        <w:rPr>
          <w:rFonts w:eastAsia="Times New Roman"/>
          <w:szCs w:val="24"/>
        </w:rPr>
        <w:t>tom je pronađeno, uklonjeno i uništeno 74 komada protupješačkih mina i 617 komada drugih neeksplodiranih ubojnih sredstava.</w:t>
      </w:r>
    </w:p>
    <w:p w14:paraId="3CC87F88" w14:textId="77777777" w:rsidR="009068A5" w:rsidRPr="00947458" w:rsidRDefault="009068A5" w:rsidP="009068A5">
      <w:pPr>
        <w:spacing w:before="240" w:after="120" w:line="240" w:lineRule="auto"/>
        <w:ind w:firstLine="709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 xml:space="preserve">Ukupni financijski troškovi iznosili su 529.868,12 eura. </w:t>
      </w:r>
    </w:p>
    <w:tbl>
      <w:tblPr>
        <w:tblW w:w="9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1546"/>
        <w:gridCol w:w="1375"/>
        <w:gridCol w:w="1204"/>
        <w:gridCol w:w="1375"/>
        <w:gridCol w:w="1718"/>
      </w:tblGrid>
      <w:tr w:rsidR="00A27630" w:rsidRPr="00947458" w14:paraId="2C0D44A9" w14:textId="77777777" w:rsidTr="009068A5">
        <w:trPr>
          <w:trHeight w:val="268"/>
        </w:trPr>
        <w:tc>
          <w:tcPr>
            <w:tcW w:w="1892" w:type="dxa"/>
            <w:shd w:val="clear" w:color="auto" w:fill="BFBFBF"/>
            <w:noWrap/>
            <w:vAlign w:val="center"/>
          </w:tcPr>
          <w:p w14:paraId="72D16BE1" w14:textId="77777777" w:rsidR="009068A5" w:rsidRPr="00947458" w:rsidRDefault="009068A5" w:rsidP="009068A5">
            <w:pPr>
              <w:spacing w:line="240" w:lineRule="auto"/>
              <w:ind w:left="-107" w:right="-80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Vrsta objekta</w:t>
            </w:r>
          </w:p>
        </w:tc>
        <w:tc>
          <w:tcPr>
            <w:tcW w:w="1546" w:type="dxa"/>
            <w:shd w:val="clear" w:color="auto" w:fill="BFBFBF"/>
            <w:noWrap/>
            <w:vAlign w:val="center"/>
          </w:tcPr>
          <w:p w14:paraId="67249105" w14:textId="77777777" w:rsidR="009068A5" w:rsidRPr="00947458" w:rsidRDefault="009068A5" w:rsidP="009068A5">
            <w:pPr>
              <w:spacing w:line="240" w:lineRule="auto"/>
              <w:ind w:left="-90" w:right="-95"/>
              <w:jc w:val="center"/>
              <w:rPr>
                <w:rFonts w:eastAsia="Times New Roman"/>
                <w:bCs/>
                <w:sz w:val="20"/>
                <w:szCs w:val="24"/>
              </w:rPr>
            </w:pPr>
            <w:r w:rsidRPr="00947458">
              <w:rPr>
                <w:rFonts w:eastAsia="Times New Roman"/>
                <w:bCs/>
                <w:sz w:val="20"/>
                <w:szCs w:val="24"/>
              </w:rPr>
              <w:t>Razminirana površina</w:t>
            </w:r>
            <w:r w:rsidRPr="00947458">
              <w:rPr>
                <w:rFonts w:eastAsia="Times New Roman"/>
                <w:bCs/>
                <w:sz w:val="20"/>
                <w:szCs w:val="24"/>
              </w:rPr>
              <w:br/>
              <w:t>[m</w:t>
            </w:r>
            <w:r w:rsidRPr="00947458">
              <w:rPr>
                <w:rFonts w:eastAsia="Times New Roman"/>
                <w:bCs/>
                <w:sz w:val="20"/>
                <w:szCs w:val="24"/>
                <w:vertAlign w:val="superscript"/>
              </w:rPr>
              <w:t>2</w:t>
            </w:r>
            <w:r w:rsidRPr="00947458">
              <w:rPr>
                <w:rFonts w:eastAsia="Times New Roman"/>
                <w:bCs/>
                <w:sz w:val="20"/>
                <w:szCs w:val="24"/>
              </w:rPr>
              <w:t>]</w:t>
            </w:r>
          </w:p>
        </w:tc>
        <w:tc>
          <w:tcPr>
            <w:tcW w:w="1375" w:type="dxa"/>
            <w:shd w:val="clear" w:color="auto" w:fill="BFBFBF"/>
            <w:noWrap/>
            <w:vAlign w:val="center"/>
          </w:tcPr>
          <w:p w14:paraId="00DC5772" w14:textId="77777777" w:rsidR="009068A5" w:rsidRPr="00947458" w:rsidRDefault="009068A5" w:rsidP="009068A5">
            <w:pPr>
              <w:spacing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4"/>
              </w:rPr>
            </w:pPr>
            <w:r w:rsidRPr="00947458">
              <w:rPr>
                <w:rFonts w:eastAsia="Times New Roman"/>
                <w:bCs/>
                <w:sz w:val="20"/>
                <w:szCs w:val="24"/>
              </w:rPr>
              <w:t>Uklonjeno</w:t>
            </w:r>
            <w:r w:rsidRPr="00947458">
              <w:rPr>
                <w:rFonts w:eastAsia="Times New Roman"/>
                <w:bCs/>
                <w:sz w:val="20"/>
                <w:szCs w:val="24"/>
              </w:rPr>
              <w:br/>
              <w:t>PPM</w:t>
            </w:r>
            <w:r w:rsidRPr="00947458">
              <w:rPr>
                <w:rFonts w:eastAsia="Times New Roman"/>
                <w:bCs/>
                <w:sz w:val="20"/>
                <w:szCs w:val="24"/>
              </w:rPr>
              <w:br/>
              <w:t>[kom]</w:t>
            </w:r>
          </w:p>
        </w:tc>
        <w:tc>
          <w:tcPr>
            <w:tcW w:w="1204" w:type="dxa"/>
            <w:shd w:val="clear" w:color="auto" w:fill="BFBFBF"/>
            <w:noWrap/>
            <w:vAlign w:val="center"/>
          </w:tcPr>
          <w:p w14:paraId="20134FBD" w14:textId="77777777" w:rsidR="009068A5" w:rsidRPr="00947458" w:rsidRDefault="009068A5" w:rsidP="009068A5">
            <w:pPr>
              <w:spacing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4"/>
              </w:rPr>
            </w:pPr>
            <w:r w:rsidRPr="00947458">
              <w:rPr>
                <w:rFonts w:eastAsia="Times New Roman"/>
                <w:bCs/>
                <w:sz w:val="20"/>
                <w:szCs w:val="24"/>
              </w:rPr>
              <w:t>Uklonjeno</w:t>
            </w:r>
            <w:r w:rsidRPr="00947458">
              <w:rPr>
                <w:rFonts w:eastAsia="Times New Roman"/>
                <w:bCs/>
                <w:sz w:val="20"/>
                <w:szCs w:val="24"/>
              </w:rPr>
              <w:br/>
              <w:t>POM</w:t>
            </w:r>
            <w:r w:rsidRPr="00947458">
              <w:rPr>
                <w:rFonts w:eastAsia="Times New Roman"/>
                <w:bCs/>
                <w:sz w:val="20"/>
                <w:szCs w:val="24"/>
              </w:rPr>
              <w:br/>
              <w:t>[kom]</w:t>
            </w:r>
          </w:p>
        </w:tc>
        <w:tc>
          <w:tcPr>
            <w:tcW w:w="1375" w:type="dxa"/>
            <w:shd w:val="clear" w:color="auto" w:fill="BFBFBF"/>
            <w:vAlign w:val="center"/>
          </w:tcPr>
          <w:p w14:paraId="1FE6B64B" w14:textId="77777777" w:rsidR="009068A5" w:rsidRPr="00947458" w:rsidRDefault="009068A5" w:rsidP="009068A5">
            <w:pPr>
              <w:spacing w:line="240" w:lineRule="auto"/>
              <w:ind w:left="-94" w:right="-83"/>
              <w:jc w:val="center"/>
              <w:rPr>
                <w:rFonts w:eastAsia="Times New Roman"/>
                <w:bCs/>
                <w:sz w:val="20"/>
                <w:szCs w:val="24"/>
              </w:rPr>
            </w:pPr>
            <w:r w:rsidRPr="00947458">
              <w:rPr>
                <w:rFonts w:eastAsia="Times New Roman"/>
                <w:bCs/>
                <w:sz w:val="20"/>
                <w:szCs w:val="24"/>
              </w:rPr>
              <w:t>Uklonjeno</w:t>
            </w:r>
            <w:r w:rsidRPr="00947458">
              <w:rPr>
                <w:rFonts w:eastAsia="Times New Roman"/>
                <w:bCs/>
                <w:sz w:val="20"/>
                <w:szCs w:val="24"/>
              </w:rPr>
              <w:br/>
              <w:t>NUS</w:t>
            </w:r>
            <w:r w:rsidRPr="00947458">
              <w:rPr>
                <w:rFonts w:eastAsia="Times New Roman"/>
                <w:bCs/>
                <w:sz w:val="20"/>
                <w:szCs w:val="24"/>
              </w:rPr>
              <w:br/>
              <w:t>[kom]</w:t>
            </w:r>
          </w:p>
        </w:tc>
        <w:tc>
          <w:tcPr>
            <w:tcW w:w="1718" w:type="dxa"/>
            <w:shd w:val="clear" w:color="auto" w:fill="BFBFBF"/>
          </w:tcPr>
          <w:p w14:paraId="70EC15CD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4"/>
              </w:rPr>
            </w:pPr>
            <w:r w:rsidRPr="00947458">
              <w:rPr>
                <w:rFonts w:eastAsia="Times New Roman"/>
                <w:bCs/>
                <w:sz w:val="20"/>
                <w:szCs w:val="24"/>
              </w:rPr>
              <w:t xml:space="preserve">Financijski troškovi </w:t>
            </w:r>
            <w:r w:rsidRPr="00947458">
              <w:rPr>
                <w:rFonts w:eastAsia="Times New Roman"/>
                <w:bCs/>
                <w:sz w:val="20"/>
                <w:szCs w:val="24"/>
              </w:rPr>
              <w:br/>
              <w:t>[eura]</w:t>
            </w:r>
          </w:p>
        </w:tc>
      </w:tr>
      <w:tr w:rsidR="00A27630" w:rsidRPr="00947458" w14:paraId="37B3E6AE" w14:textId="77777777" w:rsidTr="003E7B7F">
        <w:trPr>
          <w:trHeight w:val="357"/>
        </w:trPr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140FC7E9" w14:textId="77777777" w:rsidR="009068A5" w:rsidRPr="00947458" w:rsidRDefault="009068A5" w:rsidP="009068A5">
            <w:pPr>
              <w:spacing w:line="240" w:lineRule="auto"/>
              <w:ind w:left="-93" w:right="-93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POM „Tovar“ Mali Lošinj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14:paraId="3C74F82E" w14:textId="77777777" w:rsidR="009068A5" w:rsidRPr="00947458" w:rsidRDefault="009068A5" w:rsidP="0079538E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367</w:t>
            </w:r>
            <w:r w:rsidR="0079538E" w:rsidRPr="00947458">
              <w:rPr>
                <w:rFonts w:eastAsia="Times New Roman"/>
                <w:sz w:val="20"/>
                <w:szCs w:val="24"/>
              </w:rPr>
              <w:t>.</w:t>
            </w:r>
            <w:r w:rsidRPr="00947458">
              <w:rPr>
                <w:rFonts w:eastAsia="Times New Roman"/>
                <w:sz w:val="20"/>
                <w:szCs w:val="24"/>
              </w:rPr>
              <w:t>146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6E61E1F0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72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3C259D3D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0</w:t>
            </w:r>
          </w:p>
        </w:tc>
        <w:tc>
          <w:tcPr>
            <w:tcW w:w="1375" w:type="dxa"/>
            <w:vAlign w:val="center"/>
          </w:tcPr>
          <w:p w14:paraId="0A0DFA1D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393</w:t>
            </w:r>
          </w:p>
        </w:tc>
        <w:tc>
          <w:tcPr>
            <w:tcW w:w="1718" w:type="dxa"/>
            <w:vAlign w:val="center"/>
          </w:tcPr>
          <w:p w14:paraId="5540F2EA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410.694,39</w:t>
            </w:r>
          </w:p>
        </w:tc>
      </w:tr>
      <w:tr w:rsidR="00A27630" w:rsidRPr="00947458" w14:paraId="60725DE7" w14:textId="77777777" w:rsidTr="003E7B7F">
        <w:trPr>
          <w:trHeight w:val="298"/>
        </w:trPr>
        <w:tc>
          <w:tcPr>
            <w:tcW w:w="1892" w:type="dxa"/>
            <w:shd w:val="clear" w:color="auto" w:fill="auto"/>
            <w:noWrap/>
            <w:vAlign w:val="center"/>
          </w:tcPr>
          <w:p w14:paraId="0BA57BBA" w14:textId="77777777" w:rsidR="009068A5" w:rsidRPr="00947458" w:rsidRDefault="009068A5" w:rsidP="0079538E">
            <w:pPr>
              <w:spacing w:line="240" w:lineRule="auto"/>
              <w:ind w:left="-93" w:right="-93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 xml:space="preserve">v/p </w:t>
            </w:r>
            <w:r w:rsidR="0079538E" w:rsidRPr="00947458">
              <w:rPr>
                <w:rFonts w:eastAsia="Times New Roman"/>
                <w:sz w:val="20"/>
                <w:szCs w:val="24"/>
              </w:rPr>
              <w:t>„</w:t>
            </w:r>
            <w:r w:rsidRPr="00947458">
              <w:rPr>
                <w:rFonts w:eastAsia="Times New Roman"/>
                <w:sz w:val="20"/>
                <w:szCs w:val="24"/>
              </w:rPr>
              <w:t>33. inženjerijske brigade HV</w:t>
            </w:r>
            <w:r w:rsidR="0079538E" w:rsidRPr="00947458">
              <w:rPr>
                <w:rFonts w:eastAsia="Times New Roman"/>
                <w:sz w:val="20"/>
                <w:szCs w:val="24"/>
              </w:rPr>
              <w:t>“</w:t>
            </w:r>
            <w:r w:rsidRPr="00947458">
              <w:rPr>
                <w:rFonts w:eastAsia="Times New Roman"/>
                <w:sz w:val="20"/>
                <w:szCs w:val="24"/>
              </w:rPr>
              <w:t xml:space="preserve"> Karlovac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14:paraId="6688523B" w14:textId="77777777" w:rsidR="009068A5" w:rsidRPr="00947458" w:rsidRDefault="009068A5" w:rsidP="0079538E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169</w:t>
            </w:r>
            <w:r w:rsidR="0079538E" w:rsidRPr="00947458">
              <w:rPr>
                <w:rFonts w:eastAsia="Times New Roman"/>
                <w:sz w:val="20"/>
                <w:szCs w:val="24"/>
              </w:rPr>
              <w:t>.</w:t>
            </w:r>
            <w:r w:rsidRPr="00947458">
              <w:rPr>
                <w:rFonts w:eastAsia="Times New Roman"/>
                <w:sz w:val="20"/>
                <w:szCs w:val="24"/>
              </w:rPr>
              <w:t>548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16C77C1A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2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DF09CAD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2B791A3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224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275AC633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947458">
              <w:rPr>
                <w:rFonts w:eastAsia="Times New Roman"/>
                <w:sz w:val="20"/>
                <w:szCs w:val="24"/>
              </w:rPr>
              <w:t>119.173,73</w:t>
            </w:r>
          </w:p>
        </w:tc>
      </w:tr>
      <w:tr w:rsidR="009068A5" w:rsidRPr="00947458" w14:paraId="38F594D4" w14:textId="77777777" w:rsidTr="003E7B7F">
        <w:trPr>
          <w:trHeight w:val="298"/>
        </w:trPr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1E895CC8" w14:textId="77777777" w:rsidR="009068A5" w:rsidRPr="00947458" w:rsidRDefault="009068A5" w:rsidP="009068A5">
            <w:pPr>
              <w:spacing w:line="240" w:lineRule="auto"/>
              <w:ind w:left="-93" w:right="-93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947458">
              <w:rPr>
                <w:rFonts w:eastAsia="Times New Roman"/>
                <w:b/>
                <w:sz w:val="20"/>
                <w:szCs w:val="24"/>
              </w:rPr>
              <w:t>UKUPNO: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14:paraId="16B933C9" w14:textId="77777777" w:rsidR="009068A5" w:rsidRPr="00947458" w:rsidRDefault="009068A5" w:rsidP="0079538E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947458">
              <w:rPr>
                <w:rFonts w:eastAsia="Times New Roman"/>
                <w:b/>
                <w:bCs/>
                <w:sz w:val="20"/>
                <w:szCs w:val="24"/>
              </w:rPr>
              <w:t>536</w:t>
            </w:r>
            <w:r w:rsidR="0079538E" w:rsidRPr="00947458">
              <w:rPr>
                <w:rFonts w:eastAsia="Times New Roman"/>
                <w:b/>
                <w:bCs/>
                <w:sz w:val="20"/>
                <w:szCs w:val="24"/>
              </w:rPr>
              <w:t>.</w:t>
            </w:r>
            <w:r w:rsidRPr="00947458">
              <w:rPr>
                <w:rFonts w:eastAsia="Times New Roman"/>
                <w:b/>
                <w:bCs/>
                <w:sz w:val="20"/>
                <w:szCs w:val="24"/>
              </w:rPr>
              <w:t>694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5A04524D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947458">
              <w:rPr>
                <w:rFonts w:eastAsia="Times New Roman"/>
                <w:b/>
                <w:bCs/>
                <w:sz w:val="20"/>
                <w:szCs w:val="24"/>
              </w:rPr>
              <w:t>74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2D63B39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947458">
              <w:rPr>
                <w:rFonts w:eastAsia="Times New Roman"/>
                <w:b/>
                <w:sz w:val="20"/>
                <w:szCs w:val="24"/>
              </w:rPr>
              <w:t>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FAADF16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947458">
              <w:rPr>
                <w:rFonts w:eastAsia="Times New Roman"/>
                <w:b/>
                <w:bCs/>
                <w:sz w:val="20"/>
                <w:szCs w:val="24"/>
              </w:rPr>
              <w:t>617</w:t>
            </w:r>
          </w:p>
        </w:tc>
        <w:tc>
          <w:tcPr>
            <w:tcW w:w="1718" w:type="dxa"/>
            <w:shd w:val="clear" w:color="auto" w:fill="auto"/>
          </w:tcPr>
          <w:p w14:paraId="793D1FB0" w14:textId="77777777" w:rsidR="009068A5" w:rsidRPr="00947458" w:rsidRDefault="009068A5" w:rsidP="009068A5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947458">
              <w:rPr>
                <w:rFonts w:eastAsia="Times New Roman"/>
                <w:b/>
                <w:sz w:val="20"/>
                <w:szCs w:val="24"/>
              </w:rPr>
              <w:t>529.868,12</w:t>
            </w:r>
          </w:p>
        </w:tc>
      </w:tr>
    </w:tbl>
    <w:p w14:paraId="405B6674" w14:textId="61856CFA" w:rsidR="009068A5" w:rsidRPr="00947458" w:rsidRDefault="009068A5" w:rsidP="009579F4">
      <w:pPr>
        <w:numPr>
          <w:ilvl w:val="1"/>
          <w:numId w:val="28"/>
        </w:numPr>
        <w:spacing w:before="240" w:after="240" w:line="240" w:lineRule="auto"/>
        <w:ind w:left="708" w:hanging="714"/>
        <w:rPr>
          <w:rFonts w:eastAsia="Times New Roman"/>
          <w:b/>
          <w:szCs w:val="24"/>
        </w:rPr>
      </w:pPr>
      <w:r w:rsidRPr="00947458">
        <w:rPr>
          <w:rFonts w:eastAsia="Times New Roman"/>
          <w:b/>
          <w:szCs w:val="24"/>
        </w:rPr>
        <w:t>RAZMINIRANJE VOJNIH LOKACIJA I GRAĐEVINA U SKLADU S PLANOM RAZMINIRANJA PERSPEKTIVNIH VOJNIH LOKACIJA I</w:t>
      </w:r>
      <w:r w:rsidR="00966EA5">
        <w:rPr>
          <w:rFonts w:eastAsia="Times New Roman"/>
          <w:b/>
          <w:szCs w:val="24"/>
        </w:rPr>
        <w:t>/ILI</w:t>
      </w:r>
      <w:r w:rsidRPr="00947458">
        <w:rPr>
          <w:rFonts w:eastAsia="Times New Roman"/>
          <w:b/>
          <w:szCs w:val="24"/>
        </w:rPr>
        <w:t xml:space="preserve"> GRAĐEVINA U 2025.</w:t>
      </w:r>
    </w:p>
    <w:p w14:paraId="0D763707" w14:textId="090CFD3F" w:rsidR="009068A5" w:rsidRPr="00947458" w:rsidRDefault="009068A5" w:rsidP="009579F4">
      <w:pPr>
        <w:spacing w:after="240" w:line="240" w:lineRule="auto"/>
        <w:contextualSpacing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>Plan razminiranja vojnih lokacija i</w:t>
      </w:r>
      <w:r w:rsidR="00966EA5">
        <w:rPr>
          <w:rFonts w:eastAsia="Times New Roman"/>
          <w:szCs w:val="24"/>
        </w:rPr>
        <w:t>/ili</w:t>
      </w:r>
      <w:r w:rsidRPr="00947458">
        <w:rPr>
          <w:rFonts w:eastAsia="Times New Roman"/>
          <w:szCs w:val="24"/>
        </w:rPr>
        <w:t xml:space="preserve"> građevina za 2025. sadržavao je šest zadaća na tri vojne lokacije. Jedna zadaća bila je zadaća razminiranja, četiri su bile zadaće tehničkog izvida jedne vojne lokacije te jedna zadaća pregleda i uništavanja neeksplodiranih ubojnih sredstava koja nije provedena. Planska veličina minski sumnjive površine za razminiranje i tehnički izvid u 2025. godini bila je 528</w:t>
      </w:r>
      <w:r w:rsidR="009579F4" w:rsidRPr="00947458">
        <w:rPr>
          <w:rFonts w:eastAsia="Times New Roman"/>
          <w:szCs w:val="24"/>
        </w:rPr>
        <w:t>.</w:t>
      </w:r>
      <w:r w:rsidRPr="00947458">
        <w:rPr>
          <w:rFonts w:eastAsia="Times New Roman"/>
          <w:szCs w:val="24"/>
        </w:rPr>
        <w:t>017 m</w:t>
      </w:r>
      <w:r w:rsidRPr="00947458">
        <w:rPr>
          <w:rFonts w:eastAsia="Times New Roman"/>
          <w:szCs w:val="24"/>
          <w:vertAlign w:val="superscript"/>
        </w:rPr>
        <w:t>2</w:t>
      </w:r>
      <w:r w:rsidRPr="00947458">
        <w:rPr>
          <w:rFonts w:eastAsia="Times New Roman"/>
          <w:szCs w:val="24"/>
        </w:rPr>
        <w:t>, razminirano je 536</w:t>
      </w:r>
      <w:r w:rsidR="009579F4" w:rsidRPr="00947458">
        <w:rPr>
          <w:rFonts w:eastAsia="Times New Roman"/>
          <w:szCs w:val="24"/>
        </w:rPr>
        <w:t>.</w:t>
      </w:r>
      <w:r w:rsidRPr="00947458">
        <w:rPr>
          <w:rFonts w:eastAsia="Times New Roman"/>
          <w:szCs w:val="24"/>
        </w:rPr>
        <w:t>694 m</w:t>
      </w:r>
      <w:r w:rsidRPr="00947458">
        <w:rPr>
          <w:rFonts w:eastAsia="Times New Roman"/>
          <w:szCs w:val="24"/>
          <w:vertAlign w:val="superscript"/>
        </w:rPr>
        <w:t>2</w:t>
      </w:r>
      <w:r w:rsidRPr="00947458">
        <w:rPr>
          <w:rFonts w:eastAsia="Times New Roman"/>
          <w:szCs w:val="24"/>
        </w:rPr>
        <w:t>, a iz minski sumnjivih površina isključeno 1</w:t>
      </w:r>
      <w:r w:rsidR="009579F4" w:rsidRPr="00947458">
        <w:rPr>
          <w:rFonts w:eastAsia="Times New Roman"/>
          <w:szCs w:val="24"/>
        </w:rPr>
        <w:t>.</w:t>
      </w:r>
      <w:r w:rsidRPr="00947458">
        <w:rPr>
          <w:rFonts w:eastAsia="Times New Roman"/>
          <w:szCs w:val="24"/>
        </w:rPr>
        <w:t>315</w:t>
      </w:r>
      <w:r w:rsidR="009579F4" w:rsidRPr="00947458">
        <w:rPr>
          <w:rFonts w:eastAsia="Times New Roman"/>
          <w:szCs w:val="24"/>
        </w:rPr>
        <w:t>.</w:t>
      </w:r>
      <w:r w:rsidRPr="00947458">
        <w:rPr>
          <w:rFonts w:eastAsia="Times New Roman"/>
          <w:szCs w:val="24"/>
        </w:rPr>
        <w:t>000 m</w:t>
      </w:r>
      <w:r w:rsidRPr="00947458">
        <w:rPr>
          <w:rFonts w:eastAsia="Times New Roman"/>
          <w:szCs w:val="24"/>
          <w:vertAlign w:val="superscript"/>
        </w:rPr>
        <w:t>2</w:t>
      </w:r>
      <w:r w:rsidRPr="00947458">
        <w:rPr>
          <w:rFonts w:eastAsia="Times New Roman"/>
          <w:szCs w:val="24"/>
        </w:rPr>
        <w:t>. Realizacija u odnosu na planiranu površinu veća je za 8</w:t>
      </w:r>
      <w:r w:rsidR="009579F4" w:rsidRPr="00947458">
        <w:rPr>
          <w:rFonts w:eastAsia="Times New Roman"/>
          <w:szCs w:val="24"/>
        </w:rPr>
        <w:t>.</w:t>
      </w:r>
      <w:r w:rsidRPr="00947458">
        <w:rPr>
          <w:rFonts w:eastAsia="Times New Roman"/>
          <w:szCs w:val="24"/>
        </w:rPr>
        <w:t>677 m</w:t>
      </w:r>
      <w:r w:rsidRPr="00947458">
        <w:rPr>
          <w:rFonts w:eastAsia="Times New Roman"/>
          <w:szCs w:val="24"/>
          <w:vertAlign w:val="superscript"/>
        </w:rPr>
        <w:t>2</w:t>
      </w:r>
      <w:r w:rsidRPr="00947458">
        <w:rPr>
          <w:rFonts w:eastAsia="Times New Roman"/>
          <w:szCs w:val="24"/>
        </w:rPr>
        <w:t>.</w:t>
      </w:r>
    </w:p>
    <w:p w14:paraId="0B29B494" w14:textId="77777777" w:rsidR="009068A5" w:rsidRPr="00947458" w:rsidRDefault="009068A5" w:rsidP="009579F4">
      <w:pPr>
        <w:spacing w:before="120" w:after="120" w:line="240" w:lineRule="auto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lastRenderedPageBreak/>
        <w:t>Na razminiranju vojnih lokacija provedeno je 255 radnih dana tijekom kojih je ostvareno 59</w:t>
      </w:r>
      <w:r w:rsidR="009579F4" w:rsidRPr="00947458">
        <w:rPr>
          <w:rFonts w:eastAsia="Times New Roman"/>
          <w:szCs w:val="24"/>
        </w:rPr>
        <w:t>.</w:t>
      </w:r>
      <w:r w:rsidRPr="00947458">
        <w:rPr>
          <w:rFonts w:eastAsia="Times New Roman"/>
          <w:szCs w:val="24"/>
        </w:rPr>
        <w:t>944 č/h rada, 260 m/h rada te je prijeđeno 15</w:t>
      </w:r>
      <w:r w:rsidR="009579F4" w:rsidRPr="00947458">
        <w:rPr>
          <w:rFonts w:eastAsia="Times New Roman"/>
          <w:szCs w:val="24"/>
        </w:rPr>
        <w:t>.</w:t>
      </w:r>
      <w:r w:rsidRPr="00947458">
        <w:rPr>
          <w:rFonts w:eastAsia="Times New Roman"/>
          <w:szCs w:val="24"/>
        </w:rPr>
        <w:t xml:space="preserve">539 km puta s vozilima. </w:t>
      </w:r>
    </w:p>
    <w:p w14:paraId="5A014B9C" w14:textId="77777777" w:rsidR="009068A5" w:rsidRPr="00947458" w:rsidRDefault="009068A5" w:rsidP="00947458">
      <w:pPr>
        <w:numPr>
          <w:ilvl w:val="2"/>
          <w:numId w:val="27"/>
        </w:numPr>
        <w:tabs>
          <w:tab w:val="left" w:pos="709"/>
        </w:tabs>
        <w:spacing w:before="240" w:after="120" w:line="240" w:lineRule="auto"/>
        <w:ind w:left="1418" w:hanging="1418"/>
        <w:jc w:val="left"/>
        <w:rPr>
          <w:rFonts w:eastAsia="Times New Roman"/>
          <w:b/>
          <w:szCs w:val="24"/>
        </w:rPr>
      </w:pPr>
      <w:r w:rsidRPr="00947458">
        <w:rPr>
          <w:rFonts w:eastAsia="Times New Roman"/>
          <w:b/>
          <w:szCs w:val="24"/>
        </w:rPr>
        <w:t xml:space="preserve">Provedene zadaće iz Plana: </w:t>
      </w:r>
    </w:p>
    <w:p w14:paraId="7EBE8233" w14:textId="77777777" w:rsidR="009068A5" w:rsidRPr="00947458" w:rsidRDefault="009068A5" w:rsidP="009579F4">
      <w:pPr>
        <w:numPr>
          <w:ilvl w:val="0"/>
          <w:numId w:val="38"/>
        </w:numPr>
        <w:spacing w:line="240" w:lineRule="auto"/>
        <w:contextualSpacing/>
        <w:jc w:val="left"/>
        <w:rPr>
          <w:rFonts w:eastAsia="Times New Roman"/>
          <w:bCs/>
          <w:szCs w:val="24"/>
        </w:rPr>
      </w:pPr>
      <w:r w:rsidRPr="00947458">
        <w:rPr>
          <w:rFonts w:eastAsia="Times New Roman"/>
          <w:bCs/>
          <w:szCs w:val="24"/>
        </w:rPr>
        <w:t xml:space="preserve">POM „Tovar“ Mali Lošinj </w:t>
      </w:r>
      <w:r w:rsidR="00286576" w:rsidRPr="00947458">
        <w:rPr>
          <w:rFonts w:eastAsia="Times New Roman"/>
          <w:bCs/>
          <w:szCs w:val="24"/>
        </w:rPr>
        <w:t>-</w:t>
      </w:r>
      <w:r w:rsidRPr="00947458">
        <w:rPr>
          <w:rFonts w:eastAsia="Times New Roman"/>
          <w:bCs/>
          <w:szCs w:val="24"/>
        </w:rPr>
        <w:t xml:space="preserve"> 367</w:t>
      </w:r>
      <w:r w:rsidR="00286576" w:rsidRPr="00947458">
        <w:rPr>
          <w:rFonts w:eastAsia="Times New Roman"/>
          <w:bCs/>
          <w:szCs w:val="24"/>
        </w:rPr>
        <w:t>.</w:t>
      </w:r>
      <w:r w:rsidRPr="00947458">
        <w:rPr>
          <w:rFonts w:eastAsia="Times New Roman"/>
          <w:bCs/>
          <w:szCs w:val="24"/>
        </w:rPr>
        <w:t>146 m</w:t>
      </w:r>
      <w:r w:rsidRPr="00947458">
        <w:rPr>
          <w:rFonts w:eastAsia="Times New Roman"/>
          <w:szCs w:val="24"/>
          <w:vertAlign w:val="superscript"/>
        </w:rPr>
        <w:t>2</w:t>
      </w:r>
    </w:p>
    <w:p w14:paraId="6D95D942" w14:textId="77777777" w:rsidR="009068A5" w:rsidRPr="00947458" w:rsidRDefault="009068A5" w:rsidP="009579F4">
      <w:pPr>
        <w:numPr>
          <w:ilvl w:val="0"/>
          <w:numId w:val="38"/>
        </w:numPr>
        <w:spacing w:line="240" w:lineRule="auto"/>
        <w:contextualSpacing/>
        <w:jc w:val="left"/>
        <w:rPr>
          <w:rFonts w:eastAsia="Times New Roman"/>
          <w:bCs/>
          <w:szCs w:val="24"/>
        </w:rPr>
      </w:pPr>
      <w:r w:rsidRPr="00947458">
        <w:rPr>
          <w:rFonts w:eastAsia="Times New Roman"/>
          <w:szCs w:val="24"/>
        </w:rPr>
        <w:t xml:space="preserve">Segment „A“ v/p „33. inž. brigade HV“ Karlovac </w:t>
      </w:r>
      <w:r w:rsidR="009579F4" w:rsidRPr="00947458">
        <w:rPr>
          <w:rFonts w:eastAsia="Times New Roman"/>
          <w:szCs w:val="24"/>
        </w:rPr>
        <w:t>-</w:t>
      </w:r>
      <w:r w:rsidRPr="00947458">
        <w:rPr>
          <w:rFonts w:eastAsia="Times New Roman"/>
          <w:szCs w:val="24"/>
        </w:rPr>
        <w:t xml:space="preserve"> 49</w:t>
      </w:r>
      <w:r w:rsidR="009579F4" w:rsidRPr="00947458">
        <w:rPr>
          <w:rFonts w:eastAsia="Times New Roman"/>
          <w:szCs w:val="24"/>
        </w:rPr>
        <w:t>.</w:t>
      </w:r>
      <w:r w:rsidRPr="00947458">
        <w:rPr>
          <w:rFonts w:eastAsia="Times New Roman"/>
          <w:szCs w:val="24"/>
        </w:rPr>
        <w:t xml:space="preserve">329 </w:t>
      </w:r>
      <w:r w:rsidRPr="00947458">
        <w:rPr>
          <w:rFonts w:eastAsia="Times New Roman"/>
          <w:bCs/>
          <w:szCs w:val="24"/>
        </w:rPr>
        <w:t>m</w:t>
      </w:r>
      <w:r w:rsidRPr="00947458">
        <w:rPr>
          <w:rFonts w:eastAsia="Times New Roman"/>
          <w:szCs w:val="24"/>
          <w:vertAlign w:val="superscript"/>
        </w:rPr>
        <w:t>2</w:t>
      </w:r>
      <w:r w:rsidRPr="00947458">
        <w:rPr>
          <w:rFonts w:eastAsia="Times New Roman"/>
          <w:szCs w:val="24"/>
        </w:rPr>
        <w:t xml:space="preserve"> </w:t>
      </w:r>
    </w:p>
    <w:p w14:paraId="28BCA733" w14:textId="77777777" w:rsidR="009068A5" w:rsidRPr="00947458" w:rsidRDefault="009068A5" w:rsidP="009579F4">
      <w:pPr>
        <w:numPr>
          <w:ilvl w:val="0"/>
          <w:numId w:val="38"/>
        </w:numPr>
        <w:spacing w:line="240" w:lineRule="auto"/>
        <w:contextualSpacing/>
        <w:jc w:val="left"/>
        <w:rPr>
          <w:rFonts w:eastAsia="Times New Roman"/>
          <w:bCs/>
          <w:szCs w:val="24"/>
        </w:rPr>
      </w:pPr>
      <w:r w:rsidRPr="00947458">
        <w:rPr>
          <w:rFonts w:eastAsia="Times New Roman"/>
          <w:szCs w:val="24"/>
        </w:rPr>
        <w:t xml:space="preserve">Segment „B“ v/p „33. inž. brigade HV“ Karlovac </w:t>
      </w:r>
      <w:r w:rsidR="009579F4" w:rsidRPr="00947458">
        <w:rPr>
          <w:rFonts w:eastAsia="Times New Roman"/>
          <w:szCs w:val="24"/>
        </w:rPr>
        <w:t>-</w:t>
      </w:r>
      <w:r w:rsidRPr="00947458">
        <w:rPr>
          <w:rFonts w:eastAsia="Times New Roman"/>
          <w:szCs w:val="24"/>
        </w:rPr>
        <w:t xml:space="preserve"> isključeno općim izvidom </w:t>
      </w:r>
    </w:p>
    <w:p w14:paraId="68670A7E" w14:textId="77777777" w:rsidR="009068A5" w:rsidRPr="00947458" w:rsidRDefault="009068A5" w:rsidP="009579F4">
      <w:pPr>
        <w:numPr>
          <w:ilvl w:val="0"/>
          <w:numId w:val="38"/>
        </w:numPr>
        <w:spacing w:line="240" w:lineRule="auto"/>
        <w:contextualSpacing/>
        <w:jc w:val="left"/>
        <w:rPr>
          <w:rFonts w:eastAsia="Times New Roman"/>
          <w:bCs/>
          <w:szCs w:val="24"/>
        </w:rPr>
      </w:pPr>
      <w:r w:rsidRPr="00947458">
        <w:rPr>
          <w:rFonts w:eastAsia="Times New Roman"/>
          <w:szCs w:val="24"/>
        </w:rPr>
        <w:t xml:space="preserve">Segment „D“ v/p „33. inž. brigade HV“ Karlovac </w:t>
      </w:r>
      <w:r w:rsidR="009579F4" w:rsidRPr="00947458">
        <w:rPr>
          <w:rFonts w:eastAsia="Times New Roman"/>
          <w:szCs w:val="24"/>
        </w:rPr>
        <w:t xml:space="preserve">- </w:t>
      </w:r>
      <w:r w:rsidRPr="00947458">
        <w:rPr>
          <w:rFonts w:eastAsia="Times New Roman"/>
          <w:szCs w:val="24"/>
        </w:rPr>
        <w:t>isključeno općim izvidom</w:t>
      </w:r>
    </w:p>
    <w:p w14:paraId="540A821A" w14:textId="77777777" w:rsidR="009068A5" w:rsidRPr="00947458" w:rsidRDefault="009068A5" w:rsidP="009579F4">
      <w:pPr>
        <w:numPr>
          <w:ilvl w:val="0"/>
          <w:numId w:val="38"/>
        </w:numPr>
        <w:spacing w:line="240" w:lineRule="auto"/>
        <w:contextualSpacing/>
        <w:jc w:val="left"/>
        <w:rPr>
          <w:rFonts w:eastAsia="Times New Roman"/>
          <w:bCs/>
          <w:szCs w:val="24"/>
        </w:rPr>
      </w:pPr>
      <w:r w:rsidRPr="00947458">
        <w:rPr>
          <w:rFonts w:eastAsia="Times New Roman"/>
          <w:szCs w:val="24"/>
        </w:rPr>
        <w:t xml:space="preserve">Segment „F“ v/p „33. inž. brigade HV“ Karlovac </w:t>
      </w:r>
      <w:r w:rsidR="009579F4" w:rsidRPr="00947458">
        <w:rPr>
          <w:rFonts w:eastAsia="Times New Roman"/>
          <w:szCs w:val="24"/>
        </w:rPr>
        <w:t>-</w:t>
      </w:r>
      <w:r w:rsidRPr="00947458">
        <w:rPr>
          <w:rFonts w:eastAsia="Times New Roman"/>
          <w:szCs w:val="24"/>
        </w:rPr>
        <w:t xml:space="preserve"> 120</w:t>
      </w:r>
      <w:r w:rsidR="009579F4" w:rsidRPr="00947458">
        <w:rPr>
          <w:rFonts w:eastAsia="Times New Roman"/>
          <w:szCs w:val="24"/>
        </w:rPr>
        <w:t>.</w:t>
      </w:r>
      <w:r w:rsidRPr="00947458">
        <w:rPr>
          <w:rFonts w:eastAsia="Times New Roman"/>
          <w:szCs w:val="24"/>
        </w:rPr>
        <w:t xml:space="preserve">219 </w:t>
      </w:r>
      <w:r w:rsidRPr="00947458">
        <w:rPr>
          <w:rFonts w:eastAsia="Times New Roman"/>
          <w:bCs/>
          <w:szCs w:val="24"/>
        </w:rPr>
        <w:t>m</w:t>
      </w:r>
      <w:r w:rsidRPr="00947458">
        <w:rPr>
          <w:rFonts w:eastAsia="Times New Roman"/>
          <w:szCs w:val="24"/>
          <w:vertAlign w:val="superscript"/>
        </w:rPr>
        <w:t>2</w:t>
      </w:r>
      <w:r w:rsidR="009E3401" w:rsidRPr="00947458">
        <w:rPr>
          <w:rFonts w:eastAsia="Times New Roman"/>
          <w:szCs w:val="24"/>
        </w:rPr>
        <w:t>.</w:t>
      </w:r>
    </w:p>
    <w:p w14:paraId="322E02BA" w14:textId="77777777" w:rsidR="009068A5" w:rsidRPr="00947458" w:rsidRDefault="009068A5" w:rsidP="00947458">
      <w:pPr>
        <w:numPr>
          <w:ilvl w:val="2"/>
          <w:numId w:val="27"/>
        </w:numPr>
        <w:spacing w:before="240" w:after="120" w:line="240" w:lineRule="auto"/>
        <w:ind w:left="709" w:hanging="709"/>
        <w:jc w:val="left"/>
        <w:rPr>
          <w:rFonts w:eastAsia="Times New Roman"/>
          <w:b/>
          <w:szCs w:val="24"/>
        </w:rPr>
      </w:pPr>
      <w:r w:rsidRPr="00947458">
        <w:rPr>
          <w:rFonts w:eastAsia="Times New Roman"/>
          <w:b/>
          <w:szCs w:val="24"/>
        </w:rPr>
        <w:t>Neprovedene zadaće iz Plana:</w:t>
      </w:r>
    </w:p>
    <w:p w14:paraId="2A2B66E6" w14:textId="1021A454" w:rsidR="009068A5" w:rsidRPr="00947458" w:rsidRDefault="009068A5" w:rsidP="00947458">
      <w:pPr>
        <w:pStyle w:val="ListParagraph"/>
        <w:numPr>
          <w:ilvl w:val="0"/>
          <w:numId w:val="38"/>
        </w:numPr>
        <w:tabs>
          <w:tab w:val="left" w:pos="709"/>
        </w:tabs>
        <w:spacing w:after="240"/>
        <w:rPr>
          <w:rFonts w:ascii="Times New Roman" w:hAnsi="Times New Roman" w:cs="Times New Roman"/>
          <w:bCs/>
        </w:rPr>
      </w:pPr>
      <w:r w:rsidRPr="00947458">
        <w:rPr>
          <w:rFonts w:ascii="Times New Roman" w:hAnsi="Times New Roman" w:cs="Times New Roman"/>
        </w:rPr>
        <w:t xml:space="preserve">Vojni poligon „Eugen Kvaternik“, Slunj </w:t>
      </w:r>
      <w:r w:rsidR="009E3401" w:rsidRPr="00947458">
        <w:rPr>
          <w:rFonts w:ascii="Times New Roman" w:hAnsi="Times New Roman" w:cs="Times New Roman"/>
          <w:bCs/>
        </w:rPr>
        <w:t>-</w:t>
      </w:r>
      <w:r w:rsidRPr="00947458">
        <w:rPr>
          <w:rFonts w:ascii="Times New Roman" w:hAnsi="Times New Roman" w:cs="Times New Roman"/>
          <w:bCs/>
        </w:rPr>
        <w:t xml:space="preserve"> pregled, čišćenje i uništavanje NUS-a.</w:t>
      </w:r>
    </w:p>
    <w:p w14:paraId="5E174A6A" w14:textId="77777777" w:rsidR="009068A5" w:rsidRPr="00947458" w:rsidRDefault="009068A5" w:rsidP="009068A5">
      <w:pPr>
        <w:tabs>
          <w:tab w:val="left" w:pos="1134"/>
        </w:tabs>
        <w:spacing w:before="240" w:after="240" w:line="240" w:lineRule="auto"/>
        <w:ind w:left="709"/>
        <w:contextualSpacing/>
        <w:rPr>
          <w:rFonts w:eastAsia="Times New Roman"/>
          <w:b/>
          <w:szCs w:val="24"/>
        </w:rPr>
      </w:pPr>
    </w:p>
    <w:p w14:paraId="3E8E9B93" w14:textId="77777777" w:rsidR="009068A5" w:rsidRPr="00947458" w:rsidRDefault="009068A5" w:rsidP="00455FDC">
      <w:pPr>
        <w:numPr>
          <w:ilvl w:val="1"/>
          <w:numId w:val="29"/>
        </w:numPr>
        <w:tabs>
          <w:tab w:val="left" w:pos="1134"/>
        </w:tabs>
        <w:spacing w:before="240" w:after="240" w:line="240" w:lineRule="auto"/>
        <w:ind w:left="709" w:hanging="709"/>
        <w:contextualSpacing/>
        <w:rPr>
          <w:rFonts w:eastAsia="Times New Roman"/>
          <w:b/>
          <w:szCs w:val="24"/>
        </w:rPr>
      </w:pPr>
      <w:r w:rsidRPr="00947458">
        <w:rPr>
          <w:rFonts w:eastAsia="Times New Roman"/>
          <w:b/>
          <w:szCs w:val="24"/>
        </w:rPr>
        <w:t>RAZMINIRANJE VOJNIH LOKACIJA I GRAĐEVINA IZVAN PLANA RAZMINIRANJA VOJNIH LOKACIJA I/ILI GRAĐEVINA</w:t>
      </w:r>
    </w:p>
    <w:p w14:paraId="7FF332C9" w14:textId="77777777" w:rsidR="009068A5" w:rsidRPr="00947458" w:rsidRDefault="009068A5" w:rsidP="009068A5">
      <w:pPr>
        <w:tabs>
          <w:tab w:val="left" w:pos="1134"/>
        </w:tabs>
        <w:spacing w:before="240" w:after="240" w:line="240" w:lineRule="auto"/>
        <w:ind w:left="709"/>
        <w:contextualSpacing/>
        <w:rPr>
          <w:rFonts w:eastAsia="Times New Roman"/>
          <w:b/>
          <w:szCs w:val="24"/>
        </w:rPr>
      </w:pPr>
      <w:r w:rsidRPr="00947458">
        <w:rPr>
          <w:rFonts w:eastAsia="Times New Roman"/>
          <w:b/>
          <w:szCs w:val="24"/>
        </w:rPr>
        <w:t xml:space="preserve"> </w:t>
      </w:r>
    </w:p>
    <w:p w14:paraId="2FF047CD" w14:textId="77777777" w:rsidR="009068A5" w:rsidRPr="00947458" w:rsidRDefault="009068A5" w:rsidP="0002716D">
      <w:pPr>
        <w:tabs>
          <w:tab w:val="left" w:pos="709"/>
        </w:tabs>
        <w:spacing w:before="200" w:line="240" w:lineRule="auto"/>
        <w:rPr>
          <w:rFonts w:eastAsia="Times New Roman"/>
          <w:spacing w:val="-4"/>
          <w:szCs w:val="24"/>
        </w:rPr>
      </w:pPr>
      <w:r w:rsidRPr="00947458">
        <w:rPr>
          <w:rFonts w:eastAsia="Times New Roman"/>
          <w:spacing w:val="-4"/>
          <w:szCs w:val="24"/>
        </w:rPr>
        <w:t>Provedeno je prikupljanje podataka i prosudba moguće miniranosti radarske postaje „Kozjak“. Tijekom izvida utvrđeno je neslaganje s raspoloživim podacima o miniranosti te je predloženo razminiranje cjelokupnog pojasa oko radarske postaje „Kozjak</w:t>
      </w:r>
      <w:r w:rsidR="00455FDC" w:rsidRPr="00947458">
        <w:rPr>
          <w:rFonts w:eastAsia="Times New Roman"/>
          <w:spacing w:val="-4"/>
          <w:szCs w:val="24"/>
        </w:rPr>
        <w:t>“</w:t>
      </w:r>
      <w:r w:rsidRPr="00947458">
        <w:rPr>
          <w:rFonts w:eastAsia="Times New Roman"/>
          <w:spacing w:val="-4"/>
          <w:szCs w:val="24"/>
        </w:rPr>
        <w:t>, ukupne površine 10</w:t>
      </w:r>
      <w:r w:rsidR="00455FDC" w:rsidRPr="00947458">
        <w:rPr>
          <w:rFonts w:eastAsia="Times New Roman"/>
          <w:spacing w:val="-4"/>
          <w:szCs w:val="24"/>
        </w:rPr>
        <w:t>.</w:t>
      </w:r>
      <w:r w:rsidRPr="00947458">
        <w:rPr>
          <w:rFonts w:eastAsia="Times New Roman"/>
          <w:spacing w:val="-4"/>
          <w:szCs w:val="24"/>
        </w:rPr>
        <w:t>000 m</w:t>
      </w:r>
      <w:r w:rsidRPr="00947458">
        <w:rPr>
          <w:rFonts w:eastAsia="Times New Roman"/>
          <w:spacing w:val="-4"/>
          <w:szCs w:val="24"/>
          <w:vertAlign w:val="superscript"/>
        </w:rPr>
        <w:t>2</w:t>
      </w:r>
      <w:r w:rsidRPr="00947458">
        <w:rPr>
          <w:rFonts w:eastAsia="Times New Roman"/>
          <w:spacing w:val="-4"/>
          <w:szCs w:val="24"/>
        </w:rPr>
        <w:t>.</w:t>
      </w:r>
    </w:p>
    <w:p w14:paraId="2FFF43D6" w14:textId="77777777" w:rsidR="009068A5" w:rsidRPr="00947458" w:rsidRDefault="009068A5" w:rsidP="00455FDC">
      <w:pPr>
        <w:spacing w:after="120" w:line="240" w:lineRule="auto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>Zadaća izvida provedena je u trajanju od jednog radnog dana, ostvareno je 32 č/h rada ljudi i 752 km rada vozila, a financijski troškovi stvoreni provedbom ove zadaće su 447,67 eura.</w:t>
      </w:r>
    </w:p>
    <w:p w14:paraId="6EDA43B4" w14:textId="77777777" w:rsidR="009068A5" w:rsidRPr="00947458" w:rsidRDefault="009068A5" w:rsidP="00455FDC">
      <w:pPr>
        <w:autoSpaceDE w:val="0"/>
        <w:autoSpaceDN w:val="0"/>
        <w:adjustRightInd w:val="0"/>
        <w:spacing w:after="120" w:line="240" w:lineRule="auto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 xml:space="preserve">Proveden je kontrolni pregled na mjestu pronalaska NUS-a na području vojarne „Josip Jović“ u Udbini sa zadaćom prikupljanja podataka o postojanju zagađenosti prostora i procjenom postojećeg stanja. </w:t>
      </w:r>
    </w:p>
    <w:p w14:paraId="46643DDC" w14:textId="77777777" w:rsidR="009068A5" w:rsidRPr="00947458" w:rsidRDefault="009068A5" w:rsidP="00455FDC">
      <w:pPr>
        <w:autoSpaceDE w:val="0"/>
        <w:autoSpaceDN w:val="0"/>
        <w:adjustRightInd w:val="0"/>
        <w:spacing w:after="120" w:line="240" w:lineRule="auto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>Površina kontrolnog pregleda nalazila se na području južne strane vojarne, istočno od borove šume „Borje</w:t>
      </w:r>
      <w:r w:rsidR="00455FDC" w:rsidRPr="00947458">
        <w:rPr>
          <w:rFonts w:eastAsia="Times New Roman"/>
          <w:szCs w:val="24"/>
        </w:rPr>
        <w:t>“</w:t>
      </w:r>
      <w:r w:rsidRPr="00947458">
        <w:rPr>
          <w:rFonts w:eastAsia="Times New Roman"/>
          <w:szCs w:val="24"/>
        </w:rPr>
        <w:t xml:space="preserve"> u blizini križanja putova prema poletno-sletnoj stazi i istočno prema ogradi vojarne. Pregledom su obuhvaćene površina dimenzije oko 30 x 30 m te pristup površini za pregled dimenzije 3 x 50 m, od postojećeg puta do površine za kontrolni pregled, što ukupno iznosi 1</w:t>
      </w:r>
      <w:r w:rsidR="00455FDC" w:rsidRPr="00947458">
        <w:rPr>
          <w:rFonts w:eastAsia="Times New Roman"/>
          <w:szCs w:val="24"/>
        </w:rPr>
        <w:t>.</w:t>
      </w:r>
      <w:r w:rsidRPr="00947458">
        <w:rPr>
          <w:rFonts w:eastAsia="Times New Roman"/>
          <w:szCs w:val="24"/>
        </w:rPr>
        <w:t>0</w:t>
      </w:r>
      <w:r w:rsidR="00455FDC" w:rsidRPr="00947458">
        <w:rPr>
          <w:rFonts w:eastAsia="Times New Roman"/>
          <w:szCs w:val="24"/>
        </w:rPr>
        <w:t>50</w:t>
      </w:r>
      <w:r w:rsidRPr="00947458">
        <w:rPr>
          <w:rFonts w:eastAsia="Times New Roman"/>
          <w:szCs w:val="24"/>
        </w:rPr>
        <w:t xml:space="preserve"> m</w:t>
      </w:r>
      <w:r w:rsidRPr="00947458">
        <w:rPr>
          <w:rFonts w:eastAsia="Times New Roman"/>
          <w:szCs w:val="24"/>
          <w:vertAlign w:val="superscript"/>
        </w:rPr>
        <w:t>2</w:t>
      </w:r>
      <w:r w:rsidRPr="00947458">
        <w:rPr>
          <w:rFonts w:eastAsia="Times New Roman"/>
          <w:szCs w:val="24"/>
        </w:rPr>
        <w:t>.</w:t>
      </w:r>
    </w:p>
    <w:p w14:paraId="0EA6094D" w14:textId="77777777" w:rsidR="009068A5" w:rsidRPr="00947458" w:rsidRDefault="009068A5" w:rsidP="00455FDC">
      <w:pPr>
        <w:spacing w:after="120" w:line="240" w:lineRule="auto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 xml:space="preserve">Zadaća kontrolnog pregleda provedena je u trajanju od tri radna dana u kojoj je ostvareno 96 č/h rada ljudi i 357 km rada vozila, a financijski troškovi stvoreni provedbom ove zadaće iznose 1.174,59 eura. </w:t>
      </w:r>
      <w:r w:rsidRPr="00947458">
        <w:rPr>
          <w:szCs w:val="24"/>
          <w:lang w:eastAsia="en-US"/>
        </w:rPr>
        <w:t>Tijekom kontrolnog pregleda nije bilo pronalazaka eksplozivnih sredstava te se procijenilo da predmetna lokacija nije zagađena MES-om i NUS-om.</w:t>
      </w:r>
    </w:p>
    <w:p w14:paraId="12BF836D" w14:textId="77777777" w:rsidR="009068A5" w:rsidRPr="00947458" w:rsidRDefault="009068A5" w:rsidP="00F17CF4">
      <w:pPr>
        <w:numPr>
          <w:ilvl w:val="0"/>
          <w:numId w:val="26"/>
        </w:numPr>
        <w:spacing w:before="240" w:after="240" w:line="240" w:lineRule="auto"/>
        <w:ind w:left="709" w:hanging="709"/>
        <w:rPr>
          <w:rFonts w:eastAsia="Times New Roman"/>
          <w:b/>
          <w:szCs w:val="24"/>
        </w:rPr>
      </w:pPr>
      <w:r w:rsidRPr="00947458">
        <w:rPr>
          <w:rFonts w:eastAsia="Times New Roman"/>
          <w:b/>
          <w:szCs w:val="24"/>
        </w:rPr>
        <w:t>TROŠKOVI IZVRŠENJA RADOVA RAZMINIRANJA I PRETRAŽIVANJA U 2025.</w:t>
      </w:r>
    </w:p>
    <w:p w14:paraId="5821A5C4" w14:textId="71CC4BAA" w:rsidR="009068A5" w:rsidRPr="00947458" w:rsidRDefault="009068A5" w:rsidP="00F17CF4">
      <w:pPr>
        <w:spacing w:before="240" w:after="120" w:line="240" w:lineRule="auto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>Planirana financijska sredstva za provedbu Plana u 2025. iznosila su 755.927,25 eura, a ukupni nastali troškovi provedbom</w:t>
      </w:r>
      <w:r w:rsidR="0002716D">
        <w:rPr>
          <w:rFonts w:eastAsia="Times New Roman"/>
          <w:szCs w:val="24"/>
        </w:rPr>
        <w:t xml:space="preserve"> </w:t>
      </w:r>
      <w:r w:rsidRPr="00947458">
        <w:rPr>
          <w:rFonts w:eastAsia="Times New Roman"/>
          <w:szCs w:val="24"/>
        </w:rPr>
        <w:t xml:space="preserve">razminiranja u 2025. iznosili su 529.868,12 eura. </w:t>
      </w:r>
    </w:p>
    <w:p w14:paraId="1DE140BF" w14:textId="77777777" w:rsidR="009068A5" w:rsidRPr="00947458" w:rsidRDefault="009068A5" w:rsidP="00F17CF4">
      <w:pPr>
        <w:numPr>
          <w:ilvl w:val="0"/>
          <w:numId w:val="26"/>
        </w:numPr>
        <w:spacing w:before="240" w:after="240" w:line="240" w:lineRule="auto"/>
        <w:ind w:left="709" w:hanging="709"/>
        <w:jc w:val="left"/>
        <w:rPr>
          <w:rFonts w:eastAsia="Times New Roman"/>
          <w:b/>
          <w:szCs w:val="24"/>
        </w:rPr>
      </w:pPr>
      <w:r w:rsidRPr="00947458">
        <w:rPr>
          <w:rFonts w:eastAsia="Times New Roman"/>
          <w:b/>
          <w:szCs w:val="24"/>
        </w:rPr>
        <w:t>ZAKLJUČAK</w:t>
      </w:r>
    </w:p>
    <w:p w14:paraId="657DB27B" w14:textId="77777777" w:rsidR="009068A5" w:rsidRPr="00947458" w:rsidRDefault="009068A5" w:rsidP="00F17CF4">
      <w:pPr>
        <w:spacing w:before="120" w:after="120" w:line="240" w:lineRule="auto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>Oružane snage Republike Hrvatske na provedbi radova razminiranja angažirale su za to opremljenu i osposobljenu inženjerijsku postrojbu optimalno koristeći dostupne resurse.</w:t>
      </w:r>
    </w:p>
    <w:p w14:paraId="22350362" w14:textId="77777777" w:rsidR="009068A5" w:rsidRPr="00947458" w:rsidRDefault="009068A5" w:rsidP="00F17CF4">
      <w:pPr>
        <w:spacing w:before="240" w:after="120" w:line="240" w:lineRule="auto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>Svi radovi razminiranja vojnih lokacija i građevina provedeni su na uspješan i učinkovit način bez izvanrednih događaja, što ukazuje na dobru obučenost i dosljednu primjenu propisanih procedura i standarda humanitarnog razminiranja.</w:t>
      </w:r>
    </w:p>
    <w:p w14:paraId="66CF9340" w14:textId="77777777" w:rsidR="009068A5" w:rsidRPr="00947458" w:rsidRDefault="009068A5" w:rsidP="009068A5">
      <w:pPr>
        <w:spacing w:line="240" w:lineRule="auto"/>
        <w:ind w:firstLine="708"/>
        <w:rPr>
          <w:rFonts w:eastAsia="Times New Roman"/>
          <w:b/>
          <w:szCs w:val="24"/>
        </w:rPr>
      </w:pPr>
    </w:p>
    <w:p w14:paraId="4450F77C" w14:textId="77777777" w:rsidR="009068A5" w:rsidRPr="00947458" w:rsidRDefault="009068A5" w:rsidP="009068A5">
      <w:pPr>
        <w:spacing w:line="240" w:lineRule="auto"/>
        <w:ind w:firstLine="708"/>
        <w:rPr>
          <w:rFonts w:eastAsia="Times New Roman"/>
          <w:b/>
          <w:szCs w:val="24"/>
        </w:rPr>
      </w:pPr>
      <w:r w:rsidRPr="00947458">
        <w:rPr>
          <w:rFonts w:eastAsia="Times New Roman"/>
          <w:b/>
          <w:szCs w:val="24"/>
        </w:rPr>
        <w:t>VOJNI POLIGON „EUGEN KVATERNIK“ SLUNJ</w:t>
      </w:r>
    </w:p>
    <w:p w14:paraId="713325D6" w14:textId="77777777" w:rsidR="009068A5" w:rsidRPr="00947458" w:rsidRDefault="009068A5" w:rsidP="009068A5">
      <w:pPr>
        <w:spacing w:line="240" w:lineRule="auto"/>
        <w:ind w:firstLine="708"/>
        <w:rPr>
          <w:rFonts w:eastAsia="Times New Roman"/>
          <w:b/>
          <w:szCs w:val="24"/>
        </w:rPr>
      </w:pPr>
    </w:p>
    <w:p w14:paraId="523F821F" w14:textId="77777777" w:rsidR="009068A5" w:rsidRPr="00947458" w:rsidRDefault="009068A5" w:rsidP="00F17CF4">
      <w:pPr>
        <w:spacing w:line="240" w:lineRule="auto"/>
        <w:rPr>
          <w:rFonts w:eastAsia="Times New Roman"/>
          <w:szCs w:val="24"/>
        </w:rPr>
      </w:pPr>
      <w:r w:rsidRPr="00947458">
        <w:rPr>
          <w:rFonts w:eastAsia="Times New Roman"/>
          <w:spacing w:val="2"/>
          <w:szCs w:val="24"/>
        </w:rPr>
        <w:t>Na temelju Odluke o davanju prethodnog odobrenja za razminiranje perspektivne vojne</w:t>
      </w:r>
      <w:r w:rsidRPr="00947458">
        <w:rPr>
          <w:rFonts w:eastAsia="Times New Roman"/>
          <w:szCs w:val="24"/>
        </w:rPr>
        <w:t xml:space="preserve"> lokacije </w:t>
      </w:r>
      <w:r w:rsidR="00F17CF4" w:rsidRPr="00947458">
        <w:rPr>
          <w:rFonts w:eastAsia="Times New Roman"/>
          <w:szCs w:val="24"/>
        </w:rPr>
        <w:t>-</w:t>
      </w:r>
      <w:r w:rsidRPr="00947458">
        <w:rPr>
          <w:rFonts w:eastAsia="Times New Roman"/>
          <w:szCs w:val="24"/>
        </w:rPr>
        <w:t xml:space="preserve"> vojnog poligona „Eugen Kvaternik“ </w:t>
      </w:r>
      <w:r w:rsidR="00F17CF4" w:rsidRPr="00947458">
        <w:rPr>
          <w:rFonts w:eastAsia="Times New Roman"/>
          <w:szCs w:val="24"/>
        </w:rPr>
        <w:t xml:space="preserve">u </w:t>
      </w:r>
      <w:r w:rsidRPr="00947458">
        <w:rPr>
          <w:rFonts w:eastAsia="Times New Roman"/>
          <w:szCs w:val="24"/>
        </w:rPr>
        <w:t>Slunj</w:t>
      </w:r>
      <w:r w:rsidR="00F17CF4" w:rsidRPr="00947458">
        <w:rPr>
          <w:rFonts w:eastAsia="Times New Roman"/>
          <w:szCs w:val="24"/>
        </w:rPr>
        <w:t>u</w:t>
      </w:r>
      <w:r w:rsidRPr="00947458">
        <w:rPr>
          <w:rFonts w:eastAsia="Times New Roman"/>
          <w:szCs w:val="24"/>
        </w:rPr>
        <w:t xml:space="preserve">, KLASA: 022-03/24-04/171, </w:t>
      </w:r>
      <w:r w:rsidR="00F17CF4" w:rsidRPr="00947458">
        <w:rPr>
          <w:rFonts w:eastAsia="Times New Roman"/>
          <w:szCs w:val="24"/>
        </w:rPr>
        <w:br/>
      </w:r>
      <w:r w:rsidRPr="00947458">
        <w:rPr>
          <w:rFonts w:eastAsia="Times New Roman"/>
          <w:szCs w:val="24"/>
        </w:rPr>
        <w:t>URBROJ: 50301-29/09-24-2, od 15. travnja 2024.</w:t>
      </w:r>
      <w:r w:rsidR="00F17CF4" w:rsidRPr="00947458">
        <w:rPr>
          <w:rFonts w:eastAsia="Times New Roman"/>
          <w:szCs w:val="24"/>
        </w:rPr>
        <w:t>,</w:t>
      </w:r>
      <w:r w:rsidRPr="00947458">
        <w:rPr>
          <w:rFonts w:eastAsia="Times New Roman"/>
          <w:szCs w:val="24"/>
        </w:rPr>
        <w:t xml:space="preserve"> Ministarstvo unutarnjih poslova, Ravnateljstvo civilne zaštite, Hrvatski centar za razminiranje nastavio je razminiranje preostalog minski sumnjivog prostora na vojnom poligonu.</w:t>
      </w:r>
    </w:p>
    <w:p w14:paraId="696FB102" w14:textId="77777777" w:rsidR="009068A5" w:rsidRPr="00947458" w:rsidRDefault="009068A5" w:rsidP="009068A5">
      <w:pPr>
        <w:spacing w:line="240" w:lineRule="auto"/>
        <w:ind w:firstLine="708"/>
        <w:rPr>
          <w:rFonts w:eastAsia="Times New Roman"/>
          <w:szCs w:val="24"/>
        </w:rPr>
      </w:pPr>
    </w:p>
    <w:p w14:paraId="7CE67A15" w14:textId="3F1005A5" w:rsidR="009068A5" w:rsidRPr="00A27630" w:rsidRDefault="009068A5" w:rsidP="009068A5">
      <w:pPr>
        <w:spacing w:line="240" w:lineRule="auto"/>
        <w:rPr>
          <w:rFonts w:eastAsia="Times New Roman"/>
          <w:szCs w:val="24"/>
        </w:rPr>
      </w:pPr>
      <w:r w:rsidRPr="00947458">
        <w:rPr>
          <w:rFonts w:eastAsia="Times New Roman"/>
          <w:szCs w:val="24"/>
        </w:rPr>
        <w:t>Na temelju indikacija na području Bršljenovac, Hrvatski centar za razminiranje preporučio je da se dodatno pregleda površina od oko 15</w:t>
      </w:r>
      <w:r w:rsidR="00F17CF4" w:rsidRPr="00947458">
        <w:rPr>
          <w:rFonts w:eastAsia="Times New Roman"/>
          <w:szCs w:val="24"/>
        </w:rPr>
        <w:t>.</w:t>
      </w:r>
      <w:r w:rsidRPr="00947458">
        <w:rPr>
          <w:rFonts w:eastAsia="Times New Roman"/>
          <w:szCs w:val="24"/>
        </w:rPr>
        <w:t>000 m² radi otklanjanja rezidualnog rizika na tretiranoj površini, što će početkom 2026. provesti inženjerijska postrojba Oružanih snaga Republike Hrvatske.</w:t>
      </w:r>
      <w:r w:rsidRPr="00A27630">
        <w:rPr>
          <w:rFonts w:eastAsia="Times New Roman"/>
          <w:szCs w:val="24"/>
        </w:rPr>
        <w:t xml:space="preserve"> </w:t>
      </w:r>
    </w:p>
    <w:p w14:paraId="30E66819" w14:textId="77777777" w:rsidR="00B35F64" w:rsidRPr="00A27630" w:rsidRDefault="00B35F64" w:rsidP="009068A5">
      <w:pPr>
        <w:spacing w:line="240" w:lineRule="auto"/>
        <w:jc w:val="left"/>
        <w:rPr>
          <w:sz w:val="28"/>
          <w:szCs w:val="28"/>
        </w:rPr>
      </w:pPr>
    </w:p>
    <w:sectPr w:rsidR="00B35F64" w:rsidRPr="00A27630" w:rsidSect="00C80B94">
      <w:footerReference w:type="default" r:id="rId16"/>
      <w:headerReference w:type="first" r:id="rId17"/>
      <w:footnotePr>
        <w:numFmt w:val="chicago"/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6CDC" w14:textId="77777777" w:rsidR="00DA1F10" w:rsidRDefault="00DA1F10">
      <w:pPr>
        <w:spacing w:line="240" w:lineRule="auto"/>
      </w:pPr>
      <w:r>
        <w:separator/>
      </w:r>
    </w:p>
    <w:p w14:paraId="224E1435" w14:textId="77777777" w:rsidR="00DA1F10" w:rsidRDefault="00DA1F10"/>
  </w:endnote>
  <w:endnote w:type="continuationSeparator" w:id="0">
    <w:p w14:paraId="046AE495" w14:textId="77777777" w:rsidR="00DA1F10" w:rsidRDefault="00DA1F10">
      <w:pPr>
        <w:spacing w:line="240" w:lineRule="auto"/>
      </w:pPr>
      <w:r>
        <w:continuationSeparator/>
      </w:r>
    </w:p>
    <w:p w14:paraId="13CFC9DA" w14:textId="77777777" w:rsidR="00DA1F10" w:rsidRDefault="00DA1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CAA0" w14:textId="77777777" w:rsidR="00C80B94" w:rsidRPr="00C80B94" w:rsidRDefault="00C80B94" w:rsidP="00C80B94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80B94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D6A1" w14:textId="77777777" w:rsidR="00E971EA" w:rsidRPr="004057F4" w:rsidRDefault="00E971EA" w:rsidP="00405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4ACE" w14:textId="77777777" w:rsidR="00DA1F10" w:rsidRDefault="00DA1F10">
      <w:pPr>
        <w:spacing w:line="240" w:lineRule="auto"/>
      </w:pPr>
      <w:r>
        <w:separator/>
      </w:r>
    </w:p>
    <w:p w14:paraId="7D41A11E" w14:textId="77777777" w:rsidR="00DA1F10" w:rsidRDefault="00DA1F10"/>
  </w:footnote>
  <w:footnote w:type="continuationSeparator" w:id="0">
    <w:p w14:paraId="71434A4D" w14:textId="77777777" w:rsidR="00DA1F10" w:rsidRDefault="00DA1F10">
      <w:pPr>
        <w:spacing w:line="240" w:lineRule="auto"/>
      </w:pPr>
      <w:r>
        <w:continuationSeparator/>
      </w:r>
    </w:p>
    <w:p w14:paraId="3D865A6B" w14:textId="77777777" w:rsidR="00DA1F10" w:rsidRDefault="00DA1F10"/>
  </w:footnote>
  <w:footnote w:id="1">
    <w:p w14:paraId="04D35BE4" w14:textId="77777777" w:rsidR="00E971EA" w:rsidRDefault="00E971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B4DBB">
        <w:rPr>
          <w:i/>
        </w:rPr>
        <w:t xml:space="preserve">Ako se općim izvidom </w:t>
      </w:r>
      <w:r>
        <w:rPr>
          <w:i/>
        </w:rPr>
        <w:t>-</w:t>
      </w:r>
      <w:r w:rsidRPr="002B4DBB">
        <w:rPr>
          <w:i/>
        </w:rPr>
        <w:t xml:space="preserve"> analizom MSP-a za neko područje ne može sa sigurnošću utvrditi nepostojanje sumnje u zagađenost područja MES-om, NUS-om i njihovim dijelovima, to se područje proglašava minski sumnjivim te se provodi obilježavanje tog područja, sukladno odredbama Zakona i propisa donesenih na temelju Zakona.</w:t>
      </w:r>
    </w:p>
  </w:footnote>
  <w:footnote w:id="2">
    <w:p w14:paraId="3B78F459" w14:textId="77777777" w:rsidR="00E971EA" w:rsidRDefault="00E971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74A3">
        <w:rPr>
          <w:i/>
        </w:rPr>
        <w:t>Površina isključena poslovima</w:t>
      </w:r>
      <w:r>
        <w:rPr>
          <w:i/>
        </w:rPr>
        <w:t xml:space="preserve"> razminiranja</w:t>
      </w:r>
      <w:r w:rsidRPr="00FF74A3">
        <w:rPr>
          <w:i/>
        </w:rPr>
        <w:t xml:space="preserve"> odnosi se na područja za koja je izdana Potvrda o isključenju područja iz MSP-a, koja se izdaje nakon završetka svih poslova razminiranja prema idejnom planu razminiranja</w:t>
      </w:r>
      <w:r>
        <w:rPr>
          <w:i/>
        </w:rPr>
        <w:t>, analize i provedene geodetske izmjere</w:t>
      </w:r>
      <w:r w:rsidRPr="00FF74A3">
        <w:rPr>
          <w:i/>
        </w:rPr>
        <w:t xml:space="preserve"> za to područje</w:t>
      </w:r>
      <w:r>
        <w:rPr>
          <w:i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D108" w14:textId="77777777" w:rsidR="00E971EA" w:rsidRDefault="00E971E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31738">
      <w:rPr>
        <w:noProof/>
      </w:rPr>
      <w:t>14</w:t>
    </w:r>
    <w:r>
      <w:fldChar w:fldCharType="end"/>
    </w:r>
  </w:p>
  <w:p w14:paraId="5E0FD135" w14:textId="77777777" w:rsidR="00E971EA" w:rsidRDefault="00E971EA">
    <w:pPr>
      <w:pStyle w:val="Header"/>
    </w:pPr>
  </w:p>
  <w:p w14:paraId="1FD9CC07" w14:textId="77777777" w:rsidR="00E971EA" w:rsidRDefault="00E971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15FB" w14:textId="77777777" w:rsidR="00E971EA" w:rsidRDefault="00E97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5CA"/>
    <w:multiLevelType w:val="hybridMultilevel"/>
    <w:tmpl w:val="B6FA0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854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3468A"/>
    <w:multiLevelType w:val="hybridMultilevel"/>
    <w:tmpl w:val="C658D59E"/>
    <w:lvl w:ilvl="0" w:tplc="AF28150E">
      <w:start w:val="3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56105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604FFC0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7D0A78A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5B2BDB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38B84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4284350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5140D4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3ECD4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22E78"/>
    <w:multiLevelType w:val="hybridMultilevel"/>
    <w:tmpl w:val="183617AC"/>
    <w:lvl w:ilvl="0" w:tplc="6212AC0A">
      <w:start w:val="1"/>
      <w:numFmt w:val="bullet"/>
      <w:pStyle w:val="cilj-podcilj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033F2"/>
    <w:multiLevelType w:val="hybridMultilevel"/>
    <w:tmpl w:val="EEBE71F4"/>
    <w:lvl w:ilvl="0" w:tplc="38628B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30876"/>
    <w:multiLevelType w:val="hybridMultilevel"/>
    <w:tmpl w:val="816C7E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14E15"/>
    <w:multiLevelType w:val="hybridMultilevel"/>
    <w:tmpl w:val="5F967A54"/>
    <w:lvl w:ilvl="0" w:tplc="38628B5C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8582CFF"/>
    <w:multiLevelType w:val="hybridMultilevel"/>
    <w:tmpl w:val="BDB6755C"/>
    <w:lvl w:ilvl="0" w:tplc="B62A0F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4465F"/>
    <w:multiLevelType w:val="hybridMultilevel"/>
    <w:tmpl w:val="79C2A116"/>
    <w:lvl w:ilvl="0" w:tplc="55A29346">
      <w:start w:val="5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86E1C"/>
    <w:multiLevelType w:val="hybridMultilevel"/>
    <w:tmpl w:val="5DA040E0"/>
    <w:lvl w:ilvl="0" w:tplc="8F727F9E">
      <w:start w:val="60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F55DF"/>
    <w:multiLevelType w:val="hybridMultilevel"/>
    <w:tmpl w:val="4C248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4BCF"/>
    <w:multiLevelType w:val="hybridMultilevel"/>
    <w:tmpl w:val="6ABC230C"/>
    <w:lvl w:ilvl="0" w:tplc="422030F0">
      <w:start w:val="1"/>
      <w:numFmt w:val="decimal"/>
      <w:lvlText w:val="1.%1."/>
      <w:lvlJc w:val="left"/>
      <w:pPr>
        <w:ind w:left="360" w:hanging="360"/>
      </w:pPr>
      <w:rPr>
        <w:rFonts w:ascii="Arial" w:hAnsi="Arial" w:hint="default"/>
        <w:b/>
        <w:i w:val="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632BC"/>
    <w:multiLevelType w:val="multilevel"/>
    <w:tmpl w:val="5D88A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C356E3"/>
    <w:multiLevelType w:val="multilevel"/>
    <w:tmpl w:val="EE70E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2F52AB"/>
    <w:multiLevelType w:val="hybridMultilevel"/>
    <w:tmpl w:val="68166D08"/>
    <w:lvl w:ilvl="0" w:tplc="402086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215649F"/>
    <w:multiLevelType w:val="hybridMultilevel"/>
    <w:tmpl w:val="D6DC4424"/>
    <w:lvl w:ilvl="0" w:tplc="38628B5C">
      <w:start w:val="1"/>
      <w:numFmt w:val="bullet"/>
      <w:lvlText w:val="-"/>
      <w:lvlJc w:val="left"/>
      <w:pPr>
        <w:ind w:left="1152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4635136D"/>
    <w:multiLevelType w:val="hybridMultilevel"/>
    <w:tmpl w:val="6B8434B6"/>
    <w:lvl w:ilvl="0" w:tplc="2BC480AA">
      <w:start w:val="1"/>
      <w:numFmt w:val="decimal"/>
      <w:pStyle w:val="Listabrojcana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E5DAD"/>
    <w:multiLevelType w:val="hybridMultilevel"/>
    <w:tmpl w:val="59349192"/>
    <w:lvl w:ilvl="0" w:tplc="7684473C">
      <w:numFmt w:val="bullet"/>
      <w:lvlText w:val="-"/>
      <w:lvlJc w:val="left"/>
      <w:pPr>
        <w:ind w:left="2090" w:hanging="141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4C772982"/>
    <w:multiLevelType w:val="hybridMultilevel"/>
    <w:tmpl w:val="C0F61E64"/>
    <w:lvl w:ilvl="0" w:tplc="2A04488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37F88"/>
    <w:multiLevelType w:val="hybridMultilevel"/>
    <w:tmpl w:val="660E9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32A1B"/>
    <w:multiLevelType w:val="multilevel"/>
    <w:tmpl w:val="FB906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084A0C"/>
    <w:multiLevelType w:val="hybridMultilevel"/>
    <w:tmpl w:val="D50CE76A"/>
    <w:lvl w:ilvl="0" w:tplc="74B02426">
      <w:start w:val="1"/>
      <w:numFmt w:val="bullet"/>
      <w:pStyle w:val="Lis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10C2D"/>
    <w:multiLevelType w:val="hybridMultilevel"/>
    <w:tmpl w:val="C7163C42"/>
    <w:lvl w:ilvl="0" w:tplc="10C82946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FA16730"/>
    <w:multiLevelType w:val="hybridMultilevel"/>
    <w:tmpl w:val="E5E28E4A"/>
    <w:lvl w:ilvl="0" w:tplc="9770223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67CE4"/>
    <w:multiLevelType w:val="hybridMultilevel"/>
    <w:tmpl w:val="FC68C174"/>
    <w:lvl w:ilvl="0" w:tplc="B62A0F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2317A"/>
    <w:multiLevelType w:val="hybridMultilevel"/>
    <w:tmpl w:val="C5F4A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A61F4"/>
    <w:multiLevelType w:val="multilevel"/>
    <w:tmpl w:val="37A62D24"/>
    <w:lvl w:ilvl="0">
      <w:start w:val="1"/>
      <w:numFmt w:val="decimal"/>
      <w:lvlText w:val="%1.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522282"/>
    <w:multiLevelType w:val="hybridMultilevel"/>
    <w:tmpl w:val="9806B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F7B06"/>
    <w:multiLevelType w:val="multilevel"/>
    <w:tmpl w:val="6D023F8A"/>
    <w:lvl w:ilvl="0">
      <w:start w:val="1"/>
      <w:numFmt w:val="decimal"/>
      <w:pStyle w:val="Razina1"/>
      <w:lvlText w:val="%1."/>
      <w:lvlJc w:val="left"/>
      <w:pPr>
        <w:ind w:left="1776" w:hanging="357"/>
      </w:pPr>
      <w:rPr>
        <w:rFonts w:hint="default"/>
      </w:rPr>
    </w:lvl>
    <w:lvl w:ilvl="1">
      <w:start w:val="2"/>
      <w:numFmt w:val="decimal"/>
      <w:pStyle w:val="Razina2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Razina3"/>
      <w:isLgl/>
      <w:lvlText w:val="%1.%2.%3."/>
      <w:lvlJc w:val="left"/>
      <w:pPr>
        <w:tabs>
          <w:tab w:val="num" w:pos="1220"/>
        </w:tabs>
        <w:ind w:left="1220" w:hanging="794"/>
      </w:pPr>
      <w:rPr>
        <w:rFonts w:hint="default"/>
      </w:rPr>
    </w:lvl>
    <w:lvl w:ilvl="3">
      <w:start w:val="1"/>
      <w:numFmt w:val="decimal"/>
      <w:pStyle w:val="Razina4"/>
      <w:isLgl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Razina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6D639BD"/>
    <w:multiLevelType w:val="hybridMultilevel"/>
    <w:tmpl w:val="B25E3B76"/>
    <w:lvl w:ilvl="0" w:tplc="07DE41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15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8"/>
  </w:num>
  <w:num w:numId="7">
    <w:abstractNumId w:val="10"/>
  </w:num>
  <w:num w:numId="8">
    <w:abstractNumId w:val="20"/>
  </w:num>
  <w:num w:numId="9">
    <w:abstractNumId w:val="26"/>
  </w:num>
  <w:num w:numId="10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1"/>
  </w:num>
  <w:num w:numId="17">
    <w:abstractNumId w:val="16"/>
  </w:num>
  <w:num w:numId="18">
    <w:abstractNumId w:val="4"/>
  </w:num>
  <w:num w:numId="19">
    <w:abstractNumId w:val="9"/>
  </w:num>
  <w:num w:numId="20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19"/>
  </w:num>
  <w:num w:numId="28">
    <w:abstractNumId w:val="12"/>
  </w:num>
  <w:num w:numId="29">
    <w:abstractNumId w:val="11"/>
  </w:num>
  <w:num w:numId="30">
    <w:abstractNumId w:val="13"/>
  </w:num>
  <w:num w:numId="31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0"/>
  </w:num>
  <w:num w:numId="34">
    <w:abstractNumId w:val="23"/>
  </w:num>
  <w:num w:numId="35">
    <w:abstractNumId w:val="25"/>
  </w:num>
  <w:num w:numId="36">
    <w:abstractNumId w:val="1"/>
  </w:num>
  <w:num w:numId="37">
    <w:abstractNumId w:val="7"/>
  </w:num>
  <w:num w:numId="38">
    <w:abstractNumId w:val="5"/>
  </w:num>
  <w:num w:numId="39">
    <w:abstractNumId w:val="1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5C"/>
    <w:rsid w:val="000013B2"/>
    <w:rsid w:val="00004341"/>
    <w:rsid w:val="000125E6"/>
    <w:rsid w:val="00020257"/>
    <w:rsid w:val="0002040B"/>
    <w:rsid w:val="0002716D"/>
    <w:rsid w:val="00032936"/>
    <w:rsid w:val="00033DAA"/>
    <w:rsid w:val="00040031"/>
    <w:rsid w:val="00046F04"/>
    <w:rsid w:val="00050814"/>
    <w:rsid w:val="00051753"/>
    <w:rsid w:val="00052617"/>
    <w:rsid w:val="00064441"/>
    <w:rsid w:val="00065FE3"/>
    <w:rsid w:val="00070AC9"/>
    <w:rsid w:val="000808E1"/>
    <w:rsid w:val="000904B7"/>
    <w:rsid w:val="000971E5"/>
    <w:rsid w:val="000A1ABD"/>
    <w:rsid w:val="000B0E09"/>
    <w:rsid w:val="000B29D9"/>
    <w:rsid w:val="000B5273"/>
    <w:rsid w:val="000D0501"/>
    <w:rsid w:val="000D1685"/>
    <w:rsid w:val="000D3445"/>
    <w:rsid w:val="000D5C49"/>
    <w:rsid w:val="000D70AF"/>
    <w:rsid w:val="000E4B37"/>
    <w:rsid w:val="000E7BDD"/>
    <w:rsid w:val="000F298B"/>
    <w:rsid w:val="000F4C70"/>
    <w:rsid w:val="000F4CAA"/>
    <w:rsid w:val="00104992"/>
    <w:rsid w:val="00120EB9"/>
    <w:rsid w:val="00122161"/>
    <w:rsid w:val="00130684"/>
    <w:rsid w:val="00142060"/>
    <w:rsid w:val="0015527F"/>
    <w:rsid w:val="00165DE0"/>
    <w:rsid w:val="001674E9"/>
    <w:rsid w:val="00167B22"/>
    <w:rsid w:val="00173285"/>
    <w:rsid w:val="00177618"/>
    <w:rsid w:val="001805FF"/>
    <w:rsid w:val="0018154A"/>
    <w:rsid w:val="00183AD0"/>
    <w:rsid w:val="0019435E"/>
    <w:rsid w:val="001A1290"/>
    <w:rsid w:val="001A1783"/>
    <w:rsid w:val="001A2610"/>
    <w:rsid w:val="001A48C5"/>
    <w:rsid w:val="001A58AF"/>
    <w:rsid w:val="001A69ED"/>
    <w:rsid w:val="001A7717"/>
    <w:rsid w:val="001B3BD7"/>
    <w:rsid w:val="001B788F"/>
    <w:rsid w:val="001C0A57"/>
    <w:rsid w:val="001C2635"/>
    <w:rsid w:val="001C3001"/>
    <w:rsid w:val="001C6563"/>
    <w:rsid w:val="001C7211"/>
    <w:rsid w:val="001D0C03"/>
    <w:rsid w:val="001E1271"/>
    <w:rsid w:val="001F3962"/>
    <w:rsid w:val="001F535F"/>
    <w:rsid w:val="0020162E"/>
    <w:rsid w:val="00201EE2"/>
    <w:rsid w:val="00207BE9"/>
    <w:rsid w:val="002178D8"/>
    <w:rsid w:val="00225B68"/>
    <w:rsid w:val="00232783"/>
    <w:rsid w:val="0024183D"/>
    <w:rsid w:val="0025217E"/>
    <w:rsid w:val="00263736"/>
    <w:rsid w:val="00263CEA"/>
    <w:rsid w:val="00273BC3"/>
    <w:rsid w:val="002769B3"/>
    <w:rsid w:val="00282E48"/>
    <w:rsid w:val="00284DF8"/>
    <w:rsid w:val="00286576"/>
    <w:rsid w:val="002942D6"/>
    <w:rsid w:val="002A158C"/>
    <w:rsid w:val="002A2282"/>
    <w:rsid w:val="002A42DC"/>
    <w:rsid w:val="002B34EF"/>
    <w:rsid w:val="002B4DBB"/>
    <w:rsid w:val="002D1F5A"/>
    <w:rsid w:val="002D61C8"/>
    <w:rsid w:val="002E0F93"/>
    <w:rsid w:val="002E28FF"/>
    <w:rsid w:val="002E5675"/>
    <w:rsid w:val="002E7FE4"/>
    <w:rsid w:val="002F1DED"/>
    <w:rsid w:val="002F48B6"/>
    <w:rsid w:val="002F6C2B"/>
    <w:rsid w:val="00300FA4"/>
    <w:rsid w:val="003016A8"/>
    <w:rsid w:val="00311972"/>
    <w:rsid w:val="003167C2"/>
    <w:rsid w:val="0032267A"/>
    <w:rsid w:val="0032451E"/>
    <w:rsid w:val="00324FE7"/>
    <w:rsid w:val="003269F4"/>
    <w:rsid w:val="003310C0"/>
    <w:rsid w:val="00331182"/>
    <w:rsid w:val="0034115C"/>
    <w:rsid w:val="003459C4"/>
    <w:rsid w:val="00347CB0"/>
    <w:rsid w:val="00353041"/>
    <w:rsid w:val="00361277"/>
    <w:rsid w:val="003617FF"/>
    <w:rsid w:val="003657DE"/>
    <w:rsid w:val="003663EE"/>
    <w:rsid w:val="00373139"/>
    <w:rsid w:val="00376FC1"/>
    <w:rsid w:val="0037723E"/>
    <w:rsid w:val="003810AE"/>
    <w:rsid w:val="00383E9D"/>
    <w:rsid w:val="00385D96"/>
    <w:rsid w:val="003A0A0D"/>
    <w:rsid w:val="003A3EC3"/>
    <w:rsid w:val="003A496D"/>
    <w:rsid w:val="003A5BE6"/>
    <w:rsid w:val="003A6C5E"/>
    <w:rsid w:val="003B15E2"/>
    <w:rsid w:val="003B1DCE"/>
    <w:rsid w:val="003B69D5"/>
    <w:rsid w:val="003D131E"/>
    <w:rsid w:val="003D1837"/>
    <w:rsid w:val="003D432D"/>
    <w:rsid w:val="003D4579"/>
    <w:rsid w:val="003F0390"/>
    <w:rsid w:val="003F1BDC"/>
    <w:rsid w:val="003F20B2"/>
    <w:rsid w:val="004007B2"/>
    <w:rsid w:val="0040432B"/>
    <w:rsid w:val="004057F4"/>
    <w:rsid w:val="00411DCF"/>
    <w:rsid w:val="0041445C"/>
    <w:rsid w:val="0041685A"/>
    <w:rsid w:val="00426A6B"/>
    <w:rsid w:val="00434213"/>
    <w:rsid w:val="00436961"/>
    <w:rsid w:val="004549D1"/>
    <w:rsid w:val="00455FDC"/>
    <w:rsid w:val="0046139D"/>
    <w:rsid w:val="00464AD9"/>
    <w:rsid w:val="0047244A"/>
    <w:rsid w:val="00474206"/>
    <w:rsid w:val="0047568E"/>
    <w:rsid w:val="0047771A"/>
    <w:rsid w:val="004854A6"/>
    <w:rsid w:val="00485545"/>
    <w:rsid w:val="00486D33"/>
    <w:rsid w:val="004876C3"/>
    <w:rsid w:val="0049180E"/>
    <w:rsid w:val="0049191F"/>
    <w:rsid w:val="00496AEC"/>
    <w:rsid w:val="004A27EC"/>
    <w:rsid w:val="004A329A"/>
    <w:rsid w:val="004A61B7"/>
    <w:rsid w:val="004C320A"/>
    <w:rsid w:val="004C343B"/>
    <w:rsid w:val="004C5703"/>
    <w:rsid w:val="004C6886"/>
    <w:rsid w:val="004C70E9"/>
    <w:rsid w:val="004E32B0"/>
    <w:rsid w:val="004E7F7A"/>
    <w:rsid w:val="004F3B7F"/>
    <w:rsid w:val="004F495D"/>
    <w:rsid w:val="004F7449"/>
    <w:rsid w:val="00504D37"/>
    <w:rsid w:val="00505A2C"/>
    <w:rsid w:val="00505BCE"/>
    <w:rsid w:val="005075B3"/>
    <w:rsid w:val="00514F21"/>
    <w:rsid w:val="0051692E"/>
    <w:rsid w:val="00522124"/>
    <w:rsid w:val="00523773"/>
    <w:rsid w:val="0052410F"/>
    <w:rsid w:val="00524FE8"/>
    <w:rsid w:val="00526E71"/>
    <w:rsid w:val="00531093"/>
    <w:rsid w:val="00544246"/>
    <w:rsid w:val="00554CA4"/>
    <w:rsid w:val="00555AB8"/>
    <w:rsid w:val="00561582"/>
    <w:rsid w:val="00571E17"/>
    <w:rsid w:val="00580F89"/>
    <w:rsid w:val="005840E6"/>
    <w:rsid w:val="00591BCE"/>
    <w:rsid w:val="00594B1C"/>
    <w:rsid w:val="00596F96"/>
    <w:rsid w:val="005A2A53"/>
    <w:rsid w:val="005A396B"/>
    <w:rsid w:val="005A6A40"/>
    <w:rsid w:val="005A7198"/>
    <w:rsid w:val="005B1255"/>
    <w:rsid w:val="005B14AA"/>
    <w:rsid w:val="005B2D48"/>
    <w:rsid w:val="005B586A"/>
    <w:rsid w:val="005C365D"/>
    <w:rsid w:val="005C4994"/>
    <w:rsid w:val="005D01D7"/>
    <w:rsid w:val="005D13F6"/>
    <w:rsid w:val="005D416B"/>
    <w:rsid w:val="005D719C"/>
    <w:rsid w:val="005E1951"/>
    <w:rsid w:val="005F1207"/>
    <w:rsid w:val="005F22D3"/>
    <w:rsid w:val="005F24CA"/>
    <w:rsid w:val="006012D2"/>
    <w:rsid w:val="00604F6B"/>
    <w:rsid w:val="00614FAD"/>
    <w:rsid w:val="00617864"/>
    <w:rsid w:val="00620E09"/>
    <w:rsid w:val="00625669"/>
    <w:rsid w:val="00626428"/>
    <w:rsid w:val="006368E1"/>
    <w:rsid w:val="006532C4"/>
    <w:rsid w:val="00663456"/>
    <w:rsid w:val="00663FED"/>
    <w:rsid w:val="00665485"/>
    <w:rsid w:val="006724AF"/>
    <w:rsid w:val="00673A73"/>
    <w:rsid w:val="00675178"/>
    <w:rsid w:val="00676AE2"/>
    <w:rsid w:val="00676C04"/>
    <w:rsid w:val="006816BF"/>
    <w:rsid w:val="006824BC"/>
    <w:rsid w:val="00685389"/>
    <w:rsid w:val="00693068"/>
    <w:rsid w:val="00693AA2"/>
    <w:rsid w:val="006941ED"/>
    <w:rsid w:val="00697B3D"/>
    <w:rsid w:val="006A1BE0"/>
    <w:rsid w:val="006A1DB1"/>
    <w:rsid w:val="006A233D"/>
    <w:rsid w:val="006A50D7"/>
    <w:rsid w:val="006A621C"/>
    <w:rsid w:val="006C4E9E"/>
    <w:rsid w:val="006D0F44"/>
    <w:rsid w:val="006D5002"/>
    <w:rsid w:val="006E0CCB"/>
    <w:rsid w:val="006E11CB"/>
    <w:rsid w:val="006E5AB9"/>
    <w:rsid w:val="006E7297"/>
    <w:rsid w:val="00700A05"/>
    <w:rsid w:val="00704B6A"/>
    <w:rsid w:val="007057E2"/>
    <w:rsid w:val="00717922"/>
    <w:rsid w:val="007232BE"/>
    <w:rsid w:val="00725A72"/>
    <w:rsid w:val="0072758E"/>
    <w:rsid w:val="007277DE"/>
    <w:rsid w:val="007309D8"/>
    <w:rsid w:val="00732491"/>
    <w:rsid w:val="00747F4D"/>
    <w:rsid w:val="00753B63"/>
    <w:rsid w:val="00755464"/>
    <w:rsid w:val="007731CF"/>
    <w:rsid w:val="007749F4"/>
    <w:rsid w:val="00775545"/>
    <w:rsid w:val="00783591"/>
    <w:rsid w:val="00786269"/>
    <w:rsid w:val="00786DF8"/>
    <w:rsid w:val="0079013E"/>
    <w:rsid w:val="00790B5A"/>
    <w:rsid w:val="00791406"/>
    <w:rsid w:val="007943D3"/>
    <w:rsid w:val="0079538E"/>
    <w:rsid w:val="007A5759"/>
    <w:rsid w:val="007C0BB3"/>
    <w:rsid w:val="007C3AE2"/>
    <w:rsid w:val="007D20D7"/>
    <w:rsid w:val="007D561A"/>
    <w:rsid w:val="007D56FF"/>
    <w:rsid w:val="007D7ECA"/>
    <w:rsid w:val="007F4170"/>
    <w:rsid w:val="007F7DB2"/>
    <w:rsid w:val="008014CF"/>
    <w:rsid w:val="00803838"/>
    <w:rsid w:val="00810A1B"/>
    <w:rsid w:val="00810ECF"/>
    <w:rsid w:val="00827930"/>
    <w:rsid w:val="00834A0D"/>
    <w:rsid w:val="00836F6F"/>
    <w:rsid w:val="0084375B"/>
    <w:rsid w:val="0084560A"/>
    <w:rsid w:val="00847F0C"/>
    <w:rsid w:val="0085410C"/>
    <w:rsid w:val="00855485"/>
    <w:rsid w:val="008554DC"/>
    <w:rsid w:val="008607BA"/>
    <w:rsid w:val="00890706"/>
    <w:rsid w:val="008B54AC"/>
    <w:rsid w:val="008B7A62"/>
    <w:rsid w:val="008C7B8C"/>
    <w:rsid w:val="008D0BB0"/>
    <w:rsid w:val="008D1556"/>
    <w:rsid w:val="008D1F60"/>
    <w:rsid w:val="008D370C"/>
    <w:rsid w:val="008D49FC"/>
    <w:rsid w:val="008D4EA7"/>
    <w:rsid w:val="008D5595"/>
    <w:rsid w:val="008D5C6A"/>
    <w:rsid w:val="008E3BCF"/>
    <w:rsid w:val="008F6303"/>
    <w:rsid w:val="00901E6F"/>
    <w:rsid w:val="009068A5"/>
    <w:rsid w:val="0090752F"/>
    <w:rsid w:val="0093121E"/>
    <w:rsid w:val="00933495"/>
    <w:rsid w:val="009351D9"/>
    <w:rsid w:val="009402FD"/>
    <w:rsid w:val="00947458"/>
    <w:rsid w:val="00947FDD"/>
    <w:rsid w:val="00955C99"/>
    <w:rsid w:val="009579F4"/>
    <w:rsid w:val="00962358"/>
    <w:rsid w:val="00962CD3"/>
    <w:rsid w:val="00966EA5"/>
    <w:rsid w:val="00976C70"/>
    <w:rsid w:val="00987C88"/>
    <w:rsid w:val="0099240F"/>
    <w:rsid w:val="00994E87"/>
    <w:rsid w:val="009A185B"/>
    <w:rsid w:val="009A6154"/>
    <w:rsid w:val="009B6092"/>
    <w:rsid w:val="009C306B"/>
    <w:rsid w:val="009C6AD5"/>
    <w:rsid w:val="009D2479"/>
    <w:rsid w:val="009D736F"/>
    <w:rsid w:val="009E2D88"/>
    <w:rsid w:val="009E3401"/>
    <w:rsid w:val="009E4907"/>
    <w:rsid w:val="009F7792"/>
    <w:rsid w:val="00A03710"/>
    <w:rsid w:val="00A063D6"/>
    <w:rsid w:val="00A12B13"/>
    <w:rsid w:val="00A15EA9"/>
    <w:rsid w:val="00A27630"/>
    <w:rsid w:val="00A27B36"/>
    <w:rsid w:val="00A30CA6"/>
    <w:rsid w:val="00A31CA9"/>
    <w:rsid w:val="00A343A8"/>
    <w:rsid w:val="00A40010"/>
    <w:rsid w:val="00A42E50"/>
    <w:rsid w:val="00A43A1B"/>
    <w:rsid w:val="00A467FB"/>
    <w:rsid w:val="00A624AD"/>
    <w:rsid w:val="00A70446"/>
    <w:rsid w:val="00A752B5"/>
    <w:rsid w:val="00A82031"/>
    <w:rsid w:val="00AA26A6"/>
    <w:rsid w:val="00AA2EB7"/>
    <w:rsid w:val="00AB07EA"/>
    <w:rsid w:val="00AB3A4A"/>
    <w:rsid w:val="00AB55A2"/>
    <w:rsid w:val="00AB598C"/>
    <w:rsid w:val="00AD497F"/>
    <w:rsid w:val="00AF28C8"/>
    <w:rsid w:val="00B11DDA"/>
    <w:rsid w:val="00B145BF"/>
    <w:rsid w:val="00B16F2E"/>
    <w:rsid w:val="00B20142"/>
    <w:rsid w:val="00B2231B"/>
    <w:rsid w:val="00B274EA"/>
    <w:rsid w:val="00B34D08"/>
    <w:rsid w:val="00B35F64"/>
    <w:rsid w:val="00B416B0"/>
    <w:rsid w:val="00B424B2"/>
    <w:rsid w:val="00B4514B"/>
    <w:rsid w:val="00B454C8"/>
    <w:rsid w:val="00B5564C"/>
    <w:rsid w:val="00B7259C"/>
    <w:rsid w:val="00B818BE"/>
    <w:rsid w:val="00B83198"/>
    <w:rsid w:val="00B91706"/>
    <w:rsid w:val="00B972BF"/>
    <w:rsid w:val="00BA0362"/>
    <w:rsid w:val="00BA4917"/>
    <w:rsid w:val="00BA4BA1"/>
    <w:rsid w:val="00BC6F7C"/>
    <w:rsid w:val="00BD64C3"/>
    <w:rsid w:val="00BD7D9E"/>
    <w:rsid w:val="00BE0490"/>
    <w:rsid w:val="00BE160D"/>
    <w:rsid w:val="00BF054F"/>
    <w:rsid w:val="00BF1E3E"/>
    <w:rsid w:val="00BF2169"/>
    <w:rsid w:val="00BF47F8"/>
    <w:rsid w:val="00C034F4"/>
    <w:rsid w:val="00C11EE2"/>
    <w:rsid w:val="00C12AD5"/>
    <w:rsid w:val="00C263EB"/>
    <w:rsid w:val="00C27AB0"/>
    <w:rsid w:val="00C27FDD"/>
    <w:rsid w:val="00C368FA"/>
    <w:rsid w:val="00C44A37"/>
    <w:rsid w:val="00C46E97"/>
    <w:rsid w:val="00C5046F"/>
    <w:rsid w:val="00C5256D"/>
    <w:rsid w:val="00C66625"/>
    <w:rsid w:val="00C7087A"/>
    <w:rsid w:val="00C75F5D"/>
    <w:rsid w:val="00C80B94"/>
    <w:rsid w:val="00C85C95"/>
    <w:rsid w:val="00C93955"/>
    <w:rsid w:val="00C93B58"/>
    <w:rsid w:val="00CB299B"/>
    <w:rsid w:val="00CD0C7F"/>
    <w:rsid w:val="00CD5A5D"/>
    <w:rsid w:val="00CE74B3"/>
    <w:rsid w:val="00CE7551"/>
    <w:rsid w:val="00CF01C5"/>
    <w:rsid w:val="00CF6E00"/>
    <w:rsid w:val="00D008B6"/>
    <w:rsid w:val="00D014F3"/>
    <w:rsid w:val="00D1008A"/>
    <w:rsid w:val="00D20EC4"/>
    <w:rsid w:val="00D3089C"/>
    <w:rsid w:val="00D31738"/>
    <w:rsid w:val="00D327C3"/>
    <w:rsid w:val="00D3322C"/>
    <w:rsid w:val="00D4703A"/>
    <w:rsid w:val="00D47BB3"/>
    <w:rsid w:val="00D52234"/>
    <w:rsid w:val="00D55EAC"/>
    <w:rsid w:val="00D6160E"/>
    <w:rsid w:val="00D653F3"/>
    <w:rsid w:val="00D73B8D"/>
    <w:rsid w:val="00D76E27"/>
    <w:rsid w:val="00D80849"/>
    <w:rsid w:val="00D84B1F"/>
    <w:rsid w:val="00D86371"/>
    <w:rsid w:val="00D87F44"/>
    <w:rsid w:val="00DA06BD"/>
    <w:rsid w:val="00DA1F10"/>
    <w:rsid w:val="00DA36F8"/>
    <w:rsid w:val="00DB3751"/>
    <w:rsid w:val="00DB4D60"/>
    <w:rsid w:val="00DC43FD"/>
    <w:rsid w:val="00DC46FA"/>
    <w:rsid w:val="00DD0BC9"/>
    <w:rsid w:val="00DD4552"/>
    <w:rsid w:val="00DD583D"/>
    <w:rsid w:val="00DD6E10"/>
    <w:rsid w:val="00DE4F6B"/>
    <w:rsid w:val="00DE6F44"/>
    <w:rsid w:val="00DF4A68"/>
    <w:rsid w:val="00DF5271"/>
    <w:rsid w:val="00E018B6"/>
    <w:rsid w:val="00E05D6A"/>
    <w:rsid w:val="00E10A09"/>
    <w:rsid w:val="00E10F13"/>
    <w:rsid w:val="00E27F27"/>
    <w:rsid w:val="00E341B4"/>
    <w:rsid w:val="00E34C9C"/>
    <w:rsid w:val="00E454E9"/>
    <w:rsid w:val="00E47180"/>
    <w:rsid w:val="00E518A6"/>
    <w:rsid w:val="00E600A7"/>
    <w:rsid w:val="00E62AB9"/>
    <w:rsid w:val="00E63373"/>
    <w:rsid w:val="00E648D0"/>
    <w:rsid w:val="00E65D42"/>
    <w:rsid w:val="00E710AF"/>
    <w:rsid w:val="00E741AD"/>
    <w:rsid w:val="00E822B8"/>
    <w:rsid w:val="00E86C27"/>
    <w:rsid w:val="00E94C97"/>
    <w:rsid w:val="00E971EA"/>
    <w:rsid w:val="00EA1B30"/>
    <w:rsid w:val="00EA454D"/>
    <w:rsid w:val="00EB598F"/>
    <w:rsid w:val="00EC0303"/>
    <w:rsid w:val="00ED0764"/>
    <w:rsid w:val="00ED09D7"/>
    <w:rsid w:val="00ED3066"/>
    <w:rsid w:val="00EE1405"/>
    <w:rsid w:val="00EF36E9"/>
    <w:rsid w:val="00EF7F0D"/>
    <w:rsid w:val="00F04380"/>
    <w:rsid w:val="00F04A5F"/>
    <w:rsid w:val="00F059F1"/>
    <w:rsid w:val="00F119B5"/>
    <w:rsid w:val="00F152B4"/>
    <w:rsid w:val="00F1763D"/>
    <w:rsid w:val="00F17CF4"/>
    <w:rsid w:val="00F355BE"/>
    <w:rsid w:val="00F36DAB"/>
    <w:rsid w:val="00F4124C"/>
    <w:rsid w:val="00F41F55"/>
    <w:rsid w:val="00F477EF"/>
    <w:rsid w:val="00F50B68"/>
    <w:rsid w:val="00F61C87"/>
    <w:rsid w:val="00F624FA"/>
    <w:rsid w:val="00F66AE9"/>
    <w:rsid w:val="00F67C08"/>
    <w:rsid w:val="00F7004B"/>
    <w:rsid w:val="00F70696"/>
    <w:rsid w:val="00F731A2"/>
    <w:rsid w:val="00F81A5F"/>
    <w:rsid w:val="00F856BC"/>
    <w:rsid w:val="00F93281"/>
    <w:rsid w:val="00F9474E"/>
    <w:rsid w:val="00FA058D"/>
    <w:rsid w:val="00FC234F"/>
    <w:rsid w:val="00FC3B97"/>
    <w:rsid w:val="00FC5E28"/>
    <w:rsid w:val="00FD202F"/>
    <w:rsid w:val="00FE5974"/>
    <w:rsid w:val="00FE67F2"/>
    <w:rsid w:val="00FF0229"/>
    <w:rsid w:val="00FF2FF2"/>
    <w:rsid w:val="00FF3329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412E"/>
  <w15:chartTrackingRefBased/>
  <w15:docId w15:val="{30B23E66-6E7B-47EE-BB7C-73A46ABE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358"/>
    <w:pPr>
      <w:spacing w:line="2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15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15C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qFormat/>
    <w:rsid w:val="004F495D"/>
    <w:pPr>
      <w:tabs>
        <w:tab w:val="right" w:pos="9072"/>
      </w:tabs>
      <w:spacing w:line="240" w:lineRule="auto"/>
      <w:jc w:val="left"/>
    </w:pPr>
    <w:rPr>
      <w:sz w:val="18"/>
    </w:rPr>
  </w:style>
  <w:style w:type="character" w:customStyle="1" w:styleId="Heading1Char">
    <w:name w:val="Heading 1 Char"/>
    <w:link w:val="Heading1"/>
    <w:uiPriority w:val="9"/>
    <w:rsid w:val="0034115C"/>
    <w:rPr>
      <w:rFonts w:ascii="Times New Roman" w:eastAsia="Times New Roman" w:hAnsi="Times New Roman" w:cs="Times New Roman"/>
      <w:b/>
      <w:bCs/>
      <w:kern w:val="32"/>
      <w:sz w:val="32"/>
      <w:szCs w:val="32"/>
      <w:lang w:eastAsia="hr-HR"/>
    </w:rPr>
  </w:style>
  <w:style w:type="character" w:customStyle="1" w:styleId="Heading2Char">
    <w:name w:val="Heading 2 Char"/>
    <w:link w:val="Heading2"/>
    <w:uiPriority w:val="9"/>
    <w:semiHidden/>
    <w:rsid w:val="0034115C"/>
    <w:rPr>
      <w:rFonts w:ascii="Times New Roman" w:eastAsia="Times New Roman" w:hAnsi="Times New Roman" w:cs="Times New Roman"/>
      <w:b/>
      <w:bCs/>
      <w:i/>
      <w:iCs/>
      <w:sz w:val="28"/>
      <w:szCs w:val="28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34115C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Char">
    <w:name w:val="Naslov Char"/>
    <w:link w:val="Naslov1"/>
    <w:rsid w:val="0034115C"/>
    <w:rPr>
      <w:rFonts w:ascii="Calibri Light" w:eastAsia="Times New Roman" w:hAnsi="Calibri Light" w:cs="Times New Roman"/>
      <w:spacing w:val="-10"/>
      <w:kern w:val="28"/>
      <w:sz w:val="56"/>
      <w:szCs w:val="56"/>
      <w:lang w:eastAsia="hr-HR"/>
    </w:rPr>
  </w:style>
  <w:style w:type="character" w:customStyle="1" w:styleId="TitleChar">
    <w:name w:val="Title Char"/>
    <w:link w:val="Title"/>
    <w:uiPriority w:val="10"/>
    <w:rsid w:val="0034115C"/>
    <w:rPr>
      <w:rFonts w:ascii="Times New Roman" w:eastAsia="Times New Roman" w:hAnsi="Times New Roman" w:cs="Times New Roman"/>
      <w:b/>
      <w:bCs/>
      <w:kern w:val="28"/>
      <w:sz w:val="32"/>
      <w:szCs w:val="32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15C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SubtitleChar">
    <w:name w:val="Subtitle Char"/>
    <w:link w:val="Subtitle"/>
    <w:uiPriority w:val="11"/>
    <w:rsid w:val="003411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1">
    <w:name w:val="Naslov1"/>
    <w:basedOn w:val="Normal"/>
    <w:next w:val="Normal"/>
    <w:link w:val="NaslovChar"/>
    <w:qFormat/>
    <w:rsid w:val="0034115C"/>
    <w:pPr>
      <w:spacing w:after="120"/>
      <w:jc w:val="center"/>
    </w:pPr>
    <w:rPr>
      <w:rFonts w:ascii="Calibri Light" w:eastAsia="Times New Roman" w:hAnsi="Calibri Light"/>
      <w:spacing w:val="-10"/>
      <w:kern w:val="28"/>
      <w:sz w:val="56"/>
      <w:szCs w:val="56"/>
    </w:rPr>
  </w:style>
  <w:style w:type="paragraph" w:customStyle="1" w:styleId="Razina1">
    <w:name w:val="Razina1"/>
    <w:basedOn w:val="Normal"/>
    <w:next w:val="Normal"/>
    <w:autoRedefine/>
    <w:qFormat/>
    <w:rsid w:val="00DC46FA"/>
    <w:pPr>
      <w:keepNext/>
      <w:numPr>
        <w:numId w:val="2"/>
      </w:numPr>
      <w:spacing w:before="680" w:after="400" w:line="0" w:lineRule="atLeast"/>
      <w:ind w:left="709" w:hanging="709"/>
    </w:pPr>
    <w:rPr>
      <w:rFonts w:cs="Arial"/>
      <w:b/>
      <w:caps/>
      <w:szCs w:val="24"/>
      <w:lang w:eastAsia="en-US"/>
    </w:rPr>
  </w:style>
  <w:style w:type="paragraph" w:customStyle="1" w:styleId="Razina2">
    <w:name w:val="Razina2"/>
    <w:basedOn w:val="Normal"/>
    <w:next w:val="Normal"/>
    <w:link w:val="Razina2Char"/>
    <w:qFormat/>
    <w:rsid w:val="00962358"/>
    <w:pPr>
      <w:keepNext/>
      <w:numPr>
        <w:ilvl w:val="1"/>
        <w:numId w:val="2"/>
      </w:numPr>
      <w:spacing w:before="560" w:after="320" w:line="240" w:lineRule="auto"/>
    </w:pPr>
    <w:rPr>
      <w:rFonts w:cs="Arial"/>
      <w:b/>
      <w:szCs w:val="24"/>
      <w:lang w:eastAsia="en-US"/>
    </w:rPr>
  </w:style>
  <w:style w:type="paragraph" w:customStyle="1" w:styleId="Listabrojcana">
    <w:name w:val="Lista_brojcana"/>
    <w:basedOn w:val="Normal"/>
    <w:link w:val="ListabrojcanaChar"/>
    <w:qFormat/>
    <w:rsid w:val="0034115C"/>
    <w:pPr>
      <w:numPr>
        <w:numId w:val="3"/>
      </w:numPr>
      <w:spacing w:after="80"/>
      <w:ind w:left="397" w:hanging="397"/>
    </w:pPr>
    <w:rPr>
      <w:rFonts w:cs="Arial"/>
      <w:szCs w:val="24"/>
      <w:lang w:eastAsia="en-US"/>
    </w:rPr>
  </w:style>
  <w:style w:type="character" w:customStyle="1" w:styleId="Razina2Char">
    <w:name w:val="Razina2 Char"/>
    <w:link w:val="Razina2"/>
    <w:rsid w:val="00962358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abrojcanaChar">
    <w:name w:val="Lista_brojcana Char"/>
    <w:link w:val="Listabrojcana"/>
    <w:rsid w:val="0034115C"/>
    <w:rPr>
      <w:rFonts w:ascii="Times New Roman" w:eastAsia="Calibri" w:hAnsi="Times New Roman" w:cs="Arial"/>
      <w:sz w:val="24"/>
      <w:szCs w:val="24"/>
    </w:rPr>
  </w:style>
  <w:style w:type="paragraph" w:customStyle="1" w:styleId="Razina3">
    <w:name w:val="Razina3"/>
    <w:basedOn w:val="Razina2"/>
    <w:link w:val="Razina3Char"/>
    <w:qFormat/>
    <w:rsid w:val="00962358"/>
    <w:pPr>
      <w:numPr>
        <w:ilvl w:val="2"/>
      </w:numPr>
      <w:tabs>
        <w:tab w:val="clear" w:pos="1220"/>
        <w:tab w:val="num" w:pos="794"/>
      </w:tabs>
      <w:spacing w:before="400"/>
      <w:ind w:left="794"/>
    </w:pPr>
    <w:rPr>
      <w:i/>
      <w:szCs w:val="22"/>
    </w:rPr>
  </w:style>
  <w:style w:type="paragraph" w:customStyle="1" w:styleId="Razina4">
    <w:name w:val="Razina4"/>
    <w:basedOn w:val="Razina3"/>
    <w:qFormat/>
    <w:rsid w:val="0034115C"/>
    <w:pPr>
      <w:numPr>
        <w:ilvl w:val="3"/>
      </w:numPr>
    </w:pPr>
    <w:rPr>
      <w:b w:val="0"/>
    </w:rPr>
  </w:style>
  <w:style w:type="paragraph" w:customStyle="1" w:styleId="Razina5">
    <w:name w:val="Razina5"/>
    <w:basedOn w:val="Razina4"/>
    <w:qFormat/>
    <w:rsid w:val="0034115C"/>
    <w:pPr>
      <w:numPr>
        <w:ilvl w:val="4"/>
      </w:numPr>
    </w:pPr>
  </w:style>
  <w:style w:type="table" w:styleId="TableGrid">
    <w:name w:val="Table Grid"/>
    <w:basedOn w:val="TableNormal"/>
    <w:uiPriority w:val="59"/>
    <w:rsid w:val="00341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icaheader">
    <w:name w:val="tablica_header"/>
    <w:basedOn w:val="Normal"/>
    <w:link w:val="tablicaheaderChar"/>
    <w:qFormat/>
    <w:rsid w:val="0034115C"/>
    <w:pPr>
      <w:jc w:val="center"/>
    </w:pPr>
    <w:rPr>
      <w:b/>
      <w:sz w:val="18"/>
    </w:rPr>
  </w:style>
  <w:style w:type="paragraph" w:customStyle="1" w:styleId="tablicatekst">
    <w:name w:val="tablica_tekst"/>
    <w:basedOn w:val="Normal"/>
    <w:link w:val="tablicatekstChar"/>
    <w:qFormat/>
    <w:rsid w:val="0034115C"/>
    <w:pPr>
      <w:jc w:val="center"/>
    </w:pPr>
    <w:rPr>
      <w:sz w:val="18"/>
      <w:szCs w:val="20"/>
    </w:rPr>
  </w:style>
  <w:style w:type="character" w:customStyle="1" w:styleId="tablicaheaderChar">
    <w:name w:val="tablica_header Char"/>
    <w:link w:val="tablicaheader"/>
    <w:rsid w:val="0034115C"/>
    <w:rPr>
      <w:rFonts w:ascii="Times New Roman" w:eastAsia="Calibri" w:hAnsi="Times New Roman" w:cs="Times New Roman"/>
      <w:b/>
      <w:sz w:val="18"/>
      <w:lang w:eastAsia="hr-HR"/>
    </w:rPr>
  </w:style>
  <w:style w:type="paragraph" w:customStyle="1" w:styleId="tablicacaption">
    <w:name w:val="tablica_caption"/>
    <w:basedOn w:val="Normal"/>
    <w:link w:val="tablicacaptionChar"/>
    <w:qFormat/>
    <w:rsid w:val="00962358"/>
    <w:pPr>
      <w:spacing w:before="100" w:line="0" w:lineRule="atLeast"/>
      <w:jc w:val="center"/>
    </w:pPr>
    <w:rPr>
      <w:b/>
      <w:i/>
      <w:sz w:val="18"/>
      <w:szCs w:val="18"/>
    </w:rPr>
  </w:style>
  <w:style w:type="character" w:customStyle="1" w:styleId="tablicatekstChar">
    <w:name w:val="tablica_tekst Char"/>
    <w:link w:val="tablicatekst"/>
    <w:rsid w:val="0034115C"/>
    <w:rPr>
      <w:rFonts w:ascii="Times New Roman" w:eastAsia="Calibri" w:hAnsi="Times New Roman" w:cs="Times New Roman"/>
      <w:sz w:val="18"/>
      <w:szCs w:val="20"/>
      <w:lang w:eastAsia="hr-HR"/>
    </w:rPr>
  </w:style>
  <w:style w:type="paragraph" w:customStyle="1" w:styleId="Naslovtablice">
    <w:name w:val="Naslov_tablice"/>
    <w:basedOn w:val="Caption"/>
    <w:next w:val="Normal"/>
    <w:link w:val="NaslovtabliceChar"/>
    <w:qFormat/>
    <w:rsid w:val="0034115C"/>
    <w:pPr>
      <w:spacing w:before="20"/>
      <w:contextualSpacing/>
      <w:jc w:val="center"/>
    </w:pPr>
    <w:rPr>
      <w:i/>
      <w:sz w:val="18"/>
      <w:lang w:eastAsia="en-US"/>
    </w:rPr>
  </w:style>
  <w:style w:type="character" w:customStyle="1" w:styleId="tablicacaptionChar">
    <w:name w:val="tablica_caption Char"/>
    <w:link w:val="tablicacaption"/>
    <w:rsid w:val="00962358"/>
    <w:rPr>
      <w:rFonts w:ascii="Times New Roman" w:hAnsi="Times New Roman"/>
      <w:b/>
      <w:i/>
      <w:sz w:val="18"/>
      <w:szCs w:val="18"/>
    </w:rPr>
  </w:style>
  <w:style w:type="character" w:customStyle="1" w:styleId="NaslovtabliceChar">
    <w:name w:val="Naslov_tablice Char"/>
    <w:link w:val="Naslovtablice"/>
    <w:rsid w:val="0034115C"/>
    <w:rPr>
      <w:rFonts w:ascii="Times New Roman" w:eastAsia="Calibri" w:hAnsi="Times New Roman" w:cs="Times New Roman"/>
      <w:b/>
      <w:bCs/>
      <w:i/>
      <w:sz w:val="18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115C"/>
    <w:rPr>
      <w:b/>
      <w:bCs/>
      <w:sz w:val="20"/>
      <w:szCs w:val="20"/>
    </w:rPr>
  </w:style>
  <w:style w:type="paragraph" w:customStyle="1" w:styleId="Listabullet">
    <w:name w:val="Lista_bullet"/>
    <w:basedOn w:val="Normal"/>
    <w:link w:val="ListabulletChar"/>
    <w:qFormat/>
    <w:rsid w:val="0034115C"/>
    <w:pPr>
      <w:numPr>
        <w:numId w:val="8"/>
      </w:numPr>
      <w:spacing w:after="80"/>
      <w:ind w:left="357" w:hanging="357"/>
    </w:pPr>
    <w:rPr>
      <w:rFonts w:cs="Arial"/>
      <w:szCs w:val="24"/>
      <w:lang w:eastAsia="en-US"/>
    </w:rPr>
  </w:style>
  <w:style w:type="character" w:customStyle="1" w:styleId="ListabulletChar">
    <w:name w:val="Lista_bullet Char"/>
    <w:link w:val="Listabullet"/>
    <w:rsid w:val="0034115C"/>
    <w:rPr>
      <w:rFonts w:ascii="Times New Roman" w:eastAsia="Calibri" w:hAnsi="Times New Roman" w:cs="Arial"/>
      <w:sz w:val="24"/>
      <w:szCs w:val="24"/>
    </w:rPr>
  </w:style>
  <w:style w:type="character" w:customStyle="1" w:styleId="Razina3Char">
    <w:name w:val="Razina3 Char"/>
    <w:link w:val="Razina3"/>
    <w:rsid w:val="00962358"/>
    <w:rPr>
      <w:rFonts w:ascii="Times New Roman" w:hAnsi="Times New Roman" w:cs="Arial"/>
      <w:b/>
      <w:i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1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115C"/>
    <w:rPr>
      <w:rFonts w:ascii="Tahoma" w:eastAsia="Calibri" w:hAnsi="Tahoma" w:cs="Tahoma"/>
      <w:sz w:val="16"/>
      <w:szCs w:val="16"/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34115C"/>
    <w:pPr>
      <w:spacing w:after="60"/>
      <w:ind w:left="805" w:right="567" w:hanging="567"/>
    </w:pPr>
    <w:rPr>
      <w:b/>
      <w:sz w:val="2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4115C"/>
    <w:pPr>
      <w:tabs>
        <w:tab w:val="left" w:pos="440"/>
        <w:tab w:val="right" w:leader="dot" w:pos="9062"/>
      </w:tabs>
      <w:spacing w:after="60"/>
    </w:pPr>
    <w:rPr>
      <w:b/>
      <w:noProof/>
      <w:sz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4115C"/>
    <w:pPr>
      <w:spacing w:after="60"/>
      <w:ind w:left="1191" w:right="567" w:hanging="709"/>
    </w:pPr>
    <w:rPr>
      <w:b/>
      <w:sz w:val="20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34115C"/>
    <w:pPr>
      <w:spacing w:after="60"/>
      <w:ind w:left="1485" w:right="567" w:hanging="765"/>
    </w:pPr>
    <w:rPr>
      <w:b/>
      <w:sz w:val="20"/>
      <w:lang w:eastAsia="en-US"/>
    </w:rPr>
  </w:style>
  <w:style w:type="character" w:styleId="Hyperlink">
    <w:name w:val="Hyperlink"/>
    <w:uiPriority w:val="99"/>
    <w:unhideWhenUsed/>
    <w:rsid w:val="003411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1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4115C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4115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4115C"/>
    <w:rPr>
      <w:rFonts w:ascii="Times New Roman" w:eastAsia="Calibri" w:hAnsi="Times New Roman" w:cs="Times New Roman"/>
      <w:sz w:val="24"/>
      <w:lang w:eastAsia="hr-HR"/>
    </w:rPr>
  </w:style>
  <w:style w:type="character" w:styleId="CommentReference">
    <w:name w:val="annotation reference"/>
    <w:uiPriority w:val="99"/>
    <w:semiHidden/>
    <w:unhideWhenUsed/>
    <w:rsid w:val="00341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15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115C"/>
    <w:rPr>
      <w:rFonts w:ascii="Times New Roman" w:eastAsia="Calibri" w:hAnsi="Times New Roman" w:cs="Times New Roman"/>
      <w:sz w:val="20"/>
      <w:szCs w:val="20"/>
      <w:lang w:eastAsia="hr-HR"/>
    </w:rPr>
  </w:style>
  <w:style w:type="table" w:customStyle="1" w:styleId="TableGrid1">
    <w:name w:val="Table Grid1"/>
    <w:basedOn w:val="TableNormal"/>
    <w:next w:val="TableGrid"/>
    <w:rsid w:val="00341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34115C"/>
    <w:pPr>
      <w:spacing w:after="120" w:line="240" w:lineRule="auto"/>
      <w:jc w:val="left"/>
    </w:pPr>
    <w:rPr>
      <w:rFonts w:ascii="Arial" w:eastAsia="Times New Roman" w:hAnsi="Arial" w:cs="Arial"/>
      <w:szCs w:val="24"/>
      <w:lang w:eastAsia="en-US"/>
    </w:rPr>
  </w:style>
  <w:style w:type="character" w:customStyle="1" w:styleId="BodyTextChar">
    <w:name w:val="Body Text Char"/>
    <w:link w:val="BodyText"/>
    <w:uiPriority w:val="99"/>
    <w:rsid w:val="0034115C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4115C"/>
    <w:pPr>
      <w:spacing w:line="240" w:lineRule="auto"/>
      <w:ind w:firstLine="851"/>
    </w:pPr>
    <w:rPr>
      <w:rFonts w:eastAsia="Times New Roman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3411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115C"/>
    <w:pPr>
      <w:spacing w:line="240" w:lineRule="auto"/>
      <w:ind w:left="720"/>
      <w:contextualSpacing/>
      <w:jc w:val="left"/>
    </w:pPr>
    <w:rPr>
      <w:rFonts w:ascii="Arial" w:eastAsia="Times New Roman" w:hAnsi="Arial" w:cs="Arial"/>
      <w:szCs w:val="24"/>
      <w:lang w:eastAsia="en-US"/>
    </w:rPr>
  </w:style>
  <w:style w:type="paragraph" w:customStyle="1" w:styleId="klasa2">
    <w:name w:val="klasa2"/>
    <w:basedOn w:val="Normal"/>
    <w:rsid w:val="0034115C"/>
    <w:pPr>
      <w:suppressAutoHyphens/>
      <w:autoSpaceDN w:val="0"/>
      <w:spacing w:before="100" w:after="100" w:line="240" w:lineRule="auto"/>
      <w:jc w:val="left"/>
      <w:textAlignment w:val="baseline"/>
    </w:pPr>
    <w:rPr>
      <w:rFonts w:eastAsia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60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60D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BE160D"/>
    <w:rPr>
      <w:vertAlign w:val="superscript"/>
    </w:rPr>
  </w:style>
  <w:style w:type="paragraph" w:customStyle="1" w:styleId="Normal3">
    <w:name w:val="Normal3"/>
    <w:basedOn w:val="Normal"/>
    <w:qFormat/>
    <w:rsid w:val="005B1255"/>
    <w:pPr>
      <w:spacing w:line="240" w:lineRule="auto"/>
    </w:pPr>
    <w:rPr>
      <w:szCs w:val="24"/>
    </w:rPr>
  </w:style>
  <w:style w:type="paragraph" w:customStyle="1" w:styleId="cilj">
    <w:name w:val="cilj"/>
    <w:basedOn w:val="Normal"/>
    <w:qFormat/>
    <w:rsid w:val="00D4703A"/>
    <w:pPr>
      <w:keepNext/>
      <w:spacing w:after="40" w:line="240" w:lineRule="auto"/>
      <w:ind w:left="357" w:hanging="357"/>
    </w:pPr>
    <w:rPr>
      <w:b/>
      <w:i/>
      <w:szCs w:val="24"/>
    </w:rPr>
  </w:style>
  <w:style w:type="paragraph" w:customStyle="1" w:styleId="cilj-podcilj">
    <w:name w:val="cilj-podcilj"/>
    <w:basedOn w:val="Normal"/>
    <w:qFormat/>
    <w:rsid w:val="003A6C5E"/>
    <w:pPr>
      <w:numPr>
        <w:numId w:val="11"/>
      </w:numPr>
      <w:spacing w:after="40" w:line="240" w:lineRule="auto"/>
      <w:ind w:left="357" w:hanging="357"/>
    </w:pPr>
    <w:rPr>
      <w:i/>
      <w:szCs w:val="24"/>
    </w:rPr>
  </w:style>
  <w:style w:type="table" w:customStyle="1" w:styleId="TableGrid2">
    <w:name w:val="Table Grid2"/>
    <w:basedOn w:val="TableNormal"/>
    <w:next w:val="TableGrid"/>
    <w:rsid w:val="004057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76FC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66840">
    <w:name w:val="box_466840"/>
    <w:basedOn w:val="Normal"/>
    <w:rsid w:val="00284DF8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table" w:customStyle="1" w:styleId="TableGrid3">
    <w:name w:val="Table Grid3"/>
    <w:basedOn w:val="TableNormal"/>
    <w:next w:val="TableGrid"/>
    <w:rsid w:val="00C80B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6F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6FA"/>
    <w:rPr>
      <w:rFonts w:ascii="Times New Roman" w:eastAsia="Calibri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AZJMDCZ6QSYZ-886166611-12696</_dlc_DocId>
    <_dlc_DocIdUrl xmlns="a494813a-d0d8-4dad-94cb-0d196f36ba15">
      <Url>https://ekoordinacije.vlada.hr/unutarnja-ljudska/_layouts/15/DocIdRedir.aspx?ID=AZJMDCZ6QSYZ-886166611-12696</Url>
      <Description>AZJMDCZ6QSYZ-886166611-12696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0841A-BF08-4229-9432-F51C48FE2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514C6E-5BA1-4D85-80EC-74ABE559732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2949039-D468-4DAA-A45D-B1E13E13A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A17766-1B7D-48AC-8932-9994B1B811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3ADD777-FD6D-477B-B51C-EEBAF63FC863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a494813a-d0d8-4dad-94cb-0d196f36ba15"/>
    <ds:schemaRef ds:uri="http://schemas.microsoft.com/office/infopath/2007/PartnerControl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304347BF-8AB9-4B9B-B965-8AC6B460F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16</Pages>
  <Words>4374</Words>
  <Characters>24937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29253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Šaban Sandi</dc:creator>
  <cp:keywords/>
  <dc:description/>
  <cp:lastModifiedBy>Katarina Bilonić</cp:lastModifiedBy>
  <cp:revision>28</cp:revision>
  <cp:lastPrinted>2026-01-21T10:00:00Z</cp:lastPrinted>
  <dcterms:created xsi:type="dcterms:W3CDTF">2026-02-18T14:24:00Z</dcterms:created>
  <dcterms:modified xsi:type="dcterms:W3CDTF">2026-02-20T11:28:00Z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AZJMDCZ6QSYZ-1335579144-83017</vt:lpwstr>
  </property>
  <property fmtid="{D5CDD505-2E9C-101B-9397-08002B2CF9AE}" pid="3" name="_dlc_DocIdItemGuid">
    <vt:lpwstr>0fbcd4d7-e8a0-4ab5-b1d0-758ec3705472</vt:lpwstr>
  </property>
  <property fmtid="{D5CDD505-2E9C-101B-9397-08002B2CF9AE}" pid="4" name="_dlc_DocIdUrl">
    <vt:lpwstr>https://ekoordinacije.vlada.hr/_layouts/15/DocIdRedir.aspx?ID=AZJMDCZ6QSYZ-1335579144-83017, AZJMDCZ6QSYZ-1335579144-83017</vt:lpwstr>
  </property>
  <property fmtid="{D5CDD505-2E9C-101B-9397-08002B2CF9AE}" pid="5" name="ContentTypeId">
    <vt:lpwstr>0x010100EC536D414ADA374EBBDDC70C85268AB8</vt:lpwstr>
  </property>
</Properties>
</file>