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3AF0" w14:textId="77777777" w:rsidR="00612B33" w:rsidRPr="00D166B8" w:rsidRDefault="00EC7708" w:rsidP="00612B33">
      <w:pPr>
        <w:jc w:val="center"/>
      </w:pPr>
      <w:r w:rsidRPr="00D166B8">
        <w:rPr>
          <w:noProof/>
        </w:rPr>
        <w:drawing>
          <wp:inline distT="0" distB="0" distL="0" distR="0" wp14:anchorId="1E1CFED1" wp14:editId="59686A7F">
            <wp:extent cx="497840" cy="68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r w:rsidR="00612B33" w:rsidRPr="00D166B8">
        <w:fldChar w:fldCharType="begin"/>
      </w:r>
      <w:r w:rsidR="00612B33" w:rsidRPr="00D166B8">
        <w:instrText xml:space="preserve"> INCLUDEPICTURE "http://www.inet.hr/~box/images/grb-rh.gif" \* MERGEFORMATINET </w:instrText>
      </w:r>
      <w:r w:rsidR="00612B33" w:rsidRPr="00D166B8">
        <w:fldChar w:fldCharType="end"/>
      </w:r>
    </w:p>
    <w:p w14:paraId="66BCCD12" w14:textId="77777777" w:rsidR="00612B33" w:rsidRPr="00D166B8" w:rsidRDefault="00612B33" w:rsidP="00612B33">
      <w:pPr>
        <w:spacing w:before="60" w:after="1680"/>
        <w:jc w:val="center"/>
        <w:rPr>
          <w:sz w:val="28"/>
        </w:rPr>
      </w:pPr>
      <w:r w:rsidRPr="00D166B8">
        <w:rPr>
          <w:sz w:val="28"/>
        </w:rPr>
        <w:t>VLADA REPUBLIKE HRVATSKE</w:t>
      </w:r>
    </w:p>
    <w:p w14:paraId="74141B1B" w14:textId="77777777" w:rsidR="00612B33" w:rsidRPr="00D166B8" w:rsidRDefault="00612B33" w:rsidP="00612B33"/>
    <w:p w14:paraId="4260C668" w14:textId="77777777" w:rsidR="00612B33" w:rsidRPr="00D166B8" w:rsidRDefault="00612B33" w:rsidP="00612B33">
      <w:pPr>
        <w:spacing w:after="2400"/>
        <w:jc w:val="right"/>
      </w:pPr>
      <w:r w:rsidRPr="00D166B8">
        <w:t>Zagreb, 26. veljače 2026.</w:t>
      </w:r>
    </w:p>
    <w:p w14:paraId="15A85754" w14:textId="77777777" w:rsidR="00612B33" w:rsidRPr="00D166B8" w:rsidRDefault="00612B33" w:rsidP="00612B33">
      <w:pPr>
        <w:spacing w:line="360" w:lineRule="auto"/>
      </w:pPr>
      <w:r w:rsidRPr="00D166B8">
        <w:t>__________________________________________________________________________</w:t>
      </w:r>
    </w:p>
    <w:p w14:paraId="762AF94B" w14:textId="77777777" w:rsidR="00612B33" w:rsidRPr="00D166B8" w:rsidRDefault="00612B33" w:rsidP="00612B33">
      <w:pPr>
        <w:tabs>
          <w:tab w:val="right" w:pos="1701"/>
          <w:tab w:val="left" w:pos="1843"/>
        </w:tabs>
        <w:spacing w:line="360" w:lineRule="auto"/>
        <w:ind w:left="1843" w:hanging="1843"/>
        <w:rPr>
          <w:b/>
          <w:smallCaps/>
        </w:rPr>
        <w:sectPr w:rsidR="00612B33" w:rsidRPr="00D166B8" w:rsidSect="00612B33">
          <w:footerReference w:type="default" r:id="rId13"/>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612B33" w:rsidRPr="00D166B8" w14:paraId="4B0FEB62" w14:textId="77777777" w:rsidTr="00285743">
        <w:tc>
          <w:tcPr>
            <w:tcW w:w="1951" w:type="dxa"/>
          </w:tcPr>
          <w:p w14:paraId="69AAB2E5" w14:textId="77777777" w:rsidR="00612B33" w:rsidRPr="00D166B8" w:rsidRDefault="00612B33" w:rsidP="00285743">
            <w:pPr>
              <w:spacing w:line="360" w:lineRule="auto"/>
              <w:jc w:val="right"/>
            </w:pPr>
            <w:r w:rsidRPr="00D166B8">
              <w:rPr>
                <w:b/>
                <w:smallCaps/>
              </w:rPr>
              <w:t>Predlagatelj</w:t>
            </w:r>
            <w:r w:rsidRPr="00D166B8">
              <w:rPr>
                <w:b/>
              </w:rPr>
              <w:t>:</w:t>
            </w:r>
          </w:p>
        </w:tc>
        <w:tc>
          <w:tcPr>
            <w:tcW w:w="7229" w:type="dxa"/>
          </w:tcPr>
          <w:p w14:paraId="549DF6BF" w14:textId="77777777" w:rsidR="00612B33" w:rsidRPr="00D166B8" w:rsidRDefault="00612B33" w:rsidP="00285743">
            <w:pPr>
              <w:spacing w:line="360" w:lineRule="auto"/>
            </w:pPr>
            <w:r w:rsidRPr="00D166B8">
              <w:t>Ministarstvo unutarnjih poslova</w:t>
            </w:r>
          </w:p>
        </w:tc>
      </w:tr>
    </w:tbl>
    <w:p w14:paraId="3CC5DAF4" w14:textId="77777777" w:rsidR="00612B33" w:rsidRPr="00D166B8" w:rsidRDefault="00612B33" w:rsidP="00612B33">
      <w:pPr>
        <w:spacing w:line="360" w:lineRule="auto"/>
      </w:pPr>
      <w:r w:rsidRPr="00D166B8">
        <w:t>__________________________________________________________________________</w:t>
      </w:r>
    </w:p>
    <w:p w14:paraId="0D6DA001" w14:textId="77777777" w:rsidR="00612B33" w:rsidRPr="00D166B8" w:rsidRDefault="00612B33" w:rsidP="00612B33">
      <w:pPr>
        <w:tabs>
          <w:tab w:val="right" w:pos="1701"/>
          <w:tab w:val="left" w:pos="1843"/>
        </w:tabs>
        <w:spacing w:line="360" w:lineRule="auto"/>
        <w:ind w:left="1843" w:hanging="1843"/>
        <w:rPr>
          <w:b/>
          <w:smallCaps/>
        </w:rPr>
        <w:sectPr w:rsidR="00612B33" w:rsidRPr="00D166B8" w:rsidSect="00285743">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612B33" w:rsidRPr="00D166B8" w14:paraId="13F51B89" w14:textId="77777777" w:rsidTr="00285743">
        <w:tc>
          <w:tcPr>
            <w:tcW w:w="1951" w:type="dxa"/>
          </w:tcPr>
          <w:p w14:paraId="41A00647" w14:textId="77777777" w:rsidR="00612B33" w:rsidRPr="00D166B8" w:rsidRDefault="00612B33" w:rsidP="00285743">
            <w:pPr>
              <w:spacing w:line="360" w:lineRule="auto"/>
              <w:jc w:val="right"/>
            </w:pPr>
            <w:r w:rsidRPr="00D166B8">
              <w:rPr>
                <w:b/>
                <w:smallCaps/>
              </w:rPr>
              <w:t>Predmet</w:t>
            </w:r>
            <w:r w:rsidRPr="00D166B8">
              <w:rPr>
                <w:b/>
              </w:rPr>
              <w:t>:</w:t>
            </w:r>
          </w:p>
        </w:tc>
        <w:tc>
          <w:tcPr>
            <w:tcW w:w="7229" w:type="dxa"/>
          </w:tcPr>
          <w:p w14:paraId="331DA94F" w14:textId="77777777" w:rsidR="00612B33" w:rsidRPr="00D166B8" w:rsidRDefault="00E4124F" w:rsidP="00E4124F">
            <w:pPr>
              <w:spacing w:line="360" w:lineRule="auto"/>
            </w:pPr>
            <w:r w:rsidRPr="00D166B8">
              <w:t>Prijedlog p</w:t>
            </w:r>
            <w:r w:rsidR="00612B33" w:rsidRPr="00D166B8">
              <w:t>lan</w:t>
            </w:r>
            <w:r w:rsidRPr="00D166B8">
              <w:t>a</w:t>
            </w:r>
            <w:r w:rsidR="00612B33" w:rsidRPr="00D166B8">
              <w:t xml:space="preserve"> protuminskog djelovanja za 2026. godinu</w:t>
            </w:r>
          </w:p>
        </w:tc>
      </w:tr>
    </w:tbl>
    <w:p w14:paraId="3D2E1676" w14:textId="77777777" w:rsidR="00612B33" w:rsidRPr="00D166B8" w:rsidRDefault="00612B33" w:rsidP="00612B33">
      <w:pPr>
        <w:tabs>
          <w:tab w:val="left" w:pos="1843"/>
        </w:tabs>
        <w:spacing w:line="360" w:lineRule="auto"/>
        <w:ind w:left="1843" w:hanging="1843"/>
      </w:pPr>
      <w:r w:rsidRPr="00D166B8">
        <w:t>__________________________________________________________________________</w:t>
      </w:r>
    </w:p>
    <w:p w14:paraId="2C206F7B" w14:textId="77777777" w:rsidR="00612B33" w:rsidRPr="00D166B8" w:rsidRDefault="00612B33" w:rsidP="00612B33"/>
    <w:p w14:paraId="73618784" w14:textId="77777777" w:rsidR="00612B33" w:rsidRPr="00D166B8" w:rsidRDefault="00612B33" w:rsidP="00612B33"/>
    <w:p w14:paraId="7F98B7E1" w14:textId="77777777" w:rsidR="00612B33" w:rsidRPr="00D166B8" w:rsidRDefault="00612B33" w:rsidP="00612B33"/>
    <w:p w14:paraId="20D3265B" w14:textId="77777777" w:rsidR="00612B33" w:rsidRPr="00D166B8" w:rsidRDefault="00612B33" w:rsidP="00612B33"/>
    <w:p w14:paraId="5F732F06" w14:textId="77777777" w:rsidR="00612B33" w:rsidRPr="00D166B8" w:rsidRDefault="00612B33" w:rsidP="00612B33"/>
    <w:p w14:paraId="60DFDB56" w14:textId="77777777" w:rsidR="00612B33" w:rsidRPr="00D166B8" w:rsidRDefault="00612B33" w:rsidP="00612B33"/>
    <w:p w14:paraId="06EE4A23" w14:textId="77777777" w:rsidR="00612B33" w:rsidRPr="00D166B8" w:rsidRDefault="00612B33" w:rsidP="00612B33"/>
    <w:p w14:paraId="7E9ED6A9" w14:textId="77777777" w:rsidR="001A53C7" w:rsidRPr="00D166B8" w:rsidRDefault="001A53C7" w:rsidP="001A53C7">
      <w:pPr>
        <w:spacing w:line="240" w:lineRule="auto"/>
        <w:sectPr w:rsidR="001A53C7" w:rsidRPr="00D166B8" w:rsidSect="00285743">
          <w:footerReference w:type="default" r:id="rId14"/>
          <w:type w:val="continuous"/>
          <w:pgSz w:w="11906" w:h="16838"/>
          <w:pgMar w:top="993" w:right="1417" w:bottom="1417" w:left="1417" w:header="709" w:footer="658" w:gutter="0"/>
          <w:cols w:space="708"/>
          <w:docGrid w:linePitch="360"/>
        </w:sectPr>
      </w:pPr>
    </w:p>
    <w:p w14:paraId="2E9E0935" w14:textId="77777777" w:rsidR="001A53C7" w:rsidRPr="00D166B8" w:rsidRDefault="001A53C7" w:rsidP="001A53C7">
      <w:pPr>
        <w:spacing w:line="240" w:lineRule="auto"/>
        <w:jc w:val="right"/>
        <w:rPr>
          <w:rFonts w:eastAsia="Times New Roman"/>
          <w:b/>
        </w:rPr>
      </w:pPr>
      <w:r w:rsidRPr="00D166B8">
        <w:rPr>
          <w:rFonts w:eastAsia="Times New Roman"/>
          <w:b/>
        </w:rPr>
        <w:lastRenderedPageBreak/>
        <w:t>Prijedlog</w:t>
      </w:r>
    </w:p>
    <w:p w14:paraId="7FD3FACF" w14:textId="77777777" w:rsidR="00DE2748" w:rsidRPr="00D166B8" w:rsidRDefault="00DE2748" w:rsidP="001A53C7">
      <w:pPr>
        <w:spacing w:line="240" w:lineRule="auto"/>
      </w:pPr>
    </w:p>
    <w:p w14:paraId="0249DF20" w14:textId="77777777" w:rsidR="001A53C7" w:rsidRPr="00D166B8" w:rsidRDefault="001A53C7" w:rsidP="001A53C7">
      <w:pPr>
        <w:spacing w:line="240" w:lineRule="auto"/>
      </w:pPr>
    </w:p>
    <w:p w14:paraId="67016EEB" w14:textId="77777777" w:rsidR="001A53C7" w:rsidRPr="00D166B8" w:rsidRDefault="001A53C7" w:rsidP="001A53C7">
      <w:pPr>
        <w:spacing w:line="240" w:lineRule="auto"/>
      </w:pPr>
    </w:p>
    <w:p w14:paraId="3D09123A" w14:textId="77777777" w:rsidR="00433F5C" w:rsidRPr="00D166B8" w:rsidRDefault="00433F5C" w:rsidP="001A53C7">
      <w:pPr>
        <w:spacing w:line="240" w:lineRule="auto"/>
      </w:pPr>
    </w:p>
    <w:p w14:paraId="200D1849" w14:textId="77777777" w:rsidR="00A85E42" w:rsidRPr="00D166B8" w:rsidRDefault="00AA1B7F" w:rsidP="00E4124F">
      <w:pPr>
        <w:tabs>
          <w:tab w:val="left" w:pos="1418"/>
        </w:tabs>
        <w:spacing w:line="240" w:lineRule="auto"/>
        <w:rPr>
          <w:lang w:eastAsia="en-US"/>
        </w:rPr>
      </w:pPr>
      <w:r w:rsidRPr="00D166B8">
        <w:rPr>
          <w:b/>
          <w:lang w:eastAsia="en-US"/>
        </w:rPr>
        <w:tab/>
      </w:r>
      <w:r w:rsidR="00912A60" w:rsidRPr="00D166B8">
        <w:rPr>
          <w:lang w:eastAsia="en-US"/>
        </w:rPr>
        <w:t>Na temelju članka 7. stavka 4. Zakona o protuminskom djelovanju („Narodne novine“</w:t>
      </w:r>
      <w:r w:rsidR="00E4124F" w:rsidRPr="00D166B8">
        <w:rPr>
          <w:lang w:eastAsia="en-US"/>
        </w:rPr>
        <w:t>,</w:t>
      </w:r>
      <w:r w:rsidR="00912A60" w:rsidRPr="00D166B8">
        <w:rPr>
          <w:lang w:eastAsia="en-US"/>
        </w:rPr>
        <w:t xml:space="preserve"> br. 110/15., 118/18.</w:t>
      </w:r>
      <w:r w:rsidR="002E77A0" w:rsidRPr="00D166B8">
        <w:rPr>
          <w:lang w:eastAsia="en-US"/>
        </w:rPr>
        <w:t>,</w:t>
      </w:r>
      <w:r w:rsidR="00912A60" w:rsidRPr="00D166B8">
        <w:rPr>
          <w:lang w:eastAsia="en-US"/>
        </w:rPr>
        <w:t xml:space="preserve"> 98/19.</w:t>
      </w:r>
      <w:r w:rsidR="00C15D1E" w:rsidRPr="00D166B8">
        <w:rPr>
          <w:lang w:eastAsia="en-US"/>
        </w:rPr>
        <w:t xml:space="preserve">, </w:t>
      </w:r>
      <w:r w:rsidR="002E77A0" w:rsidRPr="00D166B8">
        <w:rPr>
          <w:lang w:eastAsia="en-US"/>
        </w:rPr>
        <w:t>114/22.</w:t>
      </w:r>
      <w:r w:rsidR="00C15D1E" w:rsidRPr="00D166B8">
        <w:rPr>
          <w:lang w:eastAsia="en-US"/>
        </w:rPr>
        <w:t xml:space="preserve"> i 59/23.</w:t>
      </w:r>
      <w:r w:rsidR="00912A60" w:rsidRPr="00D166B8">
        <w:rPr>
          <w:lang w:eastAsia="en-US"/>
        </w:rPr>
        <w:t>), Vlada Republike Hrvatske je na sjednici održanoj _____________ 202</w:t>
      </w:r>
      <w:r w:rsidR="001A1327" w:rsidRPr="00D166B8">
        <w:rPr>
          <w:lang w:eastAsia="en-US"/>
        </w:rPr>
        <w:t>6</w:t>
      </w:r>
      <w:r w:rsidR="00912A60" w:rsidRPr="00D166B8">
        <w:rPr>
          <w:lang w:eastAsia="en-US"/>
        </w:rPr>
        <w:t>. donijela</w:t>
      </w:r>
    </w:p>
    <w:p w14:paraId="31695A7F" w14:textId="77777777" w:rsidR="00DE2748" w:rsidRPr="00D166B8" w:rsidRDefault="00DE2748" w:rsidP="001A53C7">
      <w:pPr>
        <w:spacing w:line="240" w:lineRule="auto"/>
        <w:rPr>
          <w:lang w:eastAsia="en-US"/>
        </w:rPr>
      </w:pPr>
    </w:p>
    <w:p w14:paraId="31C199E5" w14:textId="77777777" w:rsidR="001A53C7" w:rsidRPr="00D166B8" w:rsidRDefault="001A53C7" w:rsidP="001A53C7">
      <w:pPr>
        <w:spacing w:line="240" w:lineRule="auto"/>
        <w:rPr>
          <w:lang w:eastAsia="en-US"/>
        </w:rPr>
      </w:pPr>
    </w:p>
    <w:p w14:paraId="6B39C546" w14:textId="77777777" w:rsidR="00AA1B7F" w:rsidRPr="00D166B8" w:rsidRDefault="00A85E42" w:rsidP="001A53C7">
      <w:pPr>
        <w:pStyle w:val="Heading1"/>
        <w:spacing w:before="0" w:after="0" w:line="240" w:lineRule="auto"/>
        <w:rPr>
          <w:sz w:val="24"/>
          <w:szCs w:val="24"/>
        </w:rPr>
      </w:pPr>
      <w:r w:rsidRPr="00D166B8">
        <w:rPr>
          <w:sz w:val="24"/>
          <w:szCs w:val="24"/>
        </w:rPr>
        <w:t>PLAN PROTUMINSKOG DJELOVANJA</w:t>
      </w:r>
      <w:r w:rsidR="00912A60" w:rsidRPr="00D166B8">
        <w:rPr>
          <w:sz w:val="24"/>
          <w:szCs w:val="24"/>
        </w:rPr>
        <w:t xml:space="preserve"> </w:t>
      </w:r>
      <w:r w:rsidRPr="00D166B8">
        <w:rPr>
          <w:sz w:val="24"/>
          <w:szCs w:val="24"/>
        </w:rPr>
        <w:t>ZA 202</w:t>
      </w:r>
      <w:r w:rsidR="001A1327" w:rsidRPr="00D166B8">
        <w:rPr>
          <w:sz w:val="24"/>
          <w:szCs w:val="24"/>
        </w:rPr>
        <w:t>6</w:t>
      </w:r>
      <w:r w:rsidRPr="00D166B8">
        <w:rPr>
          <w:sz w:val="24"/>
          <w:szCs w:val="24"/>
        </w:rPr>
        <w:t>. GODINU</w:t>
      </w:r>
      <w:bookmarkStart w:id="0" w:name="_Toc73447651"/>
    </w:p>
    <w:p w14:paraId="2251FB87" w14:textId="77777777" w:rsidR="00AA1B7F" w:rsidRPr="00D166B8" w:rsidRDefault="00AA1B7F" w:rsidP="00CB7CF3">
      <w:pPr>
        <w:pStyle w:val="Heading1"/>
        <w:spacing w:before="0" w:after="0" w:line="240" w:lineRule="auto"/>
        <w:jc w:val="both"/>
        <w:rPr>
          <w:b w:val="0"/>
          <w:sz w:val="24"/>
          <w:szCs w:val="24"/>
        </w:rPr>
      </w:pPr>
    </w:p>
    <w:p w14:paraId="3E2B2F80" w14:textId="77777777" w:rsidR="00E20B75" w:rsidRPr="00D166B8" w:rsidRDefault="00E20B75" w:rsidP="00E20B75">
      <w:pPr>
        <w:rPr>
          <w:lang w:eastAsia="en-US"/>
        </w:rPr>
      </w:pPr>
    </w:p>
    <w:p w14:paraId="19CA29F4" w14:textId="77777777" w:rsidR="0034115C" w:rsidRPr="00D166B8" w:rsidRDefault="00AA1B7F" w:rsidP="00E4124F">
      <w:pPr>
        <w:pStyle w:val="Heading1"/>
        <w:numPr>
          <w:ilvl w:val="0"/>
          <w:numId w:val="30"/>
        </w:numPr>
        <w:spacing w:before="0" w:after="0" w:line="240" w:lineRule="auto"/>
        <w:ind w:left="709" w:hanging="709"/>
        <w:jc w:val="both"/>
        <w:rPr>
          <w:sz w:val="24"/>
          <w:szCs w:val="24"/>
        </w:rPr>
      </w:pPr>
      <w:r w:rsidRPr="00D166B8">
        <w:rPr>
          <w:sz w:val="24"/>
          <w:szCs w:val="24"/>
        </w:rPr>
        <w:t>UVOD</w:t>
      </w:r>
      <w:bookmarkEnd w:id="0"/>
    </w:p>
    <w:p w14:paraId="7BB8310E" w14:textId="77777777" w:rsidR="001A53C7" w:rsidRPr="00D166B8" w:rsidRDefault="001A53C7" w:rsidP="001A53C7">
      <w:pPr>
        <w:rPr>
          <w:lang w:eastAsia="en-US"/>
        </w:rPr>
      </w:pPr>
    </w:p>
    <w:p w14:paraId="643EE7DC" w14:textId="77777777" w:rsidR="0034115C" w:rsidRPr="00D166B8" w:rsidRDefault="0034115C" w:rsidP="001A53C7">
      <w:pPr>
        <w:spacing w:line="240" w:lineRule="auto"/>
      </w:pPr>
      <w:r w:rsidRPr="00D166B8">
        <w:t xml:space="preserve">Republika Hrvatska se tijekom </w:t>
      </w:r>
      <w:r w:rsidR="000E3C31" w:rsidRPr="00D166B8">
        <w:t xml:space="preserve">i nakon </w:t>
      </w:r>
      <w:r w:rsidRPr="00D166B8">
        <w:t>Domovinskog rata suočila sa značajnim sigurnosnim problemom, zagađenošću dijela kopnenog područja minsko-eksplozivnim sredstvima</w:t>
      </w:r>
      <w:r w:rsidR="003B3C92" w:rsidRPr="00D166B8">
        <w:t xml:space="preserve"> (u daljnjem tekstu: MES) </w:t>
      </w:r>
      <w:r w:rsidRPr="00D166B8">
        <w:t>i neeksplodiranim ubojnim sredstvima (u daljnjem tekstu: NUS).</w:t>
      </w:r>
    </w:p>
    <w:p w14:paraId="5C51D3D6" w14:textId="77777777" w:rsidR="0034115C" w:rsidRPr="00D166B8" w:rsidRDefault="0034115C" w:rsidP="001A53C7">
      <w:pPr>
        <w:spacing w:line="240" w:lineRule="auto"/>
      </w:pPr>
    </w:p>
    <w:p w14:paraId="4A38AEAE" w14:textId="77777777" w:rsidR="0034115C" w:rsidRPr="00D166B8" w:rsidRDefault="0034115C" w:rsidP="001A53C7">
      <w:pPr>
        <w:spacing w:line="240" w:lineRule="auto"/>
      </w:pPr>
      <w:r w:rsidRPr="00D166B8">
        <w:t xml:space="preserve">Dalekosežne sigurnosne posljedice, kao i nemogućnost iskorištavanja minski sumnjivog zemljišta, dugi niz godina </w:t>
      </w:r>
      <w:r w:rsidR="00BE64AC" w:rsidRPr="00D166B8">
        <w:t xml:space="preserve">snažno </w:t>
      </w:r>
      <w:r w:rsidR="00076C24" w:rsidRPr="00D166B8">
        <w:t xml:space="preserve">su utjecale </w:t>
      </w:r>
      <w:r w:rsidRPr="00D166B8">
        <w:t xml:space="preserve">na razvoj onih područja koja su bila zahvaćena ratnim događanjima, a time i na razvoj društva u cjelini. Zagađenost MES-om i NUS-om </w:t>
      </w:r>
      <w:r w:rsidR="00BE64AC" w:rsidRPr="00D166B8">
        <w:t>predstavlj</w:t>
      </w:r>
      <w:r w:rsidR="00076C24" w:rsidRPr="00D166B8">
        <w:t xml:space="preserve">a </w:t>
      </w:r>
      <w:r w:rsidR="00BE64AC" w:rsidRPr="00D166B8">
        <w:t>prijetnju za</w:t>
      </w:r>
      <w:r w:rsidRPr="00D166B8">
        <w:t xml:space="preserve"> građan</w:t>
      </w:r>
      <w:r w:rsidR="00BE64AC" w:rsidRPr="00D166B8">
        <w:t>e</w:t>
      </w:r>
      <w:r w:rsidRPr="00D166B8">
        <w:t xml:space="preserve"> Republike Hrvatske, </w:t>
      </w:r>
      <w:r w:rsidR="00076C24" w:rsidRPr="00D166B8">
        <w:t>onemogućava gospodarski razvoj i</w:t>
      </w:r>
      <w:r w:rsidRPr="00D166B8">
        <w:t xml:space="preserve"> iskorištavanj</w:t>
      </w:r>
      <w:r w:rsidR="00BE64AC" w:rsidRPr="00D166B8">
        <w:t>e</w:t>
      </w:r>
      <w:r w:rsidRPr="00D166B8">
        <w:t xml:space="preserve"> ukupnog potencijala minski zagađenih županija, </w:t>
      </w:r>
      <w:r w:rsidR="00076C24" w:rsidRPr="00D166B8">
        <w:t>kao i</w:t>
      </w:r>
      <w:r w:rsidRPr="00D166B8">
        <w:t xml:space="preserve"> </w:t>
      </w:r>
      <w:r w:rsidR="00076C24" w:rsidRPr="00D166B8">
        <w:t xml:space="preserve">učinkovitu provedbu </w:t>
      </w:r>
      <w:r w:rsidRPr="00D166B8">
        <w:t xml:space="preserve">protupožarne zaštite </w:t>
      </w:r>
      <w:r w:rsidR="00076C24" w:rsidRPr="00D166B8">
        <w:t xml:space="preserve">odnosno nadziranja </w:t>
      </w:r>
      <w:r w:rsidR="001A2D17" w:rsidRPr="00D166B8">
        <w:t>državne granice te izvršavanj</w:t>
      </w:r>
      <w:r w:rsidR="00DE2748" w:rsidRPr="00D166B8">
        <w:t>e</w:t>
      </w:r>
      <w:r w:rsidRPr="00D166B8">
        <w:t xml:space="preserve"> različitih akcija spašavanja i postupanja </w:t>
      </w:r>
      <w:r w:rsidR="00076C24" w:rsidRPr="00D166B8">
        <w:t>u slučajevima nesreća ili proces</w:t>
      </w:r>
      <w:r w:rsidR="00DE2748" w:rsidRPr="00D166B8">
        <w:t>a</w:t>
      </w:r>
      <w:r w:rsidR="00076C24" w:rsidRPr="00D166B8">
        <w:t xml:space="preserve"> upravljanja rizicima od katastrofa</w:t>
      </w:r>
      <w:r w:rsidRPr="00D166B8">
        <w:t xml:space="preserve">. </w:t>
      </w:r>
    </w:p>
    <w:p w14:paraId="7B921F4D" w14:textId="77777777" w:rsidR="0034115C" w:rsidRPr="00D166B8" w:rsidRDefault="0034115C" w:rsidP="001A53C7">
      <w:pPr>
        <w:spacing w:line="240" w:lineRule="auto"/>
      </w:pPr>
    </w:p>
    <w:p w14:paraId="2FC7C1DD" w14:textId="77777777" w:rsidR="0034115C" w:rsidRPr="00D166B8" w:rsidRDefault="0034115C" w:rsidP="001A53C7">
      <w:pPr>
        <w:spacing w:line="240" w:lineRule="auto"/>
      </w:pPr>
      <w:r w:rsidRPr="00D166B8">
        <w:t>Od 1. ožujka 1999. na snazi je Konvencija o zabrani uporabe, stvaranja zaliha, proizvodnje i prijenosa protupješačkih mina i o njihovom uništenju (</w:t>
      </w:r>
      <w:r w:rsidRPr="00D166B8">
        <w:rPr>
          <w:i/>
        </w:rPr>
        <w:t>Ottawska konvencija</w:t>
      </w:r>
      <w:r w:rsidRPr="00D166B8">
        <w:t>). U skladu s člankom 5.1. Konvencije, Republika Hrvatska ima obvezu do 1. ožujka 2026.</w:t>
      </w:r>
      <w:r w:rsidR="003B3C92" w:rsidRPr="00D166B8">
        <w:t xml:space="preserve"> </w:t>
      </w:r>
      <w:r w:rsidRPr="00D166B8">
        <w:t>uništiti protupješačke mine na miniranim područjima</w:t>
      </w:r>
      <w:r w:rsidR="00DE2748" w:rsidRPr="00D166B8">
        <w:t>,</w:t>
      </w:r>
      <w:r w:rsidR="00203946" w:rsidRPr="00D166B8">
        <w:t xml:space="preserve"> dok preostali sadržaj ovog</w:t>
      </w:r>
      <w:r w:rsidR="00E4124F" w:rsidRPr="00D166B8">
        <w:t>a</w:t>
      </w:r>
      <w:r w:rsidR="00203946" w:rsidRPr="00D166B8">
        <w:t xml:space="preserve"> međunarodnog ugovora propisuje dodatne obveze koje proizlaze iz temeljnih sastavnica protuminskog djelovanja.</w:t>
      </w:r>
    </w:p>
    <w:p w14:paraId="1D64FC8D" w14:textId="77777777" w:rsidR="0034115C" w:rsidRPr="00D166B8" w:rsidRDefault="0034115C" w:rsidP="001A53C7">
      <w:pPr>
        <w:spacing w:line="240" w:lineRule="auto"/>
      </w:pPr>
    </w:p>
    <w:p w14:paraId="463968B7" w14:textId="77777777" w:rsidR="00AA1B7F" w:rsidRPr="00D166B8" w:rsidRDefault="00203946" w:rsidP="001A53C7">
      <w:pPr>
        <w:spacing w:line="240" w:lineRule="auto"/>
      </w:pPr>
      <w:r w:rsidRPr="00D166B8">
        <w:t xml:space="preserve">Normativni okvir protuminskog djelovanja definiran je </w:t>
      </w:r>
      <w:r w:rsidR="0034115C" w:rsidRPr="00D166B8">
        <w:t>Zakon</w:t>
      </w:r>
      <w:r w:rsidRPr="00D166B8">
        <w:t>om</w:t>
      </w:r>
      <w:r w:rsidR="0034115C" w:rsidRPr="00D166B8">
        <w:t xml:space="preserve"> o protuminskom djelovanju </w:t>
      </w:r>
      <w:r w:rsidRPr="00D166B8">
        <w:t xml:space="preserve">iz 2015. godine </w:t>
      </w:r>
      <w:r w:rsidR="0034115C" w:rsidRPr="00D166B8">
        <w:t>(„Narodne novine“, br. 110/15., 118/18.</w:t>
      </w:r>
      <w:r w:rsidR="002E77A0" w:rsidRPr="00D166B8">
        <w:t>,</w:t>
      </w:r>
      <w:r w:rsidR="0034115C" w:rsidRPr="00D166B8">
        <w:t xml:space="preserve"> 98/19.</w:t>
      </w:r>
      <w:r w:rsidR="00C15D1E" w:rsidRPr="00D166B8">
        <w:t>,</w:t>
      </w:r>
      <w:r w:rsidR="002E77A0" w:rsidRPr="00D166B8">
        <w:t xml:space="preserve"> 114/22.</w:t>
      </w:r>
      <w:r w:rsidR="00C15D1E" w:rsidRPr="00D166B8">
        <w:t xml:space="preserve"> i 59/23.</w:t>
      </w:r>
      <w:r w:rsidR="0034115C" w:rsidRPr="00D166B8">
        <w:t>, u daljnjem tekstu: Zakon), kojim se uređuje sustav obavljanja poslova protuminskog djelovanja u Republici Hrvatskoj, uvjeti i subjekti u obavljanju poslova protuminskog djelovanja, prava i obveze djelatnika koji obavljaju poslove protuminskog djelovanja te upravni i inspekcijski nadzor nad provedbom Zakona.</w:t>
      </w:r>
      <w:bookmarkStart w:id="1" w:name="_Toc73447652"/>
    </w:p>
    <w:p w14:paraId="237316DD" w14:textId="77777777" w:rsidR="00AA1B7F" w:rsidRPr="00D166B8" w:rsidRDefault="00AA1B7F" w:rsidP="001A53C7">
      <w:pPr>
        <w:spacing w:line="240" w:lineRule="auto"/>
      </w:pPr>
    </w:p>
    <w:p w14:paraId="1140E2B9" w14:textId="77777777" w:rsidR="00AA1B7F" w:rsidRPr="00D166B8" w:rsidRDefault="00AA1B7F" w:rsidP="001A53C7">
      <w:pPr>
        <w:spacing w:line="240" w:lineRule="auto"/>
      </w:pPr>
    </w:p>
    <w:p w14:paraId="01467CCC" w14:textId="77777777" w:rsidR="0034115C" w:rsidRPr="00D166B8" w:rsidRDefault="00AA1B7F" w:rsidP="00D166B8">
      <w:pPr>
        <w:tabs>
          <w:tab w:val="left" w:pos="709"/>
        </w:tabs>
        <w:spacing w:line="240" w:lineRule="auto"/>
        <w:rPr>
          <w:b/>
        </w:rPr>
      </w:pPr>
      <w:r w:rsidRPr="00D166B8">
        <w:rPr>
          <w:b/>
        </w:rPr>
        <w:t>2.</w:t>
      </w:r>
      <w:r w:rsidRPr="00D166B8">
        <w:rPr>
          <w:b/>
        </w:rPr>
        <w:tab/>
        <w:t>PROTUMINSKO DJELOVANJE U REPUBLICI HRVATSKOJ</w:t>
      </w:r>
      <w:bookmarkEnd w:id="1"/>
    </w:p>
    <w:p w14:paraId="082E4A52" w14:textId="77777777" w:rsidR="00AA1B7F" w:rsidRPr="00D166B8" w:rsidRDefault="00AA1B7F" w:rsidP="001A53C7">
      <w:pPr>
        <w:spacing w:line="240" w:lineRule="auto"/>
        <w:rPr>
          <w:b/>
        </w:rPr>
      </w:pPr>
    </w:p>
    <w:p w14:paraId="72E5E5B5" w14:textId="77777777" w:rsidR="00A349D9" w:rsidRPr="00D166B8" w:rsidRDefault="0034115C" w:rsidP="001A53C7">
      <w:pPr>
        <w:spacing w:line="240" w:lineRule="auto"/>
      </w:pPr>
      <w:r w:rsidRPr="00D166B8">
        <w:t>Protuminsko djelovanje podrazumijeva skup povezanih aktivnosti koje javni sektor provodi u suradnji s privatnim sektorom i civilnim društvom, a u cilju smanjenja prijetnje i utjecaja MES-a, NUS-a i njihovih dijelova na pojedinca i društvo općenito, integracije žrtava kao ravnopravnih članova u društvo te zagovaranja neuporabe protupješa</w:t>
      </w:r>
      <w:r w:rsidR="00156C93" w:rsidRPr="00D166B8">
        <w:t>čkih mina i kazetnog streljiva.</w:t>
      </w:r>
    </w:p>
    <w:p w14:paraId="78AA45C0" w14:textId="77777777" w:rsidR="00ED48CC" w:rsidRPr="00D166B8" w:rsidRDefault="00ED48CC" w:rsidP="001A53C7">
      <w:pPr>
        <w:spacing w:line="240" w:lineRule="auto"/>
      </w:pPr>
    </w:p>
    <w:p w14:paraId="3742DC0C" w14:textId="77777777" w:rsidR="00CF17CF" w:rsidRDefault="00CF17CF" w:rsidP="001A53C7">
      <w:pPr>
        <w:spacing w:line="240" w:lineRule="auto"/>
      </w:pPr>
    </w:p>
    <w:p w14:paraId="1B009799" w14:textId="77777777" w:rsidR="00CF17CF" w:rsidRDefault="00CF17CF" w:rsidP="001A53C7">
      <w:pPr>
        <w:spacing w:line="240" w:lineRule="auto"/>
      </w:pPr>
    </w:p>
    <w:p w14:paraId="00C476E4" w14:textId="77777777" w:rsidR="00586EEC" w:rsidRPr="00D166B8" w:rsidRDefault="0034115C" w:rsidP="001A53C7">
      <w:pPr>
        <w:spacing w:line="240" w:lineRule="auto"/>
      </w:pPr>
      <w:r w:rsidRPr="00D166B8">
        <w:t>Poslovi protuminskog djelovanja, u smislu Zakona, su poslovi od nacionalnog i općeg gospodarskog interesa za sigurnost Republike Hrvatske, zaštitu okoliša, zdravlja ljudi i razvoja gospodarstva t</w:t>
      </w:r>
      <w:r w:rsidR="00156C93" w:rsidRPr="00D166B8">
        <w:t>e uživaju njezinu osobitu skrb.</w:t>
      </w:r>
    </w:p>
    <w:p w14:paraId="0C11C60C" w14:textId="77777777" w:rsidR="009A3485" w:rsidRPr="00D166B8" w:rsidRDefault="009A3485" w:rsidP="001A53C7">
      <w:pPr>
        <w:spacing w:line="240" w:lineRule="auto"/>
      </w:pPr>
    </w:p>
    <w:p w14:paraId="20E77D33" w14:textId="77777777" w:rsidR="005722BA" w:rsidRPr="00D166B8" w:rsidRDefault="005722BA" w:rsidP="001A53C7">
      <w:pPr>
        <w:spacing w:line="240" w:lineRule="auto"/>
        <w:rPr>
          <w:b/>
          <w:bCs/>
        </w:rPr>
      </w:pPr>
      <w:r w:rsidRPr="00D166B8">
        <w:rPr>
          <w:b/>
          <w:bCs/>
        </w:rPr>
        <w:t>2.1</w:t>
      </w:r>
      <w:r w:rsidR="00AA1B7F" w:rsidRPr="00D166B8">
        <w:rPr>
          <w:b/>
          <w:bCs/>
        </w:rPr>
        <w:t>.</w:t>
      </w:r>
      <w:r w:rsidR="00AA1B7F" w:rsidRPr="00D166B8">
        <w:rPr>
          <w:b/>
          <w:bCs/>
        </w:rPr>
        <w:tab/>
      </w:r>
      <w:r w:rsidRPr="00D166B8">
        <w:rPr>
          <w:b/>
          <w:bCs/>
        </w:rPr>
        <w:t xml:space="preserve"> Poslovi razminiranja i provedbe općeg i tehničkog izvida</w:t>
      </w:r>
    </w:p>
    <w:p w14:paraId="6BBACD67" w14:textId="77777777" w:rsidR="005722BA" w:rsidRPr="00D166B8" w:rsidRDefault="005722BA" w:rsidP="001A53C7">
      <w:pPr>
        <w:spacing w:line="240" w:lineRule="auto"/>
        <w:rPr>
          <w:b/>
          <w:bCs/>
        </w:rPr>
      </w:pPr>
    </w:p>
    <w:p w14:paraId="7866CFA1" w14:textId="77777777" w:rsidR="005722BA" w:rsidRPr="00D166B8" w:rsidRDefault="005722BA" w:rsidP="001A53C7">
      <w:pPr>
        <w:spacing w:line="240" w:lineRule="auto"/>
      </w:pPr>
      <w:r w:rsidRPr="00D166B8">
        <w:t>U Republici Hrvatskoj na dan 1. siječnja 2026., minski sumnjivo područje (u daljnjem tekstu: MSP) obuhvaća 1,9 km</w:t>
      </w:r>
      <w:r w:rsidRPr="00D166B8">
        <w:rPr>
          <w:vertAlign w:val="superscript"/>
        </w:rPr>
        <w:t>2</w:t>
      </w:r>
      <w:r w:rsidRPr="00D166B8">
        <w:t xml:space="preserve"> na </w:t>
      </w:r>
      <w:r w:rsidRPr="002A634C">
        <w:t xml:space="preserve">prostoru </w:t>
      </w:r>
      <w:r w:rsidR="00D166B8" w:rsidRPr="002A634C">
        <w:t>dvije</w:t>
      </w:r>
      <w:r w:rsidRPr="002A634C">
        <w:t xml:space="preserve"> jedinice</w:t>
      </w:r>
      <w:r w:rsidRPr="00D166B8">
        <w:t xml:space="preserve"> lokalne samouprave (Otočac i Donji Lapac) u Ličko-senjskoj županiji. Na cjelokupnom MSP-u su završeni poslovi razminiranja, te je preostalo izdavanje potvrda o isključenju površina iz MSP-a i uklanjanje 19</w:t>
      </w:r>
      <w:r w:rsidR="00127B9A" w:rsidRPr="00D166B8">
        <w:t>4</w:t>
      </w:r>
      <w:r w:rsidRPr="00D166B8">
        <w:t xml:space="preserve"> oznak</w:t>
      </w:r>
      <w:r w:rsidR="00127B9A" w:rsidRPr="00D166B8">
        <w:t>e</w:t>
      </w:r>
      <w:r w:rsidRPr="00D166B8">
        <w:t xml:space="preserve"> minske opasnosti.</w:t>
      </w:r>
    </w:p>
    <w:p w14:paraId="1B38489B" w14:textId="77777777" w:rsidR="005722BA" w:rsidRPr="00D166B8" w:rsidRDefault="005722BA" w:rsidP="001A53C7">
      <w:pPr>
        <w:spacing w:line="240" w:lineRule="auto"/>
      </w:pPr>
    </w:p>
    <w:p w14:paraId="59461230" w14:textId="77777777" w:rsidR="009A3485" w:rsidRPr="00D166B8" w:rsidRDefault="009A3485" w:rsidP="001A53C7">
      <w:pPr>
        <w:spacing w:line="240" w:lineRule="auto"/>
      </w:pPr>
      <w:r w:rsidRPr="00D166B8">
        <w:t>Nacionalnim programom protuminskog djelovanja Republike Hrvatske do 2026. godine („Narodne novine</w:t>
      </w:r>
      <w:r w:rsidRPr="002A634C">
        <w:t>“, br</w:t>
      </w:r>
      <w:r w:rsidR="0098786E" w:rsidRPr="002A634C">
        <w:t>oj</w:t>
      </w:r>
      <w:r w:rsidRPr="002A634C">
        <w:t xml:space="preserve"> 21</w:t>
      </w:r>
      <w:r w:rsidRPr="00D166B8">
        <w:t>/23., u daljnjem tekstu: Nacionalni program)</w:t>
      </w:r>
      <w:r w:rsidR="0098786E">
        <w:t>,</w:t>
      </w:r>
      <w:r w:rsidRPr="00D166B8">
        <w:t xml:space="preserve"> planirano je najkasnije do 1. ožujka 2026. u cijelosti ukloniti minsku opasnost na području cijele Republike Hrvatske.</w:t>
      </w:r>
    </w:p>
    <w:p w14:paraId="703497E5" w14:textId="77777777" w:rsidR="009A3485" w:rsidRPr="00D166B8" w:rsidRDefault="009A3485" w:rsidP="001A53C7">
      <w:pPr>
        <w:spacing w:line="240" w:lineRule="auto"/>
      </w:pPr>
    </w:p>
    <w:p w14:paraId="2CB431F1" w14:textId="77777777" w:rsidR="009A3485" w:rsidRPr="00D166B8" w:rsidRDefault="009A3485" w:rsidP="001A53C7">
      <w:pPr>
        <w:spacing w:line="240" w:lineRule="auto"/>
      </w:pPr>
      <w:r w:rsidRPr="00D166B8">
        <w:t>Za mnoge države proaktivna faza humanitarnog razminiranja završava kada je završena provedba obvez</w:t>
      </w:r>
      <w:r w:rsidR="00B3734B" w:rsidRPr="00D166B8">
        <w:t>e</w:t>
      </w:r>
      <w:r w:rsidRPr="00D166B8">
        <w:t xml:space="preserve"> razminiranja </w:t>
      </w:r>
      <w:r w:rsidR="00B3734B" w:rsidRPr="00D166B8">
        <w:t xml:space="preserve">svih područja onečišćenih protupješačkim minama </w:t>
      </w:r>
      <w:r w:rsidRPr="00D166B8">
        <w:t xml:space="preserve">prema </w:t>
      </w:r>
      <w:r w:rsidR="00B3734B" w:rsidRPr="00D166B8">
        <w:t>Ottawskoj konvenciji</w:t>
      </w:r>
      <w:r w:rsidRPr="00D166B8">
        <w:t>. Nakon što tijela državne uprave ili ustrojstvene jedinice koje su uspostavljene za provedbu poslova razminiranja velikih razmjera i srodnih aktivnosti više nisu potrebne u tom opsegu, države moraju imati uspostavljene sustave za suočavanje s potencijalnom rezidualnom kontaminacijom</w:t>
      </w:r>
      <w:r w:rsidR="00CB7CF3" w:rsidRPr="00D166B8">
        <w:t>,</w:t>
      </w:r>
      <w:r w:rsidR="007257B9" w:rsidRPr="00D166B8">
        <w:rPr>
          <w:rStyle w:val="FootnoteReference"/>
        </w:rPr>
        <w:footnoteReference w:id="1"/>
      </w:r>
      <w:r w:rsidRPr="00D166B8">
        <w:t xml:space="preserve"> ali i provedbu ostalih obveza preuzetih međunarodnim ugovorima.</w:t>
      </w:r>
    </w:p>
    <w:p w14:paraId="17ECA6DF" w14:textId="77777777" w:rsidR="009A3485" w:rsidRPr="00D166B8" w:rsidRDefault="009A3485" w:rsidP="001A53C7">
      <w:pPr>
        <w:spacing w:line="240" w:lineRule="auto"/>
      </w:pPr>
    </w:p>
    <w:p w14:paraId="6CCA74F4" w14:textId="77777777" w:rsidR="005722BA" w:rsidRPr="00D166B8" w:rsidRDefault="009A3485" w:rsidP="001A53C7">
      <w:pPr>
        <w:spacing w:line="240" w:lineRule="auto"/>
      </w:pPr>
      <w:r w:rsidRPr="00D166B8">
        <w:t xml:space="preserve">Nakon što završi proaktivna faza humanitarnog razminiranja, mnoge se države koje su imale problem kontaminacije minama i drugim </w:t>
      </w:r>
      <w:r w:rsidR="00B3734B" w:rsidRPr="00D166B8">
        <w:t>eksplozivnim ostacima rata (u daljnjem tekstu: EOR)</w:t>
      </w:r>
      <w:r w:rsidRPr="00D166B8">
        <w:t xml:space="preserve"> moraju pripremiti na izazove </w:t>
      </w:r>
      <w:r w:rsidR="00B3734B" w:rsidRPr="00D166B8">
        <w:t xml:space="preserve">pronalaska </w:t>
      </w:r>
      <w:r w:rsidRPr="00D166B8">
        <w:t>ne samo neeksplodiranih ubojnih sredstava u dubljim slojevima tla, nego u rijetkim i izdvojenim slučajevima čak i</w:t>
      </w:r>
      <w:r w:rsidR="00B3734B" w:rsidRPr="00D166B8">
        <w:t xml:space="preserve"> na pronalaske</w:t>
      </w:r>
      <w:r w:rsidRPr="00D166B8">
        <w:t xml:space="preserve"> p</w:t>
      </w:r>
      <w:r w:rsidR="00A53B10" w:rsidRPr="00D166B8">
        <w:t>rethodno nepoznatih mina.</w:t>
      </w:r>
    </w:p>
    <w:p w14:paraId="2DF59A78" w14:textId="77777777" w:rsidR="00AA1B7F" w:rsidRPr="00D166B8" w:rsidRDefault="00AA1B7F" w:rsidP="001A53C7">
      <w:pPr>
        <w:spacing w:line="240" w:lineRule="auto"/>
      </w:pPr>
    </w:p>
    <w:p w14:paraId="4233C1BD" w14:textId="77777777" w:rsidR="00E32155" w:rsidRPr="00D166B8" w:rsidRDefault="00AA1B7F" w:rsidP="00CF17CF">
      <w:pPr>
        <w:tabs>
          <w:tab w:val="left" w:pos="709"/>
        </w:tabs>
        <w:spacing w:line="240" w:lineRule="auto"/>
        <w:rPr>
          <w:b/>
        </w:rPr>
      </w:pPr>
      <w:r w:rsidRPr="00D166B8">
        <w:rPr>
          <w:b/>
        </w:rPr>
        <w:t>2.2.</w:t>
      </w:r>
      <w:r w:rsidRPr="00D166B8">
        <w:rPr>
          <w:b/>
        </w:rPr>
        <w:tab/>
      </w:r>
      <w:r w:rsidR="005722BA" w:rsidRPr="00D166B8">
        <w:rPr>
          <w:b/>
        </w:rPr>
        <w:t>Informiranje i edukacija stanovništva</w:t>
      </w:r>
    </w:p>
    <w:p w14:paraId="569C48D3" w14:textId="77777777" w:rsidR="00AA1B7F" w:rsidRPr="00D166B8" w:rsidRDefault="00AA1B7F" w:rsidP="001A53C7">
      <w:pPr>
        <w:spacing w:line="240" w:lineRule="auto"/>
      </w:pPr>
    </w:p>
    <w:p w14:paraId="44A2A656" w14:textId="77777777" w:rsidR="00E32155" w:rsidRPr="00D166B8" w:rsidRDefault="00E32155" w:rsidP="001A53C7">
      <w:pPr>
        <w:spacing w:line="240" w:lineRule="auto"/>
      </w:pPr>
      <w:r w:rsidRPr="00D166B8">
        <w:t xml:space="preserve">Informiranje i edukacija stanovništva o opasnostima od MES-a, NUS-a i njihovih dijelova </w:t>
      </w:r>
      <w:r w:rsidR="005722BA" w:rsidRPr="00D166B8">
        <w:t>jedna je od temeljnih odrednica</w:t>
      </w:r>
      <w:r w:rsidRPr="00D166B8">
        <w:t xml:space="preserve"> protuminskog djelovanja</w:t>
      </w:r>
      <w:r w:rsidR="005722BA" w:rsidRPr="00D166B8">
        <w:t xml:space="preserve"> prema međunarodnim standardima</w:t>
      </w:r>
      <w:r w:rsidRPr="00D166B8">
        <w:t>.</w:t>
      </w:r>
    </w:p>
    <w:p w14:paraId="2ED4095C" w14:textId="77777777" w:rsidR="00E32155" w:rsidRPr="00D166B8" w:rsidRDefault="00E32155" w:rsidP="001A53C7">
      <w:pPr>
        <w:spacing w:line="240" w:lineRule="auto"/>
      </w:pPr>
    </w:p>
    <w:p w14:paraId="1777D947" w14:textId="77777777" w:rsidR="005722BA" w:rsidRPr="00D166B8" w:rsidRDefault="00E32155" w:rsidP="001A53C7">
      <w:pPr>
        <w:spacing w:line="240" w:lineRule="auto"/>
      </w:pPr>
      <w:r w:rsidRPr="00D166B8">
        <w:t xml:space="preserve">Kontinuirana provedba različitih oblika edukacije rezultira podizanjem razine osviještenosti o opasnostima od MES-a, NUS-a i njihovih dijelova te sigurnijem ponašanju u minskom okruženju. Ostvarenje ovoga cilja moguće je kroz uspješnu suradnju s nadležnim tijelima državne uprave, lokalnom i područnom (regionalnom) samoupravom, javnim poduzećima i nevladinim organizacijama. </w:t>
      </w:r>
    </w:p>
    <w:p w14:paraId="6BD73DE0" w14:textId="77777777" w:rsidR="00AA1B7F" w:rsidRDefault="00AA1B7F" w:rsidP="001A53C7">
      <w:pPr>
        <w:spacing w:line="240" w:lineRule="auto"/>
      </w:pPr>
    </w:p>
    <w:p w14:paraId="3B6DA659" w14:textId="77777777" w:rsidR="00CF17CF" w:rsidRDefault="00CF17CF" w:rsidP="001A53C7">
      <w:pPr>
        <w:spacing w:line="240" w:lineRule="auto"/>
      </w:pPr>
    </w:p>
    <w:p w14:paraId="7893746D" w14:textId="77777777" w:rsidR="00CF17CF" w:rsidRDefault="00CF17CF" w:rsidP="001A53C7">
      <w:pPr>
        <w:spacing w:line="240" w:lineRule="auto"/>
      </w:pPr>
    </w:p>
    <w:p w14:paraId="4BE68078" w14:textId="77777777" w:rsidR="00CF17CF" w:rsidRPr="00D166B8" w:rsidRDefault="00CF17CF" w:rsidP="001A53C7">
      <w:pPr>
        <w:spacing w:line="240" w:lineRule="auto"/>
      </w:pPr>
    </w:p>
    <w:p w14:paraId="64DB53A2" w14:textId="77777777" w:rsidR="00E32155" w:rsidRPr="00D166B8" w:rsidRDefault="00AA1B7F" w:rsidP="001A53C7">
      <w:pPr>
        <w:spacing w:line="240" w:lineRule="auto"/>
        <w:rPr>
          <w:b/>
        </w:rPr>
      </w:pPr>
      <w:r w:rsidRPr="00D166B8">
        <w:rPr>
          <w:b/>
        </w:rPr>
        <w:t>2.3.</w:t>
      </w:r>
      <w:r w:rsidRPr="00D166B8">
        <w:rPr>
          <w:b/>
        </w:rPr>
        <w:tab/>
        <w:t xml:space="preserve"> </w:t>
      </w:r>
      <w:r w:rsidR="005722BA" w:rsidRPr="00D166B8">
        <w:rPr>
          <w:b/>
        </w:rPr>
        <w:t>Pomoć minskim žrtvama</w:t>
      </w:r>
    </w:p>
    <w:p w14:paraId="4D245819" w14:textId="77777777" w:rsidR="00AA1B7F" w:rsidRPr="00D166B8" w:rsidRDefault="00AA1B7F" w:rsidP="001A53C7">
      <w:pPr>
        <w:spacing w:line="240" w:lineRule="auto"/>
        <w:rPr>
          <w:b/>
        </w:rPr>
      </w:pPr>
    </w:p>
    <w:p w14:paraId="0654A6A7" w14:textId="77777777" w:rsidR="00E32155" w:rsidRPr="00D166B8" w:rsidRDefault="00E32155" w:rsidP="001A53C7">
      <w:pPr>
        <w:spacing w:line="240" w:lineRule="auto"/>
      </w:pPr>
      <w:r w:rsidRPr="00D166B8">
        <w:t xml:space="preserve">Nadležna tijela državne uprave rješavaju probleme osoba stradalih od </w:t>
      </w:r>
      <w:r w:rsidR="00CF17CF">
        <w:t>EOR-a</w:t>
      </w:r>
      <w:r w:rsidRPr="00D166B8">
        <w:t xml:space="preserve"> kroz sustav zdravstvene zaštite i socijalne skrbi. Koordinira se rad svih subjekata uključenih u pomaganje osobama stradalim od EOR-a. M</w:t>
      </w:r>
      <w:r w:rsidR="00AA1B7F" w:rsidRPr="00D166B8">
        <w:t>inistarstvo unutarnjih poslova (u daljnjem tekstu: MUP)</w:t>
      </w:r>
      <w:r w:rsidRPr="00D166B8">
        <w:t xml:space="preserve"> prikuplja, obrađuje i ažurira podatke o osobama stradalim od EOR-a u MSP-u, te sukladno članku 97. Zakona</w:t>
      </w:r>
      <w:r w:rsidR="00CF17CF">
        <w:t>,</w:t>
      </w:r>
      <w:r w:rsidRPr="00D166B8">
        <w:t xml:space="preserve"> uspostavlja i vodi bazu podataka, u skladu s propisima kojima se uređuje područje zaštite osobnih podataka, u suradnji s Agencijom za zaštitu osobnih podataka i Hrvatskim zavodom za javno zdravstvo.</w:t>
      </w:r>
    </w:p>
    <w:p w14:paraId="788A19E6" w14:textId="77777777" w:rsidR="00AA1B7F" w:rsidRPr="00D166B8" w:rsidRDefault="00AA1B7F" w:rsidP="001A53C7">
      <w:pPr>
        <w:spacing w:line="240" w:lineRule="auto"/>
      </w:pPr>
    </w:p>
    <w:p w14:paraId="65108676" w14:textId="77777777" w:rsidR="005722BA" w:rsidRPr="00D166B8" w:rsidRDefault="00AA1B7F" w:rsidP="001A53C7">
      <w:pPr>
        <w:spacing w:line="240" w:lineRule="auto"/>
        <w:rPr>
          <w:b/>
        </w:rPr>
      </w:pPr>
      <w:r w:rsidRPr="00D166B8">
        <w:rPr>
          <w:b/>
        </w:rPr>
        <w:t>2.4.</w:t>
      </w:r>
      <w:r w:rsidRPr="00D166B8">
        <w:rPr>
          <w:b/>
        </w:rPr>
        <w:tab/>
      </w:r>
      <w:r w:rsidR="005722BA" w:rsidRPr="00D166B8">
        <w:rPr>
          <w:b/>
        </w:rPr>
        <w:t>Međunarodna pomoć i suradnja</w:t>
      </w:r>
    </w:p>
    <w:p w14:paraId="46034B16" w14:textId="77777777" w:rsidR="00AA1B7F" w:rsidRPr="00D166B8" w:rsidRDefault="00AA1B7F" w:rsidP="001A53C7">
      <w:pPr>
        <w:spacing w:line="240" w:lineRule="auto"/>
        <w:rPr>
          <w:b/>
        </w:rPr>
      </w:pPr>
    </w:p>
    <w:p w14:paraId="07646C41" w14:textId="77777777" w:rsidR="0034115C" w:rsidRPr="00D166B8" w:rsidRDefault="00E32155" w:rsidP="001A53C7">
      <w:pPr>
        <w:spacing w:line="240" w:lineRule="auto"/>
      </w:pPr>
      <w:r w:rsidRPr="00D166B8">
        <w:t>Međunarodna suradnja na području protuminskog djelovanja ostvaruje se kroz suradnju s vladama stranih zemalja putem njihovih veleposlanstava u Republici Hrvatskoj ili hrvatskim veleposlanstvima u stranim zemljama te vladinim i nevladinim organizacijama. MUP također pravovremeno priprema godišnja izvješća sukladno obvezama kontekstualnih međunarodnih ugovora te sudjeluje na sastancima država članica istih.</w:t>
      </w:r>
    </w:p>
    <w:p w14:paraId="3299A440" w14:textId="77777777" w:rsidR="00AA1B7F" w:rsidRPr="00D166B8" w:rsidRDefault="00AA1B7F" w:rsidP="001A53C7">
      <w:pPr>
        <w:spacing w:line="240" w:lineRule="auto"/>
        <w:rPr>
          <w:b/>
        </w:rPr>
      </w:pPr>
      <w:bookmarkStart w:id="2" w:name="_Toc73447655"/>
    </w:p>
    <w:p w14:paraId="4B3EEC4A" w14:textId="77777777" w:rsidR="00AA1B7F" w:rsidRPr="00D166B8" w:rsidRDefault="00AA1B7F" w:rsidP="001A53C7">
      <w:pPr>
        <w:spacing w:line="240" w:lineRule="auto"/>
        <w:rPr>
          <w:b/>
        </w:rPr>
      </w:pPr>
    </w:p>
    <w:p w14:paraId="47FB9FD6" w14:textId="77777777" w:rsidR="0034115C" w:rsidRPr="00D166B8" w:rsidRDefault="00AA1B7F" w:rsidP="00CF17CF">
      <w:pPr>
        <w:tabs>
          <w:tab w:val="left" w:pos="709"/>
        </w:tabs>
        <w:spacing w:line="240" w:lineRule="auto"/>
        <w:rPr>
          <w:b/>
        </w:rPr>
      </w:pPr>
      <w:r w:rsidRPr="00D166B8">
        <w:rPr>
          <w:b/>
        </w:rPr>
        <w:t>3.</w:t>
      </w:r>
      <w:r w:rsidRPr="00D166B8">
        <w:rPr>
          <w:b/>
        </w:rPr>
        <w:tab/>
        <w:t>TEMELJNI CILJEVI PROTUMINSKOG DJELOVANJA U 2026. GODIN</w:t>
      </w:r>
      <w:bookmarkEnd w:id="2"/>
      <w:r w:rsidRPr="00D166B8">
        <w:rPr>
          <w:b/>
        </w:rPr>
        <w:t>I</w:t>
      </w:r>
    </w:p>
    <w:p w14:paraId="1B2F9D20" w14:textId="77777777" w:rsidR="00AA1B7F" w:rsidRPr="00D166B8" w:rsidRDefault="00AA1B7F" w:rsidP="001A53C7">
      <w:pPr>
        <w:spacing w:line="240" w:lineRule="auto"/>
        <w:rPr>
          <w:b/>
        </w:rPr>
      </w:pPr>
    </w:p>
    <w:p w14:paraId="0CAB99F0" w14:textId="77777777" w:rsidR="0034115C" w:rsidRPr="00D166B8" w:rsidRDefault="0034115C" w:rsidP="001A53C7">
      <w:pPr>
        <w:spacing w:line="240" w:lineRule="auto"/>
      </w:pPr>
      <w:r w:rsidRPr="00D166B8">
        <w:t xml:space="preserve">Sukladno odobrenim financijskim sredstvima, kao i strateškim ciljevima utvrđenim u </w:t>
      </w:r>
      <w:r w:rsidR="00D05EC8" w:rsidRPr="00D166B8">
        <w:t>Nacionalnom programu</w:t>
      </w:r>
      <w:r w:rsidRPr="00D166B8">
        <w:t>, u 202</w:t>
      </w:r>
      <w:r w:rsidR="00DF611C" w:rsidRPr="00D166B8">
        <w:t>6</w:t>
      </w:r>
      <w:r w:rsidRPr="00D166B8">
        <w:t>. godini protuminskim djelovanjem planirano je ostvarenje sljedećih ciljeva:</w:t>
      </w:r>
    </w:p>
    <w:p w14:paraId="2E3D4057" w14:textId="77777777" w:rsidR="0034115C" w:rsidRPr="00D166B8" w:rsidRDefault="0034115C" w:rsidP="001A53C7">
      <w:pPr>
        <w:spacing w:line="240" w:lineRule="auto"/>
      </w:pPr>
    </w:p>
    <w:p w14:paraId="7EDA0D43" w14:textId="77777777" w:rsidR="0034115C" w:rsidRPr="00D166B8" w:rsidRDefault="0034115C" w:rsidP="001A53C7">
      <w:pPr>
        <w:numPr>
          <w:ilvl w:val="0"/>
          <w:numId w:val="11"/>
        </w:numPr>
        <w:spacing w:line="240" w:lineRule="auto"/>
        <w:rPr>
          <w:b/>
        </w:rPr>
      </w:pPr>
      <w:r w:rsidRPr="00D166B8">
        <w:rPr>
          <w:b/>
        </w:rPr>
        <w:t>CILJ 1</w:t>
      </w:r>
    </w:p>
    <w:p w14:paraId="0E3BC45F" w14:textId="77777777" w:rsidR="009346AC" w:rsidRPr="00D166B8" w:rsidRDefault="001F1CA9" w:rsidP="001A53C7">
      <w:pPr>
        <w:spacing w:line="240" w:lineRule="auto"/>
        <w:rPr>
          <w:b/>
        </w:rPr>
      </w:pPr>
      <w:r w:rsidRPr="00D166B8">
        <w:rPr>
          <w:b/>
        </w:rPr>
        <w:t>Potpuno uklanjanje MSP-a u Republici Hrvatskoj</w:t>
      </w:r>
      <w:r w:rsidR="009346AC" w:rsidRPr="00D166B8">
        <w:rPr>
          <w:b/>
        </w:rPr>
        <w:t xml:space="preserve"> </w:t>
      </w:r>
      <w:r w:rsidR="00A10C17" w:rsidRPr="00D166B8">
        <w:rPr>
          <w:b/>
        </w:rPr>
        <w:t>(</w:t>
      </w:r>
      <w:r w:rsidRPr="00D166B8">
        <w:rPr>
          <w:b/>
        </w:rPr>
        <w:t>1</w:t>
      </w:r>
      <w:r w:rsidR="009346AC" w:rsidRPr="00D166B8">
        <w:rPr>
          <w:b/>
        </w:rPr>
        <w:t>,</w:t>
      </w:r>
      <w:r w:rsidR="00647B3C" w:rsidRPr="00D166B8">
        <w:rPr>
          <w:b/>
        </w:rPr>
        <w:t>9</w:t>
      </w:r>
      <w:r w:rsidR="009346AC" w:rsidRPr="00D166B8">
        <w:rPr>
          <w:b/>
        </w:rPr>
        <w:t xml:space="preserve"> km</w:t>
      </w:r>
      <w:r w:rsidR="009346AC" w:rsidRPr="00D166B8">
        <w:rPr>
          <w:b/>
          <w:vertAlign w:val="superscript"/>
        </w:rPr>
        <w:t>2</w:t>
      </w:r>
      <w:r w:rsidR="00A10C17" w:rsidRPr="00D166B8">
        <w:rPr>
          <w:b/>
        </w:rPr>
        <w:t>)</w:t>
      </w:r>
      <w:r w:rsidR="00964D2C" w:rsidRPr="00D166B8">
        <w:rPr>
          <w:b/>
        </w:rPr>
        <w:t xml:space="preserve"> do 1. ožujka 2026.</w:t>
      </w:r>
    </w:p>
    <w:p w14:paraId="25E91BE6" w14:textId="77777777" w:rsidR="00A10C17" w:rsidRPr="00D166B8" w:rsidRDefault="00A10C17" w:rsidP="001A53C7">
      <w:pPr>
        <w:spacing w:line="240" w:lineRule="auto"/>
      </w:pPr>
    </w:p>
    <w:p w14:paraId="7AE0008C" w14:textId="77777777" w:rsidR="009346AC" w:rsidRPr="00D166B8" w:rsidRDefault="009346AC" w:rsidP="001A53C7">
      <w:pPr>
        <w:numPr>
          <w:ilvl w:val="0"/>
          <w:numId w:val="11"/>
        </w:numPr>
        <w:spacing w:line="240" w:lineRule="auto"/>
        <w:rPr>
          <w:b/>
        </w:rPr>
      </w:pPr>
      <w:r w:rsidRPr="00D166B8">
        <w:rPr>
          <w:b/>
        </w:rPr>
        <w:t>CILJ 2</w:t>
      </w:r>
    </w:p>
    <w:p w14:paraId="7E81EB53" w14:textId="77777777" w:rsidR="0034115C" w:rsidRPr="00D166B8" w:rsidRDefault="008622A6" w:rsidP="001A53C7">
      <w:pPr>
        <w:spacing w:line="240" w:lineRule="auto"/>
        <w:rPr>
          <w:b/>
        </w:rPr>
      </w:pPr>
      <w:r w:rsidRPr="00D166B8">
        <w:rPr>
          <w:b/>
        </w:rPr>
        <w:t>Informiranje i edukacija</w:t>
      </w:r>
      <w:r w:rsidR="0034115C" w:rsidRPr="00D166B8">
        <w:rPr>
          <w:b/>
        </w:rPr>
        <w:t xml:space="preserve"> stanovništva o opasnostima od MES-a, NUS-a i njihovih dijelova</w:t>
      </w:r>
    </w:p>
    <w:p w14:paraId="592DC1B7" w14:textId="77777777" w:rsidR="005722BA" w:rsidRPr="00D166B8" w:rsidRDefault="005722BA" w:rsidP="001A53C7">
      <w:pPr>
        <w:spacing w:line="240" w:lineRule="auto"/>
        <w:rPr>
          <w:b/>
        </w:rPr>
      </w:pPr>
    </w:p>
    <w:p w14:paraId="4B6D7F58" w14:textId="77777777" w:rsidR="005722BA" w:rsidRPr="00D166B8" w:rsidRDefault="005722BA" w:rsidP="001A53C7">
      <w:pPr>
        <w:numPr>
          <w:ilvl w:val="0"/>
          <w:numId w:val="11"/>
        </w:numPr>
        <w:spacing w:line="240" w:lineRule="auto"/>
        <w:rPr>
          <w:b/>
        </w:rPr>
      </w:pPr>
      <w:r w:rsidRPr="00D166B8">
        <w:rPr>
          <w:b/>
        </w:rPr>
        <w:t>CILJ 3</w:t>
      </w:r>
    </w:p>
    <w:p w14:paraId="42BB2218" w14:textId="77777777" w:rsidR="005722BA" w:rsidRPr="00D166B8" w:rsidRDefault="000942C9" w:rsidP="001A53C7">
      <w:pPr>
        <w:spacing w:line="240" w:lineRule="auto"/>
        <w:rPr>
          <w:b/>
        </w:rPr>
      </w:pPr>
      <w:r w:rsidRPr="00D166B8">
        <w:rPr>
          <w:b/>
        </w:rPr>
        <w:t>Izvršavanje obveza prema međunarodnim konvencijama</w:t>
      </w:r>
      <w:r w:rsidR="005722BA" w:rsidRPr="00D166B8">
        <w:rPr>
          <w:b/>
        </w:rPr>
        <w:t xml:space="preserve"> i pružanje pomoći drugim državama u protuminskom djelovanju</w:t>
      </w:r>
    </w:p>
    <w:p w14:paraId="2017C55E" w14:textId="77777777" w:rsidR="005722BA" w:rsidRPr="00D166B8" w:rsidRDefault="005722BA" w:rsidP="001A53C7">
      <w:pPr>
        <w:spacing w:line="240" w:lineRule="auto"/>
        <w:rPr>
          <w:b/>
        </w:rPr>
      </w:pPr>
    </w:p>
    <w:p w14:paraId="4AFB6809" w14:textId="77777777" w:rsidR="0034115C" w:rsidRPr="00D166B8" w:rsidRDefault="0034115C" w:rsidP="001A53C7">
      <w:pPr>
        <w:spacing w:line="240" w:lineRule="auto"/>
      </w:pPr>
      <w:r w:rsidRPr="00D166B8">
        <w:t xml:space="preserve">U </w:t>
      </w:r>
      <w:r w:rsidR="001A2D17" w:rsidRPr="00D166B8">
        <w:t xml:space="preserve">ove </w:t>
      </w:r>
      <w:r w:rsidRPr="00D166B8">
        <w:t>ciljeve nije uključeno razminiranje</w:t>
      </w:r>
      <w:r w:rsidR="00EA6ADF" w:rsidRPr="00D166B8">
        <w:t xml:space="preserve"> MSP-a</w:t>
      </w:r>
      <w:r w:rsidRPr="00D166B8">
        <w:t xml:space="preserve"> vojnih lokacija i/ili građevina za koje je nadležno Ministarstvo obrane</w:t>
      </w:r>
      <w:r w:rsidR="009B5B98" w:rsidRPr="00D166B8">
        <w:t xml:space="preserve"> (u daljnjem tekstu: MORH)</w:t>
      </w:r>
      <w:r w:rsidR="001A2D17" w:rsidRPr="00D166B8">
        <w:t>. Na temelju članka</w:t>
      </w:r>
      <w:r w:rsidRPr="00D166B8">
        <w:t xml:space="preserve"> 3. Zako</w:t>
      </w:r>
      <w:r w:rsidR="001A2D17" w:rsidRPr="00D166B8">
        <w:t>na,</w:t>
      </w:r>
      <w:r w:rsidRPr="00D166B8">
        <w:t xml:space="preserve"> </w:t>
      </w:r>
      <w:r w:rsidRPr="002A634C">
        <w:t>M</w:t>
      </w:r>
      <w:r w:rsidR="009B5B98" w:rsidRPr="002A634C">
        <w:t>ORH</w:t>
      </w:r>
      <w:r w:rsidRPr="002A634C">
        <w:t xml:space="preserve"> MUP-u dostavlja Plan razminiranja vojnih lokacija i/ili građevina koji je p</w:t>
      </w:r>
      <w:r w:rsidR="00D7575E" w:rsidRPr="002A634C">
        <w:t>osebni dio ovog</w:t>
      </w:r>
      <w:r w:rsidR="00C20AC2" w:rsidRPr="002A634C">
        <w:t>a</w:t>
      </w:r>
      <w:r w:rsidR="00D7575E" w:rsidRPr="002A634C">
        <w:t xml:space="preserve"> Plana</w:t>
      </w:r>
      <w:r w:rsidRPr="00D166B8">
        <w:t>, a financijska sredstva za njegovu realizaciju osigurana su u državnom proračunu</w:t>
      </w:r>
      <w:r w:rsidR="00EC3F8B" w:rsidRPr="00D166B8">
        <w:t xml:space="preserve"> </w:t>
      </w:r>
      <w:r w:rsidR="007C3C73" w:rsidRPr="00D166B8">
        <w:t>na poziciji MORH-a</w:t>
      </w:r>
      <w:r w:rsidR="00ED48CC" w:rsidRPr="00D166B8">
        <w:t>.</w:t>
      </w:r>
    </w:p>
    <w:p w14:paraId="29D306A6" w14:textId="77777777" w:rsidR="005C59B0" w:rsidRPr="00D166B8" w:rsidRDefault="005C59B0" w:rsidP="001A53C7">
      <w:pPr>
        <w:spacing w:line="240" w:lineRule="auto"/>
      </w:pPr>
    </w:p>
    <w:p w14:paraId="1FB2DEEE" w14:textId="77777777" w:rsidR="0034115C" w:rsidRPr="00D166B8" w:rsidRDefault="005C59B0" w:rsidP="001A53C7">
      <w:pPr>
        <w:spacing w:line="240" w:lineRule="auto"/>
        <w:rPr>
          <w:b/>
        </w:rPr>
      </w:pPr>
      <w:r w:rsidRPr="00D166B8">
        <w:rPr>
          <w:b/>
        </w:rPr>
        <w:t>3.1.</w:t>
      </w:r>
      <w:r w:rsidRPr="00D166B8">
        <w:rPr>
          <w:b/>
        </w:rPr>
        <w:tab/>
      </w:r>
      <w:r w:rsidR="00647B3C" w:rsidRPr="00D166B8">
        <w:rPr>
          <w:b/>
        </w:rPr>
        <w:t>Potpuno uklanjanje MSP-a</w:t>
      </w:r>
      <w:r w:rsidR="00A10C17" w:rsidRPr="00D166B8">
        <w:rPr>
          <w:b/>
        </w:rPr>
        <w:t xml:space="preserve"> u Republici Hrvatskoj (</w:t>
      </w:r>
      <w:r w:rsidR="00647B3C" w:rsidRPr="00D166B8">
        <w:rPr>
          <w:b/>
        </w:rPr>
        <w:t>1</w:t>
      </w:r>
      <w:r w:rsidR="00A10C17" w:rsidRPr="00D166B8">
        <w:rPr>
          <w:b/>
        </w:rPr>
        <w:t>,</w:t>
      </w:r>
      <w:r w:rsidR="00647B3C" w:rsidRPr="00D166B8">
        <w:rPr>
          <w:b/>
        </w:rPr>
        <w:t>9</w:t>
      </w:r>
      <w:r w:rsidR="00A10C17" w:rsidRPr="00D166B8">
        <w:rPr>
          <w:b/>
        </w:rPr>
        <w:t xml:space="preserve"> </w:t>
      </w:r>
      <w:r w:rsidR="00A10C17" w:rsidRPr="002A634C">
        <w:rPr>
          <w:b/>
        </w:rPr>
        <w:t>km</w:t>
      </w:r>
      <w:r w:rsidR="00A10C17" w:rsidRPr="002A634C">
        <w:rPr>
          <w:b/>
          <w:vertAlign w:val="superscript"/>
        </w:rPr>
        <w:t>2</w:t>
      </w:r>
      <w:r w:rsidR="00A10C17" w:rsidRPr="002A634C">
        <w:rPr>
          <w:b/>
        </w:rPr>
        <w:t>)</w:t>
      </w:r>
      <w:r w:rsidR="00647B3C" w:rsidRPr="00D166B8">
        <w:rPr>
          <w:b/>
        </w:rPr>
        <w:t xml:space="preserve"> do 1. ožujka 2026.</w:t>
      </w:r>
    </w:p>
    <w:p w14:paraId="2C1F1506" w14:textId="77777777" w:rsidR="005C59B0" w:rsidRPr="00D166B8" w:rsidRDefault="005C59B0" w:rsidP="001A53C7">
      <w:pPr>
        <w:spacing w:line="240" w:lineRule="auto"/>
        <w:rPr>
          <w:b/>
        </w:rPr>
      </w:pPr>
    </w:p>
    <w:p w14:paraId="3F764260" w14:textId="77777777" w:rsidR="00647B3C" w:rsidRPr="00D166B8" w:rsidRDefault="00647B3C" w:rsidP="001A53C7">
      <w:pPr>
        <w:spacing w:line="240" w:lineRule="auto"/>
      </w:pPr>
      <w:r w:rsidRPr="00D166B8">
        <w:t>Do 1. ožujka 2026. planira se uklanjanje cjelokupnog MSP-</w:t>
      </w:r>
      <w:r w:rsidR="00EE6ED7" w:rsidRPr="00D166B8">
        <w:t>a</w:t>
      </w:r>
      <w:r w:rsidRPr="00D166B8">
        <w:t xml:space="preserve"> u Republici Hrvatskoj. Na svim poznatim </w:t>
      </w:r>
      <w:r w:rsidR="005C59B0" w:rsidRPr="002A634C">
        <w:t>MSP</w:t>
      </w:r>
      <w:r w:rsidR="00E20B75" w:rsidRPr="002A634C">
        <w:t>-ovima</w:t>
      </w:r>
      <w:r w:rsidRPr="002A634C">
        <w:t xml:space="preserve"> završeni</w:t>
      </w:r>
      <w:r w:rsidRPr="00D166B8">
        <w:t xml:space="preserve"> su </w:t>
      </w:r>
      <w:r w:rsidR="005911D6" w:rsidRPr="00D166B8">
        <w:t>poslovi razminiranja</w:t>
      </w:r>
      <w:r w:rsidRPr="00D166B8">
        <w:t xml:space="preserve"> te je u 2026. godini preosta</w:t>
      </w:r>
      <w:r w:rsidR="0077563B" w:rsidRPr="00D166B8">
        <w:t>l</w:t>
      </w:r>
      <w:r w:rsidR="00127B9A" w:rsidRPr="00D166B8">
        <w:t>o</w:t>
      </w:r>
      <w:r w:rsidRPr="00D166B8">
        <w:t xml:space="preserve"> izdavanje potvrda o isključenju površina iz MSP-a i uklanjanje 19</w:t>
      </w:r>
      <w:r w:rsidR="00127B9A" w:rsidRPr="00D166B8">
        <w:t>4</w:t>
      </w:r>
      <w:r w:rsidRPr="00D166B8">
        <w:t xml:space="preserve"> oznak</w:t>
      </w:r>
      <w:r w:rsidR="00127B9A" w:rsidRPr="00D166B8">
        <w:t>e</w:t>
      </w:r>
      <w:r w:rsidRPr="00D166B8">
        <w:t xml:space="preserve"> minske opasnosti.</w:t>
      </w:r>
    </w:p>
    <w:p w14:paraId="36DD2362" w14:textId="77777777" w:rsidR="00EE24F6" w:rsidRDefault="00EE24F6" w:rsidP="001A53C7">
      <w:pPr>
        <w:spacing w:line="240" w:lineRule="auto"/>
      </w:pPr>
    </w:p>
    <w:p w14:paraId="5CA33D84" w14:textId="77777777" w:rsidR="00C20AC2" w:rsidRDefault="00C20AC2" w:rsidP="001A53C7">
      <w:pPr>
        <w:spacing w:line="240" w:lineRule="auto"/>
      </w:pPr>
    </w:p>
    <w:p w14:paraId="7D7BE5C3" w14:textId="77777777" w:rsidR="00C20AC2" w:rsidRDefault="00C20AC2" w:rsidP="001A53C7">
      <w:pPr>
        <w:spacing w:line="240" w:lineRule="auto"/>
      </w:pPr>
    </w:p>
    <w:p w14:paraId="152A70DD" w14:textId="77777777" w:rsidR="00C20AC2" w:rsidRPr="00D166B8" w:rsidRDefault="00C20AC2" w:rsidP="001A53C7">
      <w:pPr>
        <w:spacing w:line="240" w:lineRule="auto"/>
      </w:pPr>
    </w:p>
    <w:p w14:paraId="18388E0D" w14:textId="77777777" w:rsidR="00EE24F6" w:rsidRPr="00D166B8" w:rsidRDefault="00EE24F6" w:rsidP="001A53C7">
      <w:pPr>
        <w:spacing w:line="240" w:lineRule="auto"/>
      </w:pPr>
      <w:r w:rsidRPr="00D166B8">
        <w:t>Uklanjanje</w:t>
      </w:r>
      <w:r w:rsidR="005911D6" w:rsidRPr="00D166B8">
        <w:t>m</w:t>
      </w:r>
      <w:r w:rsidRPr="00D166B8">
        <w:t xml:space="preserve"> preostalog MSP-a površine 1,9 km</w:t>
      </w:r>
      <w:r w:rsidRPr="00D166B8">
        <w:rPr>
          <w:vertAlign w:val="superscript"/>
        </w:rPr>
        <w:t>2</w:t>
      </w:r>
      <w:r w:rsidRPr="00D166B8">
        <w:t xml:space="preserve"> do 1. ožujka 2026. izvršit će se obveza Republike Hrvatske prema </w:t>
      </w:r>
      <w:r w:rsidRPr="00D166B8">
        <w:rPr>
          <w:i/>
        </w:rPr>
        <w:t>Ottawskoj konvenciji</w:t>
      </w:r>
      <w:r w:rsidR="005911D6" w:rsidRPr="00D166B8">
        <w:t xml:space="preserve"> i ostvariti temeljni cilj Nacionalnog programa da će se u potpunosti, najkasnije do 1. ožujka 2026.</w:t>
      </w:r>
      <w:r w:rsidR="00E20B75" w:rsidRPr="00D166B8">
        <w:t>,</w:t>
      </w:r>
      <w:r w:rsidR="005911D6" w:rsidRPr="00D166B8">
        <w:t xml:space="preserve"> ukloniti minska opasnost s područja Republike Hrvatske.</w:t>
      </w:r>
    </w:p>
    <w:p w14:paraId="4CAE524D" w14:textId="77777777" w:rsidR="00647B3C" w:rsidRPr="00D166B8" w:rsidRDefault="00647B3C" w:rsidP="001A53C7">
      <w:pPr>
        <w:spacing w:line="240" w:lineRule="auto"/>
      </w:pPr>
    </w:p>
    <w:p w14:paraId="56983C0C" w14:textId="4854DD08" w:rsidR="000C6266" w:rsidRPr="00D166B8" w:rsidRDefault="00D80FD4" w:rsidP="001A53C7">
      <w:pPr>
        <w:spacing w:line="240" w:lineRule="auto"/>
      </w:pPr>
      <w:r w:rsidRPr="00C20AC2">
        <w:rPr>
          <w:spacing w:val="2"/>
        </w:rPr>
        <w:t xml:space="preserve">Na </w:t>
      </w:r>
      <w:r w:rsidRPr="002A634C">
        <w:rPr>
          <w:spacing w:val="2"/>
        </w:rPr>
        <w:t>t</w:t>
      </w:r>
      <w:r w:rsidR="00F23DB8" w:rsidRPr="002A634C">
        <w:rPr>
          <w:spacing w:val="2"/>
        </w:rPr>
        <w:t>emelj</w:t>
      </w:r>
      <w:r w:rsidRPr="002A634C">
        <w:rPr>
          <w:spacing w:val="2"/>
        </w:rPr>
        <w:t>u</w:t>
      </w:r>
      <w:r w:rsidR="00F23DB8" w:rsidRPr="002A634C">
        <w:rPr>
          <w:spacing w:val="2"/>
        </w:rPr>
        <w:t xml:space="preserve"> </w:t>
      </w:r>
      <w:r w:rsidR="005270EF" w:rsidRPr="002A634C">
        <w:rPr>
          <w:spacing w:val="2"/>
        </w:rPr>
        <w:t>Odluke o davanju prethodnog odobrenja za razminiranje perspektivne vojne lokacije - vojnog poligona „Eugen Kvaternik“ u Slunju</w:t>
      </w:r>
      <w:r w:rsidR="005270EF" w:rsidRPr="002A634C">
        <w:t xml:space="preserve">, </w:t>
      </w:r>
      <w:r w:rsidR="005C59B0" w:rsidRPr="002A634C">
        <w:t>KLASA</w:t>
      </w:r>
      <w:r w:rsidR="00F23DB8" w:rsidRPr="002A634C">
        <w:t>: 022-03/24-04/171,</w:t>
      </w:r>
      <w:r w:rsidR="005270EF" w:rsidRPr="002A634C">
        <w:t xml:space="preserve"> </w:t>
      </w:r>
      <w:r w:rsidR="005C59B0" w:rsidRPr="002A634C">
        <w:t>URBROJ</w:t>
      </w:r>
      <w:r w:rsidR="00F23DB8" w:rsidRPr="002A634C">
        <w:t>: 50301-29/09-24-2</w:t>
      </w:r>
      <w:r w:rsidR="00E20B75" w:rsidRPr="002A634C">
        <w:t>,</w:t>
      </w:r>
      <w:r w:rsidR="00F23DB8" w:rsidRPr="002A634C">
        <w:t xml:space="preserve"> od 15. travnja 2024., </w:t>
      </w:r>
      <w:r w:rsidR="00647B3C" w:rsidRPr="002A634C">
        <w:t xml:space="preserve">vezano </w:t>
      </w:r>
      <w:r w:rsidR="00E20B75" w:rsidRPr="002A634C">
        <w:t>z</w:t>
      </w:r>
      <w:r w:rsidR="00647B3C" w:rsidRPr="002A634C">
        <w:t>a razminiranje</w:t>
      </w:r>
      <w:r w:rsidR="00647B3C" w:rsidRPr="00D166B8">
        <w:t xml:space="preserve"> područj</w:t>
      </w:r>
      <w:r w:rsidR="00516ACE" w:rsidRPr="00D166B8">
        <w:t>a</w:t>
      </w:r>
      <w:r w:rsidR="00647B3C" w:rsidRPr="00D166B8">
        <w:t xml:space="preserve"> vojnog poligona „Eugen Kvaternik“</w:t>
      </w:r>
      <w:r w:rsidR="00631F5E" w:rsidRPr="00D166B8">
        <w:t>,</w:t>
      </w:r>
      <w:r w:rsidR="00647B3C" w:rsidRPr="00D166B8">
        <w:t xml:space="preserve"> </w:t>
      </w:r>
      <w:r w:rsidR="00631F5E" w:rsidRPr="00D166B8">
        <w:t xml:space="preserve">završeno je razminiranje </w:t>
      </w:r>
      <w:r w:rsidR="00647B3C" w:rsidRPr="00D166B8">
        <w:t xml:space="preserve">prema </w:t>
      </w:r>
      <w:r w:rsidR="00631F5E" w:rsidRPr="00D166B8">
        <w:t xml:space="preserve">svim </w:t>
      </w:r>
      <w:r w:rsidR="00647B3C" w:rsidRPr="00D166B8">
        <w:t>izrađenim idejnim planovima</w:t>
      </w:r>
      <w:r w:rsidR="00631F5E" w:rsidRPr="00D166B8">
        <w:t>.</w:t>
      </w:r>
      <w:r w:rsidR="0062734C" w:rsidRPr="00D166B8">
        <w:t xml:space="preserve"> </w:t>
      </w:r>
      <w:r w:rsidR="00D5552D" w:rsidRPr="00D166B8">
        <w:t xml:space="preserve">MUP će </w:t>
      </w:r>
      <w:r w:rsidR="001E785F">
        <w:t>do kraja</w:t>
      </w:r>
      <w:r w:rsidR="00540CD8" w:rsidRPr="00D166B8">
        <w:t xml:space="preserve"> veljače</w:t>
      </w:r>
      <w:r w:rsidR="00D5552D" w:rsidRPr="00D166B8">
        <w:t xml:space="preserve"> 202</w:t>
      </w:r>
      <w:r w:rsidR="00631F5E" w:rsidRPr="00D166B8">
        <w:t>6</w:t>
      </w:r>
      <w:r w:rsidR="00D5552D" w:rsidRPr="00D166B8">
        <w:t xml:space="preserve">. godine provoditi aktivnosti </w:t>
      </w:r>
      <w:r w:rsidR="00631F5E" w:rsidRPr="00D166B8">
        <w:t>općeg izvida preostalog MSP-a vojnog poligona u cilju izdavanja potvrde o isključenju 4,5 km</w:t>
      </w:r>
      <w:r w:rsidR="00631F5E" w:rsidRPr="00D166B8">
        <w:rPr>
          <w:vertAlign w:val="superscript"/>
        </w:rPr>
        <w:t>2</w:t>
      </w:r>
      <w:r w:rsidR="00631F5E" w:rsidRPr="00D166B8">
        <w:t xml:space="preserve"> iz MSP-a vojnog poligona.</w:t>
      </w:r>
    </w:p>
    <w:p w14:paraId="29447DAA" w14:textId="77777777" w:rsidR="005C59B0" w:rsidRPr="00D166B8" w:rsidRDefault="005C59B0" w:rsidP="001A53C7">
      <w:pPr>
        <w:spacing w:line="240" w:lineRule="auto"/>
      </w:pPr>
    </w:p>
    <w:p w14:paraId="4395AC6A" w14:textId="77777777" w:rsidR="005C59B0" w:rsidRPr="00D166B8" w:rsidRDefault="005C59B0" w:rsidP="001A53C7">
      <w:pPr>
        <w:spacing w:line="240" w:lineRule="auto"/>
      </w:pPr>
    </w:p>
    <w:p w14:paraId="60042730" w14:textId="77777777" w:rsidR="0034115C" w:rsidRPr="00D166B8" w:rsidRDefault="005C59B0" w:rsidP="00BB4503">
      <w:pPr>
        <w:spacing w:line="240" w:lineRule="auto"/>
        <w:ind w:left="709" w:hanging="709"/>
        <w:rPr>
          <w:b/>
        </w:rPr>
      </w:pPr>
      <w:bookmarkStart w:id="3" w:name="_Toc73447665"/>
      <w:r w:rsidRPr="00D166B8">
        <w:rPr>
          <w:b/>
        </w:rPr>
        <w:t>3.2.</w:t>
      </w:r>
      <w:r w:rsidRPr="00D166B8">
        <w:rPr>
          <w:b/>
        </w:rPr>
        <w:tab/>
      </w:r>
      <w:r w:rsidR="00832DC6" w:rsidRPr="00D166B8">
        <w:rPr>
          <w:b/>
        </w:rPr>
        <w:t>Informiranje i edukacija</w:t>
      </w:r>
      <w:r w:rsidR="0034115C" w:rsidRPr="00D166B8">
        <w:rPr>
          <w:b/>
        </w:rPr>
        <w:t xml:space="preserve"> stanovništva o opasnostima od MES-a, NUS-a i njihovih dijelova</w:t>
      </w:r>
      <w:bookmarkEnd w:id="3"/>
    </w:p>
    <w:p w14:paraId="1A603D9F" w14:textId="77777777" w:rsidR="005C59B0" w:rsidRPr="00D166B8" w:rsidRDefault="005C59B0" w:rsidP="001A53C7">
      <w:pPr>
        <w:spacing w:line="240" w:lineRule="auto"/>
        <w:rPr>
          <w:b/>
        </w:rPr>
      </w:pPr>
    </w:p>
    <w:p w14:paraId="7928C6CA" w14:textId="77777777" w:rsidR="0034115C" w:rsidRPr="00D166B8" w:rsidRDefault="0034115C" w:rsidP="001A53C7">
      <w:pPr>
        <w:spacing w:line="240" w:lineRule="auto"/>
      </w:pPr>
      <w:r w:rsidRPr="00D166B8">
        <w:t xml:space="preserve">MUP planira u suradnji s tijelima državne uprave, jedinicama lokalne i područne (regionalne) samouprave, civilnim sektorom i lokalnim stanovništvom, kontinuirano provoditi informiranje i edukaciju o opasnostima od MES-a, NUS-a i njihovih dijelova. </w:t>
      </w:r>
    </w:p>
    <w:p w14:paraId="2C5F1EE8" w14:textId="77777777" w:rsidR="0034115C" w:rsidRPr="00D166B8" w:rsidRDefault="0034115C" w:rsidP="001A53C7">
      <w:pPr>
        <w:spacing w:line="240" w:lineRule="auto"/>
      </w:pPr>
    </w:p>
    <w:p w14:paraId="583176EF" w14:textId="77777777" w:rsidR="0034115C" w:rsidRPr="00D166B8" w:rsidRDefault="0034115C" w:rsidP="001A53C7">
      <w:pPr>
        <w:spacing w:line="240" w:lineRule="auto"/>
      </w:pPr>
      <w:r w:rsidRPr="00D166B8">
        <w:t>Informiranje i edukacija, čija je svrha poticati odgovorno ponašanje građana, s ciljem smanjenja rizika od stradavanja</w:t>
      </w:r>
      <w:r w:rsidR="00346CC8" w:rsidRPr="00D166B8">
        <w:t xml:space="preserve"> od EOR</w:t>
      </w:r>
      <w:r w:rsidR="00BB4503">
        <w:t>-a</w:t>
      </w:r>
      <w:r w:rsidRPr="00D166B8">
        <w:t>, provodi se kroz javno informiranje putem medija, stručna predavanja usmjerena prema ciljanim skupinama te organiziranjem javnih događanja na lokalnoj i nacionalnoj razini.</w:t>
      </w:r>
    </w:p>
    <w:p w14:paraId="7CAC81B1" w14:textId="77777777" w:rsidR="00246E50" w:rsidRPr="00D166B8" w:rsidRDefault="00246E50" w:rsidP="001A53C7">
      <w:pPr>
        <w:spacing w:line="240" w:lineRule="auto"/>
      </w:pPr>
    </w:p>
    <w:p w14:paraId="00F85F76" w14:textId="77777777" w:rsidR="00246E50" w:rsidRPr="00D166B8" w:rsidRDefault="00246E50" w:rsidP="001A53C7">
      <w:pPr>
        <w:spacing w:line="240" w:lineRule="auto"/>
      </w:pPr>
      <w:r w:rsidRPr="00D166B8">
        <w:t>Informiranje i edukacija ostaje ključna čak i nakon što je neka zemlja proglašena slobodnom od mina. Rizik rezidualne kontaminacije može se pojaviti prirodnim procesom erozije tla, građevinskim radovima u dubljim slojevima tla, poljoprivrednim aktivnostima u dubljim slojevima tla i sl.</w:t>
      </w:r>
      <w:r w:rsidR="005C59B0" w:rsidRPr="00D166B8">
        <w:t>,</w:t>
      </w:r>
      <w:r w:rsidRPr="00D166B8">
        <w:t xml:space="preserve"> stoga lokalne zajednice - posebice djeca, poljoprivrednici i građevinski radnici - moraju </w:t>
      </w:r>
      <w:r w:rsidR="005C59B0" w:rsidRPr="00D166B8">
        <w:t xml:space="preserve">znati </w:t>
      </w:r>
      <w:r w:rsidRPr="00D166B8">
        <w:t>prepoznati i sigurno prijaviti sumnjive predmete. Kontinuirana svijest osigurava da stanovništvo održava sigurno ponašanje, da se potencijalni novi nalazi brzo identificiraju i da povjerenje u nacionalni sigurnosni sustav ostane snažno.</w:t>
      </w:r>
    </w:p>
    <w:p w14:paraId="5372E498" w14:textId="77777777" w:rsidR="005A4A6C" w:rsidRPr="00D166B8" w:rsidRDefault="005A4A6C" w:rsidP="001A53C7">
      <w:pPr>
        <w:spacing w:line="240" w:lineRule="auto"/>
      </w:pPr>
    </w:p>
    <w:p w14:paraId="79B873EF" w14:textId="77777777" w:rsidR="00B15EE2" w:rsidRPr="00D166B8" w:rsidRDefault="005C59B0" w:rsidP="00BB4503">
      <w:pPr>
        <w:tabs>
          <w:tab w:val="left" w:pos="709"/>
        </w:tabs>
        <w:spacing w:line="240" w:lineRule="auto"/>
        <w:ind w:left="709" w:hanging="709"/>
        <w:rPr>
          <w:b/>
        </w:rPr>
      </w:pPr>
      <w:r w:rsidRPr="00D166B8">
        <w:rPr>
          <w:b/>
        </w:rPr>
        <w:t>3.3.</w:t>
      </w:r>
      <w:r w:rsidRPr="00D166B8">
        <w:rPr>
          <w:b/>
        </w:rPr>
        <w:tab/>
      </w:r>
      <w:r w:rsidR="00E95C57" w:rsidRPr="00D166B8">
        <w:rPr>
          <w:b/>
        </w:rPr>
        <w:t xml:space="preserve">Izvršavanje obveza prema međunarodnim konvencijama </w:t>
      </w:r>
      <w:r w:rsidR="00FC3936" w:rsidRPr="00D166B8">
        <w:rPr>
          <w:b/>
        </w:rPr>
        <w:t xml:space="preserve">i pružanje pomoći drugim </w:t>
      </w:r>
      <w:r w:rsidR="00FC3936" w:rsidRPr="002A634C">
        <w:rPr>
          <w:b/>
        </w:rPr>
        <w:t xml:space="preserve">državama </w:t>
      </w:r>
      <w:r w:rsidR="00E20B75" w:rsidRPr="002A634C">
        <w:rPr>
          <w:b/>
        </w:rPr>
        <w:t>u protuminskom djelovanju</w:t>
      </w:r>
    </w:p>
    <w:p w14:paraId="34447F87" w14:textId="77777777" w:rsidR="00B15EE2" w:rsidRPr="00D166B8" w:rsidRDefault="00B15EE2" w:rsidP="00B15EE2">
      <w:pPr>
        <w:spacing w:line="240" w:lineRule="auto"/>
        <w:rPr>
          <w:b/>
        </w:rPr>
      </w:pPr>
    </w:p>
    <w:p w14:paraId="42DD2081" w14:textId="77777777" w:rsidR="00E20B75" w:rsidRPr="00D166B8" w:rsidRDefault="005C59B0" w:rsidP="00C71617">
      <w:pPr>
        <w:tabs>
          <w:tab w:val="left" w:pos="709"/>
        </w:tabs>
        <w:spacing w:line="240" w:lineRule="auto"/>
        <w:rPr>
          <w:b/>
          <w:bCs/>
          <w:i/>
          <w:iCs/>
        </w:rPr>
      </w:pPr>
      <w:r w:rsidRPr="00D166B8">
        <w:rPr>
          <w:b/>
          <w:bCs/>
        </w:rPr>
        <w:t>3.3.1.</w:t>
      </w:r>
      <w:r w:rsidRPr="00D166B8">
        <w:rPr>
          <w:b/>
          <w:bCs/>
          <w:i/>
          <w:iCs/>
        </w:rPr>
        <w:tab/>
      </w:r>
      <w:r w:rsidR="00FC3936" w:rsidRPr="00D166B8">
        <w:rPr>
          <w:b/>
          <w:bCs/>
        </w:rPr>
        <w:t>Nacionalna izvješća prema međunarodnim konvencijama</w:t>
      </w:r>
    </w:p>
    <w:p w14:paraId="3834D320" w14:textId="77777777" w:rsidR="00B15EE2" w:rsidRPr="00D166B8" w:rsidRDefault="00B15EE2" w:rsidP="00B15EE2">
      <w:pPr>
        <w:spacing w:line="240" w:lineRule="auto"/>
        <w:rPr>
          <w:b/>
          <w:bCs/>
          <w:i/>
          <w:iCs/>
        </w:rPr>
      </w:pPr>
    </w:p>
    <w:p w14:paraId="5D94396E" w14:textId="77777777" w:rsidR="004B3A45" w:rsidRPr="00D166B8" w:rsidRDefault="00FC3936" w:rsidP="001A53C7">
      <w:pPr>
        <w:spacing w:line="240" w:lineRule="auto"/>
      </w:pPr>
      <w:r w:rsidRPr="00D166B8">
        <w:t xml:space="preserve">MUP će u predviđenim rokovima pripremiti prijedloge godišnjih izvješća za 2026. godinu prema međunarodnim konvencijama iz područja kontrole konvencionalnog oružja (protuminskog djelovanja), tj. za sljedeće </w:t>
      </w:r>
      <w:r w:rsidR="00E20B75" w:rsidRPr="00D166B8">
        <w:t>k</w:t>
      </w:r>
      <w:r w:rsidRPr="00D166B8">
        <w:t>onvencije:</w:t>
      </w:r>
      <w:r w:rsidR="004B3A45" w:rsidRPr="00D166B8">
        <w:t xml:space="preserve"> </w:t>
      </w:r>
    </w:p>
    <w:p w14:paraId="1A6C23C1" w14:textId="77777777" w:rsidR="004B3A45" w:rsidRPr="00D166B8" w:rsidRDefault="004B3A45" w:rsidP="001A53C7">
      <w:pPr>
        <w:spacing w:line="240" w:lineRule="auto"/>
      </w:pPr>
    </w:p>
    <w:p w14:paraId="41A46114" w14:textId="77777777" w:rsidR="004B3A45" w:rsidRPr="00D166B8" w:rsidRDefault="004B3A45" w:rsidP="001A53C7">
      <w:pPr>
        <w:numPr>
          <w:ilvl w:val="0"/>
          <w:numId w:val="11"/>
        </w:numPr>
        <w:spacing w:line="240" w:lineRule="auto"/>
      </w:pPr>
      <w:r w:rsidRPr="00D166B8">
        <w:t>Konvenciju o zabrani uporabe, stvaranja zaliha, proizvodnje i prijenosa protupješačkih mina i o njihovom uništenju (APLC, Ottawa)</w:t>
      </w:r>
    </w:p>
    <w:p w14:paraId="5A2D1E6C" w14:textId="77777777" w:rsidR="004B3A45" w:rsidRPr="00D166B8" w:rsidRDefault="004B3A45" w:rsidP="001A53C7">
      <w:pPr>
        <w:numPr>
          <w:ilvl w:val="0"/>
          <w:numId w:val="11"/>
        </w:numPr>
        <w:spacing w:line="240" w:lineRule="auto"/>
      </w:pPr>
      <w:r w:rsidRPr="00D166B8">
        <w:t>Konvenciju o kazetnom streljivu (CCM)</w:t>
      </w:r>
    </w:p>
    <w:p w14:paraId="0FF4ED21" w14:textId="77777777" w:rsidR="004B3A45" w:rsidRPr="00D166B8" w:rsidRDefault="004B3A45" w:rsidP="001A53C7">
      <w:pPr>
        <w:numPr>
          <w:ilvl w:val="0"/>
          <w:numId w:val="11"/>
        </w:numPr>
        <w:spacing w:line="240" w:lineRule="auto"/>
      </w:pPr>
      <w:r w:rsidRPr="00D166B8">
        <w:t xml:space="preserve">Konvenciju o zabrani ili ograničenju uporabe određenog konvencionalnog oružja koje se smatra izuzetno opasnim (izaziva velike traumatske učinke) ili je neselektivnog djelovanja </w:t>
      </w:r>
      <w:r w:rsidR="00E20B75" w:rsidRPr="00D166B8">
        <w:lastRenderedPageBreak/>
        <w:t>-</w:t>
      </w:r>
      <w:r w:rsidRPr="00D166B8">
        <w:t xml:space="preserve"> Izvješća prema Izmijenjenom Protokolu II; Izvješće prema Protokolu V;</w:t>
      </w:r>
      <w:r w:rsidR="00EE6ED7" w:rsidRPr="00D166B8">
        <w:t xml:space="preserve"> </w:t>
      </w:r>
      <w:r w:rsidRPr="00D166B8">
        <w:t>Izvješće o Sukladnosti (CCW).</w:t>
      </w:r>
    </w:p>
    <w:p w14:paraId="4239C0F0" w14:textId="77777777" w:rsidR="004B3A45" w:rsidRPr="00D166B8" w:rsidRDefault="004B3A45" w:rsidP="001A53C7">
      <w:pPr>
        <w:pStyle w:val="Listabullet"/>
        <w:numPr>
          <w:ilvl w:val="0"/>
          <w:numId w:val="0"/>
        </w:numPr>
        <w:spacing w:after="0" w:line="240" w:lineRule="auto"/>
        <w:ind w:left="357" w:hanging="357"/>
        <w:rPr>
          <w:rFonts w:cs="Times New Roman"/>
        </w:rPr>
      </w:pPr>
    </w:p>
    <w:p w14:paraId="3CAB88A3" w14:textId="77777777" w:rsidR="00FC3936" w:rsidRPr="00D166B8" w:rsidRDefault="00FC3936" w:rsidP="001A53C7">
      <w:pPr>
        <w:spacing w:line="240" w:lineRule="auto"/>
      </w:pPr>
      <w:r w:rsidRPr="00D166B8">
        <w:t xml:space="preserve">Izvješća se podnose </w:t>
      </w:r>
      <w:r w:rsidR="00C71617" w:rsidRPr="002A634C">
        <w:t>tijelima k</w:t>
      </w:r>
      <w:r w:rsidRPr="002A634C">
        <w:t>onvencija</w:t>
      </w:r>
      <w:r w:rsidRPr="00D166B8">
        <w:t xml:space="preserve"> putem Stalne misije Republike Hrvatske pri Uredu Ujedinjenih naroda i ostalim međunarodnim organizacijama u Ženevi.</w:t>
      </w:r>
    </w:p>
    <w:p w14:paraId="1BA599B4" w14:textId="77777777" w:rsidR="00FC3936" w:rsidRPr="00D166B8" w:rsidRDefault="00FC3936" w:rsidP="001A53C7">
      <w:pPr>
        <w:spacing w:line="240" w:lineRule="auto"/>
      </w:pPr>
    </w:p>
    <w:p w14:paraId="3B06429E" w14:textId="77777777" w:rsidR="00FC3936" w:rsidRPr="00D166B8" w:rsidRDefault="00EE6ED7" w:rsidP="001A53C7">
      <w:pPr>
        <w:spacing w:line="240" w:lineRule="auto"/>
      </w:pPr>
      <w:r w:rsidRPr="00D166B8">
        <w:t xml:space="preserve">S </w:t>
      </w:r>
      <w:r w:rsidRPr="002A634C">
        <w:t>o</w:t>
      </w:r>
      <w:r w:rsidR="00FC3936" w:rsidRPr="002A634C">
        <w:t>bzirom</w:t>
      </w:r>
      <w:r w:rsidR="00E20B75" w:rsidRPr="002A634C">
        <w:t xml:space="preserve"> na to</w:t>
      </w:r>
      <w:r w:rsidR="00FC3936" w:rsidRPr="002A634C">
        <w:t xml:space="preserve"> </w:t>
      </w:r>
      <w:r w:rsidRPr="002A634C">
        <w:t xml:space="preserve">da </w:t>
      </w:r>
      <w:r w:rsidR="00FC3936" w:rsidRPr="002A634C">
        <w:t>je rok za ispunjenje obveze iz članka 5., isključenj</w:t>
      </w:r>
      <w:r w:rsidRPr="002A634C">
        <w:t>e</w:t>
      </w:r>
      <w:r w:rsidR="00FC3936" w:rsidRPr="002A634C">
        <w:t xml:space="preserve"> svih </w:t>
      </w:r>
      <w:r w:rsidRPr="002A634C">
        <w:t>MSP</w:t>
      </w:r>
      <w:r w:rsidR="00E20B75" w:rsidRPr="002A634C">
        <w:t>-ova</w:t>
      </w:r>
      <w:r w:rsidR="00FC3936" w:rsidRPr="002A634C">
        <w:t>, Konvencije o zabrani</w:t>
      </w:r>
      <w:r w:rsidR="00FC3936" w:rsidRPr="00D166B8">
        <w:t xml:space="preserve"> uporabe, stvaranja zaliha, proizvodnje i prijenosa protupješačkih mina i o njihovom uništenju (APLC, Ottawa) do ožujka 2026. godine, MUP će u predviđenim rokovima pripremiti prijedloge Deklaracije i Izvješća o isključenju svih minski sumnjivih područja u Republici Hrvatskoj.</w:t>
      </w:r>
    </w:p>
    <w:p w14:paraId="7A367206" w14:textId="77777777" w:rsidR="005C59B0" w:rsidRPr="00D166B8" w:rsidRDefault="005C59B0" w:rsidP="001A53C7">
      <w:pPr>
        <w:spacing w:line="240" w:lineRule="auto"/>
      </w:pPr>
    </w:p>
    <w:p w14:paraId="15C14D17" w14:textId="77777777" w:rsidR="00FC3936" w:rsidRPr="00D166B8" w:rsidRDefault="005C59B0" w:rsidP="001A53C7">
      <w:pPr>
        <w:spacing w:line="240" w:lineRule="auto"/>
        <w:rPr>
          <w:b/>
          <w:iCs/>
        </w:rPr>
      </w:pPr>
      <w:r w:rsidRPr="00D166B8">
        <w:rPr>
          <w:b/>
          <w:iCs/>
        </w:rPr>
        <w:t>3.3.2</w:t>
      </w:r>
      <w:r w:rsidRPr="00D166B8">
        <w:rPr>
          <w:b/>
          <w:i/>
        </w:rPr>
        <w:t>.</w:t>
      </w:r>
      <w:r w:rsidRPr="00D166B8">
        <w:rPr>
          <w:b/>
          <w:i/>
        </w:rPr>
        <w:tab/>
      </w:r>
      <w:r w:rsidR="00FC3936" w:rsidRPr="00D166B8">
        <w:rPr>
          <w:b/>
          <w:iCs/>
        </w:rPr>
        <w:t>Suradnja s međunarodnim subjektima u protuminskom djelovanju</w:t>
      </w:r>
    </w:p>
    <w:p w14:paraId="33B7170A" w14:textId="77777777" w:rsidR="005C59B0" w:rsidRPr="00D166B8" w:rsidRDefault="005C59B0" w:rsidP="001A53C7">
      <w:pPr>
        <w:spacing w:line="240" w:lineRule="auto"/>
        <w:rPr>
          <w:b/>
          <w:i/>
        </w:rPr>
      </w:pPr>
    </w:p>
    <w:p w14:paraId="11FBB081" w14:textId="77777777" w:rsidR="00FC3936" w:rsidRPr="00D166B8" w:rsidRDefault="00FC3936" w:rsidP="001A53C7">
      <w:pPr>
        <w:spacing w:line="240" w:lineRule="auto"/>
      </w:pPr>
      <w:r w:rsidRPr="00D166B8">
        <w:t>MUP će, u suradnji s partnerima, u 2026. godini nastaviti suradnju s relevantnim međunarodnim dionicima u protuminskom djelovanju, poglavito partnerima s kojima već postoje potpisani Memorandumi/Izjave o suradnji. Cilj navedenih aktivnosti usmjeren je na</w:t>
      </w:r>
      <w:r w:rsidR="00CB7CF3" w:rsidRPr="00D166B8">
        <w:t xml:space="preserve"> </w:t>
      </w:r>
      <w:r w:rsidR="00E6421B" w:rsidRPr="00D166B8">
        <w:t>prijenos znanja</w:t>
      </w:r>
      <w:r w:rsidRPr="00D166B8">
        <w:t xml:space="preserve"> i iskustava Republike Hrvatske u protuminskom djelovanju i pozicioniranje istih u kontekstu međunarodno prepoznatljivog hrvatskog izvoznog proizvoda.</w:t>
      </w:r>
    </w:p>
    <w:p w14:paraId="7FAEFE7B" w14:textId="77777777" w:rsidR="00FC3936" w:rsidRPr="00D166B8" w:rsidRDefault="00FC3936" w:rsidP="001A53C7">
      <w:pPr>
        <w:spacing w:line="240" w:lineRule="auto"/>
      </w:pPr>
    </w:p>
    <w:p w14:paraId="7765A8AB" w14:textId="77777777" w:rsidR="004B3A45" w:rsidRPr="00D166B8" w:rsidRDefault="00FC3936" w:rsidP="001A53C7">
      <w:pPr>
        <w:spacing w:line="240" w:lineRule="auto"/>
      </w:pPr>
      <w:r w:rsidRPr="00D166B8">
        <w:t>Planira se sudjelovanje na redovitim sastancima država članica konvencija iz područja kontrole konvencionalnog oružja (protuminskog djelovanja) uz potporu Stalne misije Republike Hrvatske pri Uredu Ujedinjenih naroda i ostalim međunarodnim organizacijama u Ženevi, kao i na drugim bitnim sastancima i konferencijama iz</w:t>
      </w:r>
      <w:r w:rsidR="005C59B0" w:rsidRPr="00D166B8">
        <w:t xml:space="preserve"> domene protuminskog djelovanja:</w:t>
      </w:r>
    </w:p>
    <w:p w14:paraId="1204AF38" w14:textId="77777777" w:rsidR="004B3A45" w:rsidRPr="00D166B8" w:rsidRDefault="004B3A45" w:rsidP="001A53C7">
      <w:pPr>
        <w:spacing w:line="240" w:lineRule="auto"/>
      </w:pPr>
    </w:p>
    <w:p w14:paraId="58C2BE00" w14:textId="77777777" w:rsidR="004B3A45" w:rsidRPr="00D166B8" w:rsidRDefault="004B3A45" w:rsidP="001A53C7">
      <w:pPr>
        <w:numPr>
          <w:ilvl w:val="0"/>
          <w:numId w:val="28"/>
        </w:numPr>
        <w:spacing w:line="240" w:lineRule="auto"/>
      </w:pPr>
      <w:r w:rsidRPr="00D166B8">
        <w:t>23.</w:t>
      </w:r>
      <w:r w:rsidR="00C71617">
        <w:t xml:space="preserve"> </w:t>
      </w:r>
      <w:r w:rsidRPr="00D166B8">
        <w:t>-</w:t>
      </w:r>
      <w:r w:rsidR="00C71617">
        <w:t xml:space="preserve"> </w:t>
      </w:r>
      <w:r w:rsidRPr="00D166B8">
        <w:t>25. ožujka 2026. -</w:t>
      </w:r>
      <w:r w:rsidR="00CB7CF3" w:rsidRPr="00D166B8">
        <w:t xml:space="preserve"> </w:t>
      </w:r>
      <w:r w:rsidRPr="00D166B8">
        <w:t xml:space="preserve">22. međunarodni simpozij </w:t>
      </w:r>
      <w:r w:rsidR="00B15EE2" w:rsidRPr="00D166B8">
        <w:t>„</w:t>
      </w:r>
      <w:r w:rsidRPr="00D166B8">
        <w:rPr>
          <w:iCs/>
        </w:rPr>
        <w:t>Protuminsko djelovanje</w:t>
      </w:r>
      <w:r w:rsidRPr="00D166B8">
        <w:rPr>
          <w:i/>
        </w:rPr>
        <w:t xml:space="preserve"> </w:t>
      </w:r>
      <w:r w:rsidRPr="00D166B8">
        <w:rPr>
          <w:iCs/>
        </w:rPr>
        <w:t>2026</w:t>
      </w:r>
      <w:r w:rsidR="00B7208B" w:rsidRPr="00D166B8">
        <w:rPr>
          <w:iCs/>
        </w:rPr>
        <w:t>.“</w:t>
      </w:r>
      <w:r w:rsidRPr="00D166B8">
        <w:t>, Split, Republika Hrvatska</w:t>
      </w:r>
    </w:p>
    <w:p w14:paraId="41FFEADB" w14:textId="77777777" w:rsidR="004B3A45" w:rsidRPr="00D166B8" w:rsidRDefault="004B3A45" w:rsidP="001A53C7">
      <w:pPr>
        <w:numPr>
          <w:ilvl w:val="0"/>
          <w:numId w:val="28"/>
        </w:numPr>
        <w:spacing w:line="240" w:lineRule="auto"/>
      </w:pPr>
      <w:r w:rsidRPr="00D166B8">
        <w:t>22.</w:t>
      </w:r>
      <w:r w:rsidR="00C71617">
        <w:t xml:space="preserve"> </w:t>
      </w:r>
      <w:r w:rsidRPr="00D166B8">
        <w:t>-</w:t>
      </w:r>
      <w:r w:rsidR="00C71617">
        <w:t xml:space="preserve"> </w:t>
      </w:r>
      <w:r w:rsidRPr="00D166B8">
        <w:t>24. travnja 2025. - 29. međunarodni sastanak nacionalnih direktora protuminskog djelovanja i savjetnika UN-a (NDM-UN28), Ženeva, Švicarska Konfederacija</w:t>
      </w:r>
    </w:p>
    <w:p w14:paraId="11E199C5" w14:textId="77777777" w:rsidR="004B3A45" w:rsidRPr="00D166B8" w:rsidRDefault="004B3A45" w:rsidP="001A53C7">
      <w:pPr>
        <w:numPr>
          <w:ilvl w:val="0"/>
          <w:numId w:val="28"/>
        </w:numPr>
        <w:spacing w:line="240" w:lineRule="auto"/>
      </w:pPr>
      <w:r w:rsidRPr="00D166B8">
        <w:t>15.</w:t>
      </w:r>
      <w:r w:rsidR="00C71617">
        <w:t xml:space="preserve"> </w:t>
      </w:r>
      <w:r w:rsidRPr="00D166B8">
        <w:t>-</w:t>
      </w:r>
      <w:r w:rsidR="00C71617">
        <w:t xml:space="preserve"> </w:t>
      </w:r>
      <w:r w:rsidRPr="00D166B8">
        <w:t xml:space="preserve">18. lipnja 2026. </w:t>
      </w:r>
      <w:r w:rsidR="00B15EE2" w:rsidRPr="00D166B8">
        <w:t>-</w:t>
      </w:r>
      <w:r w:rsidRPr="00D166B8">
        <w:t xml:space="preserve"> Polugodišnji sastanak država stranaka APLC Konvencije, Ženeva, Švicarska Konfederacija</w:t>
      </w:r>
    </w:p>
    <w:p w14:paraId="16D4D59D" w14:textId="77777777" w:rsidR="004B3A45" w:rsidRPr="00D166B8" w:rsidRDefault="004B3A45" w:rsidP="001A53C7">
      <w:pPr>
        <w:numPr>
          <w:ilvl w:val="0"/>
          <w:numId w:val="28"/>
        </w:numPr>
        <w:spacing w:line="240" w:lineRule="auto"/>
      </w:pPr>
      <w:r w:rsidRPr="00D166B8">
        <w:t>14.</w:t>
      </w:r>
      <w:r w:rsidR="00C71617">
        <w:t xml:space="preserve"> </w:t>
      </w:r>
      <w:r w:rsidRPr="00D166B8">
        <w:t>-</w:t>
      </w:r>
      <w:r w:rsidR="00C71617">
        <w:t xml:space="preserve"> </w:t>
      </w:r>
      <w:r w:rsidRPr="00D166B8">
        <w:t xml:space="preserve">18. rujna 2026. </w:t>
      </w:r>
      <w:r w:rsidR="00B15EE2" w:rsidRPr="00D166B8">
        <w:t>-</w:t>
      </w:r>
      <w:r w:rsidRPr="00D166B8">
        <w:t xml:space="preserve"> 3. </w:t>
      </w:r>
      <w:r w:rsidR="00647C04" w:rsidRPr="00D166B8">
        <w:t>r</w:t>
      </w:r>
      <w:r w:rsidRPr="00D166B8">
        <w:t>evizijska konferencija država stranaka Konvencije o kazetnom streljivu, Vientiane, Laos (tbc)</w:t>
      </w:r>
    </w:p>
    <w:p w14:paraId="7E13A09A" w14:textId="77777777" w:rsidR="004B3A45" w:rsidRPr="00D166B8" w:rsidRDefault="004B3A45" w:rsidP="001A53C7">
      <w:pPr>
        <w:numPr>
          <w:ilvl w:val="0"/>
          <w:numId w:val="28"/>
        </w:numPr>
        <w:spacing w:line="240" w:lineRule="auto"/>
      </w:pPr>
      <w:r w:rsidRPr="00D166B8">
        <w:t xml:space="preserve">30. studenoga - 4. prosinca 2026. </w:t>
      </w:r>
      <w:r w:rsidR="00B15EE2" w:rsidRPr="00D166B8">
        <w:t>-</w:t>
      </w:r>
      <w:r w:rsidRPr="00D166B8">
        <w:t xml:space="preserve"> 23. godišnji sastanak država stranaka APLC Konvencije, Ženeva, Švicarska Konfederacija</w:t>
      </w:r>
      <w:r w:rsidR="005C59B0" w:rsidRPr="00D166B8">
        <w:t>.</w:t>
      </w:r>
    </w:p>
    <w:p w14:paraId="52053977" w14:textId="77777777" w:rsidR="004B3A45" w:rsidRPr="00D166B8" w:rsidRDefault="004B3A45" w:rsidP="001A53C7">
      <w:pPr>
        <w:spacing w:line="240" w:lineRule="auto"/>
        <w:rPr>
          <w:i/>
        </w:rPr>
      </w:pPr>
    </w:p>
    <w:p w14:paraId="2D7A7E72" w14:textId="5504CFB0" w:rsidR="00FC3936" w:rsidRPr="00D166B8" w:rsidRDefault="00FC3936" w:rsidP="001A53C7">
      <w:pPr>
        <w:spacing w:line="240" w:lineRule="auto"/>
      </w:pPr>
      <w:r w:rsidRPr="00D166B8">
        <w:t>Planira se nastavak suradnje s relevantnim međunarodnim organizacijama poput Međunarodnog centra za humanitarno razminiranje iz Ženeve (GICHD), Norvešk</w:t>
      </w:r>
      <w:r w:rsidR="00C8316A">
        <w:t>e</w:t>
      </w:r>
      <w:r w:rsidRPr="00D166B8">
        <w:t xml:space="preserve"> narodn</w:t>
      </w:r>
      <w:r w:rsidR="00C8316A">
        <w:t>e</w:t>
      </w:r>
      <w:r w:rsidRPr="00D166B8">
        <w:t xml:space="preserve"> pomoći (NPA) </w:t>
      </w:r>
      <w:r w:rsidR="00B15EE2" w:rsidRPr="00D166B8">
        <w:t>-</w:t>
      </w:r>
      <w:r w:rsidRPr="00D166B8">
        <w:t xml:space="preserve"> </w:t>
      </w:r>
      <w:r w:rsidRPr="00D166B8">
        <w:rPr>
          <w:i/>
          <w:iCs/>
        </w:rPr>
        <w:t>Mine Action Review</w:t>
      </w:r>
      <w:r w:rsidRPr="00D166B8">
        <w:t>, Međunarodn</w:t>
      </w:r>
      <w:r w:rsidR="00C8316A">
        <w:t>e</w:t>
      </w:r>
      <w:r w:rsidRPr="00D166B8">
        <w:t xml:space="preserve"> koalicij</w:t>
      </w:r>
      <w:r w:rsidR="00C8316A">
        <w:t>e</w:t>
      </w:r>
      <w:r w:rsidRPr="00D166B8">
        <w:t xml:space="preserve"> za zabranu mina (ICBL) -</w:t>
      </w:r>
      <w:r w:rsidR="00CB7CF3" w:rsidRPr="00D166B8">
        <w:t xml:space="preserve"> </w:t>
      </w:r>
      <w:r w:rsidRPr="00D166B8">
        <w:rPr>
          <w:i/>
          <w:iCs/>
        </w:rPr>
        <w:t>Landmine Monitor</w:t>
      </w:r>
      <w:r w:rsidRPr="00D166B8">
        <w:t>, te Organizacije za europsku sigurnost i suradnju (OSCE) kroz transparentno pružanje informacija i dijeljenje iskustava Republike Hrvatske.</w:t>
      </w:r>
    </w:p>
    <w:p w14:paraId="4F51AAB0" w14:textId="77777777" w:rsidR="00FC3936" w:rsidRPr="00D166B8" w:rsidRDefault="00FC3936" w:rsidP="001A53C7">
      <w:pPr>
        <w:spacing w:line="240" w:lineRule="auto"/>
      </w:pPr>
    </w:p>
    <w:p w14:paraId="0B0E0286" w14:textId="77777777" w:rsidR="00FC3936" w:rsidRPr="00D166B8" w:rsidRDefault="00FC3936" w:rsidP="001A53C7">
      <w:pPr>
        <w:spacing w:line="240" w:lineRule="auto"/>
      </w:pPr>
      <w:r w:rsidRPr="00D166B8">
        <w:t>U skladu s potpisanim Sporazumom između Vlade Republike Hrvatske i Kabineta ministara Ukrajine o suradnji u području protuminskog djelovanja, planira se nastavak aktivnosti s ciljem razvijanja međusobne suradnje i pružanja pomoći u području protuminskog djelovanja kako bi se ublažile socio-ekonomske, sigurnosne, ekološke i drugo posljedice opasnosti od MES-a.</w:t>
      </w:r>
    </w:p>
    <w:p w14:paraId="33838754" w14:textId="77777777" w:rsidR="00FC3936" w:rsidRPr="00D166B8" w:rsidRDefault="00FC3936" w:rsidP="001A53C7">
      <w:pPr>
        <w:spacing w:line="240" w:lineRule="auto"/>
      </w:pPr>
    </w:p>
    <w:p w14:paraId="57EB6147" w14:textId="77777777" w:rsidR="00B15EE2" w:rsidRPr="00D166B8" w:rsidRDefault="00FC3936" w:rsidP="00B15EE2">
      <w:pPr>
        <w:spacing w:line="240" w:lineRule="auto"/>
      </w:pPr>
      <w:r w:rsidRPr="00D166B8">
        <w:t xml:space="preserve">Republika Hrvatska odazvala se pozivu Ministarstva nacionalne obrane Republike Litve te nedvosmisleno izrazila svoju namjeru pristupanja Koaliciji za razminiranje Ukrajine. Cilj Koalicije je poduprijeti napore ukrajinskog Ministarstva obrane te pripremiti njihove oružane </w:t>
      </w:r>
      <w:r w:rsidRPr="00D166B8">
        <w:lastRenderedPageBreak/>
        <w:t xml:space="preserve">snage za humanitarno razminiranje oslobođenih ukrajinskih područja. Republika Hrvatska pridruživanje predmetnoj inicijativi smatra dodanom vrijednosti u kontekstu ranijih napora i podrške koju Republika Hrvatska pruža Ukrajini s ciljem uspostave efikasnog sustava protuminskog djelovanja. </w:t>
      </w:r>
      <w:r w:rsidR="00D80FD4" w:rsidRPr="00D166B8">
        <w:t>Na t</w:t>
      </w:r>
      <w:r w:rsidRPr="00D166B8">
        <w:t>emelj</w:t>
      </w:r>
      <w:r w:rsidR="00D80FD4" w:rsidRPr="00D166B8">
        <w:t>u</w:t>
      </w:r>
      <w:r w:rsidRPr="00D166B8">
        <w:t xml:space="preserve"> definiranog koncepta Koalicije za razminiranje te iskazanih potreba od strane Ukrajine, Republika Hrvatska će svoj doprinos nastaviti pružati u okviru humanitarnog razminiranja te kroz ciljane aktivnosti treninga i opremanja. </w:t>
      </w:r>
    </w:p>
    <w:p w14:paraId="7BFFD0BC" w14:textId="77777777" w:rsidR="00B15EE2" w:rsidRPr="00D166B8" w:rsidRDefault="00B15EE2" w:rsidP="00B15EE2">
      <w:pPr>
        <w:spacing w:line="240" w:lineRule="auto"/>
      </w:pPr>
    </w:p>
    <w:p w14:paraId="1FF7A460" w14:textId="77777777" w:rsidR="00B15EE2" w:rsidRPr="00D166B8" w:rsidRDefault="005C59B0" w:rsidP="00C71617">
      <w:pPr>
        <w:tabs>
          <w:tab w:val="left" w:pos="709"/>
        </w:tabs>
        <w:spacing w:line="240" w:lineRule="auto"/>
        <w:rPr>
          <w:b/>
          <w:bCs/>
          <w:i/>
          <w:iCs/>
        </w:rPr>
      </w:pPr>
      <w:r w:rsidRPr="00D166B8">
        <w:rPr>
          <w:b/>
          <w:bCs/>
        </w:rPr>
        <w:t>3.3.3.</w:t>
      </w:r>
      <w:r w:rsidRPr="00D166B8">
        <w:rPr>
          <w:b/>
          <w:bCs/>
          <w:i/>
          <w:iCs/>
        </w:rPr>
        <w:tab/>
      </w:r>
      <w:r w:rsidR="00FC3936" w:rsidRPr="00D166B8">
        <w:rPr>
          <w:b/>
          <w:bCs/>
        </w:rPr>
        <w:t>Ostale aktivnosti</w:t>
      </w:r>
    </w:p>
    <w:p w14:paraId="7A69B5E3" w14:textId="77777777" w:rsidR="00B15EE2" w:rsidRPr="00D166B8" w:rsidRDefault="00B15EE2" w:rsidP="001A53C7">
      <w:pPr>
        <w:spacing w:line="240" w:lineRule="auto"/>
      </w:pPr>
    </w:p>
    <w:p w14:paraId="4473BC73" w14:textId="77777777" w:rsidR="00FC3936" w:rsidRPr="00D166B8" w:rsidRDefault="00FC3936" w:rsidP="001A53C7">
      <w:pPr>
        <w:spacing w:line="240" w:lineRule="auto"/>
      </w:pPr>
      <w:r w:rsidRPr="00D166B8">
        <w:t>MUP će nastaviti suradnju s veleposlanstvima i diplomatsko-konzularnim predstavništvima u Republici Hrvatskoj, međunarodnim i regionalnim organizacijama, nevladinim organizacijama te pojedincima u okviru protuminskog djelovanja radi promoviranja hrvatskog sustava protuminskog djelovanja te hrvatskog znanja, iskustva i opreme međunarodnoj zajednici. Predstavnici MUP-a nastavit će i u 2026. godini djelovanje u okviru Savjetodavnog odbora Centra za humanitarno razminiranje Ukrajine, Savjetodavnog odbora i Upravnog odbora ITF Međunarodne zaklade za unaprjeđenje ljudske sigurnosti te Revizijskog odbora međunarodnih standarda protuminskog djelovanja u Ženevi (IMAS RB).</w:t>
      </w:r>
    </w:p>
    <w:p w14:paraId="271172B4" w14:textId="77777777" w:rsidR="00FC3936" w:rsidRPr="00D166B8" w:rsidRDefault="00FC3936" w:rsidP="001A53C7">
      <w:pPr>
        <w:spacing w:line="240" w:lineRule="auto"/>
      </w:pPr>
    </w:p>
    <w:p w14:paraId="636A1E95" w14:textId="77777777" w:rsidR="00FC3936" w:rsidRPr="00D166B8" w:rsidRDefault="00FC3936" w:rsidP="001A53C7">
      <w:pPr>
        <w:spacing w:line="240" w:lineRule="auto"/>
      </w:pPr>
      <w:r w:rsidRPr="00D166B8">
        <w:t xml:space="preserve">Zajedno </w:t>
      </w:r>
      <w:r w:rsidRPr="002A634C">
        <w:t xml:space="preserve">s </w:t>
      </w:r>
      <w:r w:rsidR="00647C04" w:rsidRPr="002A634C">
        <w:t>H</w:t>
      </w:r>
      <w:r w:rsidR="004438A4" w:rsidRPr="002A634C">
        <w:t>rvatskim centrom za razminiranje</w:t>
      </w:r>
      <w:r w:rsidRPr="002A634C">
        <w:t xml:space="preserve"> - Centrom za testiranje, razvoj i obuku d.o.o., MUP će biti suorganizator 22. međunarodnog simpozija</w:t>
      </w:r>
      <w:r w:rsidRPr="00D166B8">
        <w:t xml:space="preserve"> „Protuminsko djelovanje 2026.“ koji će se održati krajem ožujka 2026. godine.</w:t>
      </w:r>
    </w:p>
    <w:p w14:paraId="792426FF" w14:textId="77777777" w:rsidR="005C59B0" w:rsidRPr="00D166B8" w:rsidRDefault="005C59B0" w:rsidP="001A53C7">
      <w:pPr>
        <w:spacing w:line="240" w:lineRule="auto"/>
      </w:pPr>
    </w:p>
    <w:p w14:paraId="7AF901EA" w14:textId="77777777" w:rsidR="00B15EE2" w:rsidRPr="00D166B8" w:rsidRDefault="00B15EE2" w:rsidP="001A53C7">
      <w:pPr>
        <w:spacing w:line="240" w:lineRule="auto"/>
      </w:pPr>
    </w:p>
    <w:p w14:paraId="3DCB62D2" w14:textId="77777777" w:rsidR="005C59B0" w:rsidRPr="00D166B8" w:rsidRDefault="005C59B0" w:rsidP="00B15EE2">
      <w:pPr>
        <w:tabs>
          <w:tab w:val="left" w:pos="709"/>
        </w:tabs>
        <w:spacing w:line="240" w:lineRule="auto"/>
        <w:ind w:left="709" w:hanging="709"/>
        <w:rPr>
          <w:b/>
        </w:rPr>
      </w:pPr>
      <w:bookmarkStart w:id="4" w:name="_Toc73447666"/>
      <w:r w:rsidRPr="00D166B8">
        <w:rPr>
          <w:b/>
        </w:rPr>
        <w:t>4.</w:t>
      </w:r>
      <w:r w:rsidRPr="00D166B8">
        <w:rPr>
          <w:b/>
        </w:rPr>
        <w:tab/>
        <w:t>PROVEDBA PROJEKATA FINANCIRANIH SREDSTVIMA EUROPSKE</w:t>
      </w:r>
      <w:r w:rsidR="00B15EE2" w:rsidRPr="00D166B8">
        <w:rPr>
          <w:b/>
        </w:rPr>
        <w:t xml:space="preserve"> </w:t>
      </w:r>
      <w:r w:rsidRPr="00D166B8">
        <w:rPr>
          <w:b/>
        </w:rPr>
        <w:t>UNIJE</w:t>
      </w:r>
    </w:p>
    <w:p w14:paraId="3E9AF306" w14:textId="77777777" w:rsidR="005C59B0" w:rsidRPr="00D166B8" w:rsidRDefault="005C59B0" w:rsidP="001A53C7">
      <w:pPr>
        <w:spacing w:line="240" w:lineRule="auto"/>
        <w:rPr>
          <w:b/>
        </w:rPr>
      </w:pPr>
    </w:p>
    <w:bookmarkEnd w:id="4"/>
    <w:p w14:paraId="5969F3C3" w14:textId="77777777" w:rsidR="0034115C" w:rsidRPr="00D166B8" w:rsidRDefault="007C43C3" w:rsidP="001A53C7">
      <w:pPr>
        <w:spacing w:line="240" w:lineRule="auto"/>
        <w:rPr>
          <w:b/>
        </w:rPr>
      </w:pPr>
      <w:r w:rsidRPr="00D166B8">
        <w:rPr>
          <w:b/>
        </w:rPr>
        <w:t>Europski fond za regionalni razvoj</w:t>
      </w:r>
      <w:r w:rsidR="000D60B6" w:rsidRPr="00D166B8">
        <w:rPr>
          <w:b/>
        </w:rPr>
        <w:t xml:space="preserve"> - </w:t>
      </w:r>
      <w:r w:rsidR="007B728F" w:rsidRPr="00D166B8">
        <w:rPr>
          <w:b/>
        </w:rPr>
        <w:t>Program Konkurentnost i kohez</w:t>
      </w:r>
      <w:r w:rsidR="007B728F" w:rsidRPr="002A634C">
        <w:rPr>
          <w:b/>
        </w:rPr>
        <w:t>ij</w:t>
      </w:r>
      <w:r w:rsidR="00612B33" w:rsidRPr="002A634C">
        <w:rPr>
          <w:b/>
        </w:rPr>
        <w:t>a</w:t>
      </w:r>
      <w:r w:rsidR="007B728F" w:rsidRPr="00D166B8">
        <w:rPr>
          <w:b/>
        </w:rPr>
        <w:t xml:space="preserve"> 2021</w:t>
      </w:r>
      <w:r w:rsidR="00612B33" w:rsidRPr="00D166B8">
        <w:rPr>
          <w:b/>
        </w:rPr>
        <w:t>.</w:t>
      </w:r>
      <w:r w:rsidR="00C71617">
        <w:rPr>
          <w:b/>
        </w:rPr>
        <w:t xml:space="preserve"> </w:t>
      </w:r>
      <w:r w:rsidR="007B728F" w:rsidRPr="00D166B8">
        <w:rPr>
          <w:b/>
        </w:rPr>
        <w:t>-</w:t>
      </w:r>
      <w:r w:rsidR="00C71617">
        <w:rPr>
          <w:b/>
        </w:rPr>
        <w:t xml:space="preserve"> </w:t>
      </w:r>
      <w:r w:rsidR="007B728F" w:rsidRPr="00D166B8">
        <w:rPr>
          <w:b/>
        </w:rPr>
        <w:t>2027</w:t>
      </w:r>
      <w:r w:rsidR="00612B33" w:rsidRPr="00D166B8">
        <w:rPr>
          <w:b/>
        </w:rPr>
        <w:t>.</w:t>
      </w:r>
      <w:r w:rsidRPr="00D166B8">
        <w:rPr>
          <w:b/>
        </w:rPr>
        <w:t xml:space="preserve"> - </w:t>
      </w:r>
      <w:r w:rsidR="00897EA5" w:rsidRPr="00D166B8">
        <w:rPr>
          <w:b/>
        </w:rPr>
        <w:t>Razminiranje višegodišnji okvir 2021.</w:t>
      </w:r>
      <w:r w:rsidR="00C71617">
        <w:rPr>
          <w:b/>
        </w:rPr>
        <w:t xml:space="preserve"> </w:t>
      </w:r>
      <w:r w:rsidR="00897EA5" w:rsidRPr="00D166B8">
        <w:rPr>
          <w:b/>
        </w:rPr>
        <w:t>-</w:t>
      </w:r>
      <w:r w:rsidR="00C71617">
        <w:rPr>
          <w:b/>
        </w:rPr>
        <w:t xml:space="preserve"> </w:t>
      </w:r>
      <w:r w:rsidR="00897EA5" w:rsidRPr="00D166B8">
        <w:rPr>
          <w:b/>
        </w:rPr>
        <w:t>2027.</w:t>
      </w:r>
    </w:p>
    <w:p w14:paraId="50B95DB9" w14:textId="77777777" w:rsidR="00DE777A" w:rsidRPr="00D166B8" w:rsidRDefault="00DE777A" w:rsidP="001A53C7">
      <w:pPr>
        <w:spacing w:line="240" w:lineRule="auto"/>
      </w:pPr>
    </w:p>
    <w:p w14:paraId="724D72E5" w14:textId="77777777" w:rsidR="00A95334" w:rsidRPr="00D166B8" w:rsidRDefault="00A82BC5" w:rsidP="001A53C7">
      <w:pPr>
        <w:spacing w:line="240" w:lineRule="auto"/>
      </w:pPr>
      <w:r w:rsidRPr="00D166B8">
        <w:t>U okviru aktivnosti Razminiranje višegodišnji okvir 2021.</w:t>
      </w:r>
      <w:r w:rsidR="00C71617">
        <w:t xml:space="preserve"> </w:t>
      </w:r>
      <w:r w:rsidRPr="00D166B8">
        <w:t>-</w:t>
      </w:r>
      <w:r w:rsidR="00C71617">
        <w:t xml:space="preserve"> </w:t>
      </w:r>
      <w:r w:rsidRPr="00D166B8">
        <w:t xml:space="preserve">2027., posebnog cilja „Promicanje prilagodbe klimatskim promjenama i sprječavanja rizika od katastrofa te otpornosti, uzimajući u obzir pristupe utemeljene na ekosustavima“, od 2022. godine provode se dva projekta „Razminiranje šuma i šumskog zemljišta u Republici Hrvatskoj“ </w:t>
      </w:r>
      <w:r w:rsidRPr="00D166B8">
        <w:rPr>
          <w:iCs/>
        </w:rPr>
        <w:t>CROSS i CROSS II</w:t>
      </w:r>
      <w:r w:rsidRPr="00D166B8">
        <w:t>, u okviru kojih je ugovoreno 10</w:t>
      </w:r>
      <w:r w:rsidR="00520F7A" w:rsidRPr="00D166B8">
        <w:t>2</w:t>
      </w:r>
      <w:r w:rsidRPr="00D166B8">
        <w:t>,</w:t>
      </w:r>
      <w:r w:rsidR="00520F7A" w:rsidRPr="00D166B8">
        <w:t>1</w:t>
      </w:r>
      <w:r w:rsidRPr="00D166B8">
        <w:t xml:space="preserve"> milijun eura bespovratnih EU sredstava namijenjenih razminiranju, odnosno ukupno 129,</w:t>
      </w:r>
      <w:r w:rsidR="00520F7A" w:rsidRPr="00D166B8">
        <w:t>3</w:t>
      </w:r>
      <w:r w:rsidRPr="00D166B8">
        <w:t xml:space="preserve"> milijuna eura, uključujući i nacionalno sufinanciranje.</w:t>
      </w:r>
    </w:p>
    <w:p w14:paraId="203DC297" w14:textId="77777777" w:rsidR="00612B33" w:rsidRPr="00D166B8" w:rsidRDefault="00612B33" w:rsidP="001A53C7">
      <w:pPr>
        <w:spacing w:line="240" w:lineRule="auto"/>
      </w:pPr>
    </w:p>
    <w:p w14:paraId="7C5ED705" w14:textId="77777777" w:rsidR="00DE777A" w:rsidRPr="00D166B8" w:rsidRDefault="004438A4" w:rsidP="00612B33">
      <w:pPr>
        <w:pStyle w:val="Razina2"/>
        <w:numPr>
          <w:ilvl w:val="0"/>
          <w:numId w:val="0"/>
        </w:numPr>
        <w:spacing w:before="0" w:after="0"/>
        <w:rPr>
          <w:rFonts w:cs="Times New Roman"/>
        </w:rPr>
      </w:pPr>
      <w:r w:rsidRPr="002A634C">
        <w:rPr>
          <w:rFonts w:cs="Times New Roman"/>
        </w:rPr>
        <w:t>4.1</w:t>
      </w:r>
      <w:r w:rsidR="00B11B40" w:rsidRPr="002A634C">
        <w:rPr>
          <w:rFonts w:cs="Times New Roman"/>
        </w:rPr>
        <w:t>.</w:t>
      </w:r>
      <w:r w:rsidRPr="00D166B8">
        <w:rPr>
          <w:rFonts w:cs="Times New Roman"/>
        </w:rPr>
        <w:tab/>
      </w:r>
      <w:r w:rsidR="00DE777A" w:rsidRPr="00D166B8">
        <w:rPr>
          <w:rFonts w:cs="Times New Roman"/>
        </w:rPr>
        <w:t xml:space="preserve">Croatian Safe Steps </w:t>
      </w:r>
      <w:r w:rsidR="00612B33" w:rsidRPr="00D166B8">
        <w:rPr>
          <w:rFonts w:cs="Times New Roman"/>
        </w:rPr>
        <w:t>-</w:t>
      </w:r>
      <w:r w:rsidR="00C71617">
        <w:rPr>
          <w:rFonts w:cs="Times New Roman"/>
        </w:rPr>
        <w:t xml:space="preserve"> </w:t>
      </w:r>
      <w:r w:rsidR="00DE777A" w:rsidRPr="00D166B8">
        <w:rPr>
          <w:rFonts w:cs="Times New Roman"/>
        </w:rPr>
        <w:t>CROSS</w:t>
      </w:r>
      <w:r w:rsidR="00612B33" w:rsidRPr="00D166B8">
        <w:rPr>
          <w:rFonts w:cs="Times New Roman"/>
        </w:rPr>
        <w:t xml:space="preserve"> </w:t>
      </w:r>
    </w:p>
    <w:p w14:paraId="5D6BD58C" w14:textId="77777777" w:rsidR="00612B33" w:rsidRPr="00D166B8" w:rsidRDefault="00612B33" w:rsidP="00612B33">
      <w:pPr>
        <w:rPr>
          <w:lang w:eastAsia="en-US"/>
        </w:rPr>
      </w:pPr>
    </w:p>
    <w:p w14:paraId="0CEC4A15" w14:textId="77777777" w:rsidR="0046618D" w:rsidRPr="00D166B8" w:rsidRDefault="0046618D" w:rsidP="001A53C7">
      <w:pPr>
        <w:spacing w:line="240" w:lineRule="auto"/>
      </w:pPr>
      <w:r w:rsidRPr="00D166B8">
        <w:rPr>
          <w:iCs/>
        </w:rPr>
        <w:t>CROSS</w:t>
      </w:r>
      <w:r w:rsidRPr="00D166B8">
        <w:t xml:space="preserve"> je prvi projekt iz Programa Konkurentnost i kohezija u Republici Hrvatskoj čiji je cilj bio razminiranje ukupno 34,5 km</w:t>
      </w:r>
      <w:r w:rsidRPr="00D166B8">
        <w:rPr>
          <w:vertAlign w:val="superscript"/>
        </w:rPr>
        <w:t>2</w:t>
      </w:r>
      <w:r w:rsidRPr="00D166B8">
        <w:t xml:space="preserve"> šuma i šumskog zemljišta na području 5 županija (Karlovačka, Ličko-senjska, Sisačko-moslavačka, Splitsko-dalmatinska i Šibensko-kninska). Ugovor o dodjeli bespovratnih sredstava potpisan je 4. travnja 2024. </w:t>
      </w:r>
    </w:p>
    <w:p w14:paraId="5FE2C285" w14:textId="77777777" w:rsidR="0046618D" w:rsidRPr="00D166B8" w:rsidRDefault="0046618D" w:rsidP="001A53C7">
      <w:pPr>
        <w:spacing w:line="240" w:lineRule="auto"/>
      </w:pPr>
    </w:p>
    <w:p w14:paraId="194D5FAE" w14:textId="77777777" w:rsidR="00D1647A" w:rsidRPr="00D166B8" w:rsidRDefault="0046618D" w:rsidP="001A53C7">
      <w:pPr>
        <w:spacing w:line="240" w:lineRule="auto"/>
      </w:pPr>
      <w:r w:rsidRPr="00D166B8">
        <w:t xml:space="preserve">Ukupni prihvatljivi troškovi projekta </w:t>
      </w:r>
      <w:r w:rsidRPr="00D166B8">
        <w:rPr>
          <w:iCs/>
        </w:rPr>
        <w:t>CROSS</w:t>
      </w:r>
      <w:r w:rsidRPr="00D166B8">
        <w:t xml:space="preserve"> iznosili su 52.234.936,54 eura, od čega su ukupna EU bespovratna sredstva iznosila 32.281.190,78 eura, odnosno 61,8 %. Ukupni iznos odobrenih troškova iznosi 51.978.240,42, </w:t>
      </w:r>
      <w:r w:rsidR="00D1647A" w:rsidRPr="00D166B8">
        <w:t>bez neprihvatljivih troškova.</w:t>
      </w:r>
    </w:p>
    <w:p w14:paraId="485C5740" w14:textId="77777777" w:rsidR="00D1647A" w:rsidRPr="00D166B8" w:rsidRDefault="00D1647A" w:rsidP="001A53C7">
      <w:pPr>
        <w:spacing w:line="240" w:lineRule="auto"/>
      </w:pPr>
    </w:p>
    <w:p w14:paraId="198BFF34" w14:textId="77777777" w:rsidR="00A82BC5" w:rsidRPr="00D166B8" w:rsidRDefault="0046618D" w:rsidP="001A53C7">
      <w:pPr>
        <w:spacing w:line="240" w:lineRule="auto"/>
      </w:pPr>
      <w:r w:rsidRPr="00D166B8">
        <w:t>Realizacijom glavne projektne aktivnosti razminirano je 34,6 km</w:t>
      </w:r>
      <w:r w:rsidRPr="00D166B8">
        <w:rPr>
          <w:vertAlign w:val="superscript"/>
        </w:rPr>
        <w:t>2</w:t>
      </w:r>
      <w:r w:rsidRPr="00D166B8">
        <w:t xml:space="preserve"> MSP-a.</w:t>
      </w:r>
    </w:p>
    <w:p w14:paraId="2ACA3646" w14:textId="77777777" w:rsidR="0046618D" w:rsidRPr="00D166B8" w:rsidRDefault="0046618D" w:rsidP="001A53C7">
      <w:pPr>
        <w:spacing w:line="240" w:lineRule="auto"/>
      </w:pPr>
    </w:p>
    <w:p w14:paraId="2A90E0BD" w14:textId="77777777" w:rsidR="00A95334" w:rsidRPr="00D166B8" w:rsidRDefault="00A82BC5" w:rsidP="001A53C7">
      <w:pPr>
        <w:spacing w:line="240" w:lineRule="auto"/>
      </w:pPr>
      <w:r w:rsidRPr="00D166B8">
        <w:lastRenderedPageBreak/>
        <w:t>U 2026. godini i sve do zaključno 2030. godine MUP je dužan podnositi godišnja izvješća nakon provedbe projekta.</w:t>
      </w:r>
    </w:p>
    <w:p w14:paraId="130A8D2D" w14:textId="77777777" w:rsidR="00612B33" w:rsidRPr="00D166B8" w:rsidRDefault="00612B33" w:rsidP="001A53C7">
      <w:pPr>
        <w:spacing w:line="240" w:lineRule="auto"/>
      </w:pPr>
    </w:p>
    <w:p w14:paraId="16D6BB03" w14:textId="77777777" w:rsidR="00612B33" w:rsidRPr="00D166B8" w:rsidRDefault="0097213C" w:rsidP="00B11B40">
      <w:pPr>
        <w:pStyle w:val="Razina2"/>
        <w:numPr>
          <w:ilvl w:val="0"/>
          <w:numId w:val="0"/>
        </w:numPr>
        <w:tabs>
          <w:tab w:val="left" w:pos="709"/>
        </w:tabs>
        <w:spacing w:before="0" w:after="0"/>
        <w:rPr>
          <w:rFonts w:cs="Times New Roman"/>
        </w:rPr>
      </w:pPr>
      <w:r w:rsidRPr="00D166B8">
        <w:rPr>
          <w:rFonts w:cs="Times New Roman"/>
        </w:rPr>
        <w:t>4.2.</w:t>
      </w:r>
      <w:r w:rsidRPr="00D166B8">
        <w:rPr>
          <w:rFonts w:cs="Times New Roman"/>
        </w:rPr>
        <w:tab/>
      </w:r>
      <w:r w:rsidR="00DE777A" w:rsidRPr="00D166B8">
        <w:rPr>
          <w:rFonts w:cs="Times New Roman"/>
        </w:rPr>
        <w:t>Croatian Safe Steps II</w:t>
      </w:r>
      <w:r w:rsidR="000D60B6" w:rsidRPr="00D166B8">
        <w:rPr>
          <w:rFonts w:cs="Times New Roman"/>
        </w:rPr>
        <w:t xml:space="preserve"> - </w:t>
      </w:r>
      <w:r w:rsidR="00DE777A" w:rsidRPr="00D166B8">
        <w:rPr>
          <w:rFonts w:cs="Times New Roman"/>
        </w:rPr>
        <w:t>CROSS II</w:t>
      </w:r>
    </w:p>
    <w:p w14:paraId="46D11664" w14:textId="77777777" w:rsidR="00612B33" w:rsidRPr="00D166B8" w:rsidRDefault="00612B33" w:rsidP="00612B33">
      <w:pPr>
        <w:rPr>
          <w:lang w:eastAsia="en-US"/>
        </w:rPr>
      </w:pPr>
    </w:p>
    <w:p w14:paraId="5E54CBEC" w14:textId="77777777" w:rsidR="00A82BC5" w:rsidRPr="00D166B8" w:rsidRDefault="00A82BC5" w:rsidP="001A53C7">
      <w:pPr>
        <w:spacing w:line="240" w:lineRule="auto"/>
      </w:pPr>
      <w:r w:rsidRPr="00D166B8">
        <w:rPr>
          <w:iCs/>
        </w:rPr>
        <w:t>CROSS II</w:t>
      </w:r>
      <w:r w:rsidRPr="00D166B8">
        <w:t xml:space="preserve"> je drugi projekt iz Programa Konkurentnost i kohezija u Republici Hrvatskoj čiji je cilj bio razminiranje ukupno 48,7 km</w:t>
      </w:r>
      <w:r w:rsidRPr="00D166B8">
        <w:rPr>
          <w:vertAlign w:val="superscript"/>
        </w:rPr>
        <w:t>2</w:t>
      </w:r>
      <w:r w:rsidRPr="00D166B8">
        <w:t xml:space="preserve"> šuma i šumskog zemljišta na području 4 županije (Karlovačka, Ličko-senjska, Sisačko-moslavačka i Splitsko-dalmatinska). Ugovor o dodjeli bespovratnih sredstava potpisan je 28. listopada 2024. </w:t>
      </w:r>
    </w:p>
    <w:p w14:paraId="76201584" w14:textId="77777777" w:rsidR="00A82BC5" w:rsidRPr="00D166B8" w:rsidRDefault="00A82BC5" w:rsidP="001A53C7">
      <w:pPr>
        <w:spacing w:line="240" w:lineRule="auto"/>
      </w:pPr>
    </w:p>
    <w:p w14:paraId="47E661AA" w14:textId="01397C3F" w:rsidR="0046618D" w:rsidRPr="00D166B8" w:rsidRDefault="0046618D" w:rsidP="001A53C7">
      <w:pPr>
        <w:spacing w:line="240" w:lineRule="auto"/>
      </w:pPr>
      <w:r w:rsidRPr="00D166B8">
        <w:t>Ukupni prihvatljivi troškovi projekta CROSS II iznose 77.138.476,61 eura, od čega ukupna EU bespovratna sredstva iznose 69.833.462,87 eura, odnosno 90,53 %. Ukupni iznos odobrenih troškova iznosi 69.155.707,44 eura</w:t>
      </w:r>
      <w:r w:rsidR="00D1647A" w:rsidRPr="00D166B8">
        <w:t>, bez neprihvatljivih troškova.</w:t>
      </w:r>
      <w:r w:rsidR="00360156">
        <w:t xml:space="preserve"> </w:t>
      </w:r>
      <w:r w:rsidRPr="00D166B8">
        <w:t xml:space="preserve">Realizacijom glavne projektne aktivnosti </w:t>
      </w:r>
      <w:r w:rsidR="00D1647A" w:rsidRPr="00D166B8">
        <w:t>do kraja 2025. godine razminirano je</w:t>
      </w:r>
      <w:r w:rsidRPr="00D166B8">
        <w:t xml:space="preserve"> </w:t>
      </w:r>
      <w:r w:rsidRPr="00793AD5">
        <w:t>48,8</w:t>
      </w:r>
      <w:r w:rsidRPr="00D166B8">
        <w:t xml:space="preserve"> km</w:t>
      </w:r>
      <w:r w:rsidRPr="00D166B8">
        <w:rPr>
          <w:vertAlign w:val="superscript"/>
        </w:rPr>
        <w:t>2</w:t>
      </w:r>
      <w:r w:rsidRPr="00D166B8">
        <w:t xml:space="preserve"> MSP-a.</w:t>
      </w:r>
      <w:r w:rsidR="00CB7CF3" w:rsidRPr="00D166B8">
        <w:t xml:space="preserve"> </w:t>
      </w:r>
      <w:r w:rsidRPr="00D166B8">
        <w:t xml:space="preserve">Projekt traje do </w:t>
      </w:r>
      <w:r w:rsidR="00E072E3">
        <w:br/>
      </w:r>
      <w:r w:rsidRPr="00D166B8">
        <w:t>31. prosinca 2026.</w:t>
      </w:r>
    </w:p>
    <w:p w14:paraId="6C3D8235" w14:textId="77777777" w:rsidR="0046618D" w:rsidRPr="00D166B8" w:rsidRDefault="0046618D" w:rsidP="001A53C7">
      <w:pPr>
        <w:spacing w:line="240" w:lineRule="auto"/>
      </w:pPr>
    </w:p>
    <w:p w14:paraId="0EB92816" w14:textId="77777777" w:rsidR="00B11B40" w:rsidRDefault="0046618D" w:rsidP="00B11B40">
      <w:pPr>
        <w:spacing w:line="240" w:lineRule="auto"/>
      </w:pPr>
      <w:r w:rsidRPr="00D166B8">
        <w:t>Tijekom 2026. godine provodit će se dio projektne aktivnosti</w:t>
      </w:r>
      <w:r w:rsidR="00CB7CF3" w:rsidRPr="00D166B8">
        <w:t xml:space="preserve"> </w:t>
      </w:r>
      <w:r w:rsidRPr="00D166B8">
        <w:t>promidžbe i vidljivosti u okviru koje će se nabaviti i postaviti 76 trajnih informacijskih ploča na području 76 radilišta razminiranja te će se podnijeti još četiri zahtjeva za nadoknadom sredstava. Godišnja izvješća nakon provedbe projekta MUP je dužan podnositi do zaključno 2032. godine.</w:t>
      </w:r>
    </w:p>
    <w:p w14:paraId="70439F25" w14:textId="77777777" w:rsidR="00B11B40" w:rsidRDefault="00B11B40" w:rsidP="00360156">
      <w:pPr>
        <w:spacing w:line="240" w:lineRule="exact"/>
      </w:pPr>
    </w:p>
    <w:p w14:paraId="6D3D2F65" w14:textId="77777777" w:rsidR="00C1510F" w:rsidRDefault="00C1510F" w:rsidP="00360156">
      <w:pPr>
        <w:spacing w:line="240" w:lineRule="exact"/>
      </w:pPr>
    </w:p>
    <w:p w14:paraId="5F5037B1" w14:textId="77777777" w:rsidR="0034115C" w:rsidRPr="00B11B40" w:rsidRDefault="00B11B40" w:rsidP="00B11B40">
      <w:pPr>
        <w:spacing w:line="240" w:lineRule="auto"/>
        <w:rPr>
          <w:b/>
        </w:rPr>
      </w:pPr>
      <w:r w:rsidRPr="00B11B40">
        <w:rPr>
          <w:b/>
        </w:rPr>
        <w:t>5.</w:t>
      </w:r>
      <w:r w:rsidRPr="00B11B40">
        <w:rPr>
          <w:b/>
        </w:rPr>
        <w:tab/>
      </w:r>
      <w:r w:rsidR="00A82BC5" w:rsidRPr="00B11B40">
        <w:rPr>
          <w:b/>
        </w:rPr>
        <w:t>POSLOVI INSPEKCIJE PROTUMINSKOG DJELOVANJA</w:t>
      </w:r>
    </w:p>
    <w:p w14:paraId="237560D6" w14:textId="77777777" w:rsidR="00612B33" w:rsidRPr="00D166B8" w:rsidRDefault="00612B33" w:rsidP="00612B33">
      <w:pPr>
        <w:rPr>
          <w:lang w:eastAsia="en-US"/>
        </w:rPr>
      </w:pPr>
    </w:p>
    <w:p w14:paraId="6910BBEB" w14:textId="77777777" w:rsidR="00C1510F" w:rsidRDefault="00A82BC5" w:rsidP="00C1510F">
      <w:pPr>
        <w:spacing w:line="240" w:lineRule="auto"/>
      </w:pPr>
      <w:r w:rsidRPr="00D166B8">
        <w:t xml:space="preserve">S obzirom na činjenicu da će Republika Hrvatska biti razminirana zaključno s </w:t>
      </w:r>
      <w:r w:rsidR="001464B6" w:rsidRPr="00D166B8">
        <w:br/>
      </w:r>
      <w:r w:rsidRPr="00D166B8">
        <w:t>1. ožujkom 2026. te da su aktivnosti razminiranja od strane fizičkih i pravnih osoba ovlaštenih za obavljanje poslova razminiranja završene, do realizacije predviđenih promjena u ustroju Službe inspekcije za protuminsko djelovanje, inspektori službe će sukladno zakonskoj obavezi voditi prekršajne i upravne postupke</w:t>
      </w:r>
      <w:r w:rsidR="000942C9" w:rsidRPr="00D166B8">
        <w:t>.</w:t>
      </w:r>
      <w:bookmarkStart w:id="5" w:name="_Toc73447685"/>
    </w:p>
    <w:p w14:paraId="42061FD4" w14:textId="77777777" w:rsidR="00C1510F" w:rsidRDefault="00C1510F" w:rsidP="00360156">
      <w:pPr>
        <w:spacing w:line="240" w:lineRule="exact"/>
      </w:pPr>
    </w:p>
    <w:p w14:paraId="7FFFF2B6" w14:textId="77777777" w:rsidR="00C1510F" w:rsidRDefault="00C1510F" w:rsidP="00360156">
      <w:pPr>
        <w:spacing w:line="240" w:lineRule="exact"/>
      </w:pPr>
    </w:p>
    <w:p w14:paraId="190F2323" w14:textId="77777777" w:rsidR="0034115C" w:rsidRPr="00C1510F" w:rsidRDefault="00C1510F" w:rsidP="00C1510F">
      <w:pPr>
        <w:spacing w:line="240" w:lineRule="auto"/>
        <w:rPr>
          <w:b/>
        </w:rPr>
      </w:pPr>
      <w:r w:rsidRPr="00C1510F">
        <w:rPr>
          <w:b/>
        </w:rPr>
        <w:t>6.</w:t>
      </w:r>
      <w:r w:rsidRPr="00C1510F">
        <w:rPr>
          <w:b/>
        </w:rPr>
        <w:tab/>
        <w:t>FINANCIRANJE PLANA</w:t>
      </w:r>
      <w:bookmarkEnd w:id="5"/>
    </w:p>
    <w:p w14:paraId="74C3A24B" w14:textId="77777777" w:rsidR="00612B33" w:rsidRPr="00D166B8" w:rsidRDefault="00612B33" w:rsidP="00612B33">
      <w:pPr>
        <w:rPr>
          <w:lang w:eastAsia="en-US"/>
        </w:rPr>
      </w:pPr>
    </w:p>
    <w:p w14:paraId="10361A60" w14:textId="77777777" w:rsidR="00EE611E" w:rsidRPr="00D166B8" w:rsidRDefault="0034115C" w:rsidP="001A53C7">
      <w:pPr>
        <w:spacing w:line="240" w:lineRule="auto"/>
        <w:rPr>
          <w:bCs/>
        </w:rPr>
      </w:pPr>
      <w:r w:rsidRPr="00D166B8">
        <w:t xml:space="preserve">Za provedbu predmetnog Plana </w:t>
      </w:r>
      <w:r w:rsidRPr="00D166B8">
        <w:rPr>
          <w:bCs/>
        </w:rPr>
        <w:t>u 202</w:t>
      </w:r>
      <w:r w:rsidR="00EE4B40" w:rsidRPr="00D166B8">
        <w:rPr>
          <w:bCs/>
        </w:rPr>
        <w:t>6</w:t>
      </w:r>
      <w:r w:rsidRPr="00D166B8">
        <w:rPr>
          <w:bCs/>
        </w:rPr>
        <w:t>. godini</w:t>
      </w:r>
      <w:r w:rsidRPr="00D166B8">
        <w:t xml:space="preserve"> u okviru Razdjela 040, Glave </w:t>
      </w:r>
      <w:r w:rsidR="00200CA9" w:rsidRPr="00D166B8">
        <w:t>040</w:t>
      </w:r>
      <w:r w:rsidRPr="00D166B8">
        <w:t>05 M</w:t>
      </w:r>
      <w:r w:rsidR="00D44D44" w:rsidRPr="00D166B8">
        <w:t>UP-a</w:t>
      </w:r>
      <w:r w:rsidRPr="00D166B8">
        <w:rPr>
          <w:bCs/>
        </w:rPr>
        <w:t>,</w:t>
      </w:r>
      <w:r w:rsidRPr="00D166B8">
        <w:rPr>
          <w:b/>
          <w:bCs/>
        </w:rPr>
        <w:t xml:space="preserve"> </w:t>
      </w:r>
      <w:r w:rsidRPr="00D166B8">
        <w:rPr>
          <w:bCs/>
        </w:rPr>
        <w:t>programa</w:t>
      </w:r>
      <w:r w:rsidRPr="00D166B8">
        <w:rPr>
          <w:b/>
          <w:bCs/>
        </w:rPr>
        <w:t xml:space="preserve"> </w:t>
      </w:r>
      <w:r w:rsidRPr="00D166B8">
        <w:t>2604 Protuminsko djelovanje</w:t>
      </w:r>
      <w:r w:rsidR="00360156">
        <w:t>,</w:t>
      </w:r>
      <w:r w:rsidRPr="00D166B8">
        <w:t xml:space="preserve"> planirano je ukupno </w:t>
      </w:r>
      <w:r w:rsidR="00EE4B40" w:rsidRPr="00D166B8">
        <w:t>21</w:t>
      </w:r>
      <w:r w:rsidR="0087727F" w:rsidRPr="00D166B8">
        <w:rPr>
          <w:bCs/>
        </w:rPr>
        <w:t>.</w:t>
      </w:r>
      <w:r w:rsidR="00EE4B40" w:rsidRPr="00D166B8">
        <w:rPr>
          <w:bCs/>
        </w:rPr>
        <w:t>631</w:t>
      </w:r>
      <w:r w:rsidR="0087727F" w:rsidRPr="00D166B8">
        <w:rPr>
          <w:bCs/>
        </w:rPr>
        <w:t>.</w:t>
      </w:r>
      <w:r w:rsidR="00EE4B40" w:rsidRPr="00D166B8">
        <w:rPr>
          <w:bCs/>
        </w:rPr>
        <w:t>8</w:t>
      </w:r>
      <w:r w:rsidR="007B728F" w:rsidRPr="00D166B8">
        <w:rPr>
          <w:bCs/>
        </w:rPr>
        <w:t>0</w:t>
      </w:r>
      <w:r w:rsidR="0087727F" w:rsidRPr="00D166B8">
        <w:rPr>
          <w:bCs/>
        </w:rPr>
        <w:t>0,00</w:t>
      </w:r>
      <w:r w:rsidRPr="00D166B8">
        <w:rPr>
          <w:bCs/>
        </w:rPr>
        <w:t xml:space="preserve"> </w:t>
      </w:r>
      <w:r w:rsidR="00EF16BA" w:rsidRPr="00D166B8">
        <w:rPr>
          <w:bCs/>
        </w:rPr>
        <w:t>eura</w:t>
      </w:r>
      <w:r w:rsidRPr="00D166B8">
        <w:rPr>
          <w:bCs/>
        </w:rPr>
        <w:t>.</w:t>
      </w:r>
    </w:p>
    <w:p w14:paraId="069E838F" w14:textId="77777777" w:rsidR="00EE611E" w:rsidRPr="00D166B8" w:rsidRDefault="00EE611E" w:rsidP="001A53C7">
      <w:pPr>
        <w:spacing w:line="240" w:lineRule="auto"/>
      </w:pPr>
    </w:p>
    <w:tbl>
      <w:tblPr>
        <w:tblW w:w="9193" w:type="dxa"/>
        <w:tblInd w:w="93" w:type="dxa"/>
        <w:tblLook w:val="04A0" w:firstRow="1" w:lastRow="0" w:firstColumn="1" w:lastColumn="0" w:noHBand="0" w:noVBand="1"/>
      </w:tblPr>
      <w:tblGrid>
        <w:gridCol w:w="1217"/>
        <w:gridCol w:w="949"/>
        <w:gridCol w:w="5489"/>
        <w:gridCol w:w="1596"/>
      </w:tblGrid>
      <w:tr w:rsidR="0034115C" w:rsidRPr="00D166B8" w14:paraId="7E839488" w14:textId="77777777" w:rsidTr="00B7208B">
        <w:trPr>
          <w:cantSplit/>
          <w:trHeight w:val="300"/>
        </w:trPr>
        <w:tc>
          <w:tcPr>
            <w:tcW w:w="9193"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A29BEA6" w14:textId="77777777" w:rsidR="0034115C" w:rsidRPr="00D166B8" w:rsidRDefault="0034115C" w:rsidP="001A53C7">
            <w:pPr>
              <w:spacing w:line="240" w:lineRule="auto"/>
              <w:jc w:val="center"/>
              <w:rPr>
                <w:b/>
                <w:szCs w:val="18"/>
              </w:rPr>
            </w:pPr>
            <w:bookmarkStart w:id="6" w:name="RANGE!A1"/>
            <w:r w:rsidRPr="00D166B8">
              <w:rPr>
                <w:b/>
                <w:szCs w:val="18"/>
              </w:rPr>
              <w:t>040 Ministarstvo unutarnjih poslova</w:t>
            </w:r>
            <w:bookmarkEnd w:id="6"/>
          </w:p>
        </w:tc>
      </w:tr>
      <w:tr w:rsidR="0034115C" w:rsidRPr="00D166B8" w14:paraId="69A96F26" w14:textId="77777777" w:rsidTr="00B7208B">
        <w:trPr>
          <w:cantSplit/>
          <w:trHeight w:val="300"/>
        </w:trPr>
        <w:tc>
          <w:tcPr>
            <w:tcW w:w="1193" w:type="dxa"/>
            <w:vMerge w:val="restart"/>
            <w:tcBorders>
              <w:top w:val="nil"/>
              <w:left w:val="single" w:sz="4" w:space="0" w:color="auto"/>
              <w:bottom w:val="single" w:sz="4" w:space="0" w:color="000000"/>
              <w:right w:val="single" w:sz="4" w:space="0" w:color="auto"/>
            </w:tcBorders>
            <w:shd w:val="clear" w:color="000000" w:fill="C5D9F1"/>
            <w:vAlign w:val="center"/>
            <w:hideMark/>
          </w:tcPr>
          <w:p w14:paraId="18E62862" w14:textId="77777777" w:rsidR="0034115C" w:rsidRPr="00D166B8" w:rsidRDefault="0034115C" w:rsidP="001A53C7">
            <w:pPr>
              <w:spacing w:line="240" w:lineRule="auto"/>
              <w:rPr>
                <w:b/>
                <w:szCs w:val="18"/>
              </w:rPr>
            </w:pPr>
            <w:bookmarkStart w:id="7" w:name="_Hlk485995135" w:colFirst="0" w:colLast="2"/>
            <w:r w:rsidRPr="00D166B8">
              <w:rPr>
                <w:b/>
                <w:szCs w:val="18"/>
              </w:rPr>
              <w:t>Aktivnost</w:t>
            </w:r>
          </w:p>
        </w:tc>
        <w:tc>
          <w:tcPr>
            <w:tcW w:w="6438" w:type="dxa"/>
            <w:gridSpan w:val="2"/>
            <w:vMerge w:val="restart"/>
            <w:tcBorders>
              <w:top w:val="nil"/>
              <w:left w:val="single" w:sz="4" w:space="0" w:color="auto"/>
              <w:bottom w:val="single" w:sz="4" w:space="0" w:color="000000"/>
              <w:right w:val="single" w:sz="4" w:space="0" w:color="auto"/>
            </w:tcBorders>
            <w:shd w:val="clear" w:color="000000" w:fill="C5D9F1"/>
            <w:noWrap/>
            <w:vAlign w:val="center"/>
            <w:hideMark/>
          </w:tcPr>
          <w:p w14:paraId="50A7FE8F" w14:textId="77777777" w:rsidR="0034115C" w:rsidRPr="00D166B8" w:rsidRDefault="0034115C" w:rsidP="001A53C7">
            <w:pPr>
              <w:spacing w:line="240" w:lineRule="auto"/>
              <w:jc w:val="center"/>
              <w:rPr>
                <w:b/>
                <w:szCs w:val="18"/>
              </w:rPr>
            </w:pPr>
            <w:r w:rsidRPr="00D166B8">
              <w:rPr>
                <w:b/>
                <w:szCs w:val="18"/>
              </w:rPr>
              <w:t>Opis</w:t>
            </w:r>
          </w:p>
        </w:tc>
        <w:tc>
          <w:tcPr>
            <w:tcW w:w="1562" w:type="dxa"/>
            <w:tcBorders>
              <w:top w:val="nil"/>
              <w:left w:val="nil"/>
              <w:bottom w:val="single" w:sz="4" w:space="0" w:color="auto"/>
              <w:right w:val="single" w:sz="4" w:space="0" w:color="auto"/>
            </w:tcBorders>
            <w:shd w:val="clear" w:color="000000" w:fill="C5D9F1"/>
            <w:vAlign w:val="center"/>
            <w:hideMark/>
          </w:tcPr>
          <w:p w14:paraId="57DD8E50" w14:textId="77777777" w:rsidR="0034115C" w:rsidRPr="00D166B8" w:rsidRDefault="0034115C" w:rsidP="001A53C7">
            <w:pPr>
              <w:pStyle w:val="tablicaheader"/>
              <w:spacing w:line="240" w:lineRule="auto"/>
              <w:rPr>
                <w:sz w:val="24"/>
                <w:szCs w:val="18"/>
              </w:rPr>
            </w:pPr>
            <w:r w:rsidRPr="00D166B8">
              <w:rPr>
                <w:sz w:val="24"/>
                <w:szCs w:val="18"/>
              </w:rPr>
              <w:t>202</w:t>
            </w:r>
            <w:r w:rsidR="00EE4B40" w:rsidRPr="00D166B8">
              <w:rPr>
                <w:sz w:val="24"/>
                <w:szCs w:val="18"/>
              </w:rPr>
              <w:t>6</w:t>
            </w:r>
            <w:r w:rsidRPr="00D166B8">
              <w:rPr>
                <w:sz w:val="24"/>
                <w:szCs w:val="18"/>
              </w:rPr>
              <w:t>. godina</w:t>
            </w:r>
          </w:p>
        </w:tc>
      </w:tr>
      <w:tr w:rsidR="0034115C" w:rsidRPr="00D166B8" w14:paraId="0DB0655C" w14:textId="77777777" w:rsidTr="00B7208B">
        <w:trPr>
          <w:cantSplit/>
          <w:trHeight w:val="300"/>
        </w:trPr>
        <w:tc>
          <w:tcPr>
            <w:tcW w:w="1193" w:type="dxa"/>
            <w:vMerge/>
            <w:tcBorders>
              <w:top w:val="nil"/>
              <w:left w:val="single" w:sz="4" w:space="0" w:color="auto"/>
              <w:bottom w:val="single" w:sz="4" w:space="0" w:color="000000"/>
              <w:right w:val="single" w:sz="4" w:space="0" w:color="auto"/>
            </w:tcBorders>
            <w:vAlign w:val="center"/>
            <w:hideMark/>
          </w:tcPr>
          <w:p w14:paraId="2419E7B6" w14:textId="77777777" w:rsidR="0034115C" w:rsidRPr="00D166B8" w:rsidRDefault="0034115C" w:rsidP="001A53C7">
            <w:pPr>
              <w:spacing w:line="240" w:lineRule="auto"/>
              <w:rPr>
                <w:b/>
                <w:szCs w:val="18"/>
              </w:rPr>
            </w:pPr>
          </w:p>
        </w:tc>
        <w:tc>
          <w:tcPr>
            <w:tcW w:w="6438" w:type="dxa"/>
            <w:gridSpan w:val="2"/>
            <w:vMerge/>
            <w:tcBorders>
              <w:top w:val="nil"/>
              <w:left w:val="single" w:sz="4" w:space="0" w:color="auto"/>
              <w:bottom w:val="single" w:sz="4" w:space="0" w:color="000000"/>
              <w:right w:val="single" w:sz="4" w:space="0" w:color="auto"/>
            </w:tcBorders>
            <w:vAlign w:val="center"/>
            <w:hideMark/>
          </w:tcPr>
          <w:p w14:paraId="10DB01F8" w14:textId="77777777" w:rsidR="0034115C" w:rsidRPr="00D166B8" w:rsidRDefault="0034115C" w:rsidP="001A53C7">
            <w:pPr>
              <w:spacing w:line="240" w:lineRule="auto"/>
              <w:rPr>
                <w:b/>
                <w:szCs w:val="18"/>
              </w:rPr>
            </w:pPr>
          </w:p>
        </w:tc>
        <w:tc>
          <w:tcPr>
            <w:tcW w:w="1562" w:type="dxa"/>
            <w:tcBorders>
              <w:top w:val="nil"/>
              <w:left w:val="nil"/>
              <w:bottom w:val="single" w:sz="4" w:space="0" w:color="auto"/>
              <w:right w:val="single" w:sz="4" w:space="0" w:color="auto"/>
            </w:tcBorders>
            <w:shd w:val="clear" w:color="000000" w:fill="C5D9F1"/>
            <w:noWrap/>
            <w:vAlign w:val="center"/>
            <w:hideMark/>
          </w:tcPr>
          <w:p w14:paraId="3CE73A32" w14:textId="77777777" w:rsidR="0034115C" w:rsidRPr="00D166B8" w:rsidRDefault="00FE7DCC" w:rsidP="001A53C7">
            <w:pPr>
              <w:spacing w:line="240" w:lineRule="auto"/>
              <w:jc w:val="center"/>
              <w:rPr>
                <w:b/>
                <w:szCs w:val="18"/>
              </w:rPr>
            </w:pPr>
            <w:r w:rsidRPr="00D166B8">
              <w:rPr>
                <w:b/>
                <w:szCs w:val="18"/>
              </w:rPr>
              <w:t>EUR</w:t>
            </w:r>
          </w:p>
        </w:tc>
      </w:tr>
      <w:tr w:rsidR="0034115C" w:rsidRPr="00D166B8" w14:paraId="05AD17A4" w14:textId="77777777" w:rsidTr="00B7208B">
        <w:trPr>
          <w:cantSplit/>
          <w:trHeight w:val="300"/>
        </w:trPr>
        <w:tc>
          <w:tcPr>
            <w:tcW w:w="1193" w:type="dxa"/>
            <w:tcBorders>
              <w:top w:val="nil"/>
              <w:left w:val="single" w:sz="4" w:space="0" w:color="auto"/>
              <w:bottom w:val="single" w:sz="4" w:space="0" w:color="auto"/>
              <w:right w:val="single" w:sz="4" w:space="0" w:color="auto"/>
            </w:tcBorders>
            <w:shd w:val="clear" w:color="000000" w:fill="F2DCDB"/>
            <w:noWrap/>
            <w:vAlign w:val="center"/>
            <w:hideMark/>
          </w:tcPr>
          <w:p w14:paraId="432D420E" w14:textId="77777777" w:rsidR="0034115C" w:rsidRPr="00D166B8" w:rsidRDefault="0034115C" w:rsidP="001A53C7">
            <w:pPr>
              <w:spacing w:line="240" w:lineRule="auto"/>
              <w:jc w:val="right"/>
              <w:rPr>
                <w:b/>
                <w:szCs w:val="18"/>
              </w:rPr>
            </w:pPr>
            <w:r w:rsidRPr="00D166B8">
              <w:rPr>
                <w:b/>
                <w:szCs w:val="18"/>
              </w:rPr>
              <w:t>2604</w:t>
            </w:r>
          </w:p>
        </w:tc>
        <w:tc>
          <w:tcPr>
            <w:tcW w:w="6438" w:type="dxa"/>
            <w:gridSpan w:val="2"/>
            <w:tcBorders>
              <w:top w:val="nil"/>
              <w:left w:val="nil"/>
              <w:bottom w:val="single" w:sz="4" w:space="0" w:color="auto"/>
              <w:right w:val="single" w:sz="4" w:space="0" w:color="auto"/>
            </w:tcBorders>
            <w:shd w:val="clear" w:color="000000" w:fill="F2DCDB"/>
            <w:noWrap/>
            <w:vAlign w:val="center"/>
            <w:hideMark/>
          </w:tcPr>
          <w:p w14:paraId="3A4BDF70" w14:textId="77777777" w:rsidR="0034115C" w:rsidRPr="00D166B8" w:rsidRDefault="0034115C" w:rsidP="001A53C7">
            <w:pPr>
              <w:spacing w:line="240" w:lineRule="auto"/>
              <w:rPr>
                <w:b/>
                <w:szCs w:val="18"/>
              </w:rPr>
            </w:pPr>
            <w:r w:rsidRPr="00D166B8">
              <w:rPr>
                <w:b/>
                <w:szCs w:val="18"/>
              </w:rPr>
              <w:t>Protuminsko djelovanje</w:t>
            </w:r>
          </w:p>
        </w:tc>
        <w:tc>
          <w:tcPr>
            <w:tcW w:w="1562" w:type="dxa"/>
            <w:tcBorders>
              <w:top w:val="nil"/>
              <w:left w:val="nil"/>
              <w:bottom w:val="single" w:sz="4" w:space="0" w:color="auto"/>
              <w:right w:val="single" w:sz="4" w:space="0" w:color="auto"/>
            </w:tcBorders>
            <w:shd w:val="clear" w:color="000000" w:fill="F2DCDB"/>
            <w:noWrap/>
            <w:vAlign w:val="center"/>
            <w:hideMark/>
          </w:tcPr>
          <w:p w14:paraId="0BC7A90D" w14:textId="77777777" w:rsidR="0034115C" w:rsidRPr="00D166B8" w:rsidRDefault="00EE4B40" w:rsidP="001A53C7">
            <w:pPr>
              <w:spacing w:line="240" w:lineRule="auto"/>
              <w:jc w:val="right"/>
              <w:rPr>
                <w:b/>
                <w:szCs w:val="18"/>
              </w:rPr>
            </w:pPr>
            <w:r w:rsidRPr="00D166B8">
              <w:rPr>
                <w:b/>
                <w:szCs w:val="18"/>
              </w:rPr>
              <w:t>21</w:t>
            </w:r>
            <w:r w:rsidR="00056565" w:rsidRPr="00D166B8">
              <w:rPr>
                <w:b/>
                <w:szCs w:val="18"/>
              </w:rPr>
              <w:t>.</w:t>
            </w:r>
            <w:r w:rsidRPr="00D166B8">
              <w:rPr>
                <w:b/>
                <w:szCs w:val="18"/>
              </w:rPr>
              <w:t>631</w:t>
            </w:r>
            <w:r w:rsidR="00056565" w:rsidRPr="00D166B8">
              <w:rPr>
                <w:b/>
                <w:szCs w:val="18"/>
              </w:rPr>
              <w:t>.</w:t>
            </w:r>
            <w:r w:rsidRPr="00D166B8">
              <w:rPr>
                <w:b/>
                <w:szCs w:val="18"/>
              </w:rPr>
              <w:t>8</w:t>
            </w:r>
            <w:r w:rsidR="007B728F" w:rsidRPr="00D166B8">
              <w:rPr>
                <w:b/>
                <w:szCs w:val="18"/>
              </w:rPr>
              <w:t>0</w:t>
            </w:r>
            <w:r w:rsidR="00056565" w:rsidRPr="00D166B8">
              <w:rPr>
                <w:b/>
                <w:szCs w:val="18"/>
              </w:rPr>
              <w:t>0,00</w:t>
            </w:r>
          </w:p>
        </w:tc>
      </w:tr>
      <w:tr w:rsidR="0034115C" w:rsidRPr="00D166B8" w14:paraId="76479F96" w14:textId="77777777" w:rsidTr="00B7208B">
        <w:trPr>
          <w:cantSplit/>
          <w:trHeight w:val="300"/>
        </w:trPr>
        <w:tc>
          <w:tcPr>
            <w:tcW w:w="1193" w:type="dxa"/>
            <w:tcBorders>
              <w:top w:val="single" w:sz="4" w:space="0" w:color="auto"/>
              <w:left w:val="single" w:sz="4" w:space="0" w:color="000000"/>
              <w:right w:val="single" w:sz="4" w:space="0" w:color="auto"/>
            </w:tcBorders>
            <w:shd w:val="clear" w:color="000000" w:fill="FFFFFF"/>
            <w:noWrap/>
            <w:vAlign w:val="center"/>
            <w:hideMark/>
          </w:tcPr>
          <w:p w14:paraId="5C709FBB" w14:textId="77777777" w:rsidR="0034115C" w:rsidRPr="00D166B8" w:rsidRDefault="0034115C" w:rsidP="001A53C7">
            <w:pPr>
              <w:spacing w:line="240" w:lineRule="auto"/>
              <w:jc w:val="right"/>
              <w:rPr>
                <w:b/>
                <w:szCs w:val="18"/>
              </w:rPr>
            </w:pPr>
            <w:r w:rsidRPr="00D166B8">
              <w:rPr>
                <w:b/>
                <w:szCs w:val="18"/>
              </w:rPr>
              <w:t>A672007</w:t>
            </w:r>
          </w:p>
        </w:tc>
        <w:tc>
          <w:tcPr>
            <w:tcW w:w="6438" w:type="dxa"/>
            <w:gridSpan w:val="2"/>
            <w:tcBorders>
              <w:top w:val="nil"/>
              <w:left w:val="nil"/>
              <w:bottom w:val="single" w:sz="4" w:space="0" w:color="000000"/>
              <w:right w:val="single" w:sz="4" w:space="0" w:color="auto"/>
            </w:tcBorders>
            <w:shd w:val="clear" w:color="000000" w:fill="FFFFFF"/>
            <w:noWrap/>
            <w:vAlign w:val="center"/>
            <w:hideMark/>
          </w:tcPr>
          <w:p w14:paraId="67ACA8C4" w14:textId="77777777" w:rsidR="0034115C" w:rsidRPr="00D166B8" w:rsidRDefault="0034115C" w:rsidP="001A53C7">
            <w:pPr>
              <w:spacing w:line="240" w:lineRule="auto"/>
              <w:rPr>
                <w:b/>
                <w:szCs w:val="18"/>
              </w:rPr>
            </w:pPr>
            <w:r w:rsidRPr="00D166B8">
              <w:rPr>
                <w:b/>
                <w:szCs w:val="18"/>
              </w:rPr>
              <w:t>RAZMINIRANJE</w:t>
            </w:r>
          </w:p>
        </w:tc>
        <w:tc>
          <w:tcPr>
            <w:tcW w:w="1562" w:type="dxa"/>
            <w:tcBorders>
              <w:top w:val="nil"/>
              <w:left w:val="nil"/>
              <w:bottom w:val="single" w:sz="4" w:space="0" w:color="000000"/>
              <w:right w:val="single" w:sz="4" w:space="0" w:color="auto"/>
            </w:tcBorders>
            <w:shd w:val="clear" w:color="000000" w:fill="FFFFFF"/>
            <w:noWrap/>
            <w:vAlign w:val="center"/>
            <w:hideMark/>
          </w:tcPr>
          <w:p w14:paraId="65D34D41" w14:textId="77777777" w:rsidR="0034115C" w:rsidRPr="00D166B8" w:rsidRDefault="00EE4B40" w:rsidP="001A53C7">
            <w:pPr>
              <w:spacing w:line="240" w:lineRule="auto"/>
              <w:jc w:val="right"/>
              <w:rPr>
                <w:b/>
                <w:szCs w:val="18"/>
              </w:rPr>
            </w:pPr>
            <w:r w:rsidRPr="00D166B8">
              <w:rPr>
                <w:b/>
                <w:szCs w:val="18"/>
              </w:rPr>
              <w:t>12.131</w:t>
            </w:r>
            <w:r w:rsidR="00E974B3" w:rsidRPr="00D166B8">
              <w:rPr>
                <w:b/>
                <w:szCs w:val="18"/>
              </w:rPr>
              <w:t>.000</w:t>
            </w:r>
            <w:r w:rsidR="00E414EE" w:rsidRPr="00D166B8">
              <w:rPr>
                <w:b/>
                <w:szCs w:val="18"/>
              </w:rPr>
              <w:t>,00</w:t>
            </w:r>
          </w:p>
        </w:tc>
      </w:tr>
      <w:tr w:rsidR="0034115C" w:rsidRPr="00D166B8" w14:paraId="2F3AAB7F" w14:textId="77777777" w:rsidTr="00B7208B">
        <w:trPr>
          <w:cantSplit/>
          <w:trHeight w:val="300"/>
        </w:trPr>
        <w:tc>
          <w:tcPr>
            <w:tcW w:w="1193" w:type="dxa"/>
            <w:tcBorders>
              <w:left w:val="single" w:sz="4" w:space="0" w:color="000000"/>
              <w:right w:val="single" w:sz="4" w:space="0" w:color="000000"/>
            </w:tcBorders>
            <w:shd w:val="clear" w:color="000000" w:fill="FFFFFF"/>
            <w:noWrap/>
            <w:vAlign w:val="center"/>
          </w:tcPr>
          <w:p w14:paraId="34C229B1" w14:textId="77777777" w:rsidR="0034115C" w:rsidRPr="00D166B8" w:rsidRDefault="0034115C" w:rsidP="001A53C7">
            <w:pPr>
              <w:spacing w:line="240" w:lineRule="auto"/>
              <w:jc w:val="right"/>
              <w:rPr>
                <w:b/>
                <w:szCs w:val="18"/>
              </w:rPr>
            </w:pPr>
          </w:p>
        </w:tc>
        <w:tc>
          <w:tcPr>
            <w:tcW w:w="94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C629DE" w14:textId="77777777" w:rsidR="0034115C" w:rsidRPr="00D166B8" w:rsidRDefault="0034115C" w:rsidP="001A53C7">
            <w:pPr>
              <w:spacing w:line="240" w:lineRule="auto"/>
              <w:jc w:val="center"/>
              <w:rPr>
                <w:szCs w:val="18"/>
              </w:rPr>
            </w:pPr>
            <w:r w:rsidRPr="00D166B8">
              <w:rPr>
                <w:szCs w:val="18"/>
              </w:rPr>
              <w:t>11</w:t>
            </w:r>
          </w:p>
        </w:tc>
        <w:tc>
          <w:tcPr>
            <w:tcW w:w="54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40F6D4" w14:textId="77777777" w:rsidR="0034115C" w:rsidRPr="00D166B8" w:rsidRDefault="0034115C" w:rsidP="001A53C7">
            <w:pPr>
              <w:spacing w:line="240" w:lineRule="auto"/>
              <w:rPr>
                <w:szCs w:val="18"/>
              </w:rPr>
            </w:pPr>
            <w:r w:rsidRPr="00D166B8">
              <w:rPr>
                <w:szCs w:val="18"/>
              </w:rPr>
              <w:t>Opći prihodi i primici</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F49D9F0" w14:textId="77777777" w:rsidR="0034115C" w:rsidRPr="00D166B8" w:rsidRDefault="00EE4B40" w:rsidP="001A53C7">
            <w:pPr>
              <w:spacing w:line="240" w:lineRule="auto"/>
              <w:jc w:val="right"/>
              <w:rPr>
                <w:szCs w:val="18"/>
              </w:rPr>
            </w:pPr>
            <w:r w:rsidRPr="00D166B8">
              <w:rPr>
                <w:szCs w:val="18"/>
              </w:rPr>
              <w:t>6.131</w:t>
            </w:r>
            <w:r w:rsidR="00E414EE" w:rsidRPr="00D166B8">
              <w:rPr>
                <w:szCs w:val="18"/>
              </w:rPr>
              <w:t>.000,00</w:t>
            </w:r>
          </w:p>
        </w:tc>
      </w:tr>
      <w:tr w:rsidR="0034115C" w:rsidRPr="00D166B8" w14:paraId="4A0CB570" w14:textId="77777777" w:rsidTr="00B7208B">
        <w:trPr>
          <w:cantSplit/>
          <w:trHeight w:val="300"/>
        </w:trPr>
        <w:tc>
          <w:tcPr>
            <w:tcW w:w="1193" w:type="dxa"/>
            <w:tcBorders>
              <w:left w:val="single" w:sz="4" w:space="0" w:color="000000"/>
              <w:bottom w:val="single" w:sz="4" w:space="0" w:color="000000"/>
              <w:right w:val="single" w:sz="4" w:space="0" w:color="000000"/>
            </w:tcBorders>
            <w:shd w:val="clear" w:color="000000" w:fill="FFFFFF"/>
            <w:noWrap/>
            <w:vAlign w:val="center"/>
          </w:tcPr>
          <w:p w14:paraId="78D202C5" w14:textId="77777777" w:rsidR="0034115C" w:rsidRPr="00D166B8" w:rsidRDefault="0034115C" w:rsidP="001A53C7">
            <w:pPr>
              <w:spacing w:line="240" w:lineRule="auto"/>
              <w:jc w:val="right"/>
              <w:rPr>
                <w:b/>
                <w:szCs w:val="18"/>
              </w:rPr>
            </w:pPr>
          </w:p>
        </w:tc>
        <w:tc>
          <w:tcPr>
            <w:tcW w:w="94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C14564" w14:textId="77777777" w:rsidR="0034115C" w:rsidRPr="00D166B8" w:rsidRDefault="00E414EE" w:rsidP="001A53C7">
            <w:pPr>
              <w:spacing w:line="240" w:lineRule="auto"/>
              <w:jc w:val="center"/>
              <w:rPr>
                <w:szCs w:val="18"/>
              </w:rPr>
            </w:pPr>
            <w:r w:rsidRPr="00D166B8">
              <w:rPr>
                <w:szCs w:val="18"/>
              </w:rPr>
              <w:t>43</w:t>
            </w:r>
          </w:p>
        </w:tc>
        <w:tc>
          <w:tcPr>
            <w:tcW w:w="54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8FD0B1" w14:textId="77777777" w:rsidR="0034115C" w:rsidRPr="00D166B8" w:rsidRDefault="0034115C" w:rsidP="001A53C7">
            <w:pPr>
              <w:spacing w:line="240" w:lineRule="auto"/>
              <w:rPr>
                <w:szCs w:val="18"/>
              </w:rPr>
            </w:pPr>
            <w:r w:rsidRPr="00D166B8">
              <w:rPr>
                <w:szCs w:val="18"/>
              </w:rPr>
              <w:t>Ostali prihodi za posebne namjene</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845D518" w14:textId="77777777" w:rsidR="0034115C" w:rsidRPr="00D166B8" w:rsidRDefault="00EE4B40" w:rsidP="001A53C7">
            <w:pPr>
              <w:spacing w:line="240" w:lineRule="auto"/>
              <w:jc w:val="right"/>
              <w:rPr>
                <w:szCs w:val="18"/>
              </w:rPr>
            </w:pPr>
            <w:r w:rsidRPr="00D166B8">
              <w:rPr>
                <w:szCs w:val="18"/>
              </w:rPr>
              <w:t>6</w:t>
            </w:r>
            <w:r w:rsidR="00927C1F" w:rsidRPr="00D166B8">
              <w:rPr>
                <w:szCs w:val="18"/>
              </w:rPr>
              <w:t>.</w:t>
            </w:r>
            <w:r w:rsidR="007B728F" w:rsidRPr="00D166B8">
              <w:rPr>
                <w:szCs w:val="18"/>
              </w:rPr>
              <w:t>00</w:t>
            </w:r>
            <w:r w:rsidR="00927C1F" w:rsidRPr="00D166B8">
              <w:rPr>
                <w:szCs w:val="18"/>
              </w:rPr>
              <w:t>0.000</w:t>
            </w:r>
            <w:r w:rsidR="00E414EE" w:rsidRPr="00D166B8">
              <w:rPr>
                <w:szCs w:val="18"/>
              </w:rPr>
              <w:t>,00</w:t>
            </w:r>
          </w:p>
        </w:tc>
      </w:tr>
      <w:tr w:rsidR="00E414EE" w:rsidRPr="00D166B8" w14:paraId="76B95D1B" w14:textId="77777777" w:rsidTr="00B7208B">
        <w:trPr>
          <w:cantSplit/>
          <w:trHeight w:val="300"/>
        </w:trPr>
        <w:tc>
          <w:tcPr>
            <w:tcW w:w="1193" w:type="dxa"/>
            <w:tcBorders>
              <w:top w:val="single" w:sz="4" w:space="0" w:color="auto"/>
              <w:left w:val="single" w:sz="4" w:space="0" w:color="auto"/>
              <w:right w:val="single" w:sz="4" w:space="0" w:color="auto"/>
            </w:tcBorders>
            <w:vAlign w:val="center"/>
          </w:tcPr>
          <w:p w14:paraId="64995A9C" w14:textId="77777777" w:rsidR="00E414EE" w:rsidRPr="00D166B8" w:rsidRDefault="00E414EE" w:rsidP="001A53C7">
            <w:pPr>
              <w:spacing w:line="240" w:lineRule="auto"/>
              <w:jc w:val="right"/>
              <w:rPr>
                <w:b/>
                <w:szCs w:val="18"/>
              </w:rPr>
            </w:pPr>
            <w:r w:rsidRPr="00D166B8">
              <w:rPr>
                <w:b/>
                <w:szCs w:val="18"/>
              </w:rPr>
              <w:t>K879024</w:t>
            </w:r>
          </w:p>
        </w:tc>
        <w:tc>
          <w:tcPr>
            <w:tcW w:w="6438" w:type="dxa"/>
            <w:gridSpan w:val="2"/>
            <w:tcBorders>
              <w:top w:val="single" w:sz="4" w:space="0" w:color="000000"/>
              <w:left w:val="nil"/>
              <w:bottom w:val="single" w:sz="4" w:space="0" w:color="000000"/>
              <w:right w:val="single" w:sz="4" w:space="0" w:color="auto"/>
            </w:tcBorders>
            <w:shd w:val="clear" w:color="000000" w:fill="FFFFFF"/>
            <w:vAlign w:val="center"/>
          </w:tcPr>
          <w:p w14:paraId="6A35F31A" w14:textId="77777777" w:rsidR="00E414EE" w:rsidRPr="00D166B8" w:rsidRDefault="00EB75A5" w:rsidP="00FE7DCC">
            <w:pPr>
              <w:spacing w:line="240" w:lineRule="auto"/>
              <w:rPr>
                <w:b/>
                <w:szCs w:val="18"/>
              </w:rPr>
            </w:pPr>
            <w:r w:rsidRPr="00D166B8">
              <w:rPr>
                <w:b/>
                <w:szCs w:val="18"/>
              </w:rPr>
              <w:t xml:space="preserve">PROGRAM KONKURENTNOST I KOHEZIJA </w:t>
            </w:r>
            <w:r w:rsidR="00B7208B" w:rsidRPr="00D166B8">
              <w:rPr>
                <w:b/>
                <w:szCs w:val="18"/>
              </w:rPr>
              <w:br/>
            </w:r>
            <w:r w:rsidRPr="00D166B8">
              <w:rPr>
                <w:b/>
                <w:szCs w:val="18"/>
              </w:rPr>
              <w:t xml:space="preserve">2021. </w:t>
            </w:r>
            <w:r w:rsidR="00B7208B" w:rsidRPr="00D166B8">
              <w:rPr>
                <w:b/>
                <w:szCs w:val="18"/>
              </w:rPr>
              <w:t>-</w:t>
            </w:r>
            <w:r w:rsidRPr="00D166B8">
              <w:rPr>
                <w:b/>
                <w:szCs w:val="18"/>
              </w:rPr>
              <w:t xml:space="preserve"> 2027.</w:t>
            </w:r>
            <w:r w:rsidR="00B7208B" w:rsidRPr="00D166B8">
              <w:rPr>
                <w:b/>
                <w:szCs w:val="18"/>
              </w:rPr>
              <w:t xml:space="preserve"> </w:t>
            </w:r>
            <w:r w:rsidRPr="00D166B8">
              <w:rPr>
                <w:b/>
                <w:szCs w:val="18"/>
              </w:rPr>
              <w:t xml:space="preserve">- </w:t>
            </w:r>
            <w:r w:rsidR="002855EC" w:rsidRPr="00D166B8">
              <w:rPr>
                <w:b/>
                <w:szCs w:val="18"/>
              </w:rPr>
              <w:t>RAZMINIRANJE VIŠEGODIŠNJI OKVIR 2021.</w:t>
            </w:r>
            <w:r w:rsidR="00FE7DCC">
              <w:rPr>
                <w:b/>
                <w:szCs w:val="18"/>
              </w:rPr>
              <w:t xml:space="preserve"> </w:t>
            </w:r>
            <w:r w:rsidR="002855EC" w:rsidRPr="00D166B8">
              <w:rPr>
                <w:b/>
                <w:szCs w:val="18"/>
              </w:rPr>
              <w:t>-</w:t>
            </w:r>
            <w:r w:rsidR="00FE7DCC">
              <w:rPr>
                <w:b/>
                <w:szCs w:val="18"/>
              </w:rPr>
              <w:t xml:space="preserve"> </w:t>
            </w:r>
            <w:r w:rsidR="002855EC" w:rsidRPr="00D166B8">
              <w:rPr>
                <w:b/>
                <w:szCs w:val="18"/>
              </w:rPr>
              <w:t>2027.</w:t>
            </w:r>
          </w:p>
        </w:tc>
        <w:tc>
          <w:tcPr>
            <w:tcW w:w="1562" w:type="dxa"/>
            <w:tcBorders>
              <w:top w:val="single" w:sz="4" w:space="0" w:color="000000"/>
              <w:left w:val="single" w:sz="4" w:space="0" w:color="auto"/>
              <w:bottom w:val="single" w:sz="4" w:space="0" w:color="000000"/>
              <w:right w:val="single" w:sz="4" w:space="0" w:color="auto"/>
            </w:tcBorders>
            <w:vAlign w:val="center"/>
          </w:tcPr>
          <w:p w14:paraId="32BC23E2" w14:textId="77777777" w:rsidR="00E414EE" w:rsidRPr="00D166B8" w:rsidRDefault="00EE4B40" w:rsidP="001A53C7">
            <w:pPr>
              <w:spacing w:line="240" w:lineRule="auto"/>
              <w:jc w:val="right"/>
              <w:rPr>
                <w:b/>
                <w:szCs w:val="18"/>
              </w:rPr>
            </w:pPr>
            <w:r w:rsidRPr="00D166B8">
              <w:rPr>
                <w:b/>
                <w:szCs w:val="18"/>
              </w:rPr>
              <w:t>9.500</w:t>
            </w:r>
            <w:r w:rsidR="00204158" w:rsidRPr="00D166B8">
              <w:rPr>
                <w:b/>
                <w:szCs w:val="18"/>
              </w:rPr>
              <w:t>.</w:t>
            </w:r>
            <w:r w:rsidRPr="00D166B8">
              <w:rPr>
                <w:b/>
                <w:szCs w:val="18"/>
              </w:rPr>
              <w:t>8</w:t>
            </w:r>
            <w:r w:rsidR="00204158" w:rsidRPr="00D166B8">
              <w:rPr>
                <w:b/>
                <w:szCs w:val="18"/>
              </w:rPr>
              <w:t>00,00</w:t>
            </w:r>
          </w:p>
        </w:tc>
      </w:tr>
      <w:tr w:rsidR="00E414EE" w:rsidRPr="00D166B8" w14:paraId="3E3C7263" w14:textId="77777777" w:rsidTr="00B7208B">
        <w:trPr>
          <w:cantSplit/>
          <w:trHeight w:val="300"/>
        </w:trPr>
        <w:tc>
          <w:tcPr>
            <w:tcW w:w="1193" w:type="dxa"/>
            <w:tcBorders>
              <w:left w:val="single" w:sz="4" w:space="0" w:color="auto"/>
              <w:bottom w:val="single" w:sz="4" w:space="0" w:color="auto"/>
              <w:right w:val="single" w:sz="4" w:space="0" w:color="auto"/>
            </w:tcBorders>
            <w:vAlign w:val="center"/>
          </w:tcPr>
          <w:p w14:paraId="4035C401" w14:textId="77777777" w:rsidR="00E414EE" w:rsidRPr="00D166B8" w:rsidRDefault="00E414EE" w:rsidP="001A53C7">
            <w:pPr>
              <w:spacing w:line="240" w:lineRule="auto"/>
              <w:jc w:val="right"/>
              <w:rPr>
                <w:b/>
                <w:szCs w:val="18"/>
              </w:rPr>
            </w:pPr>
          </w:p>
        </w:tc>
        <w:tc>
          <w:tcPr>
            <w:tcW w:w="949" w:type="dxa"/>
            <w:tcBorders>
              <w:top w:val="single" w:sz="4" w:space="0" w:color="000000"/>
              <w:left w:val="nil"/>
              <w:bottom w:val="single" w:sz="4" w:space="0" w:color="auto"/>
              <w:right w:val="single" w:sz="4" w:space="0" w:color="auto"/>
            </w:tcBorders>
            <w:shd w:val="clear" w:color="000000" w:fill="FFFFFF"/>
            <w:vAlign w:val="center"/>
          </w:tcPr>
          <w:p w14:paraId="69AD231E" w14:textId="77777777" w:rsidR="00E414EE" w:rsidRPr="00D166B8" w:rsidRDefault="00186E49" w:rsidP="001A53C7">
            <w:pPr>
              <w:spacing w:line="240" w:lineRule="auto"/>
              <w:jc w:val="center"/>
              <w:rPr>
                <w:szCs w:val="18"/>
              </w:rPr>
            </w:pPr>
            <w:r w:rsidRPr="00D166B8">
              <w:rPr>
                <w:szCs w:val="18"/>
              </w:rPr>
              <w:t>563</w:t>
            </w:r>
            <w:r w:rsidR="00E478A3" w:rsidRPr="00D166B8">
              <w:rPr>
                <w:szCs w:val="18"/>
              </w:rPr>
              <w:t>11</w:t>
            </w:r>
          </w:p>
        </w:tc>
        <w:tc>
          <w:tcPr>
            <w:tcW w:w="5489" w:type="dxa"/>
            <w:tcBorders>
              <w:top w:val="single" w:sz="4" w:space="0" w:color="000000"/>
              <w:left w:val="nil"/>
              <w:bottom w:val="single" w:sz="4" w:space="0" w:color="auto"/>
              <w:right w:val="single" w:sz="4" w:space="0" w:color="auto"/>
            </w:tcBorders>
            <w:shd w:val="clear" w:color="000000" w:fill="FFFFFF"/>
            <w:vAlign w:val="center"/>
          </w:tcPr>
          <w:p w14:paraId="32291E0D" w14:textId="77777777" w:rsidR="00E414EE" w:rsidRPr="00D166B8" w:rsidRDefault="004E7FF4" w:rsidP="001A53C7">
            <w:pPr>
              <w:spacing w:line="240" w:lineRule="auto"/>
              <w:rPr>
                <w:szCs w:val="18"/>
              </w:rPr>
            </w:pPr>
            <w:r w:rsidRPr="00D166B8">
              <w:rPr>
                <w:szCs w:val="18"/>
              </w:rPr>
              <w:t>Europski fond za regionalni razvoj (EFRR)</w:t>
            </w:r>
          </w:p>
        </w:tc>
        <w:tc>
          <w:tcPr>
            <w:tcW w:w="1562" w:type="dxa"/>
            <w:tcBorders>
              <w:top w:val="single" w:sz="4" w:space="0" w:color="000000"/>
              <w:left w:val="single" w:sz="4" w:space="0" w:color="auto"/>
              <w:bottom w:val="single" w:sz="4" w:space="0" w:color="auto"/>
              <w:right w:val="single" w:sz="4" w:space="0" w:color="auto"/>
            </w:tcBorders>
            <w:vAlign w:val="center"/>
          </w:tcPr>
          <w:p w14:paraId="6E729EA1" w14:textId="77777777" w:rsidR="00E414EE" w:rsidRPr="00D166B8" w:rsidRDefault="00EE4B40" w:rsidP="001A53C7">
            <w:pPr>
              <w:spacing w:line="240" w:lineRule="auto"/>
              <w:jc w:val="right"/>
              <w:rPr>
                <w:szCs w:val="18"/>
              </w:rPr>
            </w:pPr>
            <w:r w:rsidRPr="00D166B8">
              <w:rPr>
                <w:szCs w:val="18"/>
              </w:rPr>
              <w:t>9.500.8</w:t>
            </w:r>
            <w:r w:rsidR="00927C1F" w:rsidRPr="00D166B8">
              <w:rPr>
                <w:szCs w:val="18"/>
              </w:rPr>
              <w:t>00,00</w:t>
            </w:r>
          </w:p>
        </w:tc>
      </w:tr>
      <w:bookmarkEnd w:id="7"/>
    </w:tbl>
    <w:p w14:paraId="2FFD0905" w14:textId="77777777" w:rsidR="00FE7DCC" w:rsidRDefault="00FE7DCC" w:rsidP="00360156">
      <w:pPr>
        <w:pStyle w:val="tablicacaption"/>
        <w:spacing w:before="0" w:line="240" w:lineRule="auto"/>
        <w:jc w:val="both"/>
        <w:rPr>
          <w:sz w:val="24"/>
        </w:rPr>
      </w:pPr>
    </w:p>
    <w:p w14:paraId="194FE27B" w14:textId="77777777" w:rsidR="00FE7DCC" w:rsidRDefault="0034115C" w:rsidP="00360156">
      <w:pPr>
        <w:pStyle w:val="tablicacaption"/>
        <w:spacing w:before="0" w:line="240" w:lineRule="auto"/>
        <w:jc w:val="both"/>
      </w:pPr>
      <w:r w:rsidRPr="00D166B8">
        <w:rPr>
          <w:sz w:val="24"/>
        </w:rPr>
        <w:t xml:space="preserve">Tablica </w:t>
      </w:r>
      <w:r w:rsidR="004B3A45" w:rsidRPr="00D166B8">
        <w:rPr>
          <w:sz w:val="24"/>
        </w:rPr>
        <w:t>6</w:t>
      </w:r>
      <w:r w:rsidRPr="00D166B8">
        <w:rPr>
          <w:sz w:val="24"/>
        </w:rPr>
        <w:t>-1. Pregled financijskih sredstava za protuminsko djelovanje po aktivnostima za 202</w:t>
      </w:r>
      <w:r w:rsidR="00EE4B40" w:rsidRPr="00D166B8">
        <w:rPr>
          <w:sz w:val="24"/>
        </w:rPr>
        <w:t>6</w:t>
      </w:r>
      <w:r w:rsidR="00CA4A0E" w:rsidRPr="00D166B8">
        <w:rPr>
          <w:sz w:val="24"/>
        </w:rPr>
        <w:t>. godinu</w:t>
      </w:r>
      <w:bookmarkStart w:id="8" w:name="_Toc73447686"/>
      <w:r w:rsidR="0052188D" w:rsidRPr="00D166B8">
        <w:br w:type="page"/>
      </w:r>
    </w:p>
    <w:p w14:paraId="28B03E1C" w14:textId="77777777" w:rsidR="00FE7DCC" w:rsidRDefault="00FE7DCC" w:rsidP="00360156">
      <w:pPr>
        <w:pStyle w:val="tablicacaption"/>
        <w:spacing w:before="0" w:line="240" w:lineRule="auto"/>
        <w:jc w:val="both"/>
      </w:pPr>
    </w:p>
    <w:p w14:paraId="0C4B7F35" w14:textId="77777777" w:rsidR="0034115C" w:rsidRPr="00FE7DCC" w:rsidRDefault="00FE7DCC" w:rsidP="00360156">
      <w:pPr>
        <w:pStyle w:val="tablicacaption"/>
        <w:spacing w:before="0" w:line="240" w:lineRule="auto"/>
        <w:jc w:val="both"/>
        <w:rPr>
          <w:i w:val="0"/>
          <w:sz w:val="24"/>
          <w:szCs w:val="24"/>
        </w:rPr>
      </w:pPr>
      <w:r w:rsidRPr="00FE7DCC">
        <w:rPr>
          <w:i w:val="0"/>
          <w:sz w:val="24"/>
          <w:szCs w:val="24"/>
        </w:rPr>
        <w:t>7.</w:t>
      </w:r>
      <w:r w:rsidRPr="00FE7DCC">
        <w:rPr>
          <w:i w:val="0"/>
          <w:sz w:val="24"/>
          <w:szCs w:val="24"/>
        </w:rPr>
        <w:tab/>
        <w:t>ZAKLJUČAK</w:t>
      </w:r>
      <w:bookmarkEnd w:id="8"/>
    </w:p>
    <w:p w14:paraId="475BCF39" w14:textId="77777777" w:rsidR="00B7208B" w:rsidRPr="00D166B8" w:rsidRDefault="00B7208B" w:rsidP="00B7208B">
      <w:pPr>
        <w:rPr>
          <w:lang w:eastAsia="en-US"/>
        </w:rPr>
      </w:pPr>
    </w:p>
    <w:p w14:paraId="282995AD" w14:textId="77777777" w:rsidR="00A82BC5" w:rsidRPr="002A634C" w:rsidRDefault="00A82BC5" w:rsidP="001A53C7">
      <w:pPr>
        <w:spacing w:line="240" w:lineRule="auto"/>
      </w:pPr>
      <w:r w:rsidRPr="00D166B8">
        <w:t>Do 1. ožujka 2026. planira se uklanjanje cjelokupnog MSP-</w:t>
      </w:r>
      <w:r w:rsidR="00EE6ED7" w:rsidRPr="00D166B8">
        <w:t>a</w:t>
      </w:r>
      <w:r w:rsidRPr="00D166B8">
        <w:t xml:space="preserve"> u Republici Hrvatskoj. Na svim poznatim </w:t>
      </w:r>
      <w:r w:rsidR="00EE6ED7" w:rsidRPr="00D166B8">
        <w:t>MSP</w:t>
      </w:r>
      <w:r w:rsidR="00FE7DCC" w:rsidRPr="002A634C">
        <w:t>-ovima</w:t>
      </w:r>
      <w:r w:rsidRPr="002A634C">
        <w:t xml:space="preserve"> završeni su poslovi razminiranja </w:t>
      </w:r>
      <w:r w:rsidR="00467B9E" w:rsidRPr="002A634C">
        <w:t>te je preostalo izdavanje potvrda o isključenju površina iz MSP-a</w:t>
      </w:r>
      <w:r w:rsidRPr="002A634C">
        <w:t xml:space="preserve"> i uklanjanje 19</w:t>
      </w:r>
      <w:r w:rsidR="00127B9A" w:rsidRPr="002A634C">
        <w:t>4</w:t>
      </w:r>
      <w:r w:rsidRPr="002A634C">
        <w:t xml:space="preserve"> oznak</w:t>
      </w:r>
      <w:r w:rsidR="00127B9A" w:rsidRPr="002A634C">
        <w:t>e</w:t>
      </w:r>
      <w:r w:rsidRPr="002A634C">
        <w:t xml:space="preserve"> minske opasnosti.</w:t>
      </w:r>
    </w:p>
    <w:p w14:paraId="5E5FCAC3" w14:textId="77777777" w:rsidR="00A82BC5" w:rsidRPr="002A634C" w:rsidRDefault="00A82BC5" w:rsidP="001A53C7">
      <w:pPr>
        <w:spacing w:line="240" w:lineRule="auto"/>
      </w:pPr>
    </w:p>
    <w:p w14:paraId="1BF28E88" w14:textId="77777777" w:rsidR="00A82BC5" w:rsidRPr="002A634C" w:rsidRDefault="00346CC8" w:rsidP="001A53C7">
      <w:pPr>
        <w:spacing w:line="240" w:lineRule="auto"/>
        <w:rPr>
          <w:b/>
        </w:rPr>
      </w:pPr>
      <w:r w:rsidRPr="002A634C">
        <w:rPr>
          <w:b/>
        </w:rPr>
        <w:t>Uklanjanjem preostalog MSP-a površine 1,9 km</w:t>
      </w:r>
      <w:r w:rsidRPr="002A634C">
        <w:rPr>
          <w:b/>
          <w:vertAlign w:val="superscript"/>
        </w:rPr>
        <w:t>2</w:t>
      </w:r>
      <w:r w:rsidRPr="002A634C">
        <w:rPr>
          <w:b/>
        </w:rPr>
        <w:t xml:space="preserve"> </w:t>
      </w:r>
      <w:r w:rsidR="000942C9" w:rsidRPr="002A634C">
        <w:rPr>
          <w:b/>
        </w:rPr>
        <w:t>ostvarit će se temeljni cilj Nacionalnog programa da će se u potpunosti, najkasnije do 1. ožujka 2026.</w:t>
      </w:r>
      <w:r w:rsidR="00FE7DCC" w:rsidRPr="002A634C">
        <w:rPr>
          <w:b/>
        </w:rPr>
        <w:t>,</w:t>
      </w:r>
      <w:r w:rsidR="000942C9" w:rsidRPr="002A634C">
        <w:rPr>
          <w:b/>
        </w:rPr>
        <w:t xml:space="preserve"> ukloniti minska opasnost s područja Republike Hrvatske, čime će se</w:t>
      </w:r>
      <w:r w:rsidRPr="002A634C">
        <w:rPr>
          <w:b/>
        </w:rPr>
        <w:t xml:space="preserve"> izvršit</w:t>
      </w:r>
      <w:r w:rsidR="000942C9" w:rsidRPr="002A634C">
        <w:rPr>
          <w:b/>
        </w:rPr>
        <w:t>i i</w:t>
      </w:r>
      <w:r w:rsidRPr="002A634C">
        <w:rPr>
          <w:b/>
        </w:rPr>
        <w:t xml:space="preserve"> obveza Republike Hrvatske prema </w:t>
      </w:r>
      <w:r w:rsidRPr="002A634C">
        <w:rPr>
          <w:b/>
          <w:i/>
        </w:rPr>
        <w:t>Ottawskoj konvenciji</w:t>
      </w:r>
      <w:r w:rsidRPr="002A634C">
        <w:rPr>
          <w:b/>
        </w:rPr>
        <w:t>.</w:t>
      </w:r>
    </w:p>
    <w:p w14:paraId="4352BC44" w14:textId="77777777" w:rsidR="00A82BC5" w:rsidRPr="002A634C" w:rsidRDefault="00A82BC5" w:rsidP="001A53C7">
      <w:pPr>
        <w:spacing w:line="240" w:lineRule="auto"/>
      </w:pPr>
    </w:p>
    <w:p w14:paraId="580D53C5" w14:textId="40A8A2B1" w:rsidR="00A82BC5" w:rsidRPr="00D166B8" w:rsidRDefault="00D80FD4" w:rsidP="001A53C7">
      <w:pPr>
        <w:spacing w:line="240" w:lineRule="auto"/>
      </w:pPr>
      <w:r w:rsidRPr="002A634C">
        <w:t>Na t</w:t>
      </w:r>
      <w:r w:rsidR="00A82BC5" w:rsidRPr="002A634C">
        <w:t>emelj</w:t>
      </w:r>
      <w:r w:rsidRPr="002A634C">
        <w:t>u</w:t>
      </w:r>
      <w:r w:rsidR="00A82BC5" w:rsidRPr="002A634C">
        <w:t xml:space="preserve"> </w:t>
      </w:r>
      <w:r w:rsidR="005270EF" w:rsidRPr="002A634C">
        <w:t>Odluke o davanju prethodnog odobrenja za razminiranje perspektivne vojne lokacije - vojnog poligona „Eugen Kvaternik“ u Slunju</w:t>
      </w:r>
      <w:r w:rsidR="00A82BC5" w:rsidRPr="002A634C">
        <w:t>, vezan</w:t>
      </w:r>
      <w:r w:rsidR="00A82BC5" w:rsidRPr="00D166B8">
        <w:t xml:space="preserve">o </w:t>
      </w:r>
      <w:r w:rsidR="00B7208B" w:rsidRPr="00D166B8">
        <w:t>z</w:t>
      </w:r>
      <w:r w:rsidR="00A82BC5" w:rsidRPr="00D166B8">
        <w:t>a razminiranje područj</w:t>
      </w:r>
      <w:r w:rsidR="00346CC8" w:rsidRPr="00D166B8">
        <w:t>a</w:t>
      </w:r>
      <w:r w:rsidR="00A82BC5" w:rsidRPr="00D166B8">
        <w:t xml:space="preserve"> vojnog poligona „Eugen Kvaternik“, završeno je razminiranje prema svim izrađenim idejnim planovima. MUP će tijekom 2026. godine provoditi aktivnosti općeg izvida preostalog MSP-a vojnog poligona u cilju izdavanja potvrde o isključenju 4,5 km</w:t>
      </w:r>
      <w:r w:rsidR="00A82BC5" w:rsidRPr="00D166B8">
        <w:rPr>
          <w:vertAlign w:val="superscript"/>
        </w:rPr>
        <w:t>2</w:t>
      </w:r>
      <w:r w:rsidR="00A82BC5" w:rsidRPr="00D166B8">
        <w:t xml:space="preserve"> iz MSP-a vojnog poligona.</w:t>
      </w:r>
    </w:p>
    <w:p w14:paraId="125388F5" w14:textId="77777777" w:rsidR="00A82BC5" w:rsidRPr="00D166B8" w:rsidRDefault="00A82BC5" w:rsidP="001A53C7">
      <w:pPr>
        <w:spacing w:line="240" w:lineRule="auto"/>
      </w:pPr>
    </w:p>
    <w:p w14:paraId="29B9D10F" w14:textId="77777777" w:rsidR="00B03A23" w:rsidRPr="00D166B8" w:rsidRDefault="0034115C" w:rsidP="001A53C7">
      <w:pPr>
        <w:spacing w:line="240" w:lineRule="auto"/>
      </w:pPr>
      <w:r w:rsidRPr="00D166B8">
        <w:t>Za protuminsko djelovanje u 202</w:t>
      </w:r>
      <w:r w:rsidR="00346CC8" w:rsidRPr="00D166B8">
        <w:t>6</w:t>
      </w:r>
      <w:r w:rsidRPr="00D166B8">
        <w:t>. godini ukupno je</w:t>
      </w:r>
      <w:r w:rsidR="009718EA" w:rsidRPr="00D166B8">
        <w:t xml:space="preserve"> </w:t>
      </w:r>
      <w:r w:rsidRPr="00D166B8">
        <w:t>iz svih izvora financiranja planirano</w:t>
      </w:r>
      <w:r w:rsidR="009718EA" w:rsidRPr="00D166B8">
        <w:t xml:space="preserve"> i osigurano</w:t>
      </w:r>
      <w:r w:rsidRPr="00D166B8">
        <w:t xml:space="preserve"> </w:t>
      </w:r>
      <w:r w:rsidR="00346CC8" w:rsidRPr="00D166B8">
        <w:t>21</w:t>
      </w:r>
      <w:r w:rsidR="00346CC8" w:rsidRPr="00D166B8">
        <w:rPr>
          <w:bCs/>
        </w:rPr>
        <w:t>.631.800</w:t>
      </w:r>
      <w:r w:rsidR="007B728F" w:rsidRPr="00D166B8">
        <w:rPr>
          <w:bCs/>
        </w:rPr>
        <w:t>,00</w:t>
      </w:r>
      <w:r w:rsidRPr="00D166B8">
        <w:rPr>
          <w:bCs/>
        </w:rPr>
        <w:t xml:space="preserve"> </w:t>
      </w:r>
      <w:r w:rsidR="00EF16BA" w:rsidRPr="00D166B8">
        <w:rPr>
          <w:bCs/>
        </w:rPr>
        <w:t>eura</w:t>
      </w:r>
      <w:r w:rsidRPr="00D166B8">
        <w:rPr>
          <w:b/>
        </w:rPr>
        <w:t>.</w:t>
      </w:r>
    </w:p>
    <w:p w14:paraId="5895ECD0" w14:textId="77777777" w:rsidR="00B03A23" w:rsidRPr="00D166B8" w:rsidRDefault="00B03A23" w:rsidP="001A53C7">
      <w:pPr>
        <w:spacing w:line="240" w:lineRule="auto"/>
      </w:pPr>
    </w:p>
    <w:p w14:paraId="0AAAC287" w14:textId="77777777" w:rsidR="007D6BB8" w:rsidRPr="00D166B8" w:rsidRDefault="007D6BB8" w:rsidP="001A53C7">
      <w:pPr>
        <w:spacing w:line="240" w:lineRule="auto"/>
      </w:pPr>
      <w:r w:rsidRPr="00D166B8">
        <w:t>U okviru aktivnosti Razminiranje višegodišnji okvir 2021.</w:t>
      </w:r>
      <w:r w:rsidR="00DC57E6">
        <w:t xml:space="preserve"> </w:t>
      </w:r>
      <w:r w:rsidRPr="00D166B8">
        <w:t>-</w:t>
      </w:r>
      <w:r w:rsidR="00DC57E6">
        <w:t xml:space="preserve"> </w:t>
      </w:r>
      <w:r w:rsidRPr="00D166B8">
        <w:t>2027., posebnog cilja „Promicanje prilagodbe klimatskim promjenama i sprječavanja rizika od katastrofa te otpornosti, uzimajući u obzir pristupe utemeljene na ekosustavima“, od 2022. godine provode se dva projekta „Razminiranje šuma i šumskog zemljišta u Republici Hrvatskoj“ CROSS i CROSS II, u okviru kojih je ugovoreno 10</w:t>
      </w:r>
      <w:r w:rsidR="00520F7A" w:rsidRPr="00D166B8">
        <w:t>2</w:t>
      </w:r>
      <w:r w:rsidRPr="00D166B8">
        <w:t>,</w:t>
      </w:r>
      <w:r w:rsidR="00520F7A" w:rsidRPr="00D166B8">
        <w:t>1</w:t>
      </w:r>
      <w:r w:rsidRPr="00D166B8">
        <w:t xml:space="preserve"> milijun eura bespovratnih EU sredstava namijenjenih razminiranju, odnosno ukupno 129,</w:t>
      </w:r>
      <w:r w:rsidR="00520F7A" w:rsidRPr="00D166B8">
        <w:t>3</w:t>
      </w:r>
      <w:r w:rsidRPr="00D166B8">
        <w:t xml:space="preserve"> milijuna eura, uključujući i nacionalno sufinanciranje. Tijekom 2026. godine provodit će se dio projektne aktivnosti</w:t>
      </w:r>
      <w:r w:rsidR="00CB7CF3" w:rsidRPr="00D166B8">
        <w:t xml:space="preserve"> </w:t>
      </w:r>
      <w:r w:rsidRPr="00D166B8">
        <w:t xml:space="preserve">promidžbe i vidljivosti na projektu </w:t>
      </w:r>
      <w:r w:rsidRPr="00D166B8">
        <w:rPr>
          <w:iCs/>
        </w:rPr>
        <w:t>CROSS II</w:t>
      </w:r>
      <w:r w:rsidRPr="00D166B8">
        <w:t>.</w:t>
      </w:r>
    </w:p>
    <w:p w14:paraId="53F57C26" w14:textId="77777777" w:rsidR="00E55C1B" w:rsidRPr="00D166B8" w:rsidRDefault="00E55C1B" w:rsidP="001A53C7">
      <w:pPr>
        <w:spacing w:line="240" w:lineRule="auto"/>
      </w:pPr>
    </w:p>
    <w:p w14:paraId="0BA8A61C" w14:textId="77777777" w:rsidR="00E55C1B" w:rsidRPr="00D166B8" w:rsidRDefault="00E55C1B" w:rsidP="001A53C7">
      <w:pPr>
        <w:spacing w:line="240" w:lineRule="auto"/>
      </w:pPr>
      <w:r w:rsidRPr="00D166B8">
        <w:t>U skladu s potpisanim Sporazumom između Vlade Republike Hrvatske i Kabineta ministara Ukrajine o suradnji u području protuminskog djelovanja, planira se nastavak aktivnosti s ciljem razvijanja međusobne suradnje i pružanja pomoći u području protuminskog djelovanja kako bi se ublažile socio-ekonomske, sigurnosne, ekološke i drugo posljedice opasnosti od MES-a.</w:t>
      </w:r>
    </w:p>
    <w:p w14:paraId="5FF92DA7" w14:textId="77777777" w:rsidR="00E55C1B" w:rsidRPr="00D166B8" w:rsidRDefault="00E55C1B" w:rsidP="001A53C7">
      <w:pPr>
        <w:spacing w:line="240" w:lineRule="auto"/>
      </w:pPr>
    </w:p>
    <w:p w14:paraId="75594352" w14:textId="77777777" w:rsidR="009676EE" w:rsidRPr="00D166B8" w:rsidRDefault="002F10C9" w:rsidP="001A53C7">
      <w:pPr>
        <w:spacing w:line="240" w:lineRule="auto"/>
      </w:pPr>
      <w:r w:rsidRPr="00D166B8">
        <w:t xml:space="preserve">MUP će, u suradnji s partnerima, u 2026. godini nastaviti suradnju s relevantnim međunarodnim dionicima u protuminskom djelovanju, poglavito partnerima s kojima već postoje potpisani </w:t>
      </w:r>
      <w:r w:rsidR="00DC57E6">
        <w:t>m</w:t>
      </w:r>
      <w:r w:rsidRPr="00D166B8">
        <w:t>emorandumi/</w:t>
      </w:r>
      <w:r w:rsidR="00DC57E6">
        <w:t>i</w:t>
      </w:r>
      <w:r w:rsidRPr="00D166B8">
        <w:t>zjave o suradnji. Cilj navedenih aktivnosti usmjeren je na</w:t>
      </w:r>
      <w:r w:rsidR="00CB7CF3" w:rsidRPr="00D166B8">
        <w:t xml:space="preserve"> </w:t>
      </w:r>
      <w:r w:rsidR="00E6421B" w:rsidRPr="00D166B8">
        <w:t>prijenos znanja i</w:t>
      </w:r>
      <w:r w:rsidRPr="00D166B8">
        <w:t xml:space="preserve"> iskustava Republike Hrvatske u protuminskom djelovanju i pozicioniranje istih u kontekstu međunarodno prepoznatljivog hrvatskog izvoznog proizvoda.</w:t>
      </w:r>
    </w:p>
    <w:p w14:paraId="7C7890F4" w14:textId="77777777" w:rsidR="00183952" w:rsidRPr="00D166B8" w:rsidRDefault="008970E2" w:rsidP="001A53C7">
      <w:pPr>
        <w:pStyle w:val="normal3"/>
        <w:rPr>
          <w:rFonts w:cs="Times New Roman"/>
        </w:rPr>
      </w:pPr>
      <w:r w:rsidRPr="00D166B8">
        <w:rPr>
          <w:rFonts w:cs="Times New Roman"/>
        </w:rPr>
        <w:br w:type="page"/>
      </w:r>
      <w:r w:rsidR="00183952" w:rsidRPr="00D166B8">
        <w:rPr>
          <w:rFonts w:cs="Times New Roman"/>
        </w:rPr>
        <w:lastRenderedPageBreak/>
        <w:t>POSEBNI DIO PLANA:</w:t>
      </w:r>
    </w:p>
    <w:p w14:paraId="385DDDB2" w14:textId="77777777" w:rsidR="00DF4026" w:rsidRPr="00D166B8" w:rsidRDefault="00DF4026" w:rsidP="001A53C7">
      <w:pPr>
        <w:pStyle w:val="Heading1"/>
        <w:spacing w:before="0" w:after="0" w:line="240" w:lineRule="auto"/>
        <w:rPr>
          <w:sz w:val="24"/>
          <w:szCs w:val="24"/>
        </w:rPr>
      </w:pPr>
    </w:p>
    <w:p w14:paraId="040ED5A7" w14:textId="77777777" w:rsidR="0097213C" w:rsidRPr="00D166B8" w:rsidRDefault="00B55D2F" w:rsidP="001A53C7">
      <w:pPr>
        <w:pStyle w:val="Heading1"/>
        <w:spacing w:before="0" w:after="0" w:line="240" w:lineRule="auto"/>
        <w:rPr>
          <w:sz w:val="24"/>
          <w:szCs w:val="24"/>
        </w:rPr>
      </w:pPr>
      <w:r w:rsidRPr="00D166B8">
        <w:rPr>
          <w:sz w:val="24"/>
          <w:szCs w:val="24"/>
        </w:rPr>
        <w:t>PLAN RAZMINIRANJA</w:t>
      </w:r>
      <w:r w:rsidR="0097213C" w:rsidRPr="00D166B8">
        <w:rPr>
          <w:sz w:val="24"/>
          <w:szCs w:val="24"/>
        </w:rPr>
        <w:t xml:space="preserve"> </w:t>
      </w:r>
      <w:r w:rsidR="00183952" w:rsidRPr="00D166B8">
        <w:rPr>
          <w:sz w:val="24"/>
          <w:szCs w:val="24"/>
        </w:rPr>
        <w:t>VOJNIH LOKACIJA I/ILI GRAĐEVINA</w:t>
      </w:r>
      <w:r w:rsidRPr="00D166B8">
        <w:rPr>
          <w:sz w:val="24"/>
          <w:szCs w:val="24"/>
        </w:rPr>
        <w:t xml:space="preserve"> </w:t>
      </w:r>
    </w:p>
    <w:p w14:paraId="48270EEE" w14:textId="77777777" w:rsidR="00183952" w:rsidRPr="00D166B8" w:rsidRDefault="0097213C" w:rsidP="001A53C7">
      <w:pPr>
        <w:pStyle w:val="Heading1"/>
        <w:spacing w:before="0" w:after="0" w:line="240" w:lineRule="auto"/>
        <w:rPr>
          <w:sz w:val="24"/>
          <w:szCs w:val="24"/>
        </w:rPr>
      </w:pPr>
      <w:r w:rsidRPr="00D166B8">
        <w:rPr>
          <w:sz w:val="24"/>
          <w:szCs w:val="24"/>
        </w:rPr>
        <w:t>U</w:t>
      </w:r>
      <w:r w:rsidR="00183952" w:rsidRPr="00D166B8">
        <w:rPr>
          <w:sz w:val="24"/>
          <w:szCs w:val="24"/>
        </w:rPr>
        <w:t xml:space="preserve"> 202</w:t>
      </w:r>
      <w:r w:rsidR="00EE4B40" w:rsidRPr="00D166B8">
        <w:rPr>
          <w:sz w:val="24"/>
          <w:szCs w:val="24"/>
        </w:rPr>
        <w:t>6</w:t>
      </w:r>
      <w:r w:rsidR="00183952" w:rsidRPr="00D166B8">
        <w:rPr>
          <w:sz w:val="24"/>
          <w:szCs w:val="24"/>
        </w:rPr>
        <w:t>. GODIN</w:t>
      </w:r>
      <w:r w:rsidRPr="00D166B8">
        <w:rPr>
          <w:sz w:val="24"/>
          <w:szCs w:val="24"/>
        </w:rPr>
        <w:t>I</w:t>
      </w:r>
      <w:r w:rsidR="00183952" w:rsidRPr="00D166B8">
        <w:rPr>
          <w:sz w:val="24"/>
          <w:szCs w:val="24"/>
        </w:rPr>
        <w:t xml:space="preserve"> </w:t>
      </w:r>
    </w:p>
    <w:p w14:paraId="1D74A132" w14:textId="77777777" w:rsidR="00183952" w:rsidRPr="00D166B8" w:rsidRDefault="00183952" w:rsidP="00564410">
      <w:pPr>
        <w:spacing w:line="240" w:lineRule="exact"/>
      </w:pPr>
    </w:p>
    <w:p w14:paraId="1E58C1C0" w14:textId="77777777" w:rsidR="00433F5C" w:rsidRPr="00D166B8" w:rsidRDefault="00433F5C" w:rsidP="00564410">
      <w:pPr>
        <w:spacing w:line="240" w:lineRule="exact"/>
      </w:pPr>
    </w:p>
    <w:p w14:paraId="4E0D9A45" w14:textId="77777777" w:rsidR="00DE2748" w:rsidRPr="00D166B8" w:rsidRDefault="00DE2748" w:rsidP="0042701D">
      <w:pPr>
        <w:pStyle w:val="Heading2"/>
        <w:tabs>
          <w:tab w:val="left" w:pos="709"/>
        </w:tabs>
        <w:spacing w:before="0" w:after="0" w:line="240" w:lineRule="auto"/>
        <w:ind w:left="-142"/>
        <w:rPr>
          <w:i w:val="0"/>
          <w:sz w:val="24"/>
          <w:szCs w:val="24"/>
        </w:rPr>
      </w:pPr>
      <w:r w:rsidRPr="00D166B8">
        <w:rPr>
          <w:i w:val="0"/>
          <w:sz w:val="24"/>
          <w:szCs w:val="24"/>
        </w:rPr>
        <w:t>1.</w:t>
      </w:r>
      <w:r w:rsidR="0097213C" w:rsidRPr="00D166B8">
        <w:rPr>
          <w:i w:val="0"/>
          <w:sz w:val="24"/>
          <w:szCs w:val="24"/>
        </w:rPr>
        <w:tab/>
      </w:r>
      <w:r w:rsidRPr="00D166B8">
        <w:rPr>
          <w:i w:val="0"/>
          <w:sz w:val="24"/>
          <w:szCs w:val="24"/>
        </w:rPr>
        <w:t>UVOD</w:t>
      </w:r>
    </w:p>
    <w:p w14:paraId="7AE439C1" w14:textId="77777777" w:rsidR="0097213C" w:rsidRPr="00D166B8" w:rsidRDefault="0097213C" w:rsidP="0042701D">
      <w:pPr>
        <w:spacing w:line="240" w:lineRule="auto"/>
        <w:ind w:left="-142"/>
      </w:pPr>
    </w:p>
    <w:p w14:paraId="2088A883" w14:textId="77777777" w:rsidR="00DE2748" w:rsidRPr="00D166B8" w:rsidRDefault="00DE2748" w:rsidP="0042701D">
      <w:pPr>
        <w:spacing w:line="240" w:lineRule="auto"/>
        <w:ind w:left="-142" w:right="28"/>
      </w:pPr>
      <w:r w:rsidRPr="00D166B8">
        <w:t>Poslovi razminiranja u Republici Hrvatskoj ure</w:t>
      </w:r>
      <w:r w:rsidR="0097213C" w:rsidRPr="00D166B8">
        <w:t>đe</w:t>
      </w:r>
      <w:r w:rsidRPr="00D166B8">
        <w:t>ni su Zakonom o protuminskom djelovanju („Narodne novine</w:t>
      </w:r>
      <w:r w:rsidR="0097213C" w:rsidRPr="00D166B8">
        <w:t>“</w:t>
      </w:r>
      <w:r w:rsidRPr="00D166B8">
        <w:t>, br. 110/15., 118/18., 98/19., 114/22. i 59/23.)</w:t>
      </w:r>
      <w:r w:rsidR="00892E89">
        <w:t>,</w:t>
      </w:r>
      <w:r w:rsidRPr="00D166B8">
        <w:t xml:space="preserve"> koji ure</w:t>
      </w:r>
      <w:r w:rsidR="00892E89">
        <w:t>đ</w:t>
      </w:r>
      <w:r w:rsidRPr="00D166B8">
        <w:t>uje i razminiranje vojnih lokacija i</w:t>
      </w:r>
      <w:r w:rsidR="006F3FE3" w:rsidRPr="00D166B8">
        <w:t>/ili</w:t>
      </w:r>
      <w:r w:rsidRPr="00D166B8">
        <w:t xml:space="preserve"> gra</w:t>
      </w:r>
      <w:r w:rsidR="0097213C" w:rsidRPr="00D166B8">
        <w:t>đ</w:t>
      </w:r>
      <w:r w:rsidRPr="00D166B8">
        <w:t>evina.</w:t>
      </w:r>
    </w:p>
    <w:p w14:paraId="35B565C2" w14:textId="77777777" w:rsidR="0097213C" w:rsidRPr="00D166B8" w:rsidRDefault="0097213C" w:rsidP="0042701D">
      <w:pPr>
        <w:spacing w:line="240" w:lineRule="auto"/>
        <w:ind w:left="-142" w:right="28"/>
      </w:pPr>
    </w:p>
    <w:p w14:paraId="0B0D97D9" w14:textId="77777777" w:rsidR="00DE2748" w:rsidRPr="00D166B8" w:rsidRDefault="00DE2748" w:rsidP="0042701D">
      <w:pPr>
        <w:spacing w:line="240" w:lineRule="auto"/>
        <w:ind w:left="-142" w:right="28"/>
      </w:pPr>
      <w:r w:rsidRPr="00D166B8">
        <w:t>Osnova za protuminsko djelovanje u Oružanim snagama Republike Hrvatske je Plan razminiranja vojnih lokacija i</w:t>
      </w:r>
      <w:r w:rsidR="006F3FE3" w:rsidRPr="00D166B8">
        <w:t>/ili</w:t>
      </w:r>
      <w:r w:rsidRPr="00D166B8">
        <w:t xml:space="preserve"> gra</w:t>
      </w:r>
      <w:r w:rsidR="0097213C" w:rsidRPr="00D166B8">
        <w:t>đ</w:t>
      </w:r>
      <w:r w:rsidRPr="00D166B8">
        <w:t>evina koji se donosi za jednogodišnje razdoblje.</w:t>
      </w:r>
    </w:p>
    <w:p w14:paraId="2387278A" w14:textId="15601C49" w:rsidR="00433F5C" w:rsidRDefault="00433F5C" w:rsidP="0042701D">
      <w:pPr>
        <w:spacing w:line="240" w:lineRule="auto"/>
        <w:ind w:left="-142" w:right="28"/>
      </w:pPr>
    </w:p>
    <w:p w14:paraId="1304AC75" w14:textId="77777777" w:rsidR="00DE2748" w:rsidRPr="00D166B8" w:rsidRDefault="00DE2748" w:rsidP="0042701D">
      <w:pPr>
        <w:tabs>
          <w:tab w:val="left" w:pos="709"/>
        </w:tabs>
        <w:spacing w:line="240" w:lineRule="auto"/>
        <w:ind w:left="-142"/>
        <w:rPr>
          <w:b/>
        </w:rPr>
      </w:pPr>
      <w:r w:rsidRPr="00D166B8">
        <w:rPr>
          <w:b/>
        </w:rPr>
        <w:t>2.</w:t>
      </w:r>
      <w:r w:rsidR="0097213C" w:rsidRPr="00D166B8">
        <w:rPr>
          <w:b/>
        </w:rPr>
        <w:tab/>
      </w:r>
      <w:r w:rsidRPr="00D166B8">
        <w:rPr>
          <w:b/>
        </w:rPr>
        <w:t xml:space="preserve">RAZMINIRANJE VOJNIH LOKACIJA </w:t>
      </w:r>
      <w:r w:rsidR="006F3FE3" w:rsidRPr="00D166B8">
        <w:rPr>
          <w:b/>
        </w:rPr>
        <w:t>I/ILI</w:t>
      </w:r>
      <w:r w:rsidRPr="00D166B8">
        <w:rPr>
          <w:b/>
        </w:rPr>
        <w:t xml:space="preserve"> GRAÐEVINA</w:t>
      </w:r>
    </w:p>
    <w:p w14:paraId="3558B762" w14:textId="77777777" w:rsidR="0097213C" w:rsidRPr="00D166B8" w:rsidRDefault="0097213C" w:rsidP="0042701D">
      <w:pPr>
        <w:spacing w:line="240" w:lineRule="auto"/>
        <w:ind w:left="-142"/>
        <w:rPr>
          <w:b/>
        </w:rPr>
      </w:pPr>
    </w:p>
    <w:p w14:paraId="277FEAE4" w14:textId="77777777" w:rsidR="00DE2748" w:rsidRPr="00D166B8" w:rsidRDefault="00DE2748" w:rsidP="0042701D">
      <w:pPr>
        <w:spacing w:line="240" w:lineRule="auto"/>
        <w:ind w:left="-142"/>
      </w:pPr>
      <w:r w:rsidRPr="00D166B8">
        <w:t>Razminiranje vojnih lokacija i</w:t>
      </w:r>
      <w:r w:rsidR="0097213C" w:rsidRPr="00D166B8">
        <w:t>/ili</w:t>
      </w:r>
      <w:r w:rsidRPr="00D166B8">
        <w:t xml:space="preserve"> gra</w:t>
      </w:r>
      <w:r w:rsidR="0097213C" w:rsidRPr="00D166B8">
        <w:t>đ</w:t>
      </w:r>
      <w:r w:rsidRPr="00D166B8">
        <w:t>evina provodi Pionirska satnija Inženjerijske pukovnije Hrvatske kopnene vojske koja je opremljena za poslove razminiranja. Pripadnici Pionirske satnije Inženjerijske pukovnije osposobljeni su za izvršavanje zada</w:t>
      </w:r>
      <w:r w:rsidR="0097213C" w:rsidRPr="00D166B8">
        <w:t>ć</w:t>
      </w:r>
      <w:r w:rsidRPr="00D166B8">
        <w:t>a razminiranja.</w:t>
      </w:r>
    </w:p>
    <w:p w14:paraId="716300D2" w14:textId="77777777" w:rsidR="00DF4026" w:rsidRPr="00D166B8" w:rsidRDefault="00DF4026" w:rsidP="0042701D">
      <w:pPr>
        <w:spacing w:line="240" w:lineRule="auto"/>
        <w:ind w:left="-142"/>
      </w:pPr>
    </w:p>
    <w:p w14:paraId="7E2369E0" w14:textId="77777777" w:rsidR="0097213C" w:rsidRPr="00D166B8" w:rsidRDefault="00DE2748" w:rsidP="0042701D">
      <w:pPr>
        <w:spacing w:line="240" w:lineRule="auto"/>
        <w:ind w:left="-142"/>
      </w:pPr>
      <w:r w:rsidRPr="00D166B8">
        <w:t>Postrojba provodi zada</w:t>
      </w:r>
      <w:r w:rsidR="0097213C" w:rsidRPr="00D166B8">
        <w:t>ć</w:t>
      </w:r>
      <w:r w:rsidRPr="00D166B8">
        <w:t>u samostalno i uz logisti</w:t>
      </w:r>
      <w:r w:rsidR="0097213C" w:rsidRPr="00D166B8">
        <w:t>č</w:t>
      </w:r>
      <w:r w:rsidRPr="00D166B8">
        <w:t>ku potporu nadležnih ustrojstvenih jedinica Oružanih snaga Republike Hrvatske na podru</w:t>
      </w:r>
      <w:r w:rsidR="0097213C" w:rsidRPr="00D166B8">
        <w:t>č</w:t>
      </w:r>
      <w:r w:rsidRPr="00D166B8">
        <w:t>ju izvo</w:t>
      </w:r>
      <w:r w:rsidR="0097213C" w:rsidRPr="00D166B8">
        <w:t>đ</w:t>
      </w:r>
      <w:r w:rsidRPr="00D166B8">
        <w:t xml:space="preserve">enja radova. </w:t>
      </w:r>
    </w:p>
    <w:p w14:paraId="2FA1C4AA" w14:textId="77777777" w:rsidR="0097213C" w:rsidRPr="00D166B8" w:rsidRDefault="0097213C" w:rsidP="0042701D">
      <w:pPr>
        <w:spacing w:line="240" w:lineRule="auto"/>
        <w:ind w:left="-142"/>
      </w:pPr>
    </w:p>
    <w:p w14:paraId="6C028532" w14:textId="77777777" w:rsidR="0097213C" w:rsidRPr="00D166B8" w:rsidRDefault="00DE2748" w:rsidP="0042701D">
      <w:pPr>
        <w:spacing w:line="240" w:lineRule="auto"/>
        <w:ind w:left="-142"/>
      </w:pPr>
      <w:r w:rsidRPr="00D166B8">
        <w:t>Stru</w:t>
      </w:r>
      <w:r w:rsidR="0097213C" w:rsidRPr="00D166B8">
        <w:t>č</w:t>
      </w:r>
      <w:r w:rsidRPr="00D166B8">
        <w:t>ni nadzor tijekom provedbe zada</w:t>
      </w:r>
      <w:r w:rsidR="0097213C" w:rsidRPr="00D166B8">
        <w:t>ć</w:t>
      </w:r>
      <w:r w:rsidRPr="00D166B8">
        <w:t>e organizira se i provodi na razini satnije i stru</w:t>
      </w:r>
      <w:r w:rsidR="0097213C" w:rsidRPr="00D166B8">
        <w:t>č</w:t>
      </w:r>
      <w:r w:rsidRPr="00D166B8">
        <w:t>nih djelatnika nadre</w:t>
      </w:r>
      <w:r w:rsidR="0097213C" w:rsidRPr="00D166B8">
        <w:t>đ</w:t>
      </w:r>
      <w:r w:rsidRPr="00D166B8">
        <w:t xml:space="preserve">enoga zapovjedništva. </w:t>
      </w:r>
    </w:p>
    <w:p w14:paraId="37BCCE65" w14:textId="77777777" w:rsidR="0097213C" w:rsidRPr="00D166B8" w:rsidRDefault="0097213C" w:rsidP="0042701D">
      <w:pPr>
        <w:spacing w:line="240" w:lineRule="auto"/>
        <w:ind w:left="-142"/>
      </w:pPr>
    </w:p>
    <w:p w14:paraId="6146BCA6" w14:textId="77777777" w:rsidR="00DE2748" w:rsidRPr="00D166B8" w:rsidRDefault="00DE2748" w:rsidP="0042701D">
      <w:pPr>
        <w:spacing w:line="240" w:lineRule="auto"/>
        <w:ind w:left="-142"/>
      </w:pPr>
      <w:r w:rsidRPr="00D166B8">
        <w:t>Završni nadzor kvalitete odra</w:t>
      </w:r>
      <w:r w:rsidR="0097213C" w:rsidRPr="00D166B8">
        <w:t>đ</w:t>
      </w:r>
      <w:r w:rsidRPr="00D166B8">
        <w:t>enog posla provodi postrojba samostalno, a potvrdu/izjavu o razminiranosti pregledanog zemljišta prema pravilima struke i u skladu sa Zakonom o protuminskom djelovanju i Pravilnikom o obavljanju poslova razminiranja potpisuje zapovjednik postrojbe.</w:t>
      </w:r>
    </w:p>
    <w:p w14:paraId="71C022D7" w14:textId="77777777" w:rsidR="0097213C" w:rsidRPr="00D166B8" w:rsidRDefault="0097213C" w:rsidP="0042701D">
      <w:pPr>
        <w:spacing w:line="240" w:lineRule="auto"/>
        <w:ind w:left="-142"/>
      </w:pPr>
    </w:p>
    <w:p w14:paraId="73057994" w14:textId="77777777" w:rsidR="004A28F2" w:rsidRPr="00D166B8" w:rsidRDefault="00DE2748" w:rsidP="0042701D">
      <w:pPr>
        <w:spacing w:line="240" w:lineRule="auto"/>
        <w:ind w:left="-142"/>
      </w:pPr>
      <w:r w:rsidRPr="00D166B8">
        <w:t xml:space="preserve">S obzirom na to da Oružane snage Republike Hrvatske </w:t>
      </w:r>
      <w:r w:rsidR="00705743" w:rsidRPr="00D166B8">
        <w:t>nemaju</w:t>
      </w:r>
      <w:r w:rsidRPr="00D166B8">
        <w:t xml:space="preserve"> dovoljno kapaciteta za razminiranje svih minski sumnjivih površina u vojnim lokacijama i</w:t>
      </w:r>
      <w:r w:rsidR="0097213C" w:rsidRPr="00D166B8">
        <w:t>/ili</w:t>
      </w:r>
      <w:r w:rsidRPr="00D166B8">
        <w:t xml:space="preserve"> gra</w:t>
      </w:r>
      <w:r w:rsidR="0097213C" w:rsidRPr="00D166B8">
        <w:t>đ</w:t>
      </w:r>
      <w:r w:rsidRPr="00D166B8">
        <w:t>evinama do 2026. godine, dogovoreno je da razminiranje minski sumnjivih površina na vojnom poligonu „Eugen Kvaternik</w:t>
      </w:r>
      <w:r w:rsidR="0097213C" w:rsidRPr="00D166B8">
        <w:t>“</w:t>
      </w:r>
      <w:r w:rsidRPr="00D166B8">
        <w:t xml:space="preserve"> Slunj preuzme Hrvatski centar za razminiranje, o </w:t>
      </w:r>
      <w:r w:rsidR="0097213C" w:rsidRPr="00D166B8">
        <w:t>č</w:t>
      </w:r>
      <w:r w:rsidRPr="00D166B8">
        <w:t xml:space="preserve">emu je Vlada Republike Hrvatske donijela Odluku o davanju prethodnog </w:t>
      </w:r>
      <w:r w:rsidRPr="002A634C">
        <w:t>odobrenja za razminiranje perspektivne vojne lokacije - vojnog poligona „Eugen Kvaternik</w:t>
      </w:r>
      <w:r w:rsidR="0097213C" w:rsidRPr="002A634C">
        <w:t>“</w:t>
      </w:r>
      <w:r w:rsidRPr="002A634C">
        <w:t xml:space="preserve"> </w:t>
      </w:r>
      <w:r w:rsidR="00D71729" w:rsidRPr="002A634C">
        <w:t xml:space="preserve">u </w:t>
      </w:r>
      <w:r w:rsidRPr="002A634C">
        <w:t>Slunj</w:t>
      </w:r>
      <w:r w:rsidR="00D71729" w:rsidRPr="002A634C">
        <w:t>u</w:t>
      </w:r>
      <w:r w:rsidRPr="002A634C">
        <w:t>, KLASA: 022-03/24-041171, URBROJ: 50301-29/09-24-2</w:t>
      </w:r>
      <w:r w:rsidR="00DF4026" w:rsidRPr="002A634C">
        <w:t>,</w:t>
      </w:r>
      <w:r w:rsidRPr="002A634C">
        <w:t xml:space="preserve"> </w:t>
      </w:r>
      <w:r w:rsidR="0097213C" w:rsidRPr="002A634C">
        <w:t>o</w:t>
      </w:r>
      <w:r w:rsidRPr="002A634C">
        <w:t>d 15. travnja 2024.</w:t>
      </w:r>
      <w:r w:rsidR="006F3695" w:rsidRPr="002A634C">
        <w:t>,</w:t>
      </w:r>
      <w:r w:rsidRPr="002A634C">
        <w:t xml:space="preserve"> Hrvatski</w:t>
      </w:r>
      <w:r w:rsidRPr="00D166B8">
        <w:t xml:space="preserve"> centar za razminiranje u 2024. godini iz minski sumnjivog podru</w:t>
      </w:r>
      <w:r w:rsidR="0097213C" w:rsidRPr="00D166B8">
        <w:t>č</w:t>
      </w:r>
      <w:r w:rsidRPr="00D166B8">
        <w:t>ja isklju</w:t>
      </w:r>
      <w:r w:rsidR="0097213C" w:rsidRPr="00D166B8">
        <w:t>č</w:t>
      </w:r>
      <w:r w:rsidRPr="00D166B8">
        <w:t>io je 7.484.379 m</w:t>
      </w:r>
      <w:r w:rsidRPr="00D166B8">
        <w:rPr>
          <w:vertAlign w:val="superscript"/>
        </w:rPr>
        <w:t xml:space="preserve">2 </w:t>
      </w:r>
      <w:r w:rsidRPr="00D166B8">
        <w:t xml:space="preserve">te je za 2025. preostalo 9.064.754 </w:t>
      </w:r>
      <w:r w:rsidR="006F3695">
        <w:t>m</w:t>
      </w:r>
      <w:r w:rsidRPr="00D166B8">
        <w:rPr>
          <w:vertAlign w:val="superscript"/>
        </w:rPr>
        <w:t>2</w:t>
      </w:r>
      <w:r w:rsidR="00EC7708" w:rsidRPr="00D166B8">
        <w:rPr>
          <w:noProof/>
        </w:rPr>
        <w:drawing>
          <wp:inline distT="0" distB="0" distL="0" distR="0" wp14:anchorId="68A8B085" wp14:editId="2A88D11C">
            <wp:extent cx="20320" cy="20320"/>
            <wp:effectExtent l="0" t="0" r="0" b="0"/>
            <wp:docPr id="2"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0097213C" w:rsidRPr="00D166B8">
        <w:t xml:space="preserve"> </w:t>
      </w:r>
    </w:p>
    <w:p w14:paraId="34161D20" w14:textId="77777777" w:rsidR="004A28F2" w:rsidRPr="00D166B8" w:rsidRDefault="004A28F2" w:rsidP="0042701D">
      <w:pPr>
        <w:spacing w:line="240" w:lineRule="auto"/>
        <w:ind w:left="-142"/>
      </w:pPr>
    </w:p>
    <w:p w14:paraId="4F681FED" w14:textId="77777777" w:rsidR="00DE2748" w:rsidRPr="00564410" w:rsidRDefault="00DE2748" w:rsidP="0042701D">
      <w:pPr>
        <w:spacing w:line="240" w:lineRule="auto"/>
        <w:ind w:left="-142"/>
        <w:rPr>
          <w:spacing w:val="-2"/>
        </w:rPr>
      </w:pPr>
      <w:r w:rsidRPr="00564410">
        <w:rPr>
          <w:spacing w:val="-2"/>
        </w:rPr>
        <w:t xml:space="preserve">U 2025. godini nastavili su se radovi razminiranja, te je </w:t>
      </w:r>
      <w:r w:rsidR="0097213C" w:rsidRPr="00564410">
        <w:rPr>
          <w:spacing w:val="-2"/>
        </w:rPr>
        <w:t>o</w:t>
      </w:r>
      <w:r w:rsidRPr="00564410">
        <w:rPr>
          <w:spacing w:val="-2"/>
        </w:rPr>
        <w:t>d površine 9.064.754 m</w:t>
      </w:r>
      <w:r w:rsidRPr="00564410">
        <w:rPr>
          <w:spacing w:val="-2"/>
          <w:vertAlign w:val="superscript"/>
        </w:rPr>
        <w:t xml:space="preserve">2 </w:t>
      </w:r>
      <w:r w:rsidRPr="00564410">
        <w:rPr>
          <w:spacing w:val="-2"/>
        </w:rPr>
        <w:t>razminirano 4.116.096 m</w:t>
      </w:r>
      <w:r w:rsidRPr="00564410">
        <w:rPr>
          <w:spacing w:val="-2"/>
          <w:vertAlign w:val="superscript"/>
        </w:rPr>
        <w:t>2</w:t>
      </w:r>
      <w:r w:rsidRPr="00564410">
        <w:rPr>
          <w:spacing w:val="-2"/>
        </w:rPr>
        <w:t xml:space="preserve">, a preostalu minski sumnjivu površinu </w:t>
      </w:r>
      <w:r w:rsidR="0097213C" w:rsidRPr="00564410">
        <w:rPr>
          <w:spacing w:val="-2"/>
        </w:rPr>
        <w:t>ć</w:t>
      </w:r>
      <w:r w:rsidRPr="00564410">
        <w:rPr>
          <w:spacing w:val="-2"/>
        </w:rPr>
        <w:t>e Hrvatski centar za razminiranje isklju</w:t>
      </w:r>
      <w:r w:rsidR="0097213C" w:rsidRPr="00564410">
        <w:rPr>
          <w:spacing w:val="-2"/>
        </w:rPr>
        <w:t>č</w:t>
      </w:r>
      <w:r w:rsidRPr="00564410">
        <w:rPr>
          <w:spacing w:val="-2"/>
        </w:rPr>
        <w:t xml:space="preserve">iti, </w:t>
      </w:r>
      <w:r w:rsidR="0097213C" w:rsidRPr="00564410">
        <w:rPr>
          <w:spacing w:val="-2"/>
        </w:rPr>
        <w:t>čime ć</w:t>
      </w:r>
      <w:r w:rsidRPr="00564410">
        <w:rPr>
          <w:spacing w:val="-2"/>
        </w:rPr>
        <w:t>e u cijelosti biti završeno razminiranje vojnog poligona „Eugen Kvaternik</w:t>
      </w:r>
      <w:r w:rsidR="0097213C" w:rsidRPr="00564410">
        <w:rPr>
          <w:spacing w:val="-2"/>
        </w:rPr>
        <w:t>“</w:t>
      </w:r>
      <w:r w:rsidRPr="00564410">
        <w:rPr>
          <w:spacing w:val="-2"/>
        </w:rPr>
        <w:t xml:space="preserve"> Slunj.</w:t>
      </w:r>
    </w:p>
    <w:p w14:paraId="689DB5FD" w14:textId="77777777" w:rsidR="0097213C" w:rsidRPr="00D166B8" w:rsidRDefault="0097213C" w:rsidP="0042701D">
      <w:pPr>
        <w:spacing w:line="240" w:lineRule="auto"/>
        <w:ind w:left="-142"/>
      </w:pPr>
    </w:p>
    <w:p w14:paraId="055BA486" w14:textId="77777777" w:rsidR="00DE2748" w:rsidRPr="00D166B8" w:rsidRDefault="00DE2748" w:rsidP="0042701D">
      <w:pPr>
        <w:spacing w:line="240" w:lineRule="auto"/>
        <w:ind w:left="-142"/>
      </w:pPr>
      <w:r w:rsidRPr="00D166B8">
        <w:t xml:space="preserve">Nakon radova razminiranja koje je proveo Hrvatski centar za razminiranje u 2025., na vojnom poligonu </w:t>
      </w:r>
      <w:r w:rsidR="00433F5C" w:rsidRPr="00D166B8">
        <w:t>na</w:t>
      </w:r>
      <w:r w:rsidRPr="00D166B8">
        <w:t xml:space="preserve"> podru</w:t>
      </w:r>
      <w:r w:rsidR="0097213C" w:rsidRPr="00D166B8">
        <w:t>č</w:t>
      </w:r>
      <w:r w:rsidRPr="00D166B8">
        <w:t>ju Bršljenovca, radi pronalaska odre</w:t>
      </w:r>
      <w:r w:rsidR="0097213C" w:rsidRPr="00D166B8">
        <w:t>đ</w:t>
      </w:r>
      <w:r w:rsidRPr="00D166B8">
        <w:t xml:space="preserve">enih indikatora, preostala je jedna površina </w:t>
      </w:r>
      <w:r w:rsidR="004A28F2" w:rsidRPr="00D166B8">
        <w:t>o</w:t>
      </w:r>
      <w:r w:rsidRPr="00D166B8">
        <w:t>d 15</w:t>
      </w:r>
      <w:r w:rsidR="00433F5C" w:rsidRPr="00D166B8">
        <w:t>.</w:t>
      </w:r>
      <w:r w:rsidRPr="00D166B8">
        <w:t>000 m</w:t>
      </w:r>
      <w:r w:rsidRPr="00D166B8">
        <w:rPr>
          <w:vertAlign w:val="superscript"/>
        </w:rPr>
        <w:t xml:space="preserve">2 </w:t>
      </w:r>
      <w:r w:rsidRPr="00D166B8">
        <w:t>koju je potrebno dodatno preg</w:t>
      </w:r>
      <w:r w:rsidR="0097213C" w:rsidRPr="00D166B8">
        <w:t>l</w:t>
      </w:r>
      <w:r w:rsidRPr="00D166B8">
        <w:t>edati u 2026. godini</w:t>
      </w:r>
      <w:r w:rsidR="0097213C" w:rsidRPr="00D166B8">
        <w:t>.</w:t>
      </w:r>
      <w:r w:rsidRPr="00D166B8">
        <w:t xml:space="preserve"> Dogovoreno je da </w:t>
      </w:r>
      <w:r w:rsidR="0097213C" w:rsidRPr="00D166B8">
        <w:t>ć</w:t>
      </w:r>
      <w:r w:rsidRPr="00D166B8">
        <w:t>e to odraditi inženjerijska postrojba Oružanih snaga Republike Hrvatske u prvom tromjese</w:t>
      </w:r>
      <w:r w:rsidR="0097213C" w:rsidRPr="00D166B8">
        <w:t>č</w:t>
      </w:r>
      <w:r w:rsidRPr="00D166B8">
        <w:t>ju 2026.</w:t>
      </w:r>
    </w:p>
    <w:p w14:paraId="27C35497" w14:textId="77777777" w:rsidR="00433F5C" w:rsidRPr="00D166B8" w:rsidRDefault="00433F5C" w:rsidP="001A53C7">
      <w:pPr>
        <w:spacing w:line="240" w:lineRule="auto"/>
        <w:ind w:left="35" w:right="28"/>
      </w:pPr>
    </w:p>
    <w:p w14:paraId="32277ED9" w14:textId="77777777" w:rsidR="00E072E3" w:rsidRDefault="00E072E3" w:rsidP="006F3695">
      <w:pPr>
        <w:spacing w:line="240" w:lineRule="auto"/>
        <w:ind w:left="709" w:hanging="709"/>
        <w:rPr>
          <w:b/>
        </w:rPr>
      </w:pPr>
    </w:p>
    <w:p w14:paraId="0B90E945" w14:textId="458C4B09" w:rsidR="00DE2748" w:rsidRPr="00D166B8" w:rsidRDefault="00DE2748" w:rsidP="006F3695">
      <w:pPr>
        <w:spacing w:line="240" w:lineRule="auto"/>
        <w:ind w:left="709" w:hanging="709"/>
        <w:rPr>
          <w:b/>
        </w:rPr>
      </w:pPr>
      <w:r w:rsidRPr="00D166B8">
        <w:rPr>
          <w:b/>
        </w:rPr>
        <w:t>3</w:t>
      </w:r>
      <w:r w:rsidR="0097213C" w:rsidRPr="00D166B8">
        <w:rPr>
          <w:b/>
        </w:rPr>
        <w:t>.</w:t>
      </w:r>
      <w:r w:rsidR="0097213C" w:rsidRPr="00D166B8">
        <w:rPr>
          <w:b/>
        </w:rPr>
        <w:tab/>
      </w:r>
      <w:r w:rsidRPr="00D166B8">
        <w:rPr>
          <w:b/>
        </w:rPr>
        <w:t>CILJEVI PROTUMINSKOG DJELOVANJA U ORUŽANIM SNAGAMA REPUBLIKE HRVATSKE</w:t>
      </w:r>
    </w:p>
    <w:p w14:paraId="5151A953" w14:textId="77777777" w:rsidR="004666B2" w:rsidRPr="00D166B8" w:rsidRDefault="004666B2" w:rsidP="001A53C7">
      <w:pPr>
        <w:spacing w:line="240" w:lineRule="auto"/>
        <w:rPr>
          <w:b/>
        </w:rPr>
      </w:pPr>
    </w:p>
    <w:p w14:paraId="44D9A3E7" w14:textId="77777777" w:rsidR="00DE2748" w:rsidRPr="00D166B8" w:rsidRDefault="00DE2748" w:rsidP="00564410">
      <w:pPr>
        <w:spacing w:line="240" w:lineRule="auto"/>
        <w:ind w:right="28"/>
      </w:pPr>
      <w:r w:rsidRPr="00D166B8">
        <w:t xml:space="preserve">Ciljevi uspješnog funkcioniranja organizacije protuminskog djelovanja u Oružanim snagama Republike </w:t>
      </w:r>
      <w:r w:rsidR="004666B2" w:rsidRPr="00D166B8">
        <w:t>H</w:t>
      </w:r>
      <w:r w:rsidRPr="00D166B8">
        <w:t>rvatske su:</w:t>
      </w:r>
    </w:p>
    <w:p w14:paraId="6C71AB15" w14:textId="77777777" w:rsidR="004666B2" w:rsidRPr="00D166B8" w:rsidRDefault="004666B2" w:rsidP="00564410">
      <w:pPr>
        <w:spacing w:line="240" w:lineRule="auto"/>
        <w:ind w:right="28"/>
      </w:pPr>
    </w:p>
    <w:p w14:paraId="5FBD407C" w14:textId="662859D0" w:rsidR="004666B2" w:rsidRPr="00D166B8" w:rsidRDefault="004666B2" w:rsidP="0042701D">
      <w:pPr>
        <w:tabs>
          <w:tab w:val="left" w:pos="709"/>
        </w:tabs>
        <w:spacing w:line="240" w:lineRule="auto"/>
      </w:pPr>
      <w:r w:rsidRPr="00D166B8">
        <w:t>-</w:t>
      </w:r>
      <w:r w:rsidR="00564410">
        <w:tab/>
      </w:r>
      <w:r w:rsidR="00DE2748" w:rsidRPr="00D166B8">
        <w:t>razminiranje u perspektivnim vojnim lokacijama i</w:t>
      </w:r>
      <w:r w:rsidR="006F3FE3" w:rsidRPr="00D166B8">
        <w:t>/ili</w:t>
      </w:r>
      <w:r w:rsidR="00DE2748" w:rsidRPr="00D166B8">
        <w:t xml:space="preserve"> gra</w:t>
      </w:r>
      <w:r w:rsidRPr="00D166B8">
        <w:t>đ</w:t>
      </w:r>
      <w:r w:rsidR="00DE2748" w:rsidRPr="00D166B8">
        <w:t>evinama</w:t>
      </w:r>
    </w:p>
    <w:p w14:paraId="7A5FB8A0" w14:textId="350A6F02" w:rsidR="004666B2" w:rsidRPr="00D166B8" w:rsidRDefault="004666B2" w:rsidP="0042701D">
      <w:pPr>
        <w:spacing w:line="240" w:lineRule="auto"/>
        <w:ind w:left="709" w:hanging="709"/>
      </w:pPr>
      <w:r w:rsidRPr="00D166B8">
        <w:t>-</w:t>
      </w:r>
      <w:r w:rsidR="00564410">
        <w:tab/>
      </w:r>
      <w:r w:rsidR="00DE2748" w:rsidRPr="00D166B8">
        <w:t>u potpunosti ukloniti minsku opasnost u vojnim lokacijama i</w:t>
      </w:r>
      <w:r w:rsidR="006F3FE3" w:rsidRPr="00D166B8">
        <w:t>/ili</w:t>
      </w:r>
      <w:r w:rsidR="00DE2748" w:rsidRPr="00D166B8">
        <w:t xml:space="preserve"> gra</w:t>
      </w:r>
      <w:r w:rsidRPr="00D166B8">
        <w:t>đ</w:t>
      </w:r>
      <w:r w:rsidR="00DE2748" w:rsidRPr="00D166B8">
        <w:t>evinama u urbanim cjelinama, u objektima za smještaj pripadnika Oružanih snaga Republike Hrvatske, skladištima ubojnih sredstava, podru</w:t>
      </w:r>
      <w:r w:rsidRPr="00D166B8">
        <w:t>č</w:t>
      </w:r>
      <w:r w:rsidR="00DE2748" w:rsidRPr="00D166B8">
        <w:t>jima izvo</w:t>
      </w:r>
      <w:r w:rsidRPr="00D166B8">
        <w:t>đ</w:t>
      </w:r>
      <w:r w:rsidR="00DE2748" w:rsidRPr="00D166B8">
        <w:t>enja vježbi na vojnim poligonima posebno, na podru</w:t>
      </w:r>
      <w:r w:rsidRPr="00D166B8">
        <w:t>č</w:t>
      </w:r>
      <w:r w:rsidR="00DE2748" w:rsidRPr="00D166B8">
        <w:t>jima života i rada pripadnika te za potrebe obnove i izgradnje infrastrukture</w:t>
      </w:r>
    </w:p>
    <w:p w14:paraId="453ABB53" w14:textId="6C516F86" w:rsidR="004666B2" w:rsidRPr="00D166B8" w:rsidRDefault="004666B2" w:rsidP="0042701D">
      <w:pPr>
        <w:spacing w:line="240" w:lineRule="auto"/>
        <w:ind w:left="709" w:hanging="709"/>
      </w:pPr>
      <w:r w:rsidRPr="00D166B8">
        <w:t>-</w:t>
      </w:r>
      <w:r w:rsidR="00564410">
        <w:tab/>
      </w:r>
      <w:r w:rsidR="00DE2748" w:rsidRPr="00D166B8">
        <w:t>obilježenos</w:t>
      </w:r>
      <w:r w:rsidRPr="00D166B8">
        <w:t>t</w:t>
      </w:r>
      <w:r w:rsidR="00DE2748" w:rsidRPr="00D166B8">
        <w:t xml:space="preserve"> miniranih i minski sumnjivih podru</w:t>
      </w:r>
      <w:r w:rsidRPr="00D166B8">
        <w:t>č</w:t>
      </w:r>
      <w:r w:rsidR="00DE2748" w:rsidRPr="00D166B8">
        <w:t>ja održavati u svim fazama rada u planskom razdoblju kao upozorenje i jasnu granicu izme</w:t>
      </w:r>
      <w:r w:rsidRPr="00D166B8">
        <w:t>đ</w:t>
      </w:r>
      <w:r w:rsidR="00DE2748" w:rsidRPr="00D166B8">
        <w:t>u sigurne i minirane ili sumnjive površine</w:t>
      </w:r>
    </w:p>
    <w:p w14:paraId="793139E3" w14:textId="0B3052AE" w:rsidR="004666B2" w:rsidRPr="00D166B8" w:rsidRDefault="004666B2" w:rsidP="0042701D">
      <w:pPr>
        <w:spacing w:line="240" w:lineRule="auto"/>
        <w:ind w:left="709" w:hanging="709"/>
      </w:pPr>
      <w:r w:rsidRPr="00D166B8">
        <w:t>-</w:t>
      </w:r>
      <w:r w:rsidR="00564410">
        <w:tab/>
      </w:r>
      <w:r w:rsidR="00DE2748" w:rsidRPr="00D166B8">
        <w:t>programima edukacije obuhvatiti pripadnike Oružanih snaga Republike Hrvatske koji žive i/ili rade u okruženju vojne lokacije s miniranim i/ili minski sumnjivim podru</w:t>
      </w:r>
      <w:r w:rsidRPr="00D166B8">
        <w:t>č</w:t>
      </w:r>
      <w:r w:rsidR="00DE2748" w:rsidRPr="00D166B8">
        <w:t>jima</w:t>
      </w:r>
    </w:p>
    <w:p w14:paraId="7086B864" w14:textId="57E09F5F" w:rsidR="00DE2748" w:rsidRPr="00D166B8" w:rsidRDefault="004666B2" w:rsidP="0042701D">
      <w:pPr>
        <w:spacing w:line="240" w:lineRule="auto"/>
        <w:ind w:left="709" w:hanging="709"/>
      </w:pPr>
      <w:r w:rsidRPr="00D166B8">
        <w:t>-</w:t>
      </w:r>
      <w:r w:rsidR="00564410">
        <w:tab/>
      </w:r>
      <w:r w:rsidR="00DE2748" w:rsidRPr="00D166B8">
        <w:t>pozicionirati i promovirati vojni sustav protuminskog djelovanja kao samostalni podsustav nacionalnog sustava protuminskog djelovanja u Republici Hrvatskoj.</w:t>
      </w:r>
    </w:p>
    <w:p w14:paraId="7B5CC923" w14:textId="77777777" w:rsidR="00433F5C" w:rsidRPr="00D166B8" w:rsidRDefault="00433F5C" w:rsidP="00564410">
      <w:pPr>
        <w:spacing w:line="240" w:lineRule="auto"/>
      </w:pPr>
    </w:p>
    <w:p w14:paraId="319D4AD0" w14:textId="77777777" w:rsidR="00DE2748" w:rsidRPr="00D166B8" w:rsidRDefault="00DE2748" w:rsidP="00564410">
      <w:pPr>
        <w:tabs>
          <w:tab w:val="left" w:pos="709"/>
        </w:tabs>
        <w:spacing w:line="240" w:lineRule="auto"/>
        <w:rPr>
          <w:b/>
        </w:rPr>
      </w:pPr>
      <w:r w:rsidRPr="00D166B8">
        <w:rPr>
          <w:b/>
        </w:rPr>
        <w:t>4.</w:t>
      </w:r>
      <w:r w:rsidR="004666B2" w:rsidRPr="00D166B8">
        <w:rPr>
          <w:b/>
        </w:rPr>
        <w:tab/>
      </w:r>
      <w:r w:rsidRPr="00D166B8">
        <w:rPr>
          <w:b/>
        </w:rPr>
        <w:t xml:space="preserve">STRUKTURA VOJNIH LOKACIJA </w:t>
      </w:r>
      <w:r w:rsidR="006F3FE3" w:rsidRPr="00D166B8">
        <w:rPr>
          <w:b/>
        </w:rPr>
        <w:t>I/ILI</w:t>
      </w:r>
      <w:r w:rsidRPr="00D166B8">
        <w:rPr>
          <w:b/>
        </w:rPr>
        <w:t xml:space="preserve"> GRAÐEVINA</w:t>
      </w:r>
    </w:p>
    <w:p w14:paraId="7A4BD437" w14:textId="77777777" w:rsidR="004666B2" w:rsidRPr="00D166B8" w:rsidRDefault="004666B2" w:rsidP="00564410">
      <w:pPr>
        <w:spacing w:line="240" w:lineRule="auto"/>
        <w:rPr>
          <w:b/>
        </w:rPr>
      </w:pPr>
    </w:p>
    <w:p w14:paraId="4A194D32" w14:textId="77777777" w:rsidR="00DE2748" w:rsidRPr="00D166B8" w:rsidRDefault="00DE2748" w:rsidP="00564410">
      <w:pPr>
        <w:spacing w:line="240" w:lineRule="auto"/>
        <w:ind w:right="28"/>
      </w:pPr>
      <w:r w:rsidRPr="00D166B8">
        <w:t>U prvom tromjese</w:t>
      </w:r>
      <w:r w:rsidR="004666B2" w:rsidRPr="00D166B8">
        <w:t>č</w:t>
      </w:r>
      <w:r w:rsidRPr="00D166B8">
        <w:t>ju 2026. godine planiran</w:t>
      </w:r>
      <w:r w:rsidR="004666B2" w:rsidRPr="00D166B8">
        <w:t xml:space="preserve"> </w:t>
      </w:r>
      <w:r w:rsidRPr="00D166B8">
        <w:t>je završetak zada</w:t>
      </w:r>
      <w:r w:rsidR="004666B2" w:rsidRPr="00D166B8">
        <w:t>ć</w:t>
      </w:r>
      <w:r w:rsidRPr="00D166B8">
        <w:t>e razminiranja uklju</w:t>
      </w:r>
      <w:r w:rsidR="004666B2" w:rsidRPr="00D166B8">
        <w:t>č</w:t>
      </w:r>
      <w:r w:rsidRPr="00D166B8">
        <w:t>uju</w:t>
      </w:r>
      <w:r w:rsidR="004666B2" w:rsidRPr="00D166B8">
        <w:t>ć</w:t>
      </w:r>
      <w:r w:rsidRPr="00D166B8">
        <w:t>i i zada</w:t>
      </w:r>
      <w:r w:rsidR="004666B2" w:rsidRPr="00D166B8">
        <w:t>ć</w:t>
      </w:r>
      <w:r w:rsidRPr="00D166B8">
        <w:t>e tehni</w:t>
      </w:r>
      <w:r w:rsidR="004666B2" w:rsidRPr="00D166B8">
        <w:t>č</w:t>
      </w:r>
      <w:r w:rsidRPr="00D166B8">
        <w:t>kog izvida segmenta F na vojnom poligonu „33. Inženjerijske brigade H</w:t>
      </w:r>
      <w:r w:rsidR="00433F5C" w:rsidRPr="00D166B8">
        <w:t>rvatske vojske</w:t>
      </w:r>
      <w:r w:rsidR="004666B2" w:rsidRPr="00D166B8">
        <w:t>“</w:t>
      </w:r>
      <w:r w:rsidRPr="00D166B8">
        <w:t xml:space="preserve"> u Karlovcu, zatim na vojnom poligonu „Eugen Kvaternik</w:t>
      </w:r>
      <w:r w:rsidR="004666B2" w:rsidRPr="00D166B8">
        <w:t>“</w:t>
      </w:r>
      <w:r w:rsidRPr="00D166B8">
        <w:t xml:space="preserve"> u Slunju dodatnim pregledom 15</w:t>
      </w:r>
      <w:r w:rsidR="00433F5C" w:rsidRPr="00D166B8">
        <w:t>.</w:t>
      </w:r>
      <w:r w:rsidRPr="00D166B8">
        <w:t>000 m</w:t>
      </w:r>
      <w:r w:rsidRPr="00D166B8">
        <w:rPr>
          <w:vertAlign w:val="superscript"/>
        </w:rPr>
        <w:t xml:space="preserve">2 </w:t>
      </w:r>
      <w:r w:rsidRPr="00D166B8">
        <w:t>podru</w:t>
      </w:r>
      <w:r w:rsidR="004666B2" w:rsidRPr="00D166B8">
        <w:t>č</w:t>
      </w:r>
      <w:r w:rsidRPr="00D166B8">
        <w:t>ja Bršljenovca te na radarskoj postaji „Kozjak</w:t>
      </w:r>
      <w:r w:rsidR="004666B2" w:rsidRPr="00D166B8">
        <w:t>“</w:t>
      </w:r>
      <w:r w:rsidRPr="00D166B8">
        <w:t xml:space="preserve"> u Splitu pregled, </w:t>
      </w:r>
      <w:r w:rsidR="004666B2" w:rsidRPr="00D166B8">
        <w:t>č</w:t>
      </w:r>
      <w:r w:rsidRPr="00D166B8">
        <w:t>iš</w:t>
      </w:r>
      <w:r w:rsidR="004666B2" w:rsidRPr="00D166B8">
        <w:t>ć</w:t>
      </w:r>
      <w:r w:rsidRPr="00D166B8">
        <w:t xml:space="preserve">enje i uništavanje zaostalih minskoeksplozivnih sredstava na površini </w:t>
      </w:r>
      <w:r w:rsidR="004666B2" w:rsidRPr="00D166B8">
        <w:t>o</w:t>
      </w:r>
      <w:r w:rsidRPr="00D166B8">
        <w:t>d 10</w:t>
      </w:r>
      <w:r w:rsidR="00433F5C" w:rsidRPr="00D166B8">
        <w:t>.</w:t>
      </w:r>
      <w:r w:rsidRPr="00D166B8">
        <w:t>000 m</w:t>
      </w:r>
      <w:r w:rsidRPr="00D166B8">
        <w:rPr>
          <w:vertAlign w:val="superscript"/>
        </w:rPr>
        <w:t>2</w:t>
      </w:r>
      <w:r w:rsidRPr="00D166B8">
        <w:t>. Time bi razminiranje minski sumnjivih površina na svim perspektivnim vojnim lokacijama i</w:t>
      </w:r>
      <w:r w:rsidR="006F3FE3" w:rsidRPr="00D166B8">
        <w:t>/ili</w:t>
      </w:r>
      <w:r w:rsidRPr="00D166B8">
        <w:t xml:space="preserve"> gra</w:t>
      </w:r>
      <w:r w:rsidR="004666B2" w:rsidRPr="00D166B8">
        <w:t>đ</w:t>
      </w:r>
      <w:r w:rsidRPr="00D166B8">
        <w:t>evinama bilo završeno</w:t>
      </w:r>
      <w:r w:rsidR="004666B2" w:rsidRPr="00D166B8">
        <w:t>.</w:t>
      </w:r>
    </w:p>
    <w:p w14:paraId="47B363E3" w14:textId="77777777" w:rsidR="00433F5C" w:rsidRPr="00D166B8" w:rsidRDefault="00433F5C" w:rsidP="00564410">
      <w:pPr>
        <w:spacing w:line="240" w:lineRule="auto"/>
        <w:ind w:right="28"/>
      </w:pPr>
    </w:p>
    <w:p w14:paraId="480BC472" w14:textId="77777777" w:rsidR="00DE2748" w:rsidRPr="00D166B8" w:rsidRDefault="00DE2748" w:rsidP="00564410">
      <w:pPr>
        <w:spacing w:line="240" w:lineRule="auto"/>
        <w:rPr>
          <w:b/>
        </w:rPr>
      </w:pPr>
      <w:r w:rsidRPr="00D166B8">
        <w:rPr>
          <w:b/>
        </w:rPr>
        <w:t>5.</w:t>
      </w:r>
      <w:r w:rsidR="004666B2" w:rsidRPr="00D166B8">
        <w:rPr>
          <w:b/>
        </w:rPr>
        <w:tab/>
      </w:r>
      <w:r w:rsidRPr="00D166B8">
        <w:rPr>
          <w:b/>
        </w:rPr>
        <w:t>FINANCIJSKA SREDSTVA ZA PROVEDBU PLANA</w:t>
      </w:r>
    </w:p>
    <w:p w14:paraId="067C201C" w14:textId="77777777" w:rsidR="004666B2" w:rsidRPr="00D166B8" w:rsidRDefault="004666B2" w:rsidP="00564410">
      <w:pPr>
        <w:spacing w:line="240" w:lineRule="auto"/>
        <w:rPr>
          <w:b/>
        </w:rPr>
      </w:pPr>
    </w:p>
    <w:p w14:paraId="62E88BB7" w14:textId="77777777" w:rsidR="00DE2748" w:rsidRPr="00D166B8" w:rsidRDefault="00DE2748" w:rsidP="00564410">
      <w:pPr>
        <w:spacing w:line="240" w:lineRule="auto"/>
        <w:ind w:right="28"/>
      </w:pPr>
      <w:r w:rsidRPr="00D166B8">
        <w:t>Financijska sredstva za provedbu Plana razminiranja vojnih lokacija i</w:t>
      </w:r>
      <w:r w:rsidR="004666B2" w:rsidRPr="00D166B8">
        <w:t>/ili</w:t>
      </w:r>
      <w:r w:rsidRPr="00D166B8">
        <w:t xml:space="preserve"> gra</w:t>
      </w:r>
      <w:r w:rsidR="004666B2" w:rsidRPr="00D166B8">
        <w:t>đ</w:t>
      </w:r>
      <w:r w:rsidRPr="00D166B8">
        <w:t xml:space="preserve">evina za 2026. osigurana su u </w:t>
      </w:r>
      <w:r w:rsidR="00065C77" w:rsidRPr="00D166B8">
        <w:t>d</w:t>
      </w:r>
      <w:r w:rsidRPr="00D166B8">
        <w:t>ržavnom prora</w:t>
      </w:r>
      <w:r w:rsidR="004666B2" w:rsidRPr="00D166B8">
        <w:t>č</w:t>
      </w:r>
      <w:r w:rsidRPr="00D166B8">
        <w:t>unu Republike Hrvatske za 2026. godinu</w:t>
      </w:r>
      <w:r w:rsidR="004666B2" w:rsidRPr="00D166B8">
        <w:t xml:space="preserve"> </w:t>
      </w:r>
      <w:r w:rsidR="00065C77" w:rsidRPr="00D166B8">
        <w:t>na razdjel</w:t>
      </w:r>
      <w:r w:rsidRPr="00D166B8">
        <w:t>u Ministarstva obrane</w:t>
      </w:r>
      <w:r w:rsidR="00564410">
        <w:t>,</w:t>
      </w:r>
      <w:r w:rsidR="00065C77" w:rsidRPr="00D166B8">
        <w:t xml:space="preserve"> u iznosu od 150.000,00 eura.</w:t>
      </w:r>
    </w:p>
    <w:p w14:paraId="0E44D881" w14:textId="77777777" w:rsidR="00C30344" w:rsidRDefault="00C30344" w:rsidP="001A53C7">
      <w:pPr>
        <w:spacing w:line="240" w:lineRule="auto"/>
      </w:pPr>
    </w:p>
    <w:p w14:paraId="02328B5C" w14:textId="77777777" w:rsidR="00564410" w:rsidRPr="00D166B8" w:rsidRDefault="00564410" w:rsidP="001A53C7">
      <w:pPr>
        <w:spacing w:line="240" w:lineRule="auto"/>
      </w:pPr>
    </w:p>
    <w:p w14:paraId="6818E844" w14:textId="77777777" w:rsidR="00C7288B" w:rsidRPr="00564410" w:rsidRDefault="00C7288B" w:rsidP="001A53C7">
      <w:pPr>
        <w:spacing w:line="240" w:lineRule="auto"/>
      </w:pPr>
      <w:r w:rsidRPr="00564410">
        <w:t>KLASA:</w:t>
      </w:r>
    </w:p>
    <w:p w14:paraId="1E935A1D" w14:textId="77777777" w:rsidR="00C7288B" w:rsidRPr="00564410" w:rsidRDefault="00C7288B" w:rsidP="001A53C7">
      <w:pPr>
        <w:spacing w:line="240" w:lineRule="auto"/>
      </w:pPr>
      <w:r w:rsidRPr="00564410">
        <w:t>URBROJ:</w:t>
      </w:r>
    </w:p>
    <w:p w14:paraId="15F4DA1D" w14:textId="77777777" w:rsidR="00564410" w:rsidRDefault="00564410" w:rsidP="001A53C7">
      <w:pPr>
        <w:spacing w:line="240" w:lineRule="auto"/>
      </w:pPr>
    </w:p>
    <w:p w14:paraId="6D603A43" w14:textId="77777777" w:rsidR="00C7288B" w:rsidRPr="00D166B8" w:rsidRDefault="00C7288B" w:rsidP="001A53C7">
      <w:pPr>
        <w:spacing w:line="240" w:lineRule="auto"/>
      </w:pPr>
      <w:r w:rsidRPr="00D166B8">
        <w:t>Zagreb,</w:t>
      </w:r>
      <w:r w:rsidR="00CB7CF3" w:rsidRPr="00D166B8">
        <w:t xml:space="preserve"> </w:t>
      </w:r>
      <w:r w:rsidR="00E5513D" w:rsidRPr="00D166B8">
        <w:t>___________</w:t>
      </w:r>
      <w:r w:rsidRPr="00D166B8">
        <w:t>202</w:t>
      </w:r>
      <w:r w:rsidR="00EE4B40" w:rsidRPr="00D166B8">
        <w:t>6</w:t>
      </w:r>
      <w:r w:rsidRPr="00D166B8">
        <w:t>.</w:t>
      </w:r>
    </w:p>
    <w:p w14:paraId="1FA8113B" w14:textId="77777777" w:rsidR="00C7288B" w:rsidRPr="00D166B8" w:rsidRDefault="00C7288B" w:rsidP="001A53C7">
      <w:pPr>
        <w:spacing w:line="240" w:lineRule="auto"/>
      </w:pPr>
    </w:p>
    <w:p w14:paraId="0DA9C5B3" w14:textId="77777777" w:rsidR="00C7288B" w:rsidRPr="00D166B8" w:rsidRDefault="00C7288B" w:rsidP="001A53C7">
      <w:pPr>
        <w:spacing w:line="240" w:lineRule="auto"/>
      </w:pPr>
    </w:p>
    <w:p w14:paraId="45121F85" w14:textId="77777777" w:rsidR="00C7288B" w:rsidRPr="00D166B8" w:rsidRDefault="00C7288B" w:rsidP="001A53C7">
      <w:pPr>
        <w:spacing w:line="240" w:lineRule="auto"/>
      </w:pPr>
      <w:r w:rsidRPr="00D166B8">
        <w:tab/>
      </w:r>
      <w:r w:rsidRPr="00D166B8">
        <w:tab/>
      </w:r>
      <w:r w:rsidRPr="00D166B8">
        <w:tab/>
      </w:r>
      <w:r w:rsidRPr="00D166B8">
        <w:tab/>
      </w:r>
      <w:r w:rsidRPr="00D166B8">
        <w:tab/>
      </w:r>
      <w:r w:rsidRPr="00D166B8">
        <w:tab/>
      </w:r>
      <w:r w:rsidRPr="00D166B8">
        <w:tab/>
      </w:r>
      <w:r w:rsidRPr="00D166B8">
        <w:tab/>
      </w:r>
      <w:r w:rsidR="00CB7CF3" w:rsidRPr="00D166B8">
        <w:t xml:space="preserve"> </w:t>
      </w:r>
      <w:r w:rsidRPr="00D166B8">
        <w:t xml:space="preserve"> </w:t>
      </w:r>
      <w:r w:rsidR="000706FB" w:rsidRPr="00D166B8">
        <w:t xml:space="preserve"> </w:t>
      </w:r>
      <w:r w:rsidRPr="00D166B8">
        <w:t xml:space="preserve">   PREDSJEDNIK</w:t>
      </w:r>
    </w:p>
    <w:p w14:paraId="635013B2" w14:textId="77777777" w:rsidR="00C7288B" w:rsidRPr="00D166B8" w:rsidRDefault="00C7288B" w:rsidP="001A53C7">
      <w:pPr>
        <w:spacing w:line="240" w:lineRule="auto"/>
      </w:pPr>
    </w:p>
    <w:p w14:paraId="12108077" w14:textId="77777777" w:rsidR="00C7288B" w:rsidRPr="00D166B8" w:rsidRDefault="00C7288B" w:rsidP="00564410">
      <w:pPr>
        <w:spacing w:line="240" w:lineRule="auto"/>
      </w:pPr>
      <w:r w:rsidRPr="00D166B8">
        <w:tab/>
      </w:r>
      <w:r w:rsidRPr="00D166B8">
        <w:tab/>
      </w:r>
      <w:r w:rsidRPr="00D166B8">
        <w:tab/>
      </w:r>
      <w:r w:rsidRPr="00D166B8">
        <w:tab/>
      </w:r>
      <w:r w:rsidRPr="00D166B8">
        <w:tab/>
      </w:r>
      <w:r w:rsidRPr="00D166B8">
        <w:tab/>
      </w:r>
      <w:r w:rsidRPr="00D166B8">
        <w:tab/>
      </w:r>
      <w:r w:rsidRPr="00D166B8">
        <w:tab/>
        <w:t>mr. sc. Andrej Plenković</w:t>
      </w:r>
    </w:p>
    <w:sectPr w:rsidR="00C7288B" w:rsidRPr="00D166B8" w:rsidSect="00D166B8">
      <w:headerReference w:type="default" r:id="rId16"/>
      <w:footnotePr>
        <w:numFmt w:val="chicago"/>
      </w:footnotePr>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310F" w14:textId="77777777" w:rsidR="0019638B" w:rsidRDefault="0019638B" w:rsidP="004D74A9">
      <w:r>
        <w:separator/>
      </w:r>
    </w:p>
    <w:p w14:paraId="0B49E578" w14:textId="77777777" w:rsidR="0019638B" w:rsidRDefault="0019638B" w:rsidP="004D74A9"/>
    <w:p w14:paraId="2CF4D7FB" w14:textId="77777777" w:rsidR="0019638B" w:rsidRDefault="0019638B" w:rsidP="004D74A9"/>
    <w:p w14:paraId="480E722E" w14:textId="77777777" w:rsidR="0019638B" w:rsidRDefault="0019638B" w:rsidP="004D74A9"/>
  </w:endnote>
  <w:endnote w:type="continuationSeparator" w:id="0">
    <w:p w14:paraId="28A7D60E" w14:textId="77777777" w:rsidR="0019638B" w:rsidRDefault="0019638B" w:rsidP="004D74A9">
      <w:r>
        <w:continuationSeparator/>
      </w:r>
    </w:p>
    <w:p w14:paraId="49CB9F8B" w14:textId="77777777" w:rsidR="0019638B" w:rsidRDefault="0019638B" w:rsidP="004D74A9"/>
    <w:p w14:paraId="23B463C6" w14:textId="77777777" w:rsidR="0019638B" w:rsidRDefault="0019638B" w:rsidP="004D74A9"/>
    <w:p w14:paraId="5A647952" w14:textId="77777777" w:rsidR="0019638B" w:rsidRDefault="0019638B" w:rsidP="004D7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422F" w14:textId="77777777" w:rsidR="00612B33" w:rsidRPr="00612B33" w:rsidRDefault="00612B33" w:rsidP="00612B33">
    <w:pPr>
      <w:pStyle w:val="Footer"/>
      <w:pBdr>
        <w:top w:val="single" w:sz="4" w:space="1" w:color="404040"/>
      </w:pBdr>
      <w:jc w:val="center"/>
      <w:rPr>
        <w:color w:val="404040"/>
        <w:spacing w:val="20"/>
        <w:sz w:val="20"/>
      </w:rPr>
    </w:pPr>
    <w:r w:rsidRPr="00612B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240" w14:textId="77777777" w:rsidR="001A53C7" w:rsidRPr="00612B33" w:rsidRDefault="001A53C7" w:rsidP="0061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B185" w14:textId="77777777" w:rsidR="0019638B" w:rsidRDefault="0019638B" w:rsidP="004D74A9">
      <w:r>
        <w:separator/>
      </w:r>
    </w:p>
    <w:p w14:paraId="1303EFC5" w14:textId="77777777" w:rsidR="0019638B" w:rsidRDefault="0019638B" w:rsidP="004D74A9"/>
  </w:footnote>
  <w:footnote w:type="continuationSeparator" w:id="0">
    <w:p w14:paraId="653F49D6" w14:textId="77777777" w:rsidR="0019638B" w:rsidRDefault="0019638B" w:rsidP="004D74A9">
      <w:r>
        <w:continuationSeparator/>
      </w:r>
    </w:p>
    <w:p w14:paraId="48009033" w14:textId="77777777" w:rsidR="0019638B" w:rsidRDefault="0019638B" w:rsidP="004D74A9"/>
    <w:p w14:paraId="58A8DF39" w14:textId="77777777" w:rsidR="0019638B" w:rsidRDefault="0019638B" w:rsidP="004D74A9"/>
    <w:p w14:paraId="618880B8" w14:textId="77777777" w:rsidR="0019638B" w:rsidRDefault="0019638B" w:rsidP="004D74A9"/>
  </w:footnote>
  <w:footnote w:id="1">
    <w:p w14:paraId="13B98FEB" w14:textId="77777777" w:rsidR="007257B9" w:rsidRDefault="007257B9">
      <w:pPr>
        <w:pStyle w:val="FootnoteText"/>
      </w:pPr>
      <w:r>
        <w:rPr>
          <w:rStyle w:val="FootnoteReference"/>
        </w:rPr>
        <w:footnoteRef/>
      </w:r>
      <w:r>
        <w:t xml:space="preserve"> </w:t>
      </w:r>
      <w:r w:rsidRPr="007257B9">
        <w:rPr>
          <w:i/>
        </w:rPr>
        <w:t>Međunarodni standardi Ujedinjenih naroda za protuminsko djelovanje (IMAS) definiraju</w:t>
      </w:r>
      <w:r w:rsidR="00CB7CF3">
        <w:rPr>
          <w:i/>
        </w:rPr>
        <w:t>,</w:t>
      </w:r>
      <w:r w:rsidRPr="007257B9">
        <w:rPr>
          <w:i/>
        </w:rPr>
        <w:t xml:space="preserve"> u kontekstu humanitarnog razminiranja, rezidualni rizik kao „rizik koji ostaje nakon primjene svih razumnih napora za uklanjanje i/ili uništavanje svih opasnosti od mina ili drugih eksplozivnih ostataka rata s određenog područja do određene dubine tla.</w:t>
      </w:r>
      <w:r w:rsidR="00CB7CF3">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4E2B" w14:textId="7C70999C" w:rsidR="004D74A9" w:rsidRDefault="004D74A9" w:rsidP="00DE2748">
    <w:pPr>
      <w:pStyle w:val="Header"/>
      <w:jc w:val="center"/>
    </w:pPr>
    <w:r>
      <w:fldChar w:fldCharType="begin"/>
    </w:r>
    <w:r>
      <w:instrText>PAGE   \* MERGEFORMAT</w:instrText>
    </w:r>
    <w:r>
      <w:fldChar w:fldCharType="separate"/>
    </w:r>
    <w:r w:rsidR="009B7307">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E78"/>
    <w:multiLevelType w:val="hybridMultilevel"/>
    <w:tmpl w:val="BACEEE3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DD30876"/>
    <w:multiLevelType w:val="hybridMultilevel"/>
    <w:tmpl w:val="816C7E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E52A99"/>
    <w:multiLevelType w:val="hybridMultilevel"/>
    <w:tmpl w:val="36141F22"/>
    <w:lvl w:ilvl="0" w:tplc="A224CE26">
      <w:start w:val="4"/>
      <w:numFmt w:val="bullet"/>
      <w:pStyle w:val="natuknice"/>
      <w:lvlText w:val="-"/>
      <w:lvlJc w:val="left"/>
      <w:pPr>
        <w:ind w:left="1068" w:hanging="708"/>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EF4BCF"/>
    <w:multiLevelType w:val="hybridMultilevel"/>
    <w:tmpl w:val="6ABC230C"/>
    <w:lvl w:ilvl="0" w:tplc="422030F0">
      <w:start w:val="1"/>
      <w:numFmt w:val="decimal"/>
      <w:lvlText w:val="1.%1."/>
      <w:lvlJc w:val="left"/>
      <w:pPr>
        <w:ind w:left="360" w:hanging="360"/>
      </w:pPr>
      <w:rPr>
        <w:rFonts w:ascii="Arial" w:hAnsi="Arial" w:hint="default"/>
        <w:b/>
        <w:i w:val="0"/>
        <w:sz w:val="24"/>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D137B9"/>
    <w:multiLevelType w:val="hybridMultilevel"/>
    <w:tmpl w:val="EBC2FC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5232E3F"/>
    <w:multiLevelType w:val="hybridMultilevel"/>
    <w:tmpl w:val="1F42AFB4"/>
    <w:lvl w:ilvl="0" w:tplc="E28CB47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35136D"/>
    <w:multiLevelType w:val="hybridMultilevel"/>
    <w:tmpl w:val="6B8434B6"/>
    <w:lvl w:ilvl="0" w:tplc="2BC480AA">
      <w:start w:val="1"/>
      <w:numFmt w:val="decimal"/>
      <w:pStyle w:val="Listabrojcana"/>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BE5DAD"/>
    <w:multiLevelType w:val="hybridMultilevel"/>
    <w:tmpl w:val="59349192"/>
    <w:lvl w:ilvl="0" w:tplc="7684473C">
      <w:numFmt w:val="bullet"/>
      <w:lvlText w:val="-"/>
      <w:lvlJc w:val="left"/>
      <w:pPr>
        <w:ind w:left="2090" w:hanging="1410"/>
      </w:pPr>
      <w:rPr>
        <w:rFonts w:ascii="Times New Roman" w:eastAsia="Times New Roman" w:hAnsi="Times New Roman" w:cs="Times New Roman" w:hint="default"/>
      </w:rPr>
    </w:lvl>
    <w:lvl w:ilvl="1" w:tplc="041A0003" w:tentative="1">
      <w:start w:val="1"/>
      <w:numFmt w:val="bullet"/>
      <w:lvlText w:val="o"/>
      <w:lvlJc w:val="left"/>
      <w:pPr>
        <w:ind w:left="1760" w:hanging="360"/>
      </w:pPr>
      <w:rPr>
        <w:rFonts w:ascii="Courier New" w:hAnsi="Courier New" w:cs="Courier New" w:hint="default"/>
      </w:rPr>
    </w:lvl>
    <w:lvl w:ilvl="2" w:tplc="041A0005" w:tentative="1">
      <w:start w:val="1"/>
      <w:numFmt w:val="bullet"/>
      <w:lvlText w:val=""/>
      <w:lvlJc w:val="left"/>
      <w:pPr>
        <w:ind w:left="2480" w:hanging="360"/>
      </w:pPr>
      <w:rPr>
        <w:rFonts w:ascii="Wingdings" w:hAnsi="Wingdings" w:hint="default"/>
      </w:rPr>
    </w:lvl>
    <w:lvl w:ilvl="3" w:tplc="041A0001" w:tentative="1">
      <w:start w:val="1"/>
      <w:numFmt w:val="bullet"/>
      <w:lvlText w:val=""/>
      <w:lvlJc w:val="left"/>
      <w:pPr>
        <w:ind w:left="3200" w:hanging="360"/>
      </w:pPr>
      <w:rPr>
        <w:rFonts w:ascii="Symbol" w:hAnsi="Symbol" w:hint="default"/>
      </w:rPr>
    </w:lvl>
    <w:lvl w:ilvl="4" w:tplc="041A0003" w:tentative="1">
      <w:start w:val="1"/>
      <w:numFmt w:val="bullet"/>
      <w:lvlText w:val="o"/>
      <w:lvlJc w:val="left"/>
      <w:pPr>
        <w:ind w:left="3920" w:hanging="360"/>
      </w:pPr>
      <w:rPr>
        <w:rFonts w:ascii="Courier New" w:hAnsi="Courier New" w:cs="Courier New" w:hint="default"/>
      </w:rPr>
    </w:lvl>
    <w:lvl w:ilvl="5" w:tplc="041A0005" w:tentative="1">
      <w:start w:val="1"/>
      <w:numFmt w:val="bullet"/>
      <w:lvlText w:val=""/>
      <w:lvlJc w:val="left"/>
      <w:pPr>
        <w:ind w:left="4640" w:hanging="360"/>
      </w:pPr>
      <w:rPr>
        <w:rFonts w:ascii="Wingdings" w:hAnsi="Wingdings" w:hint="default"/>
      </w:rPr>
    </w:lvl>
    <w:lvl w:ilvl="6" w:tplc="041A0001" w:tentative="1">
      <w:start w:val="1"/>
      <w:numFmt w:val="bullet"/>
      <w:lvlText w:val=""/>
      <w:lvlJc w:val="left"/>
      <w:pPr>
        <w:ind w:left="5360" w:hanging="360"/>
      </w:pPr>
      <w:rPr>
        <w:rFonts w:ascii="Symbol" w:hAnsi="Symbol" w:hint="default"/>
      </w:rPr>
    </w:lvl>
    <w:lvl w:ilvl="7" w:tplc="041A0003" w:tentative="1">
      <w:start w:val="1"/>
      <w:numFmt w:val="bullet"/>
      <w:lvlText w:val="o"/>
      <w:lvlJc w:val="left"/>
      <w:pPr>
        <w:ind w:left="6080" w:hanging="360"/>
      </w:pPr>
      <w:rPr>
        <w:rFonts w:ascii="Courier New" w:hAnsi="Courier New" w:cs="Courier New" w:hint="default"/>
      </w:rPr>
    </w:lvl>
    <w:lvl w:ilvl="8" w:tplc="041A0005" w:tentative="1">
      <w:start w:val="1"/>
      <w:numFmt w:val="bullet"/>
      <w:lvlText w:val=""/>
      <w:lvlJc w:val="left"/>
      <w:pPr>
        <w:ind w:left="6800" w:hanging="360"/>
      </w:pPr>
      <w:rPr>
        <w:rFonts w:ascii="Wingdings" w:hAnsi="Wingdings" w:hint="default"/>
      </w:rPr>
    </w:lvl>
  </w:abstractNum>
  <w:abstractNum w:abstractNumId="8" w15:restartNumberingAfterBreak="0">
    <w:nsid w:val="4EA37F88"/>
    <w:multiLevelType w:val="hybridMultilevel"/>
    <w:tmpl w:val="660E9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084A0C"/>
    <w:multiLevelType w:val="hybridMultilevel"/>
    <w:tmpl w:val="D50CE76A"/>
    <w:lvl w:ilvl="0" w:tplc="74B02426">
      <w:start w:val="1"/>
      <w:numFmt w:val="bullet"/>
      <w:pStyle w:val="Lista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F410C2D"/>
    <w:multiLevelType w:val="hybridMultilevel"/>
    <w:tmpl w:val="C7163C42"/>
    <w:lvl w:ilvl="0" w:tplc="10C82946">
      <w:start w:val="4"/>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F7A0554"/>
    <w:multiLevelType w:val="hybridMultilevel"/>
    <w:tmpl w:val="46F80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FA16730"/>
    <w:multiLevelType w:val="hybridMultilevel"/>
    <w:tmpl w:val="E5E28E4A"/>
    <w:lvl w:ilvl="0" w:tplc="9770223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82048D"/>
    <w:multiLevelType w:val="hybridMultilevel"/>
    <w:tmpl w:val="962A4860"/>
    <w:lvl w:ilvl="0" w:tplc="7684473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43F08EA"/>
    <w:multiLevelType w:val="hybridMultilevel"/>
    <w:tmpl w:val="611E20DE"/>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F2317A"/>
    <w:multiLevelType w:val="hybridMultilevel"/>
    <w:tmpl w:val="C5F4A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522282"/>
    <w:multiLevelType w:val="hybridMultilevel"/>
    <w:tmpl w:val="9806B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9F7B06"/>
    <w:multiLevelType w:val="multilevel"/>
    <w:tmpl w:val="1C2E8050"/>
    <w:lvl w:ilvl="0">
      <w:start w:val="1"/>
      <w:numFmt w:val="decimal"/>
      <w:pStyle w:val="Razina1"/>
      <w:lvlText w:val="%1."/>
      <w:lvlJc w:val="left"/>
      <w:pPr>
        <w:ind w:left="357" w:hanging="357"/>
      </w:pPr>
      <w:rPr>
        <w:rFonts w:hint="default"/>
      </w:rPr>
    </w:lvl>
    <w:lvl w:ilvl="1">
      <w:start w:val="2"/>
      <w:numFmt w:val="decimal"/>
      <w:pStyle w:val="Razina2"/>
      <w:isLgl/>
      <w:lvlText w:val="%1.%2."/>
      <w:lvlJc w:val="left"/>
      <w:pPr>
        <w:tabs>
          <w:tab w:val="num" w:pos="510"/>
        </w:tabs>
        <w:ind w:left="510" w:hanging="510"/>
      </w:pPr>
      <w:rPr>
        <w:rFonts w:hint="default"/>
        <w:i w:val="0"/>
      </w:rPr>
    </w:lvl>
    <w:lvl w:ilvl="2">
      <w:start w:val="1"/>
      <w:numFmt w:val="decimal"/>
      <w:pStyle w:val="Razina3"/>
      <w:isLgl/>
      <w:lvlText w:val="%1.%2.%3."/>
      <w:lvlJc w:val="left"/>
      <w:pPr>
        <w:tabs>
          <w:tab w:val="num" w:pos="794"/>
        </w:tabs>
        <w:ind w:left="794" w:hanging="794"/>
      </w:pPr>
      <w:rPr>
        <w:rFonts w:hint="default"/>
      </w:rPr>
    </w:lvl>
    <w:lvl w:ilvl="3">
      <w:start w:val="1"/>
      <w:numFmt w:val="decimal"/>
      <w:pStyle w:val="Razina4"/>
      <w:isLgl/>
      <w:lvlText w:val="%1.%2.%3.%4."/>
      <w:lvlJc w:val="left"/>
      <w:pPr>
        <w:tabs>
          <w:tab w:val="num" w:pos="907"/>
        </w:tabs>
        <w:ind w:left="907" w:hanging="907"/>
      </w:pPr>
      <w:rPr>
        <w:rFonts w:hint="default"/>
      </w:rPr>
    </w:lvl>
    <w:lvl w:ilvl="4">
      <w:start w:val="1"/>
      <w:numFmt w:val="decimal"/>
      <w:pStyle w:val="Razina5"/>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D639BD"/>
    <w:multiLevelType w:val="hybridMultilevel"/>
    <w:tmpl w:val="B25E3B76"/>
    <w:lvl w:ilvl="0" w:tplc="07DE415C">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17"/>
  </w:num>
  <w:num w:numId="5">
    <w:abstractNumId w:val="12"/>
  </w:num>
  <w:num w:numId="6">
    <w:abstractNumId w:val="18"/>
  </w:num>
  <w:num w:numId="7">
    <w:abstractNumId w:val="3"/>
  </w:num>
  <w:num w:numId="8">
    <w:abstractNumId w:val="9"/>
  </w:num>
  <w:num w:numId="9">
    <w:abstractNumId w:val="16"/>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7"/>
  </w:num>
  <w:num w:numId="18">
    <w:abstractNumId w:val="1"/>
  </w:num>
  <w:num w:numId="1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4"/>
  </w:num>
  <w:num w:numId="2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lvlOverride w:ilvl="0">
      <w:startOverride w:val="2"/>
    </w:lvlOverride>
    <w:lvlOverride w:ilvl="1">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5C"/>
    <w:rsid w:val="00001B0E"/>
    <w:rsid w:val="000063DA"/>
    <w:rsid w:val="0000789C"/>
    <w:rsid w:val="0001255A"/>
    <w:rsid w:val="000173A9"/>
    <w:rsid w:val="00021356"/>
    <w:rsid w:val="00023264"/>
    <w:rsid w:val="000277AC"/>
    <w:rsid w:val="00027C02"/>
    <w:rsid w:val="00031A2F"/>
    <w:rsid w:val="000402FE"/>
    <w:rsid w:val="00044A8C"/>
    <w:rsid w:val="0004619F"/>
    <w:rsid w:val="00056565"/>
    <w:rsid w:val="0006327C"/>
    <w:rsid w:val="00064CFE"/>
    <w:rsid w:val="00065C77"/>
    <w:rsid w:val="000706FB"/>
    <w:rsid w:val="00076C24"/>
    <w:rsid w:val="00082471"/>
    <w:rsid w:val="000942C9"/>
    <w:rsid w:val="000B0D8F"/>
    <w:rsid w:val="000B17E8"/>
    <w:rsid w:val="000B4228"/>
    <w:rsid w:val="000C01F5"/>
    <w:rsid w:val="000C255A"/>
    <w:rsid w:val="000C6266"/>
    <w:rsid w:val="000C72CC"/>
    <w:rsid w:val="000D0DB2"/>
    <w:rsid w:val="000D5809"/>
    <w:rsid w:val="000D60B6"/>
    <w:rsid w:val="000D69FE"/>
    <w:rsid w:val="000E3C31"/>
    <w:rsid w:val="000E4B37"/>
    <w:rsid w:val="000E570B"/>
    <w:rsid w:val="000F2E02"/>
    <w:rsid w:val="000F588E"/>
    <w:rsid w:val="000F7100"/>
    <w:rsid w:val="00101C65"/>
    <w:rsid w:val="00114771"/>
    <w:rsid w:val="001152A5"/>
    <w:rsid w:val="001217B1"/>
    <w:rsid w:val="00127B9A"/>
    <w:rsid w:val="0013497B"/>
    <w:rsid w:val="00142060"/>
    <w:rsid w:val="00144491"/>
    <w:rsid w:val="001464B6"/>
    <w:rsid w:val="00153DF9"/>
    <w:rsid w:val="00156C93"/>
    <w:rsid w:val="00162926"/>
    <w:rsid w:val="00164EF4"/>
    <w:rsid w:val="001762EE"/>
    <w:rsid w:val="00177576"/>
    <w:rsid w:val="00181774"/>
    <w:rsid w:val="00183952"/>
    <w:rsid w:val="00186E49"/>
    <w:rsid w:val="00187289"/>
    <w:rsid w:val="00190A57"/>
    <w:rsid w:val="00192DA0"/>
    <w:rsid w:val="00196173"/>
    <w:rsid w:val="0019638B"/>
    <w:rsid w:val="001A0731"/>
    <w:rsid w:val="001A1036"/>
    <w:rsid w:val="001A1327"/>
    <w:rsid w:val="001A1507"/>
    <w:rsid w:val="001A2D17"/>
    <w:rsid w:val="001A3747"/>
    <w:rsid w:val="001A53C7"/>
    <w:rsid w:val="001B319A"/>
    <w:rsid w:val="001C7211"/>
    <w:rsid w:val="001D4535"/>
    <w:rsid w:val="001E42A6"/>
    <w:rsid w:val="001E4CC9"/>
    <w:rsid w:val="001E7231"/>
    <w:rsid w:val="001E785F"/>
    <w:rsid w:val="001F1CA9"/>
    <w:rsid w:val="001F5147"/>
    <w:rsid w:val="001F7B81"/>
    <w:rsid w:val="00200CA9"/>
    <w:rsid w:val="00203946"/>
    <w:rsid w:val="00204158"/>
    <w:rsid w:val="002214A8"/>
    <w:rsid w:val="00227001"/>
    <w:rsid w:val="002316D5"/>
    <w:rsid w:val="00246E50"/>
    <w:rsid w:val="00252A46"/>
    <w:rsid w:val="002542C7"/>
    <w:rsid w:val="00260488"/>
    <w:rsid w:val="0026087A"/>
    <w:rsid w:val="00263B7C"/>
    <w:rsid w:val="00267187"/>
    <w:rsid w:val="00271C8F"/>
    <w:rsid w:val="00274FBD"/>
    <w:rsid w:val="00281E45"/>
    <w:rsid w:val="002837AF"/>
    <w:rsid w:val="00284A07"/>
    <w:rsid w:val="002855EC"/>
    <w:rsid w:val="00285743"/>
    <w:rsid w:val="0028654F"/>
    <w:rsid w:val="00291859"/>
    <w:rsid w:val="00293186"/>
    <w:rsid w:val="002A36AF"/>
    <w:rsid w:val="002A56F1"/>
    <w:rsid w:val="002A5DBB"/>
    <w:rsid w:val="002A634C"/>
    <w:rsid w:val="002B0AC2"/>
    <w:rsid w:val="002B6005"/>
    <w:rsid w:val="002C1AB4"/>
    <w:rsid w:val="002C2E92"/>
    <w:rsid w:val="002D11A1"/>
    <w:rsid w:val="002D17F7"/>
    <w:rsid w:val="002D7C27"/>
    <w:rsid w:val="002E77A0"/>
    <w:rsid w:val="002F06D0"/>
    <w:rsid w:val="002F10C9"/>
    <w:rsid w:val="002F7B43"/>
    <w:rsid w:val="00307FD4"/>
    <w:rsid w:val="003128D4"/>
    <w:rsid w:val="00314365"/>
    <w:rsid w:val="00317A19"/>
    <w:rsid w:val="00323274"/>
    <w:rsid w:val="00331478"/>
    <w:rsid w:val="00334D3A"/>
    <w:rsid w:val="00336F28"/>
    <w:rsid w:val="0034010E"/>
    <w:rsid w:val="0034115C"/>
    <w:rsid w:val="0034524B"/>
    <w:rsid w:val="00346CC8"/>
    <w:rsid w:val="00347107"/>
    <w:rsid w:val="00347927"/>
    <w:rsid w:val="00353254"/>
    <w:rsid w:val="00356AB9"/>
    <w:rsid w:val="00360156"/>
    <w:rsid w:val="00363BB0"/>
    <w:rsid w:val="00386849"/>
    <w:rsid w:val="00390F07"/>
    <w:rsid w:val="003914AB"/>
    <w:rsid w:val="00391A60"/>
    <w:rsid w:val="00394899"/>
    <w:rsid w:val="0039679A"/>
    <w:rsid w:val="003A1F42"/>
    <w:rsid w:val="003A2878"/>
    <w:rsid w:val="003A6DB7"/>
    <w:rsid w:val="003B07CC"/>
    <w:rsid w:val="003B2B75"/>
    <w:rsid w:val="003B3C92"/>
    <w:rsid w:val="003C7258"/>
    <w:rsid w:val="003E58BC"/>
    <w:rsid w:val="003F13B6"/>
    <w:rsid w:val="003F6A85"/>
    <w:rsid w:val="003F7699"/>
    <w:rsid w:val="00401FA7"/>
    <w:rsid w:val="0040241A"/>
    <w:rsid w:val="00404011"/>
    <w:rsid w:val="004051D1"/>
    <w:rsid w:val="004069C7"/>
    <w:rsid w:val="0041416E"/>
    <w:rsid w:val="0041506D"/>
    <w:rsid w:val="0042343C"/>
    <w:rsid w:val="004254FD"/>
    <w:rsid w:val="00426A6B"/>
    <w:rsid w:val="0042701D"/>
    <w:rsid w:val="00430353"/>
    <w:rsid w:val="00433F5C"/>
    <w:rsid w:val="004438A4"/>
    <w:rsid w:val="0046139D"/>
    <w:rsid w:val="004621A7"/>
    <w:rsid w:val="00463737"/>
    <w:rsid w:val="0046618D"/>
    <w:rsid w:val="004666B2"/>
    <w:rsid w:val="004673A2"/>
    <w:rsid w:val="00467B9E"/>
    <w:rsid w:val="00472D1B"/>
    <w:rsid w:val="004810C3"/>
    <w:rsid w:val="004940F7"/>
    <w:rsid w:val="00496CEC"/>
    <w:rsid w:val="004A28F2"/>
    <w:rsid w:val="004B3A45"/>
    <w:rsid w:val="004C658D"/>
    <w:rsid w:val="004C67B6"/>
    <w:rsid w:val="004D35F8"/>
    <w:rsid w:val="004D74A9"/>
    <w:rsid w:val="004D78FF"/>
    <w:rsid w:val="004E7FF4"/>
    <w:rsid w:val="004F495D"/>
    <w:rsid w:val="00501EA8"/>
    <w:rsid w:val="00502648"/>
    <w:rsid w:val="005111EA"/>
    <w:rsid w:val="0051254B"/>
    <w:rsid w:val="00516ACE"/>
    <w:rsid w:val="00517C60"/>
    <w:rsid w:val="00520EBB"/>
    <w:rsid w:val="00520F7A"/>
    <w:rsid w:val="0052188D"/>
    <w:rsid w:val="005270EF"/>
    <w:rsid w:val="00530C34"/>
    <w:rsid w:val="0053537C"/>
    <w:rsid w:val="00540CD8"/>
    <w:rsid w:val="00543A52"/>
    <w:rsid w:val="00545EA3"/>
    <w:rsid w:val="00557742"/>
    <w:rsid w:val="00557791"/>
    <w:rsid w:val="00561582"/>
    <w:rsid w:val="00562617"/>
    <w:rsid w:val="005634A2"/>
    <w:rsid w:val="00564410"/>
    <w:rsid w:val="00566FB1"/>
    <w:rsid w:val="00567422"/>
    <w:rsid w:val="005679DE"/>
    <w:rsid w:val="005722BA"/>
    <w:rsid w:val="0058092B"/>
    <w:rsid w:val="00586EEC"/>
    <w:rsid w:val="005911D6"/>
    <w:rsid w:val="00592AD3"/>
    <w:rsid w:val="00593FCB"/>
    <w:rsid w:val="005961DF"/>
    <w:rsid w:val="005A463B"/>
    <w:rsid w:val="005A4A6C"/>
    <w:rsid w:val="005A76A7"/>
    <w:rsid w:val="005B2018"/>
    <w:rsid w:val="005B3977"/>
    <w:rsid w:val="005B59AB"/>
    <w:rsid w:val="005C59B0"/>
    <w:rsid w:val="005D150E"/>
    <w:rsid w:val="005E02FD"/>
    <w:rsid w:val="005E18A4"/>
    <w:rsid w:val="005E4B62"/>
    <w:rsid w:val="005F76C1"/>
    <w:rsid w:val="00600860"/>
    <w:rsid w:val="00602157"/>
    <w:rsid w:val="00604325"/>
    <w:rsid w:val="00612B33"/>
    <w:rsid w:val="006152A8"/>
    <w:rsid w:val="0062734C"/>
    <w:rsid w:val="006311F1"/>
    <w:rsid w:val="00631F5E"/>
    <w:rsid w:val="00633F57"/>
    <w:rsid w:val="0064048E"/>
    <w:rsid w:val="006406EE"/>
    <w:rsid w:val="006455A3"/>
    <w:rsid w:val="00647B3C"/>
    <w:rsid w:val="00647C04"/>
    <w:rsid w:val="00652026"/>
    <w:rsid w:val="00663F6D"/>
    <w:rsid w:val="00664461"/>
    <w:rsid w:val="00675324"/>
    <w:rsid w:val="0067536D"/>
    <w:rsid w:val="00675949"/>
    <w:rsid w:val="00684D7D"/>
    <w:rsid w:val="0068582B"/>
    <w:rsid w:val="00690701"/>
    <w:rsid w:val="006954A7"/>
    <w:rsid w:val="0069680B"/>
    <w:rsid w:val="006A44E5"/>
    <w:rsid w:val="006A522F"/>
    <w:rsid w:val="006A527D"/>
    <w:rsid w:val="006C4C07"/>
    <w:rsid w:val="006D4B14"/>
    <w:rsid w:val="006F3695"/>
    <w:rsid w:val="006F3ADE"/>
    <w:rsid w:val="006F3FE3"/>
    <w:rsid w:val="006F681A"/>
    <w:rsid w:val="006F7B7A"/>
    <w:rsid w:val="00705743"/>
    <w:rsid w:val="00706114"/>
    <w:rsid w:val="0070631A"/>
    <w:rsid w:val="00707FAF"/>
    <w:rsid w:val="00720D5C"/>
    <w:rsid w:val="007257B9"/>
    <w:rsid w:val="007318A5"/>
    <w:rsid w:val="00732AC7"/>
    <w:rsid w:val="00735B9D"/>
    <w:rsid w:val="007405B3"/>
    <w:rsid w:val="00741985"/>
    <w:rsid w:val="007519D7"/>
    <w:rsid w:val="0075239D"/>
    <w:rsid w:val="00752ED0"/>
    <w:rsid w:val="00754B3A"/>
    <w:rsid w:val="00757190"/>
    <w:rsid w:val="00760D8C"/>
    <w:rsid w:val="00763485"/>
    <w:rsid w:val="0076481F"/>
    <w:rsid w:val="00764FD5"/>
    <w:rsid w:val="00770605"/>
    <w:rsid w:val="00773449"/>
    <w:rsid w:val="0077563B"/>
    <w:rsid w:val="00780665"/>
    <w:rsid w:val="0078082C"/>
    <w:rsid w:val="00793AD5"/>
    <w:rsid w:val="00795E83"/>
    <w:rsid w:val="007979EC"/>
    <w:rsid w:val="007A2013"/>
    <w:rsid w:val="007B5DED"/>
    <w:rsid w:val="007B658B"/>
    <w:rsid w:val="007B728F"/>
    <w:rsid w:val="007C0F4B"/>
    <w:rsid w:val="007C1E13"/>
    <w:rsid w:val="007C265D"/>
    <w:rsid w:val="007C3527"/>
    <w:rsid w:val="007C3C73"/>
    <w:rsid w:val="007C43C3"/>
    <w:rsid w:val="007D1B62"/>
    <w:rsid w:val="007D207F"/>
    <w:rsid w:val="007D2A0C"/>
    <w:rsid w:val="007D36D9"/>
    <w:rsid w:val="007D6BB8"/>
    <w:rsid w:val="007F4798"/>
    <w:rsid w:val="0080511A"/>
    <w:rsid w:val="00820D27"/>
    <w:rsid w:val="00831A9A"/>
    <w:rsid w:val="00832DC6"/>
    <w:rsid w:val="008364D5"/>
    <w:rsid w:val="00840C4E"/>
    <w:rsid w:val="00843A9C"/>
    <w:rsid w:val="0085779B"/>
    <w:rsid w:val="0086191A"/>
    <w:rsid w:val="008622A6"/>
    <w:rsid w:val="0086583F"/>
    <w:rsid w:val="00866FA4"/>
    <w:rsid w:val="00871D95"/>
    <w:rsid w:val="00874ACE"/>
    <w:rsid w:val="0087727F"/>
    <w:rsid w:val="00886B96"/>
    <w:rsid w:val="00892E89"/>
    <w:rsid w:val="00894D24"/>
    <w:rsid w:val="008970E2"/>
    <w:rsid w:val="0089711E"/>
    <w:rsid w:val="00897EA5"/>
    <w:rsid w:val="008A50A2"/>
    <w:rsid w:val="008B3E14"/>
    <w:rsid w:val="008C5244"/>
    <w:rsid w:val="008D0315"/>
    <w:rsid w:val="008D1D22"/>
    <w:rsid w:val="008D3721"/>
    <w:rsid w:val="008D4931"/>
    <w:rsid w:val="008D51E1"/>
    <w:rsid w:val="008D5C86"/>
    <w:rsid w:val="008D69B6"/>
    <w:rsid w:val="008D76C9"/>
    <w:rsid w:val="008E0B98"/>
    <w:rsid w:val="008E1AAA"/>
    <w:rsid w:val="008E3DB5"/>
    <w:rsid w:val="008E4360"/>
    <w:rsid w:val="008F2D13"/>
    <w:rsid w:val="008F4B2A"/>
    <w:rsid w:val="00912A60"/>
    <w:rsid w:val="0091391E"/>
    <w:rsid w:val="009221FD"/>
    <w:rsid w:val="00927C1F"/>
    <w:rsid w:val="00927EE6"/>
    <w:rsid w:val="00931377"/>
    <w:rsid w:val="0093384D"/>
    <w:rsid w:val="009346AC"/>
    <w:rsid w:val="00936B43"/>
    <w:rsid w:val="00946BBC"/>
    <w:rsid w:val="00950FF7"/>
    <w:rsid w:val="00964D2C"/>
    <w:rsid w:val="009676EE"/>
    <w:rsid w:val="009710D9"/>
    <w:rsid w:val="009718EA"/>
    <w:rsid w:val="0097213C"/>
    <w:rsid w:val="00977274"/>
    <w:rsid w:val="009877C2"/>
    <w:rsid w:val="0098786E"/>
    <w:rsid w:val="00992AAC"/>
    <w:rsid w:val="00993490"/>
    <w:rsid w:val="009A1369"/>
    <w:rsid w:val="009A185B"/>
    <w:rsid w:val="009A3485"/>
    <w:rsid w:val="009A6B80"/>
    <w:rsid w:val="009B0581"/>
    <w:rsid w:val="009B24C2"/>
    <w:rsid w:val="009B3A23"/>
    <w:rsid w:val="009B5B98"/>
    <w:rsid w:val="009B7307"/>
    <w:rsid w:val="009C05E8"/>
    <w:rsid w:val="009D59F9"/>
    <w:rsid w:val="009F360E"/>
    <w:rsid w:val="00A04CA3"/>
    <w:rsid w:val="00A05C1A"/>
    <w:rsid w:val="00A10C17"/>
    <w:rsid w:val="00A17A7B"/>
    <w:rsid w:val="00A21CDD"/>
    <w:rsid w:val="00A26120"/>
    <w:rsid w:val="00A349D9"/>
    <w:rsid w:val="00A365CF"/>
    <w:rsid w:val="00A37F59"/>
    <w:rsid w:val="00A41F51"/>
    <w:rsid w:val="00A43861"/>
    <w:rsid w:val="00A43D31"/>
    <w:rsid w:val="00A44AD5"/>
    <w:rsid w:val="00A47A1C"/>
    <w:rsid w:val="00A526C2"/>
    <w:rsid w:val="00A53B10"/>
    <w:rsid w:val="00A57D41"/>
    <w:rsid w:val="00A63C33"/>
    <w:rsid w:val="00A7160E"/>
    <w:rsid w:val="00A82BC5"/>
    <w:rsid w:val="00A856DC"/>
    <w:rsid w:val="00A85E42"/>
    <w:rsid w:val="00A95334"/>
    <w:rsid w:val="00AA1B7F"/>
    <w:rsid w:val="00AA55C3"/>
    <w:rsid w:val="00AB0736"/>
    <w:rsid w:val="00AC6695"/>
    <w:rsid w:val="00AD4803"/>
    <w:rsid w:val="00AD65F0"/>
    <w:rsid w:val="00AD750F"/>
    <w:rsid w:val="00AE23A5"/>
    <w:rsid w:val="00AF0E01"/>
    <w:rsid w:val="00B0253D"/>
    <w:rsid w:val="00B03A23"/>
    <w:rsid w:val="00B0709C"/>
    <w:rsid w:val="00B11B40"/>
    <w:rsid w:val="00B13A3A"/>
    <w:rsid w:val="00B15EE2"/>
    <w:rsid w:val="00B2231B"/>
    <w:rsid w:val="00B27C3A"/>
    <w:rsid w:val="00B27DA7"/>
    <w:rsid w:val="00B34E6C"/>
    <w:rsid w:val="00B3734B"/>
    <w:rsid w:val="00B374AB"/>
    <w:rsid w:val="00B37E42"/>
    <w:rsid w:val="00B55D2F"/>
    <w:rsid w:val="00B61AE2"/>
    <w:rsid w:val="00B63BB7"/>
    <w:rsid w:val="00B641CD"/>
    <w:rsid w:val="00B7208B"/>
    <w:rsid w:val="00B849EB"/>
    <w:rsid w:val="00B93A0F"/>
    <w:rsid w:val="00BA458F"/>
    <w:rsid w:val="00BA7681"/>
    <w:rsid w:val="00BB18AA"/>
    <w:rsid w:val="00BB44BB"/>
    <w:rsid w:val="00BB4503"/>
    <w:rsid w:val="00BC4237"/>
    <w:rsid w:val="00BC7779"/>
    <w:rsid w:val="00BD73A4"/>
    <w:rsid w:val="00BE051F"/>
    <w:rsid w:val="00BE17A2"/>
    <w:rsid w:val="00BE4CDA"/>
    <w:rsid w:val="00BE64AC"/>
    <w:rsid w:val="00C012D4"/>
    <w:rsid w:val="00C020D4"/>
    <w:rsid w:val="00C11B0D"/>
    <w:rsid w:val="00C1510F"/>
    <w:rsid w:val="00C15D1E"/>
    <w:rsid w:val="00C173E9"/>
    <w:rsid w:val="00C20AC2"/>
    <w:rsid w:val="00C24728"/>
    <w:rsid w:val="00C27C86"/>
    <w:rsid w:val="00C30344"/>
    <w:rsid w:val="00C326DE"/>
    <w:rsid w:val="00C365B2"/>
    <w:rsid w:val="00C5084F"/>
    <w:rsid w:val="00C51B8C"/>
    <w:rsid w:val="00C576A6"/>
    <w:rsid w:val="00C616AA"/>
    <w:rsid w:val="00C71532"/>
    <w:rsid w:val="00C71617"/>
    <w:rsid w:val="00C7288B"/>
    <w:rsid w:val="00C8316A"/>
    <w:rsid w:val="00C917F8"/>
    <w:rsid w:val="00C94B18"/>
    <w:rsid w:val="00CA0C2D"/>
    <w:rsid w:val="00CA4731"/>
    <w:rsid w:val="00CA4A0E"/>
    <w:rsid w:val="00CB3736"/>
    <w:rsid w:val="00CB7CF3"/>
    <w:rsid w:val="00CD038A"/>
    <w:rsid w:val="00CD2226"/>
    <w:rsid w:val="00CD5A20"/>
    <w:rsid w:val="00CD60B8"/>
    <w:rsid w:val="00CE1A56"/>
    <w:rsid w:val="00CE67E0"/>
    <w:rsid w:val="00CF17CF"/>
    <w:rsid w:val="00CF38A1"/>
    <w:rsid w:val="00CF6263"/>
    <w:rsid w:val="00D00C99"/>
    <w:rsid w:val="00D022BD"/>
    <w:rsid w:val="00D03350"/>
    <w:rsid w:val="00D05EC8"/>
    <w:rsid w:val="00D07E5D"/>
    <w:rsid w:val="00D1647A"/>
    <w:rsid w:val="00D166B8"/>
    <w:rsid w:val="00D16800"/>
    <w:rsid w:val="00D20C91"/>
    <w:rsid w:val="00D21DC1"/>
    <w:rsid w:val="00D23079"/>
    <w:rsid w:val="00D317CB"/>
    <w:rsid w:val="00D32409"/>
    <w:rsid w:val="00D44D44"/>
    <w:rsid w:val="00D5552D"/>
    <w:rsid w:val="00D67072"/>
    <w:rsid w:val="00D71729"/>
    <w:rsid w:val="00D73AEB"/>
    <w:rsid w:val="00D7575E"/>
    <w:rsid w:val="00D80F9A"/>
    <w:rsid w:val="00D80FD4"/>
    <w:rsid w:val="00D83C43"/>
    <w:rsid w:val="00D918B3"/>
    <w:rsid w:val="00D924E3"/>
    <w:rsid w:val="00DA021F"/>
    <w:rsid w:val="00DA1453"/>
    <w:rsid w:val="00DB2CF0"/>
    <w:rsid w:val="00DB2EC6"/>
    <w:rsid w:val="00DB64AC"/>
    <w:rsid w:val="00DC57E6"/>
    <w:rsid w:val="00DC7D21"/>
    <w:rsid w:val="00DE2748"/>
    <w:rsid w:val="00DE5767"/>
    <w:rsid w:val="00DE777A"/>
    <w:rsid w:val="00DE7BC7"/>
    <w:rsid w:val="00DF0A3D"/>
    <w:rsid w:val="00DF4026"/>
    <w:rsid w:val="00DF611C"/>
    <w:rsid w:val="00DF6E12"/>
    <w:rsid w:val="00E01693"/>
    <w:rsid w:val="00E02A71"/>
    <w:rsid w:val="00E06B46"/>
    <w:rsid w:val="00E072E3"/>
    <w:rsid w:val="00E10D12"/>
    <w:rsid w:val="00E12EC9"/>
    <w:rsid w:val="00E13F5B"/>
    <w:rsid w:val="00E20B75"/>
    <w:rsid w:val="00E32155"/>
    <w:rsid w:val="00E355CC"/>
    <w:rsid w:val="00E35A47"/>
    <w:rsid w:val="00E4124F"/>
    <w:rsid w:val="00E414EE"/>
    <w:rsid w:val="00E44248"/>
    <w:rsid w:val="00E478A3"/>
    <w:rsid w:val="00E51624"/>
    <w:rsid w:val="00E51F2C"/>
    <w:rsid w:val="00E5513D"/>
    <w:rsid w:val="00E55C1B"/>
    <w:rsid w:val="00E5696B"/>
    <w:rsid w:val="00E6421B"/>
    <w:rsid w:val="00E730C3"/>
    <w:rsid w:val="00E76A66"/>
    <w:rsid w:val="00E80988"/>
    <w:rsid w:val="00E9059A"/>
    <w:rsid w:val="00E92439"/>
    <w:rsid w:val="00E95C57"/>
    <w:rsid w:val="00E974B3"/>
    <w:rsid w:val="00EA5A84"/>
    <w:rsid w:val="00EA6ADF"/>
    <w:rsid w:val="00EB3579"/>
    <w:rsid w:val="00EB5A7E"/>
    <w:rsid w:val="00EB5FCC"/>
    <w:rsid w:val="00EB75A5"/>
    <w:rsid w:val="00EC3F8B"/>
    <w:rsid w:val="00EC68DE"/>
    <w:rsid w:val="00EC7708"/>
    <w:rsid w:val="00ED082D"/>
    <w:rsid w:val="00ED48CC"/>
    <w:rsid w:val="00EE24F6"/>
    <w:rsid w:val="00EE47AF"/>
    <w:rsid w:val="00EE4B40"/>
    <w:rsid w:val="00EE611E"/>
    <w:rsid w:val="00EE6ED7"/>
    <w:rsid w:val="00EF16BA"/>
    <w:rsid w:val="00EF34DA"/>
    <w:rsid w:val="00F01F98"/>
    <w:rsid w:val="00F10996"/>
    <w:rsid w:val="00F11012"/>
    <w:rsid w:val="00F174BE"/>
    <w:rsid w:val="00F22F9E"/>
    <w:rsid w:val="00F23264"/>
    <w:rsid w:val="00F23DB8"/>
    <w:rsid w:val="00F364E5"/>
    <w:rsid w:val="00F42401"/>
    <w:rsid w:val="00F45F6F"/>
    <w:rsid w:val="00F5133D"/>
    <w:rsid w:val="00F649DF"/>
    <w:rsid w:val="00F65B17"/>
    <w:rsid w:val="00F67158"/>
    <w:rsid w:val="00F7004B"/>
    <w:rsid w:val="00F8010F"/>
    <w:rsid w:val="00F84F66"/>
    <w:rsid w:val="00F85505"/>
    <w:rsid w:val="00F8648F"/>
    <w:rsid w:val="00F90A4B"/>
    <w:rsid w:val="00F90E66"/>
    <w:rsid w:val="00F92B19"/>
    <w:rsid w:val="00F955C9"/>
    <w:rsid w:val="00FA11B1"/>
    <w:rsid w:val="00FA44F3"/>
    <w:rsid w:val="00FA593E"/>
    <w:rsid w:val="00FA7969"/>
    <w:rsid w:val="00FB457F"/>
    <w:rsid w:val="00FC25E3"/>
    <w:rsid w:val="00FC3936"/>
    <w:rsid w:val="00FD14CF"/>
    <w:rsid w:val="00FD2E5F"/>
    <w:rsid w:val="00FE0920"/>
    <w:rsid w:val="00FE503D"/>
    <w:rsid w:val="00FE7249"/>
    <w:rsid w:val="00FE7DCC"/>
    <w:rsid w:val="00FF18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0BEEF"/>
  <w15:chartTrackingRefBased/>
  <w15:docId w15:val="{29C72740-C098-497E-83A9-78D3D9F6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A9"/>
    <w:pPr>
      <w:spacing w:line="20" w:lineRule="atLeast"/>
      <w:jc w:val="both"/>
    </w:pPr>
    <w:rPr>
      <w:rFonts w:ascii="Times New Roman" w:hAnsi="Times New Roman"/>
      <w:sz w:val="24"/>
      <w:szCs w:val="24"/>
    </w:rPr>
  </w:style>
  <w:style w:type="paragraph" w:styleId="Heading1">
    <w:name w:val="heading 1"/>
    <w:basedOn w:val="Normal"/>
    <w:next w:val="Normal"/>
    <w:link w:val="Heading1Char"/>
    <w:uiPriority w:val="9"/>
    <w:qFormat/>
    <w:rsid w:val="009676EE"/>
    <w:pPr>
      <w:spacing w:before="240" w:after="240" w:line="0" w:lineRule="atLeast"/>
      <w:contextualSpacing/>
      <w:jc w:val="center"/>
      <w:outlineLvl w:val="0"/>
    </w:pPr>
    <w:rPr>
      <w:b/>
      <w:sz w:val="28"/>
      <w:szCs w:val="28"/>
      <w:lang w:eastAsia="en-US"/>
    </w:rPr>
  </w:style>
  <w:style w:type="paragraph" w:styleId="Heading2">
    <w:name w:val="heading 2"/>
    <w:basedOn w:val="Normal"/>
    <w:next w:val="Normal"/>
    <w:link w:val="Heading2Char"/>
    <w:uiPriority w:val="9"/>
    <w:semiHidden/>
    <w:unhideWhenUsed/>
    <w:qFormat/>
    <w:rsid w:val="0034115C"/>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qFormat/>
    <w:rsid w:val="004F495D"/>
    <w:pPr>
      <w:tabs>
        <w:tab w:val="right" w:pos="9072"/>
      </w:tabs>
      <w:spacing w:line="240" w:lineRule="auto"/>
      <w:jc w:val="left"/>
    </w:pPr>
    <w:rPr>
      <w:sz w:val="18"/>
    </w:rPr>
  </w:style>
  <w:style w:type="character" w:customStyle="1" w:styleId="Heading1Char">
    <w:name w:val="Heading 1 Char"/>
    <w:link w:val="Heading1"/>
    <w:uiPriority w:val="9"/>
    <w:rsid w:val="009676EE"/>
    <w:rPr>
      <w:rFonts w:ascii="Times New Roman" w:hAnsi="Times New Roman"/>
      <w:b/>
      <w:sz w:val="28"/>
      <w:szCs w:val="28"/>
      <w:lang w:eastAsia="en-US"/>
    </w:rPr>
  </w:style>
  <w:style w:type="character" w:customStyle="1" w:styleId="Heading2Char">
    <w:name w:val="Heading 2 Char"/>
    <w:link w:val="Heading2"/>
    <w:uiPriority w:val="9"/>
    <w:semiHidden/>
    <w:rsid w:val="0034115C"/>
    <w:rPr>
      <w:rFonts w:ascii="Times New Roman" w:eastAsia="Times New Roman" w:hAnsi="Times New Roman" w:cs="Times New Roman"/>
      <w:b/>
      <w:bCs/>
      <w:i/>
      <w:iCs/>
      <w:sz w:val="28"/>
      <w:szCs w:val="28"/>
      <w:lang w:eastAsia="hr-HR"/>
    </w:rPr>
  </w:style>
  <w:style w:type="paragraph" w:styleId="Title">
    <w:name w:val="Title"/>
    <w:basedOn w:val="Normal"/>
    <w:next w:val="Normal"/>
    <w:link w:val="TitleChar"/>
    <w:uiPriority w:val="10"/>
    <w:qFormat/>
    <w:rsid w:val="0034115C"/>
    <w:pPr>
      <w:spacing w:before="240" w:after="60"/>
      <w:jc w:val="center"/>
      <w:outlineLvl w:val="0"/>
    </w:pPr>
    <w:rPr>
      <w:rFonts w:eastAsia="Times New Roman"/>
      <w:b/>
      <w:bCs/>
      <w:kern w:val="28"/>
      <w:sz w:val="32"/>
      <w:szCs w:val="32"/>
    </w:rPr>
  </w:style>
  <w:style w:type="character" w:customStyle="1" w:styleId="NaslovChar">
    <w:name w:val="Naslov Char"/>
    <w:link w:val="Naslov1"/>
    <w:rsid w:val="0034115C"/>
    <w:rPr>
      <w:rFonts w:ascii="Calibri Light" w:eastAsia="Times New Roman" w:hAnsi="Calibri Light" w:cs="Times New Roman"/>
      <w:spacing w:val="-10"/>
      <w:kern w:val="28"/>
      <w:sz w:val="56"/>
      <w:szCs w:val="56"/>
      <w:lang w:eastAsia="hr-HR"/>
    </w:rPr>
  </w:style>
  <w:style w:type="character" w:customStyle="1" w:styleId="TitleChar">
    <w:name w:val="Title Char"/>
    <w:link w:val="Title"/>
    <w:uiPriority w:val="10"/>
    <w:rsid w:val="0034115C"/>
    <w:rPr>
      <w:rFonts w:ascii="Times New Roman" w:eastAsia="Times New Roman" w:hAnsi="Times New Roman" w:cs="Times New Roman"/>
      <w:b/>
      <w:bCs/>
      <w:kern w:val="28"/>
      <w:sz w:val="32"/>
      <w:szCs w:val="32"/>
      <w:lang w:eastAsia="hr-HR"/>
    </w:rPr>
  </w:style>
  <w:style w:type="paragraph" w:styleId="Subtitle">
    <w:name w:val="Subtitle"/>
    <w:basedOn w:val="Normal"/>
    <w:next w:val="Normal"/>
    <w:link w:val="SubtitleChar"/>
    <w:uiPriority w:val="11"/>
    <w:qFormat/>
    <w:rsid w:val="0034115C"/>
    <w:pPr>
      <w:spacing w:after="60"/>
      <w:jc w:val="center"/>
      <w:outlineLvl w:val="1"/>
    </w:pPr>
    <w:rPr>
      <w:rFonts w:eastAsia="Times New Roman"/>
    </w:rPr>
  </w:style>
  <w:style w:type="character" w:customStyle="1" w:styleId="SubtitleChar">
    <w:name w:val="Subtitle Char"/>
    <w:link w:val="Subtitle"/>
    <w:uiPriority w:val="11"/>
    <w:rsid w:val="0034115C"/>
    <w:rPr>
      <w:rFonts w:ascii="Times New Roman" w:eastAsia="Times New Roman" w:hAnsi="Times New Roman" w:cs="Times New Roman"/>
      <w:sz w:val="24"/>
      <w:szCs w:val="24"/>
      <w:lang w:eastAsia="hr-HR"/>
    </w:rPr>
  </w:style>
  <w:style w:type="paragraph" w:customStyle="1" w:styleId="Naslov1">
    <w:name w:val="Naslov1"/>
    <w:basedOn w:val="Normal"/>
    <w:next w:val="Normal"/>
    <w:link w:val="NaslovChar"/>
    <w:qFormat/>
    <w:rsid w:val="0034115C"/>
    <w:pPr>
      <w:spacing w:after="120"/>
      <w:jc w:val="center"/>
    </w:pPr>
    <w:rPr>
      <w:rFonts w:ascii="Calibri Light" w:eastAsia="Times New Roman" w:hAnsi="Calibri Light"/>
      <w:spacing w:val="-10"/>
      <w:kern w:val="28"/>
      <w:sz w:val="56"/>
      <w:szCs w:val="56"/>
    </w:rPr>
  </w:style>
  <w:style w:type="paragraph" w:customStyle="1" w:styleId="Razina1">
    <w:name w:val="Razina1"/>
    <w:basedOn w:val="Normal"/>
    <w:next w:val="Normal"/>
    <w:autoRedefine/>
    <w:qFormat/>
    <w:rsid w:val="00DE2748"/>
    <w:pPr>
      <w:keepNext/>
      <w:numPr>
        <w:numId w:val="2"/>
      </w:numPr>
      <w:spacing w:before="600" w:after="480" w:line="0" w:lineRule="atLeast"/>
    </w:pPr>
    <w:rPr>
      <w:rFonts w:cs="Arial"/>
      <w:b/>
      <w:caps/>
      <w:lang w:eastAsia="en-US"/>
    </w:rPr>
  </w:style>
  <w:style w:type="paragraph" w:customStyle="1" w:styleId="Razina2">
    <w:name w:val="Razina2"/>
    <w:basedOn w:val="Normal"/>
    <w:next w:val="Normal"/>
    <w:link w:val="Razina2Char"/>
    <w:qFormat/>
    <w:rsid w:val="00754B3A"/>
    <w:pPr>
      <w:keepNext/>
      <w:numPr>
        <w:ilvl w:val="1"/>
        <w:numId w:val="2"/>
      </w:numPr>
      <w:spacing w:before="560" w:after="320" w:line="240" w:lineRule="auto"/>
    </w:pPr>
    <w:rPr>
      <w:rFonts w:cs="Arial"/>
      <w:b/>
      <w:lang w:eastAsia="en-US"/>
    </w:rPr>
  </w:style>
  <w:style w:type="paragraph" w:customStyle="1" w:styleId="Listabrojcana">
    <w:name w:val="Lista_brojcana"/>
    <w:basedOn w:val="Normal"/>
    <w:link w:val="ListabrojcanaChar"/>
    <w:qFormat/>
    <w:rsid w:val="0034115C"/>
    <w:pPr>
      <w:numPr>
        <w:numId w:val="3"/>
      </w:numPr>
      <w:spacing w:after="80"/>
      <w:ind w:left="397" w:hanging="397"/>
    </w:pPr>
    <w:rPr>
      <w:rFonts w:cs="Arial"/>
      <w:lang w:eastAsia="en-US"/>
    </w:rPr>
  </w:style>
  <w:style w:type="character" w:customStyle="1" w:styleId="Razina2Char">
    <w:name w:val="Razina2 Char"/>
    <w:link w:val="Razina2"/>
    <w:rsid w:val="00754B3A"/>
    <w:rPr>
      <w:rFonts w:ascii="Times New Roman" w:hAnsi="Times New Roman" w:cs="Arial"/>
      <w:b/>
      <w:sz w:val="24"/>
      <w:szCs w:val="24"/>
      <w:lang w:eastAsia="en-US"/>
    </w:rPr>
  </w:style>
  <w:style w:type="character" w:customStyle="1" w:styleId="ListabrojcanaChar">
    <w:name w:val="Lista_brojcana Char"/>
    <w:link w:val="Listabrojcana"/>
    <w:rsid w:val="0034115C"/>
    <w:rPr>
      <w:rFonts w:ascii="Times New Roman" w:eastAsia="Calibri" w:hAnsi="Times New Roman" w:cs="Arial"/>
      <w:sz w:val="24"/>
      <w:szCs w:val="24"/>
    </w:rPr>
  </w:style>
  <w:style w:type="paragraph" w:customStyle="1" w:styleId="Razina3">
    <w:name w:val="Razina3"/>
    <w:basedOn w:val="Razina2"/>
    <w:link w:val="Razina3Char"/>
    <w:qFormat/>
    <w:rsid w:val="00754B3A"/>
    <w:pPr>
      <w:numPr>
        <w:ilvl w:val="2"/>
      </w:numPr>
      <w:spacing w:before="400"/>
    </w:pPr>
    <w:rPr>
      <w:i/>
      <w:szCs w:val="22"/>
    </w:rPr>
  </w:style>
  <w:style w:type="paragraph" w:customStyle="1" w:styleId="Razina4">
    <w:name w:val="Razina4"/>
    <w:basedOn w:val="Razina3"/>
    <w:qFormat/>
    <w:rsid w:val="0034115C"/>
    <w:pPr>
      <w:numPr>
        <w:ilvl w:val="3"/>
      </w:numPr>
    </w:pPr>
    <w:rPr>
      <w:b w:val="0"/>
    </w:rPr>
  </w:style>
  <w:style w:type="paragraph" w:customStyle="1" w:styleId="Razina5">
    <w:name w:val="Razina5"/>
    <w:basedOn w:val="Razina4"/>
    <w:qFormat/>
    <w:rsid w:val="0034115C"/>
    <w:pPr>
      <w:numPr>
        <w:ilvl w:val="4"/>
      </w:numPr>
    </w:pPr>
  </w:style>
  <w:style w:type="table" w:styleId="TableGrid">
    <w:name w:val="Table Grid"/>
    <w:basedOn w:val="TableNormal"/>
    <w:rsid w:val="0034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header">
    <w:name w:val="tablica_header"/>
    <w:basedOn w:val="Normal"/>
    <w:link w:val="tablicaheaderChar"/>
    <w:qFormat/>
    <w:rsid w:val="0034115C"/>
    <w:pPr>
      <w:jc w:val="center"/>
    </w:pPr>
    <w:rPr>
      <w:b/>
      <w:sz w:val="18"/>
    </w:rPr>
  </w:style>
  <w:style w:type="paragraph" w:customStyle="1" w:styleId="tablicatekst">
    <w:name w:val="tablica_tekst"/>
    <w:basedOn w:val="Normal"/>
    <w:link w:val="tablicatekstChar"/>
    <w:qFormat/>
    <w:rsid w:val="0034115C"/>
    <w:pPr>
      <w:jc w:val="center"/>
    </w:pPr>
    <w:rPr>
      <w:sz w:val="18"/>
      <w:szCs w:val="20"/>
    </w:rPr>
  </w:style>
  <w:style w:type="character" w:customStyle="1" w:styleId="tablicaheaderChar">
    <w:name w:val="tablica_header Char"/>
    <w:link w:val="tablicaheader"/>
    <w:rsid w:val="0034115C"/>
    <w:rPr>
      <w:rFonts w:ascii="Times New Roman" w:eastAsia="Calibri" w:hAnsi="Times New Roman" w:cs="Times New Roman"/>
      <w:b/>
      <w:sz w:val="18"/>
      <w:lang w:eastAsia="hr-HR"/>
    </w:rPr>
  </w:style>
  <w:style w:type="paragraph" w:customStyle="1" w:styleId="tablicacaption">
    <w:name w:val="tablica_caption"/>
    <w:basedOn w:val="Normal"/>
    <w:link w:val="tablicacaptionChar"/>
    <w:qFormat/>
    <w:rsid w:val="008970E2"/>
    <w:pPr>
      <w:spacing w:before="100" w:line="0" w:lineRule="atLeast"/>
      <w:contextualSpacing/>
      <w:jc w:val="center"/>
    </w:pPr>
    <w:rPr>
      <w:b/>
      <w:i/>
      <w:sz w:val="18"/>
      <w:szCs w:val="18"/>
    </w:rPr>
  </w:style>
  <w:style w:type="character" w:customStyle="1" w:styleId="tablicatekstChar">
    <w:name w:val="tablica_tekst Char"/>
    <w:link w:val="tablicatekst"/>
    <w:rsid w:val="0034115C"/>
    <w:rPr>
      <w:rFonts w:ascii="Times New Roman" w:eastAsia="Calibri" w:hAnsi="Times New Roman" w:cs="Times New Roman"/>
      <w:sz w:val="18"/>
      <w:szCs w:val="20"/>
      <w:lang w:eastAsia="hr-HR"/>
    </w:rPr>
  </w:style>
  <w:style w:type="paragraph" w:customStyle="1" w:styleId="Naslovtablice">
    <w:name w:val="Naslov_tablice"/>
    <w:basedOn w:val="Caption"/>
    <w:next w:val="Normal"/>
    <w:link w:val="NaslovtabliceChar"/>
    <w:qFormat/>
    <w:rsid w:val="0034115C"/>
    <w:pPr>
      <w:spacing w:before="20"/>
      <w:contextualSpacing/>
      <w:jc w:val="center"/>
    </w:pPr>
    <w:rPr>
      <w:i/>
      <w:sz w:val="18"/>
      <w:lang w:eastAsia="en-US"/>
    </w:rPr>
  </w:style>
  <w:style w:type="character" w:customStyle="1" w:styleId="tablicacaptionChar">
    <w:name w:val="tablica_caption Char"/>
    <w:link w:val="tablicacaption"/>
    <w:rsid w:val="008970E2"/>
    <w:rPr>
      <w:rFonts w:ascii="Times New Roman" w:hAnsi="Times New Roman"/>
      <w:b/>
      <w:i/>
      <w:sz w:val="18"/>
      <w:szCs w:val="18"/>
    </w:rPr>
  </w:style>
  <w:style w:type="character" w:customStyle="1" w:styleId="NaslovtabliceChar">
    <w:name w:val="Naslov_tablice Char"/>
    <w:link w:val="Naslovtablice"/>
    <w:rsid w:val="0034115C"/>
    <w:rPr>
      <w:rFonts w:ascii="Times New Roman" w:eastAsia="Calibri" w:hAnsi="Times New Roman" w:cs="Times New Roman"/>
      <w:b/>
      <w:bCs/>
      <w:i/>
      <w:sz w:val="18"/>
      <w:szCs w:val="20"/>
    </w:rPr>
  </w:style>
  <w:style w:type="paragraph" w:styleId="Caption">
    <w:name w:val="caption"/>
    <w:basedOn w:val="Normal"/>
    <w:next w:val="Normal"/>
    <w:uiPriority w:val="35"/>
    <w:semiHidden/>
    <w:unhideWhenUsed/>
    <w:qFormat/>
    <w:rsid w:val="0034115C"/>
    <w:rPr>
      <w:b/>
      <w:bCs/>
      <w:sz w:val="20"/>
      <w:szCs w:val="20"/>
    </w:rPr>
  </w:style>
  <w:style w:type="paragraph" w:customStyle="1" w:styleId="Listabullet">
    <w:name w:val="Lista_bullet"/>
    <w:basedOn w:val="Normal"/>
    <w:link w:val="ListabulletChar"/>
    <w:qFormat/>
    <w:rsid w:val="0034115C"/>
    <w:pPr>
      <w:numPr>
        <w:numId w:val="8"/>
      </w:numPr>
      <w:spacing w:after="80"/>
      <w:ind w:left="357" w:hanging="357"/>
    </w:pPr>
    <w:rPr>
      <w:rFonts w:cs="Arial"/>
      <w:lang w:eastAsia="en-US"/>
    </w:rPr>
  </w:style>
  <w:style w:type="character" w:customStyle="1" w:styleId="ListabulletChar">
    <w:name w:val="Lista_bullet Char"/>
    <w:link w:val="Listabullet"/>
    <w:rsid w:val="0034115C"/>
    <w:rPr>
      <w:rFonts w:ascii="Times New Roman" w:eastAsia="Calibri" w:hAnsi="Times New Roman" w:cs="Arial"/>
      <w:sz w:val="24"/>
      <w:szCs w:val="24"/>
    </w:rPr>
  </w:style>
  <w:style w:type="character" w:customStyle="1" w:styleId="Razina3Char">
    <w:name w:val="Razina3 Char"/>
    <w:link w:val="Razina3"/>
    <w:rsid w:val="00754B3A"/>
    <w:rPr>
      <w:rFonts w:ascii="Times New Roman" w:hAnsi="Times New Roman" w:cs="Arial"/>
      <w:b/>
      <w:i/>
      <w:sz w:val="24"/>
      <w:szCs w:val="22"/>
      <w:lang w:eastAsia="en-US"/>
    </w:rPr>
  </w:style>
  <w:style w:type="paragraph" w:styleId="BalloonText">
    <w:name w:val="Balloon Text"/>
    <w:basedOn w:val="Normal"/>
    <w:link w:val="BalloonTextChar"/>
    <w:uiPriority w:val="99"/>
    <w:semiHidden/>
    <w:unhideWhenUsed/>
    <w:rsid w:val="0034115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4115C"/>
    <w:rPr>
      <w:rFonts w:ascii="Tahoma" w:eastAsia="Calibri" w:hAnsi="Tahoma" w:cs="Tahoma"/>
      <w:sz w:val="16"/>
      <w:szCs w:val="16"/>
      <w:lang w:eastAsia="hr-HR"/>
    </w:rPr>
  </w:style>
  <w:style w:type="paragraph" w:styleId="TOC2">
    <w:name w:val="toc 2"/>
    <w:basedOn w:val="Normal"/>
    <w:next w:val="Normal"/>
    <w:autoRedefine/>
    <w:uiPriority w:val="39"/>
    <w:unhideWhenUsed/>
    <w:rsid w:val="0034115C"/>
    <w:pPr>
      <w:spacing w:after="60"/>
      <w:ind w:left="805" w:right="567" w:hanging="567"/>
    </w:pPr>
    <w:rPr>
      <w:b/>
      <w:sz w:val="20"/>
      <w:lang w:eastAsia="en-US"/>
    </w:rPr>
  </w:style>
  <w:style w:type="paragraph" w:styleId="TOC1">
    <w:name w:val="toc 1"/>
    <w:basedOn w:val="Normal"/>
    <w:next w:val="Normal"/>
    <w:autoRedefine/>
    <w:uiPriority w:val="39"/>
    <w:unhideWhenUsed/>
    <w:rsid w:val="0034115C"/>
    <w:pPr>
      <w:tabs>
        <w:tab w:val="left" w:pos="440"/>
        <w:tab w:val="right" w:leader="dot" w:pos="9062"/>
      </w:tabs>
      <w:spacing w:after="60"/>
    </w:pPr>
    <w:rPr>
      <w:b/>
      <w:noProof/>
      <w:sz w:val="22"/>
      <w:lang w:eastAsia="en-US"/>
    </w:rPr>
  </w:style>
  <w:style w:type="paragraph" w:styleId="TOC3">
    <w:name w:val="toc 3"/>
    <w:basedOn w:val="Normal"/>
    <w:next w:val="Normal"/>
    <w:autoRedefine/>
    <w:uiPriority w:val="39"/>
    <w:unhideWhenUsed/>
    <w:rsid w:val="0034115C"/>
    <w:pPr>
      <w:spacing w:after="60"/>
      <w:ind w:left="1191" w:right="567" w:hanging="709"/>
    </w:pPr>
    <w:rPr>
      <w:b/>
      <w:sz w:val="20"/>
      <w:lang w:eastAsia="en-US"/>
    </w:rPr>
  </w:style>
  <w:style w:type="paragraph" w:styleId="TOC4">
    <w:name w:val="toc 4"/>
    <w:basedOn w:val="Normal"/>
    <w:next w:val="Normal"/>
    <w:autoRedefine/>
    <w:uiPriority w:val="39"/>
    <w:unhideWhenUsed/>
    <w:rsid w:val="0034115C"/>
    <w:pPr>
      <w:spacing w:after="60"/>
      <w:ind w:left="1485" w:right="567" w:hanging="765"/>
    </w:pPr>
    <w:rPr>
      <w:b/>
      <w:sz w:val="20"/>
      <w:lang w:eastAsia="en-US"/>
    </w:rPr>
  </w:style>
  <w:style w:type="character" w:styleId="Hyperlink">
    <w:name w:val="Hyperlink"/>
    <w:uiPriority w:val="99"/>
    <w:unhideWhenUsed/>
    <w:rsid w:val="0034115C"/>
    <w:rPr>
      <w:color w:val="0000FF"/>
      <w:u w:val="single"/>
    </w:rPr>
  </w:style>
  <w:style w:type="paragraph" w:styleId="Header">
    <w:name w:val="header"/>
    <w:basedOn w:val="Normal"/>
    <w:link w:val="HeaderChar"/>
    <w:uiPriority w:val="99"/>
    <w:unhideWhenUsed/>
    <w:rsid w:val="0034115C"/>
    <w:pPr>
      <w:tabs>
        <w:tab w:val="center" w:pos="4536"/>
        <w:tab w:val="right" w:pos="9072"/>
      </w:tabs>
    </w:pPr>
  </w:style>
  <w:style w:type="character" w:customStyle="1" w:styleId="HeaderChar">
    <w:name w:val="Header Char"/>
    <w:link w:val="Header"/>
    <w:uiPriority w:val="99"/>
    <w:rsid w:val="0034115C"/>
    <w:rPr>
      <w:rFonts w:ascii="Times New Roman" w:eastAsia="Calibri" w:hAnsi="Times New Roman" w:cs="Times New Roman"/>
      <w:sz w:val="24"/>
      <w:lang w:eastAsia="hr-HR"/>
    </w:rPr>
  </w:style>
  <w:style w:type="paragraph" w:styleId="Footer">
    <w:name w:val="footer"/>
    <w:basedOn w:val="Normal"/>
    <w:link w:val="FooterChar"/>
    <w:uiPriority w:val="99"/>
    <w:unhideWhenUsed/>
    <w:rsid w:val="0034115C"/>
    <w:pPr>
      <w:tabs>
        <w:tab w:val="center" w:pos="4536"/>
        <w:tab w:val="right" w:pos="9072"/>
      </w:tabs>
    </w:pPr>
  </w:style>
  <w:style w:type="character" w:customStyle="1" w:styleId="FooterChar">
    <w:name w:val="Footer Char"/>
    <w:link w:val="Footer"/>
    <w:uiPriority w:val="99"/>
    <w:rsid w:val="0034115C"/>
    <w:rPr>
      <w:rFonts w:ascii="Times New Roman" w:eastAsia="Calibri" w:hAnsi="Times New Roman" w:cs="Times New Roman"/>
      <w:sz w:val="24"/>
      <w:lang w:eastAsia="hr-HR"/>
    </w:rPr>
  </w:style>
  <w:style w:type="character" w:styleId="CommentReference">
    <w:name w:val="annotation reference"/>
    <w:uiPriority w:val="99"/>
    <w:semiHidden/>
    <w:unhideWhenUsed/>
    <w:rsid w:val="0034115C"/>
    <w:rPr>
      <w:sz w:val="16"/>
      <w:szCs w:val="16"/>
    </w:rPr>
  </w:style>
  <w:style w:type="paragraph" w:styleId="CommentText">
    <w:name w:val="annotation text"/>
    <w:basedOn w:val="Normal"/>
    <w:link w:val="CommentTextChar"/>
    <w:uiPriority w:val="99"/>
    <w:semiHidden/>
    <w:unhideWhenUsed/>
    <w:rsid w:val="0034115C"/>
    <w:rPr>
      <w:sz w:val="20"/>
      <w:szCs w:val="20"/>
    </w:rPr>
  </w:style>
  <w:style w:type="character" w:customStyle="1" w:styleId="CommentTextChar">
    <w:name w:val="Comment Text Char"/>
    <w:link w:val="CommentText"/>
    <w:uiPriority w:val="99"/>
    <w:semiHidden/>
    <w:rsid w:val="0034115C"/>
    <w:rPr>
      <w:rFonts w:ascii="Times New Roman" w:eastAsia="Calibri" w:hAnsi="Times New Roman" w:cs="Times New Roman"/>
      <w:sz w:val="20"/>
      <w:szCs w:val="20"/>
      <w:lang w:eastAsia="hr-HR"/>
    </w:rPr>
  </w:style>
  <w:style w:type="table" w:customStyle="1" w:styleId="TableGrid1">
    <w:name w:val="Table Grid1"/>
    <w:basedOn w:val="TableNormal"/>
    <w:next w:val="TableGrid"/>
    <w:rsid w:val="0034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4115C"/>
    <w:pPr>
      <w:spacing w:after="120" w:line="240" w:lineRule="auto"/>
      <w:jc w:val="left"/>
    </w:pPr>
    <w:rPr>
      <w:rFonts w:ascii="Arial" w:eastAsia="Times New Roman" w:hAnsi="Arial" w:cs="Arial"/>
      <w:lang w:eastAsia="en-US"/>
    </w:rPr>
  </w:style>
  <w:style w:type="character" w:customStyle="1" w:styleId="BodyTextChar">
    <w:name w:val="Body Text Char"/>
    <w:link w:val="BodyText"/>
    <w:uiPriority w:val="99"/>
    <w:rsid w:val="0034115C"/>
    <w:rPr>
      <w:rFonts w:ascii="Arial" w:eastAsia="Times New Roman" w:hAnsi="Arial" w:cs="Arial"/>
      <w:sz w:val="24"/>
      <w:szCs w:val="24"/>
    </w:rPr>
  </w:style>
  <w:style w:type="paragraph" w:styleId="BodyTextIndent">
    <w:name w:val="Body Text Indent"/>
    <w:basedOn w:val="Normal"/>
    <w:link w:val="BodyTextIndentChar"/>
    <w:uiPriority w:val="99"/>
    <w:unhideWhenUsed/>
    <w:rsid w:val="0034115C"/>
    <w:pPr>
      <w:spacing w:line="240" w:lineRule="auto"/>
      <w:ind w:firstLine="851"/>
    </w:pPr>
    <w:rPr>
      <w:rFonts w:eastAsia="Times New Roman"/>
      <w:lang w:eastAsia="en-US"/>
    </w:rPr>
  </w:style>
  <w:style w:type="character" w:customStyle="1" w:styleId="BodyTextIndentChar">
    <w:name w:val="Body Text Indent Char"/>
    <w:link w:val="BodyTextIndent"/>
    <w:uiPriority w:val="99"/>
    <w:rsid w:val="0034115C"/>
    <w:rPr>
      <w:rFonts w:ascii="Times New Roman" w:eastAsia="Times New Roman" w:hAnsi="Times New Roman" w:cs="Times New Roman"/>
      <w:sz w:val="24"/>
      <w:szCs w:val="24"/>
    </w:rPr>
  </w:style>
  <w:style w:type="paragraph" w:styleId="ListParagraph">
    <w:name w:val="List Paragraph"/>
    <w:basedOn w:val="Normal"/>
    <w:uiPriority w:val="34"/>
    <w:qFormat/>
    <w:rsid w:val="0034115C"/>
    <w:pPr>
      <w:spacing w:line="240" w:lineRule="auto"/>
      <w:ind w:left="720"/>
      <w:contextualSpacing/>
      <w:jc w:val="left"/>
    </w:pPr>
    <w:rPr>
      <w:rFonts w:ascii="Arial" w:eastAsia="Times New Roman" w:hAnsi="Arial" w:cs="Arial"/>
      <w:lang w:eastAsia="en-US"/>
    </w:rPr>
  </w:style>
  <w:style w:type="paragraph" w:customStyle="1" w:styleId="klasa2">
    <w:name w:val="klasa2"/>
    <w:basedOn w:val="Normal"/>
    <w:rsid w:val="0034115C"/>
    <w:pPr>
      <w:suppressAutoHyphens/>
      <w:autoSpaceDN w:val="0"/>
      <w:spacing w:before="100" w:after="100" w:line="240" w:lineRule="auto"/>
      <w:jc w:val="left"/>
      <w:textAlignment w:val="baseline"/>
    </w:pPr>
    <w:rPr>
      <w:rFonts w:eastAsia="Times New Roman"/>
    </w:rPr>
  </w:style>
  <w:style w:type="paragraph" w:customStyle="1" w:styleId="normal3">
    <w:name w:val="normal3"/>
    <w:basedOn w:val="Normal"/>
    <w:next w:val="Normal"/>
    <w:link w:val="normal3Char"/>
    <w:qFormat/>
    <w:rsid w:val="00C917F8"/>
    <w:pPr>
      <w:spacing w:line="240" w:lineRule="auto"/>
    </w:pPr>
    <w:rPr>
      <w:rFonts w:cs="Arial"/>
    </w:rPr>
  </w:style>
  <w:style w:type="table" w:customStyle="1" w:styleId="TableGrid11">
    <w:name w:val="Table Grid11"/>
    <w:basedOn w:val="TableNormal"/>
    <w:next w:val="TableGrid"/>
    <w:rsid w:val="00FD2E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3DB5"/>
    <w:rPr>
      <w:b/>
      <w:bCs/>
    </w:rPr>
  </w:style>
  <w:style w:type="character" w:customStyle="1" w:styleId="CommentSubjectChar">
    <w:name w:val="Comment Subject Char"/>
    <w:link w:val="CommentSubject"/>
    <w:uiPriority w:val="99"/>
    <w:semiHidden/>
    <w:rsid w:val="008E3DB5"/>
    <w:rPr>
      <w:rFonts w:ascii="Times New Roman" w:eastAsia="Calibri" w:hAnsi="Times New Roman" w:cs="Times New Roman"/>
      <w:b/>
      <w:bCs/>
      <w:sz w:val="20"/>
      <w:szCs w:val="20"/>
      <w:lang w:eastAsia="hr-HR"/>
    </w:rPr>
  </w:style>
  <w:style w:type="paragraph" w:customStyle="1" w:styleId="natuknice">
    <w:name w:val="natuknice"/>
    <w:basedOn w:val="normal3"/>
    <w:link w:val="natukniceChar"/>
    <w:qFormat/>
    <w:rsid w:val="00183952"/>
    <w:pPr>
      <w:numPr>
        <w:numId w:val="21"/>
      </w:numPr>
      <w:ind w:left="709" w:hanging="349"/>
    </w:pPr>
  </w:style>
  <w:style w:type="character" w:customStyle="1" w:styleId="normal3Char">
    <w:name w:val="normal3 Char"/>
    <w:link w:val="normal3"/>
    <w:rsid w:val="00183952"/>
    <w:rPr>
      <w:rFonts w:ascii="Times New Roman" w:hAnsi="Times New Roman" w:cs="Arial"/>
      <w:sz w:val="24"/>
      <w:szCs w:val="24"/>
    </w:rPr>
  </w:style>
  <w:style w:type="character" w:customStyle="1" w:styleId="natukniceChar">
    <w:name w:val="natuknice Char"/>
    <w:link w:val="natuknice"/>
    <w:rsid w:val="00183952"/>
  </w:style>
  <w:style w:type="paragraph" w:styleId="FootnoteText">
    <w:name w:val="footnote text"/>
    <w:basedOn w:val="Normal"/>
    <w:link w:val="FootnoteTextChar"/>
    <w:uiPriority w:val="99"/>
    <w:semiHidden/>
    <w:unhideWhenUsed/>
    <w:rsid w:val="00C326DE"/>
    <w:rPr>
      <w:sz w:val="20"/>
      <w:szCs w:val="20"/>
    </w:rPr>
  </w:style>
  <w:style w:type="character" w:customStyle="1" w:styleId="FootnoteTextChar">
    <w:name w:val="Footnote Text Char"/>
    <w:link w:val="FootnoteText"/>
    <w:uiPriority w:val="99"/>
    <w:semiHidden/>
    <w:rsid w:val="00C326DE"/>
    <w:rPr>
      <w:rFonts w:ascii="Times New Roman" w:hAnsi="Times New Roman"/>
    </w:rPr>
  </w:style>
  <w:style w:type="character" w:styleId="FootnoteReference">
    <w:name w:val="footnote reference"/>
    <w:uiPriority w:val="99"/>
    <w:semiHidden/>
    <w:unhideWhenUsed/>
    <w:rsid w:val="00C326DE"/>
    <w:rPr>
      <w:vertAlign w:val="superscript"/>
    </w:rPr>
  </w:style>
  <w:style w:type="paragraph" w:styleId="Revision">
    <w:name w:val="Revision"/>
    <w:hidden/>
    <w:uiPriority w:val="99"/>
    <w:semiHidden/>
    <w:rsid w:val="00076C24"/>
    <w:rPr>
      <w:rFonts w:ascii="Times New Roman" w:hAnsi="Times New Roman"/>
      <w:sz w:val="24"/>
      <w:szCs w:val="24"/>
    </w:rPr>
  </w:style>
  <w:style w:type="paragraph" w:styleId="EndnoteText">
    <w:name w:val="endnote text"/>
    <w:basedOn w:val="Normal"/>
    <w:link w:val="EndnoteTextChar"/>
    <w:uiPriority w:val="99"/>
    <w:semiHidden/>
    <w:unhideWhenUsed/>
    <w:rsid w:val="003128D4"/>
    <w:rPr>
      <w:sz w:val="20"/>
      <w:szCs w:val="20"/>
    </w:rPr>
  </w:style>
  <w:style w:type="character" w:customStyle="1" w:styleId="EndnoteTextChar">
    <w:name w:val="Endnote Text Char"/>
    <w:link w:val="EndnoteText"/>
    <w:uiPriority w:val="99"/>
    <w:semiHidden/>
    <w:rsid w:val="003128D4"/>
    <w:rPr>
      <w:rFonts w:ascii="Times New Roman" w:hAnsi="Times New Roman"/>
    </w:rPr>
  </w:style>
  <w:style w:type="character" w:styleId="EndnoteReference">
    <w:name w:val="endnote reference"/>
    <w:uiPriority w:val="99"/>
    <w:semiHidden/>
    <w:unhideWhenUsed/>
    <w:rsid w:val="003128D4"/>
    <w:rPr>
      <w:vertAlign w:val="superscript"/>
    </w:rPr>
  </w:style>
  <w:style w:type="paragraph" w:customStyle="1" w:styleId="box466840">
    <w:name w:val="box_466840"/>
    <w:basedOn w:val="Normal"/>
    <w:rsid w:val="00DE2748"/>
    <w:pPr>
      <w:spacing w:before="100" w:beforeAutospacing="1" w:after="100" w:afterAutospacing="1"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008">
      <w:bodyDiv w:val="1"/>
      <w:marLeft w:val="0"/>
      <w:marRight w:val="0"/>
      <w:marTop w:val="0"/>
      <w:marBottom w:val="0"/>
      <w:divBdr>
        <w:top w:val="none" w:sz="0" w:space="0" w:color="auto"/>
        <w:left w:val="none" w:sz="0" w:space="0" w:color="auto"/>
        <w:bottom w:val="none" w:sz="0" w:space="0" w:color="auto"/>
        <w:right w:val="none" w:sz="0" w:space="0" w:color="auto"/>
      </w:divBdr>
    </w:div>
    <w:div w:id="87386367">
      <w:bodyDiv w:val="1"/>
      <w:marLeft w:val="0"/>
      <w:marRight w:val="0"/>
      <w:marTop w:val="0"/>
      <w:marBottom w:val="0"/>
      <w:divBdr>
        <w:top w:val="none" w:sz="0" w:space="0" w:color="auto"/>
        <w:left w:val="none" w:sz="0" w:space="0" w:color="auto"/>
        <w:bottom w:val="none" w:sz="0" w:space="0" w:color="auto"/>
        <w:right w:val="none" w:sz="0" w:space="0" w:color="auto"/>
      </w:divBdr>
    </w:div>
    <w:div w:id="1719233485">
      <w:bodyDiv w:val="1"/>
      <w:marLeft w:val="0"/>
      <w:marRight w:val="0"/>
      <w:marTop w:val="0"/>
      <w:marBottom w:val="0"/>
      <w:divBdr>
        <w:top w:val="none" w:sz="0" w:space="0" w:color="auto"/>
        <w:left w:val="none" w:sz="0" w:space="0" w:color="auto"/>
        <w:bottom w:val="none" w:sz="0" w:space="0" w:color="auto"/>
        <w:right w:val="none" w:sz="0" w:space="0" w:color="auto"/>
      </w:divBdr>
    </w:div>
    <w:div w:id="1903979201">
      <w:bodyDiv w:val="1"/>
      <w:marLeft w:val="0"/>
      <w:marRight w:val="0"/>
      <w:marTop w:val="0"/>
      <w:marBottom w:val="0"/>
      <w:divBdr>
        <w:top w:val="none" w:sz="0" w:space="0" w:color="auto"/>
        <w:left w:val="none" w:sz="0" w:space="0" w:color="auto"/>
        <w:bottom w:val="none" w:sz="0" w:space="0" w:color="auto"/>
        <w:right w:val="none" w:sz="0" w:space="0" w:color="auto"/>
      </w:divBdr>
    </w:div>
    <w:div w:id="20280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912FEDEB3724387CA9B8AA6EA1940" ma:contentTypeVersion="0" ma:contentTypeDescription="Create a new document." ma:contentTypeScope="" ma:versionID="94a26ef0df75b9bc9ede38505d914af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471C-0408-4F8E-918F-26C0AD634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B57747-8036-4EB9-A76F-488DC6B533CE}">
  <ds:schemaRefs>
    <ds:schemaRef ds:uri="http://schemas.microsoft.com/office/2006/metadata/longProperties"/>
  </ds:schemaRefs>
</ds:datastoreItem>
</file>

<file path=customXml/itemProps3.xml><?xml version="1.0" encoding="utf-8"?>
<ds:datastoreItem xmlns:ds="http://schemas.openxmlformats.org/officeDocument/2006/customXml" ds:itemID="{AA55A54D-9FE0-4588-A710-3F3B90A8DC80}">
  <ds:schemaRefs>
    <ds:schemaRef ds:uri="http://schemas.microsoft.com/sharepoint/v3/contenttype/forms"/>
  </ds:schemaRefs>
</ds:datastoreItem>
</file>

<file path=customXml/itemProps4.xml><?xml version="1.0" encoding="utf-8"?>
<ds:datastoreItem xmlns:ds="http://schemas.openxmlformats.org/officeDocument/2006/customXml" ds:itemID="{CE2A18C4-AB25-4FF3-B04E-4B93DE523C3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FBA4D7-6BD0-4F66-8D1F-FDDE8596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3935</Words>
  <Characters>22430</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Šaban Sandi</dc:creator>
  <cp:keywords/>
  <dc:description/>
  <cp:lastModifiedBy>Katarina Bilonić</cp:lastModifiedBy>
  <cp:revision>8</cp:revision>
  <cp:lastPrinted>2026-02-19T13:44:00Z</cp:lastPrinted>
  <dcterms:created xsi:type="dcterms:W3CDTF">2026-02-18T11:30:00Z</dcterms:created>
  <dcterms:modified xsi:type="dcterms:W3CDTF">2026-02-19T14:10:00Z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AZJMDCZ6QSYZ-7492995-11265</vt:lpwstr>
  </property>
  <property fmtid="{D5CDD505-2E9C-101B-9397-08002B2CF9AE}" pid="3" name="_dlc_DocIdItemGuid">
    <vt:lpwstr>e95e2fa8-d705-4b31-b0a7-af65fc6ee141</vt:lpwstr>
  </property>
  <property fmtid="{D5CDD505-2E9C-101B-9397-08002B2CF9AE}" pid="4" name="_dlc_DocIdUrl">
    <vt:lpwstr>https://ekoordinacije.vlada.hr/unutarnja-vanjska-politika/_layouts/15/DocIdRedir.aspx?ID=AZJMDCZ6QSYZ-7492995-11265, AZJMDCZ6QSYZ-7492995-11265</vt:lpwstr>
  </property>
  <property fmtid="{D5CDD505-2E9C-101B-9397-08002B2CF9AE}" pid="5" name="PublishingExpirationDate">
    <vt:lpwstr/>
  </property>
  <property fmtid="{D5CDD505-2E9C-101B-9397-08002B2CF9AE}" pid="6" name="PublishingStartDate">
    <vt:lpwstr/>
  </property>
</Properties>
</file>