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p w:rsidR="00EA0D30" w:rsidRDefault="0072182C">
      <w:pPr>
        <w:pStyle w:val="Heading2"/>
      </w:pPr>
      <w:r>
        <w:t>02035 Ured za opće poslove Hrvatskoga sabora i Vlade Republike Hrvatske</w:t>
      </w:r>
    </w:p>
    <w:p w:rsidR="00EA0D30" w:rsidRDefault="0072182C">
      <w:r>
        <w:t>Ured za opće poslove Hrvatskoga sabora i Vlade Republike Hrvatske (u daljnjem tekstu: Ured) je zajednička stručna služba Hrvatskoga sabora, Vlade Republike Hrvatske, Ureda predsjednika Vlade Republike Hrvatske, ureda i stručnih službi Vlade Republike Hrvat</w:t>
      </w:r>
      <w:r>
        <w:t>ske. Tijekom 2024. godine Ured je pružao podršku u radu i Povjerenstva za fiskalnu politiku (do rujna 2024. godine), Uredu predsjednice Republike Hrvatske po prestanku obnašanja dužnosti te Uredu potpredsjednice Vlade Republike Hrvatske (do 23.05.2024. suk</w:t>
      </w:r>
      <w:r>
        <w:t xml:space="preserve">ladno Uredbi o prestanku važenja Uredbe o Uredu potpredsjednice Vlade Republike Hrvatske). </w:t>
      </w:r>
    </w:p>
    <w:p w:rsidR="00EA0D30" w:rsidRDefault="0072182C">
      <w:r>
        <w:t>Djelokrug Ureda podijeljen je kroz 6 službi koje pružaju podršku radu ureda o kojima Ured brine u područjima pravnih poslova, upravljanja ljudskim potencijalima i u</w:t>
      </w:r>
      <w:r>
        <w:t xml:space="preserve">redskog poslovanja, financijskih i računovodstvenih poslova, poslova nabave i upravljanja voznim parkom, pomoćno tehničkih poslova te informatičkih i telekomunikacijskih poslova.  </w:t>
      </w:r>
    </w:p>
    <w:p w:rsidR="00EA0D30" w:rsidRDefault="0072182C">
      <w:r>
        <w:t>Tijekom 2024. godine poslovanje Ureda bilo je usmjereno na pružanje operati</w:t>
      </w:r>
      <w:r>
        <w:t>vne podrške tijelima koja su navedena u Uredbi Ureda, provedbu cjelovite i, u preostalom dijelu, konstrukcijske obnove palače Bužan, nastavak modernizacije telekomunikacijskog i informatičkog sustava te podmirenje fiksnih i ugovornih obveza.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2"/>
        <w:gridCol w:w="2042"/>
        <w:gridCol w:w="2042"/>
        <w:gridCol w:w="2042"/>
        <w:gridCol w:w="1224"/>
        <w:gridCol w:w="1224"/>
      </w:tblGrid>
      <w:tr w:rsidR="00EA0D30">
        <w:trPr>
          <w:jc w:val="center"/>
        </w:trPr>
        <w:tc>
          <w:tcPr>
            <w:tcW w:w="1632" w:type="dxa"/>
            <w:shd w:val="clear" w:color="auto" w:fill="B5C0D8"/>
          </w:tcPr>
          <w:p w:rsidR="00EA0D30" w:rsidRDefault="00EA0D30">
            <w:pPr>
              <w:pStyle w:val="CellHeader"/>
              <w:jc w:val="center"/>
            </w:pPr>
          </w:p>
        </w:tc>
        <w:tc>
          <w:tcPr>
            <w:tcW w:w="204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Izvršenje 202</w:t>
            </w:r>
            <w:r>
              <w:rPr>
                <w:rFonts w:cs="Times New Roman"/>
              </w:rPr>
              <w:t>3. (eur)</w:t>
            </w:r>
          </w:p>
        </w:tc>
        <w:tc>
          <w:tcPr>
            <w:tcW w:w="204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2024./2023.</w:t>
            </w:r>
          </w:p>
        </w:tc>
      </w:tr>
      <w:tr w:rsidR="00EA0D30">
        <w:trPr>
          <w:jc w:val="center"/>
        </w:trPr>
        <w:tc>
          <w:tcPr>
            <w:tcW w:w="1632" w:type="dxa"/>
            <w:vAlign w:val="top"/>
          </w:tcPr>
          <w:p w:rsidR="00EA0D30" w:rsidRDefault="0072182C">
            <w:pPr>
              <w:pStyle w:val="CellColumn"/>
              <w:jc w:val="left"/>
            </w:pPr>
            <w:r>
              <w:rPr>
                <w:rFonts w:cs="Times New Roman"/>
              </w:rPr>
              <w:t>02035-Ured za opće poslove Hrvatskoga sabora i Vlade Republike Hrvatske</w:t>
            </w:r>
          </w:p>
        </w:tc>
        <w:tc>
          <w:tcPr>
            <w:tcW w:w="2041" w:type="dxa"/>
            <w:vAlign w:val="top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9.390.868</w:t>
            </w:r>
          </w:p>
        </w:tc>
        <w:tc>
          <w:tcPr>
            <w:tcW w:w="2041" w:type="dxa"/>
            <w:vAlign w:val="top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9.244.484</w:t>
            </w:r>
          </w:p>
        </w:tc>
        <w:tc>
          <w:tcPr>
            <w:tcW w:w="2041" w:type="dxa"/>
            <w:vAlign w:val="top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8.432.014</w:t>
            </w:r>
          </w:p>
        </w:tc>
        <w:tc>
          <w:tcPr>
            <w:tcW w:w="1224" w:type="dxa"/>
            <w:vAlign w:val="top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91,2</w:t>
            </w:r>
          </w:p>
        </w:tc>
        <w:tc>
          <w:tcPr>
            <w:tcW w:w="1224" w:type="dxa"/>
            <w:vAlign w:val="top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89,8</w:t>
            </w:r>
          </w:p>
        </w:tc>
      </w:tr>
      <w:tr w:rsidR="00EA0D30">
        <w:trPr>
          <w:jc w:val="center"/>
        </w:trPr>
        <w:tc>
          <w:tcPr>
            <w:tcW w:w="1632" w:type="dxa"/>
          </w:tcPr>
          <w:p w:rsidR="00EA0D30" w:rsidRDefault="0072182C">
            <w:pPr>
              <w:jc w:val="left"/>
            </w:pPr>
            <w:r>
              <w:t>2110-OPĆI POSLOVI ZA POTREBE HRVATSKOG SABORA I VLADE REPUBLIKE HRVATSKE</w:t>
            </w:r>
          </w:p>
        </w:tc>
        <w:tc>
          <w:tcPr>
            <w:tcW w:w="2041" w:type="dxa"/>
          </w:tcPr>
          <w:p w:rsidR="00EA0D30" w:rsidRDefault="0072182C">
            <w:pPr>
              <w:jc w:val="right"/>
            </w:pPr>
            <w:r>
              <w:t>9.390.868</w:t>
            </w:r>
          </w:p>
        </w:tc>
        <w:tc>
          <w:tcPr>
            <w:tcW w:w="2041" w:type="dxa"/>
          </w:tcPr>
          <w:p w:rsidR="00EA0D30" w:rsidRDefault="0072182C">
            <w:pPr>
              <w:jc w:val="right"/>
            </w:pPr>
            <w:r>
              <w:t>9.244.484</w:t>
            </w:r>
          </w:p>
        </w:tc>
        <w:tc>
          <w:tcPr>
            <w:tcW w:w="2041" w:type="dxa"/>
          </w:tcPr>
          <w:p w:rsidR="00EA0D30" w:rsidRDefault="0072182C">
            <w:pPr>
              <w:jc w:val="right"/>
            </w:pPr>
            <w:r>
              <w:t>8.432.014</w:t>
            </w:r>
          </w:p>
        </w:tc>
        <w:tc>
          <w:tcPr>
            <w:tcW w:w="1224" w:type="dxa"/>
          </w:tcPr>
          <w:p w:rsidR="00EA0D30" w:rsidRDefault="0072182C">
            <w:pPr>
              <w:jc w:val="right"/>
            </w:pPr>
            <w:r>
              <w:t>91,2</w:t>
            </w:r>
          </w:p>
        </w:tc>
        <w:tc>
          <w:tcPr>
            <w:tcW w:w="1224" w:type="dxa"/>
          </w:tcPr>
          <w:p w:rsidR="00EA0D30" w:rsidRDefault="0072182C">
            <w:pPr>
              <w:jc w:val="right"/>
            </w:pPr>
            <w:r>
              <w:t>89,8</w:t>
            </w:r>
          </w:p>
        </w:tc>
      </w:tr>
    </w:tbl>
    <w:p w:rsidR="00EA0D30" w:rsidRDefault="00EA0D30">
      <w:pPr>
        <w:jc w:val="left"/>
      </w:pPr>
    </w:p>
    <w:p w:rsidR="00EA0D30" w:rsidRDefault="0072182C">
      <w:pPr>
        <w:pStyle w:val="Heading3"/>
      </w:pPr>
      <w:r>
        <w:rPr>
          <w:rFonts w:cs="Times New Roman"/>
        </w:rPr>
        <w:t>2110 OPĆI POSLOVI ZA POTREBE HRVATSKOG SABORA I VLADE REPUBLIKE HRVATSKE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2"/>
        <w:gridCol w:w="2042"/>
        <w:gridCol w:w="2042"/>
        <w:gridCol w:w="2042"/>
        <w:gridCol w:w="1224"/>
        <w:gridCol w:w="1224"/>
      </w:tblGrid>
      <w:tr w:rsidR="00EA0D30">
        <w:trPr>
          <w:jc w:val="center"/>
        </w:trPr>
        <w:tc>
          <w:tcPr>
            <w:tcW w:w="1632" w:type="dxa"/>
            <w:shd w:val="clear" w:color="auto" w:fill="B5C0D8"/>
          </w:tcPr>
          <w:p w:rsidR="00EA0D30" w:rsidRDefault="00EA0D30">
            <w:pPr>
              <w:pStyle w:val="CellHeader"/>
              <w:jc w:val="center"/>
            </w:pPr>
          </w:p>
        </w:tc>
        <w:tc>
          <w:tcPr>
            <w:tcW w:w="204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204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Index izvršenje 2024./2023.</w:t>
            </w:r>
          </w:p>
        </w:tc>
      </w:tr>
      <w:tr w:rsidR="00EA0D30">
        <w:trPr>
          <w:jc w:val="center"/>
        </w:trPr>
        <w:tc>
          <w:tcPr>
            <w:tcW w:w="1632" w:type="dxa"/>
          </w:tcPr>
          <w:p w:rsidR="00EA0D30" w:rsidRDefault="0072182C">
            <w:pPr>
              <w:pStyle w:val="CellColumn"/>
              <w:jc w:val="left"/>
            </w:pPr>
            <w:r>
              <w:rPr>
                <w:rFonts w:cs="Times New Roman"/>
              </w:rPr>
              <w:t>2110-OPĆI POSLOVI ZA POTREBE HRVATSKOG SABORA I VLADE REPUBLIKE HRVATSKE</w:t>
            </w:r>
          </w:p>
        </w:tc>
        <w:tc>
          <w:tcPr>
            <w:tcW w:w="2041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9.390.868</w:t>
            </w:r>
          </w:p>
        </w:tc>
        <w:tc>
          <w:tcPr>
            <w:tcW w:w="2041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9.244.484</w:t>
            </w:r>
          </w:p>
        </w:tc>
        <w:tc>
          <w:tcPr>
            <w:tcW w:w="2041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8.432.014</w:t>
            </w:r>
          </w:p>
        </w:tc>
        <w:tc>
          <w:tcPr>
            <w:tcW w:w="1224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91,2</w:t>
            </w:r>
          </w:p>
        </w:tc>
        <w:tc>
          <w:tcPr>
            <w:tcW w:w="1224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89,8</w:t>
            </w:r>
          </w:p>
        </w:tc>
      </w:tr>
    </w:tbl>
    <w:p w:rsidR="00EA0D30" w:rsidRDefault="00EA0D30">
      <w:pPr>
        <w:jc w:val="left"/>
      </w:pPr>
    </w:p>
    <w:p w:rsidR="00EA0D30" w:rsidRDefault="0072182C">
      <w:pPr>
        <w:pStyle w:val="Heading8"/>
        <w:jc w:val="left"/>
      </w:pPr>
      <w:r>
        <w:lastRenderedPageBreak/>
        <w:t>Cilj 1. Učinkovito, ekonomično i djelotvorno gospodarenje imovinom i sredstvima proračunskih korisnika za čije se poslovanje Ured brine</w:t>
      </w:r>
    </w:p>
    <w:p w:rsidR="00EA0D30" w:rsidRDefault="0072182C">
      <w:pPr>
        <w:pStyle w:val="Heading8"/>
        <w:jc w:val="left"/>
      </w:pPr>
      <w:r>
        <w:t>Opis provedbe cilja programa</w:t>
      </w:r>
    </w:p>
    <w:p w:rsidR="00EA0D30" w:rsidRDefault="0072182C">
      <w:pPr>
        <w:pStyle w:val="Heading8"/>
        <w:jc w:val="left"/>
      </w:pPr>
      <w:r>
        <w:t>Pokazatelji učinka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553"/>
        <w:gridCol w:w="2553"/>
        <w:gridCol w:w="1020"/>
        <w:gridCol w:w="1020"/>
        <w:gridCol w:w="1020"/>
        <w:gridCol w:w="1020"/>
        <w:gridCol w:w="1020"/>
      </w:tblGrid>
      <w:tr w:rsidR="00EA0D30">
        <w:trPr>
          <w:jc w:val="center"/>
        </w:trPr>
        <w:tc>
          <w:tcPr>
            <w:tcW w:w="2551" w:type="dxa"/>
            <w:shd w:val="clear" w:color="auto" w:fill="B5C0D8"/>
          </w:tcPr>
          <w:p w:rsidR="00EA0D30" w:rsidRDefault="0072182C">
            <w:pPr>
              <w:jc w:val="center"/>
            </w:pPr>
            <w:r>
              <w:t>Pokazatelj učinka</w:t>
            </w:r>
          </w:p>
        </w:tc>
        <w:tc>
          <w:tcPr>
            <w:tcW w:w="255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1020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1020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1020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(2024.)</w:t>
            </w:r>
          </w:p>
        </w:tc>
        <w:tc>
          <w:tcPr>
            <w:tcW w:w="1020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Ostvarena vrijednost (2024.)</w:t>
            </w:r>
          </w:p>
        </w:tc>
      </w:tr>
      <w:tr w:rsidR="00EA0D30">
        <w:trPr>
          <w:jc w:val="center"/>
        </w:trPr>
        <w:tc>
          <w:tcPr>
            <w:tcW w:w="2551" w:type="dxa"/>
          </w:tcPr>
          <w:p w:rsidR="00EA0D30" w:rsidRDefault="0072182C">
            <w:pPr>
              <w:pStyle w:val="CellColumn"/>
              <w:jc w:val="left"/>
            </w:pPr>
            <w:r>
              <w:rPr>
                <w:rFonts w:cs="Times New Roman"/>
              </w:rPr>
              <w:t xml:space="preserve">Osigurana potpora, smjernice i kontrole u ostvarivanju djelatnosti ureda o kojima brine Ured za opće poslove  </w:t>
            </w:r>
          </w:p>
          <w:p w:rsidR="00EA0D30" w:rsidRDefault="0072182C">
            <w:pPr>
              <w:pStyle w:val="CellColumn"/>
              <w:jc w:val="left"/>
            </w:pPr>
            <w:r>
              <w:rPr>
                <w:rFonts w:cs="Times New Roman"/>
              </w:rPr>
              <w:t xml:space="preserve">Hrvatskoga sabora i Vlade  </w:t>
            </w:r>
          </w:p>
          <w:p w:rsidR="00EA0D30" w:rsidRDefault="0072182C">
            <w:pPr>
              <w:pStyle w:val="CellColumn"/>
              <w:jc w:val="left"/>
            </w:pPr>
            <w:r>
              <w:rPr>
                <w:rFonts w:cs="Times New Roman"/>
              </w:rPr>
              <w:t>Republike Hrvatske</w:t>
            </w:r>
          </w:p>
        </w:tc>
        <w:tc>
          <w:tcPr>
            <w:tcW w:w="2551" w:type="dxa"/>
          </w:tcPr>
          <w:p w:rsidR="00EA0D30" w:rsidRDefault="0072182C">
            <w:pPr>
              <w:pStyle w:val="CellColumn"/>
              <w:jc w:val="left"/>
            </w:pPr>
            <w:r>
              <w:rPr>
                <w:rFonts w:cs="Times New Roman"/>
              </w:rPr>
              <w:t>Potpore i smjernice su bitni elementi u o</w:t>
            </w:r>
            <w:r>
              <w:rPr>
                <w:rFonts w:cs="Times New Roman"/>
              </w:rPr>
              <w:t>državanju dobre komunikacije čime se utječe na uklanjanje nedoumica, grešaka i nepravilnosti te se osigurava zakonito, svrhovito i učinkovito trošenje osiguranih proračunskih sredstava uz prethodne i naknadne kontrole</w:t>
            </w:r>
          </w:p>
        </w:tc>
        <w:tc>
          <w:tcPr>
            <w:tcW w:w="1020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%</w:t>
            </w:r>
          </w:p>
        </w:tc>
        <w:tc>
          <w:tcPr>
            <w:tcW w:w="1020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  <w:tc>
          <w:tcPr>
            <w:tcW w:w="1020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Ured</w:t>
            </w:r>
          </w:p>
        </w:tc>
        <w:tc>
          <w:tcPr>
            <w:tcW w:w="1020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  <w:tc>
          <w:tcPr>
            <w:tcW w:w="1020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100</w:t>
            </w:r>
          </w:p>
        </w:tc>
      </w:tr>
    </w:tbl>
    <w:p w:rsidR="00EA0D30" w:rsidRDefault="00EA0D30">
      <w:pPr>
        <w:jc w:val="left"/>
      </w:pPr>
    </w:p>
    <w:p w:rsidR="00EA0D30" w:rsidRDefault="0072182C">
      <w:pPr>
        <w:pStyle w:val="Heading4"/>
      </w:pPr>
      <w:r>
        <w:t>A515000 ADMINISTRACIJA I UPRAVLJANJE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93"/>
        <w:gridCol w:w="1994"/>
        <w:gridCol w:w="1994"/>
        <w:gridCol w:w="1994"/>
        <w:gridCol w:w="1213"/>
        <w:gridCol w:w="1218"/>
      </w:tblGrid>
      <w:tr w:rsidR="00EA0D30">
        <w:trPr>
          <w:jc w:val="center"/>
        </w:trPr>
        <w:tc>
          <w:tcPr>
            <w:tcW w:w="1632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204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2024./2023.</w:t>
            </w:r>
          </w:p>
        </w:tc>
      </w:tr>
      <w:tr w:rsidR="00EA0D30">
        <w:trPr>
          <w:jc w:val="center"/>
        </w:trPr>
        <w:tc>
          <w:tcPr>
            <w:tcW w:w="1632" w:type="dxa"/>
          </w:tcPr>
          <w:p w:rsidR="00EA0D30" w:rsidRDefault="0072182C">
            <w:pPr>
              <w:pStyle w:val="CellColumn"/>
              <w:jc w:val="left"/>
            </w:pPr>
            <w:r>
              <w:rPr>
                <w:rFonts w:cs="Times New Roman"/>
              </w:rPr>
              <w:t>A515000-ADMINISTRACIJA I UPRAVLJANJE</w:t>
            </w:r>
          </w:p>
        </w:tc>
        <w:tc>
          <w:tcPr>
            <w:tcW w:w="2041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9.135.095</w:t>
            </w:r>
          </w:p>
        </w:tc>
        <w:tc>
          <w:tcPr>
            <w:tcW w:w="2041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9.061.186</w:t>
            </w:r>
          </w:p>
        </w:tc>
        <w:tc>
          <w:tcPr>
            <w:tcW w:w="2041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8.293.063</w:t>
            </w:r>
          </w:p>
        </w:tc>
        <w:tc>
          <w:tcPr>
            <w:tcW w:w="1224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91,5</w:t>
            </w:r>
          </w:p>
        </w:tc>
        <w:tc>
          <w:tcPr>
            <w:tcW w:w="1224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90,8</w:t>
            </w:r>
          </w:p>
        </w:tc>
      </w:tr>
    </w:tbl>
    <w:p w:rsidR="00EA0D30" w:rsidRDefault="00EA0D30">
      <w:pPr>
        <w:jc w:val="left"/>
      </w:pPr>
    </w:p>
    <w:p w:rsidR="00EA0D30" w:rsidRDefault="0072182C">
      <w:pPr>
        <w:pStyle w:val="Heading8"/>
        <w:jc w:val="left"/>
      </w:pPr>
      <w:r>
        <w:t>Zakonske i druge pravne osnove</w:t>
      </w:r>
    </w:p>
    <w:p w:rsidR="00EA0D30" w:rsidRDefault="0072182C">
      <w:r>
        <w:t>Uredba o Uredu za opće poslove Hrvatskoga sabora i Vlade Republike Hrvatske</w:t>
      </w:r>
    </w:p>
    <w:p w:rsidR="00EA0D30" w:rsidRDefault="0072182C">
      <w:pPr>
        <w:pStyle w:val="Heading8"/>
        <w:jc w:val="left"/>
      </w:pPr>
      <w:r>
        <w:t>Opis aktivnosti</w:t>
      </w:r>
    </w:p>
    <w:p w:rsidR="00EA0D30" w:rsidRDefault="0072182C">
      <w:r>
        <w:t>U okviru aktivnosti A515000 Administracija i upravljanje u 2024. godini ukupno su izvršena sredstva u iznosu 8.293.063,18 eura od čega na izvoru financiranja 11 Opći prihodi i primici 6.520.658,85 eura, izvoru financiranja 31 Vlastiti prihodi 287.836,64 eu</w:t>
      </w:r>
      <w:r>
        <w:t xml:space="preserve">ra i izvoru financiranja 815 Namjenski primitak – NPOO 1.484.567,69 eura.   </w:t>
      </w:r>
    </w:p>
    <w:p w:rsidR="00EA0D30" w:rsidRDefault="0072182C">
      <w:r>
        <w:t xml:space="preserve"> </w:t>
      </w:r>
    </w:p>
    <w:p w:rsidR="00EA0D30" w:rsidRDefault="0072182C">
      <w:r>
        <w:t xml:space="preserve">U nastavku dajemo obrazloženje izvršenja po pojedinim izvorima financiranja i skupinama rashoda.  </w:t>
      </w:r>
    </w:p>
    <w:p w:rsidR="00EA0D30" w:rsidRDefault="0072182C">
      <w:r>
        <w:t xml:space="preserve"> </w:t>
      </w:r>
    </w:p>
    <w:p w:rsidR="00EA0D30" w:rsidRDefault="0072182C">
      <w:r>
        <w:t xml:space="preserve">Za rashode za zaposlene u 2024. godini u okviru izvora financiranja 11 Opći </w:t>
      </w:r>
      <w:r>
        <w:t>prihodi i primici izvršena su sredstva u iznosu 5.040.334,45 eura što je 97,75% u  odnosu na konačni plan ove skupine rashoda za 2024. godinu. Sredstva su izvršena za podmirenje rashoda za zaposlene državne službenike i namještenike uzimajući u obzir poveć</w:t>
      </w:r>
      <w:r>
        <w:t>avanje osnovice sukladno Dodatku III. Kolektivnog ugovora za državne službenike i namještenike („Narodne novine“, broj 128/2023), povećanje koeficijenata državnim službenicima sukladno Zakonu o plaćama u državnoj službi i javnim službama („Narodne novine“,</w:t>
      </w:r>
      <w:r>
        <w:t xml:space="preserve"> broj 155/2023) i Uredbi o nazivima radnih mjesta, uvjetima za raspored i koeficijentima za obračun plaće u državnoj službi (“Narodne novine” broj 22/2024). Osim plaća za redovan i prekovremeni rad te doprinose, podmirene su i sljedeće obveze: 218 božićnic</w:t>
      </w:r>
      <w:r>
        <w:t>a, 35 jubilarnih nagrada, 81 dar za djecu, 13 otpremnina, 12 pomoći za smrtni slučaj, 19 pomoći za bolovanje, 2 pomoći za lijekove, 2 pomoći za rođenje djeteta, 3 naknade za neiskorišteni godišnji odmor, 234 regresa za godišnji odmor te sukladno Dodatku II</w:t>
      </w:r>
      <w:r>
        <w:t xml:space="preserve">I. Kolektivnog ugovora za državne službenike i namještenike (Narodne novine, broj 128/2023) 228 uskrsnica. </w:t>
      </w:r>
    </w:p>
    <w:p w:rsidR="00EA0D30" w:rsidRDefault="0072182C">
      <w:r>
        <w:t xml:space="preserve"> </w:t>
      </w:r>
    </w:p>
    <w:p w:rsidR="00EA0D30" w:rsidRDefault="0072182C">
      <w:r>
        <w:lastRenderedPageBreak/>
        <w:t>Materijalni rashodi u okviru izvora financiranja 11 Opći prihodi i primici u 2024. godini izvršeni su u iznosu 1.219.950,47 eura što je 74,49% u o</w:t>
      </w:r>
      <w:r>
        <w:t xml:space="preserve">dnosu na konačni plan ove skupine rashoda za 2024. godinu. Najznačajnije izvršenje u okviru materijalnih rashoda odnosi se na: </w:t>
      </w:r>
    </w:p>
    <w:p w:rsidR="00EA0D30" w:rsidRDefault="0072182C">
      <w:r>
        <w:t>- podmirenje troškova za preseljenje Hrvatskoga sabora na novu lokaciju u HVU dr. Franjo Tuđman zbog početka obnove od posljedic</w:t>
      </w:r>
      <w:r>
        <w:t xml:space="preserve">a potresa zgrade Hrvatskoga sabora što je obuhvatilo uređenje prostora za skladište uredskog materijala, preseljenje telefonske centrale, uvođenje dodatnih telekomunikacijskih veza u iznosu 49.844,11eura </w:t>
      </w:r>
    </w:p>
    <w:p w:rsidR="00EA0D30" w:rsidRDefault="0072182C">
      <w:r>
        <w:t>- podmirenje troškova najma poslovnog prostora Ured</w:t>
      </w:r>
      <w:r>
        <w:t>a na lokaciji Trg bana Josipa Jelačića 5 u iznosu 140.250,00 eura za vrijeme trajanja obnove palače Bužan od posljedica potresa te troškova u iznosu 94.199,79 eura za preseljenje Ureda na matičnu lokaciju nakon završetka obnove od posljedica potresa što je</w:t>
      </w:r>
      <w:r>
        <w:t xml:space="preserve"> uključivalo vraćanje unajmljenog prostora u prvobitno stanje, nabavu kutija za seljenje, uslugu preseljenja namještaja i opreme, nabavu inventara za uređenje prostora, odvoz glomaznog otpada, izradu projektne dokumentacije opremanja uredskog prostora </w:t>
      </w:r>
    </w:p>
    <w:p w:rsidR="00EA0D30" w:rsidRDefault="0072182C">
      <w:r>
        <w:t>- p</w:t>
      </w:r>
      <w:r>
        <w:t>odmirenje troškova vezanih uz potrebe korisnika prijevoza službenim automobilima Ureda što je obuhvatilo dnevnice i smještaj na službenom putu vozača Ureda, podmirenje troškova goriva, nabavu auto guma, materijala i usluga za održavanje službenih automobil</w:t>
      </w:r>
      <w:r>
        <w:t xml:space="preserve">a, operativni leasing, premije osiguranja i registraciju službenih automobila u iznosu 260.286,76 eura. </w:t>
      </w:r>
    </w:p>
    <w:p w:rsidR="00EA0D30" w:rsidRDefault="0072182C">
      <w:r>
        <w:t>Ostatak sredstva se odnosi na podmirenje fiksnih troškova što uključuje: naknade za prijevoz na posao i s posla državnih službenika i namještenika, str</w:t>
      </w:r>
      <w:r>
        <w:t>učne seminare, uredske potrepštine i pretplate na stručnu literaturu, nabavu službene, radne i zaštitne odjeće i obuće, režijske, telekomunikacijske i komunalne troškove, nabavu materijala te usluga za održavanje zgrade i opreme, tiskovine, oglase, najam o</w:t>
      </w:r>
      <w:r>
        <w:t xml:space="preserve">preme i parking mjesta, sistematske preglede, usluge student servisa za pomoćne poslove, održavanje aplikativnih rješenja, usluge čišćenja, reprezentaciju, RTV pristojbe.  </w:t>
      </w:r>
    </w:p>
    <w:p w:rsidR="00EA0D30" w:rsidRDefault="0072182C">
      <w:r>
        <w:t>Financijski rashodi u 2024. godini u okviru izvora financiranja 11 Opći prihodi i p</w:t>
      </w:r>
      <w:r>
        <w:t xml:space="preserve">rimici izvršeni su u iznosu 77,13 eura za zatezne kamate režijskih troškova.  </w:t>
      </w:r>
    </w:p>
    <w:p w:rsidR="00EA0D30" w:rsidRDefault="0072182C">
      <w:r>
        <w:t xml:space="preserve"> </w:t>
      </w:r>
    </w:p>
    <w:p w:rsidR="00EA0D30" w:rsidRDefault="0072182C">
      <w:r>
        <w:t>Naknade građanima i kućanstvima na temelju osiguranja i druge naknade u okviru izvora financiranja 11 Opći prihodi i primici u 2024. godini izvršene su u iznosu 15.025,42 eura</w:t>
      </w:r>
      <w:r>
        <w:t xml:space="preserve"> za upućivanje šest djelatnica Ureda na dodatna školovanja. </w:t>
      </w:r>
    </w:p>
    <w:p w:rsidR="00EA0D30" w:rsidRDefault="0072182C">
      <w:r>
        <w:t xml:space="preserve"> </w:t>
      </w:r>
    </w:p>
    <w:p w:rsidR="00EA0D30" w:rsidRDefault="0072182C">
      <w:r>
        <w:t xml:space="preserve">Ostali rashodi u okviru izvora financiranja 11 Opći prihodi i primici u 2024. godini su izvršeni u iznosu 15,00 eura za kaznu za prometni prekršaj. </w:t>
      </w:r>
    </w:p>
    <w:p w:rsidR="00EA0D30" w:rsidRDefault="0072182C">
      <w:r>
        <w:t xml:space="preserve"> </w:t>
      </w:r>
    </w:p>
    <w:p w:rsidR="00EA0D30" w:rsidRDefault="0072182C">
      <w:r>
        <w:t>Za rashode za nabavu proizvedene dugotrajn</w:t>
      </w:r>
      <w:r>
        <w:t xml:space="preserve">e imovine u 2024. godini u okviru izvora financiranja 11 Opći prihodi i primici izvršena su sredstva u iznosu 152.375,16 eura što je 65,96% u odnosu na konačni plan ove skupine rashoda za 2024. godinu. Sredstva su izvršena za nabavu: uredskog namještaja i </w:t>
      </w:r>
      <w:r>
        <w:t>opreme za potrebe preseljenja Ureda na matičnu lokaciju nakon završetka obnove palače Bužan od posljedica potresa u iznosu 119.006,19 eura, namještaja i opreme za djelatnike Ureda na novoj lokaciji Hrvatskoga sabora u HVU dr. Franjo Tuđman, uslijed početka</w:t>
      </w:r>
      <w:r>
        <w:t xml:space="preserve"> radova obnove zgrade Hrvatskoga sabora od posljedica potresa, u iznosu 9.566,08 eura, opreme za IP telefoniju, mobilnih uređaja, sustava kontrole ulaska u zgradu u Mesničkoj ulici u kojoj je smješten dio vladinih ureda, a o kojoj skrbi Ured, u iznosu 4.27</w:t>
      </w:r>
      <w:r>
        <w:t xml:space="preserve">8,75 eura, klima uređaja za autopraonicu / autoradionicu, auto dizalice za autoradionicu u iznosu 6.935,00 eura, bojlera, uređaja za vakumiranje te uredskih stolica za potrebe djelatnica na telefonskoj centrali. </w:t>
      </w:r>
    </w:p>
    <w:p w:rsidR="00EA0D30" w:rsidRDefault="0072182C">
      <w:r>
        <w:t xml:space="preserve"> </w:t>
      </w:r>
    </w:p>
    <w:p w:rsidR="00EA0D30" w:rsidRDefault="0072182C">
      <w:r>
        <w:t>U 2024. godini u okviru izvora financiran</w:t>
      </w:r>
      <w:r>
        <w:t>ja 11 Opći prihodi i primici te skupine rashoda 45 Rashodi za dodatna ulaganja na nefinancijskoj imovini izvršena su sredstva u iznosu 92.881,22 eura što je 97,51% u odnosu na konačni plan ove skupine rashoda za 2024. godinu. Sredstva su izvršena za ostata</w:t>
      </w:r>
      <w:r>
        <w:t>k radova konstrukcijske obnove za vrijeme trajanja cjelovite obnove (podmirene 3 privremene situacije (15.-17.) te 1 okončana situacija (21.)) u iznosu 14.031,22 eura. Ostatak sredstava u iznosu 78.850,00 eura izvršeno je za konzervatorsko restauracijske r</w:t>
      </w:r>
      <w:r>
        <w:t xml:space="preserve">adove u palači Bužan za vraćanje profilacije u izvorno stanje. </w:t>
      </w:r>
    </w:p>
    <w:p w:rsidR="00EA0D30" w:rsidRDefault="0072182C">
      <w:r>
        <w:t xml:space="preserve"> </w:t>
      </w:r>
    </w:p>
    <w:p w:rsidR="00EA0D30" w:rsidRDefault="0072182C">
      <w:r>
        <w:t>Materijalni rashodi u okviru izvora financiranja 31 Vlastiti prihodi u 2024. godini izvršeni su u iznosu 287.836,64 eura, a obuhvatili su nabavu namirnica za pripremu obroka u internim ugostiteljstvima u zgradi Banskih dvora te zgradi Hrvatskoga sabora (do</w:t>
      </w:r>
      <w:r>
        <w:t xml:space="preserve"> rujna 2024. godine) u iznosu 270.496,64 eura, nakon čega je za potrebe ugostiteljskih usluga za potrebe Hrvatskoga sabora na novoj lokaciji u HVU dr. Franjo Tuđman sklopljen ugovor za tvrtkom Pleter </w:t>
      </w:r>
      <w:r>
        <w:lastRenderedPageBreak/>
        <w:t>zbog početka radova obnove zgrade Hrvatskoga sabora. Izv</w:t>
      </w:r>
      <w:r>
        <w:t xml:space="preserve">ršenje za tu namjenu je za zadnji kvartal 2024. godine iznosilo 17.340,00 eura.  </w:t>
      </w:r>
    </w:p>
    <w:p w:rsidR="00EA0D30" w:rsidRDefault="0072182C">
      <w:r>
        <w:t xml:space="preserve"> </w:t>
      </w:r>
    </w:p>
    <w:p w:rsidR="00EA0D30" w:rsidRDefault="0072182C">
      <w:r>
        <w:t>U 2024. godini u okviru izvora financiranja 815 Namjenski primitak – NPOO izvršena su sredstva u ukupnom iznosu 1.484.567,69 eura što je 91,34% u odnosu na konačni plan ove</w:t>
      </w:r>
      <w:r>
        <w:t xml:space="preserve"> skupine rashoda za 2024. godinu. U okviru skupine rashoda 32 Materijalni rashodi sredstva su izvršena u iznosu 26.379,00 eura za: 9 mjesečnih rata voditelja projekta izvedbe radova cjelovite obnove palače Bužan te okončanu isplatu nakon završetka radova c</w:t>
      </w:r>
      <w:r>
        <w:t>jelovite obnove u iznosu 19.250,00 eura, izradu natpisne ploče (visibility projekta obnove) u iznosu 129,00 eura i energetskog certifikata nakon provedene energetske obnove palače Bužan u iznosu 7.000,00 eura. U okviru skupine rashoda 45 Rashodi za dodatna</w:t>
      </w:r>
      <w:r>
        <w:t xml:space="preserve"> ulaganja na nefinancijskoj imovini izvršena su sredstva u iznosu 1.458.188,69 eura za: radove cjelovite obnove (7 privremenih situacija (14. – 20. privremena situacija) i okončana (21.) situacija) u iznosu 1.433.303,19 eura te stručni nadzor radova cjelov</w:t>
      </w:r>
      <w:r>
        <w:t xml:space="preserve">ite obnove za razdoblje prosinac 2023. – rujan 2024. u iznosu 24.885,50 eura. </w:t>
      </w:r>
    </w:p>
    <w:p w:rsidR="00EA0D30" w:rsidRDefault="0072182C">
      <w:r>
        <w:t xml:space="preserve"> </w:t>
      </w:r>
    </w:p>
    <w:p w:rsidR="00EA0D30" w:rsidRDefault="0072182C">
      <w:r>
        <w:t>U odnosu na 2023. godinu, izvršenje 2024. godine je manje za 9,22% zbog dinamike radova obnove palače Bužan u Opatičkoj 8 od posljedica potresa.</w:t>
      </w:r>
    </w:p>
    <w:p w:rsidR="00EA0D30" w:rsidRDefault="0072182C">
      <w:pPr>
        <w:pStyle w:val="Heading4"/>
      </w:pPr>
      <w:r>
        <w:t>A515017 OBVEZE PO SUDSKIM SPOR</w:t>
      </w:r>
      <w:r>
        <w:t>OVIMA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2"/>
        <w:gridCol w:w="2042"/>
        <w:gridCol w:w="2042"/>
        <w:gridCol w:w="2042"/>
        <w:gridCol w:w="1224"/>
        <w:gridCol w:w="1224"/>
      </w:tblGrid>
      <w:tr w:rsidR="00EA0D30">
        <w:trPr>
          <w:jc w:val="center"/>
        </w:trPr>
        <w:tc>
          <w:tcPr>
            <w:tcW w:w="1632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204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2024./2023.</w:t>
            </w:r>
          </w:p>
        </w:tc>
      </w:tr>
      <w:tr w:rsidR="00EA0D30">
        <w:trPr>
          <w:jc w:val="center"/>
        </w:trPr>
        <w:tc>
          <w:tcPr>
            <w:tcW w:w="1632" w:type="dxa"/>
          </w:tcPr>
          <w:p w:rsidR="00EA0D30" w:rsidRDefault="0072182C">
            <w:pPr>
              <w:pStyle w:val="CellColumn"/>
              <w:jc w:val="left"/>
            </w:pPr>
            <w:r>
              <w:rPr>
                <w:rFonts w:cs="Times New Roman"/>
              </w:rPr>
              <w:t>A515017-OBVEZE PO SUDSKIM SPOROVIMA</w:t>
            </w:r>
          </w:p>
        </w:tc>
        <w:tc>
          <w:tcPr>
            <w:tcW w:w="2041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00</w:t>
            </w:r>
          </w:p>
        </w:tc>
        <w:tc>
          <w:tcPr>
            <w:tcW w:w="2041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20.573</w:t>
            </w:r>
          </w:p>
        </w:tc>
        <w:tc>
          <w:tcPr>
            <w:tcW w:w="2041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00</w:t>
            </w:r>
          </w:p>
        </w:tc>
        <w:tc>
          <w:tcPr>
            <w:tcW w:w="1224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0,0</w:t>
            </w:r>
          </w:p>
        </w:tc>
        <w:tc>
          <w:tcPr>
            <w:tcW w:w="1224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0,0</w:t>
            </w:r>
          </w:p>
        </w:tc>
      </w:tr>
    </w:tbl>
    <w:p w:rsidR="00EA0D30" w:rsidRDefault="00EA0D30">
      <w:pPr>
        <w:jc w:val="left"/>
      </w:pPr>
    </w:p>
    <w:p w:rsidR="00EA0D30" w:rsidRDefault="0072182C">
      <w:pPr>
        <w:pStyle w:val="Heading8"/>
        <w:jc w:val="left"/>
      </w:pPr>
      <w:r>
        <w:t>Zakonske i druge pravne osnove</w:t>
      </w:r>
    </w:p>
    <w:p w:rsidR="00EA0D30" w:rsidRDefault="0072182C">
      <w:r>
        <w:t xml:space="preserve">Uredba o Uredu za opće poslove Hrvatskoga sabora i Vlade Republike Hrvatske  </w:t>
      </w:r>
    </w:p>
    <w:p w:rsidR="00EA0D30" w:rsidRDefault="0072182C">
      <w:r>
        <w:t xml:space="preserve">Zakon o državnim službenicima   </w:t>
      </w:r>
    </w:p>
    <w:p w:rsidR="00EA0D30" w:rsidRDefault="0072182C">
      <w:r>
        <w:t>Zakon o državnom odvjetništvu</w:t>
      </w:r>
    </w:p>
    <w:p w:rsidR="00EA0D30" w:rsidRDefault="0072182C">
      <w:pPr>
        <w:pStyle w:val="Heading8"/>
        <w:jc w:val="left"/>
      </w:pPr>
      <w:r>
        <w:t>Opis aktivnosti</w:t>
      </w:r>
    </w:p>
    <w:p w:rsidR="00EA0D30" w:rsidRDefault="0072182C">
      <w:r>
        <w:t xml:space="preserve">U okviru aktivnosti A515017 Obveze po sudskim sporovima tijekom 2024. godine nije realiziran jedan </w:t>
      </w:r>
      <w:r>
        <w:t>sudski spor koji protiv Ureda vodi bivša djelatnica Ureda.</w:t>
      </w:r>
    </w:p>
    <w:p w:rsidR="00EA0D30" w:rsidRDefault="0072182C">
      <w:pPr>
        <w:pStyle w:val="Heading8"/>
        <w:jc w:val="left"/>
      </w:pPr>
      <w:r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553"/>
        <w:gridCol w:w="2553"/>
        <w:gridCol w:w="1020"/>
        <w:gridCol w:w="1020"/>
        <w:gridCol w:w="1020"/>
        <w:gridCol w:w="1020"/>
        <w:gridCol w:w="1020"/>
      </w:tblGrid>
      <w:tr w:rsidR="00EA0D30">
        <w:trPr>
          <w:jc w:val="center"/>
        </w:trPr>
        <w:tc>
          <w:tcPr>
            <w:tcW w:w="2551" w:type="dxa"/>
            <w:shd w:val="clear" w:color="auto" w:fill="B5C0D8"/>
          </w:tcPr>
          <w:p w:rsidR="00EA0D30" w:rsidRDefault="0072182C">
            <w:pPr>
              <w:jc w:val="center"/>
            </w:pPr>
            <w:r>
              <w:t>Pokazatelj rezultata</w:t>
            </w:r>
          </w:p>
        </w:tc>
        <w:tc>
          <w:tcPr>
            <w:tcW w:w="255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1020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1020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1020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1020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(2024.)</w:t>
            </w:r>
          </w:p>
        </w:tc>
        <w:tc>
          <w:tcPr>
            <w:tcW w:w="1020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Ostvarena vrijednost (2024.)</w:t>
            </w:r>
          </w:p>
        </w:tc>
      </w:tr>
      <w:tr w:rsidR="00EA0D30">
        <w:trPr>
          <w:jc w:val="center"/>
        </w:trPr>
        <w:tc>
          <w:tcPr>
            <w:tcW w:w="2551" w:type="dxa"/>
          </w:tcPr>
          <w:p w:rsidR="00EA0D30" w:rsidRDefault="0072182C">
            <w:pPr>
              <w:pStyle w:val="CellColumn"/>
              <w:jc w:val="left"/>
            </w:pPr>
            <w:r>
              <w:rPr>
                <w:rFonts w:cs="Times New Roman"/>
              </w:rPr>
              <w:t>Broj podmirenih sudskih sporova</w:t>
            </w:r>
          </w:p>
        </w:tc>
        <w:tc>
          <w:tcPr>
            <w:tcW w:w="2551" w:type="dxa"/>
          </w:tcPr>
          <w:p w:rsidR="00EA0D30" w:rsidRDefault="0072182C">
            <w:pPr>
              <w:pStyle w:val="CellColumn"/>
              <w:jc w:val="left"/>
            </w:pPr>
            <w:r>
              <w:rPr>
                <w:rFonts w:cs="Times New Roman"/>
              </w:rPr>
              <w:t>Jedna bivša djelatnica vodi sudski spor protiv Ureda čije se rješavanje očekivalo u 2024. godini</w:t>
            </w:r>
          </w:p>
        </w:tc>
        <w:tc>
          <w:tcPr>
            <w:tcW w:w="1020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broj</w:t>
            </w:r>
          </w:p>
        </w:tc>
        <w:tc>
          <w:tcPr>
            <w:tcW w:w="1020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1</w:t>
            </w:r>
          </w:p>
        </w:tc>
        <w:tc>
          <w:tcPr>
            <w:tcW w:w="1020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Ured</w:t>
            </w:r>
          </w:p>
        </w:tc>
        <w:tc>
          <w:tcPr>
            <w:tcW w:w="1020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1</w:t>
            </w:r>
          </w:p>
        </w:tc>
        <w:tc>
          <w:tcPr>
            <w:tcW w:w="1020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0</w:t>
            </w:r>
          </w:p>
        </w:tc>
      </w:tr>
    </w:tbl>
    <w:p w:rsidR="00EA0D30" w:rsidRDefault="00EA0D30">
      <w:pPr>
        <w:jc w:val="left"/>
      </w:pPr>
    </w:p>
    <w:p w:rsidR="00EA0D30" w:rsidRDefault="0072182C">
      <w:pPr>
        <w:pStyle w:val="Heading4"/>
      </w:pPr>
      <w:r>
        <w:lastRenderedPageBreak/>
        <w:t>K515008 INFORMATIZACIJA UREDA ZA OPĆE POSLOVE HRVATSKOGA SABORA I VLADE REPUBLIKE HRVATSKE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914"/>
        <w:gridCol w:w="1961"/>
        <w:gridCol w:w="1949"/>
        <w:gridCol w:w="1961"/>
        <w:gridCol w:w="1207"/>
        <w:gridCol w:w="1214"/>
      </w:tblGrid>
      <w:tr w:rsidR="00EA0D30">
        <w:trPr>
          <w:jc w:val="center"/>
        </w:trPr>
        <w:tc>
          <w:tcPr>
            <w:tcW w:w="1632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204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2024./2023.</w:t>
            </w:r>
          </w:p>
        </w:tc>
      </w:tr>
      <w:tr w:rsidR="00EA0D30">
        <w:trPr>
          <w:jc w:val="center"/>
        </w:trPr>
        <w:tc>
          <w:tcPr>
            <w:tcW w:w="1632" w:type="dxa"/>
          </w:tcPr>
          <w:p w:rsidR="00EA0D30" w:rsidRDefault="0072182C">
            <w:pPr>
              <w:pStyle w:val="CellColumn"/>
              <w:jc w:val="left"/>
            </w:pPr>
            <w:r>
              <w:rPr>
                <w:rFonts w:cs="Times New Roman"/>
              </w:rPr>
              <w:t>K515008-INFORMATIZACIJA UREDA ZA OPĆE POSLOVE HRVATSKOGA SABORA I VLADE REPUBLIKE HRVATSKE</w:t>
            </w:r>
          </w:p>
        </w:tc>
        <w:tc>
          <w:tcPr>
            <w:tcW w:w="2041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105.439</w:t>
            </w:r>
          </w:p>
        </w:tc>
        <w:tc>
          <w:tcPr>
            <w:tcW w:w="2041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58.400</w:t>
            </w:r>
          </w:p>
        </w:tc>
        <w:tc>
          <w:tcPr>
            <w:tcW w:w="2041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40.017</w:t>
            </w:r>
          </w:p>
        </w:tc>
        <w:tc>
          <w:tcPr>
            <w:tcW w:w="1224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68,5</w:t>
            </w:r>
          </w:p>
        </w:tc>
        <w:tc>
          <w:tcPr>
            <w:tcW w:w="1224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38,0</w:t>
            </w:r>
          </w:p>
        </w:tc>
      </w:tr>
    </w:tbl>
    <w:p w:rsidR="00EA0D30" w:rsidRDefault="00EA0D30">
      <w:pPr>
        <w:jc w:val="left"/>
      </w:pPr>
    </w:p>
    <w:p w:rsidR="00EA0D30" w:rsidRDefault="0072182C">
      <w:pPr>
        <w:pStyle w:val="Heading8"/>
        <w:jc w:val="left"/>
      </w:pPr>
      <w:r>
        <w:t>Zakonske i druge pravne osnove</w:t>
      </w:r>
    </w:p>
    <w:p w:rsidR="00EA0D30" w:rsidRDefault="0072182C">
      <w:r>
        <w:t>Uredba o Uredu za opće poslove Hrvatskoga sabora i Vlade Republike Hrvatske</w:t>
      </w:r>
    </w:p>
    <w:p w:rsidR="00EA0D30" w:rsidRDefault="0072182C">
      <w:pPr>
        <w:pStyle w:val="Heading8"/>
        <w:jc w:val="left"/>
      </w:pPr>
      <w:r>
        <w:t>Opis aktivnosti</w:t>
      </w:r>
    </w:p>
    <w:p w:rsidR="00EA0D30" w:rsidRDefault="0072182C">
      <w:r>
        <w:t>U okviru kapitalnog projekta K515008 Informatizacija Ureda za opće poslove Hrvatskoga sabora i Vlade Republike Hrvatske u 2024. godin</w:t>
      </w:r>
      <w:r>
        <w:t xml:space="preserve">i sredstva su izvršena za: licence fortinet, team viewer i Microsoft u iznosu 12.254,62 eura, nabavu računalne opreme (sustava za pohranu podataka u iznosu 21.162,50 eura, 3 printera, 7 monitora, 1 all-in-one računalo, 1 osobno računalo, 1 ormar za sistem </w:t>
      </w:r>
      <w:r>
        <w:t>salu za potrebe seljenja Ureda na matičnu lokaciju nakon završetka obnove od potresa) u iznosu 26.455,45 eura te za nadogradnju programskog rješenja uredskog poslovanja eUred5.0 u iznosu 1.306,50 eura.</w:t>
      </w:r>
    </w:p>
    <w:p w:rsidR="00EA0D30" w:rsidRDefault="0072182C">
      <w:pPr>
        <w:pStyle w:val="Heading4"/>
      </w:pPr>
      <w:r>
        <w:t>K515016 OBNOVA VOZNOG PARKA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2"/>
        <w:gridCol w:w="2042"/>
        <w:gridCol w:w="2042"/>
        <w:gridCol w:w="2042"/>
        <w:gridCol w:w="1224"/>
        <w:gridCol w:w="1224"/>
      </w:tblGrid>
      <w:tr w:rsidR="00EA0D30">
        <w:trPr>
          <w:jc w:val="center"/>
        </w:trPr>
        <w:tc>
          <w:tcPr>
            <w:tcW w:w="1632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Izvršenje</w:t>
            </w:r>
            <w:r>
              <w:rPr>
                <w:rFonts w:cs="Times New Roman"/>
              </w:rPr>
              <w:t xml:space="preserve"> 2023. (eur)</w:t>
            </w:r>
          </w:p>
        </w:tc>
        <w:tc>
          <w:tcPr>
            <w:tcW w:w="204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:rsidR="00EA0D30" w:rsidRDefault="0072182C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2024./2023.</w:t>
            </w:r>
          </w:p>
        </w:tc>
      </w:tr>
      <w:tr w:rsidR="00EA0D30">
        <w:trPr>
          <w:jc w:val="center"/>
        </w:trPr>
        <w:tc>
          <w:tcPr>
            <w:tcW w:w="1632" w:type="dxa"/>
          </w:tcPr>
          <w:p w:rsidR="00EA0D30" w:rsidRDefault="0072182C">
            <w:pPr>
              <w:pStyle w:val="CellColumn"/>
              <w:jc w:val="left"/>
            </w:pPr>
            <w:r>
              <w:rPr>
                <w:rFonts w:cs="Times New Roman"/>
              </w:rPr>
              <w:t>K515016-OBNOVA VOZNOG PARKA</w:t>
            </w:r>
          </w:p>
        </w:tc>
        <w:tc>
          <w:tcPr>
            <w:tcW w:w="2041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150.335</w:t>
            </w:r>
          </w:p>
        </w:tc>
        <w:tc>
          <w:tcPr>
            <w:tcW w:w="2041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104.325</w:t>
            </w:r>
          </w:p>
        </w:tc>
        <w:tc>
          <w:tcPr>
            <w:tcW w:w="2041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98.934</w:t>
            </w:r>
          </w:p>
        </w:tc>
        <w:tc>
          <w:tcPr>
            <w:tcW w:w="1224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94,8</w:t>
            </w:r>
          </w:p>
        </w:tc>
        <w:tc>
          <w:tcPr>
            <w:tcW w:w="1224" w:type="dxa"/>
          </w:tcPr>
          <w:p w:rsidR="00EA0D30" w:rsidRDefault="0072182C">
            <w:pPr>
              <w:pStyle w:val="CellColumn"/>
              <w:jc w:val="right"/>
            </w:pPr>
            <w:r>
              <w:rPr>
                <w:rFonts w:cs="Times New Roman"/>
              </w:rPr>
              <w:t>65,8</w:t>
            </w:r>
          </w:p>
        </w:tc>
      </w:tr>
    </w:tbl>
    <w:p w:rsidR="00EA0D30" w:rsidRDefault="00EA0D30">
      <w:pPr>
        <w:jc w:val="left"/>
      </w:pPr>
    </w:p>
    <w:p w:rsidR="00EA0D30" w:rsidRDefault="0072182C">
      <w:pPr>
        <w:pStyle w:val="Heading8"/>
        <w:jc w:val="left"/>
      </w:pPr>
      <w:r>
        <w:t>Zakonske i druge pravne osnove</w:t>
      </w:r>
    </w:p>
    <w:p w:rsidR="00EA0D30" w:rsidRDefault="0072182C">
      <w:r>
        <w:t xml:space="preserve">Uredba o Uredu za opće poslove Hrvatskoga sabora i Vlade Republike Hrvatske  </w:t>
      </w:r>
    </w:p>
    <w:p w:rsidR="00EA0D30" w:rsidRDefault="0072182C">
      <w:r>
        <w:t>Smjernice za upravljanje voznim parkom</w:t>
      </w:r>
    </w:p>
    <w:p w:rsidR="00EA0D30" w:rsidRDefault="0072182C">
      <w:pPr>
        <w:pStyle w:val="Heading8"/>
        <w:jc w:val="left"/>
      </w:pPr>
      <w:r>
        <w:t>Opis aktivnosti</w:t>
      </w:r>
    </w:p>
    <w:p w:rsidR="00EA0D30" w:rsidRDefault="0072182C">
      <w:r>
        <w:t>U okviru kapitalnog projekta K515016 Obnova voznog parka sredstva su u 2024. godini izvršena za nabavu osobnog automobila Škoda Octavia za službene potrebe s ciljem obavljanja redovite djelatnosti u iznosu 29.979,33 eura, a preostala sredstva u iznosu 68.9</w:t>
      </w:r>
      <w:r>
        <w:t>54,95 eura su izvršena za otplatu šesnaest (16) službenih automobila nabavljenih putem financijskog leasinga na pet (5) godina bez održavanja za potrebe prijevoza dužnosnika i službenika Hrvatskoga sabora, dužnosnika i službenika Vlade Republike Hrvatske t</w:t>
      </w:r>
      <w:r>
        <w:t>e ureda Vlade Republike Hrvatske, a sve sukladno Smjernicama za upravljanje voznim parkom iz ožujka 2017. godine. Prva mjesečna rata plaćena je za mjesec srpanj 2019. godine, a zadnja za lipanj 2024. godine.</w:t>
      </w:r>
    </w:p>
    <w:sectPr w:rsidR="00EA0D30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72182C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72182C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2182C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A0D3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82C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05BD-3C00-4697-9502-00029FBF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Kristina Horvatić</cp:lastModifiedBy>
  <cp:revision>2</cp:revision>
  <cp:lastPrinted>2025-04-04T14:24:00Z</cp:lastPrinted>
  <dcterms:created xsi:type="dcterms:W3CDTF">2025-04-04T14:25:00Z</dcterms:created>
  <dcterms:modified xsi:type="dcterms:W3CDTF">2025-04-04T14:25:00Z</dcterms:modified>
</cp:coreProperties>
</file>