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DF0F91" w:rsidRDefault="00E103BA">
      <w:pPr>
        <w:pStyle w:val="Heading2"/>
      </w:pPr>
      <w:r>
        <w:t>02050 Ured za odnose s javnošću</w:t>
      </w:r>
    </w:p>
    <w:p w:rsidR="00DF0F91" w:rsidRDefault="00E103BA">
      <w:pPr>
        <w:pStyle w:val="Normal3"/>
      </w:pPr>
      <w:r>
        <w:t>Zakonom o izmjenama i dopuni Zakona o Vladi Republike Hrvatske (Narodne novine, broj 78/2024) ustrojava se Ured za odnose s javnošću. Ured obavlja stručne i administrativne poslove za potrebe Vlade i predsjednika Vlade koji se odnose na izvješćivanje javno</w:t>
      </w:r>
      <w:r>
        <w:t>sti o politici i aktivnostima Vlade, komunikaciju s medijima i građanima, upoznavanje Vlade o sadržaju i stajalištima medija i javnosti, koordinaciju komunikacijskih aktivnosti tijela državne uprave, provedbu Zakona o pravu na pristup informacijama u Vladi</w:t>
      </w:r>
      <w:r>
        <w:t xml:space="preserve"> te koordinaciju rada u vezi s provedbom tog Zakona u Vladinim uredima i službama.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8"/>
        <w:gridCol w:w="1553"/>
        <w:gridCol w:w="1545"/>
        <w:gridCol w:w="1560"/>
        <w:gridCol w:w="1560"/>
        <w:gridCol w:w="1560"/>
        <w:gridCol w:w="970"/>
      </w:tblGrid>
      <w:tr w:rsidR="00DF0F91">
        <w:trPr>
          <w:jc w:val="center"/>
        </w:trPr>
        <w:tc>
          <w:tcPr>
            <w:tcW w:w="1530" w:type="dxa"/>
            <w:shd w:val="clear" w:color="auto" w:fill="B5C0D8"/>
          </w:tcPr>
          <w:p w:rsidR="00DF0F91" w:rsidRDefault="00DF0F9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DF0F91">
        <w:trPr>
          <w:jc w:val="center"/>
        </w:trPr>
        <w:tc>
          <w:tcPr>
            <w:tcW w:w="153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02050-Ured za odnose s javnošću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289.209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1.747.886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1.782.517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1.776.120</w:t>
            </w:r>
          </w:p>
        </w:tc>
        <w:tc>
          <w:tcPr>
            <w:tcW w:w="51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604,4</w:t>
            </w:r>
          </w:p>
        </w:tc>
      </w:tr>
    </w:tbl>
    <w:p w:rsidR="00DF0F91" w:rsidRDefault="00DF0F91">
      <w:pPr>
        <w:jc w:val="left"/>
      </w:pPr>
    </w:p>
    <w:p w:rsidR="00DF0F91" w:rsidRDefault="00E103BA">
      <w:pPr>
        <w:pStyle w:val="Heading3"/>
      </w:pPr>
      <w:r>
        <w:rPr>
          <w:rFonts w:cs="Times New Roman"/>
        </w:rPr>
        <w:t>2107 PRUŽANJE PODRŠKE RADU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95"/>
        <w:gridCol w:w="1546"/>
        <w:gridCol w:w="1536"/>
        <w:gridCol w:w="1553"/>
        <w:gridCol w:w="1553"/>
        <w:gridCol w:w="1553"/>
        <w:gridCol w:w="970"/>
      </w:tblGrid>
      <w:tr w:rsidR="00DF0F91">
        <w:trPr>
          <w:jc w:val="center"/>
        </w:trPr>
        <w:tc>
          <w:tcPr>
            <w:tcW w:w="1530" w:type="dxa"/>
            <w:shd w:val="clear" w:color="auto" w:fill="B5C0D8"/>
          </w:tcPr>
          <w:p w:rsidR="00DF0F91" w:rsidRDefault="00DF0F9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DF0F91">
        <w:trPr>
          <w:jc w:val="center"/>
        </w:trPr>
        <w:tc>
          <w:tcPr>
            <w:tcW w:w="153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2107-PRUŽANJE PODRŠKE RADU VLADE REPUBLIKE HRVATSKE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289.209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1.747.886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1.782.517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1.776.120</w:t>
            </w:r>
          </w:p>
        </w:tc>
        <w:tc>
          <w:tcPr>
            <w:tcW w:w="51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604,4</w:t>
            </w:r>
          </w:p>
        </w:tc>
      </w:tr>
    </w:tbl>
    <w:p w:rsidR="00DF0F91" w:rsidRDefault="00DF0F91">
      <w:pPr>
        <w:jc w:val="left"/>
      </w:pPr>
    </w:p>
    <w:p w:rsidR="00DF0F91" w:rsidRDefault="00E103BA">
      <w:pPr>
        <w:pStyle w:val="Heading7"/>
      </w:pPr>
      <w:r>
        <w:t>Cilj 1. Kontinuitet i poboljšanje efikasnosti Vlade Republike Hrvatske</w:t>
      </w:r>
    </w:p>
    <w:p w:rsidR="00DF0F91" w:rsidRDefault="00E103BA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DF0F91">
        <w:trPr>
          <w:jc w:val="center"/>
        </w:trPr>
        <w:tc>
          <w:tcPr>
            <w:tcW w:w="2245" w:type="dxa"/>
            <w:shd w:val="clear" w:color="auto" w:fill="B5C0D8"/>
          </w:tcPr>
          <w:p w:rsidR="00DF0F91" w:rsidRDefault="00E103BA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</w:tr>
      <w:tr w:rsidR="00DF0F91">
        <w:trPr>
          <w:jc w:val="center"/>
        </w:trPr>
        <w:tc>
          <w:tcPr>
            <w:tcW w:w="2245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Osigurana provedba aktivnosti Ureda</w:t>
            </w:r>
          </w:p>
        </w:tc>
        <w:tc>
          <w:tcPr>
            <w:tcW w:w="2245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Aktivnosti Ureda osiguravaju kontinuitet i poboljšanje efikasnosti Vlade Republike Hrvatske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%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Ured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</w:tr>
    </w:tbl>
    <w:p w:rsidR="00DF0F91" w:rsidRDefault="00DF0F91">
      <w:pPr>
        <w:jc w:val="left"/>
      </w:pPr>
    </w:p>
    <w:p w:rsidR="00DF0F91" w:rsidRDefault="00E103BA">
      <w:pPr>
        <w:pStyle w:val="Heading4"/>
      </w:pPr>
      <w:r>
        <w:t>A518000 ADMINISTRACIJA I UPRAVLJANJE</w:t>
      </w:r>
    </w:p>
    <w:p w:rsidR="00DF0F91" w:rsidRDefault="00E103BA">
      <w:pPr>
        <w:pStyle w:val="Heading8"/>
        <w:jc w:val="left"/>
      </w:pPr>
      <w:r>
        <w:t>Zakonske i druge pravne osnove</w:t>
      </w:r>
    </w:p>
    <w:p w:rsidR="00DF0F91" w:rsidRDefault="00E103BA">
      <w:pPr>
        <w:pStyle w:val="Normal5"/>
      </w:pPr>
      <w:r>
        <w:t>Zakon o izmjenama i dopuni Zakona o Vladi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484"/>
        <w:gridCol w:w="1469"/>
        <w:gridCol w:w="1497"/>
        <w:gridCol w:w="1497"/>
        <w:gridCol w:w="1497"/>
        <w:gridCol w:w="970"/>
      </w:tblGrid>
      <w:tr w:rsidR="00DF0F91">
        <w:trPr>
          <w:jc w:val="center"/>
        </w:trPr>
        <w:tc>
          <w:tcPr>
            <w:tcW w:w="153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DF0F91">
        <w:trPr>
          <w:jc w:val="center"/>
        </w:trPr>
        <w:tc>
          <w:tcPr>
            <w:tcW w:w="153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A518000-ADMINISTRACIJA I UPRAVLJANJE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284.209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1.717.886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1.762.517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</w:rPr>
              <w:t>756.120</w:t>
            </w:r>
          </w:p>
        </w:tc>
        <w:tc>
          <w:tcPr>
            <w:tcW w:w="51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604,4</w:t>
            </w:r>
          </w:p>
        </w:tc>
      </w:tr>
    </w:tbl>
    <w:p w:rsidR="00DF0F91" w:rsidRDefault="00DF0F91">
      <w:pPr>
        <w:jc w:val="left"/>
      </w:pPr>
    </w:p>
    <w:p w:rsidR="00DF0F91" w:rsidRDefault="00E103BA">
      <w:r>
        <w:t xml:space="preserve">U okviru aktivnosti A518000 Administracija i upravljanje planirana su sredstva u iznosu 1.717.886,00 eura za 2025. godinu, 1.762.517,00 eura za 2026. godinu te 1.756.120,00 eura za 2027. godinu.  </w:t>
      </w:r>
    </w:p>
    <w:p w:rsidR="00DF0F91" w:rsidRDefault="00E103BA">
      <w:r>
        <w:lastRenderedPageBreak/>
        <w:t xml:space="preserve"> </w:t>
      </w:r>
    </w:p>
    <w:p w:rsidR="00DF0F91" w:rsidRDefault="00E103BA">
      <w:r>
        <w:t xml:space="preserve">U nastavku dajemo razradu planiranih sredstava po skupinama rashoda kako slijedi:  </w:t>
      </w:r>
    </w:p>
    <w:p w:rsidR="00DF0F91" w:rsidRDefault="00E103BA">
      <w:r>
        <w:t xml:space="preserve"> </w:t>
      </w:r>
    </w:p>
    <w:p w:rsidR="00DF0F91" w:rsidRDefault="00E103BA">
      <w:r>
        <w:t xml:space="preserve">31 Rashodi za zaposlene  </w:t>
      </w:r>
    </w:p>
    <w:p w:rsidR="00DF0F91" w:rsidRDefault="00E103BA">
      <w:r>
        <w:t>Planirana su sredstva u iznosu 1.066.339,00 eura za 2025. godinu, 1.072.630,00 eura za 2026. godinu te 1.078.833,00 za 2027. godinu. Sredstva su</w:t>
      </w:r>
      <w:r>
        <w:t xml:space="preserve"> planirana za 2 dužnosnika i 18 državnih službenika. </w:t>
      </w:r>
    </w:p>
    <w:p w:rsidR="00DF0F91" w:rsidRDefault="00E103BA">
      <w:r>
        <w:t xml:space="preserve"> </w:t>
      </w:r>
    </w:p>
    <w:p w:rsidR="00DF0F91" w:rsidRDefault="00E103BA">
      <w:r>
        <w:t xml:space="preserve">32 Materijalni rashodi  </w:t>
      </w:r>
    </w:p>
    <w:p w:rsidR="00DF0F91" w:rsidRDefault="00E103BA">
      <w:r>
        <w:t>Planirana su sredstva u iznosu 615.516,00 eura za 2025. godinu, 653.856,00 eura za 2026. godinu te 641.256,00 eura za 2027. godinu. Sredstva su planirana za službena putovanja</w:t>
      </w:r>
      <w:r>
        <w:t xml:space="preserve"> sukladno aktivnostima predsjednika Vlade, naknade za prijevoz na posao i s posla, uredske potrepštine, telekomunikacijske, intelektualne, računalne i ostale usluge te usluge promidžbe i informiranja.   </w:t>
      </w:r>
    </w:p>
    <w:p w:rsidR="00DF0F91" w:rsidRDefault="00E103BA">
      <w:r>
        <w:t xml:space="preserve"> </w:t>
      </w:r>
    </w:p>
    <w:p w:rsidR="00DF0F91" w:rsidRDefault="00E103BA">
      <w:r>
        <w:t xml:space="preserve">34 Financijski rashodi  </w:t>
      </w:r>
    </w:p>
    <w:p w:rsidR="00DF0F91" w:rsidRDefault="00E103BA">
      <w:r>
        <w:t>Planirana su sredstva u i</w:t>
      </w:r>
      <w:r>
        <w:t xml:space="preserve">znosu 31,00 eura za svaku godinu planiranja. Sredstva su planirana za bankarske usluge, negativne tečajne razlike te zatezne kamate.  </w:t>
      </w:r>
    </w:p>
    <w:p w:rsidR="00DF0F91" w:rsidRDefault="00E103BA">
      <w:r>
        <w:t xml:space="preserve"> </w:t>
      </w:r>
    </w:p>
    <w:p w:rsidR="00DF0F91" w:rsidRDefault="00E103BA">
      <w:r>
        <w:t xml:space="preserve">37 Naknade građanima i kućanstvima na temelju osiguranja i druge naknade </w:t>
      </w:r>
    </w:p>
    <w:p w:rsidR="00DF0F91" w:rsidRDefault="00E103BA">
      <w:r>
        <w:t>Planirana su sredstva u iznosu 10.000,00 eura</w:t>
      </w:r>
      <w:r>
        <w:t xml:space="preserve"> za svaku godinu planiranja. Sredstva su planirana za dodatna školovanja djelatnika Ureda. </w:t>
      </w:r>
    </w:p>
    <w:p w:rsidR="00DF0F91" w:rsidRDefault="00E103BA">
      <w:r>
        <w:t xml:space="preserve"> </w:t>
      </w:r>
    </w:p>
    <w:p w:rsidR="00DF0F91" w:rsidRDefault="00E103BA">
      <w:r>
        <w:t xml:space="preserve">42 Rashodi za nabavu proizvedene dugotrajne imovine  </w:t>
      </w:r>
    </w:p>
    <w:p w:rsidR="00DF0F91" w:rsidRDefault="00E103BA">
      <w:r>
        <w:t>Planirana su sredstva u iznosu 26.000,00 eura za svaku godinu planiranja. Sredstva su planirana za nabavu ur</w:t>
      </w:r>
      <w:r>
        <w:t>edske opreme i namještaja, komunikacijske te ostale opreme.</w:t>
      </w:r>
    </w:p>
    <w:p w:rsidR="00DF0F91" w:rsidRDefault="00E103BA">
      <w:pPr>
        <w:pStyle w:val="Heading4"/>
      </w:pPr>
      <w:r>
        <w:t>K518003 INFORMATIZACIJA UREDA</w:t>
      </w:r>
    </w:p>
    <w:p w:rsidR="00DF0F91" w:rsidRDefault="00E103BA">
      <w:pPr>
        <w:pStyle w:val="Heading8"/>
        <w:jc w:val="left"/>
      </w:pPr>
      <w:r>
        <w:t>Zakonske i druge pravne osnove</w:t>
      </w:r>
    </w:p>
    <w:p w:rsidR="00DF0F91" w:rsidRDefault="00E103BA">
      <w:pPr>
        <w:pStyle w:val="Normal5"/>
      </w:pPr>
      <w:r>
        <w:t>Zakon o izmjenama i dopuni Zakona o Vladi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5"/>
        <w:gridCol w:w="1494"/>
        <w:gridCol w:w="1444"/>
        <w:gridCol w:w="1461"/>
        <w:gridCol w:w="1461"/>
        <w:gridCol w:w="1461"/>
        <w:gridCol w:w="970"/>
      </w:tblGrid>
      <w:tr w:rsidR="00DF0F91">
        <w:trPr>
          <w:jc w:val="center"/>
        </w:trPr>
        <w:tc>
          <w:tcPr>
            <w:tcW w:w="153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DF0F91" w:rsidRDefault="00E103B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DF0F91">
        <w:trPr>
          <w:jc w:val="center"/>
        </w:trPr>
        <w:tc>
          <w:tcPr>
            <w:tcW w:w="153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K518003-INFORMATIZACIJA UREDA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5.000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30.000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20.000</w:t>
            </w:r>
          </w:p>
        </w:tc>
        <w:tc>
          <w:tcPr>
            <w:tcW w:w="1632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20.000</w:t>
            </w:r>
          </w:p>
        </w:tc>
        <w:tc>
          <w:tcPr>
            <w:tcW w:w="510" w:type="dxa"/>
          </w:tcPr>
          <w:p w:rsidR="00DF0F91" w:rsidRDefault="00E103BA">
            <w:pPr>
              <w:pStyle w:val="CellColumn"/>
            </w:pPr>
            <w:r>
              <w:rPr>
                <w:rFonts w:cs="Times New Roman"/>
              </w:rPr>
              <w:t>600,0</w:t>
            </w:r>
          </w:p>
        </w:tc>
      </w:tr>
    </w:tbl>
    <w:p w:rsidR="00DF0F91" w:rsidRDefault="00DF0F91">
      <w:pPr>
        <w:jc w:val="left"/>
      </w:pPr>
    </w:p>
    <w:p w:rsidR="00DF0F91" w:rsidRDefault="00E103BA">
      <w:r>
        <w:t xml:space="preserve">U okviru kapitalnog projekta K518003 Informatizacija Ureda planirana su sredstva u iznosu 30.000,00 eura za 2025. godinu, 20.000,00 eura za 2026. godinu te 20.000,00 eura za 2027. godinu.  </w:t>
      </w:r>
    </w:p>
    <w:p w:rsidR="00DF0F91" w:rsidRDefault="00E103BA">
      <w:r>
        <w:t xml:space="preserve">  </w:t>
      </w:r>
    </w:p>
    <w:p w:rsidR="00DF0F91" w:rsidRDefault="00E103BA">
      <w:r>
        <w:t>U nastavku dajemo razradu planiranih sredstava po skupinama ras</w:t>
      </w:r>
      <w:r>
        <w:t xml:space="preserve">hoda kako slijedi:  </w:t>
      </w:r>
    </w:p>
    <w:p w:rsidR="00DF0F91" w:rsidRDefault="00E103BA">
      <w:r>
        <w:t xml:space="preserve">  </w:t>
      </w:r>
    </w:p>
    <w:p w:rsidR="00DF0F91" w:rsidRDefault="00E103BA">
      <w:r>
        <w:t xml:space="preserve">32 Materijalni rashodi  </w:t>
      </w:r>
    </w:p>
    <w:p w:rsidR="00DF0F91" w:rsidRDefault="00E103BA">
      <w:r>
        <w:t xml:space="preserve">Planirana su sredstva u iznosu 10.000,00 eura za svaku godinu planiranja. Sredstva su planirana za jednogodišnje licence. </w:t>
      </w:r>
    </w:p>
    <w:p w:rsidR="00DF0F91" w:rsidRDefault="00E103BA">
      <w:r>
        <w:t xml:space="preserve">  </w:t>
      </w:r>
    </w:p>
    <w:p w:rsidR="00DF0F91" w:rsidRDefault="00E103BA">
      <w:r>
        <w:t xml:space="preserve">42 Rashodi za nabavu proizvedene dugotrajne imovine  </w:t>
      </w:r>
    </w:p>
    <w:p w:rsidR="00DF0F91" w:rsidRDefault="00E103BA">
      <w:r>
        <w:lastRenderedPageBreak/>
        <w:t>Planirana su sredstva u izn</w:t>
      </w:r>
      <w:r>
        <w:t>osu 20.000,00 eura za 2025. godinu, 10.000,00 eura za 2026. godinu i 10.000,00 eura za 2027. godinu. Sredstva su planirana za nabavu računalne opreme.</w:t>
      </w:r>
    </w:p>
    <w:sectPr w:rsidR="00DF0F91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E103B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E103B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DF0F91"/>
    <w:rsid w:val="00E103BA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0099-F8AB-4916-A0A9-867B4D17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dcterms:created xsi:type="dcterms:W3CDTF">2025-03-17T08:50:00Z</dcterms:created>
  <dcterms:modified xsi:type="dcterms:W3CDTF">2025-03-17T08:50:00Z</dcterms:modified>
</cp:coreProperties>
</file>