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AB7563" w:rsidRDefault="00342F0B">
      <w:pPr>
        <w:pStyle w:val="Heading2"/>
      </w:pPr>
      <w:r>
        <w:t>02005 Vlada Republike Hrvatske</w:t>
      </w:r>
    </w:p>
    <w:p w:rsidR="00AB7563" w:rsidRDefault="00342F0B">
      <w:pPr>
        <w:pStyle w:val="Normal3"/>
      </w:pPr>
      <w:r>
        <w:t>Sukladno Poslovniku Vlade Republike Hrvatske te Zakonu o Vladi Republike Hrvatske ustrojena je proračunska glava 05 Vlada Republike Hrvatske kojom upravlja glavni tajnik Vlade Republike Hrvatske. U Glavnom tajništvu Vlade Republike Hrvatske ustrojen je: Ur</w:t>
      </w:r>
      <w:r>
        <w:t xml:space="preserve">ed glavnog tajnika Vlade, uredi radnih tijela Vlade, Služba razvoja i održavanja tehničkih sustava Vlade, Služba za uredsko poslovanje, Služba za opće poslove.  </w:t>
      </w:r>
    </w:p>
    <w:p w:rsidR="00AB7563" w:rsidRDefault="00342F0B">
      <w:pPr>
        <w:pStyle w:val="Normal3"/>
      </w:pPr>
      <w:r>
        <w:t>U narednom trogodišnjem razdoblju okosnica poslovanja Glavnog tajništva Vlade Republike Hrvats</w:t>
      </w:r>
      <w:r>
        <w:t>ke bit će pružanje operativne podrške u pripremi sjednica Vlade Republike Hrvatske, Užeg kabineta i stalnih radnih tijela i koordinacija, pružanje podrške radu Ureda predsjednika Vlade Republike Hrvatske, podmirenje fiksnih i ugovornih obveza, dodatno ulag</w:t>
      </w:r>
      <w:r>
        <w:t>anje u imovinu, unapređenje informatičkog sustava te sustava tehničke zaštite.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6"/>
        <w:gridCol w:w="1554"/>
        <w:gridCol w:w="1554"/>
        <w:gridCol w:w="1554"/>
        <w:gridCol w:w="1554"/>
        <w:gridCol w:w="1554"/>
        <w:gridCol w:w="970"/>
      </w:tblGrid>
      <w:tr w:rsidR="00AB7563">
        <w:trPr>
          <w:jc w:val="center"/>
        </w:trPr>
        <w:tc>
          <w:tcPr>
            <w:tcW w:w="1530" w:type="dxa"/>
            <w:shd w:val="clear" w:color="auto" w:fill="B5C0D8"/>
          </w:tcPr>
          <w:p w:rsidR="00AB7563" w:rsidRDefault="00AB7563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B7563">
        <w:trPr>
          <w:jc w:val="center"/>
        </w:trPr>
        <w:tc>
          <w:tcPr>
            <w:tcW w:w="153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02005-Vlada Republike Hrvatske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3.509.242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4.360.284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7.636.583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6.751.184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6.735.307</w:t>
            </w:r>
          </w:p>
        </w:tc>
        <w:tc>
          <w:tcPr>
            <w:tcW w:w="51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175,1</w:t>
            </w:r>
          </w:p>
        </w:tc>
      </w:tr>
    </w:tbl>
    <w:p w:rsidR="00AB7563" w:rsidRDefault="00AB7563">
      <w:pPr>
        <w:jc w:val="left"/>
      </w:pPr>
    </w:p>
    <w:p w:rsidR="00AB7563" w:rsidRDefault="00342F0B">
      <w:pPr>
        <w:pStyle w:val="Heading3"/>
      </w:pPr>
      <w:r>
        <w:rPr>
          <w:rFonts w:cs="Times New Roman"/>
        </w:rPr>
        <w:t>2107 PRUŽANJE PODRŠKE RADU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92"/>
        <w:gridCol w:w="1548"/>
        <w:gridCol w:w="1549"/>
        <w:gridCol w:w="1549"/>
        <w:gridCol w:w="1549"/>
        <w:gridCol w:w="1549"/>
        <w:gridCol w:w="970"/>
      </w:tblGrid>
      <w:tr w:rsidR="00AB7563">
        <w:trPr>
          <w:jc w:val="center"/>
        </w:trPr>
        <w:tc>
          <w:tcPr>
            <w:tcW w:w="1530" w:type="dxa"/>
            <w:shd w:val="clear" w:color="auto" w:fill="B5C0D8"/>
          </w:tcPr>
          <w:p w:rsidR="00AB7563" w:rsidRDefault="00AB7563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B7563">
        <w:trPr>
          <w:jc w:val="center"/>
        </w:trPr>
        <w:tc>
          <w:tcPr>
            <w:tcW w:w="153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2107-PRUŽANJE PODRŠKE RADU VLADE REPUBLIKE HRVATSKE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3.509.242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4.360.284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7.636.583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6.751.184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6.735.307</w:t>
            </w:r>
          </w:p>
        </w:tc>
        <w:tc>
          <w:tcPr>
            <w:tcW w:w="51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175,1</w:t>
            </w:r>
          </w:p>
        </w:tc>
      </w:tr>
    </w:tbl>
    <w:p w:rsidR="00AB7563" w:rsidRDefault="00AB7563">
      <w:pPr>
        <w:jc w:val="left"/>
      </w:pPr>
    </w:p>
    <w:p w:rsidR="00AB7563" w:rsidRDefault="00342F0B">
      <w:pPr>
        <w:pStyle w:val="Heading7"/>
      </w:pPr>
      <w:r>
        <w:t>Cilj 1. Kontinuitet i poboljšanje efikasnosti Vlade Republike Hrvatske</w:t>
      </w:r>
    </w:p>
    <w:p w:rsidR="00AB7563" w:rsidRDefault="00342F0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88"/>
        <w:gridCol w:w="2288"/>
        <w:gridCol w:w="935"/>
        <w:gridCol w:w="935"/>
        <w:gridCol w:w="955"/>
        <w:gridCol w:w="935"/>
        <w:gridCol w:w="935"/>
        <w:gridCol w:w="935"/>
      </w:tblGrid>
      <w:tr w:rsidR="00AB7563">
        <w:trPr>
          <w:jc w:val="center"/>
        </w:trPr>
        <w:tc>
          <w:tcPr>
            <w:tcW w:w="2245" w:type="dxa"/>
            <w:shd w:val="clear" w:color="auto" w:fill="B5C0D8"/>
          </w:tcPr>
          <w:p w:rsidR="00AB7563" w:rsidRDefault="00342F0B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AB7563">
        <w:trPr>
          <w:jc w:val="center"/>
        </w:trPr>
        <w:tc>
          <w:tcPr>
            <w:tcW w:w="2245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Osigurana potpuna primjena Poslovnika Vlade Republike Hrvatske</w:t>
            </w:r>
          </w:p>
        </w:tc>
        <w:tc>
          <w:tcPr>
            <w:tcW w:w="2245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Poslovnikom Vlade Republike Hrvatske uređuje se ustrojstvo, način rada, odlučivanje Vlade i vrste akata koje donosi Vlada Republike Hrvatske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Glavno tajništvo Vlade Republike Hrvatske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</w:tr>
    </w:tbl>
    <w:p w:rsidR="00AB7563" w:rsidRDefault="00AB7563">
      <w:pPr>
        <w:jc w:val="left"/>
      </w:pPr>
    </w:p>
    <w:p w:rsidR="00AB7563" w:rsidRDefault="00342F0B">
      <w:pPr>
        <w:pStyle w:val="Heading4"/>
      </w:pPr>
      <w:r>
        <w:t>A508000 ADMINISTRACIJA I UPRAVLJANJE</w:t>
      </w:r>
    </w:p>
    <w:p w:rsidR="00AB7563" w:rsidRDefault="00342F0B">
      <w:pPr>
        <w:pStyle w:val="Heading8"/>
        <w:jc w:val="left"/>
      </w:pPr>
      <w:r>
        <w:t>Zakonske i druge</w:t>
      </w:r>
      <w:r>
        <w:t xml:space="preserve"> pravne osnove</w:t>
      </w:r>
    </w:p>
    <w:p w:rsidR="00AB7563" w:rsidRDefault="00342F0B">
      <w:pPr>
        <w:pStyle w:val="Normal5"/>
      </w:pPr>
      <w:r>
        <w:t xml:space="preserve">Zakon o Vladi Republike Hrvatske  </w:t>
      </w:r>
    </w:p>
    <w:p w:rsidR="00AB7563" w:rsidRDefault="00342F0B">
      <w:pPr>
        <w:pStyle w:val="Normal5"/>
      </w:pPr>
      <w:r>
        <w:t xml:space="preserve">Poslovnik Vlade Republike Hrvatske  </w:t>
      </w:r>
    </w:p>
    <w:p w:rsidR="00AB7563" w:rsidRDefault="00342F0B">
      <w:pPr>
        <w:pStyle w:val="Normal5"/>
      </w:pPr>
      <w:r>
        <w:t>Uredba o Glavnom tajništvu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488"/>
        <w:gridCol w:w="1489"/>
        <w:gridCol w:w="1489"/>
        <w:gridCol w:w="1489"/>
        <w:gridCol w:w="1489"/>
        <w:gridCol w:w="970"/>
      </w:tblGrid>
      <w:tr w:rsidR="00AB7563">
        <w:trPr>
          <w:jc w:val="center"/>
        </w:trPr>
        <w:tc>
          <w:tcPr>
            <w:tcW w:w="153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B7563">
        <w:trPr>
          <w:jc w:val="center"/>
        </w:trPr>
        <w:tc>
          <w:tcPr>
            <w:tcW w:w="153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lastRenderedPageBreak/>
              <w:t>A508000-ADMINISTRACIJA I UPRAVLJANJE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3.127.844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3.734.134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6.254.035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5.990.636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5.984.759</w:t>
            </w:r>
          </w:p>
        </w:tc>
        <w:tc>
          <w:tcPr>
            <w:tcW w:w="51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167,5</w:t>
            </w:r>
          </w:p>
        </w:tc>
      </w:tr>
    </w:tbl>
    <w:p w:rsidR="00AB7563" w:rsidRDefault="00AB7563">
      <w:pPr>
        <w:jc w:val="left"/>
      </w:pPr>
    </w:p>
    <w:p w:rsidR="00AB7563" w:rsidRDefault="00342F0B">
      <w:r>
        <w:t>U okviru aktivnosti A508000 Administracija i upravljanje planirana su sredstva na izvoru financiranja 11 Opći prihodi i primici te izvoru financiranja 51 Pomoći EU u ukupnom iznosu 6.254.035,00 eura za 2025. godinu, 5.990.636,00 eura za 2026. godinu te 5.9</w:t>
      </w:r>
      <w:r>
        <w:t xml:space="preserve">84.759,00 eura za 2027. godinu. </w:t>
      </w:r>
    </w:p>
    <w:p w:rsidR="00AB7563" w:rsidRDefault="00342F0B">
      <w:r>
        <w:t xml:space="preserve"> </w:t>
      </w:r>
    </w:p>
    <w:p w:rsidR="00AB7563" w:rsidRDefault="00342F0B">
      <w:r>
        <w:t xml:space="preserve">U nastavku dajemo razradu planiranih sredstava po skupinama rashoda i izvorima financiranja kako slijedi:  </w:t>
      </w:r>
    </w:p>
    <w:p w:rsidR="00AB7563" w:rsidRDefault="00342F0B">
      <w:r>
        <w:t>Na izvoru financiranja 11 Opći prihodi i primici planirana su sredstva u iznosu 6.253.035,00 eura za 2025. godinu</w:t>
      </w:r>
      <w:r>
        <w:t xml:space="preserve">, 5.989.636,00 eura za 2026. godinu i 5.983.759,00 eura za 2027. godinu.  </w:t>
      </w:r>
    </w:p>
    <w:p w:rsidR="00AB7563" w:rsidRDefault="00342F0B">
      <w:r>
        <w:t xml:space="preserve"> </w:t>
      </w:r>
    </w:p>
    <w:p w:rsidR="00AB7563" w:rsidRDefault="00342F0B">
      <w:r>
        <w:t xml:space="preserve">31 Rashodi za zaposlene  </w:t>
      </w:r>
    </w:p>
    <w:p w:rsidR="00AB7563" w:rsidRDefault="00342F0B">
      <w:r>
        <w:t>Planirana su sredstva u iznosu 2.594.619,00 eura za 2025. godinu, 2.693.869,00 eura za 2026. godinu te 2.713.460,00 eura za 2027. godinu. Sredstva su pla</w:t>
      </w:r>
      <w:r>
        <w:t xml:space="preserve">nirana za 4 dužnosnika te 58 državnih službenika i namještenika. </w:t>
      </w:r>
    </w:p>
    <w:p w:rsidR="00AB7563" w:rsidRDefault="00342F0B">
      <w:r>
        <w:t xml:space="preserve"> </w:t>
      </w:r>
    </w:p>
    <w:p w:rsidR="00AB7563" w:rsidRDefault="00342F0B">
      <w:r>
        <w:t xml:space="preserve">32 Materijalni rashodi  </w:t>
      </w:r>
    </w:p>
    <w:p w:rsidR="00AB7563" w:rsidRDefault="00342F0B">
      <w:r>
        <w:t>Planirana su sredstva u iznosu 2.913.105,00 eura za 2025. godinu, 2.658.456,00 eura za 2026. godinu te 2.632.988,00 eura za 2027. godinu. Sredstva planirana u okvi</w:t>
      </w:r>
      <w:r>
        <w:t>ru ove skupine rashoda odnose se na naknade za prijevoz na posao i s posla državnih službenika i namještenika, stručne seminare i tečajeve, uredske potrepštine i pretplate na stručnu literaturu, režijske, telekomunikacijske i komunalne usluge, nabavu sitno</w:t>
      </w:r>
      <w:r>
        <w:t xml:space="preserve">g inventara, tiskovina, materijala te usluga za redovno održavanje zgrade i opreme, oglase, najam opreme, periodične sistematske i oftamološke preglede, provođenje zaštite na radu, računalne usluge, usluge čišćenja, osiguranje umjetnina, reprezentaciju te </w:t>
      </w:r>
      <w:r>
        <w:t xml:space="preserve">penale za nezapošljavanje osoba s invaliditetom. Planirana su i dodatna sredstva za održavanje zgrade Banski dvori uslijed jako lošeg stanja iste. U ovoj skupini rashoda planirana su i sredstva za aktivnosti predsjednika Vlade Republike Hrvatske (službena </w:t>
      </w:r>
      <w:r>
        <w:t xml:space="preserve">putovanja, podmirenje udjela u direktnim troškovima korištenja usluga zračnog prijevoza Direkcije za korištenje službenih zrakoplova sukladno članku 3. Uredbe o Direkciji za korištenje službenih zrakoplova te sredstva prijema stranih delegacija).  </w:t>
      </w:r>
    </w:p>
    <w:p w:rsidR="00AB7563" w:rsidRDefault="00342F0B">
      <w:r>
        <w:t xml:space="preserve">    </w:t>
      </w:r>
    </w:p>
    <w:p w:rsidR="00AB7563" w:rsidRDefault="00342F0B">
      <w:r>
        <w:t>34</w:t>
      </w:r>
      <w:r>
        <w:t xml:space="preserve"> Financijski rashodi  </w:t>
      </w:r>
    </w:p>
    <w:p w:rsidR="00AB7563" w:rsidRDefault="00342F0B">
      <w:r>
        <w:t xml:space="preserve">Planirana su sredstva u iznosu 311,00 eura za svaku godinu planiranja. Sredstva su planirana za bankarske usluge, negativne tečajne razlike i zatezne kamate.  </w:t>
      </w:r>
    </w:p>
    <w:p w:rsidR="00AB7563" w:rsidRDefault="00342F0B">
      <w:r>
        <w:t xml:space="preserve">  </w:t>
      </w:r>
    </w:p>
    <w:p w:rsidR="00AB7563" w:rsidRDefault="00342F0B">
      <w:r>
        <w:t xml:space="preserve">35 Subvencije  </w:t>
      </w:r>
    </w:p>
    <w:p w:rsidR="00AB7563" w:rsidRDefault="00342F0B">
      <w:r>
        <w:t xml:space="preserve">Sredstva u iznosu 70.000,00 eura za 2025. godinu.  </w:t>
      </w:r>
    </w:p>
    <w:p w:rsidR="00AB7563" w:rsidRDefault="00342F0B">
      <w:r>
        <w:t xml:space="preserve">  </w:t>
      </w:r>
    </w:p>
    <w:p w:rsidR="00AB7563" w:rsidRDefault="00342F0B">
      <w:r>
        <w:t xml:space="preserve">37 Naknade građanima i kućanstvima na temelju osiguranja i druge naknade  </w:t>
      </w:r>
    </w:p>
    <w:p w:rsidR="00AB7563" w:rsidRDefault="00342F0B">
      <w:r>
        <w:t xml:space="preserve">Sredstva u iznosu 15.000,00 eura za svaku godinu planirana su za dodatna školovanja državnih službenika Glavnog tajništva Vlade Republike Hrvatske.  </w:t>
      </w:r>
    </w:p>
    <w:p w:rsidR="00AB7563" w:rsidRDefault="00342F0B">
      <w:r>
        <w:t xml:space="preserve">   </w:t>
      </w:r>
    </w:p>
    <w:p w:rsidR="00AB7563" w:rsidRDefault="00342F0B">
      <w:r>
        <w:t xml:space="preserve">38 Rashodi za donacije, kazne, naknade šteta i kapitalne pomoći </w:t>
      </w:r>
    </w:p>
    <w:p w:rsidR="00AB7563" w:rsidRDefault="00342F0B">
      <w:r>
        <w:t xml:space="preserve">Sredstva u iznosu 10.000,00 eura za svaku godinu planirana su za isplatu potencijalnih žalbi na postupke javne nabave. </w:t>
      </w:r>
    </w:p>
    <w:p w:rsidR="00AB7563" w:rsidRDefault="00342F0B">
      <w:r>
        <w:t xml:space="preserve"> </w:t>
      </w:r>
    </w:p>
    <w:p w:rsidR="00AB7563" w:rsidRDefault="00342F0B">
      <w:r>
        <w:t xml:space="preserve">42 Rashodi za nabavu proizvedene dugotrajne imovine  </w:t>
      </w:r>
    </w:p>
    <w:p w:rsidR="00AB7563" w:rsidRDefault="00342F0B">
      <w:r>
        <w:lastRenderedPageBreak/>
        <w:t>Planirana su sredstva u iznosu 550.000,00 eura za 2025. godinu, 112.000,00 eura za 2026. godinu te 112.000,00 eura za 2027. godinu. Sredstva su planirana za nabavu novog i restauracije postojećeg namještaja, nabavu postolja za zastave, komunikacijske oprem</w:t>
      </w:r>
      <w:r>
        <w:t xml:space="preserve">e, klima uređaja, kotlova te ostale opreme. </w:t>
      </w:r>
    </w:p>
    <w:p w:rsidR="00AB7563" w:rsidRDefault="00342F0B">
      <w:r>
        <w:t xml:space="preserve">   </w:t>
      </w:r>
    </w:p>
    <w:p w:rsidR="00AB7563" w:rsidRDefault="00342F0B">
      <w:r>
        <w:t xml:space="preserve">45 Rashodi za dodatna ulaganja na nefinancijskoj imovini  </w:t>
      </w:r>
    </w:p>
    <w:p w:rsidR="00AB7563" w:rsidRDefault="00342F0B">
      <w:r>
        <w:t>Planirana su sredstva u iznosu 100.000,00 eura za 2025. godinu, 500.000,00 eura za 2026. godinu te 500.000,00 eura za 2027. godinu. Sredstva su plan</w:t>
      </w:r>
      <w:r>
        <w:t xml:space="preserve">irana za početne aktivnosti obnove zgrade Banski dvori od posljedica potresa. </w:t>
      </w:r>
    </w:p>
    <w:p w:rsidR="00AB7563" w:rsidRDefault="00342F0B">
      <w:r>
        <w:t xml:space="preserve"> </w:t>
      </w:r>
    </w:p>
    <w:p w:rsidR="00AB7563" w:rsidRDefault="00342F0B">
      <w:r>
        <w:t xml:space="preserve"> </w:t>
      </w:r>
    </w:p>
    <w:p w:rsidR="00AB7563" w:rsidRDefault="00342F0B">
      <w:r>
        <w:t>Na izvoru financiranja 51 Pomoći EU planirana su sredstva u iznosu 1.000,00 eura za svaku godinu planiranja. Sredstva su planirana za refundaciju putnih troškova predsjednik</w:t>
      </w:r>
      <w:r>
        <w:t>a Vlade Republike Hrvatske radi sudjelovanja na izvanrednim sastancima Europskog vijeća i Vijeća EU.</w:t>
      </w:r>
    </w:p>
    <w:p w:rsidR="00AB7563" w:rsidRDefault="00342F0B">
      <w:pPr>
        <w:pStyle w:val="Heading4"/>
      </w:pPr>
      <w:r>
        <w:t>A508025 OBVEZE PO SUDSKIM SPOROVIMA</w:t>
      </w:r>
    </w:p>
    <w:p w:rsidR="00AB7563" w:rsidRDefault="00342F0B">
      <w:pPr>
        <w:pStyle w:val="Heading8"/>
        <w:jc w:val="left"/>
      </w:pPr>
      <w:r>
        <w:t>Zakonske i druge pravne osnove</w:t>
      </w:r>
    </w:p>
    <w:p w:rsidR="00AB7563" w:rsidRDefault="00342F0B">
      <w:pPr>
        <w:pStyle w:val="Normal5"/>
      </w:pPr>
      <w:r>
        <w:t xml:space="preserve">Poslovnik Vlade Republike Hrvatske   </w:t>
      </w:r>
    </w:p>
    <w:p w:rsidR="00AB7563" w:rsidRDefault="00342F0B">
      <w:pPr>
        <w:pStyle w:val="Normal5"/>
      </w:pPr>
      <w:r>
        <w:t>Uredba o Glavnom tajništvu Vlade Republike Hrvatsk</w:t>
      </w:r>
      <w:r>
        <w:t>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9"/>
        <w:gridCol w:w="1559"/>
        <w:gridCol w:w="1542"/>
        <w:gridCol w:w="1542"/>
        <w:gridCol w:w="1542"/>
        <w:gridCol w:w="1542"/>
        <w:gridCol w:w="970"/>
      </w:tblGrid>
      <w:tr w:rsidR="00AB7563">
        <w:trPr>
          <w:jc w:val="center"/>
        </w:trPr>
        <w:tc>
          <w:tcPr>
            <w:tcW w:w="153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B7563">
        <w:trPr>
          <w:jc w:val="center"/>
        </w:trPr>
        <w:tc>
          <w:tcPr>
            <w:tcW w:w="153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A508025-OBVEZE PO SUDSKIM SPOROVIMA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13.895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30.500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30.500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30.500</w:t>
            </w:r>
          </w:p>
        </w:tc>
        <w:tc>
          <w:tcPr>
            <w:tcW w:w="51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219,5</w:t>
            </w:r>
          </w:p>
        </w:tc>
      </w:tr>
    </w:tbl>
    <w:p w:rsidR="00AB7563" w:rsidRDefault="00AB7563">
      <w:pPr>
        <w:jc w:val="left"/>
      </w:pPr>
    </w:p>
    <w:p w:rsidR="00AB7563" w:rsidRDefault="00342F0B">
      <w:r>
        <w:t xml:space="preserve">U okviru aktivnosti A508025 Obveze po sudskim sporovima planirana su sredstva u iznosu 30.500,00 eura za svaku godinu planiranja za podmirenje poznatih sudskih sporova. </w:t>
      </w:r>
    </w:p>
    <w:p w:rsidR="00AB7563" w:rsidRDefault="00342F0B">
      <w:r>
        <w:t xml:space="preserve"> </w:t>
      </w:r>
    </w:p>
    <w:p w:rsidR="00AB7563" w:rsidRDefault="00342F0B">
      <w:r>
        <w:t xml:space="preserve">U nastavku dajemo razradu planiranih sredstava po skupinama rashoda kako slijedi: </w:t>
      </w:r>
    </w:p>
    <w:p w:rsidR="00AB7563" w:rsidRDefault="00342F0B">
      <w:r>
        <w:t xml:space="preserve"> </w:t>
      </w:r>
      <w:r>
        <w:t xml:space="preserve"> </w:t>
      </w:r>
    </w:p>
    <w:p w:rsidR="00AB7563" w:rsidRDefault="00342F0B">
      <w:r>
        <w:t xml:space="preserve">32 Materijalni rashodi  </w:t>
      </w:r>
    </w:p>
    <w:p w:rsidR="00AB7563" w:rsidRDefault="00342F0B">
      <w:r>
        <w:t xml:space="preserve">Planirana su sredstva u iznosu 10.000,00 eura za svaku godinu planiranja. </w:t>
      </w:r>
    </w:p>
    <w:p w:rsidR="00AB7563" w:rsidRDefault="00342F0B">
      <w:r>
        <w:t xml:space="preserve"> </w:t>
      </w:r>
    </w:p>
    <w:p w:rsidR="00AB7563" w:rsidRDefault="00342F0B">
      <w:r>
        <w:t xml:space="preserve">34 Financijski rashodi  </w:t>
      </w:r>
    </w:p>
    <w:p w:rsidR="00AB7563" w:rsidRDefault="00342F0B">
      <w:r>
        <w:t xml:space="preserve">Planirana su sredstva u 5.500,00 eura za svaku godinu planiranja. </w:t>
      </w:r>
    </w:p>
    <w:p w:rsidR="00AB7563" w:rsidRDefault="00342F0B">
      <w:r>
        <w:t>38 Rashodi za donacije, kazne, naknade šteta i kapitalne pom</w:t>
      </w:r>
      <w:r>
        <w:t xml:space="preserve">oći  </w:t>
      </w:r>
    </w:p>
    <w:p w:rsidR="00AB7563" w:rsidRDefault="00342F0B">
      <w:r>
        <w:t>Planirana su sredstva u iznosu 15.000,00 eura za svaku godinu planiranja.</w:t>
      </w:r>
    </w:p>
    <w:p w:rsidR="00AB7563" w:rsidRDefault="00342F0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39"/>
        <w:gridCol w:w="1762"/>
        <w:gridCol w:w="1627"/>
        <w:gridCol w:w="916"/>
        <w:gridCol w:w="1414"/>
        <w:gridCol w:w="916"/>
        <w:gridCol w:w="916"/>
        <w:gridCol w:w="916"/>
      </w:tblGrid>
      <w:tr w:rsidR="00AB7563">
        <w:trPr>
          <w:jc w:val="center"/>
        </w:trPr>
        <w:tc>
          <w:tcPr>
            <w:tcW w:w="2245" w:type="dxa"/>
            <w:shd w:val="clear" w:color="auto" w:fill="B5C0D8"/>
          </w:tcPr>
          <w:p w:rsidR="00AB7563" w:rsidRDefault="00342F0B">
            <w: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Ciljana vrijednost (2027.</w:t>
            </w:r>
            <w:r>
              <w:rPr>
                <w:rFonts w:cs="Times New Roman"/>
              </w:rPr>
              <w:t>)</w:t>
            </w:r>
          </w:p>
        </w:tc>
      </w:tr>
      <w:tr w:rsidR="00AB7563">
        <w:trPr>
          <w:jc w:val="center"/>
        </w:trPr>
        <w:tc>
          <w:tcPr>
            <w:tcW w:w="2245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Broj podmirenih ovrha</w:t>
            </w:r>
          </w:p>
        </w:tc>
        <w:tc>
          <w:tcPr>
            <w:tcW w:w="2245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Podmirene ovrhe koje se odnose prvenstveno na sudske postupke primatelja stalnih novčanih nadoknada zaslužnim osobama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broj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Administrativna komisija Vlade Republike Hrvatske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</w:t>
            </w:r>
          </w:p>
        </w:tc>
      </w:tr>
    </w:tbl>
    <w:p w:rsidR="00AB7563" w:rsidRDefault="00AB7563">
      <w:pPr>
        <w:jc w:val="left"/>
      </w:pPr>
    </w:p>
    <w:p w:rsidR="00AB7563" w:rsidRDefault="00342F0B">
      <w:pPr>
        <w:pStyle w:val="Heading4"/>
      </w:pPr>
      <w:r>
        <w:t>K508012 INFORMATIZACIJA I TEHNIČKI SUSTAVI U VLADI RH</w:t>
      </w:r>
    </w:p>
    <w:p w:rsidR="00AB7563" w:rsidRDefault="00342F0B">
      <w:pPr>
        <w:pStyle w:val="Heading8"/>
        <w:jc w:val="left"/>
      </w:pPr>
      <w:r>
        <w:t>Zakonske i druge pravne osnove</w:t>
      </w:r>
    </w:p>
    <w:p w:rsidR="00AB7563" w:rsidRDefault="00342F0B">
      <w:pPr>
        <w:pStyle w:val="Normal5"/>
      </w:pPr>
      <w:r>
        <w:t xml:space="preserve">Poslovnik Vlade Republike Hrvatske   </w:t>
      </w:r>
    </w:p>
    <w:p w:rsidR="00AB7563" w:rsidRDefault="00342F0B">
      <w:pPr>
        <w:pStyle w:val="Normal5"/>
      </w:pPr>
      <w:r>
        <w:t xml:space="preserve">Uredba o Glavnom tajništvu Vlade Republike Hrvatske   </w:t>
      </w:r>
    </w:p>
    <w:p w:rsidR="00AB7563" w:rsidRDefault="00342F0B">
      <w:pPr>
        <w:pStyle w:val="Normal5"/>
      </w:pPr>
      <w:r>
        <w:t xml:space="preserve">Pravilnik o uvjetima i načinu provedbe tehničke zaštite   </w:t>
      </w:r>
    </w:p>
    <w:p w:rsidR="00AB7563" w:rsidRDefault="00342F0B">
      <w:pPr>
        <w:pStyle w:val="Normal5"/>
      </w:pPr>
      <w:r>
        <w:t>Pravilnik o sustavima za dojavu požara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472"/>
        <w:gridCol w:w="1455"/>
        <w:gridCol w:w="1485"/>
        <w:gridCol w:w="1455"/>
        <w:gridCol w:w="1455"/>
        <w:gridCol w:w="970"/>
      </w:tblGrid>
      <w:tr w:rsidR="00AB7563">
        <w:trPr>
          <w:jc w:val="center"/>
        </w:trPr>
        <w:tc>
          <w:tcPr>
            <w:tcW w:w="153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AB7563" w:rsidRDefault="00342F0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B7563">
        <w:trPr>
          <w:jc w:val="center"/>
        </w:trPr>
        <w:tc>
          <w:tcPr>
            <w:tcW w:w="153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K508012-INFORMATIZACIJA I TEHNIČKI SUSTAVI U VLADI RH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381.399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612.255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1.352.048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730.048</w:t>
            </w:r>
          </w:p>
        </w:tc>
        <w:tc>
          <w:tcPr>
            <w:tcW w:w="1632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720.048</w:t>
            </w:r>
          </w:p>
        </w:tc>
        <w:tc>
          <w:tcPr>
            <w:tcW w:w="510" w:type="dxa"/>
          </w:tcPr>
          <w:p w:rsidR="00AB7563" w:rsidRDefault="00342F0B">
            <w:pPr>
              <w:pStyle w:val="CellColumn"/>
            </w:pPr>
            <w:r>
              <w:rPr>
                <w:rFonts w:cs="Times New Roman"/>
              </w:rPr>
              <w:t>220,8</w:t>
            </w:r>
          </w:p>
        </w:tc>
      </w:tr>
    </w:tbl>
    <w:p w:rsidR="00AB7563" w:rsidRDefault="00AB7563">
      <w:pPr>
        <w:jc w:val="left"/>
      </w:pPr>
    </w:p>
    <w:p w:rsidR="00AB7563" w:rsidRDefault="00342F0B">
      <w:r>
        <w:t xml:space="preserve">U okviru kapitalnog projekta K508012 Informatizacija i tehnički sustavi u Vladi RH planirana su sredstva u iznosu  </w:t>
      </w:r>
    </w:p>
    <w:p w:rsidR="00AB7563" w:rsidRDefault="00342F0B">
      <w:r>
        <w:t xml:space="preserve">1.352.048,00 eura za 2025. godinu, 730.048,00 eura za 2026. godinu te 720.048,00 eura za 2027. godinu.  </w:t>
      </w:r>
    </w:p>
    <w:p w:rsidR="00AB7563" w:rsidRDefault="00342F0B">
      <w:r>
        <w:t xml:space="preserve"> </w:t>
      </w:r>
    </w:p>
    <w:p w:rsidR="00AB7563" w:rsidRDefault="00342F0B">
      <w:r>
        <w:t>U nastavku dajemo</w:t>
      </w:r>
      <w:r>
        <w:t xml:space="preserve"> razradu planiranih sredstava po skupinama rashoda kako slijedi:  </w:t>
      </w:r>
    </w:p>
    <w:p w:rsidR="00AB7563" w:rsidRDefault="00342F0B">
      <w:r>
        <w:t xml:space="preserve">   </w:t>
      </w:r>
    </w:p>
    <w:p w:rsidR="00AB7563" w:rsidRDefault="00342F0B">
      <w:r>
        <w:t xml:space="preserve">32 Materijalni rashodi  </w:t>
      </w:r>
    </w:p>
    <w:p w:rsidR="00AB7563" w:rsidRDefault="00342F0B">
      <w:r>
        <w:t>U okviru ove skupine rashoda sredstva u iznosu 448.048,00 za 2025. godinu, 445.048,00 za 2026. godinu i 445.048,00 za 2027. godinu planirana su za podmirenje st</w:t>
      </w:r>
      <w:r>
        <w:t>ručnih informatičkih seminara, nabavu potrošnog informatičkog materijala, nabavu jednogodišnjih licenci, podmirenje ugovornih obveza održavanja tehničkih sustava Glavnog tajništva Vlade Republike Hrvatske te za obavljanje elektroinstalacijskih radova vezan</w:t>
      </w:r>
      <w:r>
        <w:t xml:space="preserve">ih uz informatički i tehničke sustave Glavnog tajništva Vlade Republike Hrvatske.   </w:t>
      </w:r>
    </w:p>
    <w:p w:rsidR="00AB7563" w:rsidRDefault="00342F0B">
      <w:r>
        <w:t xml:space="preserve">  </w:t>
      </w:r>
    </w:p>
    <w:p w:rsidR="00AB7563" w:rsidRDefault="00342F0B">
      <w:r>
        <w:t xml:space="preserve">41 Rashodi za nabavu neproizvedene dugotrajne imovine  </w:t>
      </w:r>
    </w:p>
    <w:p w:rsidR="00AB7563" w:rsidRDefault="00342F0B">
      <w:r>
        <w:t xml:space="preserve">Planirana su sredstva u iznosu 201.000,00 za 2025. godinu i 10.000,00 za 2026. godinu. Sredstva su planirana za </w:t>
      </w:r>
      <w:r>
        <w:t xml:space="preserve">podmirenje višegodišnjih licenci sukladno terminskom planu plaćanja. </w:t>
      </w:r>
    </w:p>
    <w:p w:rsidR="00AB7563" w:rsidRDefault="00342F0B">
      <w:r>
        <w:t xml:space="preserve">  </w:t>
      </w:r>
    </w:p>
    <w:p w:rsidR="00AB7563" w:rsidRDefault="00342F0B">
      <w:r>
        <w:t xml:space="preserve">42 Rashodi za nabavu proizvedene dugotrajne imovine  </w:t>
      </w:r>
    </w:p>
    <w:p w:rsidR="00AB7563" w:rsidRDefault="00342F0B">
      <w:r>
        <w:t>Planirana su sredstva u iznosu 703.000,00 eura za 2025. godinu, 275.000,00 eura za 2026. godinu te 275.000,00 eura za 2027. godin</w:t>
      </w:r>
      <w:r>
        <w:t>u. U okviru ove skupine rashoda planirana su sredstva za nabavu opreme (računalne opreme, opreme za tonsko snimanje, opreme za videonadzor i vatrodojavu) te za nadogradnje postojećih aplikacijskih rješenja.</w:t>
      </w:r>
    </w:p>
    <w:sectPr w:rsidR="00AB7563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342F0B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342F0B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42F0B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563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E5B1-8BF8-4B2A-ACCC-CD87E738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2</cp:revision>
  <dcterms:created xsi:type="dcterms:W3CDTF">2024-12-20T08:10:00Z</dcterms:created>
  <dcterms:modified xsi:type="dcterms:W3CDTF">2024-12-20T08:10:00Z</dcterms:modified>
</cp:coreProperties>
</file>