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9E" w:rsidRPr="0048429B" w:rsidRDefault="00C34C9E" w:rsidP="00C34C9E">
      <w:pPr>
        <w:spacing w:after="0"/>
        <w:jc w:val="center"/>
        <w:rPr>
          <w:sz w:val="32"/>
          <w:lang w:val="hr-HR"/>
        </w:rPr>
      </w:pPr>
      <w:bookmarkStart w:id="0" w:name="_GoBack"/>
      <w:bookmarkEnd w:id="0"/>
      <w:r w:rsidRPr="0048429B">
        <w:rPr>
          <w:sz w:val="32"/>
          <w:lang w:val="hr-HR"/>
        </w:rPr>
        <w:t>REPUBLIKA HRVATSKA</w:t>
      </w:r>
    </w:p>
    <w:p w:rsidR="00C34C9E" w:rsidRPr="0048429B" w:rsidRDefault="00C34C9E" w:rsidP="00C34C9E">
      <w:pPr>
        <w:spacing w:after="0"/>
        <w:jc w:val="center"/>
        <w:rPr>
          <w:lang w:val="hr-HR"/>
        </w:rPr>
      </w:pPr>
      <w:r w:rsidRPr="0048429B">
        <w:rPr>
          <w:sz w:val="32"/>
          <w:lang w:val="hr-HR"/>
        </w:rPr>
        <w:t>MINISTARSTVO FINANCIJA</w:t>
      </w: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2148BD" w:rsidRPr="0048429B" w:rsidRDefault="002148BD" w:rsidP="00C34C9E">
      <w:pPr>
        <w:spacing w:after="0"/>
        <w:rPr>
          <w:lang w:val="hr-HR"/>
        </w:rPr>
      </w:pPr>
    </w:p>
    <w:p w:rsidR="002148BD" w:rsidRPr="0048429B" w:rsidRDefault="002148BD"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A973A2" w:rsidRPr="0048429B" w:rsidRDefault="00C34C9E" w:rsidP="00C34C9E">
      <w:pPr>
        <w:spacing w:after="0"/>
        <w:jc w:val="center"/>
        <w:rPr>
          <w:rFonts w:asciiTheme="majorHAnsi" w:eastAsiaTheme="majorEastAsia" w:hAnsiTheme="majorHAnsi" w:cstheme="majorBidi"/>
          <w:color w:val="17365D" w:themeColor="text2" w:themeShade="BF"/>
          <w:spacing w:val="5"/>
          <w:kern w:val="28"/>
          <w:sz w:val="52"/>
          <w:szCs w:val="52"/>
          <w:lang w:val="hr-HR"/>
        </w:rPr>
      </w:pPr>
      <w:r w:rsidRPr="0048429B">
        <w:rPr>
          <w:rFonts w:asciiTheme="majorHAnsi" w:eastAsiaTheme="majorEastAsia" w:hAnsiTheme="majorHAnsi" w:cstheme="majorBidi"/>
          <w:color w:val="17365D" w:themeColor="text2" w:themeShade="BF"/>
          <w:spacing w:val="5"/>
          <w:kern w:val="28"/>
          <w:sz w:val="52"/>
          <w:szCs w:val="52"/>
          <w:lang w:val="hr-HR"/>
        </w:rPr>
        <w:t xml:space="preserve">SMJERNICE </w:t>
      </w:r>
      <w:r w:rsidR="00A973A2" w:rsidRPr="0048429B">
        <w:rPr>
          <w:rFonts w:asciiTheme="majorHAnsi" w:eastAsiaTheme="majorEastAsia" w:hAnsiTheme="majorHAnsi" w:cstheme="majorBidi"/>
          <w:color w:val="17365D" w:themeColor="text2" w:themeShade="BF"/>
          <w:spacing w:val="5"/>
          <w:kern w:val="28"/>
          <w:sz w:val="52"/>
          <w:szCs w:val="52"/>
          <w:lang w:val="hr-HR"/>
        </w:rPr>
        <w:t xml:space="preserve">EKONOMSKE I FISKALNE POLITIKE </w:t>
      </w:r>
      <w:r w:rsidRPr="0048429B">
        <w:rPr>
          <w:rFonts w:asciiTheme="majorHAnsi" w:eastAsiaTheme="majorEastAsia" w:hAnsiTheme="majorHAnsi" w:cstheme="majorBidi"/>
          <w:color w:val="17365D" w:themeColor="text2" w:themeShade="BF"/>
          <w:spacing w:val="5"/>
          <w:kern w:val="28"/>
          <w:sz w:val="52"/>
          <w:szCs w:val="52"/>
          <w:lang w:val="hr-HR"/>
        </w:rPr>
        <w:t xml:space="preserve">ZA </w:t>
      </w:r>
      <w:r w:rsidR="00A973A2" w:rsidRPr="0048429B">
        <w:rPr>
          <w:rFonts w:asciiTheme="majorHAnsi" w:eastAsiaTheme="majorEastAsia" w:hAnsiTheme="majorHAnsi" w:cstheme="majorBidi"/>
          <w:color w:val="17365D" w:themeColor="text2" w:themeShade="BF"/>
          <w:spacing w:val="5"/>
          <w:kern w:val="28"/>
          <w:sz w:val="52"/>
          <w:szCs w:val="52"/>
          <w:lang w:val="hr-HR"/>
        </w:rPr>
        <w:t xml:space="preserve">RAZDOBLJE </w:t>
      </w:r>
    </w:p>
    <w:p w:rsidR="00C34C9E" w:rsidRPr="0048429B" w:rsidRDefault="00CA62E0" w:rsidP="002148BD">
      <w:pPr>
        <w:pStyle w:val="Title"/>
        <w:jc w:val="center"/>
        <w:rPr>
          <w:lang w:val="hr-HR"/>
        </w:rPr>
      </w:pPr>
      <w:r w:rsidRPr="0048429B">
        <w:rPr>
          <w:lang w:val="hr-HR"/>
        </w:rPr>
        <w:t>2020</w:t>
      </w:r>
      <w:r w:rsidR="00C34C9E" w:rsidRPr="0048429B">
        <w:rPr>
          <w:lang w:val="hr-HR"/>
        </w:rPr>
        <w:t xml:space="preserve">. </w:t>
      </w:r>
      <w:r w:rsidR="00A973A2" w:rsidRPr="0048429B">
        <w:rPr>
          <w:lang w:val="hr-HR"/>
        </w:rPr>
        <w:t>- 202</w:t>
      </w:r>
      <w:r w:rsidRPr="0048429B">
        <w:rPr>
          <w:lang w:val="hr-HR"/>
        </w:rPr>
        <w:t>2</w:t>
      </w:r>
      <w:r w:rsidR="00C34C9E" w:rsidRPr="0048429B">
        <w:rPr>
          <w:lang w:val="hr-HR"/>
        </w:rPr>
        <w:t>.</w:t>
      </w: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2148BD" w:rsidRPr="0048429B" w:rsidRDefault="002148BD"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rPr>
          <w:sz w:val="24"/>
          <w:lang w:val="hr-HR"/>
        </w:rPr>
      </w:pPr>
    </w:p>
    <w:p w:rsidR="00C34C9E" w:rsidRPr="0048429B" w:rsidRDefault="00C34C9E" w:rsidP="00C34C9E">
      <w:pPr>
        <w:spacing w:after="0"/>
        <w:jc w:val="center"/>
        <w:rPr>
          <w:sz w:val="24"/>
          <w:lang w:val="hr-HR"/>
        </w:rPr>
      </w:pPr>
      <w:r w:rsidRPr="0048429B">
        <w:rPr>
          <w:sz w:val="24"/>
          <w:lang w:val="hr-HR"/>
        </w:rPr>
        <w:t xml:space="preserve">Zagreb, </w:t>
      </w:r>
      <w:r w:rsidR="0048429B" w:rsidRPr="0048429B">
        <w:rPr>
          <w:sz w:val="24"/>
          <w:lang w:val="hr-HR"/>
        </w:rPr>
        <w:t>srpanj</w:t>
      </w:r>
      <w:r w:rsidRPr="0048429B">
        <w:rPr>
          <w:sz w:val="24"/>
          <w:lang w:val="hr-HR"/>
        </w:rPr>
        <w:t xml:space="preserve"> 201</w:t>
      </w:r>
      <w:r w:rsidR="00CA62E0" w:rsidRPr="0048429B">
        <w:rPr>
          <w:sz w:val="24"/>
          <w:lang w:val="hr-HR"/>
        </w:rPr>
        <w:t>9</w:t>
      </w:r>
      <w:r w:rsidRPr="0048429B">
        <w:rPr>
          <w:sz w:val="24"/>
          <w:lang w:val="hr-HR"/>
        </w:rPr>
        <w:t>.</w:t>
      </w:r>
    </w:p>
    <w:p w:rsidR="00C34C9E" w:rsidRPr="0048429B" w:rsidRDefault="00C34C9E" w:rsidP="00C34C9E">
      <w:pPr>
        <w:spacing w:after="0"/>
        <w:jc w:val="center"/>
        <w:rPr>
          <w:lang w:val="hr-HR"/>
        </w:rPr>
        <w:sectPr w:rsidR="00C34C9E" w:rsidRPr="0048429B" w:rsidSect="007C1F4F">
          <w:footerReference w:type="default" r:id="rId12"/>
          <w:footerReference w:type="first" r:id="rId13"/>
          <w:pgSz w:w="11906" w:h="16838"/>
          <w:pgMar w:top="1417" w:right="1417" w:bottom="1417" w:left="1417" w:header="708" w:footer="567" w:gutter="0"/>
          <w:pgNumType w:chapStyle="1"/>
          <w:cols w:space="708"/>
          <w:titlePg/>
          <w:docGrid w:linePitch="360"/>
        </w:sectPr>
      </w:pPr>
    </w:p>
    <w:p w:rsidR="00E52BDF" w:rsidRPr="0048429B" w:rsidRDefault="00E52BDF" w:rsidP="00E52BDF">
      <w:pPr>
        <w:pStyle w:val="Heading1"/>
        <w:rPr>
          <w:lang w:val="hr-HR"/>
        </w:rPr>
      </w:pPr>
      <w:bookmarkStart w:id="1" w:name="_Toc15461756"/>
      <w:r w:rsidRPr="0048429B">
        <w:rPr>
          <w:lang w:val="hr-HR"/>
        </w:rPr>
        <w:lastRenderedPageBreak/>
        <w:t>SADRŽAJ</w:t>
      </w:r>
      <w:bookmarkEnd w:id="1"/>
    </w:p>
    <w:sdt>
      <w:sdtPr>
        <w:rPr>
          <w:rFonts w:asciiTheme="minorHAnsi" w:eastAsiaTheme="minorHAnsi" w:hAnsiTheme="minorHAnsi" w:cstheme="minorBidi"/>
          <w:b w:val="0"/>
          <w:bCs w:val="0"/>
          <w:color w:val="auto"/>
          <w:sz w:val="22"/>
          <w:szCs w:val="22"/>
          <w:lang w:val="hr-HR" w:eastAsia="en-US"/>
        </w:rPr>
        <w:id w:val="-162392908"/>
        <w:docPartObj>
          <w:docPartGallery w:val="Table of Contents"/>
          <w:docPartUnique/>
        </w:docPartObj>
      </w:sdtPr>
      <w:sdtEndPr/>
      <w:sdtContent>
        <w:p w:rsidR="00C34C9E" w:rsidRPr="0048429B" w:rsidRDefault="00C34C9E">
          <w:pPr>
            <w:pStyle w:val="TOCHeading"/>
            <w:rPr>
              <w:sz w:val="20"/>
              <w:lang w:val="hr-HR"/>
            </w:rPr>
          </w:pPr>
        </w:p>
        <w:p w:rsidR="00A83A4B" w:rsidRDefault="00C34C9E">
          <w:pPr>
            <w:pStyle w:val="TOC1"/>
            <w:tabs>
              <w:tab w:val="right" w:leader="dot" w:pos="9062"/>
            </w:tabs>
            <w:rPr>
              <w:rFonts w:eastAsiaTheme="minorEastAsia"/>
              <w:noProof/>
              <w:lang w:eastAsia="en-GB"/>
            </w:rPr>
          </w:pPr>
          <w:r w:rsidRPr="0048429B">
            <w:rPr>
              <w:lang w:val="hr-HR"/>
            </w:rPr>
            <w:fldChar w:fldCharType="begin"/>
          </w:r>
          <w:r w:rsidRPr="0048429B">
            <w:rPr>
              <w:lang w:val="hr-HR"/>
            </w:rPr>
            <w:instrText xml:space="preserve"> TOC \o "1-3" \h \z \u </w:instrText>
          </w:r>
          <w:r w:rsidRPr="0048429B">
            <w:rPr>
              <w:lang w:val="hr-HR"/>
            </w:rPr>
            <w:fldChar w:fldCharType="separate"/>
          </w:r>
          <w:hyperlink w:anchor="_Toc15461756" w:history="1">
            <w:r w:rsidR="00A83A4B" w:rsidRPr="00393785">
              <w:rPr>
                <w:rStyle w:val="Hyperlink"/>
                <w:noProof/>
                <w:lang w:val="hr-HR"/>
              </w:rPr>
              <w:t>SADRŽAJ</w:t>
            </w:r>
            <w:r w:rsidR="00A83A4B">
              <w:rPr>
                <w:noProof/>
                <w:webHidden/>
              </w:rPr>
              <w:tab/>
            </w:r>
            <w:r w:rsidR="00A83A4B">
              <w:rPr>
                <w:noProof/>
                <w:webHidden/>
              </w:rPr>
              <w:fldChar w:fldCharType="begin"/>
            </w:r>
            <w:r w:rsidR="00A83A4B">
              <w:rPr>
                <w:noProof/>
                <w:webHidden/>
              </w:rPr>
              <w:instrText xml:space="preserve"> PAGEREF _Toc15461756 \h </w:instrText>
            </w:r>
            <w:r w:rsidR="00A83A4B">
              <w:rPr>
                <w:noProof/>
                <w:webHidden/>
              </w:rPr>
            </w:r>
            <w:r w:rsidR="00A83A4B">
              <w:rPr>
                <w:noProof/>
                <w:webHidden/>
              </w:rPr>
              <w:fldChar w:fldCharType="separate"/>
            </w:r>
            <w:r w:rsidR="009C1EC9">
              <w:rPr>
                <w:noProof/>
                <w:webHidden/>
              </w:rPr>
              <w:t>2</w:t>
            </w:r>
            <w:r w:rsidR="00A83A4B">
              <w:rPr>
                <w:noProof/>
                <w:webHidden/>
              </w:rPr>
              <w:fldChar w:fldCharType="end"/>
            </w:r>
          </w:hyperlink>
        </w:p>
        <w:p w:rsidR="00A83A4B" w:rsidRDefault="00887436">
          <w:pPr>
            <w:pStyle w:val="TOC1"/>
            <w:tabs>
              <w:tab w:val="right" w:leader="dot" w:pos="9062"/>
            </w:tabs>
            <w:rPr>
              <w:rFonts w:eastAsiaTheme="minorEastAsia"/>
              <w:noProof/>
              <w:lang w:eastAsia="en-GB"/>
            </w:rPr>
          </w:pPr>
          <w:hyperlink w:anchor="_Toc15461757" w:history="1">
            <w:r w:rsidR="00A83A4B" w:rsidRPr="00393785">
              <w:rPr>
                <w:rStyle w:val="Hyperlink"/>
                <w:noProof/>
                <w:lang w:val="hr-HR"/>
              </w:rPr>
              <w:t>POPIS TABLICA</w:t>
            </w:r>
            <w:r w:rsidR="00A83A4B">
              <w:rPr>
                <w:noProof/>
                <w:webHidden/>
              </w:rPr>
              <w:tab/>
            </w:r>
            <w:r w:rsidR="00A83A4B">
              <w:rPr>
                <w:noProof/>
                <w:webHidden/>
              </w:rPr>
              <w:fldChar w:fldCharType="begin"/>
            </w:r>
            <w:r w:rsidR="00A83A4B">
              <w:rPr>
                <w:noProof/>
                <w:webHidden/>
              </w:rPr>
              <w:instrText xml:space="preserve"> PAGEREF _Toc15461757 \h </w:instrText>
            </w:r>
            <w:r w:rsidR="00A83A4B">
              <w:rPr>
                <w:noProof/>
                <w:webHidden/>
              </w:rPr>
            </w:r>
            <w:r w:rsidR="00A83A4B">
              <w:rPr>
                <w:noProof/>
                <w:webHidden/>
              </w:rPr>
              <w:fldChar w:fldCharType="separate"/>
            </w:r>
            <w:r w:rsidR="009C1EC9">
              <w:rPr>
                <w:noProof/>
                <w:webHidden/>
              </w:rPr>
              <w:t>3</w:t>
            </w:r>
            <w:r w:rsidR="00A83A4B">
              <w:rPr>
                <w:noProof/>
                <w:webHidden/>
              </w:rPr>
              <w:fldChar w:fldCharType="end"/>
            </w:r>
          </w:hyperlink>
        </w:p>
        <w:p w:rsidR="00A83A4B" w:rsidRDefault="00887436">
          <w:pPr>
            <w:pStyle w:val="TOC1"/>
            <w:tabs>
              <w:tab w:val="left" w:pos="440"/>
              <w:tab w:val="right" w:leader="dot" w:pos="9062"/>
            </w:tabs>
            <w:rPr>
              <w:rFonts w:eastAsiaTheme="minorEastAsia"/>
              <w:noProof/>
              <w:lang w:eastAsia="en-GB"/>
            </w:rPr>
          </w:pPr>
          <w:hyperlink w:anchor="_Toc15461758" w:history="1">
            <w:r w:rsidR="00A83A4B" w:rsidRPr="00393785">
              <w:rPr>
                <w:rStyle w:val="Hyperlink"/>
                <w:noProof/>
                <w:lang w:val="hr-HR"/>
              </w:rPr>
              <w:t>1.</w:t>
            </w:r>
            <w:r w:rsidR="00A83A4B">
              <w:rPr>
                <w:rFonts w:eastAsiaTheme="minorEastAsia"/>
                <w:noProof/>
                <w:lang w:eastAsia="en-GB"/>
              </w:rPr>
              <w:tab/>
            </w:r>
            <w:r w:rsidR="00A83A4B" w:rsidRPr="00393785">
              <w:rPr>
                <w:rStyle w:val="Hyperlink"/>
                <w:noProof/>
                <w:lang w:val="hr-HR"/>
              </w:rPr>
              <w:t>UVOD</w:t>
            </w:r>
            <w:r w:rsidR="00A83A4B">
              <w:rPr>
                <w:noProof/>
                <w:webHidden/>
              </w:rPr>
              <w:tab/>
            </w:r>
            <w:r w:rsidR="00A83A4B">
              <w:rPr>
                <w:noProof/>
                <w:webHidden/>
              </w:rPr>
              <w:fldChar w:fldCharType="begin"/>
            </w:r>
            <w:r w:rsidR="00A83A4B">
              <w:rPr>
                <w:noProof/>
                <w:webHidden/>
              </w:rPr>
              <w:instrText xml:space="preserve"> PAGEREF _Toc15461758 \h </w:instrText>
            </w:r>
            <w:r w:rsidR="00A83A4B">
              <w:rPr>
                <w:noProof/>
                <w:webHidden/>
              </w:rPr>
            </w:r>
            <w:r w:rsidR="00A83A4B">
              <w:rPr>
                <w:noProof/>
                <w:webHidden/>
              </w:rPr>
              <w:fldChar w:fldCharType="separate"/>
            </w:r>
            <w:r w:rsidR="009C1EC9">
              <w:rPr>
                <w:noProof/>
                <w:webHidden/>
              </w:rPr>
              <w:t>4</w:t>
            </w:r>
            <w:r w:rsidR="00A83A4B">
              <w:rPr>
                <w:noProof/>
                <w:webHidden/>
              </w:rPr>
              <w:fldChar w:fldCharType="end"/>
            </w:r>
          </w:hyperlink>
        </w:p>
        <w:p w:rsidR="00A83A4B" w:rsidRDefault="00887436">
          <w:pPr>
            <w:pStyle w:val="TOC1"/>
            <w:tabs>
              <w:tab w:val="left" w:pos="440"/>
              <w:tab w:val="right" w:leader="dot" w:pos="9062"/>
            </w:tabs>
            <w:rPr>
              <w:rFonts w:eastAsiaTheme="minorEastAsia"/>
              <w:noProof/>
              <w:lang w:eastAsia="en-GB"/>
            </w:rPr>
          </w:pPr>
          <w:hyperlink w:anchor="_Toc15461759" w:history="1">
            <w:r w:rsidR="00A83A4B" w:rsidRPr="00393785">
              <w:rPr>
                <w:rStyle w:val="Hyperlink"/>
                <w:noProof/>
                <w:lang w:val="hr-HR"/>
              </w:rPr>
              <w:t>2.</w:t>
            </w:r>
            <w:r w:rsidR="00A83A4B">
              <w:rPr>
                <w:rFonts w:eastAsiaTheme="minorEastAsia"/>
                <w:noProof/>
                <w:lang w:eastAsia="en-GB"/>
              </w:rPr>
              <w:tab/>
            </w:r>
            <w:r w:rsidR="00A83A4B" w:rsidRPr="00393785">
              <w:rPr>
                <w:rStyle w:val="Hyperlink"/>
                <w:noProof/>
                <w:lang w:val="hr-HR"/>
              </w:rPr>
              <w:t>CILJEVI EKONOMSKE POLITIKE</w:t>
            </w:r>
            <w:r w:rsidR="00A83A4B">
              <w:rPr>
                <w:noProof/>
                <w:webHidden/>
              </w:rPr>
              <w:tab/>
            </w:r>
            <w:r w:rsidR="00A83A4B">
              <w:rPr>
                <w:noProof/>
                <w:webHidden/>
              </w:rPr>
              <w:fldChar w:fldCharType="begin"/>
            </w:r>
            <w:r w:rsidR="00A83A4B">
              <w:rPr>
                <w:noProof/>
                <w:webHidden/>
              </w:rPr>
              <w:instrText xml:space="preserve"> PAGEREF _Toc15461759 \h </w:instrText>
            </w:r>
            <w:r w:rsidR="00A83A4B">
              <w:rPr>
                <w:noProof/>
                <w:webHidden/>
              </w:rPr>
            </w:r>
            <w:r w:rsidR="00A83A4B">
              <w:rPr>
                <w:noProof/>
                <w:webHidden/>
              </w:rPr>
              <w:fldChar w:fldCharType="separate"/>
            </w:r>
            <w:r w:rsidR="009C1EC9">
              <w:rPr>
                <w:noProof/>
                <w:webHidden/>
              </w:rPr>
              <w:t>5</w:t>
            </w:r>
            <w:r w:rsidR="00A83A4B">
              <w:rPr>
                <w:noProof/>
                <w:webHidden/>
              </w:rPr>
              <w:fldChar w:fldCharType="end"/>
            </w:r>
          </w:hyperlink>
        </w:p>
        <w:p w:rsidR="00A83A4B" w:rsidRDefault="00887436">
          <w:pPr>
            <w:pStyle w:val="TOC1"/>
            <w:tabs>
              <w:tab w:val="left" w:pos="440"/>
              <w:tab w:val="right" w:leader="dot" w:pos="9062"/>
            </w:tabs>
            <w:rPr>
              <w:rFonts w:eastAsiaTheme="minorEastAsia"/>
              <w:noProof/>
              <w:lang w:eastAsia="en-GB"/>
            </w:rPr>
          </w:pPr>
          <w:hyperlink w:anchor="_Toc15461760" w:history="1">
            <w:r w:rsidR="00A83A4B" w:rsidRPr="00393785">
              <w:rPr>
                <w:rStyle w:val="Hyperlink"/>
                <w:noProof/>
                <w:lang w:val="hr-HR"/>
              </w:rPr>
              <w:t>3.</w:t>
            </w:r>
            <w:r w:rsidR="00A83A4B">
              <w:rPr>
                <w:rFonts w:eastAsiaTheme="minorEastAsia"/>
                <w:noProof/>
                <w:lang w:eastAsia="en-GB"/>
              </w:rPr>
              <w:tab/>
            </w:r>
            <w:r w:rsidR="00A83A4B" w:rsidRPr="00393785">
              <w:rPr>
                <w:rStyle w:val="Hyperlink"/>
                <w:noProof/>
                <w:lang w:val="hr-HR"/>
              </w:rPr>
              <w:t>MAKROEKONOMSKI OKVIR U SREDNJOROČNOM RAZDOBLJU</w:t>
            </w:r>
            <w:r w:rsidR="00A83A4B">
              <w:rPr>
                <w:noProof/>
                <w:webHidden/>
              </w:rPr>
              <w:tab/>
            </w:r>
            <w:r w:rsidR="00A83A4B">
              <w:rPr>
                <w:noProof/>
                <w:webHidden/>
              </w:rPr>
              <w:fldChar w:fldCharType="begin"/>
            </w:r>
            <w:r w:rsidR="00A83A4B">
              <w:rPr>
                <w:noProof/>
                <w:webHidden/>
              </w:rPr>
              <w:instrText xml:space="preserve"> PAGEREF _Toc15461760 \h </w:instrText>
            </w:r>
            <w:r w:rsidR="00A83A4B">
              <w:rPr>
                <w:noProof/>
                <w:webHidden/>
              </w:rPr>
            </w:r>
            <w:r w:rsidR="00A83A4B">
              <w:rPr>
                <w:noProof/>
                <w:webHidden/>
              </w:rPr>
              <w:fldChar w:fldCharType="separate"/>
            </w:r>
            <w:r w:rsidR="009C1EC9">
              <w:rPr>
                <w:noProof/>
                <w:webHidden/>
              </w:rPr>
              <w:t>7</w:t>
            </w:r>
            <w:r w:rsidR="00A83A4B">
              <w:rPr>
                <w:noProof/>
                <w:webHidden/>
              </w:rPr>
              <w:fldChar w:fldCharType="end"/>
            </w:r>
          </w:hyperlink>
        </w:p>
        <w:p w:rsidR="00A83A4B" w:rsidRDefault="00887436">
          <w:pPr>
            <w:pStyle w:val="TOC1"/>
            <w:tabs>
              <w:tab w:val="left" w:pos="440"/>
              <w:tab w:val="right" w:leader="dot" w:pos="9062"/>
            </w:tabs>
            <w:rPr>
              <w:rFonts w:eastAsiaTheme="minorEastAsia"/>
              <w:noProof/>
              <w:lang w:eastAsia="en-GB"/>
            </w:rPr>
          </w:pPr>
          <w:hyperlink w:anchor="_Toc15461761" w:history="1">
            <w:r w:rsidR="00A83A4B" w:rsidRPr="00393785">
              <w:rPr>
                <w:rStyle w:val="Hyperlink"/>
                <w:noProof/>
                <w:lang w:val="hr-HR"/>
              </w:rPr>
              <w:t>4.</w:t>
            </w:r>
            <w:r w:rsidR="00A83A4B">
              <w:rPr>
                <w:rFonts w:eastAsiaTheme="minorEastAsia"/>
                <w:noProof/>
                <w:lang w:eastAsia="en-GB"/>
              </w:rPr>
              <w:tab/>
            </w:r>
            <w:r w:rsidR="00A83A4B" w:rsidRPr="00393785">
              <w:rPr>
                <w:rStyle w:val="Hyperlink"/>
                <w:noProof/>
                <w:lang w:val="hr-HR"/>
              </w:rPr>
              <w:t>FISKALNI OKVIR U SREDNJOROČNOM RAZDOBLJU</w:t>
            </w:r>
            <w:r w:rsidR="00A83A4B">
              <w:rPr>
                <w:noProof/>
                <w:webHidden/>
              </w:rPr>
              <w:tab/>
            </w:r>
            <w:r w:rsidR="00A83A4B">
              <w:rPr>
                <w:noProof/>
                <w:webHidden/>
              </w:rPr>
              <w:fldChar w:fldCharType="begin"/>
            </w:r>
            <w:r w:rsidR="00A83A4B">
              <w:rPr>
                <w:noProof/>
                <w:webHidden/>
              </w:rPr>
              <w:instrText xml:space="preserve"> PAGEREF _Toc15461761 \h </w:instrText>
            </w:r>
            <w:r w:rsidR="00A83A4B">
              <w:rPr>
                <w:noProof/>
                <w:webHidden/>
              </w:rPr>
            </w:r>
            <w:r w:rsidR="00A83A4B">
              <w:rPr>
                <w:noProof/>
                <w:webHidden/>
              </w:rPr>
              <w:fldChar w:fldCharType="separate"/>
            </w:r>
            <w:r w:rsidR="009C1EC9">
              <w:rPr>
                <w:noProof/>
                <w:webHidden/>
              </w:rPr>
              <w:t>10</w:t>
            </w:r>
            <w:r w:rsidR="00A83A4B">
              <w:rPr>
                <w:noProof/>
                <w:webHidden/>
              </w:rPr>
              <w:fldChar w:fldCharType="end"/>
            </w:r>
          </w:hyperlink>
        </w:p>
        <w:p w:rsidR="00A83A4B" w:rsidRDefault="00887436">
          <w:pPr>
            <w:pStyle w:val="TOC2"/>
            <w:rPr>
              <w:rFonts w:eastAsiaTheme="minorEastAsia"/>
              <w:noProof/>
              <w:lang w:eastAsia="en-GB"/>
            </w:rPr>
          </w:pPr>
          <w:hyperlink w:anchor="_Toc15461762" w:history="1">
            <w:r w:rsidR="00A83A4B" w:rsidRPr="00393785">
              <w:rPr>
                <w:rStyle w:val="Hyperlink"/>
                <w:noProof/>
                <w:lang w:val="hr-HR"/>
              </w:rPr>
              <w:t>4.1.</w:t>
            </w:r>
            <w:r w:rsidR="00A83A4B">
              <w:rPr>
                <w:rFonts w:eastAsiaTheme="minorEastAsia"/>
                <w:noProof/>
                <w:lang w:eastAsia="en-GB"/>
              </w:rPr>
              <w:tab/>
            </w:r>
            <w:r w:rsidR="00A83A4B" w:rsidRPr="00393785">
              <w:rPr>
                <w:rStyle w:val="Hyperlink"/>
                <w:noProof/>
                <w:lang w:val="hr-HR"/>
              </w:rPr>
              <w:t>Kretanje prihoda državnog proračuna u razdoblju 2020. – 2022.</w:t>
            </w:r>
            <w:r w:rsidR="00A83A4B">
              <w:rPr>
                <w:noProof/>
                <w:webHidden/>
              </w:rPr>
              <w:tab/>
            </w:r>
            <w:r w:rsidR="00A83A4B">
              <w:rPr>
                <w:noProof/>
                <w:webHidden/>
              </w:rPr>
              <w:fldChar w:fldCharType="begin"/>
            </w:r>
            <w:r w:rsidR="00A83A4B">
              <w:rPr>
                <w:noProof/>
                <w:webHidden/>
              </w:rPr>
              <w:instrText xml:space="preserve"> PAGEREF _Toc15461762 \h </w:instrText>
            </w:r>
            <w:r w:rsidR="00A83A4B">
              <w:rPr>
                <w:noProof/>
                <w:webHidden/>
              </w:rPr>
            </w:r>
            <w:r w:rsidR="00A83A4B">
              <w:rPr>
                <w:noProof/>
                <w:webHidden/>
              </w:rPr>
              <w:fldChar w:fldCharType="separate"/>
            </w:r>
            <w:r w:rsidR="009C1EC9">
              <w:rPr>
                <w:noProof/>
                <w:webHidden/>
              </w:rPr>
              <w:t>10</w:t>
            </w:r>
            <w:r w:rsidR="00A83A4B">
              <w:rPr>
                <w:noProof/>
                <w:webHidden/>
              </w:rPr>
              <w:fldChar w:fldCharType="end"/>
            </w:r>
          </w:hyperlink>
        </w:p>
        <w:p w:rsidR="00A83A4B" w:rsidRDefault="00887436">
          <w:pPr>
            <w:pStyle w:val="TOC2"/>
            <w:rPr>
              <w:rFonts w:eastAsiaTheme="minorEastAsia"/>
              <w:noProof/>
              <w:lang w:eastAsia="en-GB"/>
            </w:rPr>
          </w:pPr>
          <w:hyperlink w:anchor="_Toc15461763" w:history="1">
            <w:r w:rsidR="00A83A4B" w:rsidRPr="00393785">
              <w:rPr>
                <w:rStyle w:val="Hyperlink"/>
                <w:noProof/>
                <w:lang w:val="hr-HR"/>
              </w:rPr>
              <w:t>4.2.</w:t>
            </w:r>
            <w:r w:rsidR="00A83A4B">
              <w:rPr>
                <w:rFonts w:eastAsiaTheme="minorEastAsia"/>
                <w:noProof/>
                <w:lang w:eastAsia="en-GB"/>
              </w:rPr>
              <w:tab/>
            </w:r>
            <w:r w:rsidR="00A83A4B" w:rsidRPr="00393785">
              <w:rPr>
                <w:rStyle w:val="Hyperlink"/>
                <w:noProof/>
                <w:lang w:val="hr-HR"/>
              </w:rPr>
              <w:t>Kretanje rashoda državnog proračuna u razdoblju 2020. – 2022.</w:t>
            </w:r>
            <w:r w:rsidR="00A83A4B">
              <w:rPr>
                <w:noProof/>
                <w:webHidden/>
              </w:rPr>
              <w:tab/>
            </w:r>
            <w:r w:rsidR="00A83A4B">
              <w:rPr>
                <w:noProof/>
                <w:webHidden/>
              </w:rPr>
              <w:fldChar w:fldCharType="begin"/>
            </w:r>
            <w:r w:rsidR="00A83A4B">
              <w:rPr>
                <w:noProof/>
                <w:webHidden/>
              </w:rPr>
              <w:instrText xml:space="preserve"> PAGEREF _Toc15461763 \h </w:instrText>
            </w:r>
            <w:r w:rsidR="00A83A4B">
              <w:rPr>
                <w:noProof/>
                <w:webHidden/>
              </w:rPr>
            </w:r>
            <w:r w:rsidR="00A83A4B">
              <w:rPr>
                <w:noProof/>
                <w:webHidden/>
              </w:rPr>
              <w:fldChar w:fldCharType="separate"/>
            </w:r>
            <w:r w:rsidR="009C1EC9">
              <w:rPr>
                <w:noProof/>
                <w:webHidden/>
              </w:rPr>
              <w:t>12</w:t>
            </w:r>
            <w:r w:rsidR="00A83A4B">
              <w:rPr>
                <w:noProof/>
                <w:webHidden/>
              </w:rPr>
              <w:fldChar w:fldCharType="end"/>
            </w:r>
          </w:hyperlink>
        </w:p>
        <w:p w:rsidR="00A83A4B" w:rsidRDefault="00887436">
          <w:pPr>
            <w:pStyle w:val="TOC2"/>
            <w:rPr>
              <w:rFonts w:eastAsiaTheme="minorEastAsia"/>
              <w:noProof/>
              <w:lang w:eastAsia="en-GB"/>
            </w:rPr>
          </w:pPr>
          <w:hyperlink w:anchor="_Toc15461764" w:history="1">
            <w:r w:rsidR="00A83A4B" w:rsidRPr="00393785">
              <w:rPr>
                <w:rStyle w:val="Hyperlink"/>
                <w:noProof/>
                <w:lang w:val="hr-HR"/>
              </w:rPr>
              <w:t>4.3.</w:t>
            </w:r>
            <w:r w:rsidR="00A83A4B">
              <w:rPr>
                <w:rFonts w:eastAsiaTheme="minorEastAsia"/>
                <w:noProof/>
                <w:lang w:eastAsia="en-GB"/>
              </w:rPr>
              <w:tab/>
            </w:r>
            <w:r w:rsidR="00A83A4B" w:rsidRPr="00393785">
              <w:rPr>
                <w:rStyle w:val="Hyperlink"/>
                <w:noProof/>
                <w:lang w:val="hr-HR"/>
              </w:rPr>
              <w:t>Izvanproračunski korisnici, trgovačka društva te druge pravne osobe u sektoru opće države</w:t>
            </w:r>
            <w:r w:rsidR="00A83A4B">
              <w:rPr>
                <w:noProof/>
                <w:webHidden/>
              </w:rPr>
              <w:tab/>
            </w:r>
            <w:r w:rsidR="00A83A4B">
              <w:rPr>
                <w:noProof/>
                <w:webHidden/>
              </w:rPr>
              <w:tab/>
            </w:r>
            <w:r w:rsidR="00A83A4B">
              <w:rPr>
                <w:noProof/>
                <w:webHidden/>
              </w:rPr>
              <w:tab/>
            </w:r>
            <w:r w:rsidR="00A83A4B">
              <w:rPr>
                <w:noProof/>
                <w:webHidden/>
              </w:rPr>
              <w:fldChar w:fldCharType="begin"/>
            </w:r>
            <w:r w:rsidR="00A83A4B">
              <w:rPr>
                <w:noProof/>
                <w:webHidden/>
              </w:rPr>
              <w:instrText xml:space="preserve"> PAGEREF _Toc15461764 \h </w:instrText>
            </w:r>
            <w:r w:rsidR="00A83A4B">
              <w:rPr>
                <w:noProof/>
                <w:webHidden/>
              </w:rPr>
            </w:r>
            <w:r w:rsidR="00A83A4B">
              <w:rPr>
                <w:noProof/>
                <w:webHidden/>
              </w:rPr>
              <w:fldChar w:fldCharType="separate"/>
            </w:r>
            <w:r w:rsidR="009C1EC9">
              <w:rPr>
                <w:noProof/>
                <w:webHidden/>
              </w:rPr>
              <w:t>22</w:t>
            </w:r>
            <w:r w:rsidR="00A83A4B">
              <w:rPr>
                <w:noProof/>
                <w:webHidden/>
              </w:rPr>
              <w:fldChar w:fldCharType="end"/>
            </w:r>
          </w:hyperlink>
        </w:p>
        <w:p w:rsidR="00A83A4B" w:rsidRDefault="00887436">
          <w:pPr>
            <w:pStyle w:val="TOC2"/>
            <w:rPr>
              <w:rFonts w:eastAsiaTheme="minorEastAsia"/>
              <w:noProof/>
              <w:lang w:eastAsia="en-GB"/>
            </w:rPr>
          </w:pPr>
          <w:hyperlink w:anchor="_Toc15461765" w:history="1">
            <w:r w:rsidR="00A83A4B" w:rsidRPr="00393785">
              <w:rPr>
                <w:rStyle w:val="Hyperlink"/>
                <w:noProof/>
                <w:lang w:val="hr-HR"/>
              </w:rPr>
              <w:t>4.4.</w:t>
            </w:r>
            <w:r w:rsidR="00A83A4B">
              <w:rPr>
                <w:rFonts w:eastAsiaTheme="minorEastAsia"/>
                <w:noProof/>
                <w:lang w:eastAsia="en-GB"/>
              </w:rPr>
              <w:tab/>
            </w:r>
            <w:r w:rsidR="00A83A4B" w:rsidRPr="00393785">
              <w:rPr>
                <w:rStyle w:val="Hyperlink"/>
                <w:noProof/>
                <w:lang w:val="hr-HR"/>
              </w:rPr>
              <w:t>Manjak/višak konsolidirane opće države</w:t>
            </w:r>
            <w:r w:rsidR="00A83A4B">
              <w:rPr>
                <w:noProof/>
                <w:webHidden/>
              </w:rPr>
              <w:tab/>
            </w:r>
            <w:r w:rsidR="00A83A4B">
              <w:rPr>
                <w:noProof/>
                <w:webHidden/>
              </w:rPr>
              <w:fldChar w:fldCharType="begin"/>
            </w:r>
            <w:r w:rsidR="00A83A4B">
              <w:rPr>
                <w:noProof/>
                <w:webHidden/>
              </w:rPr>
              <w:instrText xml:space="preserve"> PAGEREF _Toc15461765 \h </w:instrText>
            </w:r>
            <w:r w:rsidR="00A83A4B">
              <w:rPr>
                <w:noProof/>
                <w:webHidden/>
              </w:rPr>
            </w:r>
            <w:r w:rsidR="00A83A4B">
              <w:rPr>
                <w:noProof/>
                <w:webHidden/>
              </w:rPr>
              <w:fldChar w:fldCharType="separate"/>
            </w:r>
            <w:r w:rsidR="009C1EC9">
              <w:rPr>
                <w:noProof/>
                <w:webHidden/>
              </w:rPr>
              <w:t>23</w:t>
            </w:r>
            <w:r w:rsidR="00A83A4B">
              <w:rPr>
                <w:noProof/>
                <w:webHidden/>
              </w:rPr>
              <w:fldChar w:fldCharType="end"/>
            </w:r>
          </w:hyperlink>
        </w:p>
        <w:p w:rsidR="00A83A4B" w:rsidRDefault="00887436">
          <w:pPr>
            <w:pStyle w:val="TOC2"/>
            <w:rPr>
              <w:rFonts w:eastAsiaTheme="minorEastAsia"/>
              <w:noProof/>
              <w:lang w:eastAsia="en-GB"/>
            </w:rPr>
          </w:pPr>
          <w:hyperlink w:anchor="_Toc15461766" w:history="1">
            <w:r w:rsidR="00A83A4B" w:rsidRPr="00393785">
              <w:rPr>
                <w:rStyle w:val="Hyperlink"/>
                <w:noProof/>
                <w:lang w:val="hr-HR"/>
              </w:rPr>
              <w:t>4.5.</w:t>
            </w:r>
            <w:r w:rsidR="00A83A4B">
              <w:rPr>
                <w:rFonts w:eastAsiaTheme="minorEastAsia"/>
                <w:noProof/>
                <w:lang w:eastAsia="en-GB"/>
              </w:rPr>
              <w:tab/>
            </w:r>
            <w:r w:rsidR="00A83A4B" w:rsidRPr="00393785">
              <w:rPr>
                <w:rStyle w:val="Hyperlink"/>
                <w:noProof/>
                <w:lang w:val="hr-HR"/>
              </w:rPr>
              <w:t>Stanje i projekcija kretanja javnog duga</w:t>
            </w:r>
            <w:r w:rsidR="00A83A4B">
              <w:rPr>
                <w:noProof/>
                <w:webHidden/>
              </w:rPr>
              <w:tab/>
            </w:r>
            <w:r w:rsidR="00A83A4B">
              <w:rPr>
                <w:noProof/>
                <w:webHidden/>
              </w:rPr>
              <w:fldChar w:fldCharType="begin"/>
            </w:r>
            <w:r w:rsidR="00A83A4B">
              <w:rPr>
                <w:noProof/>
                <w:webHidden/>
              </w:rPr>
              <w:instrText xml:space="preserve"> PAGEREF _Toc15461766 \h </w:instrText>
            </w:r>
            <w:r w:rsidR="00A83A4B">
              <w:rPr>
                <w:noProof/>
                <w:webHidden/>
              </w:rPr>
            </w:r>
            <w:r w:rsidR="00A83A4B">
              <w:rPr>
                <w:noProof/>
                <w:webHidden/>
              </w:rPr>
              <w:fldChar w:fldCharType="separate"/>
            </w:r>
            <w:r w:rsidR="009C1EC9">
              <w:rPr>
                <w:noProof/>
                <w:webHidden/>
              </w:rPr>
              <w:t>24</w:t>
            </w:r>
            <w:r w:rsidR="00A83A4B">
              <w:rPr>
                <w:noProof/>
                <w:webHidden/>
              </w:rPr>
              <w:fldChar w:fldCharType="end"/>
            </w:r>
          </w:hyperlink>
        </w:p>
        <w:p w:rsidR="00C34C9E" w:rsidRPr="0048429B" w:rsidRDefault="00C34C9E">
          <w:pPr>
            <w:rPr>
              <w:lang w:val="hr-HR"/>
            </w:rPr>
          </w:pPr>
          <w:r w:rsidRPr="0048429B">
            <w:rPr>
              <w:b/>
              <w:bCs/>
              <w:lang w:val="hr-HR"/>
            </w:rPr>
            <w:fldChar w:fldCharType="end"/>
          </w:r>
        </w:p>
      </w:sdtContent>
    </w:sdt>
    <w:p w:rsidR="00C34C9E" w:rsidRPr="0048429B" w:rsidRDefault="00C34C9E" w:rsidP="00E52BDF">
      <w:pPr>
        <w:rPr>
          <w:lang w:val="hr-HR"/>
        </w:rPr>
      </w:pPr>
    </w:p>
    <w:p w:rsidR="00E52BDF" w:rsidRPr="0048429B" w:rsidRDefault="00E52BDF" w:rsidP="00E52BDF">
      <w:pPr>
        <w:rPr>
          <w:lang w:val="hr-HR"/>
        </w:rPr>
      </w:pPr>
    </w:p>
    <w:p w:rsidR="00E52BDF" w:rsidRPr="0048429B" w:rsidRDefault="00E52BDF" w:rsidP="00E52BDF">
      <w:pPr>
        <w:rPr>
          <w:lang w:val="hr-HR"/>
        </w:rPr>
        <w:sectPr w:rsidR="00E52BDF" w:rsidRPr="0048429B">
          <w:pgSz w:w="11906" w:h="16838"/>
          <w:pgMar w:top="1417" w:right="1417" w:bottom="1417" w:left="1417" w:header="708" w:footer="708" w:gutter="0"/>
          <w:cols w:space="708"/>
          <w:docGrid w:linePitch="360"/>
        </w:sectPr>
      </w:pPr>
    </w:p>
    <w:p w:rsidR="00E52BDF" w:rsidRPr="0048429B" w:rsidRDefault="00E52BDF" w:rsidP="00E52BDF">
      <w:pPr>
        <w:pStyle w:val="Heading1"/>
        <w:rPr>
          <w:lang w:val="hr-HR"/>
        </w:rPr>
      </w:pPr>
      <w:bookmarkStart w:id="2" w:name="_Toc15461757"/>
      <w:r w:rsidRPr="0048429B">
        <w:rPr>
          <w:lang w:val="hr-HR"/>
        </w:rPr>
        <w:lastRenderedPageBreak/>
        <w:t>POPIS TABLICA</w:t>
      </w:r>
      <w:bookmarkEnd w:id="2"/>
    </w:p>
    <w:p w:rsidR="00E52BDF" w:rsidRPr="0048429B" w:rsidRDefault="00E52BDF" w:rsidP="00E52BDF">
      <w:pPr>
        <w:rPr>
          <w:lang w:val="hr-HR"/>
        </w:rPr>
      </w:pPr>
    </w:p>
    <w:p w:rsidR="00A83A4B" w:rsidRDefault="00C34C9E">
      <w:pPr>
        <w:pStyle w:val="TableofFigures"/>
        <w:tabs>
          <w:tab w:val="right" w:leader="dot" w:pos="9062"/>
        </w:tabs>
        <w:rPr>
          <w:rFonts w:eastAsiaTheme="minorEastAsia"/>
          <w:noProof/>
          <w:lang w:eastAsia="en-GB"/>
        </w:rPr>
      </w:pPr>
      <w:r w:rsidRPr="0048429B">
        <w:rPr>
          <w:lang w:val="hr-HR"/>
        </w:rPr>
        <w:fldChar w:fldCharType="begin"/>
      </w:r>
      <w:r w:rsidRPr="0048429B">
        <w:rPr>
          <w:lang w:val="hr-HR"/>
        </w:rPr>
        <w:instrText xml:space="preserve"> TOC \h \z \c "Tablica" </w:instrText>
      </w:r>
      <w:r w:rsidRPr="0048429B">
        <w:rPr>
          <w:lang w:val="hr-HR"/>
        </w:rPr>
        <w:fldChar w:fldCharType="separate"/>
      </w:r>
      <w:hyperlink w:anchor="_Toc15461767" w:history="1">
        <w:r w:rsidR="00A83A4B" w:rsidRPr="0057441D">
          <w:rPr>
            <w:rStyle w:val="Hyperlink"/>
            <w:rFonts w:ascii="Calibri" w:hAnsi="Calibri"/>
            <w:i/>
            <w:noProof/>
            <w:lang w:val="hr-HR"/>
          </w:rPr>
          <w:t>Tablica 1: Makroekonomski okvir u razdoblju 2018. – 2022.</w:t>
        </w:r>
        <w:r w:rsidR="00A83A4B">
          <w:rPr>
            <w:noProof/>
            <w:webHidden/>
          </w:rPr>
          <w:tab/>
        </w:r>
        <w:r w:rsidR="00A83A4B">
          <w:rPr>
            <w:noProof/>
            <w:webHidden/>
          </w:rPr>
          <w:fldChar w:fldCharType="begin"/>
        </w:r>
        <w:r w:rsidR="00A83A4B">
          <w:rPr>
            <w:noProof/>
            <w:webHidden/>
          </w:rPr>
          <w:instrText xml:space="preserve"> PAGEREF _Toc15461767 \h </w:instrText>
        </w:r>
        <w:r w:rsidR="00A83A4B">
          <w:rPr>
            <w:noProof/>
            <w:webHidden/>
          </w:rPr>
        </w:r>
        <w:r w:rsidR="00A83A4B">
          <w:rPr>
            <w:noProof/>
            <w:webHidden/>
          </w:rPr>
          <w:fldChar w:fldCharType="separate"/>
        </w:r>
        <w:r w:rsidR="009C1EC9">
          <w:rPr>
            <w:noProof/>
            <w:webHidden/>
          </w:rPr>
          <w:t>7</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68" w:history="1">
        <w:r w:rsidR="00A83A4B" w:rsidRPr="0057441D">
          <w:rPr>
            <w:rStyle w:val="Hyperlink"/>
            <w:rFonts w:ascii="Calibri" w:hAnsi="Calibri"/>
            <w:i/>
            <w:noProof/>
            <w:lang w:val="hr-HR"/>
          </w:rPr>
          <w:t>Tablica 2: Kretanje prihoda državnog proračuna u razdoblju 2018. – 2022.</w:t>
        </w:r>
        <w:r w:rsidR="00A83A4B">
          <w:rPr>
            <w:noProof/>
            <w:webHidden/>
          </w:rPr>
          <w:tab/>
        </w:r>
        <w:r w:rsidR="00A83A4B">
          <w:rPr>
            <w:noProof/>
            <w:webHidden/>
          </w:rPr>
          <w:fldChar w:fldCharType="begin"/>
        </w:r>
        <w:r w:rsidR="00A83A4B">
          <w:rPr>
            <w:noProof/>
            <w:webHidden/>
          </w:rPr>
          <w:instrText xml:space="preserve"> PAGEREF _Toc15461768 \h </w:instrText>
        </w:r>
        <w:r w:rsidR="00A83A4B">
          <w:rPr>
            <w:noProof/>
            <w:webHidden/>
          </w:rPr>
        </w:r>
        <w:r w:rsidR="00A83A4B">
          <w:rPr>
            <w:noProof/>
            <w:webHidden/>
          </w:rPr>
          <w:fldChar w:fldCharType="separate"/>
        </w:r>
        <w:r w:rsidR="009C1EC9">
          <w:rPr>
            <w:noProof/>
            <w:webHidden/>
          </w:rPr>
          <w:t>12</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69" w:history="1">
        <w:r w:rsidR="00A83A4B" w:rsidRPr="0057441D">
          <w:rPr>
            <w:rStyle w:val="Hyperlink"/>
            <w:rFonts w:ascii="Calibri" w:hAnsi="Calibri"/>
            <w:i/>
            <w:noProof/>
            <w:lang w:val="hr-HR"/>
          </w:rPr>
          <w:t>Tablica 3: Kretanje rashoda državnog proračuna koji se financiraju iz općih prihoda i primitaka, doprinosa i namjenskih primitaka u razdoblju 2018. – 2022.</w:t>
        </w:r>
        <w:r w:rsidR="00A83A4B">
          <w:rPr>
            <w:noProof/>
            <w:webHidden/>
          </w:rPr>
          <w:tab/>
        </w:r>
        <w:r w:rsidR="00A83A4B">
          <w:rPr>
            <w:noProof/>
            <w:webHidden/>
          </w:rPr>
          <w:fldChar w:fldCharType="begin"/>
        </w:r>
        <w:r w:rsidR="00A83A4B">
          <w:rPr>
            <w:noProof/>
            <w:webHidden/>
          </w:rPr>
          <w:instrText xml:space="preserve"> PAGEREF _Toc15461769 \h </w:instrText>
        </w:r>
        <w:r w:rsidR="00A83A4B">
          <w:rPr>
            <w:noProof/>
            <w:webHidden/>
          </w:rPr>
        </w:r>
        <w:r w:rsidR="00A83A4B">
          <w:rPr>
            <w:noProof/>
            <w:webHidden/>
          </w:rPr>
          <w:fldChar w:fldCharType="separate"/>
        </w:r>
        <w:r w:rsidR="009C1EC9">
          <w:rPr>
            <w:noProof/>
            <w:webHidden/>
          </w:rPr>
          <w:t>13</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70" w:history="1">
        <w:r w:rsidR="00A83A4B" w:rsidRPr="0057441D">
          <w:rPr>
            <w:rStyle w:val="Hyperlink"/>
            <w:rFonts w:ascii="Calibri" w:hAnsi="Calibri"/>
            <w:i/>
            <w:noProof/>
            <w:lang w:val="hr-HR"/>
          </w:rPr>
          <w:t>Tablica 4: Kretanje rashoda državnog proračuna koji se financiraju iz vlastitih prihoda, prihoda za posebne namjene, pomoći i donacija u razdoblju 2018. – 2022.</w:t>
        </w:r>
        <w:r w:rsidR="00A83A4B">
          <w:rPr>
            <w:noProof/>
            <w:webHidden/>
          </w:rPr>
          <w:tab/>
        </w:r>
        <w:r w:rsidR="00A83A4B">
          <w:rPr>
            <w:noProof/>
            <w:webHidden/>
          </w:rPr>
          <w:fldChar w:fldCharType="begin"/>
        </w:r>
        <w:r w:rsidR="00A83A4B">
          <w:rPr>
            <w:noProof/>
            <w:webHidden/>
          </w:rPr>
          <w:instrText xml:space="preserve"> PAGEREF _Toc15461770 \h </w:instrText>
        </w:r>
        <w:r w:rsidR="00A83A4B">
          <w:rPr>
            <w:noProof/>
            <w:webHidden/>
          </w:rPr>
        </w:r>
        <w:r w:rsidR="00A83A4B">
          <w:rPr>
            <w:noProof/>
            <w:webHidden/>
          </w:rPr>
          <w:fldChar w:fldCharType="separate"/>
        </w:r>
        <w:r w:rsidR="009C1EC9">
          <w:rPr>
            <w:noProof/>
            <w:webHidden/>
          </w:rPr>
          <w:t>14</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71" w:history="1">
        <w:r w:rsidR="00A83A4B" w:rsidRPr="0057441D">
          <w:rPr>
            <w:rStyle w:val="Hyperlink"/>
            <w:rFonts w:ascii="Calibri" w:hAnsi="Calibri"/>
            <w:i/>
            <w:noProof/>
            <w:lang w:val="hr-HR"/>
          </w:rPr>
          <w:t>Tablica 5: Kretanje ukupnih rashoda državnog proračuna u razdoblju 2018. – 2022.</w:t>
        </w:r>
        <w:r w:rsidR="00A83A4B">
          <w:rPr>
            <w:noProof/>
            <w:webHidden/>
          </w:rPr>
          <w:tab/>
        </w:r>
        <w:r w:rsidR="00A83A4B">
          <w:rPr>
            <w:noProof/>
            <w:webHidden/>
          </w:rPr>
          <w:fldChar w:fldCharType="begin"/>
        </w:r>
        <w:r w:rsidR="00A83A4B">
          <w:rPr>
            <w:noProof/>
            <w:webHidden/>
          </w:rPr>
          <w:instrText xml:space="preserve"> PAGEREF _Toc15461771 \h </w:instrText>
        </w:r>
        <w:r w:rsidR="00A83A4B">
          <w:rPr>
            <w:noProof/>
            <w:webHidden/>
          </w:rPr>
        </w:r>
        <w:r w:rsidR="00A83A4B">
          <w:rPr>
            <w:noProof/>
            <w:webHidden/>
          </w:rPr>
          <w:fldChar w:fldCharType="separate"/>
        </w:r>
        <w:r w:rsidR="009C1EC9">
          <w:rPr>
            <w:noProof/>
            <w:webHidden/>
          </w:rPr>
          <w:t>14</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72" w:history="1">
        <w:r w:rsidR="00A83A4B" w:rsidRPr="0057441D">
          <w:rPr>
            <w:rStyle w:val="Hyperlink"/>
            <w:rFonts w:ascii="Calibri" w:hAnsi="Calibri"/>
            <w:i/>
            <w:noProof/>
          </w:rPr>
          <w:t>Tablica 6: Limiti ukupnih rashoda po razdjelima državnog proračuna za izvore financiranja: opći prihodi i primici, doprinosi i namjenski primici za razdoblje 2020. – 2022.</w:t>
        </w:r>
        <w:r w:rsidR="00A83A4B">
          <w:rPr>
            <w:noProof/>
            <w:webHidden/>
          </w:rPr>
          <w:tab/>
        </w:r>
        <w:r w:rsidR="00A83A4B">
          <w:rPr>
            <w:noProof/>
            <w:webHidden/>
          </w:rPr>
          <w:fldChar w:fldCharType="begin"/>
        </w:r>
        <w:r w:rsidR="00A83A4B">
          <w:rPr>
            <w:noProof/>
            <w:webHidden/>
          </w:rPr>
          <w:instrText xml:space="preserve"> PAGEREF _Toc15461772 \h </w:instrText>
        </w:r>
        <w:r w:rsidR="00A83A4B">
          <w:rPr>
            <w:noProof/>
            <w:webHidden/>
          </w:rPr>
        </w:r>
        <w:r w:rsidR="00A83A4B">
          <w:rPr>
            <w:noProof/>
            <w:webHidden/>
          </w:rPr>
          <w:fldChar w:fldCharType="separate"/>
        </w:r>
        <w:r w:rsidR="009C1EC9">
          <w:rPr>
            <w:noProof/>
            <w:webHidden/>
          </w:rPr>
          <w:t>21</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73" w:history="1">
        <w:r w:rsidR="00A83A4B" w:rsidRPr="0057441D">
          <w:rPr>
            <w:rStyle w:val="Hyperlink"/>
            <w:rFonts w:ascii="Calibri" w:hAnsi="Calibri"/>
            <w:i/>
            <w:noProof/>
            <w:lang w:val="hr-HR"/>
          </w:rPr>
          <w:t>Tablica 7: Manjak/višak izvanproračunskih korisnika, trgovačkih društava i drugih pravnih osoba u sektoru opće države</w:t>
        </w:r>
        <w:r w:rsidR="00A83A4B">
          <w:rPr>
            <w:noProof/>
            <w:webHidden/>
          </w:rPr>
          <w:tab/>
        </w:r>
        <w:r w:rsidR="00A83A4B">
          <w:rPr>
            <w:noProof/>
            <w:webHidden/>
          </w:rPr>
          <w:fldChar w:fldCharType="begin"/>
        </w:r>
        <w:r w:rsidR="00A83A4B">
          <w:rPr>
            <w:noProof/>
            <w:webHidden/>
          </w:rPr>
          <w:instrText xml:space="preserve"> PAGEREF _Toc15461773 \h </w:instrText>
        </w:r>
        <w:r w:rsidR="00A83A4B">
          <w:rPr>
            <w:noProof/>
            <w:webHidden/>
          </w:rPr>
        </w:r>
        <w:r w:rsidR="00A83A4B">
          <w:rPr>
            <w:noProof/>
            <w:webHidden/>
          </w:rPr>
          <w:fldChar w:fldCharType="separate"/>
        </w:r>
        <w:r w:rsidR="009C1EC9">
          <w:rPr>
            <w:noProof/>
            <w:webHidden/>
          </w:rPr>
          <w:t>22</w:t>
        </w:r>
        <w:r w:rsidR="00A83A4B">
          <w:rPr>
            <w:noProof/>
            <w:webHidden/>
          </w:rPr>
          <w:fldChar w:fldCharType="end"/>
        </w:r>
      </w:hyperlink>
    </w:p>
    <w:p w:rsidR="00A83A4B" w:rsidRDefault="00887436">
      <w:pPr>
        <w:pStyle w:val="TableofFigures"/>
        <w:tabs>
          <w:tab w:val="right" w:leader="dot" w:pos="9062"/>
        </w:tabs>
        <w:rPr>
          <w:rFonts w:eastAsiaTheme="minorEastAsia"/>
          <w:noProof/>
          <w:lang w:eastAsia="en-GB"/>
        </w:rPr>
      </w:pPr>
      <w:hyperlink w:anchor="_Toc15461774" w:history="1">
        <w:r w:rsidR="00A83A4B" w:rsidRPr="0057441D">
          <w:rPr>
            <w:rStyle w:val="Hyperlink"/>
            <w:rFonts w:ascii="Calibri" w:hAnsi="Calibri"/>
            <w:i/>
            <w:noProof/>
            <w:lang w:val="hr-HR"/>
          </w:rPr>
          <w:t>Tablica 8: Manjak/višak općeg proračuna u razdoblju 2018. – 2022., nacionalna i ESA 2010 metodologija</w:t>
        </w:r>
        <w:r w:rsidR="00A83A4B">
          <w:rPr>
            <w:noProof/>
            <w:webHidden/>
          </w:rPr>
          <w:tab/>
        </w:r>
        <w:r w:rsidR="00A83A4B">
          <w:rPr>
            <w:noProof/>
            <w:webHidden/>
          </w:rPr>
          <w:fldChar w:fldCharType="begin"/>
        </w:r>
        <w:r w:rsidR="00A83A4B">
          <w:rPr>
            <w:noProof/>
            <w:webHidden/>
          </w:rPr>
          <w:instrText xml:space="preserve"> PAGEREF _Toc15461774 \h </w:instrText>
        </w:r>
        <w:r w:rsidR="00A83A4B">
          <w:rPr>
            <w:noProof/>
            <w:webHidden/>
          </w:rPr>
        </w:r>
        <w:r w:rsidR="00A83A4B">
          <w:rPr>
            <w:noProof/>
            <w:webHidden/>
          </w:rPr>
          <w:fldChar w:fldCharType="separate"/>
        </w:r>
        <w:r w:rsidR="009C1EC9">
          <w:rPr>
            <w:noProof/>
            <w:webHidden/>
          </w:rPr>
          <w:t>23</w:t>
        </w:r>
        <w:r w:rsidR="00A83A4B">
          <w:rPr>
            <w:noProof/>
            <w:webHidden/>
          </w:rPr>
          <w:fldChar w:fldCharType="end"/>
        </w:r>
      </w:hyperlink>
    </w:p>
    <w:p w:rsidR="00E52BDF" w:rsidRPr="0048429B" w:rsidRDefault="00C34C9E" w:rsidP="008319C8">
      <w:pPr>
        <w:jc w:val="both"/>
        <w:rPr>
          <w:lang w:val="hr-HR"/>
        </w:rPr>
      </w:pPr>
      <w:r w:rsidRPr="0048429B">
        <w:rPr>
          <w:lang w:val="hr-HR"/>
        </w:rPr>
        <w:fldChar w:fldCharType="end"/>
      </w:r>
    </w:p>
    <w:p w:rsidR="00E52BDF" w:rsidRPr="0048429B" w:rsidRDefault="00E52BDF" w:rsidP="00E52BDF">
      <w:pPr>
        <w:rPr>
          <w:lang w:val="hr-HR"/>
        </w:rPr>
      </w:pPr>
    </w:p>
    <w:p w:rsidR="00E52BDF" w:rsidRPr="0048429B" w:rsidRDefault="00E52BDF" w:rsidP="00E52BDF">
      <w:pPr>
        <w:rPr>
          <w:lang w:val="hr-HR"/>
        </w:rPr>
        <w:sectPr w:rsidR="00E52BDF" w:rsidRPr="0048429B">
          <w:pgSz w:w="11906" w:h="16838"/>
          <w:pgMar w:top="1417" w:right="1417" w:bottom="1417" w:left="1417" w:header="708" w:footer="708" w:gutter="0"/>
          <w:cols w:space="708"/>
          <w:docGrid w:linePitch="360"/>
        </w:sectPr>
      </w:pPr>
    </w:p>
    <w:p w:rsidR="00E52BDF" w:rsidRPr="0048429B" w:rsidRDefault="00E52BDF" w:rsidP="00E52BDF">
      <w:pPr>
        <w:pStyle w:val="Heading1"/>
        <w:numPr>
          <w:ilvl w:val="0"/>
          <w:numId w:val="1"/>
        </w:numPr>
        <w:rPr>
          <w:lang w:val="hr-HR"/>
        </w:rPr>
      </w:pPr>
      <w:bookmarkStart w:id="3" w:name="_Toc15461758"/>
      <w:r w:rsidRPr="0048429B">
        <w:rPr>
          <w:lang w:val="hr-HR"/>
        </w:rPr>
        <w:lastRenderedPageBreak/>
        <w:t>UVOD</w:t>
      </w:r>
      <w:bookmarkEnd w:id="3"/>
      <w:r w:rsidRPr="0048429B">
        <w:rPr>
          <w:lang w:val="hr-HR"/>
        </w:rPr>
        <w:t xml:space="preserve">   </w:t>
      </w:r>
    </w:p>
    <w:p w:rsidR="00E52BDF" w:rsidRPr="0048429B" w:rsidRDefault="00E52BDF" w:rsidP="00E52BDF">
      <w:pPr>
        <w:rPr>
          <w:lang w:val="hr-HR"/>
        </w:rPr>
      </w:pPr>
    </w:p>
    <w:p w:rsidR="000D782C" w:rsidRPr="0048429B" w:rsidRDefault="000D782C" w:rsidP="000D782C">
      <w:pPr>
        <w:jc w:val="both"/>
        <w:rPr>
          <w:lang w:val="hr-HR"/>
        </w:rPr>
      </w:pPr>
      <w:r w:rsidRPr="0048429B">
        <w:rPr>
          <w:lang w:val="hr-HR"/>
        </w:rPr>
        <w:t>Vlada Republike Hrvatske je krajem travnja 2019. godine usvojila te dostavila Europskoj komisiji Nacionalni program reformi Republike Hrvatske za 2019., kao i Program konvergencije Republike Hrvatske za razdoblje 2019. – 2022. Program konvergencije opisuje makroekonomska i fiskalna kretanja te izglede u narednom razdoblju, a definira i planove za osiguravanje srednjoročne održivosti javnih financija. Ovaj dokument ujedno predstavlja i makro-fiskalni okvir reformskih mjera opisanih u Nacionalnom programu reformi. U tom smislu, Program konvergencije predstavlja strateško polazište za izradu Smjernica, prema kojima se očekuje da kretanje fiskalnog salda i javnog duga bude u skladu s odredbama Zakona o fiskalnoj odgovornosti</w:t>
      </w:r>
      <w:r w:rsidRPr="0048429B">
        <w:rPr>
          <w:rStyle w:val="FootnoteReference"/>
          <w:lang w:val="hr-HR"/>
        </w:rPr>
        <w:footnoteReference w:id="1"/>
      </w:r>
      <w:r w:rsidRPr="0048429B">
        <w:rPr>
          <w:lang w:val="hr-HR"/>
        </w:rPr>
        <w:t xml:space="preserve"> i odredbama Pakta o stabilnosti i rastu.</w:t>
      </w:r>
    </w:p>
    <w:p w:rsidR="00590D18" w:rsidRPr="0048429B" w:rsidRDefault="000D782C" w:rsidP="000D782C">
      <w:pPr>
        <w:jc w:val="both"/>
        <w:rPr>
          <w:lang w:val="hr-HR"/>
        </w:rPr>
      </w:pPr>
      <w:r w:rsidRPr="0048429B">
        <w:rPr>
          <w:lang w:val="hr-HR"/>
        </w:rPr>
        <w:t>Smjernice sadrže: (1) ciljeve ekonomske politike za trogodišnje razdoblje; (2) makroekonomski i fiskalni okvir RH te (3) visinu financijskog plana državnog proračuna po razdjelima organizacijske klasifikacije za prethodnu i tekuću proračunsku godinu, kao i visinu financijskog plana u narednom trogodišnjem razdoblju. Financijski plan obuhvaća visinu sredstava potrebnih za provedbu postojećih programa odnosno aktivnosti koje proizlaze iz trenutno važećih propisa te visinu sredstava potrebnih za uvođenje i provedbu novih ili promjenu postojećih programa odnosno aktivnosti. Smjernice također sadrže i ciljane vrijednosti salda kojih se izvanproračunski korisnici, odnosno trgovačka društva i druge pravne osobe koja ulaze u obuhvat sektora opće države, trebaju pridržavati u nadolazećem srednjoročnom razdoblju.</w:t>
      </w:r>
    </w:p>
    <w:p w:rsidR="00E52BDF" w:rsidRPr="0048429B" w:rsidRDefault="00E52BDF" w:rsidP="00E52BDF">
      <w:pPr>
        <w:rPr>
          <w:lang w:val="hr-HR"/>
        </w:rPr>
      </w:pPr>
      <w:r w:rsidRPr="0048429B">
        <w:rPr>
          <w:lang w:val="hr-HR"/>
        </w:rPr>
        <w:br w:type="page"/>
      </w:r>
    </w:p>
    <w:p w:rsidR="00E52BDF" w:rsidRPr="0048429B" w:rsidRDefault="00E52BDF" w:rsidP="00E52BDF">
      <w:pPr>
        <w:pStyle w:val="Heading1"/>
        <w:numPr>
          <w:ilvl w:val="0"/>
          <w:numId w:val="1"/>
        </w:numPr>
        <w:rPr>
          <w:lang w:val="hr-HR"/>
        </w:rPr>
      </w:pPr>
      <w:bookmarkStart w:id="4" w:name="_Toc15461759"/>
      <w:r w:rsidRPr="0048429B">
        <w:rPr>
          <w:lang w:val="hr-HR"/>
        </w:rPr>
        <w:lastRenderedPageBreak/>
        <w:t>CILJEVI EKONOMSKE POLITIKE</w:t>
      </w:r>
      <w:bookmarkEnd w:id="4"/>
    </w:p>
    <w:p w:rsidR="00E52BDF" w:rsidRPr="0048429B" w:rsidRDefault="00E52BDF" w:rsidP="00E52BDF">
      <w:pPr>
        <w:rPr>
          <w:lang w:val="hr-HR"/>
        </w:rPr>
      </w:pPr>
    </w:p>
    <w:p w:rsidR="006873A0" w:rsidRPr="0048429B" w:rsidRDefault="006873A0" w:rsidP="006873A0">
      <w:pPr>
        <w:spacing w:after="120"/>
        <w:jc w:val="both"/>
        <w:rPr>
          <w:lang w:val="hr-HR"/>
        </w:rPr>
      </w:pPr>
      <w:r w:rsidRPr="0048429B">
        <w:rPr>
          <w:lang w:val="hr-HR"/>
        </w:rPr>
        <w:t xml:space="preserve">Okvir makroekonomske politike Republike Hrvatske (u daljnjem tekstu: RH), obilježen je nastavkom pozitivnih kretanja ekonomske aktivnosti u srednjoročnom razdoblju. Predviđa se da će bruto domaći proizvod (u daljnjem tekstu: BDP) zabilježiti realni rast od 2,8% u </w:t>
      </w:r>
      <w:r w:rsidR="00B91E35" w:rsidRPr="0048429B">
        <w:rPr>
          <w:lang w:val="hr-HR"/>
        </w:rPr>
        <w:t>2019.,</w:t>
      </w:r>
      <w:r w:rsidRPr="0048429B">
        <w:rPr>
          <w:lang w:val="hr-HR"/>
        </w:rPr>
        <w:t xml:space="preserve"> 2,5% u 2020. </w:t>
      </w:r>
      <w:r w:rsidR="00B91E35" w:rsidRPr="0048429B">
        <w:rPr>
          <w:lang w:val="hr-HR"/>
        </w:rPr>
        <w:t>te 2,4% u</w:t>
      </w:r>
      <w:r w:rsidRPr="0048429B">
        <w:rPr>
          <w:lang w:val="hr-HR"/>
        </w:rPr>
        <w:t xml:space="preserve"> 2021.</w:t>
      </w:r>
      <w:r w:rsidR="00B91E35" w:rsidRPr="0048429B">
        <w:rPr>
          <w:lang w:val="hr-HR"/>
        </w:rPr>
        <w:t xml:space="preserve"> i 2022.</w:t>
      </w:r>
      <w:r w:rsidRPr="0048429B">
        <w:rPr>
          <w:lang w:val="hr-HR"/>
        </w:rPr>
        <w:t xml:space="preserve"> godini. Kroz cijelo projekcijsko razdoblje gospodarski rast će se temeljiti na pozitivnom doprinosu domaće potražnje, dok će doprinos neto inozemne potražnje biti negativan. Očekuje se niska i stabilna inflacija te nastavak pozitivnih kretanja na tržištu rada uz daljnje smanjenje stope nezaposlenosti. </w:t>
      </w:r>
    </w:p>
    <w:p w:rsidR="006873A0" w:rsidRPr="0048429B" w:rsidRDefault="006873A0" w:rsidP="006873A0">
      <w:pPr>
        <w:spacing w:after="120"/>
        <w:jc w:val="both"/>
        <w:rPr>
          <w:lang w:val="hr-HR"/>
        </w:rPr>
      </w:pPr>
      <w:r w:rsidRPr="0048429B">
        <w:rPr>
          <w:lang w:val="hr-HR"/>
        </w:rPr>
        <w:t>Istodobno</w:t>
      </w:r>
      <w:r w:rsidR="00EC6282" w:rsidRPr="0048429B">
        <w:rPr>
          <w:lang w:val="hr-HR"/>
        </w:rPr>
        <w:t xml:space="preserve">, fiskalnu politiku u promatranom srednjoročnom razdoblju karakterizirat će napori u cilju jačanja fiskalne održivosti i ekonomskog rasta uz adekvatnu skrb za standard svih građana. </w:t>
      </w:r>
      <w:r w:rsidRPr="0048429B">
        <w:rPr>
          <w:lang w:val="hr-HR"/>
        </w:rPr>
        <w:t>Pritom će ključni naglasak biti na reformskim aktivnostima koje se poduzimaju i na prihodnoj i na rashodnoj strani proračuna, a kojima je cilj ojačati dugoročni potencijal hrvatskog gospodarstva, realnu konvergenciju prema zemljama unutar europodručja</w:t>
      </w:r>
      <w:r w:rsidRPr="0048429B">
        <w:rPr>
          <w:rStyle w:val="FootnoteReference"/>
          <w:lang w:val="hr-HR"/>
        </w:rPr>
        <w:footnoteReference w:id="2"/>
      </w:r>
      <w:r w:rsidRPr="0048429B">
        <w:rPr>
          <w:lang w:val="hr-HR"/>
        </w:rPr>
        <w:t xml:space="preserve"> i smanjenje makroekonomskih neravnoteža.</w:t>
      </w:r>
      <w:r w:rsidR="00962F18" w:rsidRPr="0048429B">
        <w:rPr>
          <w:lang w:val="hr-HR"/>
        </w:rPr>
        <w:t xml:space="preserve"> Osim toga, i nadalje će se provoditi aktivnosti u svrhu definiranja potencijala za učinkovitije korištenje proračunskih sredstava te će se nastaviti sa strogom kontrolom rashodne strane proračuna. K tome, sav višak prihoda u odnosu na planirane bit će iskorišten za daljnje smanjenje javnog duga.</w:t>
      </w:r>
    </w:p>
    <w:p w:rsidR="00DF0AFA" w:rsidRPr="0048429B" w:rsidRDefault="006873A0" w:rsidP="006873A0">
      <w:pPr>
        <w:spacing w:after="120"/>
        <w:jc w:val="both"/>
        <w:rPr>
          <w:lang w:val="hr-HR"/>
        </w:rPr>
      </w:pPr>
      <w:r w:rsidRPr="0048429B">
        <w:rPr>
          <w:lang w:val="hr-HR"/>
        </w:rPr>
        <w:t>Na prihodnoj strani proračuna, važnu ulogu ima</w:t>
      </w:r>
      <w:r w:rsidR="00962F18" w:rsidRPr="0048429B">
        <w:rPr>
          <w:lang w:val="hr-HR"/>
        </w:rPr>
        <w:t xml:space="preserve"> i nastavak reforme poreznog sustava koja je započela </w:t>
      </w:r>
      <w:r w:rsidRPr="0048429B">
        <w:rPr>
          <w:lang w:val="hr-HR"/>
        </w:rPr>
        <w:t xml:space="preserve"> 1. siječnja 2017. te </w:t>
      </w:r>
      <w:r w:rsidR="00537CC5" w:rsidRPr="0048429B">
        <w:rPr>
          <w:lang w:val="hr-HR"/>
        </w:rPr>
        <w:t xml:space="preserve">je </w:t>
      </w:r>
      <w:r w:rsidRPr="0048429B">
        <w:rPr>
          <w:lang w:val="hr-HR"/>
        </w:rPr>
        <w:t>nastavljena u 2018.</w:t>
      </w:r>
      <w:r w:rsidR="00962F18" w:rsidRPr="0048429B">
        <w:rPr>
          <w:lang w:val="hr-HR"/>
        </w:rPr>
        <w:t xml:space="preserve"> i 2019.</w:t>
      </w:r>
      <w:r w:rsidRPr="0048429B">
        <w:rPr>
          <w:lang w:val="hr-HR"/>
        </w:rPr>
        <w:t xml:space="preserve"> godini s ciljem smanjenja ukupnog poreznog i administrativnog opterećenja, stvaranja stabilnijeg i jednostavnijeg poreznog sustava koji će pružiti veću sigurnost za sve porezne obveznike. </w:t>
      </w:r>
      <w:r w:rsidR="00962F18" w:rsidRPr="0048429B">
        <w:rPr>
          <w:lang w:val="hr-HR"/>
        </w:rPr>
        <w:t xml:space="preserve">Četvrti krug </w:t>
      </w:r>
      <w:r w:rsidRPr="0048429B">
        <w:rPr>
          <w:lang w:val="hr-HR"/>
        </w:rPr>
        <w:t>poreznog rasterećenja predviđa se od početka 20</w:t>
      </w:r>
      <w:r w:rsidR="00962F18" w:rsidRPr="0048429B">
        <w:rPr>
          <w:lang w:val="hr-HR"/>
        </w:rPr>
        <w:t>20</w:t>
      </w:r>
      <w:r w:rsidRPr="0048429B">
        <w:rPr>
          <w:lang w:val="hr-HR"/>
        </w:rPr>
        <w:t>. godine</w:t>
      </w:r>
      <w:r w:rsidR="00BC6419" w:rsidRPr="0048429B">
        <w:rPr>
          <w:lang w:val="hr-HR"/>
        </w:rPr>
        <w:t xml:space="preserve"> s ukupnim rasterećenjem od </w:t>
      </w:r>
      <w:r w:rsidR="00537CC5" w:rsidRPr="0048429B">
        <w:rPr>
          <w:lang w:val="hr-HR"/>
        </w:rPr>
        <w:t>3</w:t>
      </w:r>
      <w:r w:rsidR="00BC6419" w:rsidRPr="0048429B">
        <w:rPr>
          <w:lang w:val="hr-HR"/>
        </w:rPr>
        <w:t>,8 milijardi kuna</w:t>
      </w:r>
      <w:r w:rsidRPr="0048429B">
        <w:rPr>
          <w:lang w:val="hr-HR"/>
        </w:rPr>
        <w:t>, a najznačajnije izmjene odnose se na promjene u oporezivanju porezom</w:t>
      </w:r>
      <w:r w:rsidR="00962F18" w:rsidRPr="0048429B">
        <w:rPr>
          <w:lang w:val="hr-HR"/>
        </w:rPr>
        <w:t xml:space="preserve"> na dodanu vrijednost</w:t>
      </w:r>
      <w:r w:rsidR="00DF0AFA" w:rsidRPr="0048429B">
        <w:rPr>
          <w:lang w:val="hr-HR"/>
        </w:rPr>
        <w:t xml:space="preserve"> i to smanjenjem opće stope PDV-a s 25% na 24% od 1. siječnja 2020.</w:t>
      </w:r>
      <w:r w:rsidR="00537CC5" w:rsidRPr="0048429B">
        <w:rPr>
          <w:lang w:val="hr-HR"/>
        </w:rPr>
        <w:t xml:space="preserve"> te smanjenjem PDV-a za pripremu i usluživanje hrane u ugostiteljstvu na </w:t>
      </w:r>
      <w:r w:rsidR="00197820">
        <w:rPr>
          <w:lang w:val="hr-HR"/>
        </w:rPr>
        <w:t>13</w:t>
      </w:r>
      <w:r w:rsidR="00537CC5" w:rsidRPr="0048429B">
        <w:rPr>
          <w:lang w:val="hr-HR"/>
        </w:rPr>
        <w:t>%.</w:t>
      </w:r>
      <w:r w:rsidR="00DF0AFA" w:rsidRPr="0048429B">
        <w:rPr>
          <w:lang w:val="hr-HR"/>
        </w:rPr>
        <w:t xml:space="preserve"> Osim toga, ovim krugom porezne reforme predviđene su i izmjene u sustavu</w:t>
      </w:r>
      <w:r w:rsidR="00962F18" w:rsidRPr="0048429B">
        <w:rPr>
          <w:lang w:val="hr-HR"/>
        </w:rPr>
        <w:t xml:space="preserve"> </w:t>
      </w:r>
      <w:r w:rsidRPr="0048429B">
        <w:rPr>
          <w:lang w:val="hr-HR"/>
        </w:rPr>
        <w:t>oporezivanj</w:t>
      </w:r>
      <w:r w:rsidR="00DF0AFA" w:rsidRPr="0048429B">
        <w:rPr>
          <w:lang w:val="hr-HR"/>
        </w:rPr>
        <w:t>a</w:t>
      </w:r>
      <w:r w:rsidRPr="0048429B">
        <w:rPr>
          <w:lang w:val="hr-HR"/>
        </w:rPr>
        <w:t xml:space="preserve"> rada</w:t>
      </w:r>
      <w:r w:rsidR="00962F18" w:rsidRPr="0048429B">
        <w:rPr>
          <w:lang w:val="hr-HR"/>
        </w:rPr>
        <w:t xml:space="preserve"> i dobiti</w:t>
      </w:r>
      <w:r w:rsidR="00D47C55" w:rsidRPr="0048429B">
        <w:rPr>
          <w:lang w:val="hr-HR"/>
        </w:rPr>
        <w:t xml:space="preserve">. Tako se </w:t>
      </w:r>
      <w:r w:rsidR="009C47C0" w:rsidRPr="0048429B">
        <w:rPr>
          <w:lang w:val="hr-HR"/>
        </w:rPr>
        <w:t xml:space="preserve">u sustavu poreza na dohodak </w:t>
      </w:r>
      <w:r w:rsidR="00D47C55" w:rsidRPr="0048429B">
        <w:rPr>
          <w:lang w:val="hr-HR"/>
        </w:rPr>
        <w:t xml:space="preserve">planira porezno rasterećenje mladih osoba </w:t>
      </w:r>
      <w:r w:rsidR="00537CC5" w:rsidRPr="0048429B">
        <w:rPr>
          <w:lang w:val="hr-HR"/>
        </w:rPr>
        <w:t>do 30 godina</w:t>
      </w:r>
      <w:r w:rsidR="00D47C55" w:rsidRPr="0048429B">
        <w:rPr>
          <w:lang w:val="hr-HR"/>
        </w:rPr>
        <w:t xml:space="preserve"> smanjenjem porezn</w:t>
      </w:r>
      <w:r w:rsidR="00537CC5" w:rsidRPr="0048429B">
        <w:rPr>
          <w:lang w:val="hr-HR"/>
        </w:rPr>
        <w:t>e obveze</w:t>
      </w:r>
      <w:r w:rsidR="00D47C55" w:rsidRPr="0048429B">
        <w:rPr>
          <w:lang w:val="hr-HR"/>
        </w:rPr>
        <w:t xml:space="preserve"> za 100% do 25 godina starosti, a za 50% od 26 do 30 godina starosti. </w:t>
      </w:r>
      <w:r w:rsidR="000438C7" w:rsidRPr="0048429B">
        <w:rPr>
          <w:lang w:val="hr-HR"/>
        </w:rPr>
        <w:t xml:space="preserve">Ovom izmjenom bit će obuhvaćeno 250.000 zaposlenih, mlađih od 30 godina. </w:t>
      </w:r>
      <w:r w:rsidR="00D47C55" w:rsidRPr="0048429B">
        <w:rPr>
          <w:lang w:val="hr-HR"/>
        </w:rPr>
        <w:t xml:space="preserve">Uz to, izmjenama Pravilnika o porezu na dohodak proširuje se i opseg neoporezivih primitaka na trošak smještaja i prehrane za sve radnike, trošak </w:t>
      </w:r>
      <w:r w:rsidR="00537CC5" w:rsidRPr="0048429B">
        <w:rPr>
          <w:lang w:val="hr-HR"/>
        </w:rPr>
        <w:t xml:space="preserve">redovne </w:t>
      </w:r>
      <w:r w:rsidR="00D47C55" w:rsidRPr="0048429B">
        <w:rPr>
          <w:lang w:val="hr-HR"/>
        </w:rPr>
        <w:t xml:space="preserve">skrbi djece radnika predškolske dobi, naknade za podmirivanje troškova </w:t>
      </w:r>
      <w:r w:rsidR="00537CC5" w:rsidRPr="0048429B">
        <w:rPr>
          <w:lang w:val="hr-HR"/>
        </w:rPr>
        <w:t xml:space="preserve">usluga za odmor radnika izvan glavne sezone </w:t>
      </w:r>
      <w:r w:rsidR="00D47C55" w:rsidRPr="0048429B">
        <w:rPr>
          <w:lang w:val="hr-HR"/>
        </w:rPr>
        <w:t>te naknade za dodatno i dopunsko zdravstveno osiguranje. Time se daje izravan doprinos povećanju dohotka i standarda zaposlenih kroz povećanje neoporezivih primitaka.</w:t>
      </w:r>
      <w:r w:rsidR="00036D87" w:rsidRPr="0048429B">
        <w:rPr>
          <w:lang w:val="hr-HR"/>
        </w:rPr>
        <w:t xml:space="preserve"> U okviru izmjena u sustavu poreza na dobit povećava se iznos prihoda s 3 na 7,5 milijuna kuna na koji se plaća stopa poreza na dobit od 12</w:t>
      </w:r>
      <w:r w:rsidR="00BC6419" w:rsidRPr="0048429B">
        <w:rPr>
          <w:lang w:val="hr-HR"/>
        </w:rPr>
        <w:t>%</w:t>
      </w:r>
      <w:r w:rsidR="00036D87" w:rsidRPr="0048429B">
        <w:rPr>
          <w:lang w:val="hr-HR"/>
        </w:rPr>
        <w:t>.</w:t>
      </w:r>
      <w:r w:rsidR="00BC6419" w:rsidRPr="0048429B">
        <w:rPr>
          <w:lang w:val="hr-HR"/>
        </w:rPr>
        <w:t xml:space="preserve"> Time će dodatnih 10.000 obveznika odnosno ukupno 93% obveznika poreza na dobit biti u primjeni stope od 12%.</w:t>
      </w:r>
      <w:r w:rsidR="00537CC5" w:rsidRPr="0048429B">
        <w:rPr>
          <w:lang w:val="hr-HR"/>
        </w:rPr>
        <w:t xml:space="preserve"> </w:t>
      </w:r>
      <w:r w:rsidR="00B26446" w:rsidRPr="0048429B">
        <w:rPr>
          <w:lang w:val="hr-HR"/>
        </w:rPr>
        <w:t xml:space="preserve">Izmjenama u sustavu posebnih poreza i trošarina predviđa se </w:t>
      </w:r>
      <w:r w:rsidR="00B26446" w:rsidRPr="0048429B">
        <w:rPr>
          <w:rFonts w:ascii="Calibri" w:hAnsi="Calibri"/>
          <w:lang w:val="hr-HR"/>
        </w:rPr>
        <w:t xml:space="preserve">povrat dijela plaćene trošarine na dizelsko gorivo koje se koristi u željezničkom prometu robe i putnika te potpuno oslobođenje od plaćanja trošarine na električnu energiju u željezničkom prometu robe i putnika. Osim toga, predviđa se i promjena oporezivanja bezalkoholnih pića po udjelu dodanih šećera umjesto dosadašnjeg linearnog količinskog oporezivanja po hektolitru te daljnje korekcije iznosa trošarina na </w:t>
      </w:r>
      <w:r w:rsidR="00B26446" w:rsidRPr="0048429B">
        <w:rPr>
          <w:rFonts w:ascii="Calibri" w:hAnsi="Calibri"/>
          <w:lang w:val="hr-HR"/>
        </w:rPr>
        <w:lastRenderedPageBreak/>
        <w:t xml:space="preserve">alkohol i duhan. </w:t>
      </w:r>
      <w:r w:rsidR="0003791F" w:rsidRPr="0048429B">
        <w:rPr>
          <w:lang w:val="hr-HR"/>
        </w:rPr>
        <w:t>U isto vrijeme, značajan učinak na prihode proračuna imat će i povlačenje sredstava iz EU fondova, koja će biti usmjerena na različite razvojne infrastrukturne projekte te aktivnosti istraživanja i inovacija, čime će se ojačati razvojni potencijal čitave zemlje.</w:t>
      </w:r>
    </w:p>
    <w:p w:rsidR="00876058" w:rsidRPr="00221C43" w:rsidRDefault="000277DC" w:rsidP="006873A0">
      <w:pPr>
        <w:jc w:val="both"/>
        <w:rPr>
          <w:b/>
          <w:lang w:val="hr-HR"/>
        </w:rPr>
      </w:pPr>
      <w:r w:rsidRPr="0048429B">
        <w:rPr>
          <w:lang w:val="hr-HR"/>
        </w:rPr>
        <w:t xml:space="preserve">Rashodna strana proračuna određena je daljnjim jačanjem fiskalne održivosti uz provođenje aktivnosti u svrhu podizanja konkurentnosti gospodarstva, ali i primjerene skrbi za sve slojeve stanovništva. Tako će se provoditi mjere usmjerene ka unapređenju poslovnog okruženja, poboljšanju učinkovitosti pravosudnog sustava te javne uprave i aktivacije državne imovine, što predstavlja temelj i dodatni impuls za planirani rast investicija. </w:t>
      </w:r>
      <w:r w:rsidR="00B873B2" w:rsidRPr="0048429B">
        <w:rPr>
          <w:lang w:val="hr-HR"/>
        </w:rPr>
        <w:t>Poslovi ureda državne uprave, osobito poslov</w:t>
      </w:r>
      <w:r w:rsidR="00876058" w:rsidRPr="0048429B">
        <w:rPr>
          <w:lang w:val="hr-HR"/>
        </w:rPr>
        <w:t>i</w:t>
      </w:r>
      <w:r w:rsidR="00B873B2" w:rsidRPr="0048429B">
        <w:rPr>
          <w:lang w:val="hr-HR"/>
        </w:rPr>
        <w:t xml:space="preserve"> rješavanja u upravnim stvarima i izdavanja raznih potvrda, povjerit će se županijama</w:t>
      </w:r>
      <w:r w:rsidR="0081415C" w:rsidRPr="0048429B">
        <w:rPr>
          <w:lang w:val="hr-HR"/>
        </w:rPr>
        <w:t>.</w:t>
      </w:r>
      <w:r w:rsidR="0081415C" w:rsidRPr="0048429B">
        <w:rPr>
          <w:rFonts w:ascii="Calibri" w:hAnsi="Calibri"/>
          <w:lang w:val="hr-HR"/>
        </w:rPr>
        <w:t xml:space="preserve">  </w:t>
      </w:r>
      <w:r w:rsidR="00B873B2" w:rsidRPr="0048429B">
        <w:rPr>
          <w:lang w:val="hr-HR"/>
        </w:rPr>
        <w:t>Time</w:t>
      </w:r>
      <w:r w:rsidR="00B873B2" w:rsidRPr="0048429B">
        <w:rPr>
          <w:rFonts w:ascii="Calibri" w:hAnsi="Calibri"/>
          <w:lang w:val="hr-HR"/>
        </w:rPr>
        <w:t xml:space="preserve"> će se postići djelotvornije i učinkovitije </w:t>
      </w:r>
      <w:r w:rsidR="00B873B2" w:rsidRPr="0048429B">
        <w:rPr>
          <w:lang w:val="hr-HR"/>
        </w:rPr>
        <w:t xml:space="preserve">obavljanje poslova državne uprave na razini najbližoj građanima. </w:t>
      </w:r>
      <w:r w:rsidR="00B873B2" w:rsidRPr="0048429B">
        <w:rPr>
          <w:rFonts w:ascii="Calibri" w:hAnsi="Calibri"/>
          <w:lang w:val="hr-HR"/>
        </w:rPr>
        <w:t xml:space="preserve"> </w:t>
      </w:r>
      <w:r w:rsidRPr="0048429B">
        <w:rPr>
          <w:lang w:val="hr-HR"/>
        </w:rPr>
        <w:t>U svrhu jačanja potencijalnog rasta provodit će se i mjere za poboljšanje znanja i vještina sadašnje i buduće radne snage te njihovog usklađivanja s potrebama tržišta rada. Vodeći računa o fiskalnoj stabilnosti, ali i osiguranju adekvatnog životnog standarda za građane RH, provodit će se reforme s ciljem jačanja učinkovitosti socijalne skrbi</w:t>
      </w:r>
      <w:r w:rsidR="00D46AA9" w:rsidRPr="0048429B">
        <w:rPr>
          <w:lang w:val="hr-HR"/>
        </w:rPr>
        <w:t xml:space="preserve"> unapređenjem sustava socijalnih naknada i usluga kroz </w:t>
      </w:r>
      <w:r w:rsidR="00D46AA9" w:rsidRPr="002E29E2">
        <w:rPr>
          <w:lang w:val="hr-HR"/>
        </w:rPr>
        <w:t xml:space="preserve">novi </w:t>
      </w:r>
      <w:r w:rsidR="00876058" w:rsidRPr="002E29E2">
        <w:rPr>
          <w:lang w:val="hr-HR"/>
        </w:rPr>
        <w:t>zakonodavni okvir</w:t>
      </w:r>
      <w:r w:rsidRPr="002E29E2">
        <w:rPr>
          <w:lang w:val="hr-HR"/>
        </w:rPr>
        <w:t xml:space="preserve">. </w:t>
      </w:r>
      <w:r w:rsidR="00D46AA9" w:rsidRPr="002E29E2">
        <w:rPr>
          <w:lang w:val="hr-HR"/>
        </w:rPr>
        <w:t>P</w:t>
      </w:r>
      <w:r w:rsidRPr="002E29E2">
        <w:rPr>
          <w:lang w:val="hr-HR"/>
        </w:rPr>
        <w:t xml:space="preserve">osebna pozornost posvetit će se i mjerama </w:t>
      </w:r>
      <w:r w:rsidR="00D46AA9" w:rsidRPr="002E29E2">
        <w:rPr>
          <w:rFonts w:ascii="Calibri" w:hAnsi="Calibri"/>
          <w:lang w:val="hr-HR"/>
        </w:rPr>
        <w:t>provedbe obiteljske i</w:t>
      </w:r>
      <w:r w:rsidR="0019157D">
        <w:rPr>
          <w:rFonts w:ascii="Calibri" w:hAnsi="Calibri"/>
          <w:lang w:val="hr-HR"/>
        </w:rPr>
        <w:t xml:space="preserve"> </w:t>
      </w:r>
      <w:r w:rsidR="00D46AA9" w:rsidRPr="0048429B">
        <w:rPr>
          <w:rFonts w:ascii="Calibri" w:hAnsi="Calibri"/>
          <w:lang w:val="hr-HR"/>
        </w:rPr>
        <w:t xml:space="preserve"> populacijske politike, od kojih se ističu povećanje iznosa limita novčanih naknada za vrijeme korištenja roditeljskog dopusta</w:t>
      </w:r>
      <w:r w:rsidRPr="0048429B">
        <w:rPr>
          <w:lang w:val="hr-HR"/>
        </w:rPr>
        <w:t xml:space="preserve">. Valja istaknuti i kako će u 2020. godini RH po prvi puta predsjedati Vijećem EU, što predstavlja izuzetno značajnu priliku za političku afirmaciju RH, ali i njenu još snažniju integraciju u sustav donošenja odluka i provođenja politika na razini EU. U tom smislu osiguravaju se </w:t>
      </w:r>
      <w:r w:rsidRPr="00221C43">
        <w:rPr>
          <w:lang w:val="hr-HR"/>
        </w:rPr>
        <w:t xml:space="preserve">dodatna sredstva u proračunu upravo za ovu namjenu. </w:t>
      </w:r>
    </w:p>
    <w:p w:rsidR="006873A0" w:rsidRPr="0048429B" w:rsidRDefault="000277DC" w:rsidP="006873A0">
      <w:pPr>
        <w:jc w:val="both"/>
        <w:rPr>
          <w:lang w:val="hr-HR"/>
        </w:rPr>
      </w:pPr>
      <w:r w:rsidRPr="0048429B">
        <w:rPr>
          <w:lang w:val="hr-HR"/>
        </w:rPr>
        <w:t>Opisani smjer fiskalnih kretanja kako na prihodnoj tako i na rashodnoj strani proračuna rezultirat će blagim viškom općeg proračuna prema metodologiji ESA 2010 u iznosu od 0,2% BDP-a u 2020. godini. U 2021. ponovno se predviđa višak od 0,4% BDP-a, dok će pozitivan fiskalni saldo u 2022. iznositi 0,8% BDP-a. Planira se i daljnje smanjenje udjela javnog duga u BDP-u i to za dodatnih 12,</w:t>
      </w:r>
      <w:r w:rsidR="00E8493C" w:rsidRPr="0048429B">
        <w:rPr>
          <w:lang w:val="hr-HR"/>
        </w:rPr>
        <w:t>6</w:t>
      </w:r>
      <w:r w:rsidRPr="0048429B">
        <w:rPr>
          <w:lang w:val="hr-HR"/>
        </w:rPr>
        <w:t xml:space="preserve"> postotnih bodova do 2022. godine. K tome, fiskalne projekcije predstavljene u ovom dokumentu ukazuju da RH ispunjava i novi, stroži srednjoročni proračunski cilj od -1% BDP-a u čitavom projekcijskom razdoblju. Ovime se ujedno i ispunjavaju fiskalna pravila sukladno odredbama Preventivnog mehanizma Pakta o stabilnosti i rastu, kao i odredbama Zakona o fiskalnoj odgovornosti, a čime se osigurava održivo kretanje salda proračuna opće države i javnog duga.</w:t>
      </w:r>
    </w:p>
    <w:p w:rsidR="0086024C" w:rsidRPr="0048429B" w:rsidRDefault="0086024C" w:rsidP="008720BC">
      <w:pPr>
        <w:jc w:val="both"/>
        <w:rPr>
          <w:lang w:val="hr-HR"/>
        </w:rPr>
      </w:pPr>
    </w:p>
    <w:p w:rsidR="00E52BDF" w:rsidRPr="0048429B" w:rsidRDefault="00E52BDF" w:rsidP="008720BC">
      <w:pPr>
        <w:jc w:val="both"/>
        <w:rPr>
          <w:lang w:val="hr-HR"/>
        </w:rPr>
      </w:pPr>
      <w:r w:rsidRPr="0048429B">
        <w:rPr>
          <w:lang w:val="hr-HR"/>
        </w:rPr>
        <w:br w:type="page"/>
      </w:r>
    </w:p>
    <w:p w:rsidR="00E52BDF" w:rsidRPr="0048429B" w:rsidRDefault="00E52BDF" w:rsidP="00E52BDF">
      <w:pPr>
        <w:pStyle w:val="Heading1"/>
        <w:numPr>
          <w:ilvl w:val="0"/>
          <w:numId w:val="1"/>
        </w:numPr>
        <w:rPr>
          <w:lang w:val="hr-HR"/>
        </w:rPr>
      </w:pPr>
      <w:bookmarkStart w:id="5" w:name="_Toc15461760"/>
      <w:r w:rsidRPr="0048429B">
        <w:rPr>
          <w:lang w:val="hr-HR"/>
        </w:rPr>
        <w:lastRenderedPageBreak/>
        <w:t>MAKROEKONOMSKI OKVIR U SREDNJOROČNOM RAZDOBLJU</w:t>
      </w:r>
      <w:bookmarkEnd w:id="5"/>
      <w:r w:rsidRPr="0048429B">
        <w:rPr>
          <w:lang w:val="hr-HR"/>
        </w:rPr>
        <w:t xml:space="preserve"> </w:t>
      </w:r>
    </w:p>
    <w:p w:rsidR="00E52BDF" w:rsidRPr="0048429B" w:rsidRDefault="00E52BDF" w:rsidP="00E52BDF">
      <w:pPr>
        <w:rPr>
          <w:lang w:val="hr-HR"/>
        </w:rPr>
      </w:pPr>
    </w:p>
    <w:p w:rsidR="00454B97" w:rsidRPr="0048429B" w:rsidRDefault="00F250F7" w:rsidP="0064175B">
      <w:pPr>
        <w:spacing w:afterLines="120" w:after="288"/>
        <w:jc w:val="both"/>
        <w:rPr>
          <w:rFonts w:cs="Times New Roman"/>
          <w:lang w:val="hr-HR"/>
        </w:rPr>
      </w:pPr>
      <w:r w:rsidRPr="0048429B">
        <w:rPr>
          <w:rFonts w:cs="Times New Roman"/>
          <w:lang w:val="hr-HR"/>
        </w:rPr>
        <w:t xml:space="preserve">Makroekonomski okvir iz ovog dokumenta sastavljen je u srpnju </w:t>
      </w:r>
      <w:r w:rsidR="00AC017C">
        <w:rPr>
          <w:rFonts w:cs="Times New Roman"/>
          <w:lang w:val="hr-HR"/>
        </w:rPr>
        <w:t>2019.</w:t>
      </w:r>
      <w:r w:rsidRPr="0048429B">
        <w:rPr>
          <w:rFonts w:cs="Times New Roman"/>
          <w:lang w:val="hr-HR"/>
        </w:rPr>
        <w:t xml:space="preserve"> godine</w:t>
      </w:r>
      <w:r w:rsidRPr="0048429B">
        <w:rPr>
          <w:rStyle w:val="FootnoteReference"/>
          <w:rFonts w:cs="Times New Roman"/>
          <w:lang w:val="hr-HR"/>
        </w:rPr>
        <w:footnoteReference w:id="3"/>
      </w:r>
      <w:r w:rsidRPr="0048429B">
        <w:rPr>
          <w:rFonts w:cs="Times New Roman"/>
          <w:lang w:val="hr-HR"/>
        </w:rPr>
        <w:t>. Vanjske pretpostavke za izradu makroekonomskih projekcija preuzete su iz posljednjih projekcija Europske komisije</w:t>
      </w:r>
      <w:r w:rsidRPr="0048429B">
        <w:rPr>
          <w:rStyle w:val="FootnoteReference"/>
          <w:rFonts w:cs="Times New Roman"/>
          <w:lang w:val="hr-HR"/>
        </w:rPr>
        <w:footnoteReference w:id="4"/>
      </w:r>
      <w:r w:rsidRPr="0048429B">
        <w:rPr>
          <w:rFonts w:cs="Times New Roman"/>
          <w:lang w:val="hr-HR"/>
        </w:rPr>
        <w:t xml:space="preserve"> i Europske središnje banke</w:t>
      </w:r>
      <w:r w:rsidRPr="0048429B">
        <w:rPr>
          <w:rStyle w:val="FootnoteReference"/>
          <w:rFonts w:cs="Times New Roman"/>
          <w:lang w:val="hr-HR"/>
        </w:rPr>
        <w:footnoteReference w:id="5"/>
      </w:r>
      <w:r w:rsidRPr="0048429B">
        <w:rPr>
          <w:rFonts w:cs="Times New Roman"/>
          <w:lang w:val="hr-HR"/>
        </w:rPr>
        <w:t>. Iako se u međunarodnom okruženju u narednom razdoblju i dalje očekuju povoljna kretanja, projekcije navedenih institucija zabilježile su negativne korekcije. Očekivanja rasta BDP-a EU i eurozone nisu znatnije korigirana, dok je predviđeni rast svjetskog gospodarstva u usporedbi s prethodnim projekcijama blago korigiran naniže u 2019. i 2020. godini. Projekcija rasta svjetske trgovine znatno je k</w:t>
      </w:r>
      <w:r w:rsidR="004A43D2" w:rsidRPr="0048429B">
        <w:rPr>
          <w:rFonts w:cs="Times New Roman"/>
          <w:lang w:val="hr-HR"/>
        </w:rPr>
        <w:t>origirana naniže u 2019. te blago</w:t>
      </w:r>
      <w:r w:rsidRPr="0048429B">
        <w:rPr>
          <w:rFonts w:cs="Times New Roman"/>
          <w:lang w:val="hr-HR"/>
        </w:rPr>
        <w:t xml:space="preserve"> </w:t>
      </w:r>
      <w:r w:rsidR="005A428E" w:rsidRPr="0048429B">
        <w:rPr>
          <w:rFonts w:cs="Times New Roman"/>
          <w:lang w:val="hr-HR"/>
        </w:rPr>
        <w:t xml:space="preserve">u </w:t>
      </w:r>
      <w:r w:rsidRPr="0048429B">
        <w:rPr>
          <w:rFonts w:cs="Times New Roman"/>
          <w:lang w:val="hr-HR"/>
        </w:rPr>
        <w:t xml:space="preserve">2020. godini. Očekuje se da će prosječni tečaj eura prema američkom dolaru u iduće dvije godine iznositi 1,13 USD/EUR. Što se tiče cjenovnih kretanja, predviđa se kako će inflacija u eurozoni usporiti u 2019. te u srednjem roku ostati razmjerno niska uz blago ubrzavajuću dinamiku. Cijene nafte </w:t>
      </w:r>
      <w:r w:rsidR="008C6CD5" w:rsidRPr="0048429B">
        <w:rPr>
          <w:rFonts w:cs="Times New Roman"/>
          <w:lang w:val="hr-HR"/>
        </w:rPr>
        <w:t>bilježit</w:t>
      </w:r>
      <w:r w:rsidRPr="0048429B">
        <w:rPr>
          <w:rFonts w:cs="Times New Roman"/>
          <w:lang w:val="hr-HR"/>
        </w:rPr>
        <w:t xml:space="preserve"> </w:t>
      </w:r>
      <w:r w:rsidR="008C6CD5" w:rsidRPr="0048429B">
        <w:rPr>
          <w:rFonts w:cs="Times New Roman"/>
          <w:lang w:val="hr-HR"/>
        </w:rPr>
        <w:t xml:space="preserve">će </w:t>
      </w:r>
      <w:r w:rsidRPr="0048429B">
        <w:rPr>
          <w:rFonts w:cs="Times New Roman"/>
          <w:lang w:val="hr-HR"/>
        </w:rPr>
        <w:t>smanjenja u čitavom promatranom razdoblju.</w:t>
      </w:r>
      <w:bookmarkStart w:id="6" w:name="_Toc520963978"/>
    </w:p>
    <w:p w:rsidR="0048429B" w:rsidRPr="0048429B" w:rsidRDefault="00F250F7" w:rsidP="003422B8">
      <w:pPr>
        <w:pStyle w:val="Caption"/>
        <w:ind w:left="0"/>
        <w:jc w:val="left"/>
        <w:rPr>
          <w:rFonts w:ascii="Calibri" w:hAnsi="Calibri"/>
          <w:b w:val="0"/>
          <w:i/>
          <w:sz w:val="24"/>
          <w:szCs w:val="24"/>
          <w:lang w:val="hr-HR"/>
        </w:rPr>
      </w:pPr>
      <w:bookmarkStart w:id="7" w:name="_Toc15461767"/>
      <w:r w:rsidRPr="0048429B">
        <w:rPr>
          <w:rFonts w:ascii="Calibri" w:hAnsi="Calibri"/>
          <w:b w:val="0"/>
          <w:i/>
          <w:sz w:val="24"/>
          <w:szCs w:val="24"/>
          <w:lang w:val="hr-HR"/>
        </w:rPr>
        <w:t xml:space="preserve">Tablica </w:t>
      </w:r>
      <w:r w:rsidRPr="0048429B">
        <w:rPr>
          <w:rFonts w:ascii="Calibri" w:hAnsi="Calibri"/>
          <w:b w:val="0"/>
          <w:i/>
          <w:sz w:val="24"/>
          <w:szCs w:val="24"/>
          <w:lang w:val="hr-HR"/>
        </w:rPr>
        <w:fldChar w:fldCharType="begin"/>
      </w:r>
      <w:r w:rsidRPr="0048429B">
        <w:rPr>
          <w:rFonts w:ascii="Calibri" w:hAnsi="Calibri"/>
          <w:b w:val="0"/>
          <w:i/>
          <w:sz w:val="24"/>
          <w:szCs w:val="24"/>
          <w:lang w:val="hr-HR"/>
        </w:rPr>
        <w:instrText xml:space="preserve"> SEQ Tablica \* ARABIC </w:instrText>
      </w:r>
      <w:r w:rsidRPr="0048429B">
        <w:rPr>
          <w:rFonts w:ascii="Calibri" w:hAnsi="Calibri"/>
          <w:b w:val="0"/>
          <w:i/>
          <w:sz w:val="24"/>
          <w:szCs w:val="24"/>
          <w:lang w:val="hr-HR"/>
        </w:rPr>
        <w:fldChar w:fldCharType="separate"/>
      </w:r>
      <w:r w:rsidR="00A9084D">
        <w:rPr>
          <w:rFonts w:ascii="Calibri" w:hAnsi="Calibri"/>
          <w:b w:val="0"/>
          <w:i/>
          <w:noProof/>
          <w:sz w:val="24"/>
          <w:szCs w:val="24"/>
          <w:lang w:val="hr-HR"/>
        </w:rPr>
        <w:t>1</w:t>
      </w:r>
      <w:r w:rsidRPr="0048429B">
        <w:rPr>
          <w:rFonts w:ascii="Calibri" w:hAnsi="Calibri"/>
          <w:b w:val="0"/>
          <w:i/>
          <w:sz w:val="24"/>
          <w:szCs w:val="24"/>
          <w:lang w:val="hr-HR"/>
        </w:rPr>
        <w:fldChar w:fldCharType="end"/>
      </w:r>
      <w:r w:rsidRPr="0048429B">
        <w:rPr>
          <w:rFonts w:ascii="Calibri" w:hAnsi="Calibri"/>
          <w:b w:val="0"/>
          <w:i/>
          <w:sz w:val="24"/>
          <w:szCs w:val="24"/>
          <w:lang w:val="hr-HR"/>
        </w:rPr>
        <w:t>: Makroekonomski okvir u razdoblju 2018. – 2022.</w:t>
      </w:r>
      <w:bookmarkEnd w:id="6"/>
      <w:bookmarkEnd w:id="7"/>
    </w:p>
    <w:p w:rsidR="00F250F7" w:rsidRPr="001E0168" w:rsidRDefault="003422B8" w:rsidP="0048429B">
      <w:pPr>
        <w:spacing w:afterLines="120" w:after="288"/>
        <w:rPr>
          <w:rFonts w:ascii="Calibri" w:hAnsi="Calibri"/>
          <w:bCs/>
          <w:i/>
          <w:sz w:val="20"/>
          <w:szCs w:val="20"/>
          <w:lang w:val="hr-HR"/>
        </w:rPr>
      </w:pPr>
      <w:r w:rsidRPr="003422B8">
        <w:rPr>
          <w:noProof/>
          <w:lang w:val="hr-HR" w:eastAsia="hr-HR"/>
        </w:rPr>
        <w:drawing>
          <wp:inline distT="0" distB="0" distL="0" distR="0" wp14:anchorId="500AEDDB" wp14:editId="4E53C06D">
            <wp:extent cx="5667375" cy="4898812"/>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5501" cy="4897193"/>
                    </a:xfrm>
                    <a:prstGeom prst="rect">
                      <a:avLst/>
                    </a:prstGeom>
                    <a:noFill/>
                    <a:ln>
                      <a:noFill/>
                    </a:ln>
                  </pic:spPr>
                </pic:pic>
              </a:graphicData>
            </a:graphic>
          </wp:inline>
        </w:drawing>
      </w:r>
      <w:r w:rsidR="001E0168">
        <w:rPr>
          <w:rFonts w:ascii="Calibri" w:hAnsi="Calibri"/>
          <w:bCs/>
          <w:i/>
          <w:sz w:val="20"/>
          <w:szCs w:val="20"/>
          <w:lang w:val="hr-HR"/>
        </w:rPr>
        <w:t xml:space="preserve">        </w:t>
      </w:r>
      <w:r>
        <w:rPr>
          <w:rFonts w:ascii="Calibri" w:hAnsi="Calibri"/>
          <w:bCs/>
          <w:i/>
          <w:sz w:val="20"/>
          <w:szCs w:val="20"/>
          <w:lang w:val="hr-HR"/>
        </w:rPr>
        <w:t xml:space="preserve"> </w:t>
      </w:r>
      <w:r w:rsidR="00F250F7" w:rsidRPr="0048429B">
        <w:rPr>
          <w:rFonts w:ascii="Calibri" w:hAnsi="Calibri"/>
          <w:bCs/>
          <w:i/>
          <w:sz w:val="20"/>
          <w:szCs w:val="20"/>
          <w:lang w:val="hr-HR"/>
        </w:rPr>
        <w:t>Izvor: DZS, Ministarstvo financija</w:t>
      </w:r>
      <w:r w:rsidR="00F250F7" w:rsidRPr="0048429B">
        <w:rPr>
          <w:i/>
          <w:lang w:val="hr-HR"/>
        </w:rPr>
        <w:t xml:space="preserve"> </w:t>
      </w:r>
    </w:p>
    <w:p w:rsidR="00454B97" w:rsidRPr="0048429B" w:rsidRDefault="00454B97" w:rsidP="00454B97">
      <w:pPr>
        <w:spacing w:afterLines="120" w:after="288"/>
        <w:jc w:val="both"/>
        <w:rPr>
          <w:rFonts w:cs="Times New Roman"/>
          <w:lang w:val="hr-HR"/>
        </w:rPr>
      </w:pPr>
      <w:r w:rsidRPr="0048429B">
        <w:rPr>
          <w:rFonts w:cs="Times New Roman"/>
          <w:lang w:val="hr-HR"/>
        </w:rPr>
        <w:lastRenderedPageBreak/>
        <w:t xml:space="preserve">U domaćem gospodarstvu u srednjoročnom razdoblju očekuje se nastavak rasta ekonomske aktivnosti. Tako se u 2019. predviđa realni rast BDP-a od 2,8%, u 2020. 2,5% te 2,4% u 2021. i 2022. godini. Kroz čitavo projekcijsko razdoblje gospodarski rast će se temeljiti prvenstveno na doprinosu domaće potražnje, uz blago pozitivan doprinos zaliha početkom razdoblja, dok će doprinos neto inozemne potražnje biti negativan te će se u apsolutom iznosu smanjivati prema kraju projekcijskog razdoblja. </w:t>
      </w:r>
    </w:p>
    <w:p w:rsidR="00F250F7" w:rsidRPr="0048429B" w:rsidRDefault="00F250F7" w:rsidP="00F250F7">
      <w:pPr>
        <w:spacing w:afterLines="120" w:after="288"/>
        <w:jc w:val="both"/>
        <w:rPr>
          <w:rFonts w:cs="Times New Roman"/>
          <w:lang w:val="hr-HR"/>
        </w:rPr>
      </w:pPr>
      <w:r w:rsidRPr="0048429B">
        <w:rPr>
          <w:rFonts w:cs="Times New Roman"/>
          <w:lang w:val="hr-HR"/>
        </w:rPr>
        <w:t xml:space="preserve">U usporedbi s posljednjim makroekonomskim projekcijama Vlade RH iz travnja 2019. godine, projekcija rasta BDP-a u ovom makroekonomskom okviru korigirana </w:t>
      </w:r>
      <w:r w:rsidR="00F8228B" w:rsidRPr="0048429B">
        <w:rPr>
          <w:rFonts w:cs="Times New Roman"/>
          <w:lang w:val="hr-HR"/>
        </w:rPr>
        <w:t xml:space="preserve">je naviše i to </w:t>
      </w:r>
      <w:r w:rsidRPr="0048429B">
        <w:rPr>
          <w:rFonts w:cs="Times New Roman"/>
          <w:lang w:val="hr-HR"/>
        </w:rPr>
        <w:t>ponajviše u 2019., a tek blago u ostalim g</w:t>
      </w:r>
      <w:r w:rsidR="00F8228B" w:rsidRPr="0048429B">
        <w:rPr>
          <w:rFonts w:cs="Times New Roman"/>
          <w:lang w:val="hr-HR"/>
        </w:rPr>
        <w:t>odinama projekcijskog razdoblja.</w:t>
      </w:r>
      <w:r w:rsidRPr="0048429B">
        <w:rPr>
          <w:rFonts w:cs="Times New Roman"/>
          <w:lang w:val="hr-HR"/>
        </w:rPr>
        <w:t xml:space="preserve"> Navedena korekcija u 2019. posljedica je </w:t>
      </w:r>
      <w:r w:rsidR="00BC4D1F" w:rsidRPr="0048429B">
        <w:rPr>
          <w:rFonts w:cs="Times New Roman"/>
          <w:lang w:val="hr-HR"/>
        </w:rPr>
        <w:t xml:space="preserve">izraženog </w:t>
      </w:r>
      <w:r w:rsidRPr="0048429B">
        <w:rPr>
          <w:rFonts w:cs="Times New Roman"/>
          <w:lang w:val="hr-HR"/>
        </w:rPr>
        <w:t>ubrzanja gospodarske aktiv</w:t>
      </w:r>
      <w:r w:rsidR="00BC4D1F" w:rsidRPr="0048429B">
        <w:rPr>
          <w:rFonts w:cs="Times New Roman"/>
          <w:lang w:val="hr-HR"/>
        </w:rPr>
        <w:t>nosti u prvom tromjesečju 2019.</w:t>
      </w:r>
      <w:r w:rsidRPr="0048429B">
        <w:rPr>
          <w:rFonts w:cs="Times New Roman"/>
          <w:lang w:val="hr-HR"/>
        </w:rPr>
        <w:t xml:space="preserve"> uslijed snažnog intenziviranja investicijske aktivnosti te nešto izraženije</w:t>
      </w:r>
      <w:r w:rsidR="00BC4D1F" w:rsidRPr="0048429B">
        <w:rPr>
          <w:rFonts w:cs="Times New Roman"/>
          <w:lang w:val="hr-HR"/>
        </w:rPr>
        <w:t>g</w:t>
      </w:r>
      <w:r w:rsidRPr="0048429B">
        <w:rPr>
          <w:rFonts w:cs="Times New Roman"/>
          <w:lang w:val="hr-HR"/>
        </w:rPr>
        <w:t xml:space="preserve"> rasta izvoza roba </w:t>
      </w:r>
      <w:r w:rsidR="005A428E" w:rsidRPr="0048429B">
        <w:rPr>
          <w:rFonts w:cs="Times New Roman"/>
          <w:lang w:val="hr-HR"/>
        </w:rPr>
        <w:t>i</w:t>
      </w:r>
      <w:r w:rsidRPr="0048429B">
        <w:rPr>
          <w:rFonts w:cs="Times New Roman"/>
          <w:lang w:val="hr-HR"/>
        </w:rPr>
        <w:t xml:space="preserve"> osobne potrošnje u odnosu na preth</w:t>
      </w:r>
      <w:r w:rsidR="00BC4D1F" w:rsidRPr="0048429B">
        <w:rPr>
          <w:rFonts w:cs="Times New Roman"/>
          <w:lang w:val="hr-HR"/>
        </w:rPr>
        <w:t>odna očekivanja. Osim toga, znatan</w:t>
      </w:r>
      <w:r w:rsidRPr="0048429B">
        <w:rPr>
          <w:rFonts w:cs="Times New Roman"/>
          <w:lang w:val="hr-HR"/>
        </w:rPr>
        <w:t xml:space="preserve"> </w:t>
      </w:r>
      <w:r w:rsidR="00BC4D1F" w:rsidRPr="0048429B">
        <w:rPr>
          <w:rFonts w:cs="Times New Roman"/>
          <w:lang w:val="hr-HR"/>
        </w:rPr>
        <w:t xml:space="preserve">ispravak </w:t>
      </w:r>
      <w:r w:rsidRPr="0048429B">
        <w:rPr>
          <w:rFonts w:cs="Times New Roman"/>
          <w:lang w:val="hr-HR"/>
        </w:rPr>
        <w:t>naviše u 2019. zabilježio je i</w:t>
      </w:r>
      <w:r w:rsidR="00BC4D1F" w:rsidRPr="0048429B">
        <w:rPr>
          <w:rFonts w:cs="Times New Roman"/>
          <w:lang w:val="hr-HR"/>
        </w:rPr>
        <w:t xml:space="preserve"> rast uvoza roba i usluga, što je velikim dijelom </w:t>
      </w:r>
      <w:r w:rsidRPr="0048429B">
        <w:rPr>
          <w:rFonts w:cs="Times New Roman"/>
          <w:lang w:val="hr-HR"/>
        </w:rPr>
        <w:t xml:space="preserve">rezultat </w:t>
      </w:r>
      <w:r w:rsidR="00BC4D1F" w:rsidRPr="0048429B">
        <w:rPr>
          <w:rFonts w:cs="Times New Roman"/>
          <w:lang w:val="hr-HR"/>
        </w:rPr>
        <w:t>upravo korekcije dinamike</w:t>
      </w:r>
      <w:r w:rsidRPr="0048429B">
        <w:rPr>
          <w:rFonts w:cs="Times New Roman"/>
          <w:lang w:val="hr-HR"/>
        </w:rPr>
        <w:t xml:space="preserve"> konačne potražnje. </w:t>
      </w:r>
    </w:p>
    <w:p w:rsidR="00F250F7" w:rsidRPr="0048429B" w:rsidRDefault="008807A9" w:rsidP="00F250F7">
      <w:pPr>
        <w:spacing w:afterLines="120" w:after="288"/>
        <w:jc w:val="both"/>
        <w:rPr>
          <w:rFonts w:eastAsia="Calibri" w:cs="Times New Roman"/>
          <w:lang w:val="hr-HR"/>
        </w:rPr>
      </w:pPr>
      <w:r w:rsidRPr="0048429B">
        <w:rPr>
          <w:rFonts w:cs="Times New Roman"/>
          <w:lang w:val="hr-HR"/>
        </w:rPr>
        <w:t>Osobna p</w:t>
      </w:r>
      <w:r w:rsidR="00F250F7" w:rsidRPr="0048429B">
        <w:rPr>
          <w:rFonts w:cs="Times New Roman"/>
          <w:lang w:val="hr-HR"/>
        </w:rPr>
        <w:t>otrošnja najviše će pridonositi rastu domaće potražnje</w:t>
      </w:r>
      <w:r w:rsidR="000E1984" w:rsidRPr="0048429B">
        <w:rPr>
          <w:rFonts w:cs="Times New Roman"/>
          <w:lang w:val="hr-HR"/>
        </w:rPr>
        <w:t>, ali i ukupnom gospodarskom rastu</w:t>
      </w:r>
      <w:r w:rsidR="00F250F7" w:rsidRPr="0048429B">
        <w:rPr>
          <w:rFonts w:cs="Times New Roman"/>
          <w:lang w:val="hr-HR"/>
        </w:rPr>
        <w:t xml:space="preserve"> u srednjoročnom razdoblju, uslijed nastavka rasta zaposlenosti i plaća, visoke razine potrošačkog povjerenja, niske inflacije te rasta potrošačkih kredita u uvjetima zadržavanja niskih kamatnih stopa. Pozitivan doprinos </w:t>
      </w:r>
      <w:r w:rsidRPr="0048429B">
        <w:rPr>
          <w:rFonts w:cs="Times New Roman"/>
          <w:lang w:val="hr-HR"/>
        </w:rPr>
        <w:t xml:space="preserve">osobnoj </w:t>
      </w:r>
      <w:r w:rsidR="00F250F7" w:rsidRPr="0048429B">
        <w:rPr>
          <w:rFonts w:cs="Times New Roman"/>
          <w:lang w:val="hr-HR"/>
        </w:rPr>
        <w:t xml:space="preserve">potrošnji u 2019. i 2020. godini očekuje se i od poreznog rasterećenja. </w:t>
      </w:r>
      <w:r w:rsidR="00F250F7" w:rsidRPr="0048429B">
        <w:rPr>
          <w:rFonts w:eastAsia="Calibri" w:cs="Times New Roman"/>
          <w:lang w:val="hr-HR"/>
        </w:rPr>
        <w:t>U skladu s dinamikom realnog raspoloživog dohotka</w:t>
      </w:r>
      <w:r w:rsidRPr="0048429B">
        <w:rPr>
          <w:rFonts w:cs="Times New Roman"/>
          <w:lang w:val="hr-HR"/>
        </w:rPr>
        <w:t xml:space="preserve"> kućanstava</w:t>
      </w:r>
      <w:r w:rsidR="00F250F7" w:rsidRPr="0048429B">
        <w:rPr>
          <w:rFonts w:eastAsia="Calibri" w:cs="Times New Roman"/>
          <w:lang w:val="hr-HR"/>
        </w:rPr>
        <w:t xml:space="preserve">, rast </w:t>
      </w:r>
      <w:r w:rsidRPr="0048429B">
        <w:rPr>
          <w:rFonts w:eastAsia="Calibri" w:cs="Times New Roman"/>
          <w:lang w:val="hr-HR"/>
        </w:rPr>
        <w:t xml:space="preserve">osobne </w:t>
      </w:r>
      <w:r w:rsidR="00F250F7" w:rsidRPr="0048429B">
        <w:rPr>
          <w:rFonts w:eastAsia="Calibri" w:cs="Times New Roman"/>
          <w:lang w:val="hr-HR"/>
        </w:rPr>
        <w:t xml:space="preserve">potrošnje </w:t>
      </w:r>
      <w:r w:rsidRPr="0048429B">
        <w:rPr>
          <w:rFonts w:eastAsia="Calibri" w:cs="Times New Roman"/>
          <w:lang w:val="hr-HR"/>
        </w:rPr>
        <w:t>usporavat</w:t>
      </w:r>
      <w:r w:rsidR="00F250F7" w:rsidRPr="0048429B">
        <w:rPr>
          <w:rFonts w:eastAsia="Calibri" w:cs="Times New Roman"/>
          <w:lang w:val="hr-HR"/>
        </w:rPr>
        <w:t xml:space="preserve"> će prema kraju srednjoročnog razdoblja. </w:t>
      </w:r>
      <w:r w:rsidR="00F250F7" w:rsidRPr="0048429B">
        <w:rPr>
          <w:rFonts w:cs="Times New Roman"/>
          <w:color w:val="000000"/>
          <w:lang w:val="hr-HR"/>
        </w:rPr>
        <w:t xml:space="preserve">Pod utjecajem povoljnih gospodarskih kretanja, </w:t>
      </w:r>
      <w:r w:rsidRPr="0048429B">
        <w:rPr>
          <w:rFonts w:cs="Times New Roman"/>
          <w:color w:val="000000"/>
          <w:lang w:val="hr-HR"/>
        </w:rPr>
        <w:t>znatnijih</w:t>
      </w:r>
      <w:r w:rsidR="00F250F7" w:rsidRPr="0048429B">
        <w:rPr>
          <w:rFonts w:cs="Times New Roman"/>
          <w:color w:val="000000"/>
          <w:lang w:val="hr-HR"/>
        </w:rPr>
        <w:t xml:space="preserve"> priljeva iz EU fondova te zadržavanja povoljnih uvjeta financiranja, u narednom razdoblju očekuje se snažan rast investicijske aktivnosti. </w:t>
      </w:r>
      <w:r w:rsidRPr="0048429B">
        <w:rPr>
          <w:rFonts w:cs="Times New Roman"/>
          <w:color w:val="000000"/>
          <w:lang w:val="hr-HR"/>
        </w:rPr>
        <w:t>Ovdje je uključeno i očekivanje daljnjeg oporav</w:t>
      </w:r>
      <w:r w:rsidR="00F250F7" w:rsidRPr="0048429B">
        <w:rPr>
          <w:rFonts w:cs="Times New Roman"/>
          <w:color w:val="000000"/>
          <w:lang w:val="hr-HR"/>
        </w:rPr>
        <w:t>k</w:t>
      </w:r>
      <w:r w:rsidRPr="0048429B">
        <w:rPr>
          <w:rFonts w:cs="Times New Roman"/>
          <w:color w:val="000000"/>
          <w:lang w:val="hr-HR"/>
        </w:rPr>
        <w:t>a</w:t>
      </w:r>
      <w:r w:rsidR="00F250F7" w:rsidRPr="0048429B">
        <w:rPr>
          <w:rFonts w:cs="Times New Roman"/>
          <w:color w:val="000000"/>
          <w:lang w:val="hr-HR"/>
        </w:rPr>
        <w:t xml:space="preserve"> građ</w:t>
      </w:r>
      <w:r w:rsidR="00F250F7" w:rsidRPr="0048429B">
        <w:rPr>
          <w:rFonts w:cs="Times New Roman"/>
          <w:lang w:val="hr-HR"/>
        </w:rPr>
        <w:t>evinskog sektora, na što ukazu</w:t>
      </w:r>
      <w:r w:rsidRPr="0048429B">
        <w:rPr>
          <w:rFonts w:cs="Times New Roman"/>
          <w:lang w:val="hr-HR"/>
        </w:rPr>
        <w:t>je rast građevinskih narudžbi kao i</w:t>
      </w:r>
      <w:r w:rsidR="00F250F7" w:rsidRPr="0048429B">
        <w:rPr>
          <w:rFonts w:cs="Times New Roman"/>
          <w:lang w:val="hr-HR"/>
        </w:rPr>
        <w:t xml:space="preserve"> povoljna perspektiva na tržištu </w:t>
      </w:r>
      <w:r w:rsidRPr="0048429B">
        <w:rPr>
          <w:rFonts w:cs="Times New Roman"/>
          <w:lang w:val="hr-HR"/>
        </w:rPr>
        <w:t>nekretnina</w:t>
      </w:r>
      <w:r w:rsidR="00F250F7" w:rsidRPr="0048429B">
        <w:rPr>
          <w:rFonts w:cs="Times New Roman"/>
          <w:lang w:val="hr-HR"/>
        </w:rPr>
        <w:t xml:space="preserve">. Međutim, u 2020. i preostalim godinama projekcijskog razdoblja </w:t>
      </w:r>
      <w:r w:rsidRPr="0048429B">
        <w:rPr>
          <w:rFonts w:cs="Times New Roman"/>
          <w:lang w:val="hr-HR"/>
        </w:rPr>
        <w:t xml:space="preserve">investicije će </w:t>
      </w:r>
      <w:r w:rsidR="00F250F7" w:rsidRPr="0048429B">
        <w:rPr>
          <w:rFonts w:cs="Times New Roman"/>
          <w:lang w:val="hr-HR"/>
        </w:rPr>
        <w:t xml:space="preserve">bilježiti ipak slabije stope </w:t>
      </w:r>
      <w:r w:rsidRPr="0048429B">
        <w:rPr>
          <w:rFonts w:cs="Times New Roman"/>
          <w:lang w:val="hr-HR"/>
        </w:rPr>
        <w:t>rasta u odnosu na 2019. kada su velikim dijelom bile</w:t>
      </w:r>
      <w:r w:rsidR="00F250F7" w:rsidRPr="0048429B">
        <w:rPr>
          <w:rFonts w:cs="Times New Roman"/>
          <w:lang w:val="hr-HR"/>
        </w:rPr>
        <w:t xml:space="preserve"> generiran</w:t>
      </w:r>
      <w:r w:rsidRPr="0048429B">
        <w:rPr>
          <w:rFonts w:cs="Times New Roman"/>
          <w:lang w:val="hr-HR"/>
        </w:rPr>
        <w:t>e snažnim</w:t>
      </w:r>
      <w:r w:rsidR="00F250F7" w:rsidRPr="0048429B">
        <w:rPr>
          <w:rFonts w:cs="Times New Roman"/>
          <w:lang w:val="hr-HR"/>
        </w:rPr>
        <w:t xml:space="preserve"> ubrzanjem priljeva kapitalnih fondova EU</w:t>
      </w:r>
      <w:r w:rsidR="002A6623" w:rsidRPr="0048429B">
        <w:rPr>
          <w:rFonts w:cs="Times New Roman"/>
          <w:lang w:val="hr-HR"/>
        </w:rPr>
        <w:t xml:space="preserve"> na više</w:t>
      </w:r>
      <w:r w:rsidRPr="0048429B">
        <w:rPr>
          <w:rFonts w:cs="Times New Roman"/>
          <w:lang w:val="hr-HR"/>
        </w:rPr>
        <w:t xml:space="preserve"> razine</w:t>
      </w:r>
      <w:r w:rsidR="002A6623" w:rsidRPr="0048429B">
        <w:rPr>
          <w:rFonts w:cs="Times New Roman"/>
          <w:lang w:val="hr-HR"/>
        </w:rPr>
        <w:t>, na kojima će se potom</w:t>
      </w:r>
      <w:r w:rsidR="005A428E" w:rsidRPr="0048429B">
        <w:rPr>
          <w:rFonts w:cs="Times New Roman"/>
          <w:lang w:val="hr-HR"/>
        </w:rPr>
        <w:t xml:space="preserve"> </w:t>
      </w:r>
      <w:r w:rsidR="002A6623" w:rsidRPr="0048429B">
        <w:rPr>
          <w:rFonts w:cs="Times New Roman"/>
          <w:lang w:val="hr-HR"/>
        </w:rPr>
        <w:t>i zadržati do kraja razdoblja</w:t>
      </w:r>
      <w:r w:rsidR="00F250F7" w:rsidRPr="0048429B">
        <w:rPr>
          <w:rFonts w:cs="Times New Roman"/>
          <w:lang w:val="hr-HR"/>
        </w:rPr>
        <w:t xml:space="preserve">. </w:t>
      </w:r>
      <w:r w:rsidR="00F250F7" w:rsidRPr="0048429B">
        <w:rPr>
          <w:rFonts w:eastAsia="Calibri" w:cs="Times New Roman"/>
          <w:lang w:val="hr-HR"/>
        </w:rPr>
        <w:t>U</w:t>
      </w:r>
      <w:r w:rsidR="001A6F01" w:rsidRPr="0048429B">
        <w:rPr>
          <w:rFonts w:eastAsia="Calibri" w:cs="Times New Roman"/>
          <w:lang w:val="hr-HR"/>
        </w:rPr>
        <w:t>zevši u obzir</w:t>
      </w:r>
      <w:r w:rsidR="00F250F7" w:rsidRPr="0048429B">
        <w:rPr>
          <w:rFonts w:eastAsia="Calibri" w:cs="Times New Roman"/>
          <w:lang w:val="hr-HR"/>
        </w:rPr>
        <w:t xml:space="preserve"> p</w:t>
      </w:r>
      <w:r w:rsidR="001A6F01" w:rsidRPr="0048429B">
        <w:rPr>
          <w:rFonts w:eastAsia="Calibri" w:cs="Times New Roman"/>
          <w:lang w:val="hr-HR"/>
        </w:rPr>
        <w:t>rojekcije</w:t>
      </w:r>
      <w:r w:rsidR="00F250F7" w:rsidRPr="0048429B">
        <w:rPr>
          <w:rFonts w:eastAsia="Calibri" w:cs="Times New Roman"/>
          <w:lang w:val="hr-HR"/>
        </w:rPr>
        <w:t xml:space="preserve"> fiskalnih kategorija na razini opće države, tijekom srednjoročnog razdoblja očekuje se umjeren doprinos državne potrošnje gospodarskom rastu. </w:t>
      </w:r>
    </w:p>
    <w:p w:rsidR="00F250F7" w:rsidRPr="0048429B" w:rsidRDefault="00E84B29" w:rsidP="00F250F7">
      <w:pPr>
        <w:spacing w:afterLines="120" w:after="288"/>
        <w:jc w:val="both"/>
        <w:rPr>
          <w:rFonts w:cs="Times New Roman"/>
          <w:color w:val="000000"/>
          <w:lang w:val="hr-HR"/>
        </w:rPr>
      </w:pPr>
      <w:r w:rsidRPr="0048429B">
        <w:rPr>
          <w:rFonts w:cs="Times New Roman"/>
          <w:color w:val="000000"/>
          <w:lang w:val="hr-HR"/>
        </w:rPr>
        <w:t>Dijelom uslijed slabijeg</w:t>
      </w:r>
      <w:r w:rsidR="00F250F7" w:rsidRPr="0048429B">
        <w:rPr>
          <w:rFonts w:cs="Times New Roman"/>
          <w:color w:val="000000"/>
          <w:lang w:val="hr-HR"/>
        </w:rPr>
        <w:t xml:space="preserve"> </w:t>
      </w:r>
      <w:r w:rsidRPr="0048429B">
        <w:rPr>
          <w:rFonts w:cs="Times New Roman"/>
          <w:color w:val="000000"/>
          <w:lang w:val="hr-HR"/>
        </w:rPr>
        <w:t>kretanja</w:t>
      </w:r>
      <w:r w:rsidR="001A6F01" w:rsidRPr="0048429B">
        <w:rPr>
          <w:rFonts w:cs="Times New Roman"/>
          <w:color w:val="000000"/>
          <w:lang w:val="hr-HR"/>
        </w:rPr>
        <w:t xml:space="preserve"> inozemne potražnje, kako za domaćim robama tako i za uslugama</w:t>
      </w:r>
      <w:r w:rsidR="00F250F7" w:rsidRPr="0048429B">
        <w:rPr>
          <w:rFonts w:cs="Times New Roman"/>
          <w:color w:val="000000"/>
          <w:lang w:val="hr-HR"/>
        </w:rPr>
        <w:t xml:space="preserve">, </w:t>
      </w:r>
      <w:r w:rsidRPr="0048429B">
        <w:rPr>
          <w:rFonts w:cs="Times New Roman"/>
          <w:color w:val="000000"/>
          <w:lang w:val="hr-HR"/>
        </w:rPr>
        <w:t xml:space="preserve">a dijelom uslijed trenda usporavanja dinamike zastupljenosti domaćeg izvoza na svjetskom tržištu, </w:t>
      </w:r>
      <w:r w:rsidR="00F250F7" w:rsidRPr="0048429B">
        <w:rPr>
          <w:rFonts w:cs="Times New Roman"/>
          <w:color w:val="000000"/>
          <w:lang w:val="hr-HR"/>
        </w:rPr>
        <w:t>rast izvoza roba i usluga sada se očekuje na nižim razinama no što je to bio slučaj u godinama nakon pristupanja EU.</w:t>
      </w:r>
      <w:r w:rsidR="001C6FEC" w:rsidRPr="0048429B">
        <w:rPr>
          <w:rFonts w:cs="Times New Roman"/>
          <w:color w:val="000000"/>
          <w:lang w:val="hr-HR"/>
        </w:rPr>
        <w:t xml:space="preserve"> I</w:t>
      </w:r>
      <w:r w:rsidRPr="0048429B">
        <w:rPr>
          <w:rFonts w:cs="Times New Roman"/>
          <w:color w:val="000000"/>
          <w:lang w:val="hr-HR"/>
        </w:rPr>
        <w:t>sprav</w:t>
      </w:r>
      <w:r w:rsidR="001C6FEC" w:rsidRPr="0048429B">
        <w:rPr>
          <w:rFonts w:cs="Times New Roman"/>
          <w:color w:val="000000"/>
          <w:lang w:val="hr-HR"/>
        </w:rPr>
        <w:t xml:space="preserve">ak naniže rasta inozemne potražnje </w:t>
      </w:r>
      <w:r w:rsidRPr="0048429B">
        <w:rPr>
          <w:rFonts w:cs="Times New Roman"/>
          <w:color w:val="000000"/>
          <w:lang w:val="hr-HR"/>
        </w:rPr>
        <w:t xml:space="preserve">u usporedbi s prethodnim projekcijama </w:t>
      </w:r>
      <w:r w:rsidR="001C6FEC" w:rsidRPr="0048429B">
        <w:rPr>
          <w:rFonts w:cs="Times New Roman"/>
          <w:color w:val="000000"/>
          <w:lang w:val="hr-HR"/>
        </w:rPr>
        <w:t>najviše je izražen</w:t>
      </w:r>
      <w:r w:rsidRPr="0048429B">
        <w:rPr>
          <w:rFonts w:cs="Times New Roman"/>
          <w:color w:val="000000"/>
          <w:lang w:val="hr-HR"/>
        </w:rPr>
        <w:t xml:space="preserve"> </w:t>
      </w:r>
      <w:r w:rsidR="001C6FEC" w:rsidRPr="0048429B">
        <w:rPr>
          <w:rFonts w:cs="Times New Roman"/>
          <w:color w:val="000000"/>
          <w:lang w:val="hr-HR"/>
        </w:rPr>
        <w:t>u 2019. godini te biva postupno manji prema kraju razdoblja.</w:t>
      </w:r>
      <w:r w:rsidRPr="0048429B">
        <w:rPr>
          <w:rFonts w:cs="Times New Roman"/>
          <w:color w:val="000000"/>
          <w:lang w:val="hr-HR"/>
        </w:rPr>
        <w:t xml:space="preserve"> </w:t>
      </w:r>
      <w:r w:rsidR="001C6FEC" w:rsidRPr="0048429B">
        <w:rPr>
          <w:rFonts w:cs="Times New Roman"/>
          <w:color w:val="000000"/>
          <w:lang w:val="hr-HR"/>
        </w:rPr>
        <w:t>Slijedom navedenog,</w:t>
      </w:r>
      <w:r w:rsidR="00C641E6" w:rsidRPr="0048429B">
        <w:rPr>
          <w:rFonts w:cs="Times New Roman"/>
          <w:color w:val="000000"/>
          <w:lang w:val="hr-HR"/>
        </w:rPr>
        <w:t xml:space="preserve"> </w:t>
      </w:r>
      <w:r w:rsidR="001C6FEC" w:rsidRPr="0048429B">
        <w:rPr>
          <w:rFonts w:cs="Times New Roman"/>
          <w:color w:val="000000"/>
          <w:lang w:val="hr-HR"/>
        </w:rPr>
        <w:t>dinamika</w:t>
      </w:r>
      <w:r w:rsidR="00C641E6" w:rsidRPr="0048429B">
        <w:rPr>
          <w:rFonts w:cs="Times New Roman"/>
          <w:color w:val="000000"/>
          <w:lang w:val="hr-HR"/>
        </w:rPr>
        <w:t xml:space="preserve"> izvoz</w:t>
      </w:r>
      <w:r w:rsidR="001674D5" w:rsidRPr="0048429B">
        <w:rPr>
          <w:rFonts w:cs="Times New Roman"/>
          <w:color w:val="000000"/>
          <w:lang w:val="hr-HR"/>
        </w:rPr>
        <w:t>a</w:t>
      </w:r>
      <w:r w:rsidR="00C641E6" w:rsidRPr="0048429B">
        <w:rPr>
          <w:rFonts w:cs="Times New Roman"/>
          <w:color w:val="000000"/>
          <w:lang w:val="hr-HR"/>
        </w:rPr>
        <w:t xml:space="preserve"> </w:t>
      </w:r>
      <w:r w:rsidR="001C6FEC" w:rsidRPr="0048429B">
        <w:rPr>
          <w:rFonts w:cs="Times New Roman"/>
          <w:color w:val="000000"/>
          <w:lang w:val="hr-HR"/>
        </w:rPr>
        <w:t>roba, kao i</w:t>
      </w:r>
      <w:r w:rsidR="00C641E6" w:rsidRPr="0048429B">
        <w:rPr>
          <w:rFonts w:cs="Times New Roman"/>
          <w:color w:val="000000"/>
          <w:lang w:val="hr-HR"/>
        </w:rPr>
        <w:t xml:space="preserve"> izvoz</w:t>
      </w:r>
      <w:r w:rsidR="005A428E" w:rsidRPr="0048429B">
        <w:rPr>
          <w:rFonts w:cs="Times New Roman"/>
          <w:color w:val="000000"/>
          <w:lang w:val="hr-HR"/>
        </w:rPr>
        <w:t>a</w:t>
      </w:r>
      <w:r w:rsidR="00C641E6" w:rsidRPr="0048429B">
        <w:rPr>
          <w:rFonts w:cs="Times New Roman"/>
          <w:color w:val="000000"/>
          <w:lang w:val="hr-HR"/>
        </w:rPr>
        <w:t xml:space="preserve"> usluga</w:t>
      </w:r>
      <w:r w:rsidR="001C6FEC" w:rsidRPr="0048429B">
        <w:rPr>
          <w:rFonts w:cs="Times New Roman"/>
          <w:color w:val="000000"/>
          <w:lang w:val="hr-HR"/>
        </w:rPr>
        <w:t>,</w:t>
      </w:r>
      <w:r w:rsidR="00C641E6" w:rsidRPr="0048429B">
        <w:rPr>
          <w:rFonts w:cs="Times New Roman"/>
          <w:color w:val="000000"/>
          <w:lang w:val="hr-HR"/>
        </w:rPr>
        <w:t xml:space="preserve"> </w:t>
      </w:r>
      <w:r w:rsidR="001C6FEC" w:rsidRPr="0048429B">
        <w:rPr>
          <w:rFonts w:cs="Times New Roman"/>
          <w:color w:val="000000"/>
          <w:lang w:val="hr-HR"/>
        </w:rPr>
        <w:t xml:space="preserve">korigirana je </w:t>
      </w:r>
      <w:r w:rsidR="00825C69" w:rsidRPr="0048429B">
        <w:rPr>
          <w:rFonts w:cs="Times New Roman"/>
          <w:color w:val="000000"/>
          <w:lang w:val="hr-HR"/>
        </w:rPr>
        <w:t xml:space="preserve">blago </w:t>
      </w:r>
      <w:r w:rsidR="001C6FEC" w:rsidRPr="0048429B">
        <w:rPr>
          <w:rFonts w:cs="Times New Roman"/>
          <w:color w:val="000000"/>
          <w:lang w:val="hr-HR"/>
        </w:rPr>
        <w:t>naniže</w:t>
      </w:r>
      <w:r w:rsidR="00825C69" w:rsidRPr="0048429B">
        <w:rPr>
          <w:rFonts w:cs="Times New Roman"/>
          <w:color w:val="000000"/>
          <w:lang w:val="hr-HR"/>
        </w:rPr>
        <w:t xml:space="preserve"> u čitavom razdoblju</w:t>
      </w:r>
      <w:r w:rsidR="001C6FEC" w:rsidRPr="0048429B">
        <w:rPr>
          <w:rFonts w:cs="Times New Roman"/>
          <w:color w:val="000000"/>
          <w:lang w:val="hr-HR"/>
        </w:rPr>
        <w:t xml:space="preserve">, s iznimkom izvoza roba u 2019. godini </w:t>
      </w:r>
      <w:r w:rsidR="001674D5" w:rsidRPr="0048429B">
        <w:rPr>
          <w:rFonts w:cs="Times New Roman"/>
          <w:color w:val="000000"/>
          <w:lang w:val="hr-HR"/>
        </w:rPr>
        <w:t>čija</w:t>
      </w:r>
      <w:r w:rsidR="00825C69" w:rsidRPr="0048429B">
        <w:rPr>
          <w:rFonts w:cs="Times New Roman"/>
          <w:color w:val="000000"/>
          <w:lang w:val="hr-HR"/>
        </w:rPr>
        <w:t xml:space="preserve"> je </w:t>
      </w:r>
      <w:r w:rsidR="001674D5" w:rsidRPr="0048429B">
        <w:rPr>
          <w:rFonts w:cs="Times New Roman"/>
          <w:color w:val="000000"/>
          <w:lang w:val="hr-HR"/>
        </w:rPr>
        <w:t>stop</w:t>
      </w:r>
      <w:r w:rsidR="00825C69" w:rsidRPr="0048429B">
        <w:rPr>
          <w:rFonts w:cs="Times New Roman"/>
          <w:color w:val="000000"/>
          <w:lang w:val="hr-HR"/>
        </w:rPr>
        <w:t xml:space="preserve">a rasta blago ubrzana </w:t>
      </w:r>
      <w:r w:rsidR="001674D5" w:rsidRPr="0048429B">
        <w:rPr>
          <w:rFonts w:cs="Times New Roman"/>
          <w:color w:val="000000"/>
          <w:lang w:val="hr-HR"/>
        </w:rPr>
        <w:t>u odnosu na prošl</w:t>
      </w:r>
      <w:r w:rsidR="005A428E" w:rsidRPr="0048429B">
        <w:rPr>
          <w:rFonts w:cs="Times New Roman"/>
          <w:color w:val="000000"/>
          <w:lang w:val="hr-HR"/>
        </w:rPr>
        <w:t>u</w:t>
      </w:r>
      <w:r w:rsidR="001674D5" w:rsidRPr="0048429B">
        <w:rPr>
          <w:rFonts w:cs="Times New Roman"/>
          <w:color w:val="000000"/>
          <w:lang w:val="hr-HR"/>
        </w:rPr>
        <w:t xml:space="preserve"> projekcij</w:t>
      </w:r>
      <w:r w:rsidR="005A428E" w:rsidRPr="0048429B">
        <w:rPr>
          <w:rFonts w:cs="Times New Roman"/>
          <w:color w:val="000000"/>
          <w:lang w:val="hr-HR"/>
        </w:rPr>
        <w:t>u</w:t>
      </w:r>
      <w:r w:rsidR="001674D5" w:rsidRPr="0048429B">
        <w:rPr>
          <w:rFonts w:cs="Times New Roman"/>
          <w:color w:val="000000"/>
          <w:lang w:val="hr-HR"/>
        </w:rPr>
        <w:t xml:space="preserve">, </w:t>
      </w:r>
      <w:r w:rsidR="00825C69" w:rsidRPr="0048429B">
        <w:rPr>
          <w:rFonts w:cs="Times New Roman"/>
          <w:color w:val="000000"/>
          <w:lang w:val="hr-HR"/>
        </w:rPr>
        <w:t xml:space="preserve">isključivo kao posljedica </w:t>
      </w:r>
      <w:r w:rsidR="001674D5" w:rsidRPr="0048429B">
        <w:rPr>
          <w:rFonts w:cs="Times New Roman"/>
          <w:color w:val="000000"/>
          <w:lang w:val="hr-HR"/>
        </w:rPr>
        <w:t xml:space="preserve">pozitivnih </w:t>
      </w:r>
      <w:r w:rsidR="00825C69" w:rsidRPr="0048429B">
        <w:rPr>
          <w:rFonts w:cs="Times New Roman"/>
          <w:color w:val="000000"/>
          <w:lang w:val="hr-HR"/>
        </w:rPr>
        <w:t>ostvarenja u prvom dijelu godine.</w:t>
      </w:r>
      <w:r w:rsidR="00C641E6" w:rsidRPr="0048429B">
        <w:rPr>
          <w:rFonts w:cs="Times New Roman"/>
          <w:color w:val="000000"/>
          <w:lang w:val="hr-HR"/>
        </w:rPr>
        <w:t xml:space="preserve"> </w:t>
      </w:r>
      <w:r w:rsidR="001674D5" w:rsidRPr="0048429B">
        <w:rPr>
          <w:rFonts w:cs="Times New Roman"/>
          <w:color w:val="000000"/>
          <w:lang w:val="hr-HR"/>
        </w:rPr>
        <w:t>K</w:t>
      </w:r>
      <w:r w:rsidR="00F250F7" w:rsidRPr="0048429B">
        <w:rPr>
          <w:rFonts w:cs="Times New Roman"/>
          <w:color w:val="000000"/>
          <w:lang w:val="hr-HR"/>
        </w:rPr>
        <w:t xml:space="preserve">roz čitavo projekcijsko </w:t>
      </w:r>
      <w:r w:rsidR="001674D5" w:rsidRPr="0048429B">
        <w:rPr>
          <w:rFonts w:cs="Times New Roman"/>
          <w:color w:val="000000"/>
          <w:lang w:val="hr-HR"/>
        </w:rPr>
        <w:t>razdoblje doprinos izvoza roba nadmašivat</w:t>
      </w:r>
      <w:r w:rsidR="00F250F7" w:rsidRPr="0048429B">
        <w:rPr>
          <w:rFonts w:cs="Times New Roman"/>
          <w:color w:val="000000"/>
          <w:lang w:val="hr-HR"/>
        </w:rPr>
        <w:t xml:space="preserve"> </w:t>
      </w:r>
      <w:r w:rsidR="001674D5" w:rsidRPr="0048429B">
        <w:rPr>
          <w:rFonts w:cs="Times New Roman"/>
          <w:color w:val="000000"/>
          <w:lang w:val="hr-HR"/>
        </w:rPr>
        <w:t>će doprinos</w:t>
      </w:r>
      <w:r w:rsidR="00825C69" w:rsidRPr="0048429B">
        <w:rPr>
          <w:rFonts w:cs="Times New Roman"/>
          <w:color w:val="000000"/>
          <w:lang w:val="hr-HR"/>
        </w:rPr>
        <w:t xml:space="preserve"> izvoza usluga, </w:t>
      </w:r>
      <w:r w:rsidR="005A428E" w:rsidRPr="0048429B">
        <w:rPr>
          <w:rFonts w:cs="Times New Roman"/>
          <w:color w:val="000000"/>
          <w:lang w:val="hr-HR"/>
        </w:rPr>
        <w:t xml:space="preserve">na </w:t>
      </w:r>
      <w:r w:rsidR="00825C69" w:rsidRPr="0048429B">
        <w:rPr>
          <w:rFonts w:cs="Times New Roman"/>
          <w:color w:val="000000"/>
          <w:lang w:val="hr-HR"/>
        </w:rPr>
        <w:t xml:space="preserve">koji </w:t>
      </w:r>
      <w:r w:rsidR="005A428E" w:rsidRPr="0048429B">
        <w:rPr>
          <w:rFonts w:cs="Times New Roman"/>
          <w:color w:val="000000"/>
          <w:lang w:val="hr-HR"/>
        </w:rPr>
        <w:t xml:space="preserve">djeluje </w:t>
      </w:r>
      <w:r w:rsidR="00825C69" w:rsidRPr="0048429B">
        <w:rPr>
          <w:rFonts w:cs="Times New Roman"/>
          <w:color w:val="000000"/>
          <w:lang w:val="hr-HR"/>
        </w:rPr>
        <w:t>nepovolj</w:t>
      </w:r>
      <w:r w:rsidR="005A428E" w:rsidRPr="0048429B">
        <w:rPr>
          <w:rFonts w:cs="Times New Roman"/>
          <w:color w:val="000000"/>
          <w:lang w:val="hr-HR"/>
        </w:rPr>
        <w:t>an</w:t>
      </w:r>
      <w:r w:rsidR="00825C69" w:rsidRPr="0048429B">
        <w:rPr>
          <w:rFonts w:cs="Times New Roman"/>
          <w:color w:val="000000"/>
          <w:lang w:val="hr-HR"/>
        </w:rPr>
        <w:t xml:space="preserve"> učinak </w:t>
      </w:r>
      <w:r w:rsidR="001674D5" w:rsidRPr="0048429B">
        <w:rPr>
          <w:rFonts w:cs="Times New Roman"/>
          <w:color w:val="000000"/>
          <w:lang w:val="hr-HR"/>
        </w:rPr>
        <w:t xml:space="preserve">prisutnog </w:t>
      </w:r>
      <w:r w:rsidR="00825C69" w:rsidRPr="0048429B">
        <w:rPr>
          <w:rFonts w:cs="Times New Roman"/>
          <w:color w:val="000000"/>
          <w:lang w:val="hr-HR"/>
        </w:rPr>
        <w:t>zaoštravanja konkurencije u turističkoj djelatnosti</w:t>
      </w:r>
      <w:r w:rsidR="00F250F7" w:rsidRPr="0048429B">
        <w:rPr>
          <w:rFonts w:cs="Times New Roman"/>
          <w:color w:val="000000"/>
          <w:lang w:val="hr-HR"/>
        </w:rPr>
        <w:t xml:space="preserve">. </w:t>
      </w:r>
      <w:r w:rsidR="00825C69" w:rsidRPr="0048429B">
        <w:rPr>
          <w:rFonts w:cs="Times New Roman"/>
          <w:color w:val="000000"/>
          <w:lang w:val="hr-HR"/>
        </w:rPr>
        <w:t>Velikim dijelom u</w:t>
      </w:r>
      <w:r w:rsidR="00F250F7" w:rsidRPr="0048429B">
        <w:rPr>
          <w:rFonts w:cs="Times New Roman"/>
          <w:color w:val="000000"/>
          <w:lang w:val="hr-HR"/>
        </w:rPr>
        <w:t xml:space="preserve">slijed intenziviranja rasta </w:t>
      </w:r>
      <w:r w:rsidR="00825C69" w:rsidRPr="0048429B">
        <w:rPr>
          <w:rFonts w:cs="Times New Roman"/>
          <w:color w:val="000000"/>
          <w:lang w:val="hr-HR"/>
        </w:rPr>
        <w:t>konačne</w:t>
      </w:r>
      <w:r w:rsidR="00F250F7" w:rsidRPr="0048429B">
        <w:rPr>
          <w:rFonts w:cs="Times New Roman"/>
          <w:color w:val="000000"/>
          <w:lang w:val="hr-HR"/>
        </w:rPr>
        <w:t xml:space="preserve"> potražnje, realni rast uvoza roba i usluga će u 2019. godini </w:t>
      </w:r>
      <w:r w:rsidR="001674D5" w:rsidRPr="0048429B">
        <w:rPr>
          <w:rFonts w:cs="Times New Roman"/>
          <w:color w:val="000000"/>
          <w:lang w:val="hr-HR"/>
        </w:rPr>
        <w:t>izraženo</w:t>
      </w:r>
      <w:r w:rsidR="00825C69" w:rsidRPr="0048429B">
        <w:rPr>
          <w:rFonts w:cs="Times New Roman"/>
          <w:color w:val="000000"/>
          <w:lang w:val="hr-HR"/>
        </w:rPr>
        <w:t xml:space="preserve"> </w:t>
      </w:r>
      <w:r w:rsidR="00F250F7" w:rsidRPr="0048429B">
        <w:rPr>
          <w:rFonts w:cs="Times New Roman"/>
          <w:color w:val="000000"/>
          <w:lang w:val="hr-HR"/>
        </w:rPr>
        <w:t>ubrzati</w:t>
      </w:r>
      <w:r w:rsidR="001674D5" w:rsidRPr="0048429B">
        <w:rPr>
          <w:rFonts w:cs="Times New Roman"/>
          <w:color w:val="000000"/>
          <w:lang w:val="hr-HR"/>
        </w:rPr>
        <w:t>,</w:t>
      </w:r>
      <w:r w:rsidR="00F250F7" w:rsidRPr="0048429B">
        <w:rPr>
          <w:rFonts w:cs="Times New Roman"/>
          <w:color w:val="000000"/>
          <w:lang w:val="hr-HR"/>
        </w:rPr>
        <w:t xml:space="preserve"> </w:t>
      </w:r>
      <w:r w:rsidR="001674D5" w:rsidRPr="0048429B">
        <w:rPr>
          <w:rFonts w:cs="Times New Roman"/>
          <w:color w:val="000000"/>
          <w:lang w:val="hr-HR"/>
        </w:rPr>
        <w:t xml:space="preserve">a razmjerno snažnu dinamiku zadržat će i u </w:t>
      </w:r>
      <w:r w:rsidR="00F250F7" w:rsidRPr="0048429B">
        <w:rPr>
          <w:rFonts w:cs="Times New Roman"/>
          <w:color w:val="000000"/>
          <w:lang w:val="hr-HR"/>
        </w:rPr>
        <w:t xml:space="preserve">ostatku </w:t>
      </w:r>
      <w:r w:rsidR="001674D5" w:rsidRPr="0048429B">
        <w:rPr>
          <w:rFonts w:cs="Times New Roman"/>
          <w:color w:val="000000"/>
          <w:lang w:val="hr-HR"/>
        </w:rPr>
        <w:t xml:space="preserve">promatranog </w:t>
      </w:r>
      <w:r w:rsidR="00F250F7" w:rsidRPr="0048429B">
        <w:rPr>
          <w:rFonts w:cs="Times New Roman"/>
          <w:color w:val="000000"/>
          <w:lang w:val="hr-HR"/>
        </w:rPr>
        <w:t xml:space="preserve">razdoblja </w:t>
      </w:r>
      <w:r w:rsidR="001674D5" w:rsidRPr="0048429B">
        <w:rPr>
          <w:rFonts w:cs="Times New Roman"/>
          <w:color w:val="000000"/>
          <w:lang w:val="hr-HR"/>
        </w:rPr>
        <w:t>pa</w:t>
      </w:r>
      <w:r w:rsidR="00F250F7" w:rsidRPr="0048429B">
        <w:rPr>
          <w:rFonts w:cs="Times New Roman"/>
          <w:color w:val="000000"/>
          <w:lang w:val="hr-HR"/>
        </w:rPr>
        <w:t xml:space="preserve"> će </w:t>
      </w:r>
      <w:r w:rsidR="001674D5" w:rsidRPr="0048429B">
        <w:rPr>
          <w:rFonts w:cs="Times New Roman"/>
          <w:color w:val="000000"/>
          <w:lang w:val="hr-HR"/>
        </w:rPr>
        <w:t xml:space="preserve">tako </w:t>
      </w:r>
      <w:r w:rsidR="00F250F7" w:rsidRPr="0048429B">
        <w:rPr>
          <w:rFonts w:cs="Times New Roman"/>
          <w:color w:val="000000"/>
          <w:lang w:val="hr-HR"/>
        </w:rPr>
        <w:t xml:space="preserve">doprinos neto inozemne potražnje biti negativan kroz čitavo projekcijsko razdoblje. </w:t>
      </w:r>
      <w:r w:rsidR="00825C69" w:rsidRPr="0048429B">
        <w:rPr>
          <w:rFonts w:cs="Times New Roman"/>
          <w:color w:val="000000"/>
          <w:lang w:val="hr-HR"/>
        </w:rPr>
        <w:t>Povrh toga,</w:t>
      </w:r>
      <w:r w:rsidR="001674D5" w:rsidRPr="0048429B">
        <w:rPr>
          <w:rFonts w:cs="Times New Roman"/>
          <w:color w:val="000000"/>
          <w:lang w:val="hr-HR"/>
        </w:rPr>
        <w:t xml:space="preserve"> spomenimo kako je</w:t>
      </w:r>
      <w:r w:rsidR="00825C69" w:rsidRPr="0048429B">
        <w:rPr>
          <w:rFonts w:cs="Times New Roman"/>
          <w:color w:val="000000"/>
          <w:lang w:val="hr-HR"/>
        </w:rPr>
        <w:t xml:space="preserve"> i elastičnost uvoza u odnosu na k</w:t>
      </w:r>
      <w:r w:rsidR="001674D5" w:rsidRPr="0048429B">
        <w:rPr>
          <w:rFonts w:cs="Times New Roman"/>
          <w:color w:val="000000"/>
          <w:lang w:val="hr-HR"/>
        </w:rPr>
        <w:t xml:space="preserve">onačnu potražnju zabilježila </w:t>
      </w:r>
      <w:r w:rsidR="00825C69" w:rsidRPr="0048429B">
        <w:rPr>
          <w:rFonts w:cs="Times New Roman"/>
          <w:color w:val="000000"/>
          <w:lang w:val="hr-HR"/>
        </w:rPr>
        <w:t xml:space="preserve">blagu korekciju naviše, </w:t>
      </w:r>
      <w:r w:rsidR="001674D5" w:rsidRPr="0048429B">
        <w:rPr>
          <w:rFonts w:cs="Times New Roman"/>
          <w:color w:val="000000"/>
          <w:lang w:val="hr-HR"/>
        </w:rPr>
        <w:t xml:space="preserve">a </w:t>
      </w:r>
      <w:r w:rsidR="00825C69" w:rsidRPr="0048429B">
        <w:rPr>
          <w:rFonts w:cs="Times New Roman"/>
          <w:color w:val="000000"/>
          <w:lang w:val="hr-HR"/>
        </w:rPr>
        <w:t>prvenstveno u 2019. godini, kao rezultat očekivanog snažnog ubrzanja uvoza u drugom tromjesečju.</w:t>
      </w:r>
    </w:p>
    <w:p w:rsidR="00F250F7" w:rsidRPr="0048429B" w:rsidRDefault="00F250F7" w:rsidP="00F250F7">
      <w:pPr>
        <w:spacing w:afterLines="120" w:after="288"/>
        <w:jc w:val="both"/>
        <w:rPr>
          <w:rFonts w:cs="Times New Roman"/>
          <w:color w:val="000000"/>
          <w:lang w:val="hr-HR"/>
        </w:rPr>
      </w:pPr>
      <w:r w:rsidRPr="0048429B">
        <w:rPr>
          <w:rFonts w:cs="Times New Roman"/>
          <w:color w:val="000000"/>
          <w:lang w:val="hr-HR"/>
        </w:rPr>
        <w:lastRenderedPageBreak/>
        <w:t>Predviđa se da će rast potrošačkih cijena u 2019. godini usporiti na 0,7%, kao posljedica primjene snižene stope PDV-a na određene prehrambene proizvode, dječje pelene i lijekove</w:t>
      </w:r>
      <w:r w:rsidRPr="0048429B">
        <w:rPr>
          <w:rStyle w:val="FootnoteReference"/>
          <w:rFonts w:cs="Times New Roman"/>
          <w:color w:val="000000"/>
          <w:lang w:val="hr-HR"/>
        </w:rPr>
        <w:footnoteReference w:id="6"/>
      </w:r>
      <w:r w:rsidRPr="0048429B">
        <w:rPr>
          <w:rFonts w:cs="Times New Roman"/>
          <w:color w:val="000000"/>
          <w:lang w:val="hr-HR"/>
        </w:rPr>
        <w:t xml:space="preserve">, očekivanog usporavanja potrošačkih cijena u eurozoni te pada cijena nafte na svjetskom tržištu. Slijedom navedenog, u 2019. godini očekuje se pad cijena hrane i usporavanje rasta cijena energije u odnosu na 2018., dok će se rast potrošačkih cijena bez hrane i energije zadržati na razini iz prethodne godine. Uslijed ubrzanja temeljne inflacije u eurozoni te iščezavanja negativnog učinka smanjenja stope PDV-a iz 2019., u 2020. godini se očekuje ubrzanje stope inflacije na razinu od 1,1%. S druge strane, negativan doprinos kretanju inflacije u 2020. od -0,2 postotna boda doći će </w:t>
      </w:r>
      <w:r w:rsidR="00AC017C">
        <w:rPr>
          <w:rFonts w:cs="Times New Roman"/>
          <w:color w:val="000000"/>
          <w:lang w:val="hr-HR"/>
        </w:rPr>
        <w:t>od smanjenja opće stope PDV-a s</w:t>
      </w:r>
      <w:r w:rsidRPr="0048429B">
        <w:rPr>
          <w:rFonts w:cs="Times New Roman"/>
          <w:color w:val="000000"/>
          <w:lang w:val="hr-HR"/>
        </w:rPr>
        <w:t xml:space="preserve"> 25% na 24%. U ostatku projekcijskog razdoblja očekuje </w:t>
      </w:r>
      <w:r w:rsidR="005A428E" w:rsidRPr="0048429B">
        <w:rPr>
          <w:rFonts w:cs="Times New Roman"/>
          <w:color w:val="000000"/>
          <w:lang w:val="hr-HR"/>
        </w:rPr>
        <w:t xml:space="preserve">se </w:t>
      </w:r>
      <w:r w:rsidRPr="0048429B">
        <w:rPr>
          <w:rFonts w:cs="Times New Roman"/>
          <w:color w:val="000000"/>
          <w:lang w:val="hr-HR"/>
        </w:rPr>
        <w:t xml:space="preserve">ubrzanje inflacije na 1,4% u 2021. i 1,5% u 2022. godini, uslijed povećanja inflacije u eurozoni, nastavka rasta </w:t>
      </w:r>
      <w:r w:rsidR="008807A9" w:rsidRPr="0048429B">
        <w:rPr>
          <w:rFonts w:cs="Times New Roman"/>
          <w:color w:val="000000"/>
          <w:lang w:val="hr-HR"/>
        </w:rPr>
        <w:t xml:space="preserve">osobne </w:t>
      </w:r>
      <w:r w:rsidRPr="0048429B">
        <w:rPr>
          <w:rFonts w:cs="Times New Roman"/>
          <w:color w:val="000000"/>
          <w:lang w:val="hr-HR"/>
        </w:rPr>
        <w:t>potrošnje te kontinuiranog rasta jediničnog troška rada.</w:t>
      </w:r>
      <w:r w:rsidRPr="0048429B">
        <w:rPr>
          <w:rFonts w:cs="Times New Roman"/>
          <w:lang w:val="hr-HR"/>
        </w:rPr>
        <w:t xml:space="preserve"> U čitavom projekcijskom razdoblju, očekuje se nešto brži rast deflatora BDP-a u odnosu na inflaciju</w:t>
      </w:r>
      <w:r w:rsidR="00E7617B" w:rsidRPr="0048429B">
        <w:rPr>
          <w:rFonts w:cs="Times New Roman"/>
          <w:lang w:val="hr-HR"/>
        </w:rPr>
        <w:t xml:space="preserve"> potrošačkih cijena, pri čemu će se </w:t>
      </w:r>
      <w:r w:rsidR="005A3C5A" w:rsidRPr="0048429B">
        <w:rPr>
          <w:rFonts w:cs="Times New Roman"/>
          <w:lang w:val="hr-HR"/>
        </w:rPr>
        <w:t>njih</w:t>
      </w:r>
      <w:r w:rsidR="00E7617B" w:rsidRPr="0048429B">
        <w:rPr>
          <w:rFonts w:cs="Times New Roman"/>
          <w:lang w:val="hr-HR"/>
        </w:rPr>
        <w:t>ova razlika smanjivati prema kraju projekcijskog razdoblja. Pri tome</w:t>
      </w:r>
      <w:r w:rsidR="005A428E" w:rsidRPr="0048429B">
        <w:rPr>
          <w:rFonts w:cs="Times New Roman"/>
          <w:lang w:val="hr-HR"/>
        </w:rPr>
        <w:t xml:space="preserve"> se</w:t>
      </w:r>
      <w:r w:rsidR="00E7617B" w:rsidRPr="0048429B">
        <w:rPr>
          <w:rFonts w:cs="Times New Roman"/>
          <w:lang w:val="hr-HR"/>
        </w:rPr>
        <w:t>, u odnosu na prethodnu projekciju, očekuje nešto slabija dinamika deflatora investicija te nešto povoljniji uvjeti razmjene roba, a nepovoljniji uvjeti razmjene usluga</w:t>
      </w:r>
      <w:r w:rsidRPr="0048429B">
        <w:rPr>
          <w:rFonts w:cs="Times New Roman"/>
          <w:lang w:val="hr-HR"/>
        </w:rPr>
        <w:t xml:space="preserve">. </w:t>
      </w:r>
    </w:p>
    <w:p w:rsidR="00F250F7" w:rsidRPr="0048429B" w:rsidRDefault="00F250F7" w:rsidP="00F250F7">
      <w:pPr>
        <w:spacing w:afterLines="120" w:after="288"/>
        <w:jc w:val="both"/>
        <w:rPr>
          <w:rFonts w:cs="Times New Roman"/>
          <w:color w:val="000000"/>
          <w:lang w:val="hr-HR"/>
        </w:rPr>
      </w:pPr>
      <w:r w:rsidRPr="0048429B">
        <w:rPr>
          <w:rFonts w:eastAsia="Calibri" w:cs="Times New Roman"/>
          <w:lang w:val="hr-HR"/>
        </w:rPr>
        <w:t>U skladu s rastom gospodarske aktivnosti, u srednjoročnom razdoblju očekuje se umjeren rast zaposlenosti</w:t>
      </w:r>
      <w:r w:rsidR="005A3C5A" w:rsidRPr="0048429B">
        <w:rPr>
          <w:rFonts w:eastAsia="Calibri" w:cs="Times New Roman"/>
          <w:lang w:val="hr-HR"/>
        </w:rPr>
        <w:t>,</w:t>
      </w:r>
      <w:r w:rsidRPr="0048429B">
        <w:rPr>
          <w:rFonts w:eastAsia="Calibri" w:cs="Times New Roman"/>
          <w:lang w:val="hr-HR"/>
        </w:rPr>
        <w:t xml:space="preserve"> </w:t>
      </w:r>
      <w:r w:rsidR="005A3C5A" w:rsidRPr="0048429B">
        <w:rPr>
          <w:rFonts w:eastAsia="Calibri" w:cs="Times New Roman"/>
          <w:lang w:val="hr-HR"/>
        </w:rPr>
        <w:t>koji će biti nešto izraženiji tijekom 2019. uslijed snažne potražnje za radom</w:t>
      </w:r>
      <w:r w:rsidR="005A428E" w:rsidRPr="0048429B">
        <w:rPr>
          <w:rFonts w:eastAsia="Calibri" w:cs="Times New Roman"/>
          <w:lang w:val="hr-HR"/>
        </w:rPr>
        <w:t>,</w:t>
      </w:r>
      <w:r w:rsidR="005A3C5A" w:rsidRPr="0048429B">
        <w:rPr>
          <w:rFonts w:eastAsia="Calibri" w:cs="Times New Roman"/>
          <w:lang w:val="hr-HR"/>
        </w:rPr>
        <w:t xml:space="preserve"> te će usporavati prema kraju projekcijskog razdoblja. Izraženije smanjenje stope anketne</w:t>
      </w:r>
      <w:r w:rsidRPr="0048429B">
        <w:rPr>
          <w:rFonts w:eastAsia="Calibri" w:cs="Times New Roman"/>
          <w:lang w:val="hr-HR"/>
        </w:rPr>
        <w:t xml:space="preserve"> </w:t>
      </w:r>
      <w:r w:rsidR="005A3C5A" w:rsidRPr="0048429B">
        <w:rPr>
          <w:rFonts w:eastAsia="Calibri" w:cs="Times New Roman"/>
          <w:lang w:val="hr-HR"/>
        </w:rPr>
        <w:t>nezaposlenosti nastavit će se još u 2019. i 2020. nakon čega će nastupiti njezina stabilizacija</w:t>
      </w:r>
      <w:r w:rsidRPr="0048429B">
        <w:rPr>
          <w:rFonts w:eastAsia="Calibri" w:cs="Times New Roman"/>
          <w:lang w:val="hr-HR"/>
        </w:rPr>
        <w:t xml:space="preserve">. </w:t>
      </w:r>
      <w:r w:rsidR="00133856" w:rsidRPr="0048429B">
        <w:rPr>
          <w:rFonts w:eastAsia="Calibri" w:cs="Times New Roman"/>
          <w:lang w:val="hr-HR"/>
        </w:rPr>
        <w:t>Za ostvarenje opisanih</w:t>
      </w:r>
      <w:r w:rsidR="005A3C5A" w:rsidRPr="0048429B">
        <w:rPr>
          <w:rFonts w:eastAsia="Calibri" w:cs="Times New Roman"/>
          <w:lang w:val="hr-HR"/>
        </w:rPr>
        <w:t xml:space="preserve"> </w:t>
      </w:r>
      <w:r w:rsidR="00133856" w:rsidRPr="0048429B">
        <w:rPr>
          <w:rFonts w:eastAsia="Calibri" w:cs="Times New Roman"/>
          <w:lang w:val="hr-HR"/>
        </w:rPr>
        <w:t>kretanja</w:t>
      </w:r>
      <w:r w:rsidRPr="0048429B">
        <w:rPr>
          <w:rFonts w:eastAsia="Calibri" w:cs="Times New Roman"/>
          <w:lang w:val="hr-HR"/>
        </w:rPr>
        <w:t xml:space="preserve"> ključna </w:t>
      </w:r>
      <w:r w:rsidR="00133856" w:rsidRPr="0048429B">
        <w:rPr>
          <w:rFonts w:eastAsia="Calibri" w:cs="Times New Roman"/>
          <w:lang w:val="hr-HR"/>
        </w:rPr>
        <w:t xml:space="preserve">je </w:t>
      </w:r>
      <w:r w:rsidRPr="0048429B">
        <w:rPr>
          <w:rFonts w:eastAsia="Calibri" w:cs="Times New Roman"/>
          <w:lang w:val="hr-HR"/>
        </w:rPr>
        <w:t xml:space="preserve">pretpostavka o postupnom srednjoročnom usporavanju odljeva radno sposobnog stanovništva te daljnjoj planiranoj imigraciji kroz sustav kvota. Očekuje se kako će rast bruto plaća u 2019. </w:t>
      </w:r>
      <w:r w:rsidR="00133856" w:rsidRPr="0048429B">
        <w:rPr>
          <w:rFonts w:eastAsia="Calibri" w:cs="Times New Roman"/>
          <w:lang w:val="hr-HR"/>
        </w:rPr>
        <w:t>usporiti, nastavno na primjetnu</w:t>
      </w:r>
      <w:r w:rsidRPr="0048429B">
        <w:rPr>
          <w:rFonts w:eastAsia="Calibri" w:cs="Times New Roman"/>
          <w:lang w:val="hr-HR"/>
        </w:rPr>
        <w:t xml:space="preserve"> promjenu trenda </w:t>
      </w:r>
      <w:r w:rsidR="00133856" w:rsidRPr="0048429B">
        <w:rPr>
          <w:rFonts w:eastAsia="Calibri" w:cs="Times New Roman"/>
          <w:lang w:val="hr-HR"/>
        </w:rPr>
        <w:t xml:space="preserve">počevši </w:t>
      </w:r>
      <w:r w:rsidRPr="0048429B">
        <w:rPr>
          <w:rFonts w:eastAsia="Calibri" w:cs="Times New Roman"/>
          <w:lang w:val="hr-HR"/>
        </w:rPr>
        <w:t xml:space="preserve">od kraja 2018. Rast plaća će </w:t>
      </w:r>
      <w:r w:rsidR="00E46445" w:rsidRPr="0048429B">
        <w:rPr>
          <w:rFonts w:eastAsia="Calibri" w:cs="Times New Roman"/>
          <w:lang w:val="hr-HR"/>
        </w:rPr>
        <w:t xml:space="preserve">i dalje </w:t>
      </w:r>
      <w:r w:rsidRPr="0048429B">
        <w:rPr>
          <w:rFonts w:eastAsia="Calibri" w:cs="Times New Roman"/>
          <w:lang w:val="hr-HR"/>
        </w:rPr>
        <w:t>ponajviš</w:t>
      </w:r>
      <w:r w:rsidR="00E46445" w:rsidRPr="0048429B">
        <w:rPr>
          <w:rFonts w:eastAsia="Calibri" w:cs="Times New Roman"/>
          <w:lang w:val="hr-HR"/>
        </w:rPr>
        <w:t>e biti pod utjecajem neravnoteža</w:t>
      </w:r>
      <w:r w:rsidRPr="0048429B">
        <w:rPr>
          <w:rFonts w:eastAsia="Calibri" w:cs="Times New Roman"/>
          <w:lang w:val="hr-HR"/>
        </w:rPr>
        <w:t xml:space="preserve"> ponude i potražnje za radom u pojedinim djelatnostima, pri čemu </w:t>
      </w:r>
      <w:r w:rsidR="00E46445" w:rsidRPr="0048429B">
        <w:rPr>
          <w:rFonts w:eastAsia="Calibri" w:cs="Times New Roman"/>
          <w:lang w:val="hr-HR"/>
        </w:rPr>
        <w:t>se ipak očekuje</w:t>
      </w:r>
      <w:r w:rsidRPr="0048429B">
        <w:rPr>
          <w:rFonts w:eastAsia="Calibri" w:cs="Times New Roman"/>
          <w:lang w:val="hr-HR"/>
        </w:rPr>
        <w:t xml:space="preserve"> </w:t>
      </w:r>
      <w:r w:rsidR="00E46445" w:rsidRPr="0048429B">
        <w:rPr>
          <w:rFonts w:eastAsia="Calibri" w:cs="Times New Roman"/>
          <w:lang w:val="hr-HR"/>
        </w:rPr>
        <w:t>postupno ispravljanje ovog</w:t>
      </w:r>
      <w:r w:rsidRPr="0048429B">
        <w:rPr>
          <w:rFonts w:eastAsia="Calibri" w:cs="Times New Roman"/>
          <w:lang w:val="hr-HR"/>
        </w:rPr>
        <w:t xml:space="preserve"> </w:t>
      </w:r>
      <w:r w:rsidR="00E46445" w:rsidRPr="0048429B">
        <w:rPr>
          <w:rFonts w:eastAsia="Calibri" w:cs="Times New Roman"/>
          <w:lang w:val="hr-HR"/>
        </w:rPr>
        <w:t>nesrazmjera</w:t>
      </w:r>
      <w:r w:rsidRPr="0048429B">
        <w:rPr>
          <w:rFonts w:eastAsia="Calibri" w:cs="Times New Roman"/>
          <w:lang w:val="hr-HR"/>
        </w:rPr>
        <w:t xml:space="preserve"> </w:t>
      </w:r>
      <w:r w:rsidR="00E46445" w:rsidRPr="0048429B">
        <w:rPr>
          <w:rFonts w:eastAsia="Calibri" w:cs="Times New Roman"/>
          <w:lang w:val="hr-HR"/>
        </w:rPr>
        <w:t>u narednim godinama pa</w:t>
      </w:r>
      <w:r w:rsidRPr="0048429B">
        <w:rPr>
          <w:rFonts w:eastAsia="Calibri" w:cs="Times New Roman"/>
          <w:lang w:val="hr-HR"/>
        </w:rPr>
        <w:t xml:space="preserve"> će rast plaća </w:t>
      </w:r>
      <w:r w:rsidR="00E46445" w:rsidRPr="0048429B">
        <w:rPr>
          <w:rFonts w:eastAsia="Calibri" w:cs="Times New Roman"/>
          <w:lang w:val="hr-HR"/>
        </w:rPr>
        <w:t xml:space="preserve">tako </w:t>
      </w:r>
      <w:r w:rsidRPr="0048429B">
        <w:rPr>
          <w:rFonts w:eastAsia="Calibri" w:cs="Times New Roman"/>
          <w:lang w:val="hr-HR"/>
        </w:rPr>
        <w:t xml:space="preserve">postupno usporavati. </w:t>
      </w:r>
      <w:r w:rsidR="005A3C5A" w:rsidRPr="0048429B">
        <w:rPr>
          <w:rFonts w:eastAsia="Calibri" w:cs="Times New Roman"/>
          <w:lang w:val="hr-HR"/>
        </w:rPr>
        <w:t xml:space="preserve">Uslijed bržeg rasta bruto naknada po zaposleniku od rasta produktivnosti rada, kroz čitavo srednjoročno razdoblje predviđa se </w:t>
      </w:r>
      <w:r w:rsidR="00E46445" w:rsidRPr="0048429B">
        <w:rPr>
          <w:rFonts w:eastAsia="Calibri" w:cs="Times New Roman"/>
          <w:lang w:val="hr-HR"/>
        </w:rPr>
        <w:t xml:space="preserve">stabilan umjereni </w:t>
      </w:r>
      <w:r w:rsidR="005A3C5A" w:rsidRPr="0048429B">
        <w:rPr>
          <w:rFonts w:eastAsia="Calibri" w:cs="Times New Roman"/>
          <w:lang w:val="hr-HR"/>
        </w:rPr>
        <w:t xml:space="preserve">rast </w:t>
      </w:r>
      <w:r w:rsidR="00E46445" w:rsidRPr="0048429B">
        <w:rPr>
          <w:rFonts w:eastAsia="Calibri" w:cs="Times New Roman"/>
          <w:lang w:val="hr-HR"/>
        </w:rPr>
        <w:t>jediničnog troška rada</w:t>
      </w:r>
      <w:r w:rsidR="005A3C5A" w:rsidRPr="0048429B">
        <w:rPr>
          <w:rFonts w:eastAsia="Calibri" w:cs="Times New Roman"/>
          <w:lang w:val="hr-HR"/>
        </w:rPr>
        <w:t>.</w:t>
      </w:r>
    </w:p>
    <w:p w:rsidR="00F250F7" w:rsidRPr="0048429B" w:rsidRDefault="00F250F7" w:rsidP="00F250F7">
      <w:pPr>
        <w:spacing w:afterLines="120" w:after="288"/>
        <w:jc w:val="both"/>
        <w:rPr>
          <w:rFonts w:cs="Times New Roman"/>
          <w:lang w:val="hr-HR"/>
        </w:rPr>
      </w:pPr>
      <w:r w:rsidRPr="0048429B">
        <w:rPr>
          <w:rFonts w:cs="Times New Roman"/>
          <w:color w:val="000000"/>
          <w:lang w:val="hr-HR"/>
        </w:rPr>
        <w:t xml:space="preserve">Projekcija gospodarskog rasta izložena je prevladavajuće negativnim rizicima, pri čemu oni prvenstveno proizlaze iz vanjskog okruženja, a odnose se na </w:t>
      </w:r>
      <w:r w:rsidR="001F1668" w:rsidRPr="0048429B">
        <w:rPr>
          <w:rFonts w:cs="Times New Roman"/>
          <w:color w:val="000000"/>
          <w:lang w:val="hr-HR"/>
        </w:rPr>
        <w:t>sporiji rast glavnih hrvatskih vanjskotrgovinskih partnera, u uvjetima jačanja</w:t>
      </w:r>
      <w:r w:rsidRPr="0048429B">
        <w:rPr>
          <w:rFonts w:cs="Times New Roman"/>
          <w:color w:val="000000"/>
          <w:lang w:val="hr-HR"/>
        </w:rPr>
        <w:t xml:space="preserve"> protekcioni</w:t>
      </w:r>
      <w:r w:rsidR="001F1668" w:rsidRPr="0048429B">
        <w:rPr>
          <w:rFonts w:cs="Times New Roman"/>
          <w:color w:val="000000"/>
          <w:lang w:val="hr-HR"/>
        </w:rPr>
        <w:t>stičkih politika, geopolitičkih napetosti, kao i</w:t>
      </w:r>
      <w:r w:rsidRPr="0048429B">
        <w:rPr>
          <w:rFonts w:cs="Times New Roman"/>
          <w:color w:val="000000"/>
          <w:lang w:val="hr-HR"/>
        </w:rPr>
        <w:t xml:space="preserve"> dalje visoke razine neizvjesnosti glede izlaska Ujedinjenog Kraljevstva iz EU-a. Što se tiče domaćih rizika, </w:t>
      </w:r>
      <w:r w:rsidR="001F1668" w:rsidRPr="0048429B">
        <w:rPr>
          <w:rFonts w:cs="Times New Roman"/>
          <w:color w:val="000000"/>
          <w:lang w:val="hr-HR"/>
        </w:rPr>
        <w:t xml:space="preserve">i </w:t>
      </w:r>
      <w:r w:rsidRPr="0048429B">
        <w:rPr>
          <w:rFonts w:cs="Times New Roman"/>
          <w:color w:val="000000"/>
          <w:lang w:val="hr-HR"/>
        </w:rPr>
        <w:t>nadalje</w:t>
      </w:r>
      <w:r w:rsidRPr="0048429B">
        <w:rPr>
          <w:rFonts w:cs="Times New Roman"/>
          <w:lang w:val="hr-HR"/>
        </w:rPr>
        <w:t xml:space="preserve"> ostaju prisutni rizici vezani uz srednjoročna ograničenja na strani ponude, što se prvenstveno odnosi na </w:t>
      </w:r>
      <w:r w:rsidR="001F1668" w:rsidRPr="0048429B">
        <w:rPr>
          <w:rFonts w:cs="Times New Roman"/>
          <w:color w:val="000000"/>
          <w:lang w:val="hr-HR"/>
        </w:rPr>
        <w:t>nedostatke povezane s veličinom i strukturom</w:t>
      </w:r>
      <w:r w:rsidRPr="0048429B">
        <w:rPr>
          <w:rFonts w:cs="Times New Roman"/>
          <w:color w:val="000000"/>
          <w:lang w:val="hr-HR"/>
        </w:rPr>
        <w:t xml:space="preserve"> radne snage. Glavni rizici koji bi mogli uzrokovati drugačije ostvarenje stope inflacije od prognozirane vezani su uz kretanje cijena nafte na svjetskom tržištu te povećanje administrativno reguliranih cijena.</w:t>
      </w:r>
    </w:p>
    <w:p w:rsidR="00E52BDF" w:rsidRPr="0048429B" w:rsidRDefault="00E52BDF" w:rsidP="00E52BDF">
      <w:pPr>
        <w:rPr>
          <w:lang w:val="hr-HR"/>
        </w:rPr>
      </w:pPr>
      <w:r w:rsidRPr="0048429B">
        <w:rPr>
          <w:lang w:val="hr-HR"/>
        </w:rPr>
        <w:br w:type="page"/>
      </w:r>
    </w:p>
    <w:p w:rsidR="00E52BDF" w:rsidRPr="0048429B" w:rsidRDefault="00E52BDF" w:rsidP="00E52BDF">
      <w:pPr>
        <w:pStyle w:val="Heading1"/>
        <w:numPr>
          <w:ilvl w:val="0"/>
          <w:numId w:val="1"/>
        </w:numPr>
        <w:rPr>
          <w:lang w:val="hr-HR"/>
        </w:rPr>
      </w:pPr>
      <w:bookmarkStart w:id="8" w:name="_Toc15461761"/>
      <w:r w:rsidRPr="0048429B">
        <w:rPr>
          <w:lang w:val="hr-HR"/>
        </w:rPr>
        <w:lastRenderedPageBreak/>
        <w:t>FISKALNI OKVIR U SREDNJOROČNOM RAZDOBLJU</w:t>
      </w:r>
      <w:bookmarkEnd w:id="8"/>
    </w:p>
    <w:p w:rsidR="00E52BDF" w:rsidRPr="0048429B" w:rsidRDefault="00E52BDF" w:rsidP="00E52BDF">
      <w:pPr>
        <w:rPr>
          <w:lang w:val="hr-HR"/>
        </w:rPr>
      </w:pPr>
    </w:p>
    <w:p w:rsidR="00E52BDF" w:rsidRPr="0048429B" w:rsidRDefault="00E52BDF" w:rsidP="00E52BDF">
      <w:pPr>
        <w:pStyle w:val="Heading2"/>
        <w:numPr>
          <w:ilvl w:val="1"/>
          <w:numId w:val="1"/>
        </w:numPr>
        <w:rPr>
          <w:lang w:val="hr-HR"/>
        </w:rPr>
      </w:pPr>
      <w:bookmarkStart w:id="9" w:name="_Toc487786372"/>
      <w:bookmarkStart w:id="10" w:name="_Toc15461762"/>
      <w:r w:rsidRPr="0048429B">
        <w:rPr>
          <w:lang w:val="hr-HR"/>
        </w:rPr>
        <w:t xml:space="preserve">Kretanje prihoda </w:t>
      </w:r>
      <w:r w:rsidR="00CB1B9D" w:rsidRPr="0048429B">
        <w:rPr>
          <w:lang w:val="hr-HR"/>
        </w:rPr>
        <w:t xml:space="preserve">državnog proračuna </w:t>
      </w:r>
      <w:r w:rsidR="00F35025" w:rsidRPr="0048429B">
        <w:rPr>
          <w:lang w:val="hr-HR"/>
        </w:rPr>
        <w:t>u razdoblju 2020</w:t>
      </w:r>
      <w:r w:rsidRPr="0048429B">
        <w:rPr>
          <w:lang w:val="hr-HR"/>
        </w:rPr>
        <w:t>. – 202</w:t>
      </w:r>
      <w:r w:rsidR="00F35025" w:rsidRPr="0048429B">
        <w:rPr>
          <w:lang w:val="hr-HR"/>
        </w:rPr>
        <w:t>2</w:t>
      </w:r>
      <w:r w:rsidRPr="0048429B">
        <w:rPr>
          <w:lang w:val="hr-HR"/>
        </w:rPr>
        <w:t>.</w:t>
      </w:r>
      <w:bookmarkEnd w:id="9"/>
      <w:bookmarkEnd w:id="10"/>
      <w:r w:rsidRPr="0048429B">
        <w:rPr>
          <w:lang w:val="hr-HR"/>
        </w:rPr>
        <w:t xml:space="preserve">  </w:t>
      </w:r>
    </w:p>
    <w:p w:rsidR="00E52BDF" w:rsidRPr="0048429B" w:rsidRDefault="00E52BDF" w:rsidP="00E52BDF">
      <w:pPr>
        <w:rPr>
          <w:lang w:val="hr-HR"/>
        </w:rPr>
      </w:pPr>
    </w:p>
    <w:p w:rsidR="00FE5357" w:rsidRPr="0048429B" w:rsidRDefault="00FE5357" w:rsidP="00FE5357">
      <w:pPr>
        <w:jc w:val="both"/>
        <w:rPr>
          <w:rFonts w:ascii="Calibri" w:hAnsi="Calibri"/>
          <w:lang w:val="hr-HR"/>
        </w:rPr>
      </w:pPr>
      <w:bookmarkStart w:id="11" w:name="_Toc487786112"/>
      <w:r w:rsidRPr="0048429B">
        <w:rPr>
          <w:rFonts w:ascii="Calibri" w:hAnsi="Calibri"/>
          <w:lang w:val="hr-HR"/>
        </w:rPr>
        <w:t>Kretanja prihoda državnog proračuna u razdoblju 2020. – 2022. određena su očekivanim kretanjem gospodarske</w:t>
      </w:r>
      <w:r w:rsidR="00042331" w:rsidRPr="0048429B">
        <w:rPr>
          <w:rFonts w:ascii="Calibri" w:hAnsi="Calibri"/>
          <w:lang w:val="hr-HR"/>
        </w:rPr>
        <w:t xml:space="preserve"> aktivnosti, uzimajući u obzir</w:t>
      </w:r>
      <w:r w:rsidRPr="0048429B">
        <w:rPr>
          <w:rFonts w:ascii="Calibri" w:hAnsi="Calibri"/>
          <w:lang w:val="hr-HR"/>
        </w:rPr>
        <w:t xml:space="preserve"> fiskalne učinke provedenog poreznog rasterećenja</w:t>
      </w:r>
      <w:r w:rsidR="00042331" w:rsidRPr="0048429B">
        <w:rPr>
          <w:rFonts w:ascii="Calibri" w:hAnsi="Calibri"/>
          <w:lang w:val="hr-HR"/>
        </w:rPr>
        <w:t xml:space="preserve"> u 2019.</w:t>
      </w:r>
      <w:r w:rsidRPr="0048429B">
        <w:rPr>
          <w:rFonts w:ascii="Calibri" w:hAnsi="Calibri"/>
          <w:lang w:val="hr-HR"/>
        </w:rPr>
        <w:t>, a koje svoj cje</w:t>
      </w:r>
      <w:r w:rsidR="00042331" w:rsidRPr="0048429B">
        <w:rPr>
          <w:rFonts w:ascii="Calibri" w:hAnsi="Calibri"/>
          <w:lang w:val="hr-HR"/>
        </w:rPr>
        <w:t xml:space="preserve">logodišnji učinak imaju u 2020. kao i </w:t>
      </w:r>
      <w:r w:rsidR="00B26446" w:rsidRPr="0048429B">
        <w:rPr>
          <w:rFonts w:ascii="Calibri" w:hAnsi="Calibri"/>
          <w:lang w:val="hr-HR"/>
        </w:rPr>
        <w:t xml:space="preserve">učinke </w:t>
      </w:r>
      <w:r w:rsidR="00042331" w:rsidRPr="0048429B">
        <w:rPr>
          <w:rFonts w:ascii="Calibri" w:hAnsi="Calibri"/>
          <w:lang w:val="hr-HR"/>
        </w:rPr>
        <w:t>najavljen</w:t>
      </w:r>
      <w:r w:rsidR="00B26446" w:rsidRPr="0048429B">
        <w:rPr>
          <w:rFonts w:ascii="Calibri" w:hAnsi="Calibri"/>
          <w:lang w:val="hr-HR"/>
        </w:rPr>
        <w:t>ih</w:t>
      </w:r>
      <w:r w:rsidR="00042331" w:rsidRPr="0048429B">
        <w:rPr>
          <w:rFonts w:ascii="Calibri" w:hAnsi="Calibri"/>
          <w:lang w:val="hr-HR"/>
        </w:rPr>
        <w:t xml:space="preserve"> porezn</w:t>
      </w:r>
      <w:r w:rsidR="00B26446" w:rsidRPr="0048429B">
        <w:rPr>
          <w:rFonts w:ascii="Calibri" w:hAnsi="Calibri"/>
          <w:lang w:val="hr-HR"/>
        </w:rPr>
        <w:t>ih</w:t>
      </w:r>
      <w:r w:rsidR="00042331" w:rsidRPr="0048429B">
        <w:rPr>
          <w:rFonts w:ascii="Calibri" w:hAnsi="Calibri"/>
          <w:lang w:val="hr-HR"/>
        </w:rPr>
        <w:t xml:space="preserve"> izmjen</w:t>
      </w:r>
      <w:r w:rsidR="00B26446" w:rsidRPr="0048429B">
        <w:rPr>
          <w:rFonts w:ascii="Calibri" w:hAnsi="Calibri"/>
          <w:lang w:val="hr-HR"/>
        </w:rPr>
        <w:t>a</w:t>
      </w:r>
      <w:r w:rsidRPr="0048429B">
        <w:rPr>
          <w:rFonts w:ascii="Calibri" w:hAnsi="Calibri"/>
          <w:lang w:val="hr-HR"/>
        </w:rPr>
        <w:t xml:space="preserve"> </w:t>
      </w:r>
      <w:r w:rsidR="00B26446" w:rsidRPr="0048429B">
        <w:rPr>
          <w:rFonts w:ascii="Calibri" w:hAnsi="Calibri"/>
          <w:lang w:val="hr-HR"/>
        </w:rPr>
        <w:t>od 1. siječnja</w:t>
      </w:r>
      <w:r w:rsidR="00042331" w:rsidRPr="0048429B">
        <w:rPr>
          <w:rFonts w:ascii="Calibri" w:hAnsi="Calibri"/>
          <w:lang w:val="hr-HR"/>
        </w:rPr>
        <w:t xml:space="preserve"> 2020. </w:t>
      </w:r>
      <w:r w:rsidRPr="0048429B">
        <w:rPr>
          <w:rFonts w:ascii="Calibri" w:hAnsi="Calibri"/>
          <w:lang w:val="hr-HR"/>
        </w:rPr>
        <w:t>godin</w:t>
      </w:r>
      <w:r w:rsidR="00B26446" w:rsidRPr="0048429B">
        <w:rPr>
          <w:rFonts w:ascii="Calibri" w:hAnsi="Calibri"/>
          <w:lang w:val="hr-HR"/>
        </w:rPr>
        <w:t>e</w:t>
      </w:r>
      <w:r w:rsidRPr="0048429B">
        <w:rPr>
          <w:rFonts w:ascii="Calibri" w:hAnsi="Calibri"/>
          <w:lang w:val="hr-HR"/>
        </w:rPr>
        <w:t xml:space="preserve">. </w:t>
      </w:r>
    </w:p>
    <w:p w:rsidR="00D05677" w:rsidRPr="0048429B" w:rsidRDefault="00D05677" w:rsidP="00D05677">
      <w:pPr>
        <w:jc w:val="both"/>
        <w:rPr>
          <w:rFonts w:ascii="Calibri" w:hAnsi="Calibri"/>
          <w:lang w:val="hr-HR"/>
        </w:rPr>
      </w:pPr>
      <w:r w:rsidRPr="0048429B">
        <w:rPr>
          <w:lang w:val="hr-HR"/>
        </w:rPr>
        <w:t>Najznačajnije izmjene s fiskalnim učinkom na prihode državnog proračuna odnose se na promjene u oporezivanju porezom na dodanu vrijednost i to smanjenjem opće stope PDV-a s 25% na 24% od 1. siječnja 2020. te smanjenjem PDV-a za pripremu i usluživan</w:t>
      </w:r>
      <w:r w:rsidR="00842E2D" w:rsidRPr="0048429B">
        <w:rPr>
          <w:lang w:val="hr-HR"/>
        </w:rPr>
        <w:t>je hrane u ugostiteljstvu na 13</w:t>
      </w:r>
      <w:r w:rsidRPr="0048429B">
        <w:rPr>
          <w:lang w:val="hr-HR"/>
        </w:rPr>
        <w:t xml:space="preserve">%. Osim toga, novim krugom porezne reforme predviđene su i izmjene u sustavu oporezivanja dobiti gdje se povećava iznos prihoda s 3 na 7,5 milijuna kuna na koji se plaća stopa poreza na dobit od 12%. Time će dodatnih 10.000 obveznika odnosno ukupno 93% obveznika poreza na dobit biti u primjeni stope od 12%. Izmjenama u sustavu posebnih poreza i trošarina predviđa se </w:t>
      </w:r>
      <w:r w:rsidRPr="0048429B">
        <w:rPr>
          <w:rFonts w:ascii="Calibri" w:hAnsi="Calibri"/>
          <w:lang w:val="hr-HR"/>
        </w:rPr>
        <w:t>povrat dijela plaćene trošarine na dizelsko gorivo koje se koristi u željezničkom prometu robe i putnika te potpuno oslobođenje od plaćanja trošarine na električnu energiju u željezničkom prometu robe i putnika. Osim toga, predviđa se i promjena oporezivanja bezalkoholnih pića po udjelu dodanih šećera umjesto dosadašnjeg linearnog količinskog oporezivanja po hektolitru te daljnje korekcije iznosa trošarina na alkohol i duhan.</w:t>
      </w:r>
    </w:p>
    <w:p w:rsidR="00FE5357" w:rsidRPr="0048429B" w:rsidRDefault="00FE5357" w:rsidP="00FE5357">
      <w:pPr>
        <w:jc w:val="both"/>
        <w:rPr>
          <w:rFonts w:ascii="Calibri" w:hAnsi="Calibri"/>
          <w:lang w:val="hr-HR"/>
        </w:rPr>
      </w:pPr>
      <w:r w:rsidRPr="0048429B">
        <w:rPr>
          <w:rFonts w:ascii="Calibri" w:hAnsi="Calibri"/>
          <w:lang w:val="hr-HR"/>
        </w:rPr>
        <w:t>Značajan učinak na prihode proračuna imat će i povlačenje sredstva iz EU fondova gdje se očekuje nastavak pozitivnih stopa rasta.</w:t>
      </w:r>
    </w:p>
    <w:p w:rsidR="00FE5357" w:rsidRPr="0048429B" w:rsidRDefault="00FE5357" w:rsidP="00FE5357">
      <w:pPr>
        <w:jc w:val="both"/>
        <w:rPr>
          <w:rFonts w:ascii="Calibri" w:hAnsi="Calibri"/>
          <w:lang w:val="hr-HR"/>
        </w:rPr>
      </w:pPr>
      <w:r w:rsidRPr="0048429B">
        <w:rPr>
          <w:rFonts w:ascii="Calibri" w:hAnsi="Calibri"/>
          <w:lang w:val="hr-HR"/>
        </w:rPr>
        <w:t xml:space="preserve">Uzimajući u obzir sve navedeno, u 2020. godini ukupni prihodi državnog proračuna projicirani su u iznosu od </w:t>
      </w:r>
      <w:r w:rsidR="00D05677" w:rsidRPr="0048429B">
        <w:rPr>
          <w:rFonts w:ascii="Calibri" w:hAnsi="Calibri"/>
          <w:lang w:val="hr-HR"/>
        </w:rPr>
        <w:t>141,</w:t>
      </w:r>
      <w:r w:rsidR="00E8493C" w:rsidRPr="0048429B">
        <w:rPr>
          <w:rFonts w:ascii="Calibri" w:hAnsi="Calibri"/>
          <w:lang w:val="hr-HR"/>
        </w:rPr>
        <w:t>6</w:t>
      </w:r>
      <w:r w:rsidRPr="0048429B">
        <w:rPr>
          <w:rFonts w:ascii="Calibri" w:hAnsi="Calibri"/>
          <w:lang w:val="hr-HR"/>
        </w:rPr>
        <w:t xml:space="preserve"> milijardi kuna. U 2021. godini ukupni prihodi državnog proračuna porast će za </w:t>
      </w:r>
      <w:r w:rsidR="00D05677" w:rsidRPr="0048429B">
        <w:rPr>
          <w:rFonts w:ascii="Calibri" w:hAnsi="Calibri"/>
          <w:lang w:val="hr-HR"/>
        </w:rPr>
        <w:t>2,</w:t>
      </w:r>
      <w:r w:rsidR="00E8493C" w:rsidRPr="0048429B">
        <w:rPr>
          <w:rFonts w:ascii="Calibri" w:hAnsi="Calibri"/>
          <w:lang w:val="hr-HR"/>
        </w:rPr>
        <w:t>6</w:t>
      </w:r>
      <w:r w:rsidR="00D05677" w:rsidRPr="0048429B">
        <w:rPr>
          <w:rFonts w:ascii="Calibri" w:hAnsi="Calibri"/>
          <w:lang w:val="hr-HR"/>
        </w:rPr>
        <w:t>%</w:t>
      </w:r>
      <w:r w:rsidRPr="0048429B">
        <w:rPr>
          <w:rFonts w:ascii="Calibri" w:hAnsi="Calibri"/>
          <w:lang w:val="hr-HR"/>
        </w:rPr>
        <w:t xml:space="preserve"> te će iznositi </w:t>
      </w:r>
      <w:r w:rsidR="00D05677" w:rsidRPr="0048429B">
        <w:rPr>
          <w:rFonts w:ascii="Calibri" w:hAnsi="Calibri"/>
          <w:lang w:val="hr-HR"/>
        </w:rPr>
        <w:t>145,3</w:t>
      </w:r>
      <w:r w:rsidRPr="0048429B">
        <w:rPr>
          <w:rFonts w:ascii="Calibri" w:hAnsi="Calibri"/>
          <w:lang w:val="hr-HR"/>
        </w:rPr>
        <w:t xml:space="preserve"> milijard</w:t>
      </w:r>
      <w:r w:rsidR="00D05677" w:rsidRPr="0048429B">
        <w:rPr>
          <w:rFonts w:ascii="Calibri" w:hAnsi="Calibri"/>
          <w:lang w:val="hr-HR"/>
        </w:rPr>
        <w:t>e</w:t>
      </w:r>
      <w:r w:rsidRPr="0048429B">
        <w:rPr>
          <w:rFonts w:ascii="Calibri" w:hAnsi="Calibri"/>
          <w:lang w:val="hr-HR"/>
        </w:rPr>
        <w:t xml:space="preserve"> kuna, dok se za 2022. godinu ukupni prihodi predviđaju u iznosu od </w:t>
      </w:r>
      <w:r w:rsidR="00D05677" w:rsidRPr="0048429B">
        <w:rPr>
          <w:rFonts w:ascii="Calibri" w:hAnsi="Calibri"/>
          <w:lang w:val="hr-HR"/>
        </w:rPr>
        <w:t>148,7</w:t>
      </w:r>
      <w:r w:rsidRPr="0048429B">
        <w:rPr>
          <w:rFonts w:ascii="Calibri" w:hAnsi="Calibri"/>
          <w:lang w:val="hr-HR"/>
        </w:rPr>
        <w:t xml:space="preserve"> milijardi kuna, odnosno uz međugodišnji rast od </w:t>
      </w:r>
      <w:r w:rsidR="00D05677" w:rsidRPr="0048429B">
        <w:rPr>
          <w:rFonts w:ascii="Calibri" w:hAnsi="Calibri"/>
          <w:lang w:val="hr-HR"/>
        </w:rPr>
        <w:t>2,4</w:t>
      </w:r>
      <w:r w:rsidRPr="0048429B">
        <w:rPr>
          <w:rFonts w:ascii="Calibri" w:hAnsi="Calibri"/>
          <w:lang w:val="hr-HR"/>
        </w:rPr>
        <w:t xml:space="preserve">%. </w:t>
      </w:r>
    </w:p>
    <w:p w:rsidR="00DA1CED" w:rsidRPr="0048429B" w:rsidRDefault="00DA1CED" w:rsidP="00FE5357">
      <w:pPr>
        <w:jc w:val="both"/>
        <w:rPr>
          <w:rFonts w:ascii="Calibri" w:hAnsi="Calibri"/>
          <w:b/>
          <w:i/>
          <w:lang w:val="hr-HR"/>
        </w:rPr>
      </w:pPr>
    </w:p>
    <w:p w:rsidR="00FE5357" w:rsidRPr="0048429B" w:rsidRDefault="00FE5357" w:rsidP="00FE5357">
      <w:pPr>
        <w:jc w:val="both"/>
        <w:rPr>
          <w:rFonts w:ascii="Calibri" w:hAnsi="Calibri"/>
          <w:b/>
          <w:i/>
          <w:lang w:val="hr-HR"/>
        </w:rPr>
      </w:pPr>
      <w:r w:rsidRPr="0048429B">
        <w:rPr>
          <w:rFonts w:ascii="Calibri" w:hAnsi="Calibri"/>
          <w:b/>
          <w:i/>
          <w:lang w:val="hr-HR"/>
        </w:rPr>
        <w:t xml:space="preserve">Prihodi od poreza </w:t>
      </w:r>
    </w:p>
    <w:p w:rsidR="00FE5357" w:rsidRPr="0048429B" w:rsidRDefault="00FE5357" w:rsidP="00FE5357">
      <w:pPr>
        <w:jc w:val="both"/>
        <w:rPr>
          <w:rFonts w:ascii="Calibri" w:hAnsi="Calibri"/>
          <w:lang w:val="hr-HR"/>
        </w:rPr>
      </w:pPr>
      <w:r w:rsidRPr="0048429B">
        <w:rPr>
          <w:rFonts w:ascii="Calibri" w:hAnsi="Calibri"/>
          <w:lang w:val="hr-HR"/>
        </w:rPr>
        <w:t xml:space="preserve">Porezni prihodi za razdoblje 2020. – 2022. projicirani su na temelju makroekonomskih pretpostavki i učinaka prethodno navedenih poreznih izmjena. Sukladno tome, porezni prihodi u 2020. godini projicirani su u iznosu od </w:t>
      </w:r>
      <w:r w:rsidR="00D05677" w:rsidRPr="0048429B">
        <w:rPr>
          <w:rFonts w:ascii="Calibri" w:hAnsi="Calibri"/>
          <w:lang w:val="hr-HR"/>
        </w:rPr>
        <w:t>81,4</w:t>
      </w:r>
      <w:r w:rsidRPr="0048429B">
        <w:rPr>
          <w:rFonts w:ascii="Calibri" w:hAnsi="Calibri"/>
          <w:lang w:val="hr-HR"/>
        </w:rPr>
        <w:t xml:space="preserve"> milijarde kuna. U narednim godinama očekuje se daljnji rast prihoda od poreza te su oni za 2021. godinu projicirani u iznosu od </w:t>
      </w:r>
      <w:r w:rsidR="00D05677" w:rsidRPr="0048429B">
        <w:rPr>
          <w:rFonts w:ascii="Calibri" w:hAnsi="Calibri"/>
          <w:lang w:val="hr-HR"/>
        </w:rPr>
        <w:t>84,2</w:t>
      </w:r>
      <w:r w:rsidRPr="0048429B">
        <w:rPr>
          <w:rFonts w:ascii="Calibri" w:hAnsi="Calibri"/>
          <w:lang w:val="hr-HR"/>
        </w:rPr>
        <w:t xml:space="preserve"> milijard</w:t>
      </w:r>
      <w:r w:rsidR="00D05677" w:rsidRPr="0048429B">
        <w:rPr>
          <w:rFonts w:ascii="Calibri" w:hAnsi="Calibri"/>
          <w:lang w:val="hr-HR"/>
        </w:rPr>
        <w:t>e</w:t>
      </w:r>
      <w:r w:rsidRPr="0048429B">
        <w:rPr>
          <w:rFonts w:ascii="Calibri" w:hAnsi="Calibri"/>
          <w:lang w:val="hr-HR"/>
        </w:rPr>
        <w:t xml:space="preserve"> kuna, odnosno uz međugodišnji rast od </w:t>
      </w:r>
      <w:r w:rsidR="00D05677" w:rsidRPr="0048429B">
        <w:rPr>
          <w:rFonts w:ascii="Calibri" w:hAnsi="Calibri"/>
          <w:lang w:val="hr-HR"/>
        </w:rPr>
        <w:t>3,4</w:t>
      </w:r>
      <w:r w:rsidRPr="0048429B">
        <w:rPr>
          <w:rFonts w:ascii="Calibri" w:hAnsi="Calibri"/>
          <w:lang w:val="hr-HR"/>
        </w:rPr>
        <w:t xml:space="preserve">%, dok se u 2022. godini očekuju u iznosu od </w:t>
      </w:r>
      <w:r w:rsidR="00D05677" w:rsidRPr="0048429B">
        <w:rPr>
          <w:rFonts w:ascii="Calibri" w:hAnsi="Calibri"/>
          <w:lang w:val="hr-HR"/>
        </w:rPr>
        <w:t>87</w:t>
      </w:r>
      <w:r w:rsidRPr="0048429B">
        <w:rPr>
          <w:rFonts w:ascii="Calibri" w:hAnsi="Calibri"/>
          <w:lang w:val="hr-HR"/>
        </w:rPr>
        <w:t xml:space="preserve"> milijardi kuna ili 3,4% više u odnosu na prethodnu godinu. </w:t>
      </w:r>
    </w:p>
    <w:p w:rsidR="00FE5357" w:rsidRPr="0048429B" w:rsidRDefault="00FE5357" w:rsidP="00FE5357">
      <w:pPr>
        <w:jc w:val="both"/>
        <w:rPr>
          <w:rFonts w:ascii="Calibri" w:hAnsi="Calibri"/>
          <w:lang w:val="hr-HR"/>
        </w:rPr>
      </w:pPr>
      <w:r w:rsidRPr="0048429B">
        <w:rPr>
          <w:rFonts w:ascii="Calibri" w:hAnsi="Calibri"/>
          <w:lang w:val="hr-HR"/>
        </w:rPr>
        <w:t xml:space="preserve">Prihodi od poreza na dobit u 2020. projicirani su u iznosu od 9,5 milijardi kuna temeljem </w:t>
      </w:r>
      <w:r w:rsidR="00D05677" w:rsidRPr="0048429B">
        <w:rPr>
          <w:rFonts w:ascii="Calibri" w:hAnsi="Calibri"/>
          <w:lang w:val="hr-HR"/>
        </w:rPr>
        <w:t>kretanja</w:t>
      </w:r>
      <w:r w:rsidRPr="0048429B">
        <w:rPr>
          <w:rFonts w:ascii="Calibri" w:hAnsi="Calibri"/>
          <w:lang w:val="hr-HR"/>
        </w:rPr>
        <w:t xml:space="preserve"> poslovnih rezultata poduzeća tijekom 2019. godine. U 2021. prihod od poreza na dobit očekuje se na razini od 9,9 milijardi kuna, odnosno 10,3 milijarde kuna u 2022. godini.</w:t>
      </w:r>
    </w:p>
    <w:p w:rsidR="00FE5357" w:rsidRPr="0048429B" w:rsidRDefault="00FE5357" w:rsidP="00FE5357">
      <w:pPr>
        <w:jc w:val="both"/>
        <w:rPr>
          <w:rFonts w:ascii="Calibri" w:hAnsi="Calibri"/>
          <w:lang w:val="hr-HR"/>
        </w:rPr>
      </w:pPr>
      <w:r w:rsidRPr="0048429B">
        <w:rPr>
          <w:rFonts w:ascii="Calibri" w:hAnsi="Calibri"/>
          <w:lang w:val="hr-HR"/>
        </w:rPr>
        <w:lastRenderedPageBreak/>
        <w:t xml:space="preserve">Prihodi od poreza na dodanu vrijednost u 2020. godini projicirani su u iznosu od </w:t>
      </w:r>
      <w:r w:rsidR="00D05677" w:rsidRPr="0048429B">
        <w:rPr>
          <w:rFonts w:ascii="Calibri" w:hAnsi="Calibri"/>
          <w:lang w:val="hr-HR"/>
        </w:rPr>
        <w:t>52,8</w:t>
      </w:r>
      <w:r w:rsidRPr="0048429B">
        <w:rPr>
          <w:rFonts w:ascii="Calibri" w:hAnsi="Calibri"/>
          <w:lang w:val="hr-HR"/>
        </w:rPr>
        <w:t xml:space="preserve"> milijardi kuna uzevši u obzir izmjene u sustavu poreza na dodanu vrijednost, uz očekivani rast raspoloživog dohotka stanovništva odnosno osobne potrošnje. U narednim godinama prihod od poreza na dodanu vrijednost rast će ovisno o dinamici rasta osobne potrošnje pa se tako u 2021. projicira u iznosu od </w:t>
      </w:r>
      <w:r w:rsidR="00D05677" w:rsidRPr="0048429B">
        <w:rPr>
          <w:rFonts w:ascii="Calibri" w:hAnsi="Calibri"/>
          <w:lang w:val="hr-HR"/>
        </w:rPr>
        <w:t>54,9</w:t>
      </w:r>
      <w:r w:rsidRPr="0048429B">
        <w:rPr>
          <w:rFonts w:ascii="Calibri" w:hAnsi="Calibri"/>
          <w:lang w:val="hr-HR"/>
        </w:rPr>
        <w:t xml:space="preserve"> milijardi kuna, a u 2022. godini u iznosu od </w:t>
      </w:r>
      <w:r w:rsidR="00D05677" w:rsidRPr="0048429B">
        <w:rPr>
          <w:rFonts w:ascii="Calibri" w:hAnsi="Calibri"/>
          <w:lang w:val="hr-HR"/>
        </w:rPr>
        <w:t xml:space="preserve">57,1 </w:t>
      </w:r>
      <w:r w:rsidRPr="0048429B">
        <w:rPr>
          <w:rFonts w:ascii="Calibri" w:hAnsi="Calibri"/>
          <w:lang w:val="hr-HR"/>
        </w:rPr>
        <w:t>milijard</w:t>
      </w:r>
      <w:r w:rsidR="00D05677" w:rsidRPr="0048429B">
        <w:rPr>
          <w:rFonts w:ascii="Calibri" w:hAnsi="Calibri"/>
          <w:lang w:val="hr-HR"/>
        </w:rPr>
        <w:t>u</w:t>
      </w:r>
      <w:r w:rsidRPr="0048429B">
        <w:rPr>
          <w:rFonts w:ascii="Calibri" w:hAnsi="Calibri"/>
          <w:lang w:val="hr-HR"/>
        </w:rPr>
        <w:t xml:space="preserve"> kuna.</w:t>
      </w:r>
    </w:p>
    <w:p w:rsidR="00FE5357" w:rsidRPr="0048429B" w:rsidRDefault="00FE5357" w:rsidP="00FE5357">
      <w:pPr>
        <w:jc w:val="both"/>
        <w:rPr>
          <w:rFonts w:ascii="Calibri" w:hAnsi="Calibri"/>
          <w:lang w:val="hr-HR"/>
        </w:rPr>
      </w:pPr>
      <w:r w:rsidRPr="0048429B">
        <w:rPr>
          <w:rFonts w:ascii="Calibri" w:hAnsi="Calibri"/>
          <w:lang w:val="hr-HR"/>
        </w:rPr>
        <w:t>Prihodi od posebnih poreza i trošarina u 2020. godini projicirani su u iznosu od 16,</w:t>
      </w:r>
      <w:r w:rsidR="00D05677" w:rsidRPr="0048429B">
        <w:rPr>
          <w:rFonts w:ascii="Calibri" w:hAnsi="Calibri"/>
          <w:lang w:val="hr-HR"/>
        </w:rPr>
        <w:t>8</w:t>
      </w:r>
      <w:r w:rsidRPr="0048429B">
        <w:rPr>
          <w:rFonts w:ascii="Calibri" w:hAnsi="Calibri"/>
          <w:lang w:val="hr-HR"/>
        </w:rPr>
        <w:t xml:space="preserve"> milijard</w:t>
      </w:r>
      <w:r w:rsidR="00D05677" w:rsidRPr="0048429B">
        <w:rPr>
          <w:rFonts w:ascii="Calibri" w:hAnsi="Calibri"/>
          <w:lang w:val="hr-HR"/>
        </w:rPr>
        <w:t>i</w:t>
      </w:r>
      <w:r w:rsidRPr="0048429B">
        <w:rPr>
          <w:rFonts w:ascii="Calibri" w:hAnsi="Calibri"/>
          <w:lang w:val="hr-HR"/>
        </w:rPr>
        <w:t xml:space="preserve"> kuna, što je rezultat očekivanog povećanja potrošnje trošarinskih proizvoda, uzimajući u obzir i promjene u okviru porezne reforme. U 2021. godini od prihoda od</w:t>
      </w:r>
      <w:r w:rsidR="00D05677" w:rsidRPr="0048429B">
        <w:rPr>
          <w:lang w:val="hr-HR"/>
        </w:rPr>
        <w:t xml:space="preserve"> </w:t>
      </w:r>
      <w:r w:rsidR="00D05677" w:rsidRPr="0048429B">
        <w:rPr>
          <w:rFonts w:ascii="Calibri" w:hAnsi="Calibri"/>
          <w:lang w:val="hr-HR"/>
        </w:rPr>
        <w:t>posebnih poreza</w:t>
      </w:r>
      <w:r w:rsidRPr="0048429B">
        <w:rPr>
          <w:rFonts w:ascii="Calibri" w:hAnsi="Calibri"/>
          <w:lang w:val="hr-HR"/>
        </w:rPr>
        <w:t xml:space="preserve"> </w:t>
      </w:r>
      <w:r w:rsidR="00D05677" w:rsidRPr="0048429B">
        <w:rPr>
          <w:rFonts w:ascii="Calibri" w:hAnsi="Calibri"/>
          <w:lang w:val="hr-HR"/>
        </w:rPr>
        <w:t xml:space="preserve">i </w:t>
      </w:r>
      <w:r w:rsidRPr="0048429B">
        <w:rPr>
          <w:rFonts w:ascii="Calibri" w:hAnsi="Calibri"/>
          <w:lang w:val="hr-HR"/>
        </w:rPr>
        <w:t xml:space="preserve">trošarina planira se prikupiti </w:t>
      </w:r>
      <w:r w:rsidR="00D05677" w:rsidRPr="0048429B">
        <w:rPr>
          <w:rFonts w:ascii="Calibri" w:hAnsi="Calibri"/>
          <w:lang w:val="hr-HR"/>
        </w:rPr>
        <w:t>17</w:t>
      </w:r>
      <w:r w:rsidRPr="0048429B">
        <w:rPr>
          <w:rFonts w:ascii="Calibri" w:hAnsi="Calibri"/>
          <w:lang w:val="hr-HR"/>
        </w:rPr>
        <w:t xml:space="preserve"> milijard</w:t>
      </w:r>
      <w:r w:rsidR="00D05677" w:rsidRPr="0048429B">
        <w:rPr>
          <w:rFonts w:ascii="Calibri" w:hAnsi="Calibri"/>
          <w:lang w:val="hr-HR"/>
        </w:rPr>
        <w:t>i</w:t>
      </w:r>
      <w:r w:rsidRPr="0048429B">
        <w:rPr>
          <w:rFonts w:ascii="Calibri" w:hAnsi="Calibri"/>
          <w:lang w:val="hr-HR"/>
        </w:rPr>
        <w:t xml:space="preserve"> kuna, a u 2022. </w:t>
      </w:r>
      <w:r w:rsidR="00D05677" w:rsidRPr="0048429B">
        <w:rPr>
          <w:rFonts w:ascii="Calibri" w:hAnsi="Calibri"/>
          <w:lang w:val="hr-HR"/>
        </w:rPr>
        <w:t>17,2</w:t>
      </w:r>
      <w:r w:rsidRPr="0048429B">
        <w:rPr>
          <w:rFonts w:ascii="Calibri" w:hAnsi="Calibri"/>
          <w:lang w:val="hr-HR"/>
        </w:rPr>
        <w:t xml:space="preserve"> milijarde kuna.</w:t>
      </w:r>
    </w:p>
    <w:p w:rsidR="00FE5357" w:rsidRPr="0048429B" w:rsidRDefault="00FE5357" w:rsidP="00FE5357">
      <w:pPr>
        <w:jc w:val="both"/>
        <w:rPr>
          <w:rFonts w:ascii="Calibri" w:hAnsi="Calibri"/>
          <w:b/>
          <w:i/>
          <w:lang w:val="hr-HR"/>
        </w:rPr>
      </w:pPr>
    </w:p>
    <w:p w:rsidR="00FE5357" w:rsidRPr="0048429B" w:rsidRDefault="00FE5357" w:rsidP="00FE5357">
      <w:pPr>
        <w:jc w:val="both"/>
        <w:rPr>
          <w:rFonts w:ascii="Calibri" w:hAnsi="Calibri"/>
          <w:b/>
          <w:i/>
          <w:lang w:val="hr-HR"/>
        </w:rPr>
      </w:pPr>
      <w:r w:rsidRPr="0048429B">
        <w:rPr>
          <w:rFonts w:ascii="Calibri" w:hAnsi="Calibri"/>
          <w:b/>
          <w:i/>
          <w:lang w:val="hr-HR"/>
        </w:rPr>
        <w:t xml:space="preserve">Prihodi od doprinosa </w:t>
      </w:r>
    </w:p>
    <w:p w:rsidR="00FE5357" w:rsidRPr="0048429B" w:rsidRDefault="00FE5357" w:rsidP="00FE5357">
      <w:pPr>
        <w:jc w:val="both"/>
        <w:rPr>
          <w:rFonts w:ascii="Calibri" w:hAnsi="Calibri"/>
          <w:lang w:val="hr-HR"/>
        </w:rPr>
      </w:pPr>
      <w:r w:rsidRPr="0048429B">
        <w:rPr>
          <w:rFonts w:ascii="Calibri" w:hAnsi="Calibri"/>
          <w:lang w:val="hr-HR"/>
        </w:rPr>
        <w:t xml:space="preserve">Prihodi od doprinosa drugi su po važnosti proračunski prihodi, a za nadolazeće srednjoročno razdoblje projicirani su u skladu s očekivanim kretanjima na tržištu rada. Kao prihod državnog proračuna, doprinosi se u cijelosti odnose na doprinose za mirovinsko osiguranje. Tako se ovi prihodi u 2020. projiciraju u </w:t>
      </w:r>
      <w:r w:rsidR="00E8493C" w:rsidRPr="0048429B">
        <w:rPr>
          <w:rFonts w:ascii="Calibri" w:hAnsi="Calibri"/>
          <w:lang w:val="hr-HR"/>
        </w:rPr>
        <w:t>iznosu</w:t>
      </w:r>
      <w:r w:rsidRPr="0048429B">
        <w:rPr>
          <w:rFonts w:ascii="Calibri" w:hAnsi="Calibri"/>
          <w:lang w:val="hr-HR"/>
        </w:rPr>
        <w:t xml:space="preserve"> od 25,2 milijarde kuna, dok </w:t>
      </w:r>
      <w:r w:rsidR="00127B13" w:rsidRPr="0048429B">
        <w:rPr>
          <w:rFonts w:ascii="Calibri" w:hAnsi="Calibri"/>
          <w:lang w:val="hr-HR"/>
        </w:rPr>
        <w:t>s</w:t>
      </w:r>
      <w:r w:rsidRPr="0048429B">
        <w:rPr>
          <w:rFonts w:ascii="Calibri" w:hAnsi="Calibri"/>
          <w:lang w:val="hr-HR"/>
        </w:rPr>
        <w:t xml:space="preserve">e u 2021. </w:t>
      </w:r>
      <w:r w:rsidR="00127B13" w:rsidRPr="0048429B">
        <w:rPr>
          <w:rFonts w:ascii="Calibri" w:hAnsi="Calibri"/>
          <w:lang w:val="hr-HR"/>
        </w:rPr>
        <w:t xml:space="preserve">projiciraju u iznosu od </w:t>
      </w:r>
      <w:r w:rsidRPr="0048429B">
        <w:rPr>
          <w:rFonts w:ascii="Calibri" w:hAnsi="Calibri"/>
          <w:lang w:val="hr-HR"/>
        </w:rPr>
        <w:t xml:space="preserve">26,5 milijardi kuna, a u 2022. godini </w:t>
      </w:r>
      <w:r w:rsidR="00E8493C" w:rsidRPr="0048429B">
        <w:rPr>
          <w:rFonts w:ascii="Calibri" w:hAnsi="Calibri"/>
          <w:lang w:val="hr-HR"/>
        </w:rPr>
        <w:t xml:space="preserve">u iznosu </w:t>
      </w:r>
      <w:r w:rsidR="00127B13" w:rsidRPr="0048429B">
        <w:rPr>
          <w:rFonts w:ascii="Calibri" w:hAnsi="Calibri"/>
          <w:lang w:val="hr-HR"/>
        </w:rPr>
        <w:t xml:space="preserve">od </w:t>
      </w:r>
      <w:r w:rsidRPr="0048429B">
        <w:rPr>
          <w:rFonts w:ascii="Calibri" w:hAnsi="Calibri"/>
          <w:lang w:val="hr-HR"/>
        </w:rPr>
        <w:t xml:space="preserve">27,7 milijardi kuna. </w:t>
      </w:r>
    </w:p>
    <w:p w:rsidR="00FE5357" w:rsidRPr="0048429B" w:rsidRDefault="00FE5357" w:rsidP="00FE5357">
      <w:pPr>
        <w:jc w:val="both"/>
        <w:rPr>
          <w:rFonts w:ascii="Calibri" w:hAnsi="Calibri"/>
          <w:lang w:val="hr-HR"/>
        </w:rPr>
      </w:pPr>
    </w:p>
    <w:p w:rsidR="00FE5357" w:rsidRPr="0048429B" w:rsidRDefault="00FE5357" w:rsidP="00FE5357">
      <w:pPr>
        <w:jc w:val="both"/>
        <w:rPr>
          <w:rFonts w:ascii="Calibri" w:hAnsi="Calibri"/>
          <w:b/>
          <w:i/>
          <w:lang w:val="hr-HR"/>
        </w:rPr>
      </w:pPr>
      <w:r w:rsidRPr="0048429B">
        <w:rPr>
          <w:rFonts w:ascii="Calibri" w:hAnsi="Calibri"/>
          <w:b/>
          <w:i/>
          <w:lang w:val="hr-HR"/>
        </w:rPr>
        <w:t xml:space="preserve">Prihodi od pomoći </w:t>
      </w:r>
    </w:p>
    <w:p w:rsidR="00FE5357" w:rsidRPr="0048429B" w:rsidRDefault="00FE5357" w:rsidP="00FE5357">
      <w:pPr>
        <w:jc w:val="both"/>
        <w:rPr>
          <w:rFonts w:ascii="Calibri" w:hAnsi="Calibri"/>
          <w:lang w:val="hr-HR"/>
        </w:rPr>
      </w:pPr>
      <w:r w:rsidRPr="0048429B">
        <w:rPr>
          <w:rFonts w:ascii="Calibri" w:hAnsi="Calibri"/>
          <w:lang w:val="hr-HR"/>
        </w:rPr>
        <w:t>U strukturi ukupnih prihoda u promatranom srednjoročnom razdoblju značajan udio imat će i prihodi od pomoći, koji se najvećim dijelom odnose na sredstva iz EU fondova za koje se planira pojačano povlačenje u razdoblju 2020. - 2022. Sukladno navedenom, ukupno planirani prihodi od pomoći u 2020. iznose 1</w:t>
      </w:r>
      <w:r w:rsidR="00501DDB" w:rsidRPr="0048429B">
        <w:rPr>
          <w:rFonts w:ascii="Calibri" w:hAnsi="Calibri"/>
          <w:lang w:val="hr-HR"/>
        </w:rPr>
        <w:t>8</w:t>
      </w:r>
      <w:r w:rsidRPr="0048429B">
        <w:rPr>
          <w:rFonts w:ascii="Calibri" w:hAnsi="Calibri"/>
          <w:lang w:val="hr-HR"/>
        </w:rPr>
        <w:t>,</w:t>
      </w:r>
      <w:r w:rsidR="00E8493C" w:rsidRPr="0048429B">
        <w:rPr>
          <w:rFonts w:ascii="Calibri" w:hAnsi="Calibri"/>
          <w:lang w:val="hr-HR"/>
        </w:rPr>
        <w:t>3</w:t>
      </w:r>
      <w:r w:rsidRPr="0048429B">
        <w:rPr>
          <w:rFonts w:ascii="Calibri" w:hAnsi="Calibri"/>
          <w:lang w:val="hr-HR"/>
        </w:rPr>
        <w:t xml:space="preserve"> milijarde kuna, u 2021. </w:t>
      </w:r>
      <w:r w:rsidR="00501DDB" w:rsidRPr="0048429B">
        <w:rPr>
          <w:rFonts w:ascii="Calibri" w:hAnsi="Calibri"/>
          <w:lang w:val="hr-HR"/>
        </w:rPr>
        <w:t>18</w:t>
      </w:r>
      <w:r w:rsidRPr="0048429B">
        <w:rPr>
          <w:rFonts w:ascii="Calibri" w:hAnsi="Calibri"/>
          <w:lang w:val="hr-HR"/>
        </w:rPr>
        <w:t xml:space="preserve"> milijardi kuna, a u 2022. godini </w:t>
      </w:r>
      <w:r w:rsidR="00501DDB" w:rsidRPr="0048429B">
        <w:rPr>
          <w:rFonts w:ascii="Calibri" w:hAnsi="Calibri"/>
          <w:lang w:val="hr-HR"/>
        </w:rPr>
        <w:t>17,1</w:t>
      </w:r>
      <w:r w:rsidRPr="0048429B">
        <w:rPr>
          <w:rFonts w:ascii="Calibri" w:hAnsi="Calibri"/>
          <w:lang w:val="hr-HR"/>
        </w:rPr>
        <w:t xml:space="preserve"> milijard</w:t>
      </w:r>
      <w:r w:rsidR="00501DDB" w:rsidRPr="0048429B">
        <w:rPr>
          <w:rFonts w:ascii="Calibri" w:hAnsi="Calibri"/>
          <w:lang w:val="hr-HR"/>
        </w:rPr>
        <w:t>u</w:t>
      </w:r>
      <w:r w:rsidRPr="0048429B">
        <w:rPr>
          <w:rFonts w:ascii="Calibri" w:hAnsi="Calibri"/>
          <w:lang w:val="hr-HR"/>
        </w:rPr>
        <w:t xml:space="preserve"> kuna.</w:t>
      </w:r>
    </w:p>
    <w:p w:rsidR="00FE5357" w:rsidRPr="0048429B" w:rsidRDefault="00FE5357" w:rsidP="00FE5357">
      <w:pPr>
        <w:jc w:val="both"/>
        <w:rPr>
          <w:rFonts w:ascii="Calibri" w:hAnsi="Calibri"/>
          <w:lang w:val="hr-HR"/>
        </w:rPr>
      </w:pPr>
    </w:p>
    <w:p w:rsidR="00FE5357" w:rsidRPr="0048429B" w:rsidRDefault="00FE5357" w:rsidP="00FE5357">
      <w:pPr>
        <w:jc w:val="both"/>
        <w:rPr>
          <w:rFonts w:ascii="Calibri" w:hAnsi="Calibri"/>
          <w:b/>
          <w:i/>
          <w:lang w:val="hr-HR"/>
        </w:rPr>
      </w:pPr>
      <w:r w:rsidRPr="0048429B">
        <w:rPr>
          <w:rFonts w:ascii="Calibri" w:hAnsi="Calibri"/>
          <w:b/>
          <w:i/>
          <w:lang w:val="hr-HR"/>
        </w:rPr>
        <w:t>Ostali prihodi</w:t>
      </w:r>
    </w:p>
    <w:p w:rsidR="00FE5357" w:rsidRPr="0048429B" w:rsidRDefault="00FE5357" w:rsidP="00FE5357">
      <w:pPr>
        <w:jc w:val="both"/>
        <w:rPr>
          <w:rFonts w:ascii="Calibri" w:hAnsi="Calibri"/>
          <w:lang w:val="hr-HR"/>
        </w:rPr>
      </w:pPr>
      <w:r w:rsidRPr="0048429B">
        <w:rPr>
          <w:rFonts w:ascii="Calibri" w:hAnsi="Calibri"/>
          <w:lang w:val="hr-HR"/>
        </w:rPr>
        <w:t xml:space="preserve">Od ostalih proračunskih prihoda, koji u pravilu nisu u direktnoj vezi s kretanjima gospodarske aktivnosti, valja izdvojiti prihode od imovine, koji će u najvećoj mjeri ovisiti o ostvarenim prihodima po osnovi uplate dividende i dobiti trgovačkih društava, kreditnih i ostalih financijskih institucija u vlasništvu države, kao i prihodima od koncesija. </w:t>
      </w:r>
    </w:p>
    <w:p w:rsidR="00FE5357" w:rsidRPr="0048429B" w:rsidRDefault="00FE5357" w:rsidP="00FE5357">
      <w:pPr>
        <w:jc w:val="both"/>
        <w:rPr>
          <w:rFonts w:ascii="Calibri" w:hAnsi="Calibri"/>
          <w:lang w:val="hr-HR"/>
        </w:rPr>
      </w:pPr>
      <w:r w:rsidRPr="0048429B">
        <w:rPr>
          <w:rFonts w:ascii="Calibri" w:hAnsi="Calibri"/>
          <w:lang w:val="hr-HR"/>
        </w:rPr>
        <w:t xml:space="preserve">Očekuje se da će prihodi po posebnim propisima, prihodi od administrativnih pristojbi, prihodi od vlastite djelatnosti proračunskih korisnika te prihodi od kazni i upravnih mjera slijediti trendove dosadašnjih kretanja i u narednom razdoblju. Također, u skladu s </w:t>
      </w:r>
      <w:r w:rsidR="00501DDB" w:rsidRPr="0048429B">
        <w:rPr>
          <w:rFonts w:ascii="Calibri" w:hAnsi="Calibri"/>
          <w:lang w:val="hr-HR"/>
        </w:rPr>
        <w:t>kretanjem</w:t>
      </w:r>
      <w:r w:rsidRPr="0048429B">
        <w:rPr>
          <w:rFonts w:ascii="Calibri" w:hAnsi="Calibri"/>
          <w:lang w:val="hr-HR"/>
        </w:rPr>
        <w:t xml:space="preserve"> doprinosa za zdravstveno osiguranje, očekuje se povećanje prihoda iz nadležnog proračuna i od Hrvatskog zavoda za zdravstveno osiguranje (u daljnjem tekstu: HZZO) temeljem ugovornih obveza, a koji se odnose na ustanove u zdravstvu u državnom vlasništvu. </w:t>
      </w:r>
    </w:p>
    <w:p w:rsidR="00FE5357" w:rsidRPr="0048429B" w:rsidRDefault="00FE5357" w:rsidP="00FE5357">
      <w:pPr>
        <w:jc w:val="both"/>
        <w:rPr>
          <w:rFonts w:ascii="Calibri" w:hAnsi="Calibri"/>
          <w:lang w:val="hr-HR"/>
        </w:rPr>
      </w:pPr>
      <w:r w:rsidRPr="0048429B">
        <w:rPr>
          <w:rFonts w:ascii="Calibri" w:hAnsi="Calibri"/>
          <w:lang w:val="hr-HR"/>
        </w:rPr>
        <w:t xml:space="preserve">Prihodi od prodaje nefinancijske imovine u 2020. godini planiraju se u iznosu od </w:t>
      </w:r>
      <w:r w:rsidR="00501DDB" w:rsidRPr="0048429B">
        <w:rPr>
          <w:rFonts w:ascii="Calibri" w:hAnsi="Calibri"/>
          <w:lang w:val="hr-HR"/>
        </w:rPr>
        <w:t>895,8</w:t>
      </w:r>
      <w:r w:rsidRPr="0048429B">
        <w:rPr>
          <w:rFonts w:ascii="Calibri" w:hAnsi="Calibri"/>
          <w:lang w:val="hr-HR"/>
        </w:rPr>
        <w:t xml:space="preserve"> milijuna kuna, a najveći dio ovih prihoda ostvarit će se prodajom stanova i ostalih građevinskih objekata u vlasništvu </w:t>
      </w:r>
      <w:r w:rsidRPr="0048429B">
        <w:rPr>
          <w:rFonts w:ascii="Calibri" w:hAnsi="Calibri"/>
          <w:lang w:val="hr-HR"/>
        </w:rPr>
        <w:lastRenderedPageBreak/>
        <w:t xml:space="preserve">države. U 2021. godini ukupni prihodi od prodaje nefinancijske imovine projiciraju se u iznosu od </w:t>
      </w:r>
      <w:r w:rsidR="00501DDB" w:rsidRPr="0048429B">
        <w:rPr>
          <w:rFonts w:ascii="Calibri" w:hAnsi="Calibri"/>
          <w:lang w:val="hr-HR"/>
        </w:rPr>
        <w:t>784,5</w:t>
      </w:r>
      <w:r w:rsidRPr="0048429B">
        <w:rPr>
          <w:rFonts w:ascii="Calibri" w:hAnsi="Calibri"/>
          <w:lang w:val="hr-HR"/>
        </w:rPr>
        <w:t xml:space="preserve"> milijuna kuna, </w:t>
      </w:r>
      <w:r w:rsidR="00127B13" w:rsidRPr="0048429B">
        <w:rPr>
          <w:rFonts w:ascii="Calibri" w:hAnsi="Calibri"/>
          <w:lang w:val="hr-HR"/>
        </w:rPr>
        <w:t>a</w:t>
      </w:r>
      <w:r w:rsidRPr="0048429B">
        <w:rPr>
          <w:rFonts w:ascii="Calibri" w:hAnsi="Calibri"/>
          <w:lang w:val="hr-HR"/>
        </w:rPr>
        <w:t xml:space="preserve"> za 2022. godinu u iznosu od </w:t>
      </w:r>
      <w:r w:rsidR="00501DDB" w:rsidRPr="0048429B">
        <w:rPr>
          <w:rFonts w:ascii="Calibri" w:hAnsi="Calibri"/>
          <w:lang w:val="hr-HR"/>
        </w:rPr>
        <w:t>802,7</w:t>
      </w:r>
      <w:r w:rsidRPr="0048429B">
        <w:rPr>
          <w:rFonts w:ascii="Calibri" w:hAnsi="Calibri"/>
          <w:lang w:val="hr-HR"/>
        </w:rPr>
        <w:t xml:space="preserve"> milijuna kuna.</w:t>
      </w:r>
    </w:p>
    <w:p w:rsidR="00E52BDF" w:rsidRDefault="00E52BDF" w:rsidP="00E52BDF">
      <w:pPr>
        <w:pStyle w:val="Caption"/>
        <w:ind w:left="0"/>
        <w:jc w:val="left"/>
        <w:rPr>
          <w:rFonts w:ascii="Calibri" w:hAnsi="Calibri"/>
          <w:b w:val="0"/>
          <w:i/>
          <w:sz w:val="24"/>
          <w:szCs w:val="24"/>
          <w:lang w:val="hr-HR"/>
        </w:rPr>
      </w:pPr>
      <w:bookmarkStart w:id="12" w:name="_Toc15461768"/>
      <w:r w:rsidRPr="0048429B">
        <w:rPr>
          <w:rFonts w:ascii="Calibri" w:hAnsi="Calibri"/>
          <w:b w:val="0"/>
          <w:i/>
          <w:sz w:val="24"/>
          <w:szCs w:val="24"/>
          <w:lang w:val="hr-HR"/>
        </w:rPr>
        <w:t xml:space="preserve">Tablica </w:t>
      </w:r>
      <w:r w:rsidRPr="0048429B">
        <w:rPr>
          <w:rFonts w:ascii="Calibri" w:hAnsi="Calibri"/>
          <w:b w:val="0"/>
          <w:i/>
          <w:sz w:val="24"/>
          <w:szCs w:val="24"/>
          <w:lang w:val="hr-HR"/>
        </w:rPr>
        <w:fldChar w:fldCharType="begin"/>
      </w:r>
      <w:r w:rsidRPr="0048429B">
        <w:rPr>
          <w:rFonts w:ascii="Calibri" w:hAnsi="Calibri"/>
          <w:b w:val="0"/>
          <w:i/>
          <w:sz w:val="24"/>
          <w:szCs w:val="24"/>
          <w:lang w:val="hr-HR"/>
        </w:rPr>
        <w:instrText xml:space="preserve"> SEQ Tablica \* ARABIC </w:instrText>
      </w:r>
      <w:r w:rsidRPr="0048429B">
        <w:rPr>
          <w:rFonts w:ascii="Calibri" w:hAnsi="Calibri"/>
          <w:b w:val="0"/>
          <w:i/>
          <w:sz w:val="24"/>
          <w:szCs w:val="24"/>
          <w:lang w:val="hr-HR"/>
        </w:rPr>
        <w:fldChar w:fldCharType="separate"/>
      </w:r>
      <w:r w:rsidR="00A9084D">
        <w:rPr>
          <w:rFonts w:ascii="Calibri" w:hAnsi="Calibri"/>
          <w:b w:val="0"/>
          <w:i/>
          <w:noProof/>
          <w:sz w:val="24"/>
          <w:szCs w:val="24"/>
          <w:lang w:val="hr-HR"/>
        </w:rPr>
        <w:t>2</w:t>
      </w:r>
      <w:r w:rsidRPr="0048429B">
        <w:rPr>
          <w:rFonts w:ascii="Calibri" w:hAnsi="Calibri"/>
          <w:b w:val="0"/>
          <w:i/>
          <w:sz w:val="24"/>
          <w:szCs w:val="24"/>
          <w:lang w:val="hr-HR"/>
        </w:rPr>
        <w:fldChar w:fldCharType="end"/>
      </w:r>
      <w:r w:rsidRPr="0048429B">
        <w:rPr>
          <w:rFonts w:ascii="Calibri" w:hAnsi="Calibri"/>
          <w:b w:val="0"/>
          <w:i/>
          <w:sz w:val="24"/>
          <w:szCs w:val="24"/>
          <w:lang w:val="hr-HR"/>
        </w:rPr>
        <w:t>: Kretanje prihoda državnog proračuna u razdoblju 201</w:t>
      </w:r>
      <w:r w:rsidR="00F35025" w:rsidRPr="0048429B">
        <w:rPr>
          <w:rFonts w:ascii="Calibri" w:hAnsi="Calibri"/>
          <w:b w:val="0"/>
          <w:i/>
          <w:sz w:val="24"/>
          <w:szCs w:val="24"/>
          <w:lang w:val="hr-HR"/>
        </w:rPr>
        <w:t>8</w:t>
      </w:r>
      <w:r w:rsidR="00590D18" w:rsidRPr="0048429B">
        <w:rPr>
          <w:rFonts w:ascii="Calibri" w:hAnsi="Calibri"/>
          <w:b w:val="0"/>
          <w:i/>
          <w:sz w:val="24"/>
          <w:szCs w:val="24"/>
          <w:lang w:val="hr-HR"/>
        </w:rPr>
        <w:t>. – 202</w:t>
      </w:r>
      <w:r w:rsidR="00F35025" w:rsidRPr="0048429B">
        <w:rPr>
          <w:rFonts w:ascii="Calibri" w:hAnsi="Calibri"/>
          <w:b w:val="0"/>
          <w:i/>
          <w:sz w:val="24"/>
          <w:szCs w:val="24"/>
          <w:lang w:val="hr-HR"/>
        </w:rPr>
        <w:t>2</w:t>
      </w:r>
      <w:r w:rsidRPr="0048429B">
        <w:rPr>
          <w:rFonts w:ascii="Calibri" w:hAnsi="Calibri"/>
          <w:b w:val="0"/>
          <w:i/>
          <w:sz w:val="24"/>
          <w:szCs w:val="24"/>
          <w:lang w:val="hr-HR"/>
        </w:rPr>
        <w:t>.</w:t>
      </w:r>
      <w:bookmarkEnd w:id="11"/>
      <w:bookmarkEnd w:id="12"/>
    </w:p>
    <w:p w:rsidR="00EE08DC" w:rsidRPr="00EE08DC" w:rsidRDefault="00EE08DC" w:rsidP="00EE08DC">
      <w:pPr>
        <w:spacing w:after="0"/>
        <w:rPr>
          <w:lang w:val="hr-HR"/>
        </w:rPr>
      </w:pPr>
      <w:r w:rsidRPr="00EE08DC">
        <w:rPr>
          <w:noProof/>
          <w:lang w:val="hr-HR" w:eastAsia="hr-HR"/>
        </w:rPr>
        <w:drawing>
          <wp:inline distT="0" distB="0" distL="0" distR="0" wp14:anchorId="7C22C248" wp14:editId="5C843B37">
            <wp:extent cx="5760720" cy="279113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791137"/>
                    </a:xfrm>
                    <a:prstGeom prst="rect">
                      <a:avLst/>
                    </a:prstGeom>
                    <a:noFill/>
                    <a:ln>
                      <a:noFill/>
                    </a:ln>
                  </pic:spPr>
                </pic:pic>
              </a:graphicData>
            </a:graphic>
          </wp:inline>
        </w:drawing>
      </w:r>
    </w:p>
    <w:p w:rsidR="00E52BDF" w:rsidRPr="0048429B" w:rsidRDefault="00E52BDF" w:rsidP="00E52BDF">
      <w:pPr>
        <w:spacing w:after="120"/>
        <w:rPr>
          <w:rFonts w:ascii="Calibri" w:hAnsi="Calibri"/>
          <w:i/>
          <w:sz w:val="20"/>
          <w:szCs w:val="20"/>
          <w:lang w:val="hr-HR"/>
        </w:rPr>
      </w:pPr>
      <w:r w:rsidRPr="0048429B">
        <w:rPr>
          <w:rFonts w:ascii="Calibri" w:hAnsi="Calibri"/>
          <w:i/>
          <w:sz w:val="20"/>
          <w:szCs w:val="20"/>
          <w:lang w:val="hr-HR"/>
        </w:rPr>
        <w:t>Izvor: Ministarstvo financija</w:t>
      </w:r>
    </w:p>
    <w:p w:rsidR="00E52BDF" w:rsidRPr="0048429B" w:rsidRDefault="00E52BDF" w:rsidP="00E52BDF">
      <w:pPr>
        <w:spacing w:after="120"/>
        <w:rPr>
          <w:rStyle w:val="Emphasis"/>
          <w:rFonts w:ascii="Calibri" w:hAnsi="Calibri"/>
          <w:b/>
          <w:lang w:val="hr-HR"/>
        </w:rPr>
      </w:pPr>
    </w:p>
    <w:p w:rsidR="00DA1CED" w:rsidRPr="0048429B" w:rsidRDefault="00DA1CED" w:rsidP="00E52BDF">
      <w:pPr>
        <w:spacing w:after="120"/>
        <w:rPr>
          <w:rStyle w:val="Emphasis"/>
          <w:rFonts w:ascii="Calibri" w:hAnsi="Calibri"/>
          <w:b/>
          <w:lang w:val="hr-HR"/>
        </w:rPr>
      </w:pPr>
    </w:p>
    <w:p w:rsidR="00E52BDF" w:rsidRPr="0048429B" w:rsidRDefault="00E52BDF" w:rsidP="00CB1B9D">
      <w:pPr>
        <w:pStyle w:val="Heading2"/>
        <w:numPr>
          <w:ilvl w:val="1"/>
          <w:numId w:val="1"/>
        </w:numPr>
        <w:rPr>
          <w:lang w:val="hr-HR"/>
        </w:rPr>
      </w:pPr>
      <w:bookmarkStart w:id="13" w:name="_Toc487786373"/>
      <w:bookmarkStart w:id="14" w:name="_Toc15461763"/>
      <w:r w:rsidRPr="0048429B">
        <w:rPr>
          <w:lang w:val="hr-HR"/>
        </w:rPr>
        <w:t xml:space="preserve">Kretanje rashoda </w:t>
      </w:r>
      <w:r w:rsidR="00CB1B9D" w:rsidRPr="0048429B">
        <w:rPr>
          <w:lang w:val="hr-HR"/>
        </w:rPr>
        <w:t xml:space="preserve">državnog proračuna </w:t>
      </w:r>
      <w:r w:rsidR="00590D18" w:rsidRPr="0048429B">
        <w:rPr>
          <w:lang w:val="hr-HR"/>
        </w:rPr>
        <w:t>u razdoblju 20</w:t>
      </w:r>
      <w:r w:rsidR="00F35025" w:rsidRPr="0048429B">
        <w:rPr>
          <w:lang w:val="hr-HR"/>
        </w:rPr>
        <w:t>20</w:t>
      </w:r>
      <w:r w:rsidR="00590D18" w:rsidRPr="0048429B">
        <w:rPr>
          <w:lang w:val="hr-HR"/>
        </w:rPr>
        <w:t>. – 202</w:t>
      </w:r>
      <w:r w:rsidR="00F35025" w:rsidRPr="0048429B">
        <w:rPr>
          <w:lang w:val="hr-HR"/>
        </w:rPr>
        <w:t>2</w:t>
      </w:r>
      <w:r w:rsidRPr="0048429B">
        <w:rPr>
          <w:lang w:val="hr-HR"/>
        </w:rPr>
        <w:t>.</w:t>
      </w:r>
      <w:bookmarkEnd w:id="13"/>
      <w:bookmarkEnd w:id="14"/>
      <w:r w:rsidRPr="0048429B">
        <w:rPr>
          <w:lang w:val="hr-HR"/>
        </w:rPr>
        <w:t xml:space="preserve">       </w:t>
      </w:r>
    </w:p>
    <w:p w:rsidR="00E52BDF" w:rsidRPr="0048429B" w:rsidRDefault="00E52BDF" w:rsidP="00E52BDF">
      <w:pPr>
        <w:rPr>
          <w:sz w:val="16"/>
          <w:szCs w:val="16"/>
          <w:lang w:val="hr-HR"/>
        </w:rPr>
      </w:pPr>
    </w:p>
    <w:p w:rsidR="00395C6D" w:rsidRPr="0048429B" w:rsidRDefault="00395C6D" w:rsidP="00395C6D">
      <w:pPr>
        <w:jc w:val="both"/>
        <w:rPr>
          <w:rFonts w:ascii="Calibri" w:hAnsi="Calibri"/>
          <w:lang w:val="hr-HR"/>
        </w:rPr>
      </w:pPr>
      <w:bookmarkStart w:id="15" w:name="_Toc487786113"/>
      <w:r w:rsidRPr="0048429B">
        <w:rPr>
          <w:rFonts w:ascii="Calibri" w:hAnsi="Calibri"/>
          <w:lang w:val="hr-HR"/>
        </w:rPr>
        <w:t xml:space="preserve">U 2020. godini ukupni rashodi državnog proračuna projicirani su u iznosu od 144,3 milijarde kuna. Rashodi koji se financiraju iz općih prihoda i primitaka, doprinosa i namjenskih primitaka planiraju se na razini od 113,6 milijardi kuna i povećavaju </w:t>
      </w:r>
      <w:r w:rsidR="0048429B" w:rsidRPr="0048429B">
        <w:rPr>
          <w:rFonts w:ascii="Calibri" w:hAnsi="Calibri"/>
          <w:lang w:val="hr-HR"/>
        </w:rPr>
        <w:t xml:space="preserve">se </w:t>
      </w:r>
      <w:r w:rsidRPr="0048429B">
        <w:rPr>
          <w:rFonts w:ascii="Calibri" w:hAnsi="Calibri"/>
          <w:lang w:val="hr-HR"/>
        </w:rPr>
        <w:t>za 2,0 milijarde kuna u odnosu na tekući plan 2019. godine. Istovremeno, rashodi koji se financiraju iz ostalih izvora financiranja, a koji ne utječu na razinu manjka državnog proračuna, planiraju se na razini od 30,7 milijardi kuna i povećavaju se za 1,9 milijardi kuna u odnosu na tekući plan 2019. godine. Navedeni rast rezultat je povećanja sredstava koja se izdvajaju za aktivnosti i projekte financirane iz EU sredstava u iznosu od 2,1 milijardu kuna i istovremenog smanjenja ostalih izvora koji ne utječu na razinu manjka državnog proračuna.</w:t>
      </w:r>
    </w:p>
    <w:p w:rsidR="00395C6D" w:rsidRDefault="00395C6D" w:rsidP="00395C6D">
      <w:pPr>
        <w:jc w:val="both"/>
        <w:rPr>
          <w:rFonts w:ascii="Calibri" w:hAnsi="Calibri"/>
          <w:lang w:val="hr-HR"/>
        </w:rPr>
      </w:pPr>
      <w:r w:rsidRPr="0048429B">
        <w:rPr>
          <w:rFonts w:ascii="Calibri" w:hAnsi="Calibri"/>
          <w:lang w:val="hr-HR"/>
        </w:rPr>
        <w:t>U 2021. godini ukupni rashodi planiraju se na razini od 146,1 milijardu kuna i povećani su za 1,8 milijardi kuna u odnosu na 2020. godinu. Od navedenog povećanja, rashodi financirani iz općih prihoda i primitaka, doprinosa i namjenskih primitaka rastu za 2,2 milijarde kuna, a rashodi financirani iz EU sredstava i ostalih izvora smanjuju se za 369,0 milijuna kuna. Rashodi financirani iz EU sredstava i ostalih izvora smanjuju se i u 2022. godini i to za 569,1 milijun kuna. Smanjenje proizlazi iz dinamike provedbe projekata koji se financiraju iz EU fondova iz programskog razdoblja 2014.</w:t>
      </w:r>
      <w:r w:rsidR="0019157D">
        <w:rPr>
          <w:rFonts w:ascii="Calibri" w:hAnsi="Calibri"/>
          <w:lang w:val="hr-HR"/>
        </w:rPr>
        <w:t xml:space="preserve"> </w:t>
      </w:r>
      <w:r w:rsidRPr="0048429B">
        <w:rPr>
          <w:rFonts w:ascii="Calibri" w:hAnsi="Calibri"/>
          <w:lang w:val="hr-HR"/>
        </w:rPr>
        <w:t>-</w:t>
      </w:r>
      <w:r w:rsidR="0019157D">
        <w:rPr>
          <w:rFonts w:ascii="Calibri" w:hAnsi="Calibri"/>
          <w:lang w:val="hr-HR"/>
        </w:rPr>
        <w:t xml:space="preserve"> </w:t>
      </w:r>
      <w:r w:rsidRPr="0048429B">
        <w:rPr>
          <w:rFonts w:ascii="Calibri" w:hAnsi="Calibri"/>
          <w:lang w:val="hr-HR"/>
        </w:rPr>
        <w:t>2020., a koji će biti u završnoj fazi. Isto tako za projekte koji će se financirati iz EU fondova iz narednog programskog razdoblja 2021.</w:t>
      </w:r>
      <w:r w:rsidR="0019157D">
        <w:rPr>
          <w:rFonts w:ascii="Calibri" w:hAnsi="Calibri"/>
          <w:lang w:val="hr-HR"/>
        </w:rPr>
        <w:t xml:space="preserve"> </w:t>
      </w:r>
      <w:r w:rsidRPr="0048429B">
        <w:rPr>
          <w:rFonts w:ascii="Calibri" w:hAnsi="Calibri"/>
          <w:lang w:val="hr-HR"/>
        </w:rPr>
        <w:t>-</w:t>
      </w:r>
      <w:r w:rsidR="0019157D">
        <w:rPr>
          <w:rFonts w:ascii="Calibri" w:hAnsi="Calibri"/>
          <w:lang w:val="hr-HR"/>
        </w:rPr>
        <w:t xml:space="preserve"> </w:t>
      </w:r>
      <w:r w:rsidRPr="0048429B">
        <w:rPr>
          <w:rFonts w:ascii="Calibri" w:hAnsi="Calibri"/>
          <w:lang w:val="hr-HR"/>
        </w:rPr>
        <w:t>2027. ugovaranje će započeti. Slijedom navedenoga, u 2022. godini ukupni rashodi planirani su na razini od 147,5 milijardi kuna.</w:t>
      </w:r>
    </w:p>
    <w:p w:rsidR="00395C6D" w:rsidRDefault="00A32AB1" w:rsidP="00A32AB1">
      <w:pPr>
        <w:pStyle w:val="Caption"/>
        <w:ind w:left="0"/>
        <w:jc w:val="left"/>
        <w:rPr>
          <w:rFonts w:ascii="Calibri" w:hAnsi="Calibri"/>
          <w:b w:val="0"/>
          <w:i/>
          <w:sz w:val="24"/>
          <w:szCs w:val="24"/>
          <w:lang w:val="hr-HR"/>
        </w:rPr>
      </w:pPr>
      <w:bookmarkStart w:id="16" w:name="_Toc15461769"/>
      <w:r w:rsidRPr="0048429B">
        <w:rPr>
          <w:rFonts w:ascii="Calibri" w:hAnsi="Calibri"/>
          <w:b w:val="0"/>
          <w:i/>
          <w:sz w:val="24"/>
          <w:szCs w:val="24"/>
          <w:lang w:val="hr-HR"/>
        </w:rPr>
        <w:lastRenderedPageBreak/>
        <w:t xml:space="preserve">Tablica </w:t>
      </w:r>
      <w:r w:rsidRPr="0048429B">
        <w:rPr>
          <w:rFonts w:ascii="Calibri" w:hAnsi="Calibri"/>
          <w:b w:val="0"/>
          <w:i/>
          <w:sz w:val="24"/>
          <w:szCs w:val="24"/>
          <w:lang w:val="hr-HR"/>
        </w:rPr>
        <w:fldChar w:fldCharType="begin"/>
      </w:r>
      <w:r w:rsidRPr="0048429B">
        <w:rPr>
          <w:rFonts w:ascii="Calibri" w:hAnsi="Calibri"/>
          <w:b w:val="0"/>
          <w:i/>
          <w:sz w:val="24"/>
          <w:szCs w:val="24"/>
          <w:lang w:val="hr-HR"/>
        </w:rPr>
        <w:instrText xml:space="preserve"> SEQ Tablica \* ARABIC </w:instrText>
      </w:r>
      <w:r w:rsidRPr="0048429B">
        <w:rPr>
          <w:rFonts w:ascii="Calibri" w:hAnsi="Calibri"/>
          <w:b w:val="0"/>
          <w:i/>
          <w:sz w:val="24"/>
          <w:szCs w:val="24"/>
          <w:lang w:val="hr-HR"/>
        </w:rPr>
        <w:fldChar w:fldCharType="separate"/>
      </w:r>
      <w:r w:rsidR="00A9084D">
        <w:rPr>
          <w:rFonts w:ascii="Calibri" w:hAnsi="Calibri"/>
          <w:b w:val="0"/>
          <w:i/>
          <w:noProof/>
          <w:sz w:val="24"/>
          <w:szCs w:val="24"/>
          <w:lang w:val="hr-HR"/>
        </w:rPr>
        <w:t>3</w:t>
      </w:r>
      <w:r w:rsidRPr="0048429B">
        <w:rPr>
          <w:rFonts w:ascii="Calibri" w:hAnsi="Calibri"/>
          <w:b w:val="0"/>
          <w:i/>
          <w:sz w:val="24"/>
          <w:szCs w:val="24"/>
          <w:lang w:val="hr-HR"/>
        </w:rPr>
        <w:fldChar w:fldCharType="end"/>
      </w:r>
      <w:r w:rsidRPr="0048429B">
        <w:rPr>
          <w:rFonts w:ascii="Calibri" w:hAnsi="Calibri"/>
          <w:b w:val="0"/>
          <w:i/>
          <w:sz w:val="24"/>
          <w:szCs w:val="24"/>
          <w:lang w:val="hr-HR"/>
        </w:rPr>
        <w:t xml:space="preserve">: </w:t>
      </w:r>
      <w:bookmarkStart w:id="17" w:name="_Toc520963980"/>
      <w:r w:rsidR="00395C6D" w:rsidRPr="0048429B">
        <w:rPr>
          <w:rFonts w:ascii="Calibri" w:hAnsi="Calibri"/>
          <w:b w:val="0"/>
          <w:i/>
          <w:sz w:val="24"/>
          <w:szCs w:val="24"/>
          <w:lang w:val="hr-HR"/>
        </w:rPr>
        <w:t>Kretanje rashoda državnog proračuna koji se financiraju iz općih prihoda i primitaka, doprinosa i namjenskih primitaka u razdoblju 2018. – 2022.</w:t>
      </w:r>
      <w:bookmarkEnd w:id="16"/>
      <w:bookmarkEnd w:id="17"/>
    </w:p>
    <w:p w:rsidR="000834FE" w:rsidRPr="000834FE" w:rsidRDefault="000834FE" w:rsidP="000834FE">
      <w:pPr>
        <w:spacing w:after="0"/>
        <w:rPr>
          <w:lang w:val="hr-HR"/>
        </w:rPr>
      </w:pPr>
      <w:r w:rsidRPr="000834FE">
        <w:rPr>
          <w:noProof/>
          <w:lang w:val="hr-HR" w:eastAsia="hr-HR"/>
        </w:rPr>
        <w:drawing>
          <wp:inline distT="0" distB="0" distL="0" distR="0" wp14:anchorId="06C40069" wp14:editId="2850716C">
            <wp:extent cx="5760720" cy="252762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27627"/>
                    </a:xfrm>
                    <a:prstGeom prst="rect">
                      <a:avLst/>
                    </a:prstGeom>
                    <a:noFill/>
                    <a:ln>
                      <a:noFill/>
                    </a:ln>
                  </pic:spPr>
                </pic:pic>
              </a:graphicData>
            </a:graphic>
          </wp:inline>
        </w:drawing>
      </w:r>
    </w:p>
    <w:p w:rsidR="00395C6D" w:rsidRPr="0048429B" w:rsidRDefault="00395C6D" w:rsidP="00395C6D">
      <w:pPr>
        <w:spacing w:after="120"/>
        <w:rPr>
          <w:rFonts w:ascii="Calibri" w:hAnsi="Calibri"/>
          <w:i/>
          <w:sz w:val="20"/>
          <w:szCs w:val="20"/>
          <w:lang w:val="hr-HR"/>
        </w:rPr>
      </w:pPr>
      <w:r w:rsidRPr="0048429B">
        <w:rPr>
          <w:rFonts w:ascii="Calibri" w:hAnsi="Calibri"/>
          <w:i/>
          <w:sz w:val="20"/>
          <w:szCs w:val="20"/>
          <w:lang w:val="hr-HR"/>
        </w:rPr>
        <w:t>Izvor: Ministarstvo financija</w:t>
      </w:r>
    </w:p>
    <w:p w:rsidR="00395C6D" w:rsidRPr="0048429B" w:rsidRDefault="00395C6D" w:rsidP="00395C6D">
      <w:pPr>
        <w:jc w:val="both"/>
        <w:rPr>
          <w:rFonts w:ascii="Calibri" w:hAnsi="Calibri"/>
          <w:lang w:val="hr-HR"/>
        </w:rPr>
      </w:pPr>
      <w:bookmarkStart w:id="18" w:name="_Toc487786114"/>
      <w:r w:rsidRPr="0048429B">
        <w:rPr>
          <w:rFonts w:ascii="Calibri" w:hAnsi="Calibri"/>
          <w:lang w:val="hr-HR"/>
        </w:rPr>
        <w:t>Rast rashoda financiranih iz općih prihoda i primitaka, doprinosa i namjenskih primitaka u 2020. godini u odnosu na tekući plan 2019. najvećim dijelom rezultat je osiguranja sredstava za:</w:t>
      </w:r>
    </w:p>
    <w:p w:rsidR="00395C6D" w:rsidRPr="0048429B" w:rsidRDefault="00395C6D" w:rsidP="00395C6D">
      <w:pPr>
        <w:pStyle w:val="ListParagraph"/>
        <w:numPr>
          <w:ilvl w:val="0"/>
          <w:numId w:val="5"/>
        </w:numPr>
        <w:jc w:val="both"/>
        <w:rPr>
          <w:rFonts w:ascii="Calibri" w:hAnsi="Calibri"/>
          <w:lang w:val="hr-HR"/>
        </w:rPr>
      </w:pPr>
      <w:r w:rsidRPr="0048429B">
        <w:rPr>
          <w:rFonts w:ascii="Calibri" w:hAnsi="Calibri"/>
          <w:lang w:val="hr-HR"/>
        </w:rPr>
        <w:t>mirovine i mirovinska primanja (indeksacija mirovina po općim i posebnim propisima i očekivani porast broja umirovljenika),</w:t>
      </w:r>
    </w:p>
    <w:p w:rsidR="00395C6D" w:rsidRPr="0048429B" w:rsidRDefault="00395C6D" w:rsidP="00395C6D">
      <w:pPr>
        <w:pStyle w:val="ListParagraph"/>
        <w:numPr>
          <w:ilvl w:val="0"/>
          <w:numId w:val="5"/>
        </w:numPr>
        <w:jc w:val="both"/>
        <w:rPr>
          <w:rFonts w:ascii="Calibri" w:hAnsi="Calibri"/>
          <w:lang w:val="hr-HR"/>
        </w:rPr>
      </w:pPr>
      <w:r w:rsidRPr="0048429B">
        <w:rPr>
          <w:rFonts w:ascii="Calibri" w:hAnsi="Calibri"/>
          <w:lang w:val="hr-HR"/>
        </w:rPr>
        <w:t>punu primjen</w:t>
      </w:r>
      <w:r w:rsidR="0019157D">
        <w:rPr>
          <w:rFonts w:ascii="Calibri" w:hAnsi="Calibri"/>
          <w:lang w:val="hr-HR"/>
        </w:rPr>
        <w:t>u</w:t>
      </w:r>
      <w:r w:rsidRPr="0048429B">
        <w:rPr>
          <w:rFonts w:ascii="Calibri" w:hAnsi="Calibri"/>
          <w:lang w:val="hr-HR"/>
        </w:rPr>
        <w:t xml:space="preserve"> ugovorenih povećanja </w:t>
      </w:r>
      <w:r w:rsidRPr="0048429B">
        <w:rPr>
          <w:rFonts w:cs="Times New Roman"/>
          <w:color w:val="000000"/>
          <w:lang w:val="hr-HR"/>
        </w:rPr>
        <w:t>osnovica za izračun plaća u državnim i javnim službama iz 2019. godine,</w:t>
      </w:r>
    </w:p>
    <w:p w:rsidR="00395C6D" w:rsidRPr="0048429B" w:rsidRDefault="00395C6D" w:rsidP="00395C6D">
      <w:pPr>
        <w:pStyle w:val="ListParagraph"/>
        <w:numPr>
          <w:ilvl w:val="0"/>
          <w:numId w:val="5"/>
        </w:numPr>
        <w:jc w:val="both"/>
        <w:rPr>
          <w:rFonts w:ascii="Calibri" w:hAnsi="Calibri"/>
          <w:lang w:val="hr-HR"/>
        </w:rPr>
      </w:pPr>
      <w:r w:rsidRPr="0048429B">
        <w:rPr>
          <w:rFonts w:ascii="Calibri" w:hAnsi="Calibri"/>
          <w:lang w:val="hr-HR"/>
        </w:rPr>
        <w:t>mjere demografske obnove, uključujući i mjere provedbe obiteljske i populacij</w:t>
      </w:r>
      <w:r w:rsidR="0019157D">
        <w:rPr>
          <w:rFonts w:ascii="Calibri" w:hAnsi="Calibri"/>
          <w:lang w:val="hr-HR"/>
        </w:rPr>
        <w:t>ske politike, od kojih se ističe</w:t>
      </w:r>
      <w:r w:rsidRPr="0048429B">
        <w:rPr>
          <w:rFonts w:ascii="Calibri" w:hAnsi="Calibri"/>
          <w:lang w:val="hr-HR"/>
        </w:rPr>
        <w:t xml:space="preserve"> povećanje iznosa limita novčanih naknada za vrijeme korištenja roditeljskog dopusta,</w:t>
      </w:r>
    </w:p>
    <w:p w:rsidR="00395C6D" w:rsidRPr="0048429B" w:rsidRDefault="00395C6D" w:rsidP="00395C6D">
      <w:pPr>
        <w:pStyle w:val="ListParagraph"/>
        <w:numPr>
          <w:ilvl w:val="0"/>
          <w:numId w:val="5"/>
        </w:numPr>
        <w:jc w:val="both"/>
        <w:rPr>
          <w:rFonts w:ascii="Calibri" w:hAnsi="Calibri"/>
          <w:lang w:val="hr-HR"/>
        </w:rPr>
      </w:pPr>
      <w:r w:rsidRPr="0048429B">
        <w:rPr>
          <w:rFonts w:ascii="Calibri" w:hAnsi="Calibri"/>
          <w:lang w:val="hr-HR"/>
        </w:rPr>
        <w:t xml:space="preserve">unaprjeđenje sustava socijalnih naknada i usluga kroz novi Zakon o socijalnoj skrbi, </w:t>
      </w:r>
    </w:p>
    <w:p w:rsidR="00395C6D" w:rsidRPr="0048429B" w:rsidRDefault="00395C6D" w:rsidP="00395C6D">
      <w:pPr>
        <w:pStyle w:val="ListParagraph"/>
        <w:numPr>
          <w:ilvl w:val="0"/>
          <w:numId w:val="5"/>
        </w:numPr>
        <w:jc w:val="both"/>
        <w:rPr>
          <w:rFonts w:ascii="Calibri" w:hAnsi="Calibri"/>
          <w:lang w:val="hr-HR"/>
        </w:rPr>
      </w:pPr>
      <w:r w:rsidRPr="0048429B">
        <w:rPr>
          <w:rFonts w:ascii="Calibri" w:hAnsi="Calibri"/>
          <w:lang w:val="hr-HR"/>
        </w:rPr>
        <w:t xml:space="preserve">troškove predsjedanja RH Vijećem EU, </w:t>
      </w:r>
    </w:p>
    <w:p w:rsidR="00395C6D" w:rsidRDefault="00395C6D" w:rsidP="00395C6D">
      <w:pPr>
        <w:pStyle w:val="ListParagraph"/>
        <w:numPr>
          <w:ilvl w:val="0"/>
          <w:numId w:val="5"/>
        </w:numPr>
        <w:jc w:val="both"/>
        <w:rPr>
          <w:rFonts w:ascii="Calibri" w:hAnsi="Calibri"/>
          <w:lang w:val="hr-HR"/>
        </w:rPr>
      </w:pPr>
      <w:r w:rsidRPr="0048429B">
        <w:rPr>
          <w:rFonts w:ascii="Calibri" w:hAnsi="Calibri"/>
          <w:lang w:val="hr-HR"/>
        </w:rPr>
        <w:t>doprinos RH proračunu Europske unije.</w:t>
      </w: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Default="00A32AB1" w:rsidP="00A32AB1">
      <w:pPr>
        <w:jc w:val="both"/>
        <w:rPr>
          <w:rFonts w:ascii="Calibri" w:hAnsi="Calibri"/>
          <w:lang w:val="hr-HR"/>
        </w:rPr>
      </w:pPr>
    </w:p>
    <w:p w:rsidR="00A32AB1" w:rsidRPr="00A32AB1" w:rsidRDefault="00A32AB1" w:rsidP="00A32AB1">
      <w:pPr>
        <w:jc w:val="both"/>
        <w:rPr>
          <w:rFonts w:ascii="Calibri" w:hAnsi="Calibri"/>
          <w:lang w:val="hr-HR"/>
        </w:rPr>
      </w:pPr>
    </w:p>
    <w:p w:rsidR="00395C6D" w:rsidRDefault="00A32AB1" w:rsidP="00395C6D">
      <w:pPr>
        <w:pStyle w:val="Caption"/>
        <w:spacing w:line="276" w:lineRule="auto"/>
        <w:ind w:left="0"/>
        <w:jc w:val="left"/>
        <w:rPr>
          <w:rFonts w:ascii="Calibri" w:hAnsi="Calibri"/>
          <w:b w:val="0"/>
          <w:i/>
          <w:sz w:val="24"/>
          <w:szCs w:val="24"/>
          <w:lang w:val="hr-HR"/>
        </w:rPr>
      </w:pPr>
      <w:bookmarkStart w:id="19" w:name="_Toc520963981"/>
      <w:bookmarkStart w:id="20" w:name="_Toc15461770"/>
      <w:r w:rsidRPr="0048429B">
        <w:rPr>
          <w:rFonts w:ascii="Calibri" w:hAnsi="Calibri"/>
          <w:b w:val="0"/>
          <w:i/>
          <w:sz w:val="24"/>
          <w:szCs w:val="24"/>
          <w:lang w:val="hr-HR"/>
        </w:rPr>
        <w:lastRenderedPageBreak/>
        <w:t xml:space="preserve">Tablica </w:t>
      </w:r>
      <w:r w:rsidRPr="0048429B">
        <w:rPr>
          <w:rFonts w:ascii="Calibri" w:hAnsi="Calibri"/>
          <w:b w:val="0"/>
          <w:i/>
          <w:sz w:val="24"/>
          <w:szCs w:val="24"/>
          <w:lang w:val="hr-HR"/>
        </w:rPr>
        <w:fldChar w:fldCharType="begin"/>
      </w:r>
      <w:r w:rsidRPr="0048429B">
        <w:rPr>
          <w:rFonts w:ascii="Calibri" w:hAnsi="Calibri"/>
          <w:b w:val="0"/>
          <w:i/>
          <w:sz w:val="24"/>
          <w:szCs w:val="24"/>
          <w:lang w:val="hr-HR"/>
        </w:rPr>
        <w:instrText xml:space="preserve"> SEQ Tablica \* ARABIC </w:instrText>
      </w:r>
      <w:r w:rsidRPr="0048429B">
        <w:rPr>
          <w:rFonts w:ascii="Calibri" w:hAnsi="Calibri"/>
          <w:b w:val="0"/>
          <w:i/>
          <w:sz w:val="24"/>
          <w:szCs w:val="24"/>
          <w:lang w:val="hr-HR"/>
        </w:rPr>
        <w:fldChar w:fldCharType="separate"/>
      </w:r>
      <w:r w:rsidR="00A9084D">
        <w:rPr>
          <w:rFonts w:ascii="Calibri" w:hAnsi="Calibri"/>
          <w:b w:val="0"/>
          <w:i/>
          <w:noProof/>
          <w:sz w:val="24"/>
          <w:szCs w:val="24"/>
          <w:lang w:val="hr-HR"/>
        </w:rPr>
        <w:t>4</w:t>
      </w:r>
      <w:r w:rsidRPr="0048429B">
        <w:rPr>
          <w:rFonts w:ascii="Calibri" w:hAnsi="Calibri"/>
          <w:b w:val="0"/>
          <w:i/>
          <w:sz w:val="24"/>
          <w:szCs w:val="24"/>
          <w:lang w:val="hr-HR"/>
        </w:rPr>
        <w:fldChar w:fldCharType="end"/>
      </w:r>
      <w:r w:rsidRPr="0048429B">
        <w:rPr>
          <w:rFonts w:ascii="Calibri" w:hAnsi="Calibri"/>
          <w:b w:val="0"/>
          <w:i/>
          <w:sz w:val="24"/>
          <w:szCs w:val="24"/>
          <w:lang w:val="hr-HR"/>
        </w:rPr>
        <w:t xml:space="preserve">: </w:t>
      </w:r>
      <w:bookmarkEnd w:id="18"/>
      <w:r w:rsidR="00395C6D" w:rsidRPr="0048429B">
        <w:rPr>
          <w:rFonts w:ascii="Calibri" w:hAnsi="Calibri"/>
          <w:b w:val="0"/>
          <w:i/>
          <w:sz w:val="24"/>
          <w:szCs w:val="24"/>
          <w:lang w:val="hr-HR"/>
        </w:rPr>
        <w:t>Kretanje rashoda državnog proračuna koji se financiraju iz vlastitih prihoda, prihoda za posebne namjene, pomoći i donacija u razdoblju 2018. – 2022.</w:t>
      </w:r>
      <w:bookmarkEnd w:id="19"/>
      <w:bookmarkEnd w:id="20"/>
    </w:p>
    <w:p w:rsidR="00395C6D" w:rsidRPr="0048429B" w:rsidRDefault="000834FE" w:rsidP="00A32AB1">
      <w:pPr>
        <w:spacing w:after="0"/>
        <w:rPr>
          <w:lang w:val="hr-HR"/>
        </w:rPr>
      </w:pPr>
      <w:r w:rsidRPr="000834FE">
        <w:rPr>
          <w:noProof/>
          <w:lang w:val="hr-HR" w:eastAsia="hr-HR"/>
        </w:rPr>
        <w:drawing>
          <wp:inline distT="0" distB="0" distL="0" distR="0" wp14:anchorId="7815DF47" wp14:editId="7A23A8F1">
            <wp:extent cx="5760720" cy="24668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466869"/>
                    </a:xfrm>
                    <a:prstGeom prst="rect">
                      <a:avLst/>
                    </a:prstGeom>
                    <a:noFill/>
                    <a:ln>
                      <a:noFill/>
                    </a:ln>
                  </pic:spPr>
                </pic:pic>
              </a:graphicData>
            </a:graphic>
          </wp:inline>
        </w:drawing>
      </w:r>
      <w:r w:rsidR="00395C6D" w:rsidRPr="0048429B">
        <w:rPr>
          <w:rFonts w:ascii="Calibri" w:hAnsi="Calibri"/>
          <w:i/>
          <w:sz w:val="20"/>
          <w:szCs w:val="20"/>
          <w:lang w:val="hr-HR"/>
        </w:rPr>
        <w:t>Izvor: Ministarstvo financija</w:t>
      </w:r>
    </w:p>
    <w:p w:rsidR="00395C6D" w:rsidRPr="0048429B" w:rsidRDefault="00395C6D" w:rsidP="00395C6D">
      <w:pPr>
        <w:pStyle w:val="Caption"/>
        <w:spacing w:line="276" w:lineRule="auto"/>
        <w:ind w:left="0"/>
        <w:jc w:val="left"/>
        <w:rPr>
          <w:rFonts w:ascii="Calibri" w:hAnsi="Calibri"/>
          <w:b w:val="0"/>
          <w:i/>
          <w:sz w:val="24"/>
          <w:szCs w:val="24"/>
          <w:lang w:val="hr-HR"/>
        </w:rPr>
      </w:pPr>
      <w:bookmarkStart w:id="21" w:name="_Toc487786115"/>
    </w:p>
    <w:p w:rsidR="00395C6D" w:rsidRDefault="00A32AB1" w:rsidP="00395C6D">
      <w:pPr>
        <w:pStyle w:val="Caption"/>
        <w:spacing w:line="276" w:lineRule="auto"/>
        <w:ind w:left="0"/>
        <w:jc w:val="left"/>
        <w:rPr>
          <w:rFonts w:ascii="Calibri" w:hAnsi="Calibri"/>
          <w:b w:val="0"/>
          <w:i/>
          <w:sz w:val="24"/>
          <w:szCs w:val="24"/>
          <w:lang w:val="hr-HR"/>
        </w:rPr>
      </w:pPr>
      <w:bookmarkStart w:id="22" w:name="_Toc520963982"/>
      <w:bookmarkStart w:id="23" w:name="_Toc15461771"/>
      <w:r w:rsidRPr="0048429B">
        <w:rPr>
          <w:rFonts w:ascii="Calibri" w:hAnsi="Calibri"/>
          <w:b w:val="0"/>
          <w:i/>
          <w:sz w:val="24"/>
          <w:szCs w:val="24"/>
          <w:lang w:val="hr-HR"/>
        </w:rPr>
        <w:t xml:space="preserve">Tablica </w:t>
      </w:r>
      <w:r w:rsidRPr="0048429B">
        <w:rPr>
          <w:rFonts w:ascii="Calibri" w:hAnsi="Calibri"/>
          <w:b w:val="0"/>
          <w:i/>
          <w:sz w:val="24"/>
          <w:szCs w:val="24"/>
          <w:lang w:val="hr-HR"/>
        </w:rPr>
        <w:fldChar w:fldCharType="begin"/>
      </w:r>
      <w:r w:rsidRPr="0048429B">
        <w:rPr>
          <w:rFonts w:ascii="Calibri" w:hAnsi="Calibri"/>
          <w:b w:val="0"/>
          <w:i/>
          <w:sz w:val="24"/>
          <w:szCs w:val="24"/>
          <w:lang w:val="hr-HR"/>
        </w:rPr>
        <w:instrText xml:space="preserve"> SEQ Tablica \* ARABIC </w:instrText>
      </w:r>
      <w:r w:rsidRPr="0048429B">
        <w:rPr>
          <w:rFonts w:ascii="Calibri" w:hAnsi="Calibri"/>
          <w:b w:val="0"/>
          <w:i/>
          <w:sz w:val="24"/>
          <w:szCs w:val="24"/>
          <w:lang w:val="hr-HR"/>
        </w:rPr>
        <w:fldChar w:fldCharType="separate"/>
      </w:r>
      <w:r w:rsidR="00A9084D">
        <w:rPr>
          <w:rFonts w:ascii="Calibri" w:hAnsi="Calibri"/>
          <w:b w:val="0"/>
          <w:i/>
          <w:noProof/>
          <w:sz w:val="24"/>
          <w:szCs w:val="24"/>
          <w:lang w:val="hr-HR"/>
        </w:rPr>
        <w:t>5</w:t>
      </w:r>
      <w:r w:rsidRPr="0048429B">
        <w:rPr>
          <w:rFonts w:ascii="Calibri" w:hAnsi="Calibri"/>
          <w:b w:val="0"/>
          <w:i/>
          <w:sz w:val="24"/>
          <w:szCs w:val="24"/>
          <w:lang w:val="hr-HR"/>
        </w:rPr>
        <w:fldChar w:fldCharType="end"/>
      </w:r>
      <w:r w:rsidRPr="0048429B">
        <w:rPr>
          <w:rFonts w:ascii="Calibri" w:hAnsi="Calibri"/>
          <w:b w:val="0"/>
          <w:i/>
          <w:sz w:val="24"/>
          <w:szCs w:val="24"/>
          <w:lang w:val="hr-HR"/>
        </w:rPr>
        <w:t xml:space="preserve">: </w:t>
      </w:r>
      <w:bookmarkEnd w:id="21"/>
      <w:r w:rsidR="00395C6D" w:rsidRPr="0048429B">
        <w:rPr>
          <w:rFonts w:ascii="Calibri" w:hAnsi="Calibri"/>
          <w:b w:val="0"/>
          <w:i/>
          <w:sz w:val="24"/>
          <w:szCs w:val="24"/>
          <w:lang w:val="hr-HR"/>
        </w:rPr>
        <w:t>Kretanje ukupnih rashoda državnog proračuna u razdoblju 2018. – 2022.</w:t>
      </w:r>
      <w:bookmarkEnd w:id="22"/>
      <w:bookmarkEnd w:id="23"/>
    </w:p>
    <w:p w:rsidR="000834FE" w:rsidRPr="000834FE" w:rsidRDefault="000834FE" w:rsidP="000834FE">
      <w:pPr>
        <w:spacing w:after="0"/>
        <w:rPr>
          <w:lang w:val="hr-HR"/>
        </w:rPr>
      </w:pPr>
      <w:r w:rsidRPr="000834FE">
        <w:rPr>
          <w:noProof/>
          <w:lang w:val="hr-HR" w:eastAsia="hr-HR"/>
        </w:rPr>
        <w:drawing>
          <wp:inline distT="0" distB="0" distL="0" distR="0" wp14:anchorId="3A282693" wp14:editId="315C995D">
            <wp:extent cx="5760720" cy="24668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466869"/>
                    </a:xfrm>
                    <a:prstGeom prst="rect">
                      <a:avLst/>
                    </a:prstGeom>
                    <a:noFill/>
                    <a:ln>
                      <a:noFill/>
                    </a:ln>
                  </pic:spPr>
                </pic:pic>
              </a:graphicData>
            </a:graphic>
          </wp:inline>
        </w:drawing>
      </w:r>
    </w:p>
    <w:p w:rsidR="00395C6D" w:rsidRPr="0048429B" w:rsidRDefault="00395C6D" w:rsidP="00395C6D">
      <w:pPr>
        <w:spacing w:after="120"/>
        <w:rPr>
          <w:rFonts w:ascii="Calibri" w:hAnsi="Calibri"/>
          <w:i/>
          <w:sz w:val="20"/>
          <w:szCs w:val="20"/>
          <w:lang w:val="hr-HR"/>
        </w:rPr>
      </w:pPr>
      <w:r w:rsidRPr="0048429B">
        <w:rPr>
          <w:rFonts w:ascii="Calibri" w:hAnsi="Calibri"/>
          <w:i/>
          <w:sz w:val="20"/>
          <w:szCs w:val="20"/>
          <w:lang w:val="hr-HR"/>
        </w:rPr>
        <w:t>Izvor: Ministarstvo financija</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Rashodi za zaposlene</w:t>
      </w:r>
    </w:p>
    <w:p w:rsidR="00395C6D" w:rsidRPr="0048429B" w:rsidRDefault="00395C6D" w:rsidP="00395C6D">
      <w:pPr>
        <w:jc w:val="both"/>
        <w:rPr>
          <w:rFonts w:ascii="Calibri" w:hAnsi="Calibri"/>
          <w:lang w:val="hr-HR"/>
        </w:rPr>
      </w:pPr>
      <w:r w:rsidRPr="0048429B">
        <w:rPr>
          <w:rFonts w:ascii="Calibri" w:hAnsi="Calibri"/>
          <w:lang w:val="hr-HR"/>
        </w:rPr>
        <w:t xml:space="preserve">Rashodi za zaposlene svojim udjelom u ukupnim rashodima čine drugu po veličini skupinu rashoda proračuna. Ukupni rashodi za zaposlene u 2020. godini planiraju se u iznosu od 30,4 milijarde kuna i bilježe rast od 1,3 milijarde kuna u odnosu na tekući plan 2019. godine. Međutim, rashodi za zaposlene iskazani u tekućem planu 2019. godine ne uključuju u cijelosti fiskalni učinak povećanja osnovica ugovorenih krajem 2018. godine i početkom 2019. godine, nakon upućivanja u proceduru, odnosno donošenja Državnog proračuna RH za 2019. godinu (potrebna usklađenja provest će se preraspodjelama u okviru odobrenog Državnog proračuna za 2019. godinu). </w:t>
      </w:r>
    </w:p>
    <w:p w:rsidR="00395C6D" w:rsidRPr="0048429B" w:rsidRDefault="00395C6D" w:rsidP="00395C6D">
      <w:pPr>
        <w:jc w:val="both"/>
        <w:rPr>
          <w:rFonts w:ascii="Calibri" w:hAnsi="Calibri"/>
          <w:lang w:val="hr-HR"/>
        </w:rPr>
      </w:pPr>
      <w:r w:rsidRPr="0048429B">
        <w:rPr>
          <w:rFonts w:ascii="Calibri" w:hAnsi="Calibri"/>
          <w:lang w:val="hr-HR"/>
        </w:rPr>
        <w:lastRenderedPageBreak/>
        <w:t xml:space="preserve">Ovi rashodi financirani iz općih prihoda i primitaka, doprinosa i namjenskih primitaka povećavaju se za 952,9 milijuna kuna u odnosu na tekući plan 2019. godine i iznose ukupno 25,0 milijardi kuna. Navedeno povećanje uključuje, osim uvećanja za redovan minuli rad i novo zapošljavanje, i cjelogodišnju primjenu, između ostaloga: </w:t>
      </w:r>
    </w:p>
    <w:p w:rsidR="00395C6D" w:rsidRPr="0048429B" w:rsidRDefault="00395C6D" w:rsidP="00395C6D">
      <w:pPr>
        <w:pStyle w:val="ListParagraph"/>
        <w:numPr>
          <w:ilvl w:val="0"/>
          <w:numId w:val="11"/>
        </w:numPr>
        <w:autoSpaceDE w:val="0"/>
        <w:autoSpaceDN w:val="0"/>
        <w:adjustRightInd w:val="0"/>
        <w:spacing w:after="0" w:line="240" w:lineRule="auto"/>
        <w:jc w:val="both"/>
        <w:rPr>
          <w:rFonts w:cs="Times New Roman"/>
          <w:color w:val="000000"/>
          <w:lang w:val="hr-HR"/>
        </w:rPr>
      </w:pPr>
      <w:r w:rsidRPr="0048429B">
        <w:rPr>
          <w:rFonts w:cs="Times New Roman"/>
          <w:color w:val="000000"/>
          <w:lang w:val="hr-HR"/>
        </w:rPr>
        <w:t>Dodatka I. Kolektivnom ugovoru za državne službenike i namještenike kojim je osnovica za izračun plaća državnih službenika i namještenika od 1. siječnja 2019. povećana za 3%, a od 1. rujna 2019. za još 2%,</w:t>
      </w:r>
      <w:r w:rsidRPr="0048429B">
        <w:rPr>
          <w:rStyle w:val="FootnoteReference"/>
          <w:rFonts w:cs="Times New Roman"/>
          <w:color w:val="000000"/>
          <w:lang w:val="hr-HR"/>
        </w:rPr>
        <w:footnoteReference w:id="7"/>
      </w:r>
    </w:p>
    <w:p w:rsidR="00395C6D" w:rsidRPr="0048429B" w:rsidRDefault="00395C6D" w:rsidP="00395C6D">
      <w:pPr>
        <w:pStyle w:val="ListParagraph"/>
        <w:numPr>
          <w:ilvl w:val="0"/>
          <w:numId w:val="11"/>
        </w:numPr>
        <w:autoSpaceDE w:val="0"/>
        <w:autoSpaceDN w:val="0"/>
        <w:adjustRightInd w:val="0"/>
        <w:spacing w:after="0" w:line="240" w:lineRule="auto"/>
        <w:jc w:val="both"/>
        <w:rPr>
          <w:rFonts w:cs="Times New Roman"/>
          <w:color w:val="000000"/>
          <w:lang w:val="hr-HR"/>
        </w:rPr>
      </w:pPr>
      <w:r w:rsidRPr="0048429B">
        <w:rPr>
          <w:rFonts w:cs="Times New Roman"/>
          <w:color w:val="000000"/>
          <w:lang w:val="hr-HR"/>
        </w:rPr>
        <w:t>Sporazuma o osnovici za izračun plaće u javnim službama kojim je osnovica za izračun plaća i u javnim službama poveća</w:t>
      </w:r>
      <w:r w:rsidR="006C4A17">
        <w:rPr>
          <w:rFonts w:cs="Times New Roman"/>
          <w:color w:val="000000"/>
          <w:lang w:val="hr-HR"/>
        </w:rPr>
        <w:t xml:space="preserve">na za 3% počevši od 1. siječnja </w:t>
      </w:r>
      <w:r w:rsidRPr="0048429B">
        <w:rPr>
          <w:rFonts w:cs="Times New Roman"/>
          <w:color w:val="000000"/>
          <w:lang w:val="hr-HR"/>
        </w:rPr>
        <w:t xml:space="preserve">2019. i dodatnih 2% počevši od 1. rujna 2019. </w:t>
      </w:r>
      <w:r w:rsidRPr="0048429B">
        <w:rPr>
          <w:rStyle w:val="FootnoteReference"/>
          <w:rFonts w:cs="Times New Roman"/>
          <w:color w:val="000000"/>
          <w:lang w:val="hr-HR"/>
        </w:rPr>
        <w:footnoteReference w:id="8"/>
      </w:r>
      <w:r w:rsidRPr="0048429B">
        <w:rPr>
          <w:rFonts w:cs="Times New Roman"/>
          <w:color w:val="000000"/>
          <w:lang w:val="hr-HR"/>
        </w:rPr>
        <w:t xml:space="preserve"> i</w:t>
      </w:r>
    </w:p>
    <w:p w:rsidR="00395C6D" w:rsidRPr="0048429B" w:rsidRDefault="00395C6D" w:rsidP="00395C6D">
      <w:pPr>
        <w:pStyle w:val="ListParagraph"/>
        <w:numPr>
          <w:ilvl w:val="0"/>
          <w:numId w:val="11"/>
        </w:numPr>
        <w:autoSpaceDE w:val="0"/>
        <w:autoSpaceDN w:val="0"/>
        <w:adjustRightInd w:val="0"/>
        <w:spacing w:after="0" w:line="240" w:lineRule="auto"/>
        <w:jc w:val="both"/>
        <w:rPr>
          <w:rFonts w:cs="Times New Roman"/>
          <w:color w:val="000000"/>
          <w:lang w:val="hr-HR"/>
        </w:rPr>
      </w:pPr>
      <w:r w:rsidRPr="0048429B">
        <w:rPr>
          <w:rFonts w:cs="Times New Roman"/>
          <w:color w:val="000000"/>
          <w:lang w:val="hr-HR"/>
        </w:rPr>
        <w:t>Zakona o izmjenama i dopunama Zakona o plaćama sudaca i drugih pravosudnih dužnosnika koji je na snazi od 1. ožujka 2019., a kojim je osnovica plaće pravosudnih dužnosnika povećana za 6% te su izjednačeni koeficijenti svih pravosudnih dužnosnika u pravosudnim tijelima prvog stupnja.</w:t>
      </w:r>
      <w:r w:rsidRPr="0048429B">
        <w:rPr>
          <w:rStyle w:val="FootnoteReference"/>
          <w:rFonts w:cs="Times New Roman"/>
          <w:color w:val="000000"/>
          <w:lang w:val="hr-HR"/>
        </w:rPr>
        <w:footnoteReference w:id="9"/>
      </w:r>
    </w:p>
    <w:p w:rsidR="00395C6D" w:rsidRPr="0048429B" w:rsidRDefault="00395C6D" w:rsidP="00395C6D">
      <w:pPr>
        <w:pStyle w:val="ListParagraph"/>
        <w:autoSpaceDE w:val="0"/>
        <w:autoSpaceDN w:val="0"/>
        <w:adjustRightInd w:val="0"/>
        <w:spacing w:after="0" w:line="240" w:lineRule="auto"/>
        <w:jc w:val="both"/>
        <w:rPr>
          <w:rFonts w:cs="Times New Roman"/>
          <w:color w:val="000000"/>
          <w:lang w:val="hr-HR"/>
        </w:rPr>
      </w:pPr>
    </w:p>
    <w:p w:rsidR="00395C6D" w:rsidRPr="0048429B" w:rsidRDefault="00395C6D" w:rsidP="00395C6D">
      <w:pPr>
        <w:jc w:val="both"/>
        <w:rPr>
          <w:rFonts w:ascii="Calibri" w:hAnsi="Calibri"/>
          <w:lang w:val="hr-HR"/>
        </w:rPr>
      </w:pPr>
      <w:r w:rsidRPr="0048429B">
        <w:rPr>
          <w:rFonts w:ascii="Calibri" w:hAnsi="Calibri"/>
          <w:lang w:val="hr-HR"/>
        </w:rPr>
        <w:t xml:space="preserve">Nadalje, na povećanje ovih rashoda utječe i činjenica da će RH u razdoblju od 1. siječnja do 30. lipnja 2020. predsjedati Vijećem Europske unije, što je utvrđeno kao aktivnost od posebnog značaja. </w:t>
      </w:r>
    </w:p>
    <w:p w:rsidR="00395C6D" w:rsidRPr="0048429B" w:rsidRDefault="00395C6D" w:rsidP="00395C6D">
      <w:pPr>
        <w:jc w:val="both"/>
        <w:rPr>
          <w:rFonts w:ascii="Calibri" w:hAnsi="Calibri"/>
          <w:lang w:val="hr-HR"/>
        </w:rPr>
      </w:pPr>
      <w:r w:rsidRPr="0048429B">
        <w:rPr>
          <w:rFonts w:ascii="Calibri" w:hAnsi="Calibri"/>
          <w:lang w:val="hr-HR"/>
        </w:rPr>
        <w:t>Rashodi za zaposlene financirani iz EU sredstava planiraju se na razini od 511,0 milijuna kuna i bilježe rast od 40,0 milijuna kuna u odnosu na tekući plan 2019. godine obzirom da se dio plaća djelatnika koji sudjeluju u sustavu upravljanja i kontrole korištenja EU fondova u razdoblju 2014.</w:t>
      </w:r>
      <w:r w:rsidR="005356C7">
        <w:rPr>
          <w:rFonts w:ascii="Calibri" w:hAnsi="Calibri"/>
          <w:lang w:val="hr-HR"/>
        </w:rPr>
        <w:t xml:space="preserve"> </w:t>
      </w:r>
      <w:r w:rsidRPr="0048429B">
        <w:rPr>
          <w:rFonts w:ascii="Calibri" w:hAnsi="Calibri"/>
          <w:lang w:val="hr-HR"/>
        </w:rPr>
        <w:t>-</w:t>
      </w:r>
      <w:r w:rsidR="005356C7">
        <w:rPr>
          <w:rFonts w:ascii="Calibri" w:hAnsi="Calibri"/>
          <w:lang w:val="hr-HR"/>
        </w:rPr>
        <w:t xml:space="preserve"> </w:t>
      </w:r>
      <w:r w:rsidRPr="0048429B">
        <w:rPr>
          <w:rFonts w:ascii="Calibri" w:hAnsi="Calibri"/>
          <w:lang w:val="hr-HR"/>
        </w:rPr>
        <w:t>2020. sufinancira iz EU sredstava (kroz prioritet Tehničke pomoći u pojedinom Operativnom programu). Rashodi za zaposlene financirani iz ostalih izvora povećavaju se za 262,3 milijuna kuna u odnosu na tekući plan 2019. Od toga se najveće povećanje od 244,3 milijuna kuna odnosi na rashode za zaposlene u ustanovama u zdravstvu u državnom vlasništvu.</w:t>
      </w:r>
    </w:p>
    <w:p w:rsidR="00395C6D" w:rsidRPr="0048429B" w:rsidRDefault="00395C6D" w:rsidP="00395C6D">
      <w:pPr>
        <w:jc w:val="both"/>
        <w:rPr>
          <w:rFonts w:ascii="Calibri" w:hAnsi="Calibri"/>
          <w:lang w:val="hr-HR"/>
        </w:rPr>
      </w:pPr>
      <w:r w:rsidRPr="0048429B">
        <w:rPr>
          <w:rFonts w:ascii="Calibri" w:hAnsi="Calibri"/>
          <w:lang w:val="hr-HR"/>
        </w:rPr>
        <w:t xml:space="preserve">U 2021. i 2022. godini očekuje se daljnje povećanje ovih rashoda. </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Materijalni rashodi</w:t>
      </w:r>
    </w:p>
    <w:p w:rsidR="00395C6D" w:rsidRPr="0048429B" w:rsidRDefault="00395C6D" w:rsidP="00395C6D">
      <w:pPr>
        <w:jc w:val="both"/>
        <w:rPr>
          <w:rFonts w:ascii="Calibri" w:hAnsi="Calibri"/>
          <w:lang w:val="hr-HR"/>
        </w:rPr>
      </w:pPr>
      <w:r w:rsidRPr="0048429B">
        <w:rPr>
          <w:rFonts w:ascii="Calibri" w:hAnsi="Calibri"/>
          <w:lang w:val="hr-HR"/>
        </w:rPr>
        <w:t xml:space="preserve">Ukupni materijalni rashodi u 2020. godini planiraju se u iznosu od 15,0 milijardi kuna. </w:t>
      </w:r>
    </w:p>
    <w:p w:rsidR="00395C6D" w:rsidRPr="0048429B" w:rsidRDefault="00395C6D" w:rsidP="00395C6D">
      <w:pPr>
        <w:jc w:val="both"/>
        <w:rPr>
          <w:rFonts w:ascii="Calibri" w:hAnsi="Calibri"/>
          <w:lang w:val="hr-HR"/>
        </w:rPr>
      </w:pPr>
      <w:r w:rsidRPr="0048429B">
        <w:rPr>
          <w:rFonts w:ascii="Calibri" w:hAnsi="Calibri"/>
          <w:lang w:val="hr-HR"/>
        </w:rPr>
        <w:t xml:space="preserve">Materijalni rashodi koji se financiraju iz općih prihoda i primitaka, doprinosa i namjenskih primitaka iznose 8,0 milijardi kuna i rastu u odnosu na tekući plan 2019. za 313,1 milijun kuna. U okviru  navedenog povećanja osigurana su i dodatna sredstva za troškove predsjedanja RH </w:t>
      </w:r>
      <w:r w:rsidR="00E20FBE">
        <w:rPr>
          <w:rFonts w:ascii="Calibri" w:hAnsi="Calibri"/>
          <w:lang w:val="hr-HR"/>
        </w:rPr>
        <w:t xml:space="preserve">Vijećem </w:t>
      </w:r>
      <w:r w:rsidRPr="0048429B">
        <w:rPr>
          <w:rFonts w:ascii="Calibri" w:hAnsi="Calibri"/>
          <w:lang w:val="hr-HR"/>
        </w:rPr>
        <w:t>EU.</w:t>
      </w:r>
    </w:p>
    <w:p w:rsidR="00395C6D" w:rsidRPr="0048429B" w:rsidRDefault="00395C6D" w:rsidP="00395C6D">
      <w:pPr>
        <w:jc w:val="both"/>
        <w:rPr>
          <w:rFonts w:ascii="Calibri" w:hAnsi="Calibri"/>
          <w:lang w:val="hr-HR"/>
        </w:rPr>
      </w:pPr>
      <w:r w:rsidRPr="0048429B">
        <w:rPr>
          <w:rFonts w:ascii="Calibri" w:hAnsi="Calibri"/>
          <w:lang w:val="hr-HR"/>
        </w:rPr>
        <w:t>Materijalni rashodi koji se financiraju iz EU i ostalih izvora financiranja projicirani su na razini od 7,1 milijardu kuna i povećavaju se za 266,7 milijuna kuna, prvenstveno zbog očekivane dinamike korištenja sredstava EU dostupnih u okviru Operativnog programa konkurentnost i kohezija i Operativnog programa ribarstvo.</w:t>
      </w:r>
    </w:p>
    <w:p w:rsidR="00395C6D" w:rsidRPr="0048429B" w:rsidRDefault="00395C6D" w:rsidP="00395C6D">
      <w:pPr>
        <w:jc w:val="both"/>
        <w:rPr>
          <w:rFonts w:ascii="Calibri" w:hAnsi="Calibri"/>
          <w:lang w:val="hr-HR"/>
        </w:rPr>
      </w:pPr>
      <w:r w:rsidRPr="0048429B">
        <w:rPr>
          <w:rFonts w:ascii="Calibri" w:hAnsi="Calibri"/>
          <w:lang w:val="hr-HR"/>
        </w:rPr>
        <w:t xml:space="preserve">U 2021. godini ukupni materijalni rashodi projicirani su na razini od 15,0 milijardi kuna čime su zadržani na razini 2020., dok se u 2022. smanjuju na razinu od 14,9 milijardi kuna. Smanjenje ovih </w:t>
      </w:r>
      <w:r w:rsidRPr="0048429B">
        <w:rPr>
          <w:rFonts w:ascii="Calibri" w:hAnsi="Calibri"/>
          <w:lang w:val="hr-HR"/>
        </w:rPr>
        <w:lastRenderedPageBreak/>
        <w:t>rashoda u 2022. godini posljedica je smanjenja rashoda financiranih iz EU izvora uslijed završetka programskog razdoblja 2014.</w:t>
      </w:r>
      <w:r w:rsidR="008C5B06">
        <w:rPr>
          <w:rFonts w:ascii="Calibri" w:hAnsi="Calibri"/>
          <w:lang w:val="hr-HR"/>
        </w:rPr>
        <w:t xml:space="preserve"> </w:t>
      </w:r>
      <w:r w:rsidRPr="0048429B">
        <w:rPr>
          <w:rFonts w:ascii="Calibri" w:hAnsi="Calibri"/>
          <w:lang w:val="hr-HR"/>
        </w:rPr>
        <w:t>-</w:t>
      </w:r>
      <w:r w:rsidR="008C5B06">
        <w:rPr>
          <w:rFonts w:ascii="Calibri" w:hAnsi="Calibri"/>
          <w:lang w:val="hr-HR"/>
        </w:rPr>
        <w:t xml:space="preserve"> </w:t>
      </w:r>
      <w:r w:rsidRPr="0048429B">
        <w:rPr>
          <w:rFonts w:ascii="Calibri" w:hAnsi="Calibri"/>
          <w:lang w:val="hr-HR"/>
        </w:rPr>
        <w:t xml:space="preserve">2020. i početka ugovaranja u novom programskom razdoblja </w:t>
      </w:r>
      <w:r w:rsidR="008C5B06">
        <w:rPr>
          <w:rFonts w:ascii="Calibri" w:hAnsi="Calibri"/>
          <w:lang w:val="hr-HR"/>
        </w:rPr>
        <w:t xml:space="preserve">       </w:t>
      </w:r>
      <w:r w:rsidRPr="0048429B">
        <w:rPr>
          <w:rFonts w:ascii="Calibri" w:hAnsi="Calibri"/>
          <w:lang w:val="hr-HR"/>
        </w:rPr>
        <w:t>2021.</w:t>
      </w:r>
      <w:r w:rsidR="008C5B06">
        <w:rPr>
          <w:rFonts w:ascii="Calibri" w:hAnsi="Calibri"/>
          <w:lang w:val="hr-HR"/>
        </w:rPr>
        <w:t xml:space="preserve"> </w:t>
      </w:r>
      <w:r w:rsidRPr="0048429B">
        <w:rPr>
          <w:rFonts w:ascii="Calibri" w:hAnsi="Calibri"/>
          <w:lang w:val="hr-HR"/>
        </w:rPr>
        <w:t>-</w:t>
      </w:r>
      <w:r w:rsidR="008C5B06">
        <w:rPr>
          <w:rFonts w:ascii="Calibri" w:hAnsi="Calibri"/>
          <w:lang w:val="hr-HR"/>
        </w:rPr>
        <w:t xml:space="preserve"> </w:t>
      </w:r>
      <w:r w:rsidRPr="0048429B">
        <w:rPr>
          <w:rFonts w:ascii="Calibri" w:hAnsi="Calibri"/>
          <w:lang w:val="hr-HR"/>
        </w:rPr>
        <w:t xml:space="preserve">2027. </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Financijski rashodi</w:t>
      </w:r>
    </w:p>
    <w:p w:rsidR="00395C6D" w:rsidRPr="0048429B" w:rsidRDefault="00395C6D" w:rsidP="00395C6D">
      <w:pPr>
        <w:jc w:val="both"/>
        <w:rPr>
          <w:rFonts w:ascii="Calibri" w:hAnsi="Calibri"/>
          <w:lang w:val="hr-HR"/>
        </w:rPr>
      </w:pPr>
      <w:r w:rsidRPr="0048429B">
        <w:rPr>
          <w:rFonts w:ascii="Calibri" w:hAnsi="Calibri"/>
          <w:lang w:val="hr-HR"/>
        </w:rPr>
        <w:t xml:space="preserve">Financijski rashodi, koje čine kamate za izdane vrijednosne papire, kamate za primljene zajmove i ostali financijski rashodi, projicirani su u skladu sa stanjem uvjeta na financijskim tržištima, odnosno troškovima servisiranja javnog duga. </w:t>
      </w:r>
    </w:p>
    <w:p w:rsidR="00395C6D" w:rsidRPr="0048429B" w:rsidRDefault="00395C6D" w:rsidP="00395C6D">
      <w:pPr>
        <w:jc w:val="both"/>
        <w:rPr>
          <w:rFonts w:ascii="Calibri" w:hAnsi="Calibri"/>
          <w:lang w:val="hr-HR"/>
        </w:rPr>
      </w:pPr>
      <w:r w:rsidRPr="0048429B">
        <w:rPr>
          <w:rFonts w:ascii="Calibri" w:hAnsi="Calibri"/>
          <w:lang w:val="hr-HR"/>
        </w:rPr>
        <w:t xml:space="preserve">Ovi rashodi u 2020. godini projicirani su na razini od 8,2 milijarde kuna što predstavlja smanjenje u odnosu na tekući plan 2019. godine u iznosu od 1,6 milijardi kuna.  </w:t>
      </w:r>
    </w:p>
    <w:p w:rsidR="00395C6D" w:rsidRPr="0048429B" w:rsidRDefault="00395C6D" w:rsidP="00395C6D">
      <w:pPr>
        <w:jc w:val="both"/>
        <w:rPr>
          <w:rFonts w:ascii="Calibri" w:hAnsi="Calibri"/>
          <w:lang w:val="hr-HR"/>
        </w:rPr>
      </w:pPr>
      <w:r w:rsidRPr="0048429B">
        <w:rPr>
          <w:rFonts w:ascii="Calibri" w:hAnsi="Calibri"/>
          <w:lang w:val="hr-HR"/>
        </w:rPr>
        <w:t>I u narednim godinama previđeno je daljnje smanjenje ovih rashoda i to u 2021. na razinu od 7,2 milijarde kuna, a u 2022. godini na razinu od 7,1 milijardi kuna.</w:t>
      </w:r>
    </w:p>
    <w:p w:rsidR="00395C6D" w:rsidRPr="0048429B" w:rsidRDefault="00395C6D" w:rsidP="00395C6D">
      <w:pPr>
        <w:jc w:val="both"/>
        <w:rPr>
          <w:rFonts w:ascii="Calibri" w:hAnsi="Calibri"/>
          <w:lang w:val="hr-HR"/>
        </w:rPr>
      </w:pPr>
      <w:r w:rsidRPr="0048429B">
        <w:rPr>
          <w:rFonts w:ascii="Calibri" w:hAnsi="Calibri"/>
          <w:lang w:val="hr-HR"/>
        </w:rPr>
        <w:t xml:space="preserve">Projicirana visina rashoda u velikoj mjeri reflektira poboljšanje makroekonomske slike i smanjivanje makroekonomskih neravnoteža u RH, a što je posljedično vidljivo i u podizanju kreditnog rejtinga u investicijski razred. </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Subvencije</w:t>
      </w:r>
    </w:p>
    <w:p w:rsidR="00395C6D" w:rsidRPr="0048429B" w:rsidRDefault="00395C6D" w:rsidP="00395C6D">
      <w:pPr>
        <w:jc w:val="both"/>
        <w:rPr>
          <w:rFonts w:ascii="Calibri" w:hAnsi="Calibri"/>
          <w:lang w:val="hr-HR"/>
        </w:rPr>
      </w:pPr>
      <w:r w:rsidRPr="0048429B">
        <w:rPr>
          <w:rFonts w:ascii="Calibri" w:hAnsi="Calibri"/>
          <w:lang w:val="hr-HR"/>
        </w:rPr>
        <w:t xml:space="preserve">Rashodi za subvencije u 2020. planiraju se u iznosu od 6,1 milijardu kuna što predstavlja smanjenje u iznosu od 920,7 milijuna kuna u odnosu na tekući plan 2019. godine. Navedeno smanjenje rezultat je isključivo reklasifikacije sredstva namijenjenih HŽ Infrastrukturi d.o.o. i HŽ Putničkom prijevozu d.o.o. iz ekonomske kategorije subvencija u kategoriju pomoći. </w:t>
      </w:r>
    </w:p>
    <w:p w:rsidR="00395C6D" w:rsidRPr="0048429B" w:rsidRDefault="00395C6D" w:rsidP="00395C6D">
      <w:pPr>
        <w:jc w:val="both"/>
        <w:rPr>
          <w:rFonts w:ascii="Calibri" w:hAnsi="Calibri"/>
          <w:lang w:val="hr-HR"/>
        </w:rPr>
      </w:pPr>
      <w:r w:rsidRPr="0048429B">
        <w:rPr>
          <w:rFonts w:ascii="Calibri" w:hAnsi="Calibri"/>
          <w:lang w:val="hr-HR"/>
        </w:rPr>
        <w:t>Naime, prema odredbama Zakona o proračunu izvanproračunski korisnici, trgovačka društva i druge pravne osobe u kojima država ima odlučujući utjecaj na upravljanje i koji se sukladno pravilima statističke metodologije EU-a (ESA 2010) razvrstavaju u sektor općeg proračuna, a nisu proračunski korisnici, smatraju se izvanproračunskim korisnicima državnog proračuna. Sukladno Nacionalnom programu reformi za 2019. planira se u prvoj fazi ujednačiti postupak planiranja i izvještavanja o izvršenju financijskih planova Hrvatskih autocesta d.o.o., Autoceste Rijeka-Zagreb d.d., HŽ Infrastrukture d.o.o. i HŽ Putničkog prijevoza d.o.o. s postojećim postupkom važećim za izvanproračunske korisnike. Uzimajući u obzir navedeno, predviđa se da će Hrvatski sabor po prvi puta dati suglasnost za financijske planove ovih izvanproračunskih korisnika uz donošenje Državnog proračuna Republike Hrvatske</w:t>
      </w:r>
      <w:r w:rsidR="00B96F8A">
        <w:rPr>
          <w:rFonts w:ascii="Calibri" w:hAnsi="Calibri"/>
          <w:lang w:val="hr-HR"/>
        </w:rPr>
        <w:t xml:space="preserve"> za 2020. i projekcija</w:t>
      </w:r>
      <w:r w:rsidRPr="0048429B">
        <w:rPr>
          <w:rFonts w:ascii="Calibri" w:hAnsi="Calibri"/>
          <w:lang w:val="hr-HR"/>
        </w:rPr>
        <w:t xml:space="preserve"> za 2021. i 2022. godinu. </w:t>
      </w:r>
    </w:p>
    <w:p w:rsidR="00395C6D" w:rsidRPr="0048429B" w:rsidRDefault="00395C6D" w:rsidP="00395C6D">
      <w:pPr>
        <w:jc w:val="both"/>
        <w:rPr>
          <w:rFonts w:ascii="Calibri" w:hAnsi="Calibri"/>
          <w:lang w:val="hr-HR"/>
        </w:rPr>
      </w:pPr>
      <w:r w:rsidRPr="0048429B">
        <w:rPr>
          <w:rFonts w:ascii="Calibri" w:hAnsi="Calibri"/>
          <w:lang w:val="hr-HR"/>
        </w:rPr>
        <w:t>U narednim godinama ovi rashodi bilježe porast na subvencijama iz nadležnosti Ministarstva poljoprivrede i Hrvatskog zavoda za zapošljavanje i to u 2021. godini za 220,4 milijuna kuna u odnosu na 2020., a u 2022. za dodatnih 220,5 milijuna kuna.</w:t>
      </w:r>
    </w:p>
    <w:p w:rsidR="00EE08DC" w:rsidRDefault="00EE08DC" w:rsidP="00395C6D">
      <w:pPr>
        <w:tabs>
          <w:tab w:val="left" w:pos="0"/>
        </w:tabs>
        <w:jc w:val="both"/>
        <w:rPr>
          <w:b/>
          <w:bCs/>
          <w:i/>
          <w:sz w:val="24"/>
          <w:lang w:val="hr-HR"/>
        </w:rPr>
      </w:pPr>
    </w:p>
    <w:p w:rsidR="000834FE" w:rsidRDefault="000834FE"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lastRenderedPageBreak/>
        <w:t>Pomoći dane u inozemstvo i unutar općeg proračuna</w:t>
      </w:r>
    </w:p>
    <w:p w:rsidR="00395C6D" w:rsidRPr="0048429B" w:rsidRDefault="00395C6D" w:rsidP="00395C6D">
      <w:pPr>
        <w:jc w:val="both"/>
        <w:rPr>
          <w:rFonts w:ascii="Calibri" w:hAnsi="Calibri"/>
          <w:lang w:val="hr-HR"/>
        </w:rPr>
      </w:pPr>
      <w:r w:rsidRPr="0048429B">
        <w:rPr>
          <w:rFonts w:ascii="Calibri" w:hAnsi="Calibri"/>
          <w:lang w:val="hr-HR"/>
        </w:rPr>
        <w:t xml:space="preserve">Rashodi za pomoći državnog proračuna dane u inozemstvo i unutar opće države u 2020. godini predviđeni su u iznosu od 20,8 milijardi kuna. U odnosu na tekući plan 2019. ova kategorija rashoda bilježi rast od 3,8 milijardi kuna. </w:t>
      </w:r>
    </w:p>
    <w:p w:rsidR="00395C6D" w:rsidRPr="0048429B" w:rsidRDefault="00395C6D" w:rsidP="00395C6D">
      <w:pPr>
        <w:jc w:val="both"/>
        <w:rPr>
          <w:rFonts w:ascii="Calibri" w:hAnsi="Calibri"/>
          <w:lang w:val="hr-HR"/>
        </w:rPr>
      </w:pPr>
      <w:r w:rsidRPr="0048429B">
        <w:rPr>
          <w:rFonts w:ascii="Calibri" w:hAnsi="Calibri"/>
          <w:lang w:val="hr-HR"/>
        </w:rPr>
        <w:t>Pomoći koje se financiraju iz općih prihoda i primitaka, doprinosa i namjenskih primitaka u 2020. godini planiraju se u iznosu od 14,7 milijardi kuna što je za 2,4 milijarde kuna više u odnosu na tekući plan 2019. godine. Od navedenog povećanja 1,9 milijardi kuna odnosi se isključivo na reklasifikaciju sredstva namijenjenih HŽ Infrastrukturi d.o.o., HŽ Putničkom prijevozu d.o.o. i Hrvatskim autocestama d.o.o. iz ekonomske kategor</w:t>
      </w:r>
      <w:r w:rsidR="00DC047F">
        <w:rPr>
          <w:rFonts w:ascii="Calibri" w:hAnsi="Calibri"/>
          <w:lang w:val="hr-HR"/>
        </w:rPr>
        <w:t>ije subvencija i ostalih rashoda</w:t>
      </w:r>
      <w:r w:rsidRPr="0048429B">
        <w:rPr>
          <w:rFonts w:ascii="Calibri" w:hAnsi="Calibri"/>
          <w:lang w:val="hr-HR"/>
        </w:rPr>
        <w:t xml:space="preserve"> u kategoriju pomoći.  </w:t>
      </w:r>
    </w:p>
    <w:p w:rsidR="00395C6D" w:rsidRPr="0048429B" w:rsidRDefault="00395C6D" w:rsidP="00395C6D">
      <w:pPr>
        <w:jc w:val="both"/>
        <w:rPr>
          <w:rFonts w:ascii="Calibri" w:hAnsi="Calibri"/>
          <w:lang w:val="hr-HR"/>
        </w:rPr>
      </w:pPr>
      <w:r w:rsidRPr="0048429B">
        <w:rPr>
          <w:rFonts w:ascii="Calibri" w:hAnsi="Calibri"/>
          <w:lang w:val="hr-HR"/>
        </w:rPr>
        <w:t xml:space="preserve">Nadalje do povećanja ove kategorije rashoda dolazi i zbog povjeravanja poslova ureda državne uprave jedinicama područne (regionalne) samouprave. </w:t>
      </w:r>
      <w:r w:rsidRPr="0048429B">
        <w:rPr>
          <w:lang w:val="hr-HR"/>
        </w:rPr>
        <w:t>Izmjenama i dopunama Zakona o sustavu državne uprave</w:t>
      </w:r>
      <w:r w:rsidRPr="0048429B">
        <w:rPr>
          <w:rStyle w:val="FootnoteReference"/>
          <w:lang w:val="hr-HR"/>
        </w:rPr>
        <w:footnoteReference w:id="10"/>
      </w:r>
      <w:r w:rsidRPr="0048429B">
        <w:rPr>
          <w:lang w:val="hr-HR"/>
        </w:rPr>
        <w:t xml:space="preserve"> omogućilo se povjeravanje poslova ureda državne uprave koji su prvostupanjskog karaktera, osobito poslova rješavanja u upravnim stvarima i izdavanja raznih potvrda, županijama, odnosno upravnim tijelima županija.</w:t>
      </w:r>
      <w:r w:rsidRPr="0048429B">
        <w:rPr>
          <w:rFonts w:ascii="Calibri" w:hAnsi="Calibri"/>
          <w:lang w:val="hr-HR"/>
        </w:rPr>
        <w:t xml:space="preserve">  </w:t>
      </w:r>
    </w:p>
    <w:p w:rsidR="00395C6D" w:rsidRPr="0048429B" w:rsidRDefault="00395C6D" w:rsidP="00395C6D">
      <w:pPr>
        <w:jc w:val="both"/>
        <w:rPr>
          <w:rFonts w:ascii="Calibri" w:hAnsi="Calibri"/>
          <w:lang w:val="hr-HR"/>
        </w:rPr>
      </w:pPr>
      <w:r w:rsidRPr="0048429B">
        <w:rPr>
          <w:rFonts w:ascii="Calibri" w:hAnsi="Calibri"/>
          <w:lang w:val="hr-HR"/>
        </w:rPr>
        <w:t>Također, u 2020. godini predviđena su dodatna sredstva u iznosu 123,2 milijuna kuna za doprinos RH proračunu EU u čijem financiranju je RH, kao i sve ostale države članice EU, obvezna sudjelovati. Nadalje, u 2020. godini provest će se parlamentarni izbori za koje su sredstva osigurana na pozicijama Državnog izbornog povjerenstva.</w:t>
      </w:r>
    </w:p>
    <w:p w:rsidR="00395C6D" w:rsidRPr="0048429B" w:rsidRDefault="00395C6D" w:rsidP="00395C6D">
      <w:pPr>
        <w:jc w:val="both"/>
        <w:rPr>
          <w:rFonts w:ascii="Calibri" w:hAnsi="Calibri"/>
          <w:lang w:val="hr-HR"/>
        </w:rPr>
      </w:pPr>
      <w:r w:rsidRPr="0048429B">
        <w:rPr>
          <w:rFonts w:ascii="Calibri" w:hAnsi="Calibri"/>
          <w:lang w:val="hr-HR"/>
        </w:rPr>
        <w:t>Pomoći koje se financiraju iz EU i ostalih izvora financiranja u 2020. godini planirane su na razini od 6,1 milijardu kuna te se povećavaju u iznosu od 1,3 milijarde kuna u odnosu na tekući plan 2019. godine zbog povećanja iskorištenosti sredstava EU dostupnih u okviru Operativnog programa konkurentnost i kohezija u nadležnosti Ministarstva mora, prometa i infrastrukture, Ministarstva graditeljstva i prostornoga uređenja i Ministarstva zaštite okoliša i energetike.</w:t>
      </w:r>
    </w:p>
    <w:p w:rsidR="00395C6D" w:rsidRPr="0048429B" w:rsidRDefault="00395C6D" w:rsidP="00395C6D">
      <w:pPr>
        <w:jc w:val="both"/>
        <w:rPr>
          <w:rFonts w:ascii="Calibri" w:hAnsi="Calibri"/>
          <w:lang w:val="hr-HR"/>
        </w:rPr>
      </w:pPr>
      <w:r w:rsidRPr="0048429B">
        <w:rPr>
          <w:rFonts w:ascii="Calibri" w:hAnsi="Calibri"/>
          <w:lang w:val="hr-HR"/>
        </w:rPr>
        <w:t>U 2021. godini ukupne pomoći projicirane su na razini od 21,2 milijarde kuna, a u 2022. na razini od 21,8 milijardi kuna.</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 xml:space="preserve">Naknade građanima i kućanstvima </w:t>
      </w:r>
    </w:p>
    <w:p w:rsidR="00395C6D" w:rsidRPr="0048429B" w:rsidRDefault="00395C6D" w:rsidP="00395C6D">
      <w:pPr>
        <w:jc w:val="both"/>
        <w:rPr>
          <w:rFonts w:ascii="Calibri" w:hAnsi="Calibri"/>
          <w:lang w:val="hr-HR"/>
        </w:rPr>
      </w:pPr>
      <w:r w:rsidRPr="0048429B">
        <w:rPr>
          <w:rFonts w:ascii="Calibri" w:hAnsi="Calibri"/>
          <w:lang w:val="hr-HR"/>
        </w:rPr>
        <w:t>Naknade građanima i kućanstvima čine i u 2020. najznačajniju skupinu rashoda proračuna te se planiraju u iznosu od 51,5 milijardi kuna.</w:t>
      </w:r>
    </w:p>
    <w:p w:rsidR="00395C6D" w:rsidRPr="0048429B" w:rsidRDefault="00395C6D" w:rsidP="00395C6D">
      <w:pPr>
        <w:jc w:val="both"/>
        <w:rPr>
          <w:rFonts w:ascii="Calibri" w:hAnsi="Calibri"/>
          <w:lang w:val="hr-HR"/>
        </w:rPr>
      </w:pPr>
      <w:r w:rsidRPr="0048429B">
        <w:rPr>
          <w:rFonts w:ascii="Calibri" w:hAnsi="Calibri"/>
          <w:lang w:val="hr-HR"/>
        </w:rPr>
        <w:t>Ovi rashodi uključuju povećana izdvajanja za mirovine u iznosu od 2,6 milijardi kuna koja su rezultat indeksacije po općim i posebnim propisima i oče</w:t>
      </w:r>
      <w:r w:rsidR="001316BE">
        <w:rPr>
          <w:rFonts w:ascii="Calibri" w:hAnsi="Calibri"/>
          <w:lang w:val="hr-HR"/>
        </w:rPr>
        <w:t xml:space="preserve">kivanog rasta broja korisnika. </w:t>
      </w:r>
      <w:r w:rsidRPr="0048429B">
        <w:rPr>
          <w:rFonts w:ascii="Calibri" w:hAnsi="Calibri"/>
          <w:lang w:val="hr-HR"/>
        </w:rPr>
        <w:t xml:space="preserve">Međutim, budući da još uvijek nisu poznati podaci za drugo godišnje usklađivanje mirovina, ali s obzirom na prognoze, očekuje se porast izdvajanja u drugom dijelu 2019. godine u odnosu na planirana sredstva (potrebna sredstva osigurat će se preraspodjelama u okviru odobrenog Državnog proračuna za 2019. godinu). </w:t>
      </w:r>
    </w:p>
    <w:p w:rsidR="00395C6D" w:rsidRPr="0048429B" w:rsidRDefault="00395C6D" w:rsidP="00395C6D">
      <w:pPr>
        <w:jc w:val="both"/>
        <w:rPr>
          <w:rFonts w:ascii="Calibri" w:hAnsi="Calibri"/>
          <w:lang w:val="hr-HR"/>
        </w:rPr>
      </w:pPr>
      <w:r w:rsidRPr="0048429B">
        <w:rPr>
          <w:rFonts w:ascii="Calibri" w:hAnsi="Calibri"/>
          <w:lang w:val="hr-HR"/>
        </w:rPr>
        <w:lastRenderedPageBreak/>
        <w:t>Također, na pozicijama Ministarstva za demografiju, obitelj, mlade i socijalnu politiku, a u okviru ove kategorije rashoda, predviđeno je povećanje sredstava u iznosu od 287,6 milijuna kuna. Navedeni iznos uključuje i fiskalne učinke slijedeće dvije mjere.</w:t>
      </w:r>
    </w:p>
    <w:p w:rsidR="00395C6D" w:rsidRPr="0048429B" w:rsidRDefault="00395C6D" w:rsidP="00395C6D">
      <w:pPr>
        <w:jc w:val="both"/>
        <w:rPr>
          <w:rFonts w:ascii="Calibri" w:hAnsi="Calibri"/>
          <w:lang w:val="hr-HR"/>
        </w:rPr>
      </w:pPr>
      <w:r w:rsidRPr="0048429B">
        <w:rPr>
          <w:rFonts w:ascii="Calibri" w:hAnsi="Calibri"/>
          <w:lang w:val="hr-HR"/>
        </w:rPr>
        <w:t>Izmjenama Zakona o rodiljnim i roditeljskim potporama iz 2017. povećana su materijalna prava korisnika novčanih potpora kako bi se utjecalo na povećanje standarda zaposlenih i samozaposlenih roditelja te roditelja s niskim primanjima ili nezaposlenim roditeljima. Navedenim zakonskim izmjenama povećan je maksimalan iznos naknade plaće koja se isplaćuje zaposlenim roditeljima za vrijeme korištenja roditeljskog dopusta (drugih šest mjeseci) s ranijeg limita od 2.660,80 kuna na 3.991,20 kuna. U narednom razdoblju predviđen je nastavak provedbe mjera u cilju poticanja korištenja roditeljskog dopusta zaposlenih roditelja, povećanjem iznosa limita novčanih naknada za vrijeme korištenja roditeljskog dopusta. U svrhu navedenog, u okviru ove kategorije rashoda predviđena su sredstva za daljnje promjene u limitaciji postojećeg iznosa naknade plaće.</w:t>
      </w:r>
    </w:p>
    <w:p w:rsidR="00395C6D" w:rsidRPr="0048429B" w:rsidRDefault="00395C6D" w:rsidP="00395C6D">
      <w:pPr>
        <w:jc w:val="both"/>
        <w:rPr>
          <w:rFonts w:ascii="Calibri" w:hAnsi="Calibri"/>
          <w:lang w:val="hr-HR"/>
        </w:rPr>
      </w:pPr>
      <w:r w:rsidRPr="0048429B">
        <w:rPr>
          <w:rFonts w:ascii="Calibri" w:hAnsi="Calibri"/>
          <w:lang w:val="hr-HR"/>
        </w:rPr>
        <w:t xml:space="preserve">U sustavu socijalne skrbi ostvaruje se najveći broj naknada i usluga namijenjenih siromašnim i socijalno isključenim osobama te drugim osobama koje su u stanju socijalno-zaštitne potrebe. Jedan od osnovnih preduvjeta za jednostavniji, dostupniji, transparentniji i adekvatniji sustav socijalnih naknada jest poboljšanje zakonodavnog okvira kojim se iste uređuju. Stoga su u okviru ove kategorije rashoda predviđena i sredstva za provedbu novog Zakona o socijalnoj skrbi koji će biti usmjeren na unaprjeđenje sustava socijalnih naknada i usluga te organizaciju sustava socijalne skrbi radi smanjenja siromaštva i zaštite najosjetljivijih skupina društva, osiguravajući potrebna sredstva i usluge upravo onima kojima su najpotrebnije. </w:t>
      </w:r>
    </w:p>
    <w:p w:rsidR="00395C6D" w:rsidRPr="0048429B" w:rsidRDefault="00395C6D" w:rsidP="00395C6D">
      <w:pPr>
        <w:jc w:val="both"/>
        <w:rPr>
          <w:rFonts w:ascii="Calibri" w:hAnsi="Calibri"/>
          <w:lang w:val="hr-HR"/>
        </w:rPr>
      </w:pPr>
      <w:r w:rsidRPr="0048429B">
        <w:rPr>
          <w:rFonts w:ascii="Calibri" w:hAnsi="Calibri"/>
          <w:lang w:val="hr-HR"/>
        </w:rPr>
        <w:t>Nadalje, s obzirom na izmjene zakonodavnog okvira osigurana su i dodatna sredstva za subvencioniranje kredita za kupnju stana ili kuće, odnosno izgradnju kuće.</w:t>
      </w:r>
    </w:p>
    <w:p w:rsidR="00395C6D" w:rsidRPr="0048429B" w:rsidRDefault="00395C6D" w:rsidP="00395C6D">
      <w:pPr>
        <w:jc w:val="both"/>
        <w:rPr>
          <w:rFonts w:ascii="Calibri" w:hAnsi="Calibri"/>
          <w:lang w:val="hr-HR"/>
        </w:rPr>
      </w:pPr>
      <w:r w:rsidRPr="0048429B">
        <w:rPr>
          <w:rFonts w:ascii="Calibri" w:hAnsi="Calibri"/>
          <w:lang w:val="hr-HR"/>
        </w:rPr>
        <w:t>Istovremeno na drugim proračunskim pozicijama unutar ove kategorij</w:t>
      </w:r>
      <w:r w:rsidR="001316BE">
        <w:rPr>
          <w:rFonts w:ascii="Calibri" w:hAnsi="Calibri"/>
          <w:lang w:val="hr-HR"/>
        </w:rPr>
        <w:t>e</w:t>
      </w:r>
      <w:r w:rsidRPr="0048429B">
        <w:rPr>
          <w:rFonts w:ascii="Calibri" w:hAnsi="Calibri"/>
          <w:lang w:val="hr-HR"/>
        </w:rPr>
        <w:t xml:space="preserve"> rashoda predviđene su uštede u iznosu od 560,2 milijuna kuna.</w:t>
      </w:r>
    </w:p>
    <w:p w:rsidR="00395C6D" w:rsidRPr="0048429B" w:rsidRDefault="00395C6D" w:rsidP="00395C6D">
      <w:pPr>
        <w:jc w:val="both"/>
        <w:rPr>
          <w:rFonts w:ascii="Calibri" w:hAnsi="Calibri"/>
          <w:lang w:val="hr-HR"/>
        </w:rPr>
      </w:pPr>
      <w:r w:rsidRPr="0048429B">
        <w:rPr>
          <w:rFonts w:ascii="Calibri" w:hAnsi="Calibri"/>
          <w:lang w:val="hr-HR"/>
        </w:rPr>
        <w:t>U 2021. godini ovi rashodi projicirani su na razini od 53,2 milijarde kuna, dok se u 2022. očekuju na razini od 54,7 milijard</w:t>
      </w:r>
      <w:r w:rsidR="001316BE">
        <w:rPr>
          <w:rFonts w:ascii="Calibri" w:hAnsi="Calibri"/>
          <w:lang w:val="hr-HR"/>
        </w:rPr>
        <w:t>i</w:t>
      </w:r>
      <w:r w:rsidRPr="0048429B">
        <w:rPr>
          <w:rFonts w:ascii="Calibri" w:hAnsi="Calibri"/>
          <w:lang w:val="hr-HR"/>
        </w:rPr>
        <w:t xml:space="preserve"> kuna. </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t>Ostali rashodi</w:t>
      </w:r>
    </w:p>
    <w:p w:rsidR="00395C6D" w:rsidRPr="0048429B" w:rsidRDefault="00395C6D" w:rsidP="00395C6D">
      <w:pPr>
        <w:jc w:val="both"/>
        <w:rPr>
          <w:rFonts w:ascii="Calibri" w:hAnsi="Calibri"/>
          <w:lang w:val="hr-HR"/>
        </w:rPr>
      </w:pPr>
      <w:r w:rsidRPr="0048429B">
        <w:rPr>
          <w:rFonts w:ascii="Calibri" w:hAnsi="Calibri"/>
          <w:lang w:val="hr-HR"/>
        </w:rPr>
        <w:t xml:space="preserve">Ostali rashodi, koji uključuju tekuće i kapitalne donacije, kazne, penale i naknade štete, izvanredne rashode i kapitalne pomoći, u 2020. godini projicirani su u iznosu od 6,8 milijardi kuna, odnosno 1,9 milijardi kuna manje od tekućeg plana 2019. godine. Od navedenog iznosa, smanjenje ovih rashoda financiranih iz općih prihoda i primitaka, doprinosa i namjenskih primitaka iznosi 1,2 milijarde kuna i najvećim dijelom posljedica je reklasifikacije sredstva namijenjenih HŽ Infrastrukturi d.o.o. i Hrvatskim autocestama d.o.o. iz ekonomske kategorije ostalih rashoda u kategoriju pomoći.  </w:t>
      </w:r>
    </w:p>
    <w:p w:rsidR="00395C6D" w:rsidRPr="0048429B" w:rsidRDefault="00395C6D" w:rsidP="00395C6D">
      <w:pPr>
        <w:jc w:val="both"/>
        <w:rPr>
          <w:rFonts w:ascii="Calibri" w:hAnsi="Calibri"/>
          <w:lang w:val="hr-HR"/>
        </w:rPr>
      </w:pPr>
      <w:r w:rsidRPr="0048429B">
        <w:rPr>
          <w:rFonts w:ascii="Calibri" w:hAnsi="Calibri"/>
          <w:lang w:val="hr-HR"/>
        </w:rPr>
        <w:t>Na smanjenje ostalih rashoda financiranih iz EU i ostalih izvora financiranja odnosi se 662,0 milijuna kuna i to značajnim dijelom uslijed smanjenih izdvajanja za mjere ruralnog razvoja.</w:t>
      </w:r>
    </w:p>
    <w:p w:rsidR="00395C6D" w:rsidRPr="0048429B" w:rsidRDefault="00395C6D" w:rsidP="00395C6D">
      <w:pPr>
        <w:jc w:val="both"/>
        <w:rPr>
          <w:rFonts w:ascii="Calibri" w:hAnsi="Calibri"/>
          <w:lang w:val="hr-HR"/>
        </w:rPr>
      </w:pPr>
      <w:r w:rsidRPr="0048429B">
        <w:rPr>
          <w:rFonts w:ascii="Calibri" w:hAnsi="Calibri"/>
          <w:lang w:val="hr-HR"/>
        </w:rPr>
        <w:t>U 2021. i 2022. godini ovi rashodi projicirani su na razini od 7,6 milijardi kuna godišnje.</w:t>
      </w:r>
    </w:p>
    <w:p w:rsidR="00EE08DC" w:rsidRDefault="00EE08DC" w:rsidP="00395C6D">
      <w:pPr>
        <w:tabs>
          <w:tab w:val="left" w:pos="0"/>
        </w:tabs>
        <w:jc w:val="both"/>
        <w:rPr>
          <w:b/>
          <w:bCs/>
          <w:i/>
          <w:sz w:val="24"/>
          <w:lang w:val="hr-HR"/>
        </w:rPr>
      </w:pPr>
    </w:p>
    <w:p w:rsidR="00395C6D" w:rsidRPr="0048429B" w:rsidRDefault="00395C6D" w:rsidP="00395C6D">
      <w:pPr>
        <w:tabs>
          <w:tab w:val="left" w:pos="0"/>
        </w:tabs>
        <w:jc w:val="both"/>
        <w:rPr>
          <w:b/>
          <w:bCs/>
          <w:i/>
          <w:sz w:val="24"/>
          <w:lang w:val="hr-HR"/>
        </w:rPr>
      </w:pPr>
      <w:r w:rsidRPr="0048429B">
        <w:rPr>
          <w:b/>
          <w:bCs/>
          <w:i/>
          <w:sz w:val="24"/>
          <w:lang w:val="hr-HR"/>
        </w:rPr>
        <w:lastRenderedPageBreak/>
        <w:t>Rashodi za nabavu nefinancijske imovine</w:t>
      </w:r>
    </w:p>
    <w:p w:rsidR="00395C6D" w:rsidRPr="0048429B" w:rsidRDefault="00395C6D" w:rsidP="00395C6D">
      <w:pPr>
        <w:pStyle w:val="Default"/>
        <w:spacing w:after="200" w:line="276" w:lineRule="auto"/>
        <w:jc w:val="both"/>
        <w:rPr>
          <w:rFonts w:ascii="Calibri" w:hAnsi="Calibri" w:cstheme="minorBidi"/>
          <w:color w:val="auto"/>
          <w:sz w:val="22"/>
          <w:szCs w:val="22"/>
        </w:rPr>
      </w:pPr>
      <w:r w:rsidRPr="0048429B">
        <w:rPr>
          <w:rFonts w:ascii="Calibri" w:hAnsi="Calibri"/>
          <w:sz w:val="22"/>
          <w:szCs w:val="22"/>
        </w:rPr>
        <w:t>Rashodi za nabavu nefinancijske imovine u 2020. godini projicirani su u iznosu od 5,6 milijardi kuna.</w:t>
      </w:r>
      <w:r w:rsidRPr="0048429B">
        <w:rPr>
          <w:rFonts w:ascii="Calibri" w:hAnsi="Calibri" w:cstheme="minorBidi"/>
          <w:color w:val="auto"/>
          <w:sz w:val="22"/>
          <w:szCs w:val="22"/>
        </w:rPr>
        <w:t xml:space="preserve"> U okviru istih planirana su sredstva za kapitalne projekte u sustavu znanosti i obrazovanja u iznosu od 1,3 milijarde kuna, ulaganja u nabavu nefinancijske imovine Ministarstva obrane u iznosu od 742,0 milijuna kuna, projekte u sustavu zdravstva u iznosu od 625,5 milijuna kuna, kapitalne projekte nacionalnih parkova i parkova prirode u iznosu od 431,4 milijuna kuna, kapitalne projekte i opremanje Ministarstva unutarnjih poslova u iznosu od 410,5 milijuna kuna, kapitalne projekte Ministarstva hrvatskih branitelja u iznosu od 248,2 milijuna kuna, kapitalne projekte u sustavu pravosuđa u iznosu od 167,1 milijuna kuna i za kapitalne projekte korisnika u sustavu socijalne skrbi u iznosu od 122,7 milijuna kuna.</w:t>
      </w:r>
    </w:p>
    <w:p w:rsidR="00395C6D" w:rsidRPr="0048429B" w:rsidRDefault="00395C6D" w:rsidP="00395C6D">
      <w:pPr>
        <w:jc w:val="both"/>
        <w:rPr>
          <w:rFonts w:ascii="Calibri" w:hAnsi="Calibri"/>
          <w:lang w:val="hr-HR"/>
        </w:rPr>
      </w:pPr>
      <w:r w:rsidRPr="0048429B">
        <w:rPr>
          <w:rFonts w:ascii="Calibri" w:hAnsi="Calibri"/>
          <w:lang w:val="hr-HR"/>
        </w:rPr>
        <w:t>U 2021. i 2022. godini ovi rashodi predviđaju se u iznosu od 5,1 milijardu kuna, odnosno 4,2 milijarde kuna. Smanjenje ovih rashoda u navedenim godinama posljedica je smanjenja rashoda financiranih iz EU izvora uslijed završetka programskog razdoblja 2014.</w:t>
      </w:r>
      <w:r w:rsidR="00BE5E64">
        <w:rPr>
          <w:rFonts w:ascii="Calibri" w:hAnsi="Calibri"/>
          <w:lang w:val="hr-HR"/>
        </w:rPr>
        <w:t xml:space="preserve"> </w:t>
      </w:r>
      <w:r w:rsidRPr="0048429B">
        <w:rPr>
          <w:rFonts w:ascii="Calibri" w:hAnsi="Calibri"/>
          <w:lang w:val="hr-HR"/>
        </w:rPr>
        <w:t>-</w:t>
      </w:r>
      <w:r w:rsidR="00BE5E64">
        <w:rPr>
          <w:rFonts w:ascii="Calibri" w:hAnsi="Calibri"/>
          <w:lang w:val="hr-HR"/>
        </w:rPr>
        <w:t xml:space="preserve"> </w:t>
      </w:r>
      <w:r w:rsidRPr="0048429B">
        <w:rPr>
          <w:rFonts w:ascii="Calibri" w:hAnsi="Calibri"/>
          <w:lang w:val="hr-HR"/>
        </w:rPr>
        <w:t>2020. i početka ugovaranja u novom programskom razdoblja 2021.</w:t>
      </w:r>
      <w:r w:rsidR="00BE5E64">
        <w:rPr>
          <w:rFonts w:ascii="Calibri" w:hAnsi="Calibri"/>
          <w:lang w:val="hr-HR"/>
        </w:rPr>
        <w:t xml:space="preserve"> </w:t>
      </w:r>
      <w:r w:rsidRPr="0048429B">
        <w:rPr>
          <w:rFonts w:ascii="Calibri" w:hAnsi="Calibri"/>
          <w:lang w:val="hr-HR"/>
        </w:rPr>
        <w:t>-</w:t>
      </w:r>
      <w:r w:rsidR="00BE5E64">
        <w:rPr>
          <w:rFonts w:ascii="Calibri" w:hAnsi="Calibri"/>
          <w:lang w:val="hr-HR"/>
        </w:rPr>
        <w:t xml:space="preserve"> </w:t>
      </w:r>
      <w:r w:rsidRPr="0048429B">
        <w:rPr>
          <w:rFonts w:ascii="Calibri" w:hAnsi="Calibri"/>
          <w:lang w:val="hr-HR"/>
        </w:rPr>
        <w:t xml:space="preserve">2027. </w:t>
      </w:r>
    </w:p>
    <w:p w:rsidR="00395C6D" w:rsidRPr="0048429B" w:rsidRDefault="00395C6D" w:rsidP="00395C6D">
      <w:pPr>
        <w:rPr>
          <w:lang w:val="hr-HR"/>
        </w:rPr>
      </w:pPr>
    </w:p>
    <w:p w:rsidR="00395C6D" w:rsidRPr="0048429B" w:rsidRDefault="00395C6D" w:rsidP="00395C6D">
      <w:pPr>
        <w:tabs>
          <w:tab w:val="left" w:pos="0"/>
        </w:tabs>
        <w:jc w:val="both"/>
        <w:rPr>
          <w:rFonts w:asciiTheme="majorHAnsi" w:eastAsiaTheme="majorEastAsia" w:hAnsiTheme="majorHAnsi" w:cstheme="majorBidi"/>
          <w:b/>
          <w:bCs/>
          <w:color w:val="4F81BD" w:themeColor="accent1"/>
          <w:sz w:val="26"/>
          <w:szCs w:val="26"/>
          <w:lang w:val="hr-HR"/>
        </w:rPr>
      </w:pPr>
      <w:r w:rsidRPr="0048429B">
        <w:rPr>
          <w:rFonts w:asciiTheme="majorHAnsi" w:eastAsiaTheme="majorEastAsia" w:hAnsiTheme="majorHAnsi" w:cstheme="majorBidi"/>
          <w:b/>
          <w:bCs/>
          <w:color w:val="4F81BD" w:themeColor="accent1"/>
          <w:sz w:val="26"/>
          <w:szCs w:val="26"/>
          <w:lang w:val="hr-HR"/>
        </w:rPr>
        <w:t>Rashodi državnog proračuna po razdjelima</w:t>
      </w:r>
    </w:p>
    <w:p w:rsidR="00395C6D" w:rsidRPr="0048429B" w:rsidRDefault="00395C6D" w:rsidP="00395C6D">
      <w:pPr>
        <w:jc w:val="both"/>
        <w:rPr>
          <w:lang w:val="hr-HR"/>
        </w:rPr>
      </w:pPr>
      <w:bookmarkStart w:id="24" w:name="_Toc487786116"/>
      <w:r w:rsidRPr="0048429B">
        <w:rPr>
          <w:lang w:val="hr-HR"/>
        </w:rPr>
        <w:t>Tablica 6 sadrži prikaz procjene gornje granice ukupnog financijskog plana za razdoblje 2020.</w:t>
      </w:r>
      <w:r w:rsidR="00BE5E64">
        <w:rPr>
          <w:lang w:val="hr-HR"/>
        </w:rPr>
        <w:t xml:space="preserve"> </w:t>
      </w:r>
      <w:r w:rsidRPr="0048429B">
        <w:rPr>
          <w:lang w:val="hr-HR"/>
        </w:rPr>
        <w:t>-</w:t>
      </w:r>
      <w:r w:rsidR="00BE5E64">
        <w:rPr>
          <w:lang w:val="hr-HR"/>
        </w:rPr>
        <w:t xml:space="preserve"> </w:t>
      </w:r>
      <w:r w:rsidRPr="0048429B">
        <w:rPr>
          <w:lang w:val="hr-HR"/>
        </w:rPr>
        <w:t>2022. prema razdjelima državnog proračuna. Navedene procjene uključuju rashode poslovanja (skupina konta 3) i rashode za nabavu nefinancijske imovine (skupina konta 4). Ti rashodi financiraju se iz sljedećih izvora: opći prihodi i primici, doprinosi (isključivo Ministarstvo rada i mirovinskoga sustava) te namjenski primici od zaduživanja.</w:t>
      </w:r>
    </w:p>
    <w:p w:rsidR="00395C6D" w:rsidRPr="0048429B" w:rsidRDefault="00395C6D" w:rsidP="00395C6D">
      <w:pPr>
        <w:jc w:val="both"/>
        <w:rPr>
          <w:lang w:val="hr-HR"/>
        </w:rPr>
      </w:pPr>
      <w:r w:rsidRPr="0048429B">
        <w:rPr>
          <w:lang w:val="hr-HR"/>
        </w:rPr>
        <w:t xml:space="preserve">Izvor financiranja „opći prihodi i primici“ obuhvaća: prihode od poreza (najvećim dijelom), prihode od financijske imovine, prihode od administrativnih (upravnih) pristojbi, prihode državne uprave, prihode od kazni, primitke od financijske imovine i zaduživanja te ostale. </w:t>
      </w:r>
    </w:p>
    <w:p w:rsidR="00395C6D" w:rsidRPr="0048429B" w:rsidRDefault="00395C6D" w:rsidP="00395C6D">
      <w:pPr>
        <w:jc w:val="both"/>
        <w:rPr>
          <w:lang w:val="hr-HR"/>
        </w:rPr>
      </w:pPr>
      <w:r w:rsidRPr="0048429B">
        <w:rPr>
          <w:lang w:val="hr-HR"/>
        </w:rPr>
        <w:t>Za prihode koji se klasificiraju u izvor financiranja „opći prihodi i primici“ namjena korištenja utvrđuje se kroz sam proračun. Rashodi planirani u financijskom planu proračunskog korisnika iz izvora financiranja „opći prihodi i primici“ podmiruju se do visine planiranih rashoda neovisno o naplaćenim prihodima.</w:t>
      </w:r>
    </w:p>
    <w:p w:rsidR="00395C6D" w:rsidRPr="0048429B" w:rsidRDefault="00395C6D" w:rsidP="00395C6D">
      <w:pPr>
        <w:jc w:val="both"/>
        <w:rPr>
          <w:lang w:val="hr-HR"/>
        </w:rPr>
      </w:pPr>
      <w:r w:rsidRPr="0048429B">
        <w:rPr>
          <w:lang w:val="hr-HR"/>
        </w:rPr>
        <w:t>U svrhu izrade fiskalno održivih proračuna u narednom trogodišnjem razdoblju, ministarstva, središnji državni uredi i agencije u izradi prijedloga svojih financijskih planova obvezni su se rukovoditi utvrđenim ograničenjem po razdjelima državnog proračuna za izvore financiranja koji utječu na visinu manjka proračuna opće države.</w:t>
      </w:r>
    </w:p>
    <w:p w:rsidR="00395C6D" w:rsidRPr="0048429B" w:rsidRDefault="00395C6D" w:rsidP="00395C6D">
      <w:pPr>
        <w:jc w:val="both"/>
        <w:rPr>
          <w:lang w:val="hr-HR"/>
        </w:rPr>
      </w:pPr>
      <w:r w:rsidRPr="0048429B">
        <w:rPr>
          <w:lang w:val="hr-HR"/>
        </w:rPr>
        <w:t xml:space="preserve">S obzirom na proračunska ograničenja, proračunski korisnici se usmjeravaju na veće korištenje europskih fondova. Pritom je potrebno osigurati sredstva na vlastitim pozicijama za nacionalno sufinanciranje. </w:t>
      </w:r>
    </w:p>
    <w:p w:rsidR="00395C6D" w:rsidRPr="0048429B" w:rsidRDefault="00395C6D" w:rsidP="00395C6D">
      <w:pPr>
        <w:jc w:val="both"/>
        <w:rPr>
          <w:lang w:val="hr-HR"/>
        </w:rPr>
      </w:pPr>
      <w:r w:rsidRPr="0048429B">
        <w:rPr>
          <w:lang w:val="hr-HR"/>
        </w:rPr>
        <w:lastRenderedPageBreak/>
        <w:t>Proračunskim korisnicima se napominje da, sukladno članku 25. stavku 3. Zakona o proračunu</w:t>
      </w:r>
      <w:r w:rsidRPr="0048429B">
        <w:rPr>
          <w:rStyle w:val="FootnoteReference"/>
          <w:lang w:val="hr-HR"/>
        </w:rPr>
        <w:footnoteReference w:id="11"/>
      </w:r>
      <w:r w:rsidRPr="0048429B">
        <w:rPr>
          <w:lang w:val="hr-HR"/>
        </w:rPr>
        <w:t>, visina financijskog plana po razdjelima organizacijske klasifikacije obuhvaća:</w:t>
      </w:r>
    </w:p>
    <w:p w:rsidR="00395C6D" w:rsidRPr="0048429B" w:rsidRDefault="00395C6D" w:rsidP="00395C6D">
      <w:pPr>
        <w:pStyle w:val="ListParagraph"/>
        <w:numPr>
          <w:ilvl w:val="0"/>
          <w:numId w:val="12"/>
        </w:numPr>
        <w:jc w:val="both"/>
        <w:rPr>
          <w:lang w:val="hr-HR"/>
        </w:rPr>
      </w:pPr>
      <w:r w:rsidRPr="0048429B">
        <w:rPr>
          <w:lang w:val="hr-HR"/>
        </w:rPr>
        <w:t>visinu sredstava potrebnih za provedbu postojećih programa, odnosno aktivnosti, koje proizlaze iz trenutno važećih propisa, i</w:t>
      </w:r>
    </w:p>
    <w:p w:rsidR="00395C6D" w:rsidRPr="0048429B" w:rsidRDefault="00395C6D" w:rsidP="00395C6D">
      <w:pPr>
        <w:pStyle w:val="ListParagraph"/>
        <w:numPr>
          <w:ilvl w:val="0"/>
          <w:numId w:val="12"/>
        </w:numPr>
        <w:jc w:val="both"/>
        <w:rPr>
          <w:lang w:val="hr-HR"/>
        </w:rPr>
      </w:pPr>
      <w:r w:rsidRPr="0048429B">
        <w:rPr>
          <w:lang w:val="hr-HR"/>
        </w:rPr>
        <w:t>visinu sredstava potrebnih za uvođenje i provedbu novih ili promjenu postojećih programa, odnosno aktivnosti.</w:t>
      </w:r>
    </w:p>
    <w:p w:rsidR="00395C6D" w:rsidRPr="0048429B" w:rsidRDefault="00395C6D" w:rsidP="00395C6D">
      <w:pPr>
        <w:jc w:val="both"/>
        <w:rPr>
          <w:lang w:val="hr-HR"/>
        </w:rPr>
      </w:pPr>
      <w:r w:rsidRPr="0048429B">
        <w:rPr>
          <w:lang w:val="hr-HR"/>
        </w:rPr>
        <w:br w:type="page"/>
      </w:r>
    </w:p>
    <w:p w:rsidR="00395C6D" w:rsidRPr="0048429B" w:rsidRDefault="00A32AB1" w:rsidP="00395C6D">
      <w:pPr>
        <w:pStyle w:val="P1"/>
        <w:tabs>
          <w:tab w:val="num" w:pos="0"/>
        </w:tabs>
        <w:spacing w:line="276" w:lineRule="auto"/>
        <w:ind w:left="0"/>
        <w:rPr>
          <w:rFonts w:ascii="Calibri" w:hAnsi="Calibri"/>
          <w:i/>
          <w:sz w:val="24"/>
        </w:rPr>
      </w:pPr>
      <w:bookmarkStart w:id="25" w:name="_Toc520963983"/>
      <w:bookmarkStart w:id="26" w:name="_Toc15461772"/>
      <w:r w:rsidRPr="0048429B">
        <w:rPr>
          <w:rFonts w:ascii="Calibri" w:hAnsi="Calibri"/>
          <w:i/>
          <w:sz w:val="24"/>
        </w:rPr>
        <w:lastRenderedPageBreak/>
        <w:t xml:space="preserve">Tablica </w:t>
      </w:r>
      <w:r w:rsidRPr="0048429B">
        <w:rPr>
          <w:rFonts w:ascii="Calibri" w:hAnsi="Calibri"/>
          <w:b/>
          <w:i/>
          <w:sz w:val="24"/>
        </w:rPr>
        <w:fldChar w:fldCharType="begin"/>
      </w:r>
      <w:r w:rsidRPr="0048429B">
        <w:rPr>
          <w:rFonts w:ascii="Calibri" w:hAnsi="Calibri"/>
          <w:i/>
          <w:sz w:val="24"/>
        </w:rPr>
        <w:instrText xml:space="preserve"> SEQ Tablica \* ARABIC </w:instrText>
      </w:r>
      <w:r w:rsidRPr="0048429B">
        <w:rPr>
          <w:rFonts w:ascii="Calibri" w:hAnsi="Calibri"/>
          <w:b/>
          <w:i/>
          <w:sz w:val="24"/>
        </w:rPr>
        <w:fldChar w:fldCharType="separate"/>
      </w:r>
      <w:r w:rsidR="00A9084D">
        <w:rPr>
          <w:rFonts w:ascii="Calibri" w:hAnsi="Calibri"/>
          <w:i/>
          <w:noProof/>
          <w:sz w:val="24"/>
        </w:rPr>
        <w:t>6</w:t>
      </w:r>
      <w:r w:rsidRPr="0048429B">
        <w:rPr>
          <w:rFonts w:ascii="Calibri" w:hAnsi="Calibri"/>
          <w:b/>
          <w:i/>
          <w:sz w:val="24"/>
        </w:rPr>
        <w:fldChar w:fldCharType="end"/>
      </w:r>
      <w:r w:rsidRPr="0048429B">
        <w:rPr>
          <w:rFonts w:ascii="Calibri" w:hAnsi="Calibri"/>
          <w:i/>
          <w:sz w:val="24"/>
        </w:rPr>
        <w:t xml:space="preserve">: </w:t>
      </w:r>
      <w:bookmarkEnd w:id="24"/>
      <w:r w:rsidR="00395C6D" w:rsidRPr="0048429B">
        <w:rPr>
          <w:rFonts w:ascii="Calibri" w:hAnsi="Calibri"/>
          <w:i/>
          <w:sz w:val="24"/>
        </w:rPr>
        <w:t>Limiti ukupnih rashoda po razdjelima državnog proračuna za izvore financiranja: opći prihodi i primici, doprinosi i namjenski primici za razdoblje 2020. – 2022.</w:t>
      </w:r>
      <w:bookmarkEnd w:id="25"/>
      <w:bookmarkEnd w:id="26"/>
    </w:p>
    <w:p w:rsidR="00395C6D" w:rsidRPr="0048429B" w:rsidRDefault="000834FE" w:rsidP="00395C6D">
      <w:pPr>
        <w:spacing w:after="120"/>
        <w:rPr>
          <w:rFonts w:ascii="Calibri" w:hAnsi="Calibri"/>
          <w:i/>
          <w:sz w:val="20"/>
          <w:szCs w:val="20"/>
          <w:lang w:val="hr-HR"/>
        </w:rPr>
      </w:pPr>
      <w:r w:rsidRPr="000834FE">
        <w:rPr>
          <w:noProof/>
          <w:lang w:val="hr-HR" w:eastAsia="hr-HR"/>
        </w:rPr>
        <w:drawing>
          <wp:inline distT="0" distB="0" distL="0" distR="0" wp14:anchorId="487454F5" wp14:editId="31EC227B">
            <wp:extent cx="5760720" cy="65174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517474"/>
                    </a:xfrm>
                    <a:prstGeom prst="rect">
                      <a:avLst/>
                    </a:prstGeom>
                    <a:noFill/>
                    <a:ln>
                      <a:noFill/>
                    </a:ln>
                  </pic:spPr>
                </pic:pic>
              </a:graphicData>
            </a:graphic>
          </wp:inline>
        </w:drawing>
      </w:r>
      <w:r w:rsidR="00395C6D" w:rsidRPr="0048429B">
        <w:rPr>
          <w:rFonts w:ascii="Calibri" w:hAnsi="Calibri"/>
          <w:i/>
          <w:sz w:val="20"/>
          <w:szCs w:val="20"/>
          <w:lang w:val="hr-HR"/>
        </w:rPr>
        <w:t>Izvor: Ministarstvo financija</w:t>
      </w:r>
    </w:p>
    <w:p w:rsidR="000834FE" w:rsidRDefault="000834FE" w:rsidP="00395C6D">
      <w:pPr>
        <w:jc w:val="both"/>
        <w:rPr>
          <w:i/>
          <w:sz w:val="20"/>
          <w:lang w:val="hr-HR"/>
        </w:rPr>
      </w:pPr>
      <w:r>
        <w:rPr>
          <w:i/>
          <w:sz w:val="20"/>
          <w:lang w:val="hr-HR"/>
        </w:rPr>
        <w:t>*</w:t>
      </w:r>
      <w:r w:rsidR="00620E77">
        <w:rPr>
          <w:i/>
          <w:sz w:val="20"/>
          <w:lang w:val="hr-HR"/>
        </w:rPr>
        <w:t xml:space="preserve">Napomena: </w:t>
      </w:r>
      <w:r>
        <w:rPr>
          <w:i/>
          <w:sz w:val="20"/>
          <w:lang w:val="hr-HR"/>
        </w:rPr>
        <w:t>Z</w:t>
      </w:r>
      <w:r w:rsidRPr="000834FE">
        <w:rPr>
          <w:i/>
          <w:sz w:val="20"/>
          <w:lang w:val="hr-HR"/>
        </w:rPr>
        <w:t>bog statusnih promjena usporedba s 2018. i 2019. nije moguća</w:t>
      </w:r>
    </w:p>
    <w:p w:rsidR="000834FE" w:rsidRDefault="00395C6D" w:rsidP="00395C6D">
      <w:pPr>
        <w:jc w:val="both"/>
        <w:rPr>
          <w:i/>
          <w:sz w:val="20"/>
          <w:lang w:val="hr-HR"/>
        </w:rPr>
      </w:pPr>
      <w:r w:rsidRPr="0048429B">
        <w:rPr>
          <w:i/>
          <w:sz w:val="20"/>
          <w:lang w:val="hr-HR"/>
        </w:rPr>
        <w:t xml:space="preserve">Nove aktivnosti za koje su utvrđena sredstva drugog limita u 2020. godini uključuju sredstva za izgradnju Hrvatske kuće u Subotici, sredstva za obvezne doprinose vrhunskim sportašima i Europsko prvenstvo u vaterpolu u Splitu, sredstva Fondu za obnovu i razvoj Grada Vukovara za potrebe financiranja 50% iznosa plaćenih doprinosa poslodavcima sa sjedištem, odnosno prebivalištem na području grada Vukovara koji su obveznici plaćanja doprinosa za mirovinsko i zdravstveno osiguranje te sredstva za provedbu izmjena i dopuna Zakona o rodiljnim i roditeljskim potporama te novog Zakona o socijalnoj skrbi. </w:t>
      </w:r>
      <w:r w:rsidR="000834FE">
        <w:rPr>
          <w:i/>
          <w:sz w:val="20"/>
          <w:lang w:val="hr-HR"/>
        </w:rPr>
        <w:br w:type="page"/>
      </w:r>
    </w:p>
    <w:p w:rsidR="00E52BDF" w:rsidRPr="0048429B" w:rsidRDefault="00F73C50" w:rsidP="00E52BDF">
      <w:pPr>
        <w:pStyle w:val="Heading2"/>
        <w:numPr>
          <w:ilvl w:val="1"/>
          <w:numId w:val="1"/>
        </w:numPr>
        <w:rPr>
          <w:lang w:val="hr-HR"/>
        </w:rPr>
      </w:pPr>
      <w:bookmarkStart w:id="27" w:name="_Toc487786374"/>
      <w:bookmarkStart w:id="28" w:name="_Toc15461764"/>
      <w:bookmarkEnd w:id="15"/>
      <w:r w:rsidRPr="0048429B">
        <w:rPr>
          <w:lang w:val="hr-HR"/>
        </w:rPr>
        <w:lastRenderedPageBreak/>
        <w:t>Izvanproračunski korisnici,</w:t>
      </w:r>
      <w:r w:rsidR="00E52BDF" w:rsidRPr="0048429B">
        <w:rPr>
          <w:lang w:val="hr-HR"/>
        </w:rPr>
        <w:t xml:space="preserve"> </w:t>
      </w:r>
      <w:r w:rsidRPr="0048429B">
        <w:rPr>
          <w:lang w:val="hr-HR"/>
        </w:rPr>
        <w:t>trgovačka društva</w:t>
      </w:r>
      <w:r w:rsidR="00E52BDF" w:rsidRPr="0048429B">
        <w:rPr>
          <w:lang w:val="hr-HR"/>
        </w:rPr>
        <w:t xml:space="preserve"> </w:t>
      </w:r>
      <w:r w:rsidRPr="0048429B">
        <w:rPr>
          <w:lang w:val="hr-HR"/>
        </w:rPr>
        <w:t xml:space="preserve">te druge pravne osobe </w:t>
      </w:r>
      <w:r w:rsidR="00E52BDF" w:rsidRPr="0048429B">
        <w:rPr>
          <w:lang w:val="hr-HR"/>
        </w:rPr>
        <w:t xml:space="preserve">u sektoru </w:t>
      </w:r>
      <w:r w:rsidR="0077786A" w:rsidRPr="0048429B">
        <w:rPr>
          <w:lang w:val="hr-HR"/>
        </w:rPr>
        <w:t xml:space="preserve">opće </w:t>
      </w:r>
      <w:r w:rsidR="00E52BDF" w:rsidRPr="0048429B">
        <w:rPr>
          <w:lang w:val="hr-HR"/>
        </w:rPr>
        <w:t>države</w:t>
      </w:r>
      <w:bookmarkEnd w:id="27"/>
      <w:bookmarkEnd w:id="28"/>
    </w:p>
    <w:p w:rsidR="00E52BDF" w:rsidRPr="0048429B" w:rsidRDefault="00E52BDF" w:rsidP="00E52BDF">
      <w:pPr>
        <w:rPr>
          <w:lang w:val="hr-HR"/>
        </w:rPr>
      </w:pPr>
    </w:p>
    <w:p w:rsidR="00A92827" w:rsidRPr="0048429B" w:rsidRDefault="00453498" w:rsidP="006012F9">
      <w:pPr>
        <w:spacing w:after="120"/>
        <w:jc w:val="both"/>
        <w:rPr>
          <w:rFonts w:ascii="Calibri" w:hAnsi="Calibri"/>
          <w:lang w:val="hr-HR"/>
        </w:rPr>
      </w:pPr>
      <w:r w:rsidRPr="0048429B">
        <w:rPr>
          <w:rFonts w:ascii="Calibri" w:hAnsi="Calibri"/>
          <w:lang w:val="hr-HR"/>
        </w:rPr>
        <w:t xml:space="preserve">Uz državni proračun, na ukupni saldo općeg proračuna prema ESA 2010 metodologiji utječu i financijski rezultati izvanproračunskih korisnika i trgovačkih društava te drugih pravnih osoba uključenih u sektor opće države. </w:t>
      </w:r>
      <w:r w:rsidR="00A92827" w:rsidRPr="0048429B">
        <w:rPr>
          <w:rFonts w:ascii="Calibri" w:hAnsi="Calibri"/>
          <w:lang w:val="hr-HR"/>
        </w:rPr>
        <w:t>Među najznačajnijima po veličini utjecaja na fiskalni saldo općeg proračuna odnosno na javni dug ističu se trgovačka društva iz sektora prometa: Hrvatske autoceste d.o.o., Autocesta Rijeka-Zagreb d.d., Hrvatske željeznice Infrastruktura d.o.o i Hrvatske željeznice Putnički prijevoz d.o.o. Stoga se planira u prvoj fazi ujednačiti postupak planiranja i izvještavanja o izvršenju financijskih planova spomenutih korisnika s postojećim postupkom važećim za izvanproračunske korisnike. To uključuje i davanje suglasnosti Hrvatskog sabora na financijske planove i na izvještaje o izvršenju financijskih planova izvanproračunskih korisnika iz sektora prometa. U tom kontekstu njihovi podaci će se iskazivati prema pravilima proračunskog računovodstva, a predviđa se da će Hrvatski sabor po prvi puta dati suglasnost na financijske planove izvanproračunskih korisnika iz sektora prometa uz donošenje Državnog proračuna RH za 2020. i projekcije za 2021. i 2022. godinu.</w:t>
      </w:r>
    </w:p>
    <w:p w:rsidR="00E8493C" w:rsidRPr="0048429B" w:rsidRDefault="00453498" w:rsidP="006012F9">
      <w:pPr>
        <w:spacing w:after="120"/>
        <w:jc w:val="both"/>
        <w:rPr>
          <w:rFonts w:ascii="Calibri" w:hAnsi="Calibri"/>
          <w:i/>
          <w:lang w:val="hr-HR"/>
        </w:rPr>
      </w:pPr>
      <w:r w:rsidRPr="0048429B">
        <w:rPr>
          <w:rFonts w:ascii="Calibri" w:hAnsi="Calibri"/>
          <w:lang w:val="hr-HR"/>
        </w:rPr>
        <w:t>Iz tog razloga Smjernicama je utvrđen i manjak/višak koji moraju ispunjavati te jedinice. Sukladno projekcijama iz Programa konvergencije za razdoblje 201</w:t>
      </w:r>
      <w:r w:rsidR="0048429B" w:rsidRPr="0048429B">
        <w:rPr>
          <w:rFonts w:ascii="Calibri" w:hAnsi="Calibri"/>
          <w:lang w:val="hr-HR"/>
        </w:rPr>
        <w:t>9</w:t>
      </w:r>
      <w:r w:rsidRPr="0048429B">
        <w:rPr>
          <w:rFonts w:ascii="Calibri" w:hAnsi="Calibri"/>
          <w:lang w:val="hr-HR"/>
        </w:rPr>
        <w:t>. - 202</w:t>
      </w:r>
      <w:r w:rsidR="0048429B" w:rsidRPr="0048429B">
        <w:rPr>
          <w:rFonts w:ascii="Calibri" w:hAnsi="Calibri"/>
          <w:lang w:val="hr-HR"/>
        </w:rPr>
        <w:t>2</w:t>
      </w:r>
      <w:r w:rsidRPr="0048429B">
        <w:rPr>
          <w:rFonts w:ascii="Calibri" w:hAnsi="Calibri"/>
          <w:lang w:val="hr-HR"/>
        </w:rPr>
        <w:t xml:space="preserve">. u svrhu ispunjavanja </w:t>
      </w:r>
      <w:r w:rsidR="00A92827" w:rsidRPr="0048429B">
        <w:rPr>
          <w:rFonts w:ascii="Calibri" w:hAnsi="Calibri"/>
          <w:lang w:val="hr-HR"/>
        </w:rPr>
        <w:t xml:space="preserve">fiskalnih pravila iz Zakona o fiskalnoj odgovornosti te </w:t>
      </w:r>
      <w:r w:rsidRPr="0048429B">
        <w:rPr>
          <w:rFonts w:ascii="Calibri" w:hAnsi="Calibri"/>
          <w:lang w:val="hr-HR"/>
        </w:rPr>
        <w:t xml:space="preserve">zahtjeva preventivnog dijela Pakta o stabilnosti i rastu, u tablici 7 definirane su ciljane vrijednosti salda kojih se izvanproračunski korisnici, trgovačka društva </w:t>
      </w:r>
      <w:r w:rsidR="0048429B" w:rsidRPr="0048429B">
        <w:rPr>
          <w:rFonts w:ascii="Calibri" w:hAnsi="Calibri"/>
          <w:lang w:val="hr-HR"/>
        </w:rPr>
        <w:t xml:space="preserve">koja će postati novi izvanproračunski korisnici od 2020. </w:t>
      </w:r>
      <w:r w:rsidRPr="0048429B">
        <w:rPr>
          <w:rFonts w:ascii="Calibri" w:hAnsi="Calibri"/>
          <w:lang w:val="hr-HR"/>
        </w:rPr>
        <w:t>te druge pravne osobe u sektoru opće države trebaju pridržavati u nadolazećem srednjoročnom razdoblju</w:t>
      </w:r>
      <w:r w:rsidR="0048429B" w:rsidRPr="0048429B">
        <w:rPr>
          <w:rFonts w:ascii="Calibri" w:hAnsi="Calibri"/>
          <w:lang w:val="hr-HR"/>
        </w:rPr>
        <w:t>, tj</w:t>
      </w:r>
      <w:r w:rsidRPr="0048429B">
        <w:rPr>
          <w:rFonts w:ascii="Calibri" w:hAnsi="Calibri"/>
          <w:lang w:val="hr-HR"/>
        </w:rPr>
        <w:t>.</w:t>
      </w:r>
      <w:r w:rsidR="0048429B" w:rsidRPr="0048429B">
        <w:rPr>
          <w:rFonts w:ascii="Calibri" w:hAnsi="Calibri"/>
          <w:lang w:val="hr-HR"/>
        </w:rPr>
        <w:t xml:space="preserve"> prilikom izrade financijskih planova za 2020. i projekcija za 2021. i 2022.</w:t>
      </w:r>
    </w:p>
    <w:p w:rsidR="00DE3CA6" w:rsidRPr="0048429B" w:rsidRDefault="00DE3CA6" w:rsidP="006012F9">
      <w:pPr>
        <w:spacing w:after="120"/>
        <w:jc w:val="both"/>
        <w:rPr>
          <w:rFonts w:ascii="Calibri" w:hAnsi="Calibri"/>
          <w:i/>
          <w:lang w:val="hr-HR"/>
        </w:rPr>
      </w:pPr>
      <w:bookmarkStart w:id="29" w:name="_Toc15461773"/>
      <w:r w:rsidRPr="0048429B">
        <w:rPr>
          <w:rFonts w:ascii="Calibri" w:hAnsi="Calibri"/>
          <w:i/>
          <w:lang w:val="hr-HR"/>
        </w:rPr>
        <w:t xml:space="preserve">Tablica </w:t>
      </w:r>
      <w:r w:rsidRPr="0048429B">
        <w:rPr>
          <w:rFonts w:ascii="Calibri" w:hAnsi="Calibri"/>
          <w:i/>
          <w:lang w:val="hr-HR"/>
        </w:rPr>
        <w:fldChar w:fldCharType="begin"/>
      </w:r>
      <w:r w:rsidRPr="0048429B">
        <w:rPr>
          <w:rFonts w:ascii="Calibri" w:hAnsi="Calibri"/>
          <w:i/>
          <w:lang w:val="hr-HR"/>
        </w:rPr>
        <w:instrText xml:space="preserve"> SEQ Tablica \* ARABIC </w:instrText>
      </w:r>
      <w:r w:rsidRPr="0048429B">
        <w:rPr>
          <w:rFonts w:ascii="Calibri" w:hAnsi="Calibri"/>
          <w:i/>
          <w:lang w:val="hr-HR"/>
        </w:rPr>
        <w:fldChar w:fldCharType="separate"/>
      </w:r>
      <w:r w:rsidR="00A9084D">
        <w:rPr>
          <w:rFonts w:ascii="Calibri" w:hAnsi="Calibri"/>
          <w:i/>
          <w:noProof/>
          <w:lang w:val="hr-HR"/>
        </w:rPr>
        <w:t>7</w:t>
      </w:r>
      <w:r w:rsidRPr="0048429B">
        <w:rPr>
          <w:rFonts w:ascii="Calibri" w:hAnsi="Calibri"/>
          <w:i/>
          <w:lang w:val="hr-HR"/>
        </w:rPr>
        <w:fldChar w:fldCharType="end"/>
      </w:r>
      <w:r w:rsidRPr="0048429B">
        <w:rPr>
          <w:rFonts w:ascii="Calibri" w:hAnsi="Calibri"/>
          <w:i/>
          <w:lang w:val="hr-HR"/>
        </w:rPr>
        <w:t>: Manjak/višak izvanproračunskih korisnika</w:t>
      </w:r>
      <w:r w:rsidR="0077786A" w:rsidRPr="0048429B">
        <w:rPr>
          <w:rFonts w:ascii="Calibri" w:hAnsi="Calibri"/>
          <w:i/>
          <w:lang w:val="hr-HR"/>
        </w:rPr>
        <w:t>, trgovačkih društava i drugih pravnih osoba</w:t>
      </w:r>
      <w:r w:rsidRPr="0048429B">
        <w:rPr>
          <w:rFonts w:ascii="Calibri" w:hAnsi="Calibri"/>
          <w:i/>
          <w:lang w:val="hr-HR"/>
        </w:rPr>
        <w:t xml:space="preserve"> u sektoru </w:t>
      </w:r>
      <w:r w:rsidR="0077786A" w:rsidRPr="0048429B">
        <w:rPr>
          <w:rFonts w:ascii="Calibri" w:hAnsi="Calibri"/>
          <w:i/>
          <w:lang w:val="hr-HR"/>
        </w:rPr>
        <w:t xml:space="preserve">opće </w:t>
      </w:r>
      <w:r w:rsidRPr="0048429B">
        <w:rPr>
          <w:rFonts w:ascii="Calibri" w:hAnsi="Calibri"/>
          <w:i/>
          <w:lang w:val="hr-HR"/>
        </w:rPr>
        <w:t>države</w:t>
      </w:r>
      <w:bookmarkEnd w:id="29"/>
      <w:r w:rsidRPr="0048429B">
        <w:rPr>
          <w:rFonts w:ascii="Calibri" w:hAnsi="Calibri"/>
          <w:i/>
          <w:lang w:val="hr-HR"/>
        </w:rPr>
        <w:t xml:space="preserve"> </w:t>
      </w:r>
    </w:p>
    <w:p w:rsidR="00DE3CA6" w:rsidRPr="0048429B" w:rsidRDefault="00E8493C" w:rsidP="00C77B1F">
      <w:pPr>
        <w:rPr>
          <w:rFonts w:ascii="Calibri" w:hAnsi="Calibri"/>
          <w:i/>
          <w:sz w:val="20"/>
          <w:szCs w:val="20"/>
          <w:lang w:val="hr-HR"/>
        </w:rPr>
      </w:pPr>
      <w:r w:rsidRPr="0048429B">
        <w:rPr>
          <w:noProof/>
          <w:lang w:val="hr-HR" w:eastAsia="hr-HR"/>
        </w:rPr>
        <w:drawing>
          <wp:inline distT="0" distB="0" distL="0" distR="0" wp14:anchorId="3B027AF8" wp14:editId="69345C99">
            <wp:extent cx="5760720" cy="271466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714667"/>
                    </a:xfrm>
                    <a:prstGeom prst="rect">
                      <a:avLst/>
                    </a:prstGeom>
                    <a:noFill/>
                    <a:ln>
                      <a:noFill/>
                    </a:ln>
                  </pic:spPr>
                </pic:pic>
              </a:graphicData>
            </a:graphic>
          </wp:inline>
        </w:drawing>
      </w:r>
      <w:r w:rsidR="00DE3CA6" w:rsidRPr="0048429B">
        <w:rPr>
          <w:rFonts w:ascii="Calibri" w:hAnsi="Calibri"/>
          <w:i/>
          <w:sz w:val="20"/>
          <w:szCs w:val="20"/>
          <w:lang w:val="hr-HR"/>
        </w:rPr>
        <w:t>Izvor: Ministarstvo financija</w:t>
      </w:r>
    </w:p>
    <w:p w:rsidR="00E52BDF" w:rsidRPr="0048429B" w:rsidRDefault="00E52BDF" w:rsidP="00E52BDF">
      <w:pPr>
        <w:spacing w:after="120"/>
        <w:rPr>
          <w:rFonts w:ascii="Calibri" w:hAnsi="Calibri"/>
          <w:i/>
          <w:lang w:val="hr-HR"/>
        </w:rPr>
      </w:pPr>
    </w:p>
    <w:p w:rsidR="00C77B1F" w:rsidRPr="0048429B" w:rsidRDefault="00C77B1F" w:rsidP="00E52BDF">
      <w:pPr>
        <w:spacing w:after="120"/>
        <w:rPr>
          <w:rFonts w:ascii="Calibri" w:hAnsi="Calibri"/>
          <w:i/>
          <w:lang w:val="hr-HR"/>
        </w:rPr>
      </w:pPr>
    </w:p>
    <w:p w:rsidR="00E52BDF" w:rsidRPr="0048429B" w:rsidRDefault="005D48F4" w:rsidP="00E52BDF">
      <w:pPr>
        <w:pStyle w:val="Heading2"/>
        <w:numPr>
          <w:ilvl w:val="1"/>
          <w:numId w:val="1"/>
        </w:numPr>
        <w:rPr>
          <w:lang w:val="hr-HR"/>
        </w:rPr>
      </w:pPr>
      <w:bookmarkStart w:id="30" w:name="_Toc15461765"/>
      <w:r w:rsidRPr="0048429B">
        <w:rPr>
          <w:lang w:val="hr-HR"/>
        </w:rPr>
        <w:lastRenderedPageBreak/>
        <w:t>Manjak/višak konsolidirane opće države</w:t>
      </w:r>
      <w:bookmarkEnd w:id="30"/>
    </w:p>
    <w:p w:rsidR="00E52BDF" w:rsidRPr="0048429B" w:rsidRDefault="00E52BDF" w:rsidP="00E52BDF">
      <w:pPr>
        <w:rPr>
          <w:lang w:val="hr-HR"/>
        </w:rPr>
      </w:pPr>
    </w:p>
    <w:p w:rsidR="00DE3CA6" w:rsidRPr="0048429B" w:rsidRDefault="00DE3CA6" w:rsidP="00200865">
      <w:pPr>
        <w:spacing w:after="120"/>
        <w:jc w:val="both"/>
        <w:rPr>
          <w:rFonts w:ascii="Calibri" w:hAnsi="Calibri"/>
          <w:lang w:val="hr-HR"/>
        </w:rPr>
      </w:pPr>
      <w:r w:rsidRPr="0048429B">
        <w:rPr>
          <w:rFonts w:ascii="Calibri" w:hAnsi="Calibri"/>
          <w:lang w:val="hr-HR"/>
        </w:rPr>
        <w:t xml:space="preserve">U skladu s kretanjima prihoda i rashoda svih razina općeg proračuna, </w:t>
      </w:r>
      <w:r w:rsidR="006012F9" w:rsidRPr="0048429B">
        <w:rPr>
          <w:rFonts w:ascii="Calibri" w:hAnsi="Calibri"/>
          <w:lang w:val="hr-HR"/>
        </w:rPr>
        <w:t xml:space="preserve">manjak općeg proračuna </w:t>
      </w:r>
      <w:r w:rsidR="00ED6E2C" w:rsidRPr="0048429B">
        <w:rPr>
          <w:rFonts w:ascii="Calibri" w:hAnsi="Calibri"/>
          <w:lang w:val="hr-HR"/>
        </w:rPr>
        <w:t xml:space="preserve">prema nacionalnoj metodologiji </w:t>
      </w:r>
      <w:r w:rsidR="006012F9" w:rsidRPr="0048429B">
        <w:rPr>
          <w:rFonts w:ascii="Calibri" w:hAnsi="Calibri"/>
          <w:lang w:val="hr-HR"/>
        </w:rPr>
        <w:t>u 20</w:t>
      </w:r>
      <w:r w:rsidR="00CA62E0" w:rsidRPr="0048429B">
        <w:rPr>
          <w:rFonts w:ascii="Calibri" w:hAnsi="Calibri"/>
          <w:lang w:val="hr-HR"/>
        </w:rPr>
        <w:t>20</w:t>
      </w:r>
      <w:r w:rsidR="006012F9" w:rsidRPr="0048429B">
        <w:rPr>
          <w:rFonts w:ascii="Calibri" w:hAnsi="Calibri"/>
          <w:lang w:val="hr-HR"/>
        </w:rPr>
        <w:t xml:space="preserve">. godini projicira se na razini od </w:t>
      </w:r>
      <w:r w:rsidR="00ED6E2C" w:rsidRPr="0048429B">
        <w:rPr>
          <w:rFonts w:ascii="Calibri" w:hAnsi="Calibri"/>
          <w:lang w:val="hr-HR"/>
        </w:rPr>
        <w:t>0,2</w:t>
      </w:r>
      <w:r w:rsidR="006012F9" w:rsidRPr="0048429B">
        <w:rPr>
          <w:rFonts w:ascii="Calibri" w:hAnsi="Calibri"/>
          <w:lang w:val="hr-HR"/>
        </w:rPr>
        <w:t>% BDP-a. U 202</w:t>
      </w:r>
      <w:r w:rsidR="00CA62E0" w:rsidRPr="0048429B">
        <w:rPr>
          <w:rFonts w:ascii="Calibri" w:hAnsi="Calibri"/>
          <w:lang w:val="hr-HR"/>
        </w:rPr>
        <w:t>1</w:t>
      </w:r>
      <w:r w:rsidR="00ED6E2C" w:rsidRPr="0048429B">
        <w:rPr>
          <w:rFonts w:ascii="Calibri" w:hAnsi="Calibri"/>
          <w:lang w:val="hr-HR"/>
        </w:rPr>
        <w:t>. projicira se njegov blagi višak n</w:t>
      </w:r>
      <w:r w:rsidR="006012F9" w:rsidRPr="0048429B">
        <w:rPr>
          <w:rFonts w:ascii="Calibri" w:hAnsi="Calibri"/>
          <w:lang w:val="hr-HR"/>
        </w:rPr>
        <w:t>a razin</w:t>
      </w:r>
      <w:r w:rsidR="00ED6E2C" w:rsidRPr="0048429B">
        <w:rPr>
          <w:rFonts w:ascii="Calibri" w:hAnsi="Calibri"/>
          <w:lang w:val="hr-HR"/>
        </w:rPr>
        <w:t>i</w:t>
      </w:r>
      <w:r w:rsidR="006012F9" w:rsidRPr="0048429B">
        <w:rPr>
          <w:rFonts w:ascii="Calibri" w:hAnsi="Calibri"/>
          <w:lang w:val="hr-HR"/>
        </w:rPr>
        <w:t xml:space="preserve"> od 0,</w:t>
      </w:r>
      <w:r w:rsidR="00ED6E2C" w:rsidRPr="0048429B">
        <w:rPr>
          <w:rFonts w:ascii="Calibri" w:hAnsi="Calibri"/>
          <w:lang w:val="hr-HR"/>
        </w:rPr>
        <w:t>2</w:t>
      </w:r>
      <w:r w:rsidR="006012F9" w:rsidRPr="0048429B">
        <w:rPr>
          <w:rFonts w:ascii="Calibri" w:hAnsi="Calibri"/>
          <w:lang w:val="hr-HR"/>
        </w:rPr>
        <w:t>%</w:t>
      </w:r>
      <w:r w:rsidR="00ED6E2C" w:rsidRPr="0048429B">
        <w:rPr>
          <w:rFonts w:ascii="Calibri" w:hAnsi="Calibri"/>
          <w:lang w:val="hr-HR"/>
        </w:rPr>
        <w:t xml:space="preserve"> </w:t>
      </w:r>
      <w:r w:rsidR="006012F9" w:rsidRPr="0048429B">
        <w:rPr>
          <w:rFonts w:ascii="Calibri" w:hAnsi="Calibri"/>
          <w:lang w:val="hr-HR"/>
        </w:rPr>
        <w:t>BDP-a</w:t>
      </w:r>
      <w:r w:rsidR="008211E8" w:rsidRPr="0048429B">
        <w:rPr>
          <w:rFonts w:ascii="Calibri" w:hAnsi="Calibri"/>
          <w:lang w:val="hr-HR"/>
        </w:rPr>
        <w:t>,</w:t>
      </w:r>
      <w:r w:rsidR="006012F9" w:rsidRPr="0048429B">
        <w:rPr>
          <w:rFonts w:ascii="Calibri" w:hAnsi="Calibri"/>
          <w:lang w:val="hr-HR"/>
        </w:rPr>
        <w:t xml:space="preserve"> dok </w:t>
      </w:r>
      <w:r w:rsidR="00127B13" w:rsidRPr="0048429B">
        <w:rPr>
          <w:rFonts w:ascii="Calibri" w:hAnsi="Calibri"/>
          <w:lang w:val="hr-HR"/>
        </w:rPr>
        <w:t xml:space="preserve">se </w:t>
      </w:r>
      <w:r w:rsidR="006012F9" w:rsidRPr="0048429B">
        <w:rPr>
          <w:rFonts w:ascii="Calibri" w:hAnsi="Calibri"/>
          <w:lang w:val="hr-HR"/>
        </w:rPr>
        <w:t xml:space="preserve">u </w:t>
      </w:r>
      <w:r w:rsidR="00CA62E0" w:rsidRPr="0048429B">
        <w:rPr>
          <w:rFonts w:ascii="Calibri" w:hAnsi="Calibri"/>
          <w:lang w:val="hr-HR"/>
        </w:rPr>
        <w:t>2022</w:t>
      </w:r>
      <w:r w:rsidR="006012F9" w:rsidRPr="0048429B">
        <w:rPr>
          <w:rFonts w:ascii="Calibri" w:hAnsi="Calibri"/>
          <w:lang w:val="hr-HR"/>
        </w:rPr>
        <w:t xml:space="preserve">. godini </w:t>
      </w:r>
      <w:r w:rsidR="00127B13" w:rsidRPr="0048429B">
        <w:rPr>
          <w:rFonts w:ascii="Calibri" w:hAnsi="Calibri"/>
          <w:lang w:val="hr-HR"/>
        </w:rPr>
        <w:t xml:space="preserve">projicira </w:t>
      </w:r>
      <w:r w:rsidR="006012F9" w:rsidRPr="0048429B">
        <w:rPr>
          <w:rFonts w:ascii="Calibri" w:hAnsi="Calibri"/>
          <w:lang w:val="hr-HR"/>
        </w:rPr>
        <w:t>višak od 0,</w:t>
      </w:r>
      <w:r w:rsidR="00ED6E2C" w:rsidRPr="0048429B">
        <w:rPr>
          <w:rFonts w:ascii="Calibri" w:hAnsi="Calibri"/>
          <w:lang w:val="hr-HR"/>
        </w:rPr>
        <w:t>6</w:t>
      </w:r>
      <w:r w:rsidR="006012F9" w:rsidRPr="0048429B">
        <w:rPr>
          <w:rFonts w:ascii="Calibri" w:hAnsi="Calibri"/>
          <w:lang w:val="hr-HR"/>
        </w:rPr>
        <w:t>% BDP-a.</w:t>
      </w:r>
      <w:r w:rsidR="00547DC5" w:rsidRPr="0048429B">
        <w:rPr>
          <w:rFonts w:ascii="Calibri" w:hAnsi="Calibri"/>
          <w:lang w:val="hr-HR"/>
        </w:rPr>
        <w:t xml:space="preserve"> </w:t>
      </w:r>
      <w:r w:rsidRPr="0048429B">
        <w:rPr>
          <w:rFonts w:ascii="Calibri" w:hAnsi="Calibri"/>
          <w:lang w:val="hr-HR"/>
        </w:rPr>
        <w:t xml:space="preserve">Pritom </w:t>
      </w:r>
      <w:r w:rsidR="00ED6E2C" w:rsidRPr="0048429B">
        <w:rPr>
          <w:rFonts w:ascii="Calibri" w:hAnsi="Calibri"/>
          <w:lang w:val="hr-HR"/>
        </w:rPr>
        <w:t>se za</w:t>
      </w:r>
      <w:r w:rsidR="00127B13" w:rsidRPr="0048429B">
        <w:rPr>
          <w:rFonts w:ascii="Calibri" w:hAnsi="Calibri"/>
          <w:lang w:val="hr-HR"/>
        </w:rPr>
        <w:t xml:space="preserve"> </w:t>
      </w:r>
      <w:r w:rsidRPr="0048429B">
        <w:rPr>
          <w:rFonts w:ascii="Calibri" w:hAnsi="Calibri"/>
          <w:lang w:val="hr-HR"/>
        </w:rPr>
        <w:t>državn</w:t>
      </w:r>
      <w:r w:rsidR="00ED6E2C" w:rsidRPr="0048429B">
        <w:rPr>
          <w:rFonts w:ascii="Calibri" w:hAnsi="Calibri"/>
          <w:lang w:val="hr-HR"/>
        </w:rPr>
        <w:t>i</w:t>
      </w:r>
      <w:r w:rsidRPr="0048429B">
        <w:rPr>
          <w:rFonts w:ascii="Calibri" w:hAnsi="Calibri"/>
          <w:lang w:val="hr-HR"/>
        </w:rPr>
        <w:t xml:space="preserve"> proračun</w:t>
      </w:r>
      <w:r w:rsidR="00127B13" w:rsidRPr="0048429B">
        <w:rPr>
          <w:rFonts w:ascii="Calibri" w:hAnsi="Calibri"/>
          <w:lang w:val="hr-HR"/>
        </w:rPr>
        <w:t xml:space="preserve"> </w:t>
      </w:r>
      <w:r w:rsidRPr="0048429B">
        <w:rPr>
          <w:rFonts w:ascii="Calibri" w:hAnsi="Calibri"/>
          <w:lang w:val="hr-HR"/>
        </w:rPr>
        <w:t xml:space="preserve">u </w:t>
      </w:r>
      <w:r w:rsidR="00CA62E0" w:rsidRPr="0048429B">
        <w:rPr>
          <w:rFonts w:ascii="Calibri" w:hAnsi="Calibri"/>
          <w:lang w:val="hr-HR"/>
        </w:rPr>
        <w:t>2020</w:t>
      </w:r>
      <w:r w:rsidRPr="0048429B">
        <w:rPr>
          <w:rFonts w:ascii="Calibri" w:hAnsi="Calibri"/>
          <w:lang w:val="hr-HR"/>
        </w:rPr>
        <w:t xml:space="preserve">. </w:t>
      </w:r>
      <w:r w:rsidR="00127B13" w:rsidRPr="0048429B">
        <w:rPr>
          <w:rFonts w:ascii="Calibri" w:hAnsi="Calibri"/>
          <w:lang w:val="hr-HR"/>
        </w:rPr>
        <w:t xml:space="preserve">očekuje </w:t>
      </w:r>
      <w:r w:rsidRPr="0048429B">
        <w:rPr>
          <w:rFonts w:ascii="Calibri" w:hAnsi="Calibri"/>
          <w:lang w:val="hr-HR"/>
        </w:rPr>
        <w:t xml:space="preserve">manjak od </w:t>
      </w:r>
      <w:r w:rsidR="00ED6E2C" w:rsidRPr="0048429B">
        <w:rPr>
          <w:rFonts w:ascii="Calibri" w:hAnsi="Calibri"/>
          <w:lang w:val="hr-HR"/>
        </w:rPr>
        <w:t>0,6</w:t>
      </w:r>
      <w:r w:rsidR="00547DC5" w:rsidRPr="0048429B">
        <w:rPr>
          <w:rFonts w:ascii="Calibri" w:hAnsi="Calibri"/>
          <w:lang w:val="hr-HR"/>
        </w:rPr>
        <w:t>%</w:t>
      </w:r>
      <w:r w:rsidR="008211E8" w:rsidRPr="0048429B">
        <w:rPr>
          <w:rFonts w:ascii="Calibri" w:hAnsi="Calibri"/>
          <w:lang w:val="hr-HR"/>
        </w:rPr>
        <w:t xml:space="preserve"> </w:t>
      </w:r>
      <w:r w:rsidRPr="0048429B">
        <w:rPr>
          <w:rFonts w:ascii="Calibri" w:hAnsi="Calibri"/>
          <w:lang w:val="hr-HR"/>
        </w:rPr>
        <w:t>BDP-a, u 20</w:t>
      </w:r>
      <w:r w:rsidR="00547DC5" w:rsidRPr="0048429B">
        <w:rPr>
          <w:rFonts w:ascii="Calibri" w:hAnsi="Calibri"/>
          <w:lang w:val="hr-HR"/>
        </w:rPr>
        <w:t>2</w:t>
      </w:r>
      <w:r w:rsidR="00CA62E0" w:rsidRPr="0048429B">
        <w:rPr>
          <w:rFonts w:ascii="Calibri" w:hAnsi="Calibri"/>
          <w:lang w:val="hr-HR"/>
        </w:rPr>
        <w:t>1</w:t>
      </w:r>
      <w:r w:rsidRPr="0048429B">
        <w:rPr>
          <w:rFonts w:ascii="Calibri" w:hAnsi="Calibri"/>
          <w:lang w:val="hr-HR"/>
        </w:rPr>
        <w:t xml:space="preserve">. od </w:t>
      </w:r>
      <w:r w:rsidR="00E17867" w:rsidRPr="0048429B">
        <w:rPr>
          <w:rFonts w:ascii="Calibri" w:hAnsi="Calibri"/>
          <w:lang w:val="hr-HR"/>
        </w:rPr>
        <w:t>0,</w:t>
      </w:r>
      <w:r w:rsidR="00ED6E2C" w:rsidRPr="0048429B">
        <w:rPr>
          <w:rFonts w:ascii="Calibri" w:hAnsi="Calibri"/>
          <w:lang w:val="hr-HR"/>
        </w:rPr>
        <w:t>2</w:t>
      </w:r>
      <w:r w:rsidR="00547DC5" w:rsidRPr="0048429B">
        <w:rPr>
          <w:rFonts w:ascii="Calibri" w:hAnsi="Calibri"/>
          <w:lang w:val="hr-HR"/>
        </w:rPr>
        <w:t xml:space="preserve">% </w:t>
      </w:r>
      <w:r w:rsidR="00E17867" w:rsidRPr="0048429B">
        <w:rPr>
          <w:rFonts w:ascii="Calibri" w:hAnsi="Calibri"/>
          <w:lang w:val="hr-HR"/>
        </w:rPr>
        <w:t xml:space="preserve">BDP-a, </w:t>
      </w:r>
      <w:r w:rsidR="00127B13" w:rsidRPr="0048429B">
        <w:rPr>
          <w:rFonts w:ascii="Calibri" w:hAnsi="Calibri"/>
          <w:lang w:val="hr-HR"/>
        </w:rPr>
        <w:t>dok se</w:t>
      </w:r>
      <w:r w:rsidR="00E17867" w:rsidRPr="0048429B">
        <w:rPr>
          <w:rFonts w:ascii="Calibri" w:hAnsi="Calibri"/>
          <w:lang w:val="hr-HR"/>
        </w:rPr>
        <w:t xml:space="preserve"> u 202</w:t>
      </w:r>
      <w:r w:rsidR="00CA62E0" w:rsidRPr="0048429B">
        <w:rPr>
          <w:rFonts w:ascii="Calibri" w:hAnsi="Calibri"/>
          <w:lang w:val="hr-HR"/>
        </w:rPr>
        <w:t>2</w:t>
      </w:r>
      <w:r w:rsidRPr="0048429B">
        <w:rPr>
          <w:rFonts w:ascii="Calibri" w:hAnsi="Calibri"/>
          <w:lang w:val="hr-HR"/>
        </w:rPr>
        <w:t xml:space="preserve">. godini </w:t>
      </w:r>
      <w:r w:rsidR="00E17867" w:rsidRPr="0048429B">
        <w:rPr>
          <w:rFonts w:ascii="Calibri" w:hAnsi="Calibri"/>
          <w:lang w:val="hr-HR"/>
        </w:rPr>
        <w:t xml:space="preserve">očekuje </w:t>
      </w:r>
      <w:r w:rsidR="00ED6E2C" w:rsidRPr="0048429B">
        <w:rPr>
          <w:rFonts w:ascii="Calibri" w:hAnsi="Calibri"/>
          <w:lang w:val="hr-HR"/>
        </w:rPr>
        <w:t>višak državnog proračuna od</w:t>
      </w:r>
      <w:r w:rsidR="00E17867" w:rsidRPr="0048429B">
        <w:rPr>
          <w:rFonts w:ascii="Calibri" w:hAnsi="Calibri"/>
          <w:lang w:val="hr-HR"/>
        </w:rPr>
        <w:t xml:space="preserve"> </w:t>
      </w:r>
      <w:r w:rsidR="00ED6E2C" w:rsidRPr="0048429B">
        <w:rPr>
          <w:rFonts w:ascii="Calibri" w:hAnsi="Calibri"/>
          <w:lang w:val="hr-HR"/>
        </w:rPr>
        <w:t>0,3% BDP-a</w:t>
      </w:r>
      <w:r w:rsidR="00E17867" w:rsidRPr="0048429B">
        <w:rPr>
          <w:rFonts w:ascii="Calibri" w:hAnsi="Calibri"/>
          <w:lang w:val="hr-HR"/>
        </w:rPr>
        <w:t xml:space="preserve">. </w:t>
      </w:r>
      <w:r w:rsidRPr="0048429B">
        <w:rPr>
          <w:rFonts w:ascii="Calibri" w:hAnsi="Calibri"/>
          <w:lang w:val="hr-HR"/>
        </w:rPr>
        <w:t xml:space="preserve">Višak prihoda nad rashodima izvanproračunskih korisnika u promatranom srednjoročnom razdoblju </w:t>
      </w:r>
      <w:r w:rsidR="00127B13" w:rsidRPr="0048429B">
        <w:rPr>
          <w:rFonts w:ascii="Calibri" w:hAnsi="Calibri"/>
          <w:lang w:val="hr-HR"/>
        </w:rPr>
        <w:t>očekuje se</w:t>
      </w:r>
      <w:r w:rsidRPr="0048429B">
        <w:rPr>
          <w:rFonts w:ascii="Calibri" w:hAnsi="Calibri"/>
          <w:lang w:val="hr-HR"/>
        </w:rPr>
        <w:t xml:space="preserve"> u prosjeku</w:t>
      </w:r>
      <w:r w:rsidR="00127B13" w:rsidRPr="0048429B">
        <w:rPr>
          <w:rFonts w:ascii="Calibri" w:hAnsi="Calibri"/>
          <w:lang w:val="hr-HR"/>
        </w:rPr>
        <w:t xml:space="preserve"> od</w:t>
      </w:r>
      <w:r w:rsidRPr="0048429B">
        <w:rPr>
          <w:rFonts w:ascii="Calibri" w:hAnsi="Calibri"/>
          <w:lang w:val="hr-HR"/>
        </w:rPr>
        <w:t xml:space="preserve"> 0,</w:t>
      </w:r>
      <w:r w:rsidR="00ED6E2C" w:rsidRPr="0048429B">
        <w:rPr>
          <w:rFonts w:ascii="Calibri" w:hAnsi="Calibri"/>
          <w:lang w:val="hr-HR"/>
        </w:rPr>
        <w:t>5</w:t>
      </w:r>
      <w:r w:rsidR="00216659" w:rsidRPr="0048429B">
        <w:rPr>
          <w:rFonts w:ascii="Calibri" w:hAnsi="Calibri"/>
          <w:lang w:val="hr-HR"/>
        </w:rPr>
        <w:t xml:space="preserve"> posto</w:t>
      </w:r>
      <w:r w:rsidRPr="0048429B">
        <w:rPr>
          <w:rFonts w:ascii="Calibri" w:hAnsi="Calibri"/>
          <w:lang w:val="hr-HR"/>
        </w:rPr>
        <w:t xml:space="preserve"> BDP-a</w:t>
      </w:r>
      <w:r w:rsidR="008211E8" w:rsidRPr="0048429B">
        <w:rPr>
          <w:rFonts w:ascii="Calibri" w:hAnsi="Calibri"/>
          <w:lang w:val="hr-HR"/>
        </w:rPr>
        <w:t>,</w:t>
      </w:r>
      <w:r w:rsidRPr="0048429B">
        <w:rPr>
          <w:rFonts w:ascii="Calibri" w:hAnsi="Calibri"/>
          <w:lang w:val="hr-HR"/>
        </w:rPr>
        <w:t xml:space="preserve"> dok </w:t>
      </w:r>
      <w:r w:rsidR="00127B13" w:rsidRPr="0048429B">
        <w:rPr>
          <w:rFonts w:ascii="Calibri" w:hAnsi="Calibri"/>
          <w:lang w:val="hr-HR"/>
        </w:rPr>
        <w:t xml:space="preserve">se za </w:t>
      </w:r>
      <w:r w:rsidR="00E17867" w:rsidRPr="0048429B">
        <w:rPr>
          <w:rFonts w:ascii="Calibri" w:hAnsi="Calibri"/>
          <w:lang w:val="hr-HR"/>
        </w:rPr>
        <w:t>jedinice lokalne i područne (regionalne) samouprave</w:t>
      </w:r>
      <w:r w:rsidRPr="0048429B">
        <w:rPr>
          <w:rFonts w:ascii="Calibri" w:hAnsi="Calibri"/>
          <w:lang w:val="hr-HR"/>
        </w:rPr>
        <w:t xml:space="preserve"> </w:t>
      </w:r>
      <w:r w:rsidR="00127B13" w:rsidRPr="0048429B">
        <w:rPr>
          <w:rFonts w:ascii="Calibri" w:hAnsi="Calibri"/>
          <w:lang w:val="hr-HR"/>
        </w:rPr>
        <w:t xml:space="preserve">očekuje </w:t>
      </w:r>
      <w:r w:rsidR="00ED6E2C" w:rsidRPr="0048429B">
        <w:rPr>
          <w:rFonts w:ascii="Calibri" w:hAnsi="Calibri"/>
          <w:lang w:val="hr-HR"/>
        </w:rPr>
        <w:t>manjak</w:t>
      </w:r>
      <w:r w:rsidRPr="0048429B">
        <w:rPr>
          <w:rFonts w:ascii="Calibri" w:hAnsi="Calibri"/>
          <w:lang w:val="hr-HR"/>
        </w:rPr>
        <w:t xml:space="preserve"> od 0,1</w:t>
      </w:r>
      <w:r w:rsidR="00216659" w:rsidRPr="0048429B">
        <w:rPr>
          <w:rFonts w:ascii="Calibri" w:hAnsi="Calibri"/>
          <w:lang w:val="hr-HR"/>
        </w:rPr>
        <w:t xml:space="preserve"> posto</w:t>
      </w:r>
      <w:r w:rsidRPr="0048429B">
        <w:rPr>
          <w:rFonts w:ascii="Calibri" w:hAnsi="Calibri"/>
          <w:lang w:val="hr-HR"/>
        </w:rPr>
        <w:t xml:space="preserve"> BDP-a godišnje.</w:t>
      </w:r>
    </w:p>
    <w:p w:rsidR="002A45C2" w:rsidRPr="0048429B" w:rsidRDefault="002A45C2" w:rsidP="00200865">
      <w:pPr>
        <w:spacing w:after="120"/>
        <w:jc w:val="both"/>
        <w:rPr>
          <w:rFonts w:ascii="Calibri" w:hAnsi="Calibri"/>
          <w:lang w:val="hr-HR"/>
        </w:rPr>
      </w:pPr>
      <w:r w:rsidRPr="0048429B">
        <w:rPr>
          <w:rFonts w:ascii="Calibri" w:hAnsi="Calibri"/>
          <w:lang w:val="hr-HR"/>
        </w:rPr>
        <w:t xml:space="preserve">Kada se ovim veličinama pridodaju </w:t>
      </w:r>
      <w:r w:rsidR="004E5B14" w:rsidRPr="0048429B">
        <w:rPr>
          <w:rFonts w:ascii="Calibri" w:hAnsi="Calibri"/>
          <w:lang w:val="hr-HR"/>
        </w:rPr>
        <w:t xml:space="preserve">prilagodbe nacionalne metodologije računskog plana </w:t>
      </w:r>
      <w:r w:rsidR="0008422F" w:rsidRPr="0048429B">
        <w:rPr>
          <w:rFonts w:ascii="Calibri" w:hAnsi="Calibri"/>
          <w:lang w:val="hr-HR"/>
        </w:rPr>
        <w:t xml:space="preserve">metodologiji </w:t>
      </w:r>
      <w:r w:rsidR="004E5B14" w:rsidRPr="0048429B">
        <w:rPr>
          <w:rFonts w:ascii="Calibri" w:hAnsi="Calibri"/>
          <w:lang w:val="hr-HR"/>
        </w:rPr>
        <w:t xml:space="preserve">ESA 2010 </w:t>
      </w:r>
      <w:r w:rsidR="0008422F" w:rsidRPr="0048429B">
        <w:rPr>
          <w:rFonts w:ascii="Calibri" w:hAnsi="Calibri"/>
          <w:lang w:val="hr-HR"/>
        </w:rPr>
        <w:t>te</w:t>
      </w:r>
      <w:r w:rsidR="00D66105" w:rsidRPr="0048429B">
        <w:rPr>
          <w:rFonts w:ascii="Calibri" w:hAnsi="Calibri"/>
          <w:lang w:val="hr-HR"/>
        </w:rPr>
        <w:t xml:space="preserve"> </w:t>
      </w:r>
      <w:r w:rsidRPr="0048429B">
        <w:rPr>
          <w:rFonts w:ascii="Calibri" w:hAnsi="Calibri"/>
          <w:lang w:val="hr-HR"/>
        </w:rPr>
        <w:t xml:space="preserve">projekcije manjka/viška </w:t>
      </w:r>
      <w:r w:rsidR="00547DC5" w:rsidRPr="0048429B">
        <w:rPr>
          <w:rFonts w:ascii="Calibri" w:hAnsi="Calibri"/>
          <w:lang w:val="hr-HR"/>
        </w:rPr>
        <w:t>trgovačkih društava i ostalih pravnih osoba</w:t>
      </w:r>
      <w:r w:rsidRPr="0048429B">
        <w:rPr>
          <w:rFonts w:ascii="Calibri" w:hAnsi="Calibri"/>
          <w:lang w:val="hr-HR"/>
        </w:rPr>
        <w:t xml:space="preserve"> koje su </w:t>
      </w:r>
      <w:r w:rsidR="00547DC5" w:rsidRPr="0048429B">
        <w:rPr>
          <w:rFonts w:ascii="Calibri" w:hAnsi="Calibri"/>
          <w:lang w:val="hr-HR"/>
        </w:rPr>
        <w:t xml:space="preserve">statistički </w:t>
      </w:r>
      <w:r w:rsidRPr="0048429B">
        <w:rPr>
          <w:rFonts w:ascii="Calibri" w:hAnsi="Calibri"/>
          <w:lang w:val="hr-HR"/>
        </w:rPr>
        <w:t>uključene u sektor opće drža</w:t>
      </w:r>
      <w:r w:rsidR="00D66105" w:rsidRPr="0048429B">
        <w:rPr>
          <w:rFonts w:ascii="Calibri" w:hAnsi="Calibri"/>
          <w:lang w:val="hr-HR"/>
        </w:rPr>
        <w:t xml:space="preserve">ve, </w:t>
      </w:r>
      <w:r w:rsidRPr="0048429B">
        <w:rPr>
          <w:rFonts w:ascii="Calibri" w:hAnsi="Calibri"/>
          <w:lang w:val="hr-HR"/>
        </w:rPr>
        <w:t xml:space="preserve">očekuje se </w:t>
      </w:r>
      <w:r w:rsidR="0049191F" w:rsidRPr="0048429B">
        <w:rPr>
          <w:rFonts w:ascii="Calibri" w:hAnsi="Calibri"/>
          <w:lang w:val="hr-HR"/>
        </w:rPr>
        <w:t xml:space="preserve">da će planirani </w:t>
      </w:r>
      <w:r w:rsidR="00ED6E2C" w:rsidRPr="0048429B">
        <w:rPr>
          <w:rFonts w:ascii="Calibri" w:hAnsi="Calibri"/>
          <w:lang w:val="hr-HR"/>
        </w:rPr>
        <w:t>višak</w:t>
      </w:r>
      <w:r w:rsidR="0049191F" w:rsidRPr="0048429B">
        <w:rPr>
          <w:rFonts w:ascii="Calibri" w:hAnsi="Calibri"/>
          <w:lang w:val="hr-HR"/>
        </w:rPr>
        <w:t xml:space="preserve"> općeg proračuna iznositi </w:t>
      </w:r>
      <w:r w:rsidR="00CA62E0" w:rsidRPr="0048429B">
        <w:rPr>
          <w:rFonts w:ascii="Calibri" w:hAnsi="Calibri"/>
          <w:lang w:val="hr-HR"/>
        </w:rPr>
        <w:t>0,</w:t>
      </w:r>
      <w:r w:rsidR="00ED6E2C" w:rsidRPr="0048429B">
        <w:rPr>
          <w:rFonts w:ascii="Calibri" w:hAnsi="Calibri"/>
          <w:lang w:val="hr-HR"/>
        </w:rPr>
        <w:t>2</w:t>
      </w:r>
      <w:r w:rsidR="00CA62E0" w:rsidRPr="0048429B">
        <w:rPr>
          <w:rFonts w:ascii="Calibri" w:hAnsi="Calibri"/>
          <w:lang w:val="hr-HR"/>
        </w:rPr>
        <w:t>% BDP-a u 2020</w:t>
      </w:r>
      <w:r w:rsidR="0049191F" w:rsidRPr="0048429B">
        <w:rPr>
          <w:rFonts w:ascii="Calibri" w:hAnsi="Calibri"/>
          <w:lang w:val="hr-HR"/>
        </w:rPr>
        <w:t xml:space="preserve">. </w:t>
      </w:r>
      <w:r w:rsidR="00CA62E0" w:rsidRPr="0048429B">
        <w:rPr>
          <w:rFonts w:ascii="Calibri" w:hAnsi="Calibri"/>
          <w:lang w:val="hr-HR"/>
        </w:rPr>
        <w:t>godini. U 2021</w:t>
      </w:r>
      <w:r w:rsidR="00ED6E2C" w:rsidRPr="0048429B">
        <w:rPr>
          <w:rFonts w:ascii="Calibri" w:hAnsi="Calibri"/>
          <w:lang w:val="hr-HR"/>
        </w:rPr>
        <w:t xml:space="preserve">. projiciran je višak </w:t>
      </w:r>
      <w:r w:rsidR="0049191F" w:rsidRPr="0048429B">
        <w:rPr>
          <w:rFonts w:ascii="Calibri" w:hAnsi="Calibri"/>
          <w:lang w:val="hr-HR"/>
        </w:rPr>
        <w:t xml:space="preserve">proračuna </w:t>
      </w:r>
      <w:r w:rsidR="00ED6E2C" w:rsidRPr="0048429B">
        <w:rPr>
          <w:rFonts w:ascii="Calibri" w:hAnsi="Calibri"/>
          <w:lang w:val="hr-HR"/>
        </w:rPr>
        <w:t>od 0,4% BDP-a, a</w:t>
      </w:r>
      <w:r w:rsidR="00CA62E0" w:rsidRPr="0048429B">
        <w:rPr>
          <w:rFonts w:ascii="Calibri" w:hAnsi="Calibri"/>
          <w:lang w:val="hr-HR"/>
        </w:rPr>
        <w:t xml:space="preserve"> u 2022</w:t>
      </w:r>
      <w:r w:rsidR="0049191F" w:rsidRPr="0048429B">
        <w:rPr>
          <w:rFonts w:ascii="Calibri" w:hAnsi="Calibri"/>
          <w:lang w:val="hr-HR"/>
        </w:rPr>
        <w:t xml:space="preserve">. godini očekuje </w:t>
      </w:r>
      <w:r w:rsidR="00ED6E2C" w:rsidRPr="0048429B">
        <w:rPr>
          <w:rFonts w:ascii="Calibri" w:hAnsi="Calibri"/>
          <w:lang w:val="hr-HR"/>
        </w:rPr>
        <w:t xml:space="preserve">se </w:t>
      </w:r>
      <w:r w:rsidR="0049191F" w:rsidRPr="0048429B">
        <w:rPr>
          <w:rFonts w:ascii="Calibri" w:hAnsi="Calibri"/>
          <w:lang w:val="hr-HR"/>
        </w:rPr>
        <w:t>višak od 0,</w:t>
      </w:r>
      <w:r w:rsidR="00ED6E2C" w:rsidRPr="0048429B">
        <w:rPr>
          <w:rFonts w:ascii="Calibri" w:hAnsi="Calibri"/>
          <w:lang w:val="hr-HR"/>
        </w:rPr>
        <w:t>8%</w:t>
      </w:r>
      <w:r w:rsidR="0049191F" w:rsidRPr="0048429B">
        <w:rPr>
          <w:rFonts w:ascii="Calibri" w:hAnsi="Calibri"/>
          <w:lang w:val="hr-HR"/>
        </w:rPr>
        <w:t xml:space="preserve"> BDP-a.</w:t>
      </w:r>
    </w:p>
    <w:p w:rsidR="00DE3CA6" w:rsidRPr="0048429B" w:rsidRDefault="00DE3CA6" w:rsidP="005E70AA">
      <w:pPr>
        <w:spacing w:after="120"/>
        <w:jc w:val="both"/>
        <w:rPr>
          <w:rFonts w:ascii="Calibri" w:hAnsi="Calibri"/>
          <w:i/>
          <w:lang w:val="hr-HR"/>
        </w:rPr>
      </w:pPr>
      <w:bookmarkStart w:id="31" w:name="_Toc15461774"/>
      <w:r w:rsidRPr="0048429B">
        <w:rPr>
          <w:rFonts w:ascii="Calibri" w:hAnsi="Calibri"/>
          <w:i/>
          <w:lang w:val="hr-HR"/>
        </w:rPr>
        <w:t xml:space="preserve">Tablica </w:t>
      </w:r>
      <w:r w:rsidRPr="0048429B">
        <w:rPr>
          <w:rFonts w:ascii="Calibri" w:hAnsi="Calibri"/>
          <w:i/>
          <w:lang w:val="hr-HR"/>
        </w:rPr>
        <w:fldChar w:fldCharType="begin"/>
      </w:r>
      <w:r w:rsidRPr="0048429B">
        <w:rPr>
          <w:rFonts w:ascii="Calibri" w:hAnsi="Calibri"/>
          <w:i/>
          <w:lang w:val="hr-HR"/>
        </w:rPr>
        <w:instrText xml:space="preserve"> SEQ Tablica \* ARABIC </w:instrText>
      </w:r>
      <w:r w:rsidRPr="0048429B">
        <w:rPr>
          <w:rFonts w:ascii="Calibri" w:hAnsi="Calibri"/>
          <w:i/>
          <w:lang w:val="hr-HR"/>
        </w:rPr>
        <w:fldChar w:fldCharType="separate"/>
      </w:r>
      <w:r w:rsidR="00A9084D">
        <w:rPr>
          <w:rFonts w:ascii="Calibri" w:hAnsi="Calibri"/>
          <w:i/>
          <w:noProof/>
          <w:lang w:val="hr-HR"/>
        </w:rPr>
        <w:t>8</w:t>
      </w:r>
      <w:r w:rsidRPr="0048429B">
        <w:rPr>
          <w:rFonts w:ascii="Calibri" w:hAnsi="Calibri"/>
          <w:i/>
          <w:lang w:val="hr-HR"/>
        </w:rPr>
        <w:fldChar w:fldCharType="end"/>
      </w:r>
      <w:r w:rsidRPr="0048429B">
        <w:rPr>
          <w:rFonts w:ascii="Calibri" w:hAnsi="Calibri"/>
          <w:i/>
          <w:lang w:val="hr-HR"/>
        </w:rPr>
        <w:t xml:space="preserve">: </w:t>
      </w:r>
      <w:r w:rsidR="005E70AA" w:rsidRPr="0048429B">
        <w:rPr>
          <w:rFonts w:ascii="Calibri" w:hAnsi="Calibri"/>
          <w:i/>
          <w:lang w:val="hr-HR"/>
        </w:rPr>
        <w:t>Manjak/višak općeg proračuna u razdoblju 201</w:t>
      </w:r>
      <w:r w:rsidR="00CA62E0" w:rsidRPr="0048429B">
        <w:rPr>
          <w:rFonts w:ascii="Calibri" w:hAnsi="Calibri"/>
          <w:i/>
          <w:lang w:val="hr-HR"/>
        </w:rPr>
        <w:t>8</w:t>
      </w:r>
      <w:r w:rsidR="005E70AA" w:rsidRPr="0048429B">
        <w:rPr>
          <w:rFonts w:ascii="Calibri" w:hAnsi="Calibri"/>
          <w:i/>
          <w:lang w:val="hr-HR"/>
        </w:rPr>
        <w:t>. – 202</w:t>
      </w:r>
      <w:r w:rsidR="00CA62E0" w:rsidRPr="0048429B">
        <w:rPr>
          <w:rFonts w:ascii="Calibri" w:hAnsi="Calibri"/>
          <w:i/>
          <w:lang w:val="hr-HR"/>
        </w:rPr>
        <w:t>2</w:t>
      </w:r>
      <w:r w:rsidR="005E70AA" w:rsidRPr="0048429B">
        <w:rPr>
          <w:rFonts w:ascii="Calibri" w:hAnsi="Calibri"/>
          <w:i/>
          <w:lang w:val="hr-HR"/>
        </w:rPr>
        <w:t>., nacionalna i ESA 2010 metodologija</w:t>
      </w:r>
      <w:bookmarkEnd w:id="31"/>
    </w:p>
    <w:p w:rsidR="00DE3CA6" w:rsidRPr="0048429B" w:rsidRDefault="00ED6E2C" w:rsidP="00DE3CA6">
      <w:pPr>
        <w:spacing w:after="120"/>
        <w:rPr>
          <w:rFonts w:ascii="Calibri" w:hAnsi="Calibri"/>
          <w:lang w:val="hr-HR"/>
        </w:rPr>
      </w:pPr>
      <w:r w:rsidRPr="0048429B">
        <w:rPr>
          <w:noProof/>
          <w:lang w:val="hr-HR" w:eastAsia="hr-HR"/>
        </w:rPr>
        <w:drawing>
          <wp:inline distT="0" distB="0" distL="0" distR="0" wp14:anchorId="18D157FD" wp14:editId="322948CC">
            <wp:extent cx="5760720" cy="447577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475776"/>
                    </a:xfrm>
                    <a:prstGeom prst="rect">
                      <a:avLst/>
                    </a:prstGeom>
                    <a:noFill/>
                    <a:ln>
                      <a:noFill/>
                    </a:ln>
                  </pic:spPr>
                </pic:pic>
              </a:graphicData>
            </a:graphic>
          </wp:inline>
        </w:drawing>
      </w:r>
    </w:p>
    <w:p w:rsidR="00DE3CA6" w:rsidRPr="0048429B" w:rsidRDefault="00DE3CA6" w:rsidP="00DE3CA6">
      <w:pPr>
        <w:spacing w:after="120"/>
        <w:rPr>
          <w:rFonts w:ascii="Calibri" w:hAnsi="Calibri"/>
          <w:i/>
          <w:sz w:val="20"/>
          <w:szCs w:val="20"/>
          <w:lang w:val="hr-HR"/>
        </w:rPr>
      </w:pPr>
      <w:r w:rsidRPr="0048429B">
        <w:rPr>
          <w:rFonts w:ascii="Calibri" w:hAnsi="Calibri"/>
          <w:i/>
          <w:sz w:val="20"/>
          <w:szCs w:val="20"/>
          <w:lang w:val="hr-HR"/>
        </w:rPr>
        <w:t>Izvor: Ministarstvo financija</w:t>
      </w:r>
    </w:p>
    <w:p w:rsidR="00ED6E2C" w:rsidRPr="0048429B" w:rsidRDefault="00ED6E2C" w:rsidP="00DE3CA6">
      <w:pPr>
        <w:spacing w:after="120"/>
        <w:rPr>
          <w:rFonts w:ascii="Calibri" w:hAnsi="Calibri"/>
          <w:i/>
          <w:sz w:val="20"/>
          <w:szCs w:val="20"/>
          <w:lang w:val="hr-HR"/>
        </w:rPr>
      </w:pPr>
      <w:r w:rsidRPr="0048429B">
        <w:rPr>
          <w:rFonts w:ascii="Calibri" w:hAnsi="Calibri"/>
          <w:i/>
          <w:sz w:val="20"/>
          <w:szCs w:val="20"/>
          <w:lang w:val="hr-HR"/>
        </w:rPr>
        <w:t xml:space="preserve">*Napomena: </w:t>
      </w:r>
      <w:r w:rsidR="00C77B1F" w:rsidRPr="0048429B">
        <w:rPr>
          <w:rFonts w:ascii="Calibri" w:hAnsi="Calibri"/>
          <w:i/>
          <w:sz w:val="20"/>
          <w:szCs w:val="20"/>
          <w:lang w:val="hr-HR"/>
        </w:rPr>
        <w:t>Uključene</w:t>
      </w:r>
      <w:r w:rsidRPr="0048429B">
        <w:rPr>
          <w:rFonts w:ascii="Calibri" w:hAnsi="Calibri"/>
          <w:i/>
          <w:sz w:val="20"/>
          <w:szCs w:val="20"/>
          <w:lang w:val="hr-HR"/>
        </w:rPr>
        <w:t xml:space="preserve"> </w:t>
      </w:r>
      <w:r w:rsidR="00454B97" w:rsidRPr="0048429B">
        <w:rPr>
          <w:rFonts w:ascii="Calibri" w:hAnsi="Calibri"/>
          <w:i/>
          <w:sz w:val="20"/>
          <w:szCs w:val="20"/>
          <w:lang w:val="hr-HR"/>
        </w:rPr>
        <w:t xml:space="preserve">i </w:t>
      </w:r>
      <w:r w:rsidRPr="0048429B">
        <w:rPr>
          <w:rFonts w:ascii="Calibri" w:hAnsi="Calibri"/>
          <w:i/>
          <w:sz w:val="20"/>
          <w:szCs w:val="20"/>
          <w:lang w:val="hr-HR"/>
        </w:rPr>
        <w:t xml:space="preserve">Hrvatske autoceste, Autocesta Rijeka-Zagreb, HŽ Infrastruktura, HŽ putnički prijevoz </w:t>
      </w:r>
    </w:p>
    <w:p w:rsidR="00DE3CA6" w:rsidRPr="0048429B" w:rsidRDefault="003D2EF3" w:rsidP="003D2EF3">
      <w:pPr>
        <w:pStyle w:val="Heading2"/>
        <w:numPr>
          <w:ilvl w:val="1"/>
          <w:numId w:val="1"/>
        </w:numPr>
        <w:rPr>
          <w:lang w:val="hr-HR"/>
        </w:rPr>
      </w:pPr>
      <w:bookmarkStart w:id="32" w:name="_Toc15461766"/>
      <w:r w:rsidRPr="0048429B">
        <w:rPr>
          <w:lang w:val="hr-HR"/>
        </w:rPr>
        <w:lastRenderedPageBreak/>
        <w:t>Stanje i projekcija kretanja javnog duga</w:t>
      </w:r>
      <w:bookmarkEnd w:id="32"/>
    </w:p>
    <w:p w:rsidR="00DE3CA6" w:rsidRPr="0048429B" w:rsidRDefault="00DE3CA6" w:rsidP="003D2EF3">
      <w:pPr>
        <w:spacing w:after="120"/>
        <w:jc w:val="both"/>
        <w:rPr>
          <w:rFonts w:ascii="Calibri" w:hAnsi="Calibri"/>
          <w:lang w:val="hr-HR"/>
        </w:rPr>
      </w:pPr>
    </w:p>
    <w:p w:rsidR="00CA62E0" w:rsidRPr="0048429B" w:rsidRDefault="00A92827" w:rsidP="00A92827">
      <w:pPr>
        <w:spacing w:after="120"/>
        <w:jc w:val="both"/>
        <w:rPr>
          <w:rFonts w:ascii="Calibri" w:hAnsi="Calibri"/>
          <w:lang w:val="hr-HR"/>
        </w:rPr>
      </w:pPr>
      <w:r w:rsidRPr="0048429B">
        <w:rPr>
          <w:rFonts w:ascii="Calibri" w:hAnsi="Calibri"/>
          <w:lang w:val="hr-HR"/>
        </w:rPr>
        <w:t>Temeljem kretanja fiskalnog salda proračuna opće države očekuje se da će udio javnog duga u BDP-u u 2019. godini zabilježiti daljnje smanjenje za 3</w:t>
      </w:r>
      <w:r w:rsidR="00ED6E2C" w:rsidRPr="0048429B">
        <w:rPr>
          <w:rFonts w:ascii="Calibri" w:hAnsi="Calibri"/>
          <w:lang w:val="hr-HR"/>
        </w:rPr>
        <w:t>,3</w:t>
      </w:r>
      <w:r w:rsidRPr="0048429B">
        <w:rPr>
          <w:rFonts w:ascii="Calibri" w:hAnsi="Calibri"/>
          <w:lang w:val="hr-HR"/>
        </w:rPr>
        <w:t xml:space="preserve"> postotna boda te </w:t>
      </w:r>
      <w:r w:rsidR="00127B13" w:rsidRPr="0048429B">
        <w:rPr>
          <w:rFonts w:ascii="Calibri" w:hAnsi="Calibri"/>
          <w:lang w:val="hr-HR"/>
        </w:rPr>
        <w:t xml:space="preserve">da </w:t>
      </w:r>
      <w:r w:rsidRPr="0048429B">
        <w:rPr>
          <w:rFonts w:ascii="Calibri" w:hAnsi="Calibri"/>
          <w:lang w:val="hr-HR"/>
        </w:rPr>
        <w:t>će iznositi 71,</w:t>
      </w:r>
      <w:r w:rsidR="00ED6E2C" w:rsidRPr="0048429B">
        <w:rPr>
          <w:rFonts w:ascii="Calibri" w:hAnsi="Calibri"/>
          <w:lang w:val="hr-HR"/>
        </w:rPr>
        <w:t>3</w:t>
      </w:r>
      <w:r w:rsidRPr="0048429B">
        <w:rPr>
          <w:rFonts w:ascii="Calibri" w:hAnsi="Calibri"/>
          <w:lang w:val="hr-HR"/>
        </w:rPr>
        <w:t>% BDP-a. Nadalje, u nastavku srednjoročnog razdoblja udio javnog duga u BDP-u nastavit će se smanjivati za prosječno 3,</w:t>
      </w:r>
      <w:r w:rsidR="00ED6E2C" w:rsidRPr="0048429B">
        <w:rPr>
          <w:rFonts w:ascii="Calibri" w:hAnsi="Calibri"/>
          <w:lang w:val="hr-HR"/>
        </w:rPr>
        <w:t>1</w:t>
      </w:r>
      <w:r w:rsidRPr="0048429B">
        <w:rPr>
          <w:rFonts w:ascii="Calibri" w:hAnsi="Calibri"/>
          <w:lang w:val="hr-HR"/>
        </w:rPr>
        <w:t xml:space="preserve"> postotn</w:t>
      </w:r>
      <w:r w:rsidR="00ED6E2C" w:rsidRPr="0048429B">
        <w:rPr>
          <w:rFonts w:ascii="Calibri" w:hAnsi="Calibri"/>
          <w:lang w:val="hr-HR"/>
        </w:rPr>
        <w:t>i bod</w:t>
      </w:r>
      <w:r w:rsidRPr="0048429B">
        <w:rPr>
          <w:rFonts w:ascii="Calibri" w:hAnsi="Calibri"/>
          <w:lang w:val="hr-HR"/>
        </w:rPr>
        <w:t xml:space="preserve"> godišnje, odnosno na razinu od 68,</w:t>
      </w:r>
      <w:r w:rsidR="00ED6E2C" w:rsidRPr="0048429B">
        <w:rPr>
          <w:rFonts w:ascii="Calibri" w:hAnsi="Calibri"/>
          <w:lang w:val="hr-HR"/>
        </w:rPr>
        <w:t>3</w:t>
      </w:r>
      <w:r w:rsidRPr="0048429B">
        <w:rPr>
          <w:rFonts w:ascii="Calibri" w:hAnsi="Calibri"/>
          <w:lang w:val="hr-HR"/>
        </w:rPr>
        <w:t>% BDP-a u 2020., 65,</w:t>
      </w:r>
      <w:r w:rsidR="00ED6E2C" w:rsidRPr="0048429B">
        <w:rPr>
          <w:rFonts w:ascii="Calibri" w:hAnsi="Calibri"/>
          <w:lang w:val="hr-HR"/>
        </w:rPr>
        <w:t>3</w:t>
      </w:r>
      <w:r w:rsidRPr="0048429B">
        <w:rPr>
          <w:rFonts w:ascii="Calibri" w:hAnsi="Calibri"/>
          <w:lang w:val="hr-HR"/>
        </w:rPr>
        <w:t xml:space="preserve">% BDP-a u 2021., dok </w:t>
      </w:r>
      <w:r w:rsidR="00127B13" w:rsidRPr="0048429B">
        <w:rPr>
          <w:rFonts w:ascii="Calibri" w:hAnsi="Calibri"/>
          <w:lang w:val="hr-HR"/>
        </w:rPr>
        <w:t xml:space="preserve">se </w:t>
      </w:r>
      <w:r w:rsidRPr="0048429B">
        <w:rPr>
          <w:rFonts w:ascii="Calibri" w:hAnsi="Calibri"/>
          <w:lang w:val="hr-HR"/>
        </w:rPr>
        <w:t xml:space="preserve">u 2022. godini </w:t>
      </w:r>
      <w:r w:rsidR="00127B13" w:rsidRPr="0048429B">
        <w:rPr>
          <w:rFonts w:ascii="Calibri" w:hAnsi="Calibri"/>
          <w:lang w:val="hr-HR"/>
        </w:rPr>
        <w:t xml:space="preserve">očekuje na razini </w:t>
      </w:r>
      <w:r w:rsidRPr="0048429B">
        <w:rPr>
          <w:rFonts w:ascii="Calibri" w:hAnsi="Calibri"/>
          <w:lang w:val="hr-HR"/>
        </w:rPr>
        <w:t>6</w:t>
      </w:r>
      <w:r w:rsidR="00ED6E2C" w:rsidRPr="0048429B">
        <w:rPr>
          <w:rFonts w:ascii="Calibri" w:hAnsi="Calibri"/>
          <w:lang w:val="hr-HR"/>
        </w:rPr>
        <w:t>1,9</w:t>
      </w:r>
      <w:r w:rsidRPr="0048429B">
        <w:rPr>
          <w:rFonts w:ascii="Calibri" w:hAnsi="Calibri"/>
          <w:lang w:val="hr-HR"/>
        </w:rPr>
        <w:t>% BDP-a.</w:t>
      </w:r>
    </w:p>
    <w:p w:rsidR="00A95497" w:rsidRPr="0048429B" w:rsidRDefault="00E63D31" w:rsidP="003D2EF3">
      <w:pPr>
        <w:spacing w:after="120"/>
        <w:jc w:val="both"/>
        <w:rPr>
          <w:rFonts w:ascii="Calibri" w:hAnsi="Calibri"/>
          <w:i/>
          <w:lang w:val="hr-HR"/>
        </w:rPr>
      </w:pPr>
      <w:r w:rsidRPr="0048429B">
        <w:rPr>
          <w:rFonts w:ascii="Calibri" w:hAnsi="Calibri"/>
          <w:i/>
          <w:lang w:val="hr-HR"/>
        </w:rPr>
        <w:t xml:space="preserve">Grafikon </w:t>
      </w:r>
      <w:r w:rsidRPr="0048429B">
        <w:rPr>
          <w:rFonts w:ascii="Calibri" w:hAnsi="Calibri"/>
          <w:i/>
          <w:lang w:val="hr-HR"/>
        </w:rPr>
        <w:fldChar w:fldCharType="begin"/>
      </w:r>
      <w:r w:rsidRPr="0048429B">
        <w:rPr>
          <w:rFonts w:ascii="Calibri" w:hAnsi="Calibri"/>
          <w:i/>
          <w:lang w:val="hr-HR"/>
        </w:rPr>
        <w:instrText xml:space="preserve"> SEQ Grafikon \* ARABIC </w:instrText>
      </w:r>
      <w:r w:rsidRPr="0048429B">
        <w:rPr>
          <w:rFonts w:ascii="Calibri" w:hAnsi="Calibri"/>
          <w:i/>
          <w:lang w:val="hr-HR"/>
        </w:rPr>
        <w:fldChar w:fldCharType="separate"/>
      </w:r>
      <w:r w:rsidR="00A9084D">
        <w:rPr>
          <w:rFonts w:ascii="Calibri" w:hAnsi="Calibri"/>
          <w:i/>
          <w:noProof/>
          <w:lang w:val="hr-HR"/>
        </w:rPr>
        <w:t>1</w:t>
      </w:r>
      <w:r w:rsidRPr="0048429B">
        <w:rPr>
          <w:rFonts w:ascii="Calibri" w:hAnsi="Calibri"/>
          <w:i/>
          <w:lang w:val="hr-HR"/>
        </w:rPr>
        <w:fldChar w:fldCharType="end"/>
      </w:r>
      <w:r w:rsidR="00A95497" w:rsidRPr="0048429B">
        <w:rPr>
          <w:rFonts w:ascii="Calibri" w:hAnsi="Calibri"/>
          <w:i/>
          <w:lang w:val="hr-HR"/>
        </w:rPr>
        <w:t xml:space="preserve">: Javni dug u razdoblju </w:t>
      </w:r>
      <w:r w:rsidR="004A635E" w:rsidRPr="0048429B">
        <w:rPr>
          <w:rFonts w:ascii="Calibri" w:hAnsi="Calibri"/>
          <w:i/>
          <w:lang w:val="hr-HR"/>
        </w:rPr>
        <w:t>201</w:t>
      </w:r>
      <w:r w:rsidR="000A3C97" w:rsidRPr="0048429B">
        <w:rPr>
          <w:rFonts w:ascii="Calibri" w:hAnsi="Calibri"/>
          <w:i/>
          <w:lang w:val="hr-HR"/>
        </w:rPr>
        <w:t>5</w:t>
      </w:r>
      <w:r w:rsidR="00B422B6" w:rsidRPr="0048429B">
        <w:rPr>
          <w:rFonts w:ascii="Calibri" w:hAnsi="Calibri"/>
          <w:i/>
          <w:lang w:val="hr-HR"/>
        </w:rPr>
        <w:t xml:space="preserve">. </w:t>
      </w:r>
      <w:r w:rsidR="00081C71" w:rsidRPr="0048429B">
        <w:rPr>
          <w:rFonts w:ascii="Calibri" w:hAnsi="Calibri"/>
          <w:i/>
          <w:lang w:val="hr-HR"/>
        </w:rPr>
        <w:t>–</w:t>
      </w:r>
      <w:r w:rsidR="00B422B6" w:rsidRPr="0048429B">
        <w:rPr>
          <w:rFonts w:ascii="Calibri" w:hAnsi="Calibri"/>
          <w:i/>
          <w:lang w:val="hr-HR"/>
        </w:rPr>
        <w:t xml:space="preserve"> </w:t>
      </w:r>
      <w:r w:rsidR="00081C71" w:rsidRPr="0048429B">
        <w:rPr>
          <w:rFonts w:ascii="Calibri" w:hAnsi="Calibri"/>
          <w:i/>
          <w:lang w:val="hr-HR"/>
        </w:rPr>
        <w:t>202</w:t>
      </w:r>
      <w:r w:rsidR="00F35025" w:rsidRPr="0048429B">
        <w:rPr>
          <w:rFonts w:ascii="Calibri" w:hAnsi="Calibri"/>
          <w:i/>
          <w:lang w:val="hr-HR"/>
        </w:rPr>
        <w:t>2</w:t>
      </w:r>
      <w:r w:rsidR="00081C71" w:rsidRPr="0048429B">
        <w:rPr>
          <w:rFonts w:ascii="Calibri" w:hAnsi="Calibri"/>
          <w:i/>
          <w:lang w:val="hr-HR"/>
        </w:rPr>
        <w:t>.</w:t>
      </w:r>
    </w:p>
    <w:p w:rsidR="008A2418" w:rsidRPr="0048429B" w:rsidRDefault="00ED6E2C" w:rsidP="00BF6750">
      <w:pPr>
        <w:spacing w:after="120"/>
        <w:rPr>
          <w:rFonts w:ascii="Calibri" w:hAnsi="Calibri"/>
          <w:sz w:val="20"/>
          <w:szCs w:val="20"/>
          <w:lang w:val="hr-HR"/>
        </w:rPr>
      </w:pPr>
      <w:r w:rsidRPr="0048429B">
        <w:rPr>
          <w:noProof/>
          <w:lang w:val="hr-HR" w:eastAsia="hr-HR"/>
        </w:rPr>
        <w:drawing>
          <wp:inline distT="0" distB="0" distL="0" distR="0" wp14:anchorId="74DA8350" wp14:editId="7DEC7FA8">
            <wp:extent cx="5760720" cy="2836787"/>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836787"/>
                    </a:xfrm>
                    <a:prstGeom prst="rect">
                      <a:avLst/>
                    </a:prstGeom>
                    <a:noFill/>
                    <a:ln>
                      <a:noFill/>
                    </a:ln>
                  </pic:spPr>
                </pic:pic>
              </a:graphicData>
            </a:graphic>
          </wp:inline>
        </w:drawing>
      </w:r>
    </w:p>
    <w:p w:rsidR="00BF6750" w:rsidRPr="0048429B" w:rsidRDefault="00BF6750" w:rsidP="00BF6750">
      <w:pPr>
        <w:spacing w:after="120"/>
        <w:rPr>
          <w:rFonts w:ascii="Calibri" w:hAnsi="Calibri"/>
          <w:i/>
          <w:sz w:val="20"/>
          <w:szCs w:val="20"/>
          <w:lang w:val="hr-HR"/>
        </w:rPr>
      </w:pPr>
      <w:r w:rsidRPr="0048429B">
        <w:rPr>
          <w:rFonts w:ascii="Calibri" w:hAnsi="Calibri"/>
          <w:i/>
          <w:sz w:val="20"/>
          <w:szCs w:val="20"/>
          <w:lang w:val="hr-HR"/>
        </w:rPr>
        <w:t>Izvor: DZS, HNB, Ministarstvo financija</w:t>
      </w:r>
    </w:p>
    <w:p w:rsidR="00E52BDF" w:rsidRPr="0048429B" w:rsidRDefault="00E52BDF" w:rsidP="00DE3CA6">
      <w:pPr>
        <w:spacing w:after="120"/>
        <w:rPr>
          <w:rFonts w:ascii="Calibri" w:hAnsi="Calibri"/>
          <w:i/>
          <w:sz w:val="20"/>
          <w:szCs w:val="20"/>
          <w:lang w:val="hr-HR"/>
        </w:rPr>
      </w:pPr>
    </w:p>
    <w:sectPr w:rsidR="00E52BDF" w:rsidRPr="00484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36" w:rsidRDefault="00887436" w:rsidP="00C34C9E">
      <w:pPr>
        <w:spacing w:after="0" w:line="240" w:lineRule="auto"/>
      </w:pPr>
      <w:r>
        <w:separator/>
      </w:r>
    </w:p>
  </w:endnote>
  <w:endnote w:type="continuationSeparator" w:id="0">
    <w:p w:rsidR="00887436" w:rsidRDefault="00887436" w:rsidP="00C3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27075"/>
      <w:docPartObj>
        <w:docPartGallery w:val="Page Numbers (Bottom of Page)"/>
        <w:docPartUnique/>
      </w:docPartObj>
    </w:sdtPr>
    <w:sdtEndPr>
      <w:rPr>
        <w:noProof/>
      </w:rPr>
    </w:sdtEndPr>
    <w:sdtContent>
      <w:p w:rsidR="00C34C9E" w:rsidRDefault="00C34C9E">
        <w:pPr>
          <w:pStyle w:val="Footer"/>
          <w:jc w:val="center"/>
        </w:pPr>
        <w:r>
          <w:fldChar w:fldCharType="begin"/>
        </w:r>
        <w:r>
          <w:instrText xml:space="preserve"> PAGE   \* MERGEFORMAT </w:instrText>
        </w:r>
        <w:r>
          <w:fldChar w:fldCharType="separate"/>
        </w:r>
        <w:r w:rsidR="009F01A8">
          <w:rPr>
            <w:noProof/>
          </w:rPr>
          <w:t>2</w:t>
        </w:r>
        <w:r>
          <w:rPr>
            <w:noProof/>
          </w:rPr>
          <w:fldChar w:fldCharType="end"/>
        </w:r>
      </w:p>
    </w:sdtContent>
  </w:sdt>
  <w:p w:rsidR="00C34C9E" w:rsidRDefault="00C3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9E" w:rsidRDefault="00C34C9E">
    <w:pPr>
      <w:pStyle w:val="Footer"/>
      <w:jc w:val="right"/>
    </w:pPr>
  </w:p>
  <w:p w:rsidR="00C34C9E" w:rsidRDefault="00C3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36" w:rsidRDefault="00887436" w:rsidP="00C34C9E">
      <w:pPr>
        <w:spacing w:after="0" w:line="240" w:lineRule="auto"/>
      </w:pPr>
      <w:r>
        <w:separator/>
      </w:r>
    </w:p>
  </w:footnote>
  <w:footnote w:type="continuationSeparator" w:id="0">
    <w:p w:rsidR="00887436" w:rsidRDefault="00887436" w:rsidP="00C34C9E">
      <w:pPr>
        <w:spacing w:after="0" w:line="240" w:lineRule="auto"/>
      </w:pPr>
      <w:r>
        <w:continuationSeparator/>
      </w:r>
    </w:p>
  </w:footnote>
  <w:footnote w:id="1">
    <w:p w:rsidR="000D782C" w:rsidRPr="00DF1809" w:rsidRDefault="000D782C">
      <w:pPr>
        <w:pStyle w:val="FootnoteText"/>
        <w:rPr>
          <w:sz w:val="18"/>
          <w:lang w:val="hr-HR"/>
        </w:rPr>
      </w:pPr>
      <w:r w:rsidRPr="00DF1809">
        <w:rPr>
          <w:rStyle w:val="FootnoteReference"/>
          <w:sz w:val="18"/>
        </w:rPr>
        <w:footnoteRef/>
      </w:r>
      <w:r w:rsidRPr="00DF1809">
        <w:rPr>
          <w:sz w:val="18"/>
        </w:rPr>
        <w:t xml:space="preserve"> </w:t>
      </w:r>
      <w:r w:rsidRPr="00DF1809">
        <w:rPr>
          <w:sz w:val="18"/>
          <w:lang w:val="hr-HR"/>
        </w:rPr>
        <w:t xml:space="preserve">Narodne novine, </w:t>
      </w:r>
      <w:r w:rsidR="000277DC" w:rsidRPr="00DF1809">
        <w:rPr>
          <w:sz w:val="18"/>
          <w:lang w:val="hr-HR"/>
        </w:rPr>
        <w:t>broj 111/18</w:t>
      </w:r>
    </w:p>
  </w:footnote>
  <w:footnote w:id="2">
    <w:p w:rsidR="006873A0" w:rsidRPr="00425111" w:rsidRDefault="006873A0" w:rsidP="006873A0">
      <w:pPr>
        <w:pStyle w:val="FootnoteText"/>
        <w:rPr>
          <w:sz w:val="18"/>
          <w:szCs w:val="18"/>
          <w:lang w:val="hr-HR"/>
        </w:rPr>
      </w:pPr>
      <w:r w:rsidRPr="00425111">
        <w:rPr>
          <w:rStyle w:val="FootnoteReference"/>
          <w:sz w:val="18"/>
          <w:szCs w:val="18"/>
          <w:lang w:val="hr-HR"/>
        </w:rPr>
        <w:footnoteRef/>
      </w:r>
      <w:r w:rsidRPr="00425111">
        <w:rPr>
          <w:sz w:val="18"/>
          <w:szCs w:val="18"/>
          <w:lang w:val="hr-HR"/>
        </w:rPr>
        <w:t xml:space="preserve"> Realna konvergencija mjeri se dohotkom odnosno BDP-om po stanovniku (prema paritetu kupovne moći) zemlje u odnosu na BDP prema stanovniku europodručja. Unutar europodručja se očekuje da će se razlike u realnom dohotku po stanovniku između država članica postupno smanjivati, odnosno da će nastupiti realna konvergencija i usklađenost poslovnih ciklusa.</w:t>
      </w:r>
    </w:p>
  </w:footnote>
  <w:footnote w:id="3">
    <w:p w:rsidR="00F250F7" w:rsidRPr="00DF1809" w:rsidRDefault="00F250F7" w:rsidP="00F250F7">
      <w:pPr>
        <w:pStyle w:val="FootnoteText"/>
        <w:rPr>
          <w:sz w:val="18"/>
          <w:szCs w:val="18"/>
          <w:lang w:val="en-US"/>
        </w:rPr>
      </w:pPr>
      <w:r w:rsidRPr="00DF1809">
        <w:rPr>
          <w:rStyle w:val="FootnoteReference"/>
          <w:sz w:val="18"/>
          <w:szCs w:val="18"/>
          <w:lang w:val="en-US"/>
        </w:rPr>
        <w:footnoteRef/>
      </w:r>
      <w:r w:rsidRPr="00DF1809">
        <w:rPr>
          <w:rStyle w:val="FootnoteReference"/>
          <w:sz w:val="18"/>
          <w:szCs w:val="18"/>
          <w:lang w:val="en-US"/>
        </w:rPr>
        <w:t xml:space="preserve"> </w:t>
      </w:r>
      <w:r w:rsidRPr="00DF1809">
        <w:rPr>
          <w:sz w:val="18"/>
          <w:szCs w:val="18"/>
          <w:lang w:val="en-US"/>
        </w:rPr>
        <w:t>Temeljeno na podacima dostu</w:t>
      </w:r>
      <w:r w:rsidR="004A43D2" w:rsidRPr="00DF1809">
        <w:rPr>
          <w:sz w:val="18"/>
          <w:szCs w:val="18"/>
          <w:lang w:val="en-US"/>
        </w:rPr>
        <w:t>pnim do 19. srpnja 2019.</w:t>
      </w:r>
    </w:p>
  </w:footnote>
  <w:footnote w:id="4">
    <w:p w:rsidR="00F250F7" w:rsidRPr="00DF1809" w:rsidRDefault="00F250F7" w:rsidP="00F250F7">
      <w:pPr>
        <w:pStyle w:val="FootnoteText"/>
        <w:rPr>
          <w:sz w:val="18"/>
          <w:szCs w:val="18"/>
          <w:lang w:val="en-US"/>
        </w:rPr>
      </w:pPr>
      <w:r w:rsidRPr="00DF1809">
        <w:rPr>
          <w:rStyle w:val="FootnoteReference"/>
          <w:sz w:val="18"/>
          <w:szCs w:val="18"/>
          <w:lang w:val="en-US"/>
        </w:rPr>
        <w:footnoteRef/>
      </w:r>
      <w:r w:rsidRPr="00DF1809">
        <w:rPr>
          <w:sz w:val="18"/>
          <w:szCs w:val="18"/>
          <w:lang w:val="en-US"/>
        </w:rPr>
        <w:t xml:space="preserve"> European Economic Forecast, Summer 2019 (Interim), srpanj 2019. </w:t>
      </w:r>
    </w:p>
  </w:footnote>
  <w:footnote w:id="5">
    <w:p w:rsidR="00F250F7" w:rsidRPr="00DF1809" w:rsidRDefault="00F250F7" w:rsidP="00F250F7">
      <w:pPr>
        <w:pStyle w:val="FootnoteText"/>
        <w:rPr>
          <w:sz w:val="18"/>
          <w:szCs w:val="18"/>
          <w:lang w:val="en-US"/>
        </w:rPr>
      </w:pPr>
      <w:r w:rsidRPr="00DF1809">
        <w:rPr>
          <w:rStyle w:val="FootnoteReference"/>
          <w:sz w:val="18"/>
          <w:szCs w:val="18"/>
          <w:lang w:val="en-US"/>
        </w:rPr>
        <w:footnoteRef/>
      </w:r>
      <w:r w:rsidRPr="00DF1809">
        <w:rPr>
          <w:rStyle w:val="FootnoteReference"/>
          <w:sz w:val="18"/>
          <w:szCs w:val="18"/>
          <w:lang w:val="en-US"/>
        </w:rPr>
        <w:t xml:space="preserve"> </w:t>
      </w:r>
      <w:r w:rsidRPr="00DF1809">
        <w:rPr>
          <w:sz w:val="18"/>
          <w:szCs w:val="18"/>
          <w:lang w:val="en-US"/>
        </w:rPr>
        <w:t xml:space="preserve">Eurosystem staff macroeconomic projections for the euro area, lipanj 2019. </w:t>
      </w:r>
    </w:p>
  </w:footnote>
  <w:footnote w:id="6">
    <w:p w:rsidR="00F250F7" w:rsidRPr="00DF1809" w:rsidRDefault="00F250F7" w:rsidP="00F250F7">
      <w:pPr>
        <w:pStyle w:val="FootnoteText"/>
        <w:rPr>
          <w:sz w:val="18"/>
          <w:szCs w:val="18"/>
          <w:lang w:val="hr-HR"/>
        </w:rPr>
      </w:pPr>
      <w:r w:rsidRPr="00DF1809">
        <w:rPr>
          <w:rStyle w:val="FootnoteReference"/>
          <w:sz w:val="18"/>
          <w:szCs w:val="18"/>
          <w:lang w:val="hr-HR"/>
        </w:rPr>
        <w:footnoteRef/>
      </w:r>
      <w:r w:rsidRPr="00DF1809">
        <w:rPr>
          <w:sz w:val="18"/>
          <w:szCs w:val="18"/>
          <w:lang w:val="hr-HR"/>
        </w:rPr>
        <w:t xml:space="preserve"> Utjecaj primjene snižene stope PDV- na određene prehrambene proizvode, dječje pelene i lijekove na inflaciju procjenjuje se na -0,6 postotnih bodova.</w:t>
      </w:r>
    </w:p>
  </w:footnote>
  <w:footnote w:id="7">
    <w:p w:rsidR="00395C6D" w:rsidRPr="00DF1809" w:rsidRDefault="00395C6D" w:rsidP="00395C6D">
      <w:pPr>
        <w:pStyle w:val="FootnoteText"/>
        <w:rPr>
          <w:sz w:val="18"/>
          <w:szCs w:val="18"/>
          <w:lang w:val="hr-HR"/>
        </w:rPr>
      </w:pPr>
      <w:r w:rsidRPr="00DF1809">
        <w:rPr>
          <w:rStyle w:val="FootnoteReference"/>
          <w:sz w:val="18"/>
          <w:szCs w:val="18"/>
        </w:rPr>
        <w:footnoteRef/>
      </w:r>
      <w:r w:rsidRPr="00DF1809">
        <w:rPr>
          <w:sz w:val="18"/>
          <w:szCs w:val="18"/>
        </w:rPr>
        <w:t xml:space="preserve"> </w:t>
      </w:r>
      <w:r w:rsidRPr="00DF1809">
        <w:rPr>
          <w:sz w:val="18"/>
          <w:szCs w:val="18"/>
          <w:lang w:val="hr-HR"/>
        </w:rPr>
        <w:t>Narodne novine, broj 2/2019</w:t>
      </w:r>
    </w:p>
  </w:footnote>
  <w:footnote w:id="8">
    <w:p w:rsidR="00395C6D" w:rsidRPr="00DF1809" w:rsidRDefault="00395C6D" w:rsidP="00395C6D">
      <w:pPr>
        <w:pStyle w:val="FootnoteText"/>
        <w:rPr>
          <w:sz w:val="18"/>
          <w:szCs w:val="18"/>
          <w:lang w:val="hr-HR"/>
        </w:rPr>
      </w:pPr>
      <w:r w:rsidRPr="00DF1809">
        <w:rPr>
          <w:rStyle w:val="FootnoteReference"/>
          <w:sz w:val="18"/>
          <w:szCs w:val="18"/>
        </w:rPr>
        <w:footnoteRef/>
      </w:r>
      <w:r w:rsidRPr="00DF1809">
        <w:rPr>
          <w:sz w:val="18"/>
          <w:szCs w:val="18"/>
        </w:rPr>
        <w:t xml:space="preserve"> </w:t>
      </w:r>
      <w:r w:rsidRPr="00DF1809">
        <w:rPr>
          <w:sz w:val="18"/>
          <w:szCs w:val="18"/>
          <w:lang w:val="hr-HR"/>
        </w:rPr>
        <w:t>Narodne novine, broj 2/2019</w:t>
      </w:r>
    </w:p>
  </w:footnote>
  <w:footnote w:id="9">
    <w:p w:rsidR="00395C6D" w:rsidRPr="00DF1809" w:rsidRDefault="00395C6D" w:rsidP="00395C6D">
      <w:pPr>
        <w:pStyle w:val="FootnoteText"/>
        <w:rPr>
          <w:sz w:val="18"/>
          <w:szCs w:val="18"/>
          <w:lang w:val="hr-HR"/>
        </w:rPr>
      </w:pPr>
      <w:r w:rsidRPr="00DF1809">
        <w:rPr>
          <w:rStyle w:val="FootnoteReference"/>
          <w:sz w:val="18"/>
          <w:szCs w:val="18"/>
        </w:rPr>
        <w:footnoteRef/>
      </w:r>
      <w:r w:rsidRPr="00DF1809">
        <w:rPr>
          <w:sz w:val="18"/>
          <w:szCs w:val="18"/>
        </w:rPr>
        <w:t xml:space="preserve"> </w:t>
      </w:r>
      <w:r w:rsidRPr="00DF1809">
        <w:rPr>
          <w:sz w:val="18"/>
          <w:szCs w:val="18"/>
          <w:lang w:val="hr-HR"/>
        </w:rPr>
        <w:t>Narodne novine, broj 16/2019</w:t>
      </w:r>
    </w:p>
  </w:footnote>
  <w:footnote w:id="10">
    <w:p w:rsidR="00395C6D" w:rsidRPr="00DF1809" w:rsidRDefault="00395C6D" w:rsidP="00395C6D">
      <w:pPr>
        <w:pStyle w:val="FootnoteText"/>
        <w:rPr>
          <w:sz w:val="18"/>
          <w:lang w:val="hr-HR"/>
        </w:rPr>
      </w:pPr>
      <w:r w:rsidRPr="00DF1809">
        <w:rPr>
          <w:rStyle w:val="FootnoteReference"/>
          <w:sz w:val="18"/>
        </w:rPr>
        <w:footnoteRef/>
      </w:r>
      <w:r w:rsidRPr="00DF1809">
        <w:rPr>
          <w:sz w:val="18"/>
        </w:rPr>
        <w:t xml:space="preserve"> </w:t>
      </w:r>
      <w:r w:rsidRPr="00DF1809">
        <w:rPr>
          <w:sz w:val="18"/>
          <w:lang w:val="hr-HR"/>
        </w:rPr>
        <w:t>Narodne novine, broj 66/2019</w:t>
      </w:r>
    </w:p>
  </w:footnote>
  <w:footnote w:id="11">
    <w:p w:rsidR="00395C6D" w:rsidRPr="00DF1809" w:rsidRDefault="00395C6D" w:rsidP="00395C6D">
      <w:pPr>
        <w:pStyle w:val="FootnoteText"/>
        <w:rPr>
          <w:sz w:val="18"/>
          <w:szCs w:val="18"/>
          <w:lang w:val="hr-HR"/>
        </w:rPr>
      </w:pPr>
      <w:r w:rsidRPr="00DF1809">
        <w:rPr>
          <w:rStyle w:val="FootnoteReference"/>
          <w:sz w:val="18"/>
          <w:szCs w:val="18"/>
          <w:lang w:val="hr-HR"/>
        </w:rPr>
        <w:footnoteRef/>
      </w:r>
      <w:r w:rsidRPr="00DF1809">
        <w:rPr>
          <w:sz w:val="18"/>
          <w:szCs w:val="18"/>
          <w:lang w:val="hr-HR"/>
        </w:rPr>
        <w:t xml:space="preserve"> Narodne novine, broj 87/2008, 136/2012. i 15/2015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FE"/>
    <w:multiLevelType w:val="hybridMultilevel"/>
    <w:tmpl w:val="B55AE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E52DE"/>
    <w:multiLevelType w:val="multilevel"/>
    <w:tmpl w:val="A4A84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E677D3"/>
    <w:multiLevelType w:val="hybridMultilevel"/>
    <w:tmpl w:val="4DAE89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322CE5"/>
    <w:multiLevelType w:val="hybridMultilevel"/>
    <w:tmpl w:val="FDCE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9646C"/>
    <w:multiLevelType w:val="hybridMultilevel"/>
    <w:tmpl w:val="BDBC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85162"/>
    <w:multiLevelType w:val="hybridMultilevel"/>
    <w:tmpl w:val="F2880E5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1A02D72"/>
    <w:multiLevelType w:val="hybridMultilevel"/>
    <w:tmpl w:val="F468FB84"/>
    <w:lvl w:ilvl="0" w:tplc="B6C4171C">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8186BC7"/>
    <w:multiLevelType w:val="hybridMultilevel"/>
    <w:tmpl w:val="E7E4B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54F7"/>
    <w:multiLevelType w:val="hybridMultilevel"/>
    <w:tmpl w:val="7FB4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63C02"/>
    <w:multiLevelType w:val="hybridMultilevel"/>
    <w:tmpl w:val="9FDC416A"/>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10" w15:restartNumberingAfterBreak="0">
    <w:nsid w:val="74A3626C"/>
    <w:multiLevelType w:val="hybridMultilevel"/>
    <w:tmpl w:val="1C868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D23DE"/>
    <w:multiLevelType w:val="multilevel"/>
    <w:tmpl w:val="C2C6C18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7"/>
  </w:num>
  <w:num w:numId="3">
    <w:abstractNumId w:val="0"/>
  </w:num>
  <w:num w:numId="4">
    <w:abstractNumId w:val="3"/>
  </w:num>
  <w:num w:numId="5">
    <w:abstractNumId w:val="8"/>
  </w:num>
  <w:num w:numId="6">
    <w:abstractNumId w:val="9"/>
  </w:num>
  <w:num w:numId="7">
    <w:abstractNumId w:val="4"/>
  </w:num>
  <w:num w:numId="8">
    <w:abstractNumId w:val="6"/>
  </w:num>
  <w:num w:numId="9">
    <w:abstractNumId w:val="10"/>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DF"/>
    <w:rsid w:val="000069D2"/>
    <w:rsid w:val="00011109"/>
    <w:rsid w:val="00014935"/>
    <w:rsid w:val="000277DC"/>
    <w:rsid w:val="000324BA"/>
    <w:rsid w:val="00032F6C"/>
    <w:rsid w:val="000345EE"/>
    <w:rsid w:val="00036D87"/>
    <w:rsid w:val="0003791F"/>
    <w:rsid w:val="00042331"/>
    <w:rsid w:val="000438C7"/>
    <w:rsid w:val="00050B5B"/>
    <w:rsid w:val="00051951"/>
    <w:rsid w:val="00051C22"/>
    <w:rsid w:val="00054AC4"/>
    <w:rsid w:val="00055AC3"/>
    <w:rsid w:val="000618B5"/>
    <w:rsid w:val="00062305"/>
    <w:rsid w:val="0006428C"/>
    <w:rsid w:val="00075B78"/>
    <w:rsid w:val="000810D1"/>
    <w:rsid w:val="00081C71"/>
    <w:rsid w:val="00081DD8"/>
    <w:rsid w:val="000834FE"/>
    <w:rsid w:val="00083F5C"/>
    <w:rsid w:val="0008422F"/>
    <w:rsid w:val="000970E9"/>
    <w:rsid w:val="00097AA2"/>
    <w:rsid w:val="000A1CE4"/>
    <w:rsid w:val="000A3C97"/>
    <w:rsid w:val="000A71E3"/>
    <w:rsid w:val="000A783A"/>
    <w:rsid w:val="000A7B47"/>
    <w:rsid w:val="000B166F"/>
    <w:rsid w:val="000B3B44"/>
    <w:rsid w:val="000B5459"/>
    <w:rsid w:val="000D394E"/>
    <w:rsid w:val="000D782C"/>
    <w:rsid w:val="000E1264"/>
    <w:rsid w:val="000E1984"/>
    <w:rsid w:val="000E2ACD"/>
    <w:rsid w:val="000E4DD3"/>
    <w:rsid w:val="000F32DA"/>
    <w:rsid w:val="000F53A5"/>
    <w:rsid w:val="001017C2"/>
    <w:rsid w:val="0010391E"/>
    <w:rsid w:val="00111C9D"/>
    <w:rsid w:val="00122910"/>
    <w:rsid w:val="00125FFF"/>
    <w:rsid w:val="001261B9"/>
    <w:rsid w:val="00127B13"/>
    <w:rsid w:val="001316BE"/>
    <w:rsid w:val="00133856"/>
    <w:rsid w:val="001412AC"/>
    <w:rsid w:val="001447EC"/>
    <w:rsid w:val="00144A71"/>
    <w:rsid w:val="00145C68"/>
    <w:rsid w:val="0015145B"/>
    <w:rsid w:val="00156360"/>
    <w:rsid w:val="001674D5"/>
    <w:rsid w:val="001775B0"/>
    <w:rsid w:val="0019098D"/>
    <w:rsid w:val="0019157D"/>
    <w:rsid w:val="00195032"/>
    <w:rsid w:val="00197820"/>
    <w:rsid w:val="001A54D8"/>
    <w:rsid w:val="001A6F01"/>
    <w:rsid w:val="001B1A9A"/>
    <w:rsid w:val="001C1358"/>
    <w:rsid w:val="001C3E19"/>
    <w:rsid w:val="001C6D4E"/>
    <w:rsid w:val="001C6FEC"/>
    <w:rsid w:val="001E0168"/>
    <w:rsid w:val="001E434E"/>
    <w:rsid w:val="001E7B19"/>
    <w:rsid w:val="001F1668"/>
    <w:rsid w:val="001F7CC8"/>
    <w:rsid w:val="00200865"/>
    <w:rsid w:val="002025C5"/>
    <w:rsid w:val="002127BE"/>
    <w:rsid w:val="00212B64"/>
    <w:rsid w:val="002148BD"/>
    <w:rsid w:val="00216659"/>
    <w:rsid w:val="00221C43"/>
    <w:rsid w:val="00221F55"/>
    <w:rsid w:val="00224D58"/>
    <w:rsid w:val="00225C40"/>
    <w:rsid w:val="00225DF6"/>
    <w:rsid w:val="00231786"/>
    <w:rsid w:val="00233821"/>
    <w:rsid w:val="002340FF"/>
    <w:rsid w:val="00240D85"/>
    <w:rsid w:val="002442A5"/>
    <w:rsid w:val="002445C1"/>
    <w:rsid w:val="00251AFD"/>
    <w:rsid w:val="002559F3"/>
    <w:rsid w:val="00284EF5"/>
    <w:rsid w:val="00285526"/>
    <w:rsid w:val="002A21CF"/>
    <w:rsid w:val="002A45C2"/>
    <w:rsid w:val="002A562A"/>
    <w:rsid w:val="002A6623"/>
    <w:rsid w:val="002A75A8"/>
    <w:rsid w:val="002B0FAD"/>
    <w:rsid w:val="002C0471"/>
    <w:rsid w:val="002C2A3E"/>
    <w:rsid w:val="002C2C78"/>
    <w:rsid w:val="002C4A34"/>
    <w:rsid w:val="002C597C"/>
    <w:rsid w:val="002E0D89"/>
    <w:rsid w:val="002E29E2"/>
    <w:rsid w:val="002E6A4E"/>
    <w:rsid w:val="002E6A9F"/>
    <w:rsid w:val="0030637A"/>
    <w:rsid w:val="00316215"/>
    <w:rsid w:val="0032134F"/>
    <w:rsid w:val="00321961"/>
    <w:rsid w:val="00331EA9"/>
    <w:rsid w:val="00332E2D"/>
    <w:rsid w:val="00334667"/>
    <w:rsid w:val="0033593B"/>
    <w:rsid w:val="00337677"/>
    <w:rsid w:val="003422B8"/>
    <w:rsid w:val="00346BD1"/>
    <w:rsid w:val="00355F14"/>
    <w:rsid w:val="00372C83"/>
    <w:rsid w:val="0038079D"/>
    <w:rsid w:val="00383DBB"/>
    <w:rsid w:val="003932E4"/>
    <w:rsid w:val="00395C6D"/>
    <w:rsid w:val="003A06E7"/>
    <w:rsid w:val="003A7D2D"/>
    <w:rsid w:val="003C229B"/>
    <w:rsid w:val="003D0789"/>
    <w:rsid w:val="003D0BBD"/>
    <w:rsid w:val="003D2707"/>
    <w:rsid w:val="003D2EF3"/>
    <w:rsid w:val="003D41F2"/>
    <w:rsid w:val="003D5578"/>
    <w:rsid w:val="003D58A2"/>
    <w:rsid w:val="003E52BF"/>
    <w:rsid w:val="003E6770"/>
    <w:rsid w:val="00412778"/>
    <w:rsid w:val="004143A6"/>
    <w:rsid w:val="004166C0"/>
    <w:rsid w:val="00422921"/>
    <w:rsid w:val="00423B7E"/>
    <w:rsid w:val="00425111"/>
    <w:rsid w:val="00437761"/>
    <w:rsid w:val="00437CFA"/>
    <w:rsid w:val="004413AB"/>
    <w:rsid w:val="00443B2B"/>
    <w:rsid w:val="00453498"/>
    <w:rsid w:val="00454B97"/>
    <w:rsid w:val="00456F98"/>
    <w:rsid w:val="004604FB"/>
    <w:rsid w:val="00467FCC"/>
    <w:rsid w:val="00474D47"/>
    <w:rsid w:val="0048429B"/>
    <w:rsid w:val="00487688"/>
    <w:rsid w:val="0049132E"/>
    <w:rsid w:val="0049191F"/>
    <w:rsid w:val="004A05D8"/>
    <w:rsid w:val="004A1C53"/>
    <w:rsid w:val="004A43D2"/>
    <w:rsid w:val="004A635E"/>
    <w:rsid w:val="004B15D9"/>
    <w:rsid w:val="004B3C56"/>
    <w:rsid w:val="004B5C0E"/>
    <w:rsid w:val="004B5C69"/>
    <w:rsid w:val="004C3810"/>
    <w:rsid w:val="004C50F7"/>
    <w:rsid w:val="004D0666"/>
    <w:rsid w:val="004D08EF"/>
    <w:rsid w:val="004D43B4"/>
    <w:rsid w:val="004E5B14"/>
    <w:rsid w:val="004F06A4"/>
    <w:rsid w:val="004F3468"/>
    <w:rsid w:val="004F4CC6"/>
    <w:rsid w:val="004F6CC5"/>
    <w:rsid w:val="004F6DAC"/>
    <w:rsid w:val="00501928"/>
    <w:rsid w:val="00501DDB"/>
    <w:rsid w:val="00517CA0"/>
    <w:rsid w:val="0052269C"/>
    <w:rsid w:val="0052332D"/>
    <w:rsid w:val="005356C7"/>
    <w:rsid w:val="00537CC5"/>
    <w:rsid w:val="00544AA0"/>
    <w:rsid w:val="005454F8"/>
    <w:rsid w:val="00547DC5"/>
    <w:rsid w:val="00553E1B"/>
    <w:rsid w:val="00574C79"/>
    <w:rsid w:val="0057684B"/>
    <w:rsid w:val="00590D18"/>
    <w:rsid w:val="00596F83"/>
    <w:rsid w:val="005A37C6"/>
    <w:rsid w:val="005A3C5A"/>
    <w:rsid w:val="005A3DDB"/>
    <w:rsid w:val="005A428E"/>
    <w:rsid w:val="005B7092"/>
    <w:rsid w:val="005B7EAD"/>
    <w:rsid w:val="005D3D66"/>
    <w:rsid w:val="005D48F4"/>
    <w:rsid w:val="005D7446"/>
    <w:rsid w:val="005D77E8"/>
    <w:rsid w:val="005E28B6"/>
    <w:rsid w:val="005E57DE"/>
    <w:rsid w:val="005E61F3"/>
    <w:rsid w:val="005E70AA"/>
    <w:rsid w:val="005F01D5"/>
    <w:rsid w:val="005F3758"/>
    <w:rsid w:val="006012F9"/>
    <w:rsid w:val="0060618F"/>
    <w:rsid w:val="00610C37"/>
    <w:rsid w:val="00612D99"/>
    <w:rsid w:val="00613225"/>
    <w:rsid w:val="00620E77"/>
    <w:rsid w:val="006265BB"/>
    <w:rsid w:val="00630BAD"/>
    <w:rsid w:val="00636121"/>
    <w:rsid w:val="0063703A"/>
    <w:rsid w:val="0064175B"/>
    <w:rsid w:val="00656E0F"/>
    <w:rsid w:val="00657020"/>
    <w:rsid w:val="00664F4E"/>
    <w:rsid w:val="00667DEA"/>
    <w:rsid w:val="00672D8D"/>
    <w:rsid w:val="006748C9"/>
    <w:rsid w:val="006803D0"/>
    <w:rsid w:val="00681089"/>
    <w:rsid w:val="00683325"/>
    <w:rsid w:val="006873A0"/>
    <w:rsid w:val="006A4099"/>
    <w:rsid w:val="006B0263"/>
    <w:rsid w:val="006B2560"/>
    <w:rsid w:val="006C1D10"/>
    <w:rsid w:val="006C31BE"/>
    <w:rsid w:val="006C4A17"/>
    <w:rsid w:val="006C633D"/>
    <w:rsid w:val="006D061F"/>
    <w:rsid w:val="006D17FA"/>
    <w:rsid w:val="006D31F1"/>
    <w:rsid w:val="006D5923"/>
    <w:rsid w:val="006D6032"/>
    <w:rsid w:val="006D6B2B"/>
    <w:rsid w:val="006E0ED1"/>
    <w:rsid w:val="006F5E46"/>
    <w:rsid w:val="006F70CA"/>
    <w:rsid w:val="007014A2"/>
    <w:rsid w:val="00702970"/>
    <w:rsid w:val="00710B3F"/>
    <w:rsid w:val="00710EF3"/>
    <w:rsid w:val="00720502"/>
    <w:rsid w:val="007208E1"/>
    <w:rsid w:val="00731CAD"/>
    <w:rsid w:val="007446DC"/>
    <w:rsid w:val="00745E58"/>
    <w:rsid w:val="0075180E"/>
    <w:rsid w:val="00752A93"/>
    <w:rsid w:val="007543AC"/>
    <w:rsid w:val="0076436D"/>
    <w:rsid w:val="007644D1"/>
    <w:rsid w:val="007655CD"/>
    <w:rsid w:val="00765D86"/>
    <w:rsid w:val="00772001"/>
    <w:rsid w:val="00772DF2"/>
    <w:rsid w:val="00774A3D"/>
    <w:rsid w:val="00775E6E"/>
    <w:rsid w:val="0077786A"/>
    <w:rsid w:val="00780726"/>
    <w:rsid w:val="00782F4F"/>
    <w:rsid w:val="00786DE8"/>
    <w:rsid w:val="00787531"/>
    <w:rsid w:val="00790DF3"/>
    <w:rsid w:val="00794657"/>
    <w:rsid w:val="007B2D3B"/>
    <w:rsid w:val="007B768B"/>
    <w:rsid w:val="007C34BA"/>
    <w:rsid w:val="007D39DB"/>
    <w:rsid w:val="007E62B8"/>
    <w:rsid w:val="007E7157"/>
    <w:rsid w:val="007E7ABF"/>
    <w:rsid w:val="007F71B1"/>
    <w:rsid w:val="00804602"/>
    <w:rsid w:val="00811C29"/>
    <w:rsid w:val="0081415C"/>
    <w:rsid w:val="00814613"/>
    <w:rsid w:val="00820E64"/>
    <w:rsid w:val="008211E8"/>
    <w:rsid w:val="008235AA"/>
    <w:rsid w:val="00825C69"/>
    <w:rsid w:val="008319C8"/>
    <w:rsid w:val="00842E2D"/>
    <w:rsid w:val="00843CDA"/>
    <w:rsid w:val="00844E0B"/>
    <w:rsid w:val="0086024C"/>
    <w:rsid w:val="00865C38"/>
    <w:rsid w:val="00866C90"/>
    <w:rsid w:val="00867077"/>
    <w:rsid w:val="0087037A"/>
    <w:rsid w:val="008705D4"/>
    <w:rsid w:val="008720BC"/>
    <w:rsid w:val="00874A60"/>
    <w:rsid w:val="00876058"/>
    <w:rsid w:val="008807A9"/>
    <w:rsid w:val="00882790"/>
    <w:rsid w:val="008834B3"/>
    <w:rsid w:val="00887436"/>
    <w:rsid w:val="00896917"/>
    <w:rsid w:val="008A2418"/>
    <w:rsid w:val="008B2370"/>
    <w:rsid w:val="008C1CF8"/>
    <w:rsid w:val="008C2380"/>
    <w:rsid w:val="008C5B06"/>
    <w:rsid w:val="008C6CD5"/>
    <w:rsid w:val="008C7C11"/>
    <w:rsid w:val="008E0E8D"/>
    <w:rsid w:val="008E583F"/>
    <w:rsid w:val="008E683E"/>
    <w:rsid w:val="008E6DC7"/>
    <w:rsid w:val="008E7D98"/>
    <w:rsid w:val="00903C01"/>
    <w:rsid w:val="00912337"/>
    <w:rsid w:val="00914199"/>
    <w:rsid w:val="00920A67"/>
    <w:rsid w:val="00922842"/>
    <w:rsid w:val="00936FA9"/>
    <w:rsid w:val="00937528"/>
    <w:rsid w:val="00942D33"/>
    <w:rsid w:val="00950515"/>
    <w:rsid w:val="00957A4E"/>
    <w:rsid w:val="00961825"/>
    <w:rsid w:val="00962F18"/>
    <w:rsid w:val="009762FE"/>
    <w:rsid w:val="0098136E"/>
    <w:rsid w:val="00982867"/>
    <w:rsid w:val="00985A7F"/>
    <w:rsid w:val="00991929"/>
    <w:rsid w:val="0099429D"/>
    <w:rsid w:val="009964AA"/>
    <w:rsid w:val="009B17D8"/>
    <w:rsid w:val="009B3745"/>
    <w:rsid w:val="009B4279"/>
    <w:rsid w:val="009B6E9A"/>
    <w:rsid w:val="009C1EC9"/>
    <w:rsid w:val="009C47C0"/>
    <w:rsid w:val="009C76C7"/>
    <w:rsid w:val="009D6096"/>
    <w:rsid w:val="009E2910"/>
    <w:rsid w:val="009E3AE8"/>
    <w:rsid w:val="009E7D6A"/>
    <w:rsid w:val="009F01A8"/>
    <w:rsid w:val="009F134C"/>
    <w:rsid w:val="009F7B1B"/>
    <w:rsid w:val="00A02299"/>
    <w:rsid w:val="00A034C5"/>
    <w:rsid w:val="00A0390E"/>
    <w:rsid w:val="00A0758D"/>
    <w:rsid w:val="00A0791E"/>
    <w:rsid w:val="00A32AB1"/>
    <w:rsid w:val="00A342DA"/>
    <w:rsid w:val="00A355E5"/>
    <w:rsid w:val="00A37DF4"/>
    <w:rsid w:val="00A439AE"/>
    <w:rsid w:val="00A44B9F"/>
    <w:rsid w:val="00A614C8"/>
    <w:rsid w:val="00A62ACB"/>
    <w:rsid w:val="00A729FD"/>
    <w:rsid w:val="00A743FD"/>
    <w:rsid w:val="00A757D4"/>
    <w:rsid w:val="00A82A30"/>
    <w:rsid w:val="00A83A4B"/>
    <w:rsid w:val="00A9084D"/>
    <w:rsid w:val="00A92827"/>
    <w:rsid w:val="00A95497"/>
    <w:rsid w:val="00A973A2"/>
    <w:rsid w:val="00AA16D4"/>
    <w:rsid w:val="00AA7376"/>
    <w:rsid w:val="00AB20B5"/>
    <w:rsid w:val="00AC017C"/>
    <w:rsid w:val="00AC56A2"/>
    <w:rsid w:val="00AD4D0A"/>
    <w:rsid w:val="00AD503E"/>
    <w:rsid w:val="00AD5086"/>
    <w:rsid w:val="00AE17E4"/>
    <w:rsid w:val="00AF59DD"/>
    <w:rsid w:val="00B00FFB"/>
    <w:rsid w:val="00B12BDC"/>
    <w:rsid w:val="00B13AFA"/>
    <w:rsid w:val="00B26446"/>
    <w:rsid w:val="00B422B6"/>
    <w:rsid w:val="00B42631"/>
    <w:rsid w:val="00B63F07"/>
    <w:rsid w:val="00B65510"/>
    <w:rsid w:val="00B70F51"/>
    <w:rsid w:val="00B74A7F"/>
    <w:rsid w:val="00B76713"/>
    <w:rsid w:val="00B8682E"/>
    <w:rsid w:val="00B873B2"/>
    <w:rsid w:val="00B91E35"/>
    <w:rsid w:val="00B95475"/>
    <w:rsid w:val="00B95D57"/>
    <w:rsid w:val="00B96F8A"/>
    <w:rsid w:val="00BA0691"/>
    <w:rsid w:val="00BA1498"/>
    <w:rsid w:val="00BA20DB"/>
    <w:rsid w:val="00BA4057"/>
    <w:rsid w:val="00BA6A32"/>
    <w:rsid w:val="00BB767D"/>
    <w:rsid w:val="00BC28E2"/>
    <w:rsid w:val="00BC4D1F"/>
    <w:rsid w:val="00BC51D8"/>
    <w:rsid w:val="00BC6419"/>
    <w:rsid w:val="00BD4B8A"/>
    <w:rsid w:val="00BD4F47"/>
    <w:rsid w:val="00BE3061"/>
    <w:rsid w:val="00BE5B6A"/>
    <w:rsid w:val="00BE5E64"/>
    <w:rsid w:val="00BF06D5"/>
    <w:rsid w:val="00BF0DCF"/>
    <w:rsid w:val="00BF6750"/>
    <w:rsid w:val="00BF71C6"/>
    <w:rsid w:val="00C0038A"/>
    <w:rsid w:val="00C03895"/>
    <w:rsid w:val="00C057B7"/>
    <w:rsid w:val="00C214D9"/>
    <w:rsid w:val="00C237A9"/>
    <w:rsid w:val="00C25818"/>
    <w:rsid w:val="00C34C9E"/>
    <w:rsid w:val="00C47371"/>
    <w:rsid w:val="00C63536"/>
    <w:rsid w:val="00C641E6"/>
    <w:rsid w:val="00C66011"/>
    <w:rsid w:val="00C6761A"/>
    <w:rsid w:val="00C7538B"/>
    <w:rsid w:val="00C769F0"/>
    <w:rsid w:val="00C77B1F"/>
    <w:rsid w:val="00C8543B"/>
    <w:rsid w:val="00C909C5"/>
    <w:rsid w:val="00C95085"/>
    <w:rsid w:val="00C95228"/>
    <w:rsid w:val="00C969F2"/>
    <w:rsid w:val="00CA62E0"/>
    <w:rsid w:val="00CB1B9D"/>
    <w:rsid w:val="00CB1D57"/>
    <w:rsid w:val="00CC049B"/>
    <w:rsid w:val="00CC2A8C"/>
    <w:rsid w:val="00CC3916"/>
    <w:rsid w:val="00CD0159"/>
    <w:rsid w:val="00CF3D23"/>
    <w:rsid w:val="00CF50CA"/>
    <w:rsid w:val="00CF6BEF"/>
    <w:rsid w:val="00D05677"/>
    <w:rsid w:val="00D149C2"/>
    <w:rsid w:val="00D314FA"/>
    <w:rsid w:val="00D46AA9"/>
    <w:rsid w:val="00D47C55"/>
    <w:rsid w:val="00D50472"/>
    <w:rsid w:val="00D64605"/>
    <w:rsid w:val="00D66105"/>
    <w:rsid w:val="00D73955"/>
    <w:rsid w:val="00D7511B"/>
    <w:rsid w:val="00D76B8E"/>
    <w:rsid w:val="00D813FA"/>
    <w:rsid w:val="00D8159D"/>
    <w:rsid w:val="00D82F5D"/>
    <w:rsid w:val="00D869B8"/>
    <w:rsid w:val="00DA1CED"/>
    <w:rsid w:val="00DA2414"/>
    <w:rsid w:val="00DA3B9C"/>
    <w:rsid w:val="00DA5CA8"/>
    <w:rsid w:val="00DB0C34"/>
    <w:rsid w:val="00DB277A"/>
    <w:rsid w:val="00DB424D"/>
    <w:rsid w:val="00DB652C"/>
    <w:rsid w:val="00DC047F"/>
    <w:rsid w:val="00DC1606"/>
    <w:rsid w:val="00DC1DC1"/>
    <w:rsid w:val="00DC6323"/>
    <w:rsid w:val="00DD335C"/>
    <w:rsid w:val="00DE0691"/>
    <w:rsid w:val="00DE1666"/>
    <w:rsid w:val="00DE3CA6"/>
    <w:rsid w:val="00DE4CE9"/>
    <w:rsid w:val="00DE6E12"/>
    <w:rsid w:val="00DF06BE"/>
    <w:rsid w:val="00DF0AFA"/>
    <w:rsid w:val="00DF1809"/>
    <w:rsid w:val="00DF784B"/>
    <w:rsid w:val="00DF7C72"/>
    <w:rsid w:val="00E055D8"/>
    <w:rsid w:val="00E17867"/>
    <w:rsid w:val="00E20FBE"/>
    <w:rsid w:val="00E216FD"/>
    <w:rsid w:val="00E21C0B"/>
    <w:rsid w:val="00E26DBC"/>
    <w:rsid w:val="00E30415"/>
    <w:rsid w:val="00E353EE"/>
    <w:rsid w:val="00E36B85"/>
    <w:rsid w:val="00E37F6E"/>
    <w:rsid w:val="00E419DA"/>
    <w:rsid w:val="00E46445"/>
    <w:rsid w:val="00E513F6"/>
    <w:rsid w:val="00E52BDF"/>
    <w:rsid w:val="00E63D31"/>
    <w:rsid w:val="00E67D40"/>
    <w:rsid w:val="00E71A08"/>
    <w:rsid w:val="00E754EA"/>
    <w:rsid w:val="00E7617B"/>
    <w:rsid w:val="00E7646D"/>
    <w:rsid w:val="00E7693A"/>
    <w:rsid w:val="00E8493C"/>
    <w:rsid w:val="00E84B29"/>
    <w:rsid w:val="00E8533E"/>
    <w:rsid w:val="00E97A19"/>
    <w:rsid w:val="00EA2C3B"/>
    <w:rsid w:val="00EA610E"/>
    <w:rsid w:val="00EB0C48"/>
    <w:rsid w:val="00EC4EE9"/>
    <w:rsid w:val="00EC5A53"/>
    <w:rsid w:val="00EC6282"/>
    <w:rsid w:val="00ED6614"/>
    <w:rsid w:val="00ED6E2C"/>
    <w:rsid w:val="00EE08DC"/>
    <w:rsid w:val="00EE3E77"/>
    <w:rsid w:val="00EF17CE"/>
    <w:rsid w:val="00EF3D93"/>
    <w:rsid w:val="00F003ED"/>
    <w:rsid w:val="00F004A2"/>
    <w:rsid w:val="00F015CC"/>
    <w:rsid w:val="00F152EE"/>
    <w:rsid w:val="00F16B12"/>
    <w:rsid w:val="00F20503"/>
    <w:rsid w:val="00F250F7"/>
    <w:rsid w:val="00F35025"/>
    <w:rsid w:val="00F35B9A"/>
    <w:rsid w:val="00F37A45"/>
    <w:rsid w:val="00F41D5F"/>
    <w:rsid w:val="00F431EE"/>
    <w:rsid w:val="00F43396"/>
    <w:rsid w:val="00F45A56"/>
    <w:rsid w:val="00F51D5E"/>
    <w:rsid w:val="00F55170"/>
    <w:rsid w:val="00F73C50"/>
    <w:rsid w:val="00F773A4"/>
    <w:rsid w:val="00F773F0"/>
    <w:rsid w:val="00F8228B"/>
    <w:rsid w:val="00F82AEE"/>
    <w:rsid w:val="00F82EB0"/>
    <w:rsid w:val="00F83AF6"/>
    <w:rsid w:val="00F94E7E"/>
    <w:rsid w:val="00FA2695"/>
    <w:rsid w:val="00FB5439"/>
    <w:rsid w:val="00FC4E8C"/>
    <w:rsid w:val="00FD32FD"/>
    <w:rsid w:val="00FE5357"/>
    <w:rsid w:val="00FE7D64"/>
    <w:rsid w:val="00FF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E67E6-3A38-4F36-A6CA-1F754182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B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BDF"/>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E52BDF"/>
    <w:pPr>
      <w:spacing w:before="120" w:after="120" w:line="240" w:lineRule="auto"/>
      <w:ind w:left="1701"/>
      <w:jc w:val="both"/>
    </w:pPr>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E52B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BDF"/>
    <w:rPr>
      <w:rFonts w:asciiTheme="majorHAnsi" w:eastAsiaTheme="majorEastAsia" w:hAnsiTheme="majorHAnsi" w:cstheme="majorBidi"/>
      <w:b/>
      <w:bCs/>
      <w:color w:val="4F81BD" w:themeColor="accent1"/>
    </w:rPr>
  </w:style>
  <w:style w:type="character" w:styleId="Emphasis">
    <w:name w:val="Emphasis"/>
    <w:qFormat/>
    <w:rsid w:val="00E52BDF"/>
    <w:rPr>
      <w:i/>
      <w:iCs/>
    </w:rPr>
  </w:style>
  <w:style w:type="paragraph" w:customStyle="1" w:styleId="P1">
    <w:name w:val="P 1"/>
    <w:basedOn w:val="Normal"/>
    <w:rsid w:val="00E52BDF"/>
    <w:pPr>
      <w:spacing w:before="120" w:after="120" w:line="240" w:lineRule="auto"/>
      <w:ind w:left="567"/>
      <w:jc w:val="both"/>
    </w:pPr>
    <w:rPr>
      <w:rFonts w:ascii="Arial" w:eastAsia="Times New Roman" w:hAnsi="Arial" w:cs="Times New Roman"/>
      <w:color w:val="000000"/>
      <w:sz w:val="20"/>
      <w:szCs w:val="24"/>
      <w:lang w:val="hr-HR"/>
    </w:rPr>
  </w:style>
  <w:style w:type="paragraph" w:styleId="Footer">
    <w:name w:val="footer"/>
    <w:basedOn w:val="Normal"/>
    <w:link w:val="FooterChar"/>
    <w:uiPriority w:val="99"/>
    <w:unhideWhenUsed/>
    <w:rsid w:val="00C34C9E"/>
    <w:pPr>
      <w:tabs>
        <w:tab w:val="center" w:pos="4536"/>
        <w:tab w:val="right" w:pos="9072"/>
      </w:tabs>
      <w:spacing w:after="0" w:line="240" w:lineRule="auto"/>
    </w:pPr>
    <w:rPr>
      <w:lang w:val="hr-HR"/>
    </w:rPr>
  </w:style>
  <w:style w:type="character" w:customStyle="1" w:styleId="FooterChar">
    <w:name w:val="Footer Char"/>
    <w:basedOn w:val="DefaultParagraphFont"/>
    <w:link w:val="Footer"/>
    <w:uiPriority w:val="99"/>
    <w:rsid w:val="00C34C9E"/>
    <w:rPr>
      <w:lang w:val="hr-HR"/>
    </w:rPr>
  </w:style>
  <w:style w:type="paragraph" w:styleId="TOCHeading">
    <w:name w:val="TOC Heading"/>
    <w:basedOn w:val="Heading1"/>
    <w:next w:val="Normal"/>
    <w:uiPriority w:val="39"/>
    <w:unhideWhenUsed/>
    <w:qFormat/>
    <w:rsid w:val="00C34C9E"/>
    <w:pPr>
      <w:outlineLvl w:val="9"/>
    </w:pPr>
    <w:rPr>
      <w:lang w:val="en-US" w:eastAsia="ja-JP"/>
    </w:rPr>
  </w:style>
  <w:style w:type="paragraph" w:styleId="TOC1">
    <w:name w:val="toc 1"/>
    <w:basedOn w:val="Normal"/>
    <w:next w:val="Normal"/>
    <w:autoRedefine/>
    <w:uiPriority w:val="39"/>
    <w:unhideWhenUsed/>
    <w:rsid w:val="00C34C9E"/>
    <w:pPr>
      <w:spacing w:after="100"/>
    </w:pPr>
  </w:style>
  <w:style w:type="paragraph" w:styleId="TOC2">
    <w:name w:val="toc 2"/>
    <w:basedOn w:val="Normal"/>
    <w:next w:val="Normal"/>
    <w:autoRedefine/>
    <w:uiPriority w:val="39"/>
    <w:unhideWhenUsed/>
    <w:rsid w:val="00772DF2"/>
    <w:pPr>
      <w:tabs>
        <w:tab w:val="left" w:pos="880"/>
        <w:tab w:val="right" w:leader="dot" w:pos="9062"/>
      </w:tabs>
      <w:spacing w:after="100"/>
      <w:ind w:left="220"/>
    </w:pPr>
  </w:style>
  <w:style w:type="paragraph" w:styleId="TOC3">
    <w:name w:val="toc 3"/>
    <w:basedOn w:val="Normal"/>
    <w:next w:val="Normal"/>
    <w:autoRedefine/>
    <w:uiPriority w:val="39"/>
    <w:unhideWhenUsed/>
    <w:rsid w:val="00C34C9E"/>
    <w:pPr>
      <w:spacing w:after="100"/>
      <w:ind w:left="440"/>
    </w:pPr>
  </w:style>
  <w:style w:type="character" w:styleId="Hyperlink">
    <w:name w:val="Hyperlink"/>
    <w:basedOn w:val="DefaultParagraphFont"/>
    <w:uiPriority w:val="99"/>
    <w:unhideWhenUsed/>
    <w:rsid w:val="00C34C9E"/>
    <w:rPr>
      <w:color w:val="0000FF" w:themeColor="hyperlink"/>
      <w:u w:val="single"/>
    </w:rPr>
  </w:style>
  <w:style w:type="paragraph" w:styleId="BalloonText">
    <w:name w:val="Balloon Text"/>
    <w:basedOn w:val="Normal"/>
    <w:link w:val="BalloonTextChar"/>
    <w:uiPriority w:val="99"/>
    <w:semiHidden/>
    <w:unhideWhenUsed/>
    <w:rsid w:val="00C3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9E"/>
    <w:rPr>
      <w:rFonts w:ascii="Tahoma" w:hAnsi="Tahoma" w:cs="Tahoma"/>
      <w:sz w:val="16"/>
      <w:szCs w:val="16"/>
    </w:rPr>
  </w:style>
  <w:style w:type="paragraph" w:styleId="TableofFigures">
    <w:name w:val="table of figures"/>
    <w:basedOn w:val="Normal"/>
    <w:next w:val="Normal"/>
    <w:uiPriority w:val="99"/>
    <w:unhideWhenUsed/>
    <w:rsid w:val="00C34C9E"/>
    <w:pPr>
      <w:spacing w:after="0"/>
    </w:pPr>
  </w:style>
  <w:style w:type="paragraph" w:styleId="Header">
    <w:name w:val="header"/>
    <w:basedOn w:val="Normal"/>
    <w:link w:val="HeaderChar"/>
    <w:uiPriority w:val="99"/>
    <w:unhideWhenUsed/>
    <w:rsid w:val="00C34C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4C9E"/>
  </w:style>
  <w:style w:type="paragraph" w:styleId="Title">
    <w:name w:val="Title"/>
    <w:basedOn w:val="Normal"/>
    <w:next w:val="Normal"/>
    <w:link w:val="TitleChar"/>
    <w:uiPriority w:val="10"/>
    <w:qFormat/>
    <w:rsid w:val="002148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48B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
    <w:basedOn w:val="Normal"/>
    <w:link w:val="FootnoteTextChar"/>
    <w:uiPriority w:val="99"/>
    <w:unhideWhenUsed/>
    <w:rsid w:val="00DC1606"/>
    <w:pPr>
      <w:spacing w:after="0" w:line="240" w:lineRule="auto"/>
    </w:pPr>
    <w:rPr>
      <w:sz w:val="20"/>
      <w:szCs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rsid w:val="00DC1606"/>
    <w:rPr>
      <w:sz w:val="20"/>
      <w:szCs w:val="20"/>
    </w:rPr>
  </w:style>
  <w:style w:type="character" w:styleId="FootnoteReference">
    <w:name w:val="footnote reference"/>
    <w:aliases w:val="BVI fnr,16 Point,Superscript 6 Point"/>
    <w:basedOn w:val="DefaultParagraphFont"/>
    <w:unhideWhenUsed/>
    <w:rsid w:val="00DC1606"/>
    <w:rPr>
      <w:vertAlign w:val="superscript"/>
    </w:rPr>
  </w:style>
  <w:style w:type="paragraph" w:styleId="ListParagraph">
    <w:name w:val="List Paragraph"/>
    <w:basedOn w:val="Normal"/>
    <w:uiPriority w:val="34"/>
    <w:qFormat/>
    <w:rsid w:val="00C95085"/>
    <w:pPr>
      <w:ind w:left="720"/>
      <w:contextualSpacing/>
    </w:pPr>
  </w:style>
  <w:style w:type="paragraph" w:customStyle="1" w:styleId="Default">
    <w:name w:val="Default"/>
    <w:rsid w:val="0086024C"/>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CommentReference">
    <w:name w:val="annotation reference"/>
    <w:basedOn w:val="DefaultParagraphFont"/>
    <w:uiPriority w:val="99"/>
    <w:semiHidden/>
    <w:unhideWhenUsed/>
    <w:rsid w:val="00127B13"/>
    <w:rPr>
      <w:sz w:val="16"/>
      <w:szCs w:val="16"/>
    </w:rPr>
  </w:style>
  <w:style w:type="paragraph" w:styleId="CommentText">
    <w:name w:val="annotation text"/>
    <w:basedOn w:val="Normal"/>
    <w:link w:val="CommentTextChar"/>
    <w:uiPriority w:val="99"/>
    <w:semiHidden/>
    <w:unhideWhenUsed/>
    <w:rsid w:val="00127B13"/>
    <w:pPr>
      <w:spacing w:line="240" w:lineRule="auto"/>
    </w:pPr>
    <w:rPr>
      <w:sz w:val="20"/>
      <w:szCs w:val="20"/>
    </w:rPr>
  </w:style>
  <w:style w:type="character" w:customStyle="1" w:styleId="CommentTextChar">
    <w:name w:val="Comment Text Char"/>
    <w:basedOn w:val="DefaultParagraphFont"/>
    <w:link w:val="CommentText"/>
    <w:uiPriority w:val="99"/>
    <w:semiHidden/>
    <w:rsid w:val="00127B13"/>
    <w:rPr>
      <w:sz w:val="20"/>
      <w:szCs w:val="20"/>
    </w:rPr>
  </w:style>
  <w:style w:type="paragraph" w:styleId="CommentSubject">
    <w:name w:val="annotation subject"/>
    <w:basedOn w:val="CommentText"/>
    <w:next w:val="CommentText"/>
    <w:link w:val="CommentSubjectChar"/>
    <w:uiPriority w:val="99"/>
    <w:semiHidden/>
    <w:unhideWhenUsed/>
    <w:rsid w:val="00127B13"/>
    <w:rPr>
      <w:b/>
      <w:bCs/>
    </w:rPr>
  </w:style>
  <w:style w:type="character" w:customStyle="1" w:styleId="CommentSubjectChar">
    <w:name w:val="Comment Subject Char"/>
    <w:basedOn w:val="CommentTextChar"/>
    <w:link w:val="CommentSubject"/>
    <w:uiPriority w:val="99"/>
    <w:semiHidden/>
    <w:rsid w:val="00127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3923">
      <w:bodyDiv w:val="1"/>
      <w:marLeft w:val="0"/>
      <w:marRight w:val="0"/>
      <w:marTop w:val="0"/>
      <w:marBottom w:val="0"/>
      <w:divBdr>
        <w:top w:val="none" w:sz="0" w:space="0" w:color="auto"/>
        <w:left w:val="none" w:sz="0" w:space="0" w:color="auto"/>
        <w:bottom w:val="none" w:sz="0" w:space="0" w:color="auto"/>
        <w:right w:val="none" w:sz="0" w:space="0" w:color="auto"/>
      </w:divBdr>
    </w:div>
    <w:div w:id="700783508">
      <w:bodyDiv w:val="1"/>
      <w:marLeft w:val="0"/>
      <w:marRight w:val="0"/>
      <w:marTop w:val="0"/>
      <w:marBottom w:val="0"/>
      <w:divBdr>
        <w:top w:val="none" w:sz="0" w:space="0" w:color="auto"/>
        <w:left w:val="none" w:sz="0" w:space="0" w:color="auto"/>
        <w:bottom w:val="none" w:sz="0" w:space="0" w:color="auto"/>
        <w:right w:val="none" w:sz="0" w:space="0" w:color="auto"/>
      </w:divBdr>
      <w:divsChild>
        <w:div w:id="441195733">
          <w:marLeft w:val="0"/>
          <w:marRight w:val="0"/>
          <w:marTop w:val="0"/>
          <w:marBottom w:val="0"/>
          <w:divBdr>
            <w:top w:val="none" w:sz="0" w:space="0" w:color="auto"/>
            <w:left w:val="none" w:sz="0" w:space="0" w:color="auto"/>
            <w:bottom w:val="none" w:sz="0" w:space="0" w:color="auto"/>
            <w:right w:val="none" w:sz="0" w:space="0" w:color="auto"/>
          </w:divBdr>
        </w:div>
      </w:divsChild>
    </w:div>
    <w:div w:id="837113886">
      <w:bodyDiv w:val="1"/>
      <w:marLeft w:val="0"/>
      <w:marRight w:val="0"/>
      <w:marTop w:val="0"/>
      <w:marBottom w:val="0"/>
      <w:divBdr>
        <w:top w:val="none" w:sz="0" w:space="0" w:color="auto"/>
        <w:left w:val="none" w:sz="0" w:space="0" w:color="auto"/>
        <w:bottom w:val="none" w:sz="0" w:space="0" w:color="auto"/>
        <w:right w:val="none" w:sz="0" w:space="0" w:color="auto"/>
      </w:divBdr>
      <w:divsChild>
        <w:div w:id="175689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22CF-2BCE-45B5-9D25-1D59984D27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68CD6A-1440-4F78-BC8F-569D39C6B421}">
  <ds:schemaRefs>
    <ds:schemaRef ds:uri="http://schemas.microsoft.com/sharepoint/v3/contenttype/forms"/>
  </ds:schemaRefs>
</ds:datastoreItem>
</file>

<file path=customXml/itemProps3.xml><?xml version="1.0" encoding="utf-8"?>
<ds:datastoreItem xmlns:ds="http://schemas.openxmlformats.org/officeDocument/2006/customXml" ds:itemID="{77072F04-F9C8-4AA7-AD69-E19E8C1E7E95}">
  <ds:schemaRefs>
    <ds:schemaRef ds:uri="http://schemas.microsoft.com/sharepoint/events"/>
  </ds:schemaRefs>
</ds:datastoreItem>
</file>

<file path=customXml/itemProps4.xml><?xml version="1.0" encoding="utf-8"?>
<ds:datastoreItem xmlns:ds="http://schemas.openxmlformats.org/officeDocument/2006/customXml" ds:itemID="{14771B72-9D18-4E49-972B-02E55E64E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26FA0-3A25-43FF-8691-48AA1DE7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7241</Words>
  <Characters>41279</Characters>
  <Application>Microsoft Office Word</Application>
  <DocSecurity>0</DocSecurity>
  <Lines>343</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Vlatka Šelimber</cp:lastModifiedBy>
  <cp:revision>2</cp:revision>
  <cp:lastPrinted>2019-07-31T08:35:00Z</cp:lastPrinted>
  <dcterms:created xsi:type="dcterms:W3CDTF">2019-07-31T15:21:00Z</dcterms:created>
  <dcterms:modified xsi:type="dcterms:W3CDTF">2019-07-31T15:21:00Z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